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1A74AF" w14:textId="211C5880" w:rsidR="00BA7345" w:rsidRPr="00A94F7A" w:rsidRDefault="00A94F7A" w:rsidP="00137A80">
      <w:pPr>
        <w:tabs>
          <w:tab w:val="center" w:pos="4680"/>
        </w:tabs>
        <w:jc w:val="center"/>
        <w:rPr>
          <w:bCs/>
          <w:szCs w:val="26"/>
        </w:rPr>
      </w:pPr>
      <w:r>
        <w:rPr>
          <w:bCs/>
          <w:szCs w:val="26"/>
        </w:rPr>
        <w:t>Supporting Statement for</w:t>
      </w:r>
    </w:p>
    <w:p w14:paraId="7E1D0990" w14:textId="77777777" w:rsidR="00F5346B" w:rsidRDefault="00BA7345" w:rsidP="00137A80">
      <w:pPr>
        <w:tabs>
          <w:tab w:val="center" w:pos="4680"/>
        </w:tabs>
        <w:jc w:val="center"/>
        <w:rPr>
          <w:b/>
          <w:bCs/>
          <w:szCs w:val="26"/>
        </w:rPr>
      </w:pPr>
      <w:r w:rsidRPr="00267D79">
        <w:rPr>
          <w:b/>
          <w:bCs/>
          <w:szCs w:val="26"/>
        </w:rPr>
        <w:t>FERC-</w:t>
      </w:r>
      <w:r w:rsidR="005E290C" w:rsidRPr="00267D79">
        <w:rPr>
          <w:b/>
          <w:bCs/>
          <w:szCs w:val="26"/>
        </w:rPr>
        <w:t>921</w:t>
      </w:r>
      <w:r w:rsidR="00F547EB">
        <w:rPr>
          <w:b/>
          <w:bCs/>
          <w:szCs w:val="26"/>
        </w:rPr>
        <w:t>,</w:t>
      </w:r>
      <w:r w:rsidRPr="00267D79">
        <w:rPr>
          <w:b/>
          <w:bCs/>
          <w:szCs w:val="26"/>
        </w:rPr>
        <w:t xml:space="preserve"> </w:t>
      </w:r>
      <w:r w:rsidR="00276F68" w:rsidRPr="00276F68">
        <w:rPr>
          <w:b/>
          <w:bCs/>
          <w:szCs w:val="26"/>
        </w:rPr>
        <w:t xml:space="preserve">Ongoing Electronic Delivery of Data from Regional Transmission Organizations </w:t>
      </w:r>
      <w:r w:rsidR="00276F68">
        <w:rPr>
          <w:b/>
          <w:bCs/>
          <w:szCs w:val="26"/>
        </w:rPr>
        <w:t xml:space="preserve">(RTO) </w:t>
      </w:r>
      <w:r w:rsidR="00276F68" w:rsidRPr="00276F68">
        <w:rPr>
          <w:b/>
          <w:bCs/>
          <w:szCs w:val="26"/>
        </w:rPr>
        <w:t>and Independent System Operators</w:t>
      </w:r>
      <w:r w:rsidR="00276F68">
        <w:rPr>
          <w:b/>
          <w:bCs/>
          <w:szCs w:val="26"/>
        </w:rPr>
        <w:t xml:space="preserve"> (ISO)</w:t>
      </w:r>
      <w:r w:rsidR="00F5346B">
        <w:rPr>
          <w:b/>
          <w:bCs/>
          <w:szCs w:val="26"/>
        </w:rPr>
        <w:t xml:space="preserve">, </w:t>
      </w:r>
    </w:p>
    <w:p w14:paraId="3CFB2D00" w14:textId="40C0D53D" w:rsidR="00276F68" w:rsidRPr="00267D79" w:rsidRDefault="00F5346B" w:rsidP="00137A80">
      <w:pPr>
        <w:tabs>
          <w:tab w:val="center" w:pos="4680"/>
        </w:tabs>
        <w:jc w:val="center"/>
        <w:rPr>
          <w:b/>
          <w:bCs/>
          <w:szCs w:val="26"/>
        </w:rPr>
      </w:pPr>
      <w:r>
        <w:rPr>
          <w:b/>
          <w:bCs/>
          <w:szCs w:val="26"/>
        </w:rPr>
        <w:t>as modified by the NOPR in RM15-23</w:t>
      </w:r>
    </w:p>
    <w:p w14:paraId="0AFA2129" w14:textId="77777777" w:rsidR="004D7A2C" w:rsidRDefault="004D7A2C" w:rsidP="004D7A2C">
      <w:pPr>
        <w:rPr>
          <w:szCs w:val="26"/>
        </w:rPr>
      </w:pPr>
    </w:p>
    <w:p w14:paraId="244E947D" w14:textId="60F96604" w:rsidR="00BA7345" w:rsidRPr="00A94F7A" w:rsidRDefault="004D7A2C" w:rsidP="00A94F7A">
      <w:pPr>
        <w:tabs>
          <w:tab w:val="center" w:pos="4680"/>
        </w:tabs>
        <w:rPr>
          <w:b/>
          <w:bCs/>
          <w:szCs w:val="26"/>
        </w:rPr>
      </w:pPr>
      <w:r>
        <w:rPr>
          <w:szCs w:val="26"/>
        </w:rPr>
        <w:t>The Federal Energy Regulatory Commission (Commission or FERC) requests that the</w:t>
      </w:r>
      <w:r w:rsidR="0083693A">
        <w:rPr>
          <w:szCs w:val="26"/>
        </w:rPr>
        <w:t xml:space="preserve"> </w:t>
      </w:r>
      <w:r>
        <w:rPr>
          <w:szCs w:val="26"/>
        </w:rPr>
        <w:t xml:space="preserve">Office of Management and Budget (OMB) </w:t>
      </w:r>
      <w:r w:rsidR="00A94F7A">
        <w:rPr>
          <w:szCs w:val="26"/>
        </w:rPr>
        <w:t xml:space="preserve">review and approve </w:t>
      </w:r>
      <w:r w:rsidR="005E2BE4">
        <w:rPr>
          <w:szCs w:val="26"/>
        </w:rPr>
        <w:t xml:space="preserve">for a three year period </w:t>
      </w:r>
      <w:r w:rsidR="00A94F7A">
        <w:rPr>
          <w:szCs w:val="26"/>
        </w:rPr>
        <w:t>the</w:t>
      </w:r>
      <w:r>
        <w:rPr>
          <w:szCs w:val="26"/>
        </w:rPr>
        <w:t xml:space="preserve"> information collection requirements in the </w:t>
      </w:r>
      <w:r w:rsidRPr="00DC6121">
        <w:rPr>
          <w:bCs/>
          <w:szCs w:val="26"/>
        </w:rPr>
        <w:t>FERC-921, Ongoing Electronic Delivery of Data from Regional Transmission Organizations (RTO) and Independent System Operators (ISO</w:t>
      </w:r>
      <w:r w:rsidR="0057777E" w:rsidRPr="00DC6121">
        <w:rPr>
          <w:bCs/>
          <w:szCs w:val="26"/>
        </w:rPr>
        <w:t>)</w:t>
      </w:r>
      <w:r w:rsidR="005E2BE4" w:rsidRPr="00DC6121">
        <w:rPr>
          <w:bCs/>
          <w:szCs w:val="26"/>
        </w:rPr>
        <w:t xml:space="preserve">, as modified </w:t>
      </w:r>
      <w:r w:rsidR="00DB101B">
        <w:rPr>
          <w:bCs/>
          <w:szCs w:val="26"/>
        </w:rPr>
        <w:t>in</w:t>
      </w:r>
      <w:r w:rsidR="005E2BE4" w:rsidRPr="00DC6121">
        <w:rPr>
          <w:bCs/>
          <w:szCs w:val="26"/>
        </w:rPr>
        <w:t xml:space="preserve"> the Notice of Proposed Rulemaking (NOPR) in Docket No. RM15-23</w:t>
      </w:r>
      <w:r>
        <w:rPr>
          <w:szCs w:val="26"/>
        </w:rPr>
        <w:t xml:space="preserve">. </w:t>
      </w:r>
      <w:r w:rsidR="005D715D">
        <w:rPr>
          <w:rStyle w:val="FootnoteReference"/>
        </w:rPr>
        <w:footnoteReference w:id="2"/>
      </w:r>
      <w:r>
        <w:rPr>
          <w:szCs w:val="26"/>
        </w:rPr>
        <w:t xml:space="preserve"> </w:t>
      </w:r>
    </w:p>
    <w:p w14:paraId="75A341F2" w14:textId="77777777" w:rsidR="007760B5" w:rsidRPr="005C0AE5" w:rsidRDefault="007760B5">
      <w:pPr>
        <w:rPr>
          <w:b/>
        </w:rPr>
      </w:pPr>
    </w:p>
    <w:p w14:paraId="1325C625" w14:textId="77777777" w:rsidR="00BA7345" w:rsidRPr="005C0AE5" w:rsidRDefault="00BA7345" w:rsidP="00BA7345">
      <w:pPr>
        <w:pStyle w:val="Level1"/>
        <w:widowControl/>
        <w:tabs>
          <w:tab w:val="left" w:pos="-1440"/>
          <w:tab w:val="num" w:pos="720"/>
        </w:tabs>
        <w:rPr>
          <w:b/>
        </w:rPr>
      </w:pPr>
      <w:r w:rsidRPr="005C0AE5">
        <w:rPr>
          <w:b/>
        </w:rPr>
        <w:t xml:space="preserve">CIRCUMSTANCES THAT MAKE THE COLLECTION OF INFORMATION NECESSARY  </w:t>
      </w:r>
    </w:p>
    <w:p w14:paraId="2B2F3C34" w14:textId="77777777" w:rsidR="008057ED" w:rsidRDefault="008057ED" w:rsidP="009740DA">
      <w:pPr>
        <w:pStyle w:val="FERCparanumber"/>
        <w:numPr>
          <w:ilvl w:val="0"/>
          <w:numId w:val="0"/>
        </w:numPr>
        <w:autoSpaceDE w:val="0"/>
        <w:autoSpaceDN w:val="0"/>
        <w:adjustRightInd w:val="0"/>
      </w:pPr>
    </w:p>
    <w:p w14:paraId="4E256AA9" w14:textId="5963B5A0" w:rsidR="008057ED" w:rsidRDefault="005E2BE4" w:rsidP="009740DA">
      <w:pPr>
        <w:pStyle w:val="FERCparanumber"/>
        <w:numPr>
          <w:ilvl w:val="0"/>
          <w:numId w:val="0"/>
        </w:numPr>
        <w:autoSpaceDE w:val="0"/>
        <w:autoSpaceDN w:val="0"/>
        <w:adjustRightInd w:val="0"/>
      </w:pPr>
      <w:r>
        <w:rPr>
          <w:b/>
        </w:rPr>
        <w:t xml:space="preserve">FERC-921, in general.  </w:t>
      </w:r>
      <w:r w:rsidR="009740DA">
        <w:t>FERC is statutorily obligated to ensure that sales of electricity in wholesale markets are made at just and reasonable rates</w:t>
      </w:r>
      <w:r w:rsidR="009740DA">
        <w:rPr>
          <w:rStyle w:val="FootnoteReference"/>
        </w:rPr>
        <w:footnoteReference w:id="3"/>
      </w:r>
      <w:r w:rsidR="009740DA">
        <w:t xml:space="preserve"> and to address market manipulation in connection with the purchase or sale of electricity subject to the Commission’s jurisdiction.</w:t>
      </w:r>
      <w:r w:rsidR="009740DA">
        <w:rPr>
          <w:rStyle w:val="FootnoteReference"/>
        </w:rPr>
        <w:footnoteReference w:id="4"/>
      </w:r>
      <w:r w:rsidR="009740DA">
        <w:t xml:space="preserve">  Toward that end, s</w:t>
      </w:r>
      <w:r w:rsidR="009740DA" w:rsidRPr="006A3197">
        <w:t>ection 301(b) of the FPA pr</w:t>
      </w:r>
      <w:r w:rsidR="009740DA">
        <w:t xml:space="preserve">ovides that the Commission </w:t>
      </w:r>
      <w:r w:rsidR="009740DA" w:rsidRPr="0066289A">
        <w:t>shall at all times have access to and the right to inspect and examine all accounts and records of public utilities.</w:t>
      </w:r>
      <w:r w:rsidR="009740DA" w:rsidRPr="0066289A">
        <w:rPr>
          <w:rStyle w:val="FootnoteReference"/>
        </w:rPr>
        <w:footnoteReference w:id="5"/>
      </w:r>
      <w:r w:rsidR="009740DA" w:rsidRPr="0066289A">
        <w:t xml:space="preserve">  In this</w:t>
      </w:r>
      <w:r w:rsidR="00F27965">
        <w:t xml:space="preserve"> </w:t>
      </w:r>
      <w:r w:rsidR="00106A35">
        <w:t>information collection</w:t>
      </w:r>
      <w:r w:rsidR="009740DA" w:rsidRPr="0066289A">
        <w:t>, and pursuant to its authority under section 301(b), the</w:t>
      </w:r>
      <w:r w:rsidR="009740DA">
        <w:t xml:space="preserve"> Commission </w:t>
      </w:r>
      <w:r w:rsidR="00F27965">
        <w:t>requires</w:t>
      </w:r>
      <w:r w:rsidR="009740DA">
        <w:t xml:space="preserve"> ongoing electronic delivery of data including accounts and records of the RTOs/ISOs, which are public utilities.</w:t>
      </w:r>
    </w:p>
    <w:p w14:paraId="0C79B216" w14:textId="77777777" w:rsidR="008057ED" w:rsidRDefault="008057ED" w:rsidP="009740DA">
      <w:pPr>
        <w:pStyle w:val="FERCparanumber"/>
        <w:numPr>
          <w:ilvl w:val="0"/>
          <w:numId w:val="0"/>
        </w:numPr>
        <w:autoSpaceDE w:val="0"/>
        <w:autoSpaceDN w:val="0"/>
        <w:adjustRightInd w:val="0"/>
      </w:pPr>
    </w:p>
    <w:p w14:paraId="33B19D8E" w14:textId="77777777" w:rsidR="009740DA" w:rsidRDefault="00520466" w:rsidP="009740DA">
      <w:pPr>
        <w:pStyle w:val="FERCparanumber"/>
        <w:numPr>
          <w:ilvl w:val="0"/>
          <w:numId w:val="0"/>
        </w:numPr>
        <w:autoSpaceDE w:val="0"/>
        <w:autoSpaceDN w:val="0"/>
        <w:adjustRightInd w:val="0"/>
      </w:pPr>
      <w:r>
        <w:rPr>
          <w:color w:val="000000"/>
          <w:szCs w:val="26"/>
        </w:rPr>
        <w:t>Moreover</w:t>
      </w:r>
      <w:r w:rsidR="009740DA" w:rsidRPr="006A3197">
        <w:rPr>
          <w:color w:val="000000"/>
          <w:szCs w:val="26"/>
        </w:rPr>
        <w:t>, th</w:t>
      </w:r>
      <w:r w:rsidR="009740DA" w:rsidRPr="003542F4">
        <w:rPr>
          <w:color w:val="000000"/>
          <w:szCs w:val="26"/>
        </w:rPr>
        <w:t xml:space="preserve">e Commission </w:t>
      </w:r>
      <w:r>
        <w:rPr>
          <w:color w:val="000000"/>
          <w:szCs w:val="26"/>
        </w:rPr>
        <w:t xml:space="preserve">also </w:t>
      </w:r>
      <w:r w:rsidR="009740DA" w:rsidRPr="003542F4">
        <w:rPr>
          <w:color w:val="000000"/>
          <w:szCs w:val="26"/>
        </w:rPr>
        <w:t xml:space="preserve">has authority </w:t>
      </w:r>
      <w:r>
        <w:rPr>
          <w:color w:val="000000"/>
          <w:szCs w:val="26"/>
        </w:rPr>
        <w:t xml:space="preserve">pursuant to section 307(a) of the FPA </w:t>
      </w:r>
      <w:r w:rsidR="009740DA" w:rsidRPr="003542F4">
        <w:rPr>
          <w:color w:val="000000"/>
          <w:szCs w:val="26"/>
        </w:rPr>
        <w:t xml:space="preserve">to investigate any facts, conditions, practices, or matters it may deem necessary or proper to determine whether any person, electric utility, transmitting utility, or other entity may have violated or might violate the FPA or the Commission’s regulations, or to aid in the </w:t>
      </w:r>
      <w:r w:rsidR="009740DA" w:rsidRPr="003542F4">
        <w:rPr>
          <w:color w:val="000000"/>
          <w:szCs w:val="26"/>
        </w:rPr>
        <w:lastRenderedPageBreak/>
        <w:t>enforcement of the FPA or the Commission regulations, or to obtain information about wholesale power sales or the transmission of power in interstate commerce.</w:t>
      </w:r>
      <w:r w:rsidR="009740DA" w:rsidRPr="003542F4">
        <w:rPr>
          <w:rStyle w:val="FootnoteReference"/>
          <w:color w:val="000000"/>
        </w:rPr>
        <w:footnoteReference w:id="6"/>
      </w:r>
      <w:r w:rsidR="009740DA" w:rsidRPr="003542F4">
        <w:rPr>
          <w:color w:val="000000"/>
          <w:szCs w:val="26"/>
        </w:rPr>
        <w:t xml:space="preserve">  </w:t>
      </w:r>
    </w:p>
    <w:p w14:paraId="3FF626D4" w14:textId="77777777" w:rsidR="008057ED" w:rsidRDefault="009740DA" w:rsidP="009740DA">
      <w:pPr>
        <w:pStyle w:val="FERCparanumber"/>
        <w:numPr>
          <w:ilvl w:val="0"/>
          <w:numId w:val="0"/>
        </w:numPr>
        <w:autoSpaceDE w:val="0"/>
        <w:autoSpaceDN w:val="0"/>
        <w:adjustRightInd w:val="0"/>
      </w:pPr>
      <w:r>
        <w:tab/>
      </w:r>
    </w:p>
    <w:p w14:paraId="613C6F7A" w14:textId="38B60F17" w:rsidR="009740DA" w:rsidRDefault="00FD470B" w:rsidP="009740DA">
      <w:pPr>
        <w:pStyle w:val="FERCparanumber"/>
        <w:numPr>
          <w:ilvl w:val="0"/>
          <w:numId w:val="0"/>
        </w:numPr>
        <w:autoSpaceDE w:val="0"/>
        <w:autoSpaceDN w:val="0"/>
        <w:adjustRightInd w:val="0"/>
      </w:pPr>
      <w:r>
        <w:t>M</w:t>
      </w:r>
      <w:r w:rsidR="009740DA">
        <w:t>arkets continue to evolve with increas</w:t>
      </w:r>
      <w:r>
        <w:t xml:space="preserve">ing </w:t>
      </w:r>
      <w:r w:rsidR="009740DA">
        <w:t>sophistication</w:t>
      </w:r>
      <w:r w:rsidR="00510597">
        <w:t>; the</w:t>
      </w:r>
      <w:r w:rsidR="009740DA" w:rsidRPr="003542F4">
        <w:t xml:space="preserve"> Commission’s market monitoring and surveillance capabilities and associated data requirements must keep pace with market developments and evolve along with the markets.</w:t>
      </w:r>
      <w:r w:rsidR="009740DA">
        <w:t xml:space="preserve"> </w:t>
      </w:r>
      <w:r>
        <w:t xml:space="preserve">Entities that intend to manipulate or otherwise harm the markets adapt as they learn of the success of the Commission's surveillance activities.  </w:t>
      </w:r>
      <w:r w:rsidR="009740DA">
        <w:t xml:space="preserve">Further, the Commission’s evaluation of market rules, </w:t>
      </w:r>
      <w:r w:rsidR="009740DA" w:rsidRPr="00304016">
        <w:t xml:space="preserve">regulations, and policies </w:t>
      </w:r>
      <w:r>
        <w:t>ha</w:t>
      </w:r>
      <w:r w:rsidR="00510597">
        <w:t>s</w:t>
      </w:r>
      <w:r w:rsidRPr="00304016">
        <w:t xml:space="preserve"> </w:t>
      </w:r>
      <w:r w:rsidR="009740DA" w:rsidRPr="00304016">
        <w:t>be</w:t>
      </w:r>
      <w:r>
        <w:t>en</w:t>
      </w:r>
      <w:r w:rsidR="009740DA" w:rsidRPr="00304016">
        <w:t xml:space="preserve"> informed by the data </w:t>
      </w:r>
      <w:r>
        <w:t xml:space="preserve">submitted </w:t>
      </w:r>
      <w:r w:rsidR="00F27965">
        <w:t xml:space="preserve">in </w:t>
      </w:r>
      <w:r>
        <w:t>response</w:t>
      </w:r>
      <w:r w:rsidR="00440F9E">
        <w:t xml:space="preserve"> 18 CFR 35.28(g)(4) promulgated in Order No. 760</w:t>
      </w:r>
      <w:r w:rsidR="009740DA" w:rsidRPr="00304016">
        <w:t>.  Electronic delivery of the</w:t>
      </w:r>
      <w:r w:rsidR="00F27965">
        <w:t>se</w:t>
      </w:r>
      <w:r w:rsidR="009740DA" w:rsidRPr="00304016">
        <w:t xml:space="preserve"> types of data </w:t>
      </w:r>
      <w:r>
        <w:t>has brought</w:t>
      </w:r>
      <w:r w:rsidR="009740DA" w:rsidRPr="00304016">
        <w:t xml:space="preserve"> the Commission’s access to RTO/ISO data in sync with the activity in those markets</w:t>
      </w:r>
      <w:r>
        <w:t>, helping</w:t>
      </w:r>
      <w:r w:rsidR="009740DA" w:rsidRPr="00304016">
        <w:t xml:space="preserve"> to ensure that rates are just and reasonable.</w:t>
      </w:r>
    </w:p>
    <w:p w14:paraId="613B91E4" w14:textId="2D85CF4C" w:rsidR="005E2BE4" w:rsidRDefault="005E2BE4" w:rsidP="009740DA">
      <w:pPr>
        <w:pStyle w:val="FERCparanumber"/>
        <w:numPr>
          <w:ilvl w:val="0"/>
          <w:numId w:val="0"/>
        </w:numPr>
        <w:autoSpaceDE w:val="0"/>
        <w:autoSpaceDN w:val="0"/>
        <w:adjustRightInd w:val="0"/>
      </w:pPr>
    </w:p>
    <w:p w14:paraId="66A53511" w14:textId="77777777" w:rsidR="005E2BE4" w:rsidRDefault="005E2BE4" w:rsidP="009740DA">
      <w:pPr>
        <w:pStyle w:val="FERCparanumber"/>
        <w:numPr>
          <w:ilvl w:val="0"/>
          <w:numId w:val="0"/>
        </w:numPr>
        <w:autoSpaceDE w:val="0"/>
        <w:autoSpaceDN w:val="0"/>
        <w:adjustRightInd w:val="0"/>
      </w:pPr>
      <w:r>
        <w:rPr>
          <w:b/>
        </w:rPr>
        <w:t xml:space="preserve">Proposed changes in RM15-23.  </w:t>
      </w:r>
      <w:r>
        <w:t xml:space="preserve">FERC </w:t>
      </w:r>
      <w:r w:rsidRPr="005E2BE4">
        <w:t xml:space="preserve">proposes  to amend its regulations to require each regional transmission organization (RTO) and independent system operator (ISO) to electronically deliver to the Commission, on an ongoing basis, data required from its market participants that would (i) identify the market participants by means of a common alpha-numeric identifier, (ii) list their “Connected Entities,” which includes entities that have certain ownership, employment, debt, or contractual relationships to the market participants, as specified in this NOPR, and (iii) describe in brief the nature of the relationship of each Connected Entity.  </w:t>
      </w:r>
    </w:p>
    <w:p w14:paraId="581C0286" w14:textId="77777777" w:rsidR="005E2BE4" w:rsidRDefault="005E2BE4" w:rsidP="009740DA">
      <w:pPr>
        <w:pStyle w:val="FERCparanumber"/>
        <w:numPr>
          <w:ilvl w:val="0"/>
          <w:numId w:val="0"/>
        </w:numPr>
        <w:autoSpaceDE w:val="0"/>
        <w:autoSpaceDN w:val="0"/>
        <w:adjustRightInd w:val="0"/>
      </w:pPr>
    </w:p>
    <w:p w14:paraId="1D14441D" w14:textId="6416A03D" w:rsidR="005E2BE4" w:rsidRDefault="005E2BE4" w:rsidP="009740DA">
      <w:pPr>
        <w:pStyle w:val="FERCparanumber"/>
        <w:numPr>
          <w:ilvl w:val="0"/>
          <w:numId w:val="0"/>
        </w:numPr>
        <w:autoSpaceDE w:val="0"/>
        <w:autoSpaceDN w:val="0"/>
        <w:adjustRightInd w:val="0"/>
      </w:pPr>
      <w:r>
        <w:t>This</w:t>
      </w:r>
      <w:r w:rsidRPr="005E2BE4">
        <w:t xml:space="preserve"> information will assist screening and investigative efforts to detect market manipulation, an enforcement priority of the Commission.  The initiative would also assist market monitors for the RTOs and ISOs in their individual and joint investigations of potential cross-market manipulation.  </w:t>
      </w:r>
      <w:r>
        <w:t>In addition</w:t>
      </w:r>
      <w:r w:rsidRPr="005E2BE4">
        <w:t xml:space="preserve">, the proposed definitional uniformity of the term “Connected Entity” may help ease compliance burdens on market participants that are active in more than one RTO or ISO, and that are now required to submit affiliate information that may be unique to each of the organized markets in which they participate.  </w:t>
      </w:r>
    </w:p>
    <w:p w14:paraId="668D7AB4" w14:textId="77777777" w:rsidR="00BA7345" w:rsidRPr="00113227" w:rsidRDefault="00BA7345"/>
    <w:p w14:paraId="5CA92DFF" w14:textId="77777777" w:rsidR="00BA7345" w:rsidRPr="00977890" w:rsidRDefault="00BA7345" w:rsidP="00BA7345">
      <w:pPr>
        <w:pStyle w:val="Level1"/>
        <w:widowControl/>
        <w:tabs>
          <w:tab w:val="left" w:pos="-1440"/>
          <w:tab w:val="num" w:pos="720"/>
        </w:tabs>
        <w:rPr>
          <w:b/>
        </w:rPr>
      </w:pPr>
      <w:r w:rsidRPr="00977890">
        <w:rPr>
          <w:b/>
        </w:rPr>
        <w:t>HOW, BY WHOM, AND FOR WHAT PURPOSE THE INFORMATION IS TO BE USED AND THE CONSEQUENCES OF NOT COLLECTING THE INFORMATION</w:t>
      </w:r>
    </w:p>
    <w:p w14:paraId="61566AF9" w14:textId="77777777" w:rsidR="008057ED" w:rsidRDefault="008057ED" w:rsidP="008057ED">
      <w:pPr>
        <w:pStyle w:val="Level1"/>
        <w:numPr>
          <w:ilvl w:val="0"/>
          <w:numId w:val="0"/>
        </w:numPr>
        <w:tabs>
          <w:tab w:val="left" w:pos="-1440"/>
        </w:tabs>
        <w:rPr>
          <w:sz w:val="26"/>
          <w:szCs w:val="26"/>
        </w:rPr>
      </w:pPr>
    </w:p>
    <w:p w14:paraId="4B52BC68" w14:textId="0C8F293C" w:rsidR="008768A6" w:rsidRDefault="00415747" w:rsidP="008057ED">
      <w:pPr>
        <w:pStyle w:val="Level1"/>
        <w:numPr>
          <w:ilvl w:val="0"/>
          <w:numId w:val="0"/>
        </w:numPr>
        <w:tabs>
          <w:tab w:val="left" w:pos="-1440"/>
        </w:tabs>
        <w:rPr>
          <w:sz w:val="26"/>
          <w:szCs w:val="26"/>
        </w:rPr>
      </w:pPr>
      <w:r>
        <w:rPr>
          <w:b/>
          <w:sz w:val="26"/>
          <w:szCs w:val="26"/>
        </w:rPr>
        <w:t xml:space="preserve">FERC-921, in general.  </w:t>
      </w:r>
      <w:r w:rsidR="007D1875">
        <w:rPr>
          <w:sz w:val="26"/>
          <w:szCs w:val="26"/>
        </w:rPr>
        <w:t xml:space="preserve">The data </w:t>
      </w:r>
      <w:r w:rsidR="005E2BE4">
        <w:rPr>
          <w:sz w:val="26"/>
          <w:szCs w:val="26"/>
        </w:rPr>
        <w:t xml:space="preserve">have </w:t>
      </w:r>
      <w:r w:rsidR="007D1875">
        <w:rPr>
          <w:sz w:val="26"/>
          <w:szCs w:val="26"/>
        </w:rPr>
        <w:t>be</w:t>
      </w:r>
      <w:r w:rsidR="00FD470B">
        <w:rPr>
          <w:sz w:val="26"/>
          <w:szCs w:val="26"/>
        </w:rPr>
        <w:t>en</w:t>
      </w:r>
      <w:r w:rsidR="007D1875">
        <w:rPr>
          <w:sz w:val="26"/>
          <w:szCs w:val="26"/>
        </w:rPr>
        <w:t xml:space="preserve"> used by FERC staff</w:t>
      </w:r>
      <w:r w:rsidR="00A94F7A">
        <w:rPr>
          <w:sz w:val="26"/>
          <w:szCs w:val="26"/>
        </w:rPr>
        <w:t xml:space="preserve"> for several different </w:t>
      </w:r>
      <w:r w:rsidR="00A94F7A">
        <w:rPr>
          <w:sz w:val="26"/>
          <w:szCs w:val="26"/>
        </w:rPr>
        <w:lastRenderedPageBreak/>
        <w:t>purposes</w:t>
      </w:r>
      <w:r w:rsidR="007D1875">
        <w:rPr>
          <w:sz w:val="26"/>
          <w:szCs w:val="26"/>
        </w:rPr>
        <w:t xml:space="preserve"> including the surveillance of electricity market</w:t>
      </w:r>
      <w:r w:rsidR="000E5A3B">
        <w:rPr>
          <w:sz w:val="26"/>
          <w:szCs w:val="26"/>
        </w:rPr>
        <w:t>s</w:t>
      </w:r>
      <w:r w:rsidR="007D1875">
        <w:rPr>
          <w:sz w:val="26"/>
          <w:szCs w:val="26"/>
        </w:rPr>
        <w:t xml:space="preserve"> and </w:t>
      </w:r>
      <w:r w:rsidR="003A4D84">
        <w:rPr>
          <w:sz w:val="26"/>
          <w:szCs w:val="26"/>
        </w:rPr>
        <w:t>for</w:t>
      </w:r>
      <w:r w:rsidR="007D1875">
        <w:rPr>
          <w:sz w:val="26"/>
          <w:szCs w:val="26"/>
        </w:rPr>
        <w:t xml:space="preserve"> assessing </w:t>
      </w:r>
      <w:r w:rsidR="003A4D84">
        <w:rPr>
          <w:sz w:val="26"/>
          <w:szCs w:val="26"/>
        </w:rPr>
        <w:t xml:space="preserve">and analyzing </w:t>
      </w:r>
      <w:r w:rsidR="007D1875">
        <w:rPr>
          <w:sz w:val="26"/>
          <w:szCs w:val="26"/>
        </w:rPr>
        <w:t>FERC policies and regulations.</w:t>
      </w:r>
    </w:p>
    <w:p w14:paraId="4012B57A" w14:textId="77777777" w:rsidR="008057ED" w:rsidRDefault="008057ED" w:rsidP="008057ED">
      <w:pPr>
        <w:pStyle w:val="Level1"/>
        <w:numPr>
          <w:ilvl w:val="0"/>
          <w:numId w:val="0"/>
        </w:numPr>
        <w:tabs>
          <w:tab w:val="left" w:pos="-1440"/>
        </w:tabs>
        <w:rPr>
          <w:sz w:val="26"/>
          <w:szCs w:val="26"/>
        </w:rPr>
      </w:pPr>
    </w:p>
    <w:p w14:paraId="28C8DF0A" w14:textId="17235B9E" w:rsidR="004A3B87" w:rsidRDefault="008768A6" w:rsidP="008057ED">
      <w:pPr>
        <w:pStyle w:val="Level1"/>
        <w:numPr>
          <w:ilvl w:val="0"/>
          <w:numId w:val="0"/>
        </w:numPr>
        <w:tabs>
          <w:tab w:val="left" w:pos="-1440"/>
        </w:tabs>
        <w:rPr>
          <w:sz w:val="26"/>
          <w:szCs w:val="26"/>
        </w:rPr>
      </w:pPr>
      <w:r w:rsidRPr="008768A6">
        <w:rPr>
          <w:sz w:val="26"/>
          <w:szCs w:val="26"/>
          <w:u w:val="single"/>
        </w:rPr>
        <w:t>Market Monitoring and Surveillance</w:t>
      </w:r>
      <w:r w:rsidRPr="008768A6">
        <w:rPr>
          <w:sz w:val="26"/>
          <w:szCs w:val="26"/>
        </w:rPr>
        <w:t xml:space="preserve"> - </w:t>
      </w:r>
      <w:r w:rsidR="00FD470B">
        <w:rPr>
          <w:sz w:val="26"/>
          <w:szCs w:val="26"/>
        </w:rPr>
        <w:t>T</w:t>
      </w:r>
      <w:r w:rsidR="00FD470B" w:rsidRPr="00C85552">
        <w:rPr>
          <w:sz w:val="26"/>
          <w:szCs w:val="26"/>
        </w:rPr>
        <w:t>o enhance</w:t>
      </w:r>
      <w:r w:rsidR="00FD470B">
        <w:rPr>
          <w:sz w:val="26"/>
          <w:szCs w:val="26"/>
        </w:rPr>
        <w:t xml:space="preserve"> FERC’s</w:t>
      </w:r>
      <w:r w:rsidR="00FD470B" w:rsidRPr="00C85552">
        <w:rPr>
          <w:sz w:val="26"/>
          <w:szCs w:val="26"/>
        </w:rPr>
        <w:t xml:space="preserve"> market monitoring and surveillance efforts</w:t>
      </w:r>
      <w:r w:rsidR="00C85552" w:rsidRPr="00C85552">
        <w:rPr>
          <w:sz w:val="26"/>
          <w:szCs w:val="26"/>
        </w:rPr>
        <w:t xml:space="preserve">, FERC </w:t>
      </w:r>
      <w:r w:rsidR="00FD470B">
        <w:rPr>
          <w:sz w:val="26"/>
          <w:szCs w:val="26"/>
        </w:rPr>
        <w:t xml:space="preserve">has been </w:t>
      </w:r>
      <w:r w:rsidR="00A97F4E">
        <w:rPr>
          <w:sz w:val="26"/>
          <w:szCs w:val="26"/>
        </w:rPr>
        <w:t xml:space="preserve">requiring </w:t>
      </w:r>
      <w:r w:rsidR="00C85552" w:rsidRPr="00C85552">
        <w:rPr>
          <w:sz w:val="26"/>
          <w:szCs w:val="26"/>
        </w:rPr>
        <w:t>ongoing, electronic delivery of data from each RTO and ISO</w:t>
      </w:r>
      <w:r w:rsidR="00510597">
        <w:rPr>
          <w:sz w:val="26"/>
          <w:szCs w:val="26"/>
        </w:rPr>
        <w:t>.</w:t>
      </w:r>
      <w:r w:rsidR="00C85552" w:rsidRPr="00C85552">
        <w:rPr>
          <w:sz w:val="26"/>
          <w:szCs w:val="26"/>
        </w:rPr>
        <w:t xml:space="preserve"> The data </w:t>
      </w:r>
      <w:r w:rsidR="00FD470B">
        <w:rPr>
          <w:sz w:val="26"/>
          <w:szCs w:val="26"/>
        </w:rPr>
        <w:t>has</w:t>
      </w:r>
      <w:r w:rsidR="00FD470B" w:rsidRPr="00C85552">
        <w:rPr>
          <w:sz w:val="26"/>
          <w:szCs w:val="26"/>
        </w:rPr>
        <w:t xml:space="preserve"> </w:t>
      </w:r>
      <w:r w:rsidR="00C85552" w:rsidRPr="00C85552">
        <w:rPr>
          <w:sz w:val="26"/>
          <w:szCs w:val="26"/>
        </w:rPr>
        <w:t>help</w:t>
      </w:r>
      <w:r w:rsidR="00FD470B">
        <w:rPr>
          <w:sz w:val="26"/>
          <w:szCs w:val="26"/>
        </w:rPr>
        <w:t>ed</w:t>
      </w:r>
      <w:r w:rsidR="00C85552" w:rsidRPr="00C85552">
        <w:rPr>
          <w:sz w:val="26"/>
          <w:szCs w:val="26"/>
        </w:rPr>
        <w:t xml:space="preserve"> FERC detect anti-competitive or manipulative behavior, </w:t>
      </w:r>
      <w:r w:rsidR="00FD470B">
        <w:rPr>
          <w:sz w:val="26"/>
          <w:szCs w:val="26"/>
        </w:rPr>
        <w:t>and</w:t>
      </w:r>
      <w:r w:rsidR="00FD470B" w:rsidRPr="00C85552">
        <w:rPr>
          <w:sz w:val="26"/>
          <w:szCs w:val="26"/>
        </w:rPr>
        <w:t xml:space="preserve"> </w:t>
      </w:r>
      <w:r w:rsidR="00C85552" w:rsidRPr="00C85552">
        <w:rPr>
          <w:sz w:val="26"/>
          <w:szCs w:val="26"/>
        </w:rPr>
        <w:t>ineffective market rules, and thus help ensure just and reasonable rates.</w:t>
      </w:r>
    </w:p>
    <w:p w14:paraId="3D2154AE" w14:textId="77777777" w:rsidR="008057ED" w:rsidRDefault="00C85552" w:rsidP="00C85552">
      <w:pPr>
        <w:pStyle w:val="Level1"/>
        <w:numPr>
          <w:ilvl w:val="0"/>
          <w:numId w:val="0"/>
        </w:numPr>
        <w:tabs>
          <w:tab w:val="left" w:pos="-1440"/>
        </w:tabs>
        <w:rPr>
          <w:sz w:val="26"/>
          <w:szCs w:val="26"/>
        </w:rPr>
      </w:pPr>
      <w:r w:rsidRPr="00C85552">
        <w:rPr>
          <w:sz w:val="26"/>
          <w:szCs w:val="26"/>
        </w:rPr>
        <w:tab/>
      </w:r>
    </w:p>
    <w:p w14:paraId="42BA6D14" w14:textId="1B11C6BB" w:rsidR="00C85552" w:rsidRPr="00C85552" w:rsidRDefault="00640B1B" w:rsidP="00C85552">
      <w:pPr>
        <w:pStyle w:val="Level1"/>
        <w:numPr>
          <w:ilvl w:val="0"/>
          <w:numId w:val="0"/>
        </w:numPr>
        <w:tabs>
          <w:tab w:val="left" w:pos="-1440"/>
        </w:tabs>
        <w:rPr>
          <w:sz w:val="26"/>
          <w:szCs w:val="26"/>
        </w:rPr>
      </w:pPr>
      <w:r w:rsidRPr="0037638A">
        <w:rPr>
          <w:sz w:val="26"/>
          <w:szCs w:val="26"/>
        </w:rPr>
        <w:t>FERC is using the data extensively for automated screens and other analyses designed to detect attempts to manipulate RTO/ISO pricing and to detect abuses involving interchange transactions.  Staff runs monthly screens that identify patterns at the hourly level by monitoring the interactions between physical and virtual bidding strategies and potentially benefiting payouts. In particular, these screens identify financial transmission rights and swap-futures that exist at nodes and constraints where market participants also trade virtuals, generate electricity, or move power between RTO/ISOs. Staff developed and deployed analytic tools and screens for: (1) determining uneconomic virtual transactions by node, zone, and constraint; (2) detecting day</w:t>
      </w:r>
      <w:r w:rsidR="0059593F" w:rsidRPr="0037638A">
        <w:rPr>
          <w:sz w:val="26"/>
          <w:szCs w:val="26"/>
        </w:rPr>
        <w:t xml:space="preserve"> </w:t>
      </w:r>
      <w:r w:rsidRPr="0037638A">
        <w:rPr>
          <w:sz w:val="26"/>
          <w:szCs w:val="26"/>
        </w:rPr>
        <w:t>ahead market congestion manipulation that would benefit financial transmission rights and swap-futures positions; (3) identifying anomalies in physical offer patterns; and (4) identifying abnormal out-of-market payments.</w:t>
      </w:r>
    </w:p>
    <w:p w14:paraId="04F77841" w14:textId="77777777" w:rsidR="008057ED" w:rsidRPr="007760B5" w:rsidRDefault="00AE1DD2" w:rsidP="008057ED">
      <w:pPr>
        <w:pStyle w:val="Level1"/>
        <w:numPr>
          <w:ilvl w:val="0"/>
          <w:numId w:val="0"/>
        </w:numPr>
        <w:rPr>
          <w:sz w:val="26"/>
          <w:szCs w:val="26"/>
        </w:rPr>
      </w:pPr>
      <w:r>
        <w:rPr>
          <w:sz w:val="26"/>
          <w:szCs w:val="26"/>
        </w:rPr>
        <w:tab/>
      </w:r>
    </w:p>
    <w:p w14:paraId="24CCFCE1" w14:textId="0135E0F0" w:rsidR="00AE1DD2" w:rsidRPr="00AE1DD2" w:rsidRDefault="008768A6" w:rsidP="008057ED">
      <w:pPr>
        <w:pStyle w:val="Level1"/>
        <w:numPr>
          <w:ilvl w:val="0"/>
          <w:numId w:val="0"/>
        </w:numPr>
        <w:rPr>
          <w:sz w:val="26"/>
        </w:rPr>
      </w:pPr>
      <w:r w:rsidRPr="008768A6">
        <w:rPr>
          <w:sz w:val="26"/>
          <w:u w:val="single"/>
        </w:rPr>
        <w:t>FERC Policies and Regulations</w:t>
      </w:r>
      <w:r>
        <w:rPr>
          <w:sz w:val="26"/>
        </w:rPr>
        <w:t xml:space="preserve"> - </w:t>
      </w:r>
      <w:r w:rsidR="003A4D84">
        <w:rPr>
          <w:sz w:val="26"/>
        </w:rPr>
        <w:t>I</w:t>
      </w:r>
      <w:r w:rsidR="00AE1DD2" w:rsidRPr="00AE1DD2">
        <w:rPr>
          <w:sz w:val="26"/>
        </w:rPr>
        <w:t>n overseeing wholesale electricity markets, the Commission evaluates, in response to submi</w:t>
      </w:r>
      <w:r w:rsidR="004931AF">
        <w:rPr>
          <w:sz w:val="26"/>
        </w:rPr>
        <w:t>ttal</w:t>
      </w:r>
      <w:r w:rsidR="00AE1DD2" w:rsidRPr="00AE1DD2">
        <w:rPr>
          <w:sz w:val="26"/>
        </w:rPr>
        <w:t xml:space="preserve">s or on its own motion, existing market designs and the effectiveness of market rules.  The Commission </w:t>
      </w:r>
      <w:r w:rsidR="00640B1B">
        <w:rPr>
          <w:sz w:val="26"/>
        </w:rPr>
        <w:t>has used</w:t>
      </w:r>
      <w:r w:rsidR="00AE1DD2" w:rsidRPr="00AE1DD2">
        <w:rPr>
          <w:sz w:val="26"/>
        </w:rPr>
        <w:t xml:space="preserve"> RTO/ISO market data to more effectively carry out these functions.  </w:t>
      </w:r>
      <w:r w:rsidR="0059593F">
        <w:rPr>
          <w:sz w:val="26"/>
        </w:rPr>
        <w:t>Further</w:t>
      </w:r>
      <w:r w:rsidR="00640B1B">
        <w:rPr>
          <w:sz w:val="26"/>
        </w:rPr>
        <w:t xml:space="preserve">, </w:t>
      </w:r>
      <w:r w:rsidR="00AE1DD2" w:rsidRPr="00AE1DD2">
        <w:rPr>
          <w:sz w:val="26"/>
        </w:rPr>
        <w:t>this data enable</w:t>
      </w:r>
      <w:r w:rsidR="0059593F">
        <w:rPr>
          <w:sz w:val="26"/>
        </w:rPr>
        <w:t>s</w:t>
      </w:r>
      <w:r w:rsidR="00AE1DD2" w:rsidRPr="00AE1DD2">
        <w:rPr>
          <w:sz w:val="26"/>
        </w:rPr>
        <w:t xml:space="preserve"> the Commission to better identify ineffective market rules and better inform Commission policies and decision-making, and thus help prevent anti-competitive behavior and ensure just and reasonable rates. </w:t>
      </w:r>
    </w:p>
    <w:p w14:paraId="670DFE1B" w14:textId="77777777" w:rsidR="008057ED" w:rsidRDefault="008057ED" w:rsidP="008057ED">
      <w:pPr>
        <w:pStyle w:val="Level1"/>
        <w:numPr>
          <w:ilvl w:val="0"/>
          <w:numId w:val="0"/>
        </w:numPr>
        <w:rPr>
          <w:sz w:val="26"/>
        </w:rPr>
      </w:pPr>
    </w:p>
    <w:p w14:paraId="1EDA3EC2" w14:textId="77777777" w:rsidR="00C34665" w:rsidRDefault="00DA16E4" w:rsidP="00C34665">
      <w:pPr>
        <w:pStyle w:val="Level1"/>
        <w:numPr>
          <w:ilvl w:val="0"/>
          <w:numId w:val="0"/>
        </w:numPr>
        <w:rPr>
          <w:sz w:val="26"/>
        </w:rPr>
      </w:pPr>
      <w:r>
        <w:rPr>
          <w:sz w:val="26"/>
        </w:rPr>
        <w:t>For example, the Commission has used this data to analyze the interaction of a range of market operations, business practices and unit decisions on wholesale electricity prices.  Additionally, the data has been used to better understand market activity, particularly markets which have changed following other FERC orders.</w:t>
      </w:r>
    </w:p>
    <w:p w14:paraId="35A65000" w14:textId="77777777" w:rsidR="008057ED" w:rsidRDefault="008057ED" w:rsidP="008057ED">
      <w:pPr>
        <w:pStyle w:val="Level1"/>
        <w:numPr>
          <w:ilvl w:val="0"/>
          <w:numId w:val="0"/>
        </w:numPr>
        <w:rPr>
          <w:sz w:val="26"/>
          <w:u w:val="single"/>
        </w:rPr>
      </w:pPr>
    </w:p>
    <w:p w14:paraId="72EF8DBB" w14:textId="12F31E16" w:rsidR="00415747" w:rsidRDefault="00415747" w:rsidP="008057ED">
      <w:pPr>
        <w:pStyle w:val="Level1"/>
        <w:numPr>
          <w:ilvl w:val="0"/>
          <w:numId w:val="0"/>
        </w:numPr>
        <w:rPr>
          <w:sz w:val="26"/>
          <w:u w:val="single"/>
        </w:rPr>
      </w:pPr>
      <w:r w:rsidRPr="00DC6121">
        <w:rPr>
          <w:b/>
          <w:sz w:val="26"/>
          <w:u w:val="single"/>
        </w:rPr>
        <w:t>Proposed changes in RM15-23</w:t>
      </w:r>
      <w:r>
        <w:rPr>
          <w:sz w:val="26"/>
          <w:u w:val="single"/>
        </w:rPr>
        <w:t xml:space="preserve">.  </w:t>
      </w:r>
    </w:p>
    <w:p w14:paraId="4C2CCBB5" w14:textId="77777777" w:rsidR="00513EEA" w:rsidRDefault="00513EEA" w:rsidP="008057ED">
      <w:pPr>
        <w:pStyle w:val="Level1"/>
        <w:numPr>
          <w:ilvl w:val="0"/>
          <w:numId w:val="0"/>
        </w:numPr>
        <w:rPr>
          <w:sz w:val="26"/>
          <w:u w:val="single"/>
        </w:rPr>
      </w:pPr>
    </w:p>
    <w:p w14:paraId="6B0F4368" w14:textId="0C7C2A8B" w:rsidR="00513B20" w:rsidRPr="00AB297F" w:rsidRDefault="00513B20" w:rsidP="00513B20">
      <w:pPr>
        <w:widowControl w:val="0"/>
        <w:autoSpaceDE w:val="0"/>
        <w:autoSpaceDN w:val="0"/>
        <w:adjustRightInd w:val="0"/>
      </w:pPr>
      <w:r w:rsidRPr="00AB297F">
        <w:t xml:space="preserve">The purpose of this NOPR </w:t>
      </w:r>
      <w:r>
        <w:t xml:space="preserve">in RM15-23 </w:t>
      </w:r>
      <w:r w:rsidRPr="00AB297F">
        <w:t>is to propose a uniform method by which (1) the RTOs/ISOs will collect information related to their market participants’ ownership, employment, debt, or contractual relationships with other entities</w:t>
      </w:r>
      <w:r>
        <w:t xml:space="preserve">; </w:t>
      </w:r>
      <w:r w:rsidRPr="00AB297F">
        <w:t xml:space="preserve">(2) </w:t>
      </w:r>
      <w:r>
        <w:t xml:space="preserve">market participants </w:t>
      </w:r>
      <w:r>
        <w:lastRenderedPageBreak/>
        <w:t xml:space="preserve">will be tracked using a unique alpha-numeric identifier; </w:t>
      </w:r>
      <w:r w:rsidRPr="00AB297F">
        <w:t>and (</w:t>
      </w:r>
      <w:r>
        <w:t>3</w:t>
      </w:r>
      <w:r w:rsidRPr="00AB297F">
        <w:t xml:space="preserve">) the RTOs/ISOs will share that information with the Commission on an ongoing basis.  </w:t>
      </w:r>
      <w:r>
        <w:t xml:space="preserve">The additional relationship information will </w:t>
      </w:r>
      <w:r w:rsidRPr="00AB297F">
        <w:t xml:space="preserve">assist </w:t>
      </w:r>
      <w:r>
        <w:t xml:space="preserve">the Commission </w:t>
      </w:r>
      <w:r w:rsidRPr="00AB297F">
        <w:t xml:space="preserve">in its surveillance and investigative efforts related to the electric markets.  </w:t>
      </w:r>
      <w:r>
        <w:t xml:space="preserve">In particular, the information will assist the Commission’s surveillance staff in </w:t>
      </w:r>
      <w:r w:rsidRPr="00AB297F">
        <w:t>understand</w:t>
      </w:r>
      <w:r>
        <w:t>ing</w:t>
      </w:r>
      <w:r w:rsidRPr="00AB297F">
        <w:t xml:space="preserve"> the incentives underlying market participants’ trading activity to evaluate their behavior in a complete manner.</w:t>
      </w:r>
      <w:r>
        <w:t xml:space="preserve">  It will also help Commission staff </w:t>
      </w:r>
      <w:r w:rsidRPr="00AB297F">
        <w:t xml:space="preserve">determine </w:t>
      </w:r>
      <w:r>
        <w:t>whether</w:t>
      </w:r>
      <w:r w:rsidRPr="00AB297F">
        <w:t xml:space="preserve"> market participants are coordinating their activities.  </w:t>
      </w:r>
      <w:r w:rsidR="000E144C" w:rsidRPr="000E144C">
        <w:t xml:space="preserve">More complete information about these relationships will </w:t>
      </w:r>
      <w:r w:rsidR="000E144C">
        <w:t xml:space="preserve">also </w:t>
      </w:r>
      <w:r w:rsidR="000E144C" w:rsidRPr="000E144C">
        <w:t>reduce the number of informal inquiries in response to false positive surveillance screen trips that may result from an incomplete picture of market participants’ incentive structures.</w:t>
      </w:r>
      <w:r w:rsidR="000E144C">
        <w:t xml:space="preserve">  </w:t>
      </w:r>
      <w:r>
        <w:t xml:space="preserve">In addition, the unique alpha-numeric identifier that will track market participants will allow the Commission to track market participants across markets and data sets in a more effective and efficient manner.  Moreover, the NOPR proposal would give the RTOs/ISOs and their market monitors a more complete and consistent view of the relationships between and activities of their market participants.  The proposal would also standardize the various affiliate reporting requirements across the six RTOs/ISOs, which would likely minimize the reporting burden on </w:t>
      </w:r>
      <w:r w:rsidR="004050DB">
        <w:t xml:space="preserve">the many </w:t>
      </w:r>
      <w:r>
        <w:t>market participants that participate in more than one RTO/ISO market.</w:t>
      </w:r>
    </w:p>
    <w:p w14:paraId="536EBA5D" w14:textId="77777777" w:rsidR="00415747" w:rsidRDefault="00415747" w:rsidP="008057ED">
      <w:pPr>
        <w:pStyle w:val="Level1"/>
        <w:numPr>
          <w:ilvl w:val="0"/>
          <w:numId w:val="0"/>
        </w:numPr>
        <w:rPr>
          <w:sz w:val="26"/>
          <w:u w:val="single"/>
        </w:rPr>
      </w:pPr>
    </w:p>
    <w:p w14:paraId="4857DA54" w14:textId="6384971F" w:rsidR="008764CE" w:rsidRPr="00AE1DD2" w:rsidRDefault="008764CE" w:rsidP="008057ED">
      <w:pPr>
        <w:pStyle w:val="Level1"/>
        <w:numPr>
          <w:ilvl w:val="0"/>
          <w:numId w:val="0"/>
        </w:numPr>
        <w:rPr>
          <w:sz w:val="26"/>
        </w:rPr>
      </w:pPr>
      <w:r w:rsidRPr="008764CE">
        <w:rPr>
          <w:sz w:val="26"/>
          <w:u w:val="single"/>
        </w:rPr>
        <w:t>Consequence of not collecting the information</w:t>
      </w:r>
      <w:r>
        <w:rPr>
          <w:sz w:val="26"/>
        </w:rPr>
        <w:t xml:space="preserve"> </w:t>
      </w:r>
      <w:r w:rsidR="007109AA">
        <w:rPr>
          <w:sz w:val="26"/>
        </w:rPr>
        <w:t xml:space="preserve">- The information FERC is to collect </w:t>
      </w:r>
      <w:r w:rsidR="00A94F7A">
        <w:rPr>
          <w:sz w:val="26"/>
        </w:rPr>
        <w:t>within this collection</w:t>
      </w:r>
      <w:r w:rsidR="007109AA">
        <w:rPr>
          <w:sz w:val="26"/>
        </w:rPr>
        <w:t xml:space="preserve"> is essential in carrying out the functions described above.  </w:t>
      </w:r>
    </w:p>
    <w:p w14:paraId="6D5FA98C" w14:textId="77777777" w:rsidR="00CF0AF8" w:rsidRDefault="00CF0AF8" w:rsidP="00A87ACA">
      <w:pPr>
        <w:pStyle w:val="FERCparanumber"/>
        <w:numPr>
          <w:ilvl w:val="0"/>
          <w:numId w:val="0"/>
        </w:numPr>
        <w:autoSpaceDE w:val="0"/>
        <w:autoSpaceDN w:val="0"/>
        <w:adjustRightInd w:val="0"/>
        <w:ind w:firstLine="720"/>
        <w:rPr>
          <w:szCs w:val="26"/>
        </w:rPr>
      </w:pPr>
    </w:p>
    <w:p w14:paraId="09F84252" w14:textId="77777777" w:rsidR="00BA7345" w:rsidRPr="005C0AE5" w:rsidRDefault="00BA7345" w:rsidP="00BA7345">
      <w:pPr>
        <w:pStyle w:val="Level1"/>
        <w:widowControl/>
        <w:tabs>
          <w:tab w:val="left" w:pos="-1440"/>
          <w:tab w:val="num" w:pos="720"/>
        </w:tabs>
        <w:rPr>
          <w:b/>
        </w:rPr>
      </w:pPr>
      <w:r w:rsidRPr="005C0AE5">
        <w:rPr>
          <w:b/>
        </w:rPr>
        <w:t>DESCRIBE ANY CONSIDERATION FOR THE USE OF IMPROVED INFORMATION TECHNOLOGY TO REDUCE BURDEN AND TECHNICAL OR LEGAL OBSTACLES TO REDUCING BURDEN</w:t>
      </w:r>
    </w:p>
    <w:p w14:paraId="1414EAD4" w14:textId="77777777" w:rsidR="008057ED" w:rsidRDefault="008057ED" w:rsidP="008057ED">
      <w:pPr>
        <w:rPr>
          <w:b/>
        </w:rPr>
      </w:pPr>
    </w:p>
    <w:p w14:paraId="018192D9" w14:textId="2F34AFB5" w:rsidR="00806D37" w:rsidRDefault="00284B88" w:rsidP="004D4587">
      <w:r>
        <w:t xml:space="preserve">In defining the data collection, FERC allowed each RTO and ISO to deliver its data in a form consistent with its own systems.  This has eliminated the need for the submitters to adjust or translate their data to </w:t>
      </w:r>
      <w:r w:rsidR="00806D37">
        <w:t>standardize it for submission</w:t>
      </w:r>
      <w:r>
        <w:t xml:space="preserve">.  The data is encrypted and transferred </w:t>
      </w:r>
      <w:r>
        <w:rPr>
          <w:szCs w:val="26"/>
        </w:rPr>
        <w:t>using the Secure File Transfer Protocol (SFTP) with FERC providing encryption certificates to the RTO and ISOs at their request.</w:t>
      </w:r>
    </w:p>
    <w:p w14:paraId="62EB3B6A" w14:textId="77777777" w:rsidR="00284B88" w:rsidRDefault="00284B88" w:rsidP="008057ED"/>
    <w:p w14:paraId="75532E44" w14:textId="77777777" w:rsidR="007A0A3C" w:rsidRDefault="0059593F" w:rsidP="008057ED">
      <w:r>
        <w:t>The data from this collection has substantially reduced the frequency of ad hoc data requests of the RTO and ISOs under FERC's authority.  Each ad hoc data request required substantial effort by the RTO staff to produce bespoke responses. Th</w:t>
      </w:r>
      <w:r w:rsidR="00284B88">
        <w:t xml:space="preserve">is collection, therefore, enables the </w:t>
      </w:r>
      <w:r>
        <w:t xml:space="preserve">routine </w:t>
      </w:r>
      <w:r w:rsidR="00284B88">
        <w:t xml:space="preserve">mechanical </w:t>
      </w:r>
      <w:r>
        <w:t>delivery of RTO and ISO data</w:t>
      </w:r>
      <w:r w:rsidR="00DE061D">
        <w:t>,</w:t>
      </w:r>
      <w:r w:rsidR="00284B88">
        <w:t xml:space="preserve"> significantly lessening RTO and ISO burden while ensuring</w:t>
      </w:r>
      <w:r>
        <w:t xml:space="preserve"> that FERC gets the data it needs to review, analyze and monitor </w:t>
      </w:r>
      <w:r w:rsidR="00284B88">
        <w:t xml:space="preserve">its jurisdictional markets. </w:t>
      </w:r>
    </w:p>
    <w:p w14:paraId="41EFA5BF" w14:textId="4370DE09" w:rsidR="00276CE8" w:rsidRDefault="00276CE8" w:rsidP="008057ED"/>
    <w:p w14:paraId="341C7993" w14:textId="70A66304" w:rsidR="00276CE8" w:rsidRPr="00DC6121" w:rsidRDefault="00276CE8" w:rsidP="008057ED">
      <w:pPr>
        <w:rPr>
          <w:b/>
        </w:rPr>
      </w:pPr>
      <w:r w:rsidRPr="00DC6121">
        <w:rPr>
          <w:b/>
        </w:rPr>
        <w:lastRenderedPageBreak/>
        <w:t>RM15-23.</w:t>
      </w:r>
      <w:r>
        <w:t xml:space="preserve">  </w:t>
      </w:r>
      <w:r w:rsidR="009A60E8">
        <w:t xml:space="preserve">The NOPR proposal provides a detailed explanation of how the Connected Entities information should be collected so that it will fit seamlessly into the current data submission process that the Commission established for FERC-921.  Therefore, the </w:t>
      </w:r>
      <w:r>
        <w:t>additional data will be submitted to FERC as part of the already existing electronic data feed.</w:t>
      </w:r>
      <w:r w:rsidR="009A60E8">
        <w:t xml:space="preserve">  Like FERC-921, the proposed changes in RM</w:t>
      </w:r>
      <w:r w:rsidR="00F458ED">
        <w:t>1</w:t>
      </w:r>
      <w:r w:rsidR="009A60E8">
        <w:t>5-23 should also reduce the frequency of ad hoc data requests to the RTOs/ISOs and their market participants.</w:t>
      </w:r>
    </w:p>
    <w:p w14:paraId="1322ED6D" w14:textId="77777777" w:rsidR="00BA7345" w:rsidRDefault="00BA7345">
      <w:pPr>
        <w:rPr>
          <w:b/>
          <w:bCs/>
        </w:rPr>
      </w:pPr>
    </w:p>
    <w:p w14:paraId="3DFB38B4" w14:textId="77777777" w:rsidR="00BA7345" w:rsidRPr="005C0AE5" w:rsidRDefault="00BA7345" w:rsidP="00BA7345">
      <w:pPr>
        <w:pStyle w:val="Level1"/>
        <w:widowControl/>
        <w:tabs>
          <w:tab w:val="left" w:pos="-1440"/>
          <w:tab w:val="num" w:pos="720"/>
        </w:tabs>
        <w:rPr>
          <w:b/>
        </w:rPr>
      </w:pPr>
      <w:r w:rsidRPr="005C0AE5">
        <w:rPr>
          <w:b/>
        </w:rPr>
        <w:t>DESCRIBE EFFORTS TO IDENTIFY DUPLICATION AND SHOW SPECIFICALLY WHY ANY SIMILAR INFORMATION ALREADY AVAILABLE CANNOT BE USED OR MODIFIED FOR USE FOR THE PURPOSE(S) DESCRIBED IN INSTRUCTION NO. 2.</w:t>
      </w:r>
    </w:p>
    <w:p w14:paraId="69BB1D84" w14:textId="77777777" w:rsidR="008057ED" w:rsidRDefault="008057ED" w:rsidP="008057ED">
      <w:pPr>
        <w:pStyle w:val="Level1"/>
        <w:widowControl/>
        <w:numPr>
          <w:ilvl w:val="0"/>
          <w:numId w:val="0"/>
        </w:numPr>
        <w:tabs>
          <w:tab w:val="left" w:pos="-1440"/>
        </w:tabs>
      </w:pPr>
    </w:p>
    <w:p w14:paraId="62212BBF" w14:textId="77777777" w:rsidR="009F7B27" w:rsidRDefault="009F7B27" w:rsidP="009F7B27">
      <w:r>
        <w:t xml:space="preserve">Although there are a few third-party sources of public information that contain data about the affiliate relationships of entities trading in the electric energy markets, their information and manner of collection is insufficient for the Commission’s market monitoring and surveillance responsibilities.  These sources include vendors such as Dun &amp; Bradstreet, SNL Financial, and Ventyx.  The primary service provided by these companies is tracking trading information, not compiling affiliate data, and their affiliate information is generally derived from public sources that do not cover all market participants.  Further, whether such information is current or complete cannot be ascertained from the listings.  Nor do such listings include entities that are connected by contractual relationships, rather than ownership.  For all these reasons, an up-to-date, reliable, and complete listing of Connected Entities cannot be obtained from these third-party sources.  </w:t>
      </w:r>
    </w:p>
    <w:p w14:paraId="2D982DF5" w14:textId="77777777" w:rsidR="009F7B27" w:rsidRDefault="009F7B27" w:rsidP="009F7B27"/>
    <w:p w14:paraId="4227D53D" w14:textId="468388FF" w:rsidR="009F7B27" w:rsidRPr="00802887" w:rsidRDefault="009F7B27" w:rsidP="009F7B27">
      <w:r>
        <w:t xml:space="preserve">Similarly, while each of the six RTOs and ISOs currently requires its market participants to submit data identifying certain affiliate relationships, none of these affiliate disclosure requirements require market participants to </w:t>
      </w:r>
      <w:r w:rsidR="004050DB">
        <w:t>dis</w:t>
      </w:r>
      <w:r>
        <w:t>close all of the types of relationships that are essential for the Commission’s surveillance and investigative efforts and that the proposal in RM15-23 would require.  Moreover, these requirements vary greatly between the different RTOs and ISOs.  Therefore, the affiliate information that the RTOs/ISOs currently collect</w:t>
      </w:r>
      <w:r w:rsidR="004050DB">
        <w:t xml:space="preserve"> does not meet the Commission’s need to track all relevant relationships within and across its jurisdictional markets</w:t>
      </w:r>
      <w:r>
        <w:t xml:space="preserve">.  However, in order eliminate duplicative reporting requirements and reduce the burden </w:t>
      </w:r>
      <w:r w:rsidR="007E558A">
        <w:t xml:space="preserve">on </w:t>
      </w:r>
      <w:r>
        <w:t>those market participants that participant in more than one RTO or ISO, the NOPR pr</w:t>
      </w:r>
      <w:r w:rsidRPr="00802887">
        <w:t>opose</w:t>
      </w:r>
      <w:r>
        <w:t xml:space="preserve">s to eliminate all current RTO/ISO affiliate disclosure requirements. The Commission </w:t>
      </w:r>
      <w:r w:rsidRPr="00802887">
        <w:t>anticipate</w:t>
      </w:r>
      <w:r>
        <w:t>s</w:t>
      </w:r>
      <w:r w:rsidRPr="00802887">
        <w:t xml:space="preserve"> that t</w:t>
      </w:r>
      <w:r>
        <w:t xml:space="preserve">he Connected Entity submissions </w:t>
      </w:r>
      <w:r w:rsidRPr="00802887">
        <w:t>will provide the RTOs and ISOs with as much and more information as they currently receive from the existing affiliate disclosures</w:t>
      </w:r>
      <w:r>
        <w:t xml:space="preserve">. </w:t>
      </w:r>
      <w:r w:rsidRPr="00802887">
        <w:t xml:space="preserve"> However, if there is some particularized need that would not be met by the Connected Entity </w:t>
      </w:r>
      <w:r w:rsidRPr="00802887">
        <w:lastRenderedPageBreak/>
        <w:t xml:space="preserve">submissions, the RTOs and ISOs may request in their compliance filings to retain any such disclosure requirements, in which case they would need to include justifications for such retention.  </w:t>
      </w:r>
    </w:p>
    <w:p w14:paraId="1C635B36" w14:textId="77777777" w:rsidR="004D0217" w:rsidRDefault="004D0217" w:rsidP="0066570E">
      <w:pPr>
        <w:pStyle w:val="Level1"/>
        <w:widowControl/>
        <w:numPr>
          <w:ilvl w:val="0"/>
          <w:numId w:val="0"/>
        </w:numPr>
        <w:tabs>
          <w:tab w:val="left" w:pos="-1440"/>
        </w:tabs>
        <w:ind w:firstLine="720"/>
        <w:rPr>
          <w:sz w:val="26"/>
          <w:szCs w:val="26"/>
        </w:rPr>
      </w:pPr>
    </w:p>
    <w:p w14:paraId="2AAED6A6" w14:textId="77777777" w:rsidR="00BA7345" w:rsidRPr="005C0AE5" w:rsidRDefault="00BA7345" w:rsidP="00BA7345">
      <w:pPr>
        <w:pStyle w:val="Level1"/>
        <w:widowControl/>
        <w:tabs>
          <w:tab w:val="left" w:pos="-1440"/>
          <w:tab w:val="num" w:pos="720"/>
        </w:tabs>
        <w:rPr>
          <w:b/>
        </w:rPr>
      </w:pPr>
      <w:r w:rsidRPr="005C0AE5">
        <w:rPr>
          <w:b/>
        </w:rPr>
        <w:t>METHODS USED TO MINIMIZE BURDEN IN COLLECTION OF INFORMATION INVOLVING SMALL ENTITIES</w:t>
      </w:r>
    </w:p>
    <w:p w14:paraId="106D6258" w14:textId="77777777" w:rsidR="00BA7345" w:rsidRDefault="00BA7345" w:rsidP="00100664">
      <w:pPr>
        <w:pStyle w:val="Level1"/>
        <w:widowControl/>
        <w:numPr>
          <w:ilvl w:val="0"/>
          <w:numId w:val="0"/>
        </w:numPr>
        <w:tabs>
          <w:tab w:val="left" w:pos="-1440"/>
        </w:tabs>
        <w:ind w:left="720" w:hanging="720"/>
      </w:pPr>
    </w:p>
    <w:p w14:paraId="72658865" w14:textId="4AC7CA3A" w:rsidR="00815F62" w:rsidRPr="005D0864" w:rsidRDefault="005D0864" w:rsidP="00263F0C">
      <w:pPr>
        <w:pStyle w:val="FERCparanumber"/>
        <w:numPr>
          <w:ilvl w:val="0"/>
          <w:numId w:val="0"/>
        </w:numPr>
        <w:autoSpaceDE w:val="0"/>
        <w:autoSpaceDN w:val="0"/>
        <w:adjustRightInd w:val="0"/>
        <w:rPr>
          <w:b/>
        </w:rPr>
      </w:pPr>
      <w:r>
        <w:rPr>
          <w:szCs w:val="26"/>
        </w:rPr>
        <w:t>The Commission requires the same information from each affected entity in the FERC-921 information collection.  No special measures are taken to minimize burden for any of the six RTOs/ISOs.</w:t>
      </w:r>
      <w:r w:rsidR="00F53628">
        <w:rPr>
          <w:szCs w:val="26"/>
        </w:rPr>
        <w:t xml:space="preserve">  </w:t>
      </w:r>
      <w:r w:rsidR="00F53628" w:rsidRPr="00F53628">
        <w:rPr>
          <w:szCs w:val="26"/>
        </w:rPr>
        <w:t>The size criterion for a small electric utility is five hundred or fewer employees.</w:t>
      </w:r>
      <w:r w:rsidR="00F53628">
        <w:rPr>
          <w:rStyle w:val="FootnoteReference"/>
        </w:rPr>
        <w:footnoteReference w:id="7"/>
      </w:r>
      <w:r w:rsidR="00F53628" w:rsidRPr="00F53628">
        <w:rPr>
          <w:szCs w:val="26"/>
        </w:rPr>
        <w:t xml:space="preserve">   </w:t>
      </w:r>
      <w:r w:rsidR="0077416C">
        <w:rPr>
          <w:szCs w:val="26"/>
        </w:rPr>
        <w:t>E</w:t>
      </w:r>
      <w:r w:rsidR="00F53628" w:rsidRPr="00F53628">
        <w:rPr>
          <w:szCs w:val="26"/>
        </w:rPr>
        <w:t xml:space="preserve">very RTO and ISO has more than 500 employees, </w:t>
      </w:r>
      <w:r w:rsidR="0077416C">
        <w:rPr>
          <w:szCs w:val="26"/>
        </w:rPr>
        <w:t xml:space="preserve">so they are not </w:t>
      </w:r>
      <w:r w:rsidR="00F53628" w:rsidRPr="00F53628">
        <w:rPr>
          <w:szCs w:val="26"/>
        </w:rPr>
        <w:t>small entities.</w:t>
      </w:r>
    </w:p>
    <w:p w14:paraId="3C2E843A" w14:textId="77777777" w:rsidR="00815F62" w:rsidRPr="003C520E" w:rsidRDefault="00815F62" w:rsidP="00BE63C0">
      <w:pPr>
        <w:pStyle w:val="FERCparanumber"/>
        <w:numPr>
          <w:ilvl w:val="0"/>
          <w:numId w:val="0"/>
        </w:numPr>
        <w:autoSpaceDE w:val="0"/>
        <w:autoSpaceDN w:val="0"/>
        <w:adjustRightInd w:val="0"/>
        <w:ind w:left="360"/>
      </w:pPr>
    </w:p>
    <w:p w14:paraId="5F93705F" w14:textId="77777777" w:rsidR="00BA7345" w:rsidRPr="004619B9" w:rsidRDefault="00BA7345" w:rsidP="00445908">
      <w:pPr>
        <w:pStyle w:val="Level1"/>
        <w:widowControl/>
        <w:tabs>
          <w:tab w:val="left" w:pos="-1440"/>
          <w:tab w:val="num" w:pos="720"/>
        </w:tabs>
        <w:rPr>
          <w:b/>
        </w:rPr>
      </w:pPr>
      <w:r w:rsidRPr="00D4221B">
        <w:rPr>
          <w:b/>
        </w:rPr>
        <w:t>CONSEQUENCE TO FEDERAL PROGRAM IF COLLECTION WERE</w:t>
      </w:r>
      <w:r w:rsidRPr="004619B9">
        <w:rPr>
          <w:b/>
        </w:rPr>
        <w:t xml:space="preserve"> CONDUCTED LESS FREQUENTLY</w:t>
      </w:r>
    </w:p>
    <w:p w14:paraId="364ADB68" w14:textId="77777777" w:rsidR="00535A67" w:rsidRDefault="00535A67" w:rsidP="0052254C">
      <w:pPr>
        <w:pStyle w:val="Level1"/>
        <w:widowControl/>
        <w:numPr>
          <w:ilvl w:val="0"/>
          <w:numId w:val="0"/>
        </w:numPr>
        <w:tabs>
          <w:tab w:val="left" w:pos="-1440"/>
          <w:tab w:val="num" w:pos="0"/>
        </w:tabs>
        <w:ind w:firstLine="720"/>
        <w:rPr>
          <w:b/>
        </w:rPr>
      </w:pPr>
    </w:p>
    <w:p w14:paraId="70CFF806" w14:textId="7A526AE9" w:rsidR="00B523DA" w:rsidRDefault="00591AFA" w:rsidP="008057ED">
      <w:pPr>
        <w:pStyle w:val="Level1"/>
        <w:widowControl/>
        <w:numPr>
          <w:ilvl w:val="0"/>
          <w:numId w:val="0"/>
        </w:numPr>
        <w:tabs>
          <w:tab w:val="left" w:pos="-1440"/>
        </w:tabs>
        <w:rPr>
          <w:sz w:val="26"/>
          <w:szCs w:val="26"/>
        </w:rPr>
      </w:pPr>
      <w:r>
        <w:rPr>
          <w:sz w:val="26"/>
          <w:szCs w:val="26"/>
        </w:rPr>
        <w:t>T</w:t>
      </w:r>
      <w:r w:rsidR="005702CD">
        <w:rPr>
          <w:sz w:val="26"/>
          <w:szCs w:val="26"/>
        </w:rPr>
        <w:t xml:space="preserve">he </w:t>
      </w:r>
      <w:r w:rsidR="00AF6677" w:rsidRPr="00AF6677">
        <w:rPr>
          <w:sz w:val="26"/>
          <w:szCs w:val="26"/>
        </w:rPr>
        <w:t xml:space="preserve">ongoing electronic delivery of </w:t>
      </w:r>
      <w:r w:rsidR="00D4221B">
        <w:rPr>
          <w:sz w:val="26"/>
          <w:szCs w:val="26"/>
        </w:rPr>
        <w:t>Connected Entities information is essential to</w:t>
      </w:r>
      <w:r w:rsidR="00E7101E">
        <w:rPr>
          <w:sz w:val="26"/>
          <w:szCs w:val="26"/>
        </w:rPr>
        <w:t xml:space="preserve"> FERC’s efforts to detect anti-competitive or manipulative behavior</w:t>
      </w:r>
      <w:r>
        <w:rPr>
          <w:sz w:val="26"/>
          <w:szCs w:val="26"/>
        </w:rPr>
        <w:t xml:space="preserve"> on a timely basis</w:t>
      </w:r>
      <w:r w:rsidR="00806D37">
        <w:rPr>
          <w:sz w:val="26"/>
          <w:szCs w:val="26"/>
        </w:rPr>
        <w:t xml:space="preserve">, as the threats are occurring. </w:t>
      </w:r>
      <w:r w:rsidR="00D4221B">
        <w:rPr>
          <w:sz w:val="26"/>
          <w:szCs w:val="26"/>
        </w:rPr>
        <w:t>FERC conducts near real-time surveillance of the electric markets and it plans to incorporate this Connected Entities information into these regular surveillance efforts.  If this Connected Entities information was provided on a less frequent basis than is proposed</w:t>
      </w:r>
      <w:r w:rsidR="004F3B5C">
        <w:rPr>
          <w:sz w:val="26"/>
          <w:szCs w:val="26"/>
        </w:rPr>
        <w:t>,</w:t>
      </w:r>
      <w:r w:rsidR="00D4221B">
        <w:rPr>
          <w:sz w:val="26"/>
          <w:szCs w:val="26"/>
        </w:rPr>
        <w:t xml:space="preserve"> then FERC’s surveillance program would not be able identify potential manipulative behavior as quickly, which would likely result in addition</w:t>
      </w:r>
      <w:r w:rsidR="004F3B5C">
        <w:rPr>
          <w:sz w:val="26"/>
          <w:szCs w:val="26"/>
        </w:rPr>
        <w:t>al</w:t>
      </w:r>
      <w:r w:rsidR="00D4221B">
        <w:rPr>
          <w:sz w:val="26"/>
          <w:szCs w:val="26"/>
        </w:rPr>
        <w:t xml:space="preserve"> harm to the markets.</w:t>
      </w:r>
      <w:r w:rsidR="004050DB">
        <w:rPr>
          <w:sz w:val="26"/>
          <w:szCs w:val="26"/>
        </w:rPr>
        <w:t xml:space="preserve">  Therefore, t</w:t>
      </w:r>
      <w:r w:rsidR="004050DB" w:rsidRPr="004050DB">
        <w:rPr>
          <w:sz w:val="26"/>
          <w:szCs w:val="26"/>
        </w:rPr>
        <w:t>he timeliness of this data is a cri</w:t>
      </w:r>
      <w:r w:rsidR="004050DB">
        <w:rPr>
          <w:sz w:val="26"/>
          <w:szCs w:val="26"/>
        </w:rPr>
        <w:t>tical element in its utility</w:t>
      </w:r>
    </w:p>
    <w:p w14:paraId="756AF6D0" w14:textId="77777777" w:rsidR="008057ED" w:rsidRDefault="008057ED" w:rsidP="008057ED">
      <w:pPr>
        <w:pStyle w:val="Level1"/>
        <w:widowControl/>
        <w:numPr>
          <w:ilvl w:val="0"/>
          <w:numId w:val="0"/>
        </w:numPr>
        <w:tabs>
          <w:tab w:val="left" w:pos="-1440"/>
        </w:tabs>
        <w:rPr>
          <w:sz w:val="26"/>
          <w:szCs w:val="26"/>
        </w:rPr>
      </w:pPr>
    </w:p>
    <w:p w14:paraId="37FADAF0" w14:textId="58224C98" w:rsidR="00BA7345" w:rsidRDefault="004050DB" w:rsidP="00F029C5">
      <w:pPr>
        <w:pStyle w:val="Level1"/>
        <w:widowControl/>
        <w:numPr>
          <w:ilvl w:val="0"/>
          <w:numId w:val="0"/>
        </w:numPr>
        <w:tabs>
          <w:tab w:val="left" w:pos="-1440"/>
          <w:tab w:val="num" w:pos="0"/>
        </w:tabs>
        <w:ind w:firstLine="720"/>
        <w:rPr>
          <w:sz w:val="26"/>
          <w:szCs w:val="26"/>
        </w:rPr>
      </w:pPr>
      <w:r w:rsidRPr="004050DB">
        <w:rPr>
          <w:sz w:val="26"/>
          <w:szCs w:val="26"/>
        </w:rPr>
        <w:t xml:space="preserve">Further, less frequent delivery may also present technology challenges.  In the NOPR, the data is expected to be subsumed into the routine FERC-921 submissions of each RTO/ISO.  By designating a different collection schedule, the administrative cost of submitting this information will </w:t>
      </w:r>
      <w:r w:rsidR="004F3B5C">
        <w:rPr>
          <w:sz w:val="26"/>
          <w:szCs w:val="26"/>
        </w:rPr>
        <w:t xml:space="preserve">be </w:t>
      </w:r>
      <w:r w:rsidRPr="004050DB">
        <w:rPr>
          <w:sz w:val="26"/>
          <w:szCs w:val="26"/>
        </w:rPr>
        <w:t>greater than via the method proposed both for the RTO/ISOs and for the Commission. For the market participants and their Connected Entities, submission of this information on a schedule, rather than when a change in status occurs, would invite omissions and errors over the course of time.</w:t>
      </w:r>
    </w:p>
    <w:p w14:paraId="469A991D" w14:textId="77777777" w:rsidR="005B7171" w:rsidRPr="00113227" w:rsidRDefault="005B7171" w:rsidP="00F029C5">
      <w:pPr>
        <w:pStyle w:val="Level1"/>
        <w:widowControl/>
        <w:numPr>
          <w:ilvl w:val="0"/>
          <w:numId w:val="0"/>
        </w:numPr>
        <w:tabs>
          <w:tab w:val="left" w:pos="-1440"/>
          <w:tab w:val="num" w:pos="0"/>
        </w:tabs>
        <w:ind w:firstLine="720"/>
      </w:pPr>
    </w:p>
    <w:p w14:paraId="2DADFEE8" w14:textId="77777777" w:rsidR="00BA7345" w:rsidRPr="004619B9" w:rsidRDefault="00BA7345" w:rsidP="00BA7345">
      <w:pPr>
        <w:pStyle w:val="Level1"/>
        <w:widowControl/>
        <w:tabs>
          <w:tab w:val="left" w:pos="-1440"/>
          <w:tab w:val="num" w:pos="720"/>
        </w:tabs>
        <w:rPr>
          <w:b/>
        </w:rPr>
      </w:pPr>
      <w:r w:rsidRPr="004619B9">
        <w:rPr>
          <w:b/>
        </w:rPr>
        <w:lastRenderedPageBreak/>
        <w:t>EXPLAIN ANY SPECIAL CIRCUMSTANCES RELATING TO THE INFORMATION COLLECTION</w:t>
      </w:r>
    </w:p>
    <w:p w14:paraId="0718DC55" w14:textId="77777777" w:rsidR="008057ED" w:rsidRDefault="008057ED" w:rsidP="008057ED"/>
    <w:p w14:paraId="5FC95862" w14:textId="77777777" w:rsidR="00152C2D" w:rsidRDefault="000D151C" w:rsidP="008057ED">
      <w:pPr>
        <w:rPr>
          <w:szCs w:val="26"/>
        </w:rPr>
      </w:pPr>
      <w:r>
        <w:rPr>
          <w:szCs w:val="26"/>
        </w:rPr>
        <w:t xml:space="preserve">There are no special circumstances relating to FERC-921.  </w:t>
      </w:r>
      <w:r w:rsidR="00152C2D">
        <w:rPr>
          <w:szCs w:val="26"/>
        </w:rPr>
        <w:t xml:space="preserve">This </w:t>
      </w:r>
      <w:r w:rsidR="002F194C">
        <w:rPr>
          <w:szCs w:val="26"/>
        </w:rPr>
        <w:t>collection</w:t>
      </w:r>
      <w:r w:rsidR="00152C2D">
        <w:rPr>
          <w:szCs w:val="26"/>
        </w:rPr>
        <w:t xml:space="preserve"> meets OMB</w:t>
      </w:r>
      <w:r w:rsidR="002B0ACF">
        <w:rPr>
          <w:szCs w:val="26"/>
        </w:rPr>
        <w:t>’</w:t>
      </w:r>
      <w:r w:rsidR="00152C2D">
        <w:rPr>
          <w:szCs w:val="26"/>
        </w:rPr>
        <w:t>s section 1320.5 requirements</w:t>
      </w:r>
      <w:r w:rsidR="001E64B6">
        <w:rPr>
          <w:szCs w:val="26"/>
        </w:rPr>
        <w:t>.</w:t>
      </w:r>
    </w:p>
    <w:p w14:paraId="4A508796" w14:textId="77777777" w:rsidR="00152C2D" w:rsidRDefault="00152C2D" w:rsidP="00100664">
      <w:pPr>
        <w:pStyle w:val="Level1"/>
        <w:widowControl/>
        <w:numPr>
          <w:ilvl w:val="0"/>
          <w:numId w:val="0"/>
        </w:numPr>
        <w:tabs>
          <w:tab w:val="left" w:pos="-1440"/>
        </w:tabs>
        <w:ind w:left="720"/>
        <w:rPr>
          <w:sz w:val="26"/>
        </w:rPr>
      </w:pPr>
    </w:p>
    <w:p w14:paraId="0E6E531F" w14:textId="77777777" w:rsidR="00BA7345" w:rsidRDefault="00BA7345" w:rsidP="00BA7345">
      <w:pPr>
        <w:pStyle w:val="Level1"/>
        <w:widowControl/>
        <w:tabs>
          <w:tab w:val="left" w:pos="-1440"/>
          <w:tab w:val="num" w:pos="720"/>
        </w:tabs>
        <w:rPr>
          <w:b/>
        </w:rPr>
      </w:pPr>
      <w:r w:rsidRPr="004619B9">
        <w:rPr>
          <w:b/>
        </w:rPr>
        <w:t>DESCRIBE EFFORTS TO CONSULT OUTSIDE THE AGENCY: SUMMARIZE PUBLIC COMMENTS AND AGENCY'S RESPONSE TO THESE COMMENTS</w:t>
      </w:r>
    </w:p>
    <w:p w14:paraId="397786A2" w14:textId="77777777" w:rsidR="008057ED" w:rsidRDefault="008057ED" w:rsidP="008057ED">
      <w:pPr>
        <w:tabs>
          <w:tab w:val="left" w:pos="-1440"/>
        </w:tabs>
        <w:rPr>
          <w:b/>
          <w:sz w:val="24"/>
        </w:rPr>
      </w:pPr>
    </w:p>
    <w:p w14:paraId="3974BB6F" w14:textId="2AB42D91" w:rsidR="00431C3A" w:rsidRPr="00480A64" w:rsidRDefault="003E77CA" w:rsidP="00DC7677">
      <w:pPr>
        <w:pStyle w:val="LegalFormat"/>
        <w:tabs>
          <w:tab w:val="clear" w:pos="360"/>
          <w:tab w:val="num" w:pos="0"/>
        </w:tabs>
        <w:ind w:left="0" w:firstLine="0"/>
      </w:pPr>
      <w:r>
        <w:t xml:space="preserve">FERC is publishing the NOPR in the Federal Register and requesting </w:t>
      </w:r>
      <w:r w:rsidR="00302362">
        <w:t xml:space="preserve">public </w:t>
      </w:r>
      <w:r>
        <w:t>comment.</w:t>
      </w:r>
    </w:p>
    <w:p w14:paraId="4E476F35" w14:textId="77777777" w:rsidR="009E697A" w:rsidRDefault="009E697A" w:rsidP="00BB4A57">
      <w:pPr>
        <w:pStyle w:val="FERCparanumber"/>
        <w:numPr>
          <w:ilvl w:val="0"/>
          <w:numId w:val="0"/>
        </w:numPr>
        <w:autoSpaceDE w:val="0"/>
        <w:autoSpaceDN w:val="0"/>
        <w:adjustRightInd w:val="0"/>
        <w:ind w:firstLine="720"/>
      </w:pPr>
    </w:p>
    <w:p w14:paraId="258234F3" w14:textId="77777777" w:rsidR="00BA7345" w:rsidRPr="00B46DB4" w:rsidRDefault="007629B6" w:rsidP="00100664">
      <w:pPr>
        <w:rPr>
          <w:b/>
        </w:rPr>
      </w:pPr>
      <w:r w:rsidRPr="005D0864">
        <w:rPr>
          <w:b/>
          <w:bCs/>
          <w:szCs w:val="26"/>
        </w:rPr>
        <w:t>9.</w:t>
      </w:r>
      <w:r w:rsidR="00BA7345">
        <w:rPr>
          <w:bCs/>
          <w:szCs w:val="26"/>
        </w:rPr>
        <w:tab/>
      </w:r>
      <w:r w:rsidR="00BA7345" w:rsidRPr="00B46DB4">
        <w:rPr>
          <w:b/>
        </w:rPr>
        <w:t>EXPLAIN ANY PAYMENT OR GIFTS TO RESPONDENTS</w:t>
      </w:r>
    </w:p>
    <w:p w14:paraId="0F3608F3" w14:textId="77777777" w:rsidR="008057ED" w:rsidRDefault="008057ED" w:rsidP="008057ED">
      <w:pPr>
        <w:rPr>
          <w:b/>
        </w:rPr>
      </w:pPr>
    </w:p>
    <w:p w14:paraId="27020E5F" w14:textId="4411BD5A" w:rsidR="00BA7345" w:rsidRPr="008752EE" w:rsidRDefault="00BA7345" w:rsidP="008057ED">
      <w:pPr>
        <w:rPr>
          <w:szCs w:val="26"/>
        </w:rPr>
      </w:pPr>
      <w:r>
        <w:rPr>
          <w:szCs w:val="26"/>
        </w:rPr>
        <w:t xml:space="preserve">The Commission does not provide compensation or remuneration </w:t>
      </w:r>
      <w:r w:rsidRPr="008752EE">
        <w:rPr>
          <w:szCs w:val="26"/>
        </w:rPr>
        <w:t xml:space="preserve">to entities subject to its jurisdiction.  </w:t>
      </w:r>
    </w:p>
    <w:p w14:paraId="14EE1FEA" w14:textId="77777777" w:rsidR="007629B6" w:rsidRPr="008752EE" w:rsidRDefault="007629B6" w:rsidP="00B46DB4">
      <w:pPr>
        <w:ind w:left="720" w:hanging="720"/>
        <w:rPr>
          <w:b/>
          <w:bCs/>
          <w:szCs w:val="26"/>
        </w:rPr>
      </w:pPr>
    </w:p>
    <w:p w14:paraId="0E4B1FD7" w14:textId="77777777" w:rsidR="00BA7345" w:rsidRPr="00B46DB4" w:rsidRDefault="00BA7345" w:rsidP="00B46DB4">
      <w:pPr>
        <w:ind w:left="720" w:hanging="720"/>
        <w:rPr>
          <w:b/>
        </w:rPr>
      </w:pPr>
      <w:r w:rsidRPr="00D12AA4">
        <w:rPr>
          <w:b/>
          <w:bCs/>
          <w:szCs w:val="26"/>
        </w:rPr>
        <w:t>1</w:t>
      </w:r>
      <w:r w:rsidRPr="00D12AA4">
        <w:rPr>
          <w:b/>
        </w:rPr>
        <w:t>0</w:t>
      </w:r>
      <w:r w:rsidRPr="008752EE">
        <w:t>.</w:t>
      </w:r>
      <w:r w:rsidRPr="008752EE">
        <w:tab/>
      </w:r>
      <w:r w:rsidRPr="008752EE">
        <w:rPr>
          <w:b/>
        </w:rPr>
        <w:t xml:space="preserve">DESCRIBE ANY ASSURANCE OF CONFIDENTIALITY PROVIDED TO </w:t>
      </w:r>
      <w:r w:rsidR="00B46DB4" w:rsidRPr="008752EE">
        <w:rPr>
          <w:b/>
        </w:rPr>
        <w:t>R</w:t>
      </w:r>
      <w:r w:rsidRPr="008752EE">
        <w:rPr>
          <w:b/>
        </w:rPr>
        <w:t>ESPONDENTS</w:t>
      </w:r>
    </w:p>
    <w:p w14:paraId="731127AF" w14:textId="77777777" w:rsidR="008057ED" w:rsidRDefault="008057ED" w:rsidP="008057ED"/>
    <w:p w14:paraId="742C67B2" w14:textId="4044D8F3" w:rsidR="006B37E7" w:rsidRDefault="0018501D" w:rsidP="008057ED">
      <w:pPr>
        <w:rPr>
          <w:szCs w:val="26"/>
        </w:rPr>
      </w:pPr>
      <w:r>
        <w:rPr>
          <w:szCs w:val="26"/>
        </w:rPr>
        <w:t xml:space="preserve">Much of the data </w:t>
      </w:r>
      <w:r w:rsidR="000E6E6A">
        <w:rPr>
          <w:szCs w:val="26"/>
        </w:rPr>
        <w:t>FERC</w:t>
      </w:r>
      <w:r w:rsidR="002B0AC0" w:rsidRPr="002B0AC0">
        <w:rPr>
          <w:szCs w:val="26"/>
        </w:rPr>
        <w:t xml:space="preserve"> </w:t>
      </w:r>
      <w:r w:rsidR="00510597">
        <w:rPr>
          <w:szCs w:val="26"/>
        </w:rPr>
        <w:t xml:space="preserve">has received and </w:t>
      </w:r>
      <w:r w:rsidR="002B0AC0" w:rsidRPr="002B0AC0">
        <w:rPr>
          <w:szCs w:val="26"/>
        </w:rPr>
        <w:t xml:space="preserve">expects to receive </w:t>
      </w:r>
      <w:r>
        <w:rPr>
          <w:szCs w:val="26"/>
        </w:rPr>
        <w:t>per the requirements</w:t>
      </w:r>
      <w:r w:rsidR="00DE061D">
        <w:rPr>
          <w:szCs w:val="26"/>
        </w:rPr>
        <w:t xml:space="preserve"> of</w:t>
      </w:r>
      <w:r>
        <w:rPr>
          <w:szCs w:val="26"/>
        </w:rPr>
        <w:t xml:space="preserve"> </w:t>
      </w:r>
      <w:r w:rsidR="007760B5">
        <w:rPr>
          <w:szCs w:val="26"/>
        </w:rPr>
        <w:t>FERC-921</w:t>
      </w:r>
      <w:r>
        <w:rPr>
          <w:szCs w:val="26"/>
        </w:rPr>
        <w:t xml:space="preserve"> </w:t>
      </w:r>
      <w:r w:rsidR="006541C4">
        <w:rPr>
          <w:szCs w:val="26"/>
        </w:rPr>
        <w:t xml:space="preserve">(including </w:t>
      </w:r>
      <w:r w:rsidR="003E77CA">
        <w:rPr>
          <w:szCs w:val="26"/>
        </w:rPr>
        <w:t xml:space="preserve">the changes proposed in </w:t>
      </w:r>
      <w:r w:rsidR="000D762F">
        <w:rPr>
          <w:szCs w:val="26"/>
        </w:rPr>
        <w:t xml:space="preserve">the NOPR in </w:t>
      </w:r>
      <w:r w:rsidR="003E77CA">
        <w:rPr>
          <w:szCs w:val="26"/>
        </w:rPr>
        <w:t>Docket RM15-23</w:t>
      </w:r>
      <w:r w:rsidR="006541C4">
        <w:rPr>
          <w:szCs w:val="26"/>
        </w:rPr>
        <w:t>)</w:t>
      </w:r>
      <w:r w:rsidR="003E77CA">
        <w:rPr>
          <w:szCs w:val="26"/>
        </w:rPr>
        <w:t xml:space="preserve"> </w:t>
      </w:r>
      <w:r>
        <w:rPr>
          <w:szCs w:val="26"/>
        </w:rPr>
        <w:t>are</w:t>
      </w:r>
      <w:r w:rsidR="002B0AC0" w:rsidRPr="002B0AC0">
        <w:rPr>
          <w:szCs w:val="26"/>
        </w:rPr>
        <w:t>, by</w:t>
      </w:r>
      <w:r>
        <w:rPr>
          <w:szCs w:val="26"/>
        </w:rPr>
        <w:t xml:space="preserve"> their</w:t>
      </w:r>
      <w:r w:rsidR="002B0AC0" w:rsidRPr="002B0AC0">
        <w:rPr>
          <w:szCs w:val="26"/>
        </w:rPr>
        <w:t xml:space="preserve"> nature, commercially-sensitive.  Disclosure of such information could result in competitive harm to market participants and the market as a whole.  </w:t>
      </w:r>
      <w:r w:rsidR="001A27AD">
        <w:rPr>
          <w:szCs w:val="26"/>
        </w:rPr>
        <w:t>A</w:t>
      </w:r>
      <w:r w:rsidR="001A27AD" w:rsidRPr="002B0AC0">
        <w:rPr>
          <w:szCs w:val="26"/>
        </w:rPr>
        <w:t xml:space="preserve">ccordingly, </w:t>
      </w:r>
      <w:r w:rsidR="001A27AD">
        <w:rPr>
          <w:szCs w:val="26"/>
        </w:rPr>
        <w:t xml:space="preserve">FERC </w:t>
      </w:r>
      <w:r w:rsidR="006B37E7">
        <w:rPr>
          <w:szCs w:val="26"/>
        </w:rPr>
        <w:t xml:space="preserve">keeps </w:t>
      </w:r>
      <w:r w:rsidR="001A27AD" w:rsidRPr="002B0AC0">
        <w:rPr>
          <w:szCs w:val="26"/>
        </w:rPr>
        <w:t>the</w:t>
      </w:r>
      <w:r w:rsidR="006B37E7">
        <w:rPr>
          <w:szCs w:val="26"/>
        </w:rPr>
        <w:t>se</w:t>
      </w:r>
      <w:r w:rsidR="001A27AD" w:rsidRPr="002B0AC0">
        <w:rPr>
          <w:szCs w:val="26"/>
        </w:rPr>
        <w:t xml:space="preserve"> data non-public</w:t>
      </w:r>
      <w:r w:rsidR="006B37E7">
        <w:rPr>
          <w:szCs w:val="26"/>
        </w:rPr>
        <w:t>.  Access to the data is limited to those within the Commission who require the data to do their jobs effectively.</w:t>
      </w:r>
      <w:r w:rsidR="001A27AD" w:rsidRPr="002B0AC0">
        <w:rPr>
          <w:szCs w:val="26"/>
        </w:rPr>
        <w:t xml:space="preserve"> </w:t>
      </w:r>
      <w:r w:rsidR="00901707">
        <w:rPr>
          <w:szCs w:val="26"/>
        </w:rPr>
        <w:t xml:space="preserve"> </w:t>
      </w:r>
      <w:r w:rsidR="00901707" w:rsidRPr="00C031F7">
        <w:rPr>
          <w:szCs w:val="26"/>
        </w:rPr>
        <w:t xml:space="preserve">Staff </w:t>
      </w:r>
      <w:r w:rsidR="00C031F7">
        <w:rPr>
          <w:szCs w:val="26"/>
        </w:rPr>
        <w:t>that uses the</w:t>
      </w:r>
      <w:r w:rsidR="00901707" w:rsidRPr="00C031F7">
        <w:rPr>
          <w:szCs w:val="26"/>
        </w:rPr>
        <w:t xml:space="preserve"> data </w:t>
      </w:r>
      <w:r w:rsidR="00C031F7">
        <w:rPr>
          <w:szCs w:val="26"/>
        </w:rPr>
        <w:t xml:space="preserve">for surveillance and investigatory analysis </w:t>
      </w:r>
      <w:r w:rsidR="00901707" w:rsidRPr="00C031F7">
        <w:rPr>
          <w:szCs w:val="26"/>
        </w:rPr>
        <w:t>are also required to take security training in addition to the Commission's standard training and sign an acknowledgement of their understanding of that training.</w:t>
      </w:r>
    </w:p>
    <w:p w14:paraId="669312EB" w14:textId="77777777" w:rsidR="00914A0F" w:rsidRDefault="00914A0F" w:rsidP="008057ED">
      <w:pPr>
        <w:rPr>
          <w:szCs w:val="26"/>
        </w:rPr>
      </w:pPr>
    </w:p>
    <w:p w14:paraId="3349B9EF" w14:textId="7220877D" w:rsidR="00914A0F" w:rsidRDefault="00914A0F" w:rsidP="008057ED">
      <w:pPr>
        <w:rPr>
          <w:szCs w:val="26"/>
        </w:rPr>
      </w:pPr>
      <w:r>
        <w:rPr>
          <w:szCs w:val="26"/>
        </w:rPr>
        <w:t>In addition, FERC provides confidentiality to the RTOs and ISOs by only publishing aggregate results in reports derived from FERC-921 data, reviewing the analysis to confirm that no published results can be used to infer the identity of specific market participants, and only allow</w:t>
      </w:r>
      <w:r w:rsidR="001B0662">
        <w:rPr>
          <w:szCs w:val="26"/>
        </w:rPr>
        <w:t>ing</w:t>
      </w:r>
      <w:r>
        <w:rPr>
          <w:szCs w:val="26"/>
        </w:rPr>
        <w:t xml:space="preserve"> access to the data to staff who understand the importance of maintaining the confidentiality of the data.</w:t>
      </w:r>
    </w:p>
    <w:p w14:paraId="2E6EC344" w14:textId="77777777" w:rsidR="006B37E7" w:rsidRDefault="006B37E7" w:rsidP="008057ED">
      <w:pPr>
        <w:rPr>
          <w:szCs w:val="26"/>
        </w:rPr>
      </w:pPr>
    </w:p>
    <w:p w14:paraId="6A45DF71" w14:textId="7B9F66B8" w:rsidR="00A97434" w:rsidRDefault="00B503B2" w:rsidP="008057ED">
      <w:pPr>
        <w:rPr>
          <w:szCs w:val="26"/>
        </w:rPr>
      </w:pPr>
      <w:r>
        <w:rPr>
          <w:szCs w:val="26"/>
        </w:rPr>
        <w:lastRenderedPageBreak/>
        <w:t>Moreover,</w:t>
      </w:r>
      <w:r w:rsidR="001A27AD">
        <w:rPr>
          <w:szCs w:val="26"/>
        </w:rPr>
        <w:t xml:space="preserve"> w</w:t>
      </w:r>
      <w:r w:rsidR="00A97434">
        <w:rPr>
          <w:szCs w:val="26"/>
        </w:rPr>
        <w:t>e note that entities may file request</w:t>
      </w:r>
      <w:r w:rsidR="00B544B3">
        <w:rPr>
          <w:szCs w:val="26"/>
        </w:rPr>
        <w:t>s</w:t>
      </w:r>
      <w:r w:rsidR="00A97434">
        <w:rPr>
          <w:szCs w:val="26"/>
        </w:rPr>
        <w:t xml:space="preserve"> to obtain data from FERC, </w:t>
      </w:r>
      <w:r w:rsidR="00901707">
        <w:rPr>
          <w:szCs w:val="26"/>
        </w:rPr>
        <w:t xml:space="preserve">although none has.  </w:t>
      </w:r>
      <w:r w:rsidR="00A97434">
        <w:rPr>
          <w:szCs w:val="26"/>
        </w:rPr>
        <w:t>FOIA exemption 4</w:t>
      </w:r>
      <w:r w:rsidR="001D35B8">
        <w:rPr>
          <w:szCs w:val="26"/>
        </w:rPr>
        <w:t>,</w:t>
      </w:r>
      <w:r w:rsidR="005D0864">
        <w:rPr>
          <w:rStyle w:val="FootnoteReference"/>
        </w:rPr>
        <w:footnoteReference w:id="8"/>
      </w:r>
      <w:r w:rsidR="00901707">
        <w:rPr>
          <w:szCs w:val="26"/>
        </w:rPr>
        <w:t xml:space="preserve"> however,</w:t>
      </w:r>
      <w:r w:rsidR="00A97434">
        <w:rPr>
          <w:szCs w:val="26"/>
        </w:rPr>
        <w:t xml:space="preserve"> </w:t>
      </w:r>
      <w:r w:rsidR="00C10CEE">
        <w:rPr>
          <w:szCs w:val="26"/>
        </w:rPr>
        <w:t>protects</w:t>
      </w:r>
      <w:r w:rsidR="00A97434">
        <w:rPr>
          <w:szCs w:val="26"/>
        </w:rPr>
        <w:t xml:space="preserve"> ‘trade secrets and commercial or financial information from a person [that is] </w:t>
      </w:r>
      <w:r w:rsidR="00C10CEE">
        <w:rPr>
          <w:szCs w:val="26"/>
        </w:rPr>
        <w:t>privileged</w:t>
      </w:r>
      <w:r w:rsidR="00A97434">
        <w:rPr>
          <w:szCs w:val="26"/>
        </w:rPr>
        <w:t xml:space="preserve"> or confidential.</w:t>
      </w:r>
      <w:r w:rsidR="005D715D">
        <w:rPr>
          <w:szCs w:val="26"/>
        </w:rPr>
        <w:t>’</w:t>
      </w:r>
      <w:r w:rsidR="00A97434">
        <w:rPr>
          <w:szCs w:val="26"/>
        </w:rPr>
        <w:t xml:space="preserve">  Although the Commission cannot foreclose requests of information relat</w:t>
      </w:r>
      <w:r w:rsidR="00DE061D">
        <w:rPr>
          <w:szCs w:val="26"/>
        </w:rPr>
        <w:t>ed</w:t>
      </w:r>
      <w:r w:rsidR="00A97434">
        <w:rPr>
          <w:szCs w:val="26"/>
        </w:rPr>
        <w:t xml:space="preserve"> to ongoing electronic submissions of non-public data, we expect that all su</w:t>
      </w:r>
      <w:r w:rsidR="00C10CEE">
        <w:rPr>
          <w:szCs w:val="26"/>
        </w:rPr>
        <w:t>c</w:t>
      </w:r>
      <w:r w:rsidR="00A97434">
        <w:rPr>
          <w:szCs w:val="26"/>
        </w:rPr>
        <w:t xml:space="preserve">h data found to satisfy the requirements of exemption 4 would be protected from disclosure.  </w:t>
      </w:r>
    </w:p>
    <w:p w14:paraId="3B6DB754" w14:textId="77777777" w:rsidR="00D12AA4" w:rsidRDefault="00D12AA4" w:rsidP="008057ED">
      <w:pPr>
        <w:rPr>
          <w:szCs w:val="26"/>
        </w:rPr>
      </w:pPr>
    </w:p>
    <w:p w14:paraId="4668CFD9" w14:textId="2B9334A3" w:rsidR="00BA7345" w:rsidRDefault="00333969" w:rsidP="008057ED">
      <w:pPr>
        <w:rPr>
          <w:b/>
          <w:szCs w:val="26"/>
        </w:rPr>
      </w:pPr>
      <w:r w:rsidRPr="00D12AA4">
        <w:rPr>
          <w:b/>
          <w:szCs w:val="26"/>
        </w:rPr>
        <w:t>11</w:t>
      </w:r>
      <w:r w:rsidRPr="00D12AA4">
        <w:rPr>
          <w:szCs w:val="26"/>
        </w:rPr>
        <w:t>.</w:t>
      </w:r>
      <w:r w:rsidRPr="00333969">
        <w:rPr>
          <w:b/>
          <w:szCs w:val="26"/>
        </w:rPr>
        <w:tab/>
        <w:t>PROVIDE ADDITIONAL JUSTIFICATION FOR ANY QUESTIONS OF A SENSITIVE NATURE, SUCH AS SEXUAL BEHAVIOR AND ATTITUDES, RELIGIOUS BELIEFS, AND OTHER MATTERS THAT ARE COMMONLY CONSIDERED PRIVATE.</w:t>
      </w:r>
    </w:p>
    <w:p w14:paraId="7B6490B5" w14:textId="77777777" w:rsidR="002B4F03" w:rsidRPr="00B46DB4" w:rsidRDefault="002B4F03" w:rsidP="008057ED">
      <w:pPr>
        <w:rPr>
          <w:b/>
          <w:szCs w:val="26"/>
        </w:rPr>
      </w:pPr>
    </w:p>
    <w:p w14:paraId="3DFA854F" w14:textId="77777777" w:rsidR="00BA7345" w:rsidRPr="00113227" w:rsidRDefault="00BA7345" w:rsidP="008057ED">
      <w:pPr>
        <w:rPr>
          <w:b/>
          <w:bCs/>
        </w:rPr>
      </w:pPr>
      <w:r>
        <w:rPr>
          <w:szCs w:val="26"/>
        </w:rPr>
        <w:t>There are no questions of a sensitive nature that are considered private.</w:t>
      </w:r>
    </w:p>
    <w:p w14:paraId="4ED8FA7F" w14:textId="77777777" w:rsidR="00BA7345" w:rsidRPr="00113227" w:rsidRDefault="00BA7345">
      <w:pPr>
        <w:rPr>
          <w:b/>
          <w:bCs/>
        </w:rPr>
      </w:pPr>
    </w:p>
    <w:p w14:paraId="750EA8F5" w14:textId="77777777" w:rsidR="00EA38DD" w:rsidRPr="00051E5C" w:rsidRDefault="00BA7345" w:rsidP="00D12AA4">
      <w:pPr>
        <w:pStyle w:val="Level1"/>
        <w:widowControl/>
        <w:numPr>
          <w:ilvl w:val="0"/>
          <w:numId w:val="30"/>
        </w:numPr>
        <w:tabs>
          <w:tab w:val="left" w:pos="-1440"/>
        </w:tabs>
      </w:pPr>
      <w:r w:rsidRPr="00D12AA4">
        <w:rPr>
          <w:b/>
        </w:rPr>
        <w:t>ESTIMATED BURDEN ON COLLECTION OF INFORMATION</w:t>
      </w:r>
      <w:r w:rsidR="00DC5BDA" w:rsidRPr="00D12AA4">
        <w:rPr>
          <w:b/>
        </w:rPr>
        <w:t xml:space="preserve"> </w:t>
      </w:r>
    </w:p>
    <w:p w14:paraId="35CB61A6" w14:textId="77777777" w:rsidR="001D35B8" w:rsidRPr="00F3149D" w:rsidRDefault="001D35B8" w:rsidP="00051E5C">
      <w:pPr>
        <w:pStyle w:val="Level1"/>
        <w:widowControl/>
        <w:numPr>
          <w:ilvl w:val="0"/>
          <w:numId w:val="0"/>
        </w:numPr>
        <w:tabs>
          <w:tab w:val="left" w:pos="-1440"/>
        </w:tabs>
      </w:pPr>
    </w:p>
    <w:p w14:paraId="10A2FA00" w14:textId="2AB90744" w:rsidR="00952BAF" w:rsidRDefault="00987E24" w:rsidP="00DC6121">
      <w:pPr>
        <w:pStyle w:val="FERCparanumber"/>
        <w:numPr>
          <w:ilvl w:val="0"/>
          <w:numId w:val="0"/>
        </w:numPr>
        <w:autoSpaceDE w:val="0"/>
        <w:autoSpaceDN w:val="0"/>
        <w:adjustRightInd w:val="0"/>
      </w:pPr>
      <w:r>
        <w:rPr>
          <w:b/>
          <w:szCs w:val="26"/>
        </w:rPr>
        <w:t xml:space="preserve">Proposed Changes in </w:t>
      </w:r>
      <w:r w:rsidR="00952BAF">
        <w:rPr>
          <w:b/>
          <w:szCs w:val="26"/>
        </w:rPr>
        <w:t xml:space="preserve">NOPR in </w:t>
      </w:r>
      <w:r>
        <w:rPr>
          <w:b/>
          <w:szCs w:val="26"/>
        </w:rPr>
        <w:t xml:space="preserve">RM15-23.  </w:t>
      </w:r>
      <w:r w:rsidR="0036604E" w:rsidRPr="0036604E">
        <w:t>The proposed rule does not require entities other than RTOs/ISOs to report information to the Commission.  The RTOs/ISOs will gather the required data from the market participants directly.  However, we include burden estimates not only for RTOs/ISOs</w:t>
      </w:r>
      <w:r w:rsidR="00E73FC3">
        <w:t>,</w:t>
      </w:r>
      <w:r w:rsidR="0036604E" w:rsidRPr="0036604E">
        <w:t xml:space="preserve"> but also for market participants and Connected Entities.</w:t>
      </w:r>
      <w:r w:rsidR="0036604E" w:rsidRPr="0036604E">
        <w:rPr>
          <w:b/>
          <w:szCs w:val="26"/>
          <w:vertAlign w:val="superscript"/>
        </w:rPr>
        <w:footnoteReference w:id="9"/>
      </w:r>
    </w:p>
    <w:p w14:paraId="66ECB41F" w14:textId="144C3ADC" w:rsidR="00952BAF" w:rsidRPr="0036604E" w:rsidRDefault="0036604E" w:rsidP="00DC6121">
      <w:pPr>
        <w:widowControl w:val="0"/>
        <w:numPr>
          <w:ilvl w:val="0"/>
          <w:numId w:val="33"/>
        </w:numPr>
        <w:tabs>
          <w:tab w:val="num" w:pos="720"/>
        </w:tabs>
        <w:autoSpaceDE w:val="0"/>
        <w:autoSpaceDN w:val="0"/>
        <w:adjustRightInd w:val="0"/>
        <w:ind w:left="0"/>
      </w:pPr>
      <w:r w:rsidRPr="0036604E">
        <w:t xml:space="preserve">We recognize that there will be an initial implementation burden associated with </w:t>
      </w:r>
      <w:r w:rsidRPr="0036604E">
        <w:lastRenderedPageBreak/>
        <w:t>providing the Commission the requested data.  This includes submitting a compliance filing to the Commission.  We estimate 30 hours for each RTO/ISO to prepare the filing at a cost of $3,896 per filer.</w:t>
      </w:r>
    </w:p>
    <w:p w14:paraId="4DBE7371" w14:textId="502D205D" w:rsidR="00952BAF" w:rsidRPr="0036604E" w:rsidRDefault="0036604E" w:rsidP="00DC6121">
      <w:pPr>
        <w:widowControl w:val="0"/>
        <w:numPr>
          <w:ilvl w:val="0"/>
          <w:numId w:val="33"/>
        </w:numPr>
        <w:tabs>
          <w:tab w:val="num" w:pos="720"/>
        </w:tabs>
        <w:autoSpaceDE w:val="0"/>
        <w:autoSpaceDN w:val="0"/>
        <w:adjustRightInd w:val="0"/>
        <w:ind w:left="0"/>
      </w:pPr>
      <w:r w:rsidRPr="0036604E">
        <w:t>Each RTO and ISO already submits electronic market data to the Commission in accordance with Order No. 760.  We propose that these same channels be used to handle the relatively small increase in data submission proposed under this rulemaking.  RTO/ISO staff will need to add additional tables to their databases and make provisions for those tables to be included in regular transmissions.  We estimate eight hours for each RTO/ISO to make these additions at an average cost of $624 per filer</w:t>
      </w:r>
      <w:r w:rsidRPr="0036604E">
        <w:rPr>
          <w:szCs w:val="26"/>
        </w:rPr>
        <w:t>.</w:t>
      </w:r>
      <w:r w:rsidRPr="0036604E">
        <w:rPr>
          <w:b/>
          <w:szCs w:val="26"/>
          <w:vertAlign w:val="superscript"/>
        </w:rPr>
        <w:footnoteReference w:id="10"/>
      </w:r>
      <w:r w:rsidRPr="0036604E">
        <w:t xml:space="preserve">  </w:t>
      </w:r>
    </w:p>
    <w:p w14:paraId="332A99E0" w14:textId="0169422B" w:rsidR="0036604E" w:rsidRPr="0036604E" w:rsidRDefault="0036604E" w:rsidP="00DC6121">
      <w:pPr>
        <w:widowControl w:val="0"/>
        <w:numPr>
          <w:ilvl w:val="0"/>
          <w:numId w:val="33"/>
        </w:numPr>
        <w:tabs>
          <w:tab w:val="num" w:pos="720"/>
        </w:tabs>
        <w:autoSpaceDE w:val="0"/>
        <w:autoSpaceDN w:val="0"/>
        <w:adjustRightInd w:val="0"/>
        <w:ind w:left="0"/>
      </w:pPr>
      <w:r w:rsidRPr="0036604E">
        <w:t xml:space="preserve">Each RTO/ISO will also need to modify its current process for accepting information from market participants.  We estimate </w:t>
      </w:r>
      <w:r w:rsidR="00E73FC3">
        <w:t>320</w:t>
      </w:r>
      <w:r w:rsidR="00E73FC3" w:rsidRPr="0036604E">
        <w:t xml:space="preserve"> </w:t>
      </w:r>
      <w:r w:rsidRPr="0036604E">
        <w:t>person-hours (costs weighted as previously described) for each RTO/ISO to make these changes at an average cost of $</w:t>
      </w:r>
      <w:r w:rsidR="00E73FC3">
        <w:t>24</w:t>
      </w:r>
      <w:r w:rsidRPr="0036604E">
        <w:t>,</w:t>
      </w:r>
      <w:r w:rsidR="00E73FC3">
        <w:t>960</w:t>
      </w:r>
      <w:r w:rsidR="00E73FC3" w:rsidRPr="0036604E">
        <w:t xml:space="preserve"> </w:t>
      </w:r>
      <w:r w:rsidRPr="0036604E">
        <w:t xml:space="preserve">each. </w:t>
      </w:r>
      <w:r w:rsidRPr="0036604E">
        <w:rPr>
          <w:szCs w:val="26"/>
        </w:rPr>
        <w:t xml:space="preserve"> </w:t>
      </w:r>
    </w:p>
    <w:p w14:paraId="045DE7B7" w14:textId="77777777" w:rsidR="0036604E" w:rsidRPr="0036604E" w:rsidRDefault="0036604E" w:rsidP="00DC6121">
      <w:pPr>
        <w:widowControl w:val="0"/>
        <w:numPr>
          <w:ilvl w:val="0"/>
          <w:numId w:val="33"/>
        </w:numPr>
        <w:tabs>
          <w:tab w:val="num" w:pos="720"/>
        </w:tabs>
        <w:autoSpaceDE w:val="0"/>
        <w:autoSpaceDN w:val="0"/>
        <w:adjustRightInd w:val="0"/>
        <w:ind w:left="0"/>
      </w:pPr>
      <w:r w:rsidRPr="0036604E">
        <w:t>Incremental, ongoing maintenance costs for RTOs/ISOs are assumed to be minimal.  We estimate maintenance to require 40 person-hours per year at an average annual cost per RTO/ISO of $3,120.</w:t>
      </w:r>
    </w:p>
    <w:p w14:paraId="218F19F2" w14:textId="77777777" w:rsidR="0036604E" w:rsidRPr="0036604E" w:rsidRDefault="0036604E" w:rsidP="00DC6121">
      <w:pPr>
        <w:widowControl w:val="0"/>
        <w:numPr>
          <w:ilvl w:val="0"/>
          <w:numId w:val="33"/>
        </w:numPr>
        <w:tabs>
          <w:tab w:val="num" w:pos="720"/>
        </w:tabs>
        <w:autoSpaceDE w:val="0"/>
        <w:autoSpaceDN w:val="0"/>
        <w:adjustRightInd w:val="0"/>
        <w:ind w:left="0"/>
      </w:pPr>
      <w:r w:rsidRPr="0036604E">
        <w:t>This NOPR also proposes that RTOs/ISOs have the option to audit market participants to verify the accuracy and completeness of their submissions.  If each of the six RTOs/ISOs chooses to audit an average of 10 market participants per year, we estimate this to require 40 hours per audit for a total annual auditing burden per RTO/ISO of 400 hours and annual cost of $20,444.</w:t>
      </w:r>
    </w:p>
    <w:p w14:paraId="09E310D0" w14:textId="776AE79F" w:rsidR="0036604E" w:rsidRPr="0036604E" w:rsidRDefault="0036604E" w:rsidP="00204B30">
      <w:pPr>
        <w:widowControl w:val="0"/>
        <w:numPr>
          <w:ilvl w:val="0"/>
          <w:numId w:val="33"/>
        </w:numPr>
        <w:autoSpaceDE w:val="0"/>
        <w:autoSpaceDN w:val="0"/>
        <w:adjustRightInd w:val="0"/>
      </w:pPr>
      <w:r w:rsidRPr="0036604E">
        <w:t xml:space="preserve">Market participants, through their affiliate disclosures, already submit information about some of their Connected Entities to the RTOs/ISOs.  This proposed rule enlarges the information to be collected and standardizes its format.  It is estimated that for multi-market participants, the additional cost of initial compliance and the ongoing costs of maintaining that information will be somewhat offset by the savings of standardization across the several RTOs/ISOs.  This NOPR proposes that market participants obtain and maintain an </w:t>
      </w:r>
      <w:r w:rsidR="00204B30" w:rsidRPr="00204B30">
        <w:t xml:space="preserve">Legal Entity Identifier </w:t>
      </w:r>
      <w:r w:rsidR="00204B30">
        <w:t>(</w:t>
      </w:r>
      <w:r w:rsidRPr="0036604E">
        <w:t>LEI</w:t>
      </w:r>
      <w:r w:rsidR="00204B30">
        <w:t>,</w:t>
      </w:r>
      <w:r w:rsidR="00204B30" w:rsidRPr="00204B30">
        <w:t xml:space="preserve"> unique IDs assigned to single entities</w:t>
      </w:r>
      <w:r w:rsidR="00204B30">
        <w:t>)</w:t>
      </w:r>
      <w:r w:rsidRPr="0036604E">
        <w:t xml:space="preserve">, which we understand currently costs about $250 to obtain and $150 per year thereafter to maintain.  While there </w:t>
      </w:r>
      <w:r w:rsidRPr="0036604E">
        <w:lastRenderedPageBreak/>
        <w:t>will be an initial implementation burden associated with providing the RTOs/ISOs the requested data, these costs may vary widely from participant to participant largely in proportion to the size of the entity.  Since the data related to the Connected Entity is information readily available to the market participant, the costs of gathering the data is expected to be largely administrative in nature with some minimal review by legal staff.</w:t>
      </w:r>
      <w:r w:rsidRPr="0036604E">
        <w:rPr>
          <w:b/>
          <w:szCs w:val="26"/>
          <w:vertAlign w:val="superscript"/>
        </w:rPr>
        <w:footnoteReference w:id="11"/>
      </w:r>
      <w:r w:rsidRPr="0036604E">
        <w:t xml:space="preserve">  We estimate that the average market participant will initially require four hours to register for an LEI and to collect, standardize, and provide the requested data to the RTO/ISO.  We estimate the four hours of burden to cost $168 annually per market participant.  (The cost of obtaining and maintaining the LEI is separate.)</w:t>
      </w:r>
    </w:p>
    <w:p w14:paraId="6708C25E" w14:textId="77777777" w:rsidR="0036604E" w:rsidRPr="0036604E" w:rsidRDefault="0036604E" w:rsidP="00DC6121">
      <w:pPr>
        <w:widowControl w:val="0"/>
        <w:numPr>
          <w:ilvl w:val="0"/>
          <w:numId w:val="33"/>
        </w:numPr>
        <w:tabs>
          <w:tab w:val="num" w:pos="720"/>
        </w:tabs>
        <w:autoSpaceDE w:val="0"/>
        <w:autoSpaceDN w:val="0"/>
        <w:adjustRightInd w:val="0"/>
        <w:ind w:left="0"/>
      </w:pPr>
      <w:r w:rsidRPr="0036604E">
        <w:t>The proposed rule requires market participants to update and submit Connected Entity data after material changes and annually.  We estimate that this ongoing burden will require less time than the initial collection but may occur more than once per year.  We estimate three hours for each market participant to maintain their LEI registration and to collect, update, standardize, and transmit the requested data to the RTO/ISO.  This burden would be largely administrative (95 percent) with some minimal review by legal staff (5 percent).  We estimate the total burden to be $126 per participant.</w:t>
      </w:r>
    </w:p>
    <w:p w14:paraId="561582F0" w14:textId="77777777" w:rsidR="0036604E" w:rsidRPr="0036604E" w:rsidRDefault="0036604E" w:rsidP="00DC6121">
      <w:pPr>
        <w:widowControl w:val="0"/>
        <w:numPr>
          <w:ilvl w:val="0"/>
          <w:numId w:val="33"/>
        </w:numPr>
        <w:tabs>
          <w:tab w:val="num" w:pos="720"/>
        </w:tabs>
        <w:autoSpaceDE w:val="0"/>
        <w:autoSpaceDN w:val="0"/>
        <w:adjustRightInd w:val="0"/>
        <w:ind w:left="0"/>
      </w:pPr>
      <w:r w:rsidRPr="0036604E">
        <w:t>Market participants or Connected Entities may, from time to time, seek to confirm the accuracy of information concerning them that has been submitted to an RTO/ISO by other market participants.  We conservatively estimate that one-fourth of market participants and Connected Entities will seek to confirm such information. Such confirmations would be largely administrative (95 percent) with some minimal review by legal staff (5 percent).  We estimate that these confirmations will take approximately one hour for an average burden of $42 per market participant or Connected Entity seeking confirmation. Connected entities may also respond to requests for information from market participants. We estimate that each Connected Entity will spend one hour responding to these requests. Such responses would be largely administrative (95 percent) with some minimal review by legal staff (5 percent). We estimate that this activity will take approximately one hour for an average burden of $42 per Connected Entity.</w:t>
      </w:r>
    </w:p>
    <w:p w14:paraId="4FBD617F" w14:textId="77777777" w:rsidR="0036604E" w:rsidRDefault="0036604E" w:rsidP="006541C4">
      <w:pPr>
        <w:tabs>
          <w:tab w:val="left" w:pos="-1440"/>
        </w:tabs>
        <w:rPr>
          <w:b/>
          <w:szCs w:val="26"/>
        </w:rPr>
      </w:pPr>
    </w:p>
    <w:p w14:paraId="2BA11B95" w14:textId="11DF3182" w:rsidR="006541C4" w:rsidRPr="006541C4" w:rsidRDefault="00987E24" w:rsidP="006541C4">
      <w:pPr>
        <w:tabs>
          <w:tab w:val="left" w:pos="-1440"/>
        </w:tabs>
        <w:rPr>
          <w:szCs w:val="26"/>
        </w:rPr>
      </w:pPr>
      <w:r w:rsidRPr="00DC6121">
        <w:rPr>
          <w:szCs w:val="26"/>
        </w:rPr>
        <w:t>T</w:t>
      </w:r>
      <w:r w:rsidR="006541C4" w:rsidRPr="00987E24">
        <w:rPr>
          <w:szCs w:val="26"/>
        </w:rPr>
        <w:t xml:space="preserve">he </w:t>
      </w:r>
      <w:r w:rsidR="006541C4" w:rsidRPr="006541C4">
        <w:rPr>
          <w:szCs w:val="26"/>
        </w:rPr>
        <w:t xml:space="preserve">following table summarizes the estimated burden and cost increases </w:t>
      </w:r>
      <w:r w:rsidR="006541C4">
        <w:rPr>
          <w:szCs w:val="26"/>
        </w:rPr>
        <w:t>(</w:t>
      </w:r>
      <w:r w:rsidR="006541C4" w:rsidRPr="006541C4">
        <w:rPr>
          <w:szCs w:val="26"/>
        </w:rPr>
        <w:t>rounded to the nearest dollar</w:t>
      </w:r>
      <w:r w:rsidR="006541C4">
        <w:rPr>
          <w:szCs w:val="26"/>
        </w:rPr>
        <w:t>)</w:t>
      </w:r>
      <w:r w:rsidR="006541C4" w:rsidRPr="006541C4">
        <w:rPr>
          <w:szCs w:val="26"/>
        </w:rPr>
        <w:t xml:space="preserve">, due to the </w:t>
      </w:r>
      <w:r w:rsidR="006541C4">
        <w:rPr>
          <w:szCs w:val="26"/>
        </w:rPr>
        <w:t>NOPR in RM15-23</w:t>
      </w:r>
      <w:r w:rsidR="006541C4" w:rsidRPr="006541C4">
        <w:rPr>
          <w:szCs w:val="26"/>
        </w:rPr>
        <w:t>:</w:t>
      </w:r>
    </w:p>
    <w:p w14:paraId="47FC8FA2" w14:textId="77777777" w:rsidR="006541C4" w:rsidRDefault="006541C4" w:rsidP="008757DF">
      <w:pPr>
        <w:tabs>
          <w:tab w:val="left" w:pos="-1440"/>
        </w:tabs>
        <w:rPr>
          <w:szCs w:val="26"/>
        </w:rPr>
      </w:pPr>
    </w:p>
    <w:p w14:paraId="72E62678" w14:textId="122C9541" w:rsidR="006541C4" w:rsidRDefault="00E73FC3" w:rsidP="008757DF">
      <w:pPr>
        <w:tabs>
          <w:tab w:val="left" w:pos="-1440"/>
        </w:tabs>
        <w:rPr>
          <w:szCs w:val="26"/>
        </w:rPr>
      </w:pPr>
      <w:r>
        <w:rPr>
          <w:rFonts w:ascii="Calibri" w:hAnsi="Calibri"/>
          <w:noProof/>
          <w:color w:val="000000"/>
          <w:sz w:val="20"/>
          <w:szCs w:val="20"/>
        </w:rPr>
        <w:drawing>
          <wp:inline distT="0" distB="0" distL="0" distR="0" wp14:anchorId="53669F33" wp14:editId="0723D4EE">
            <wp:extent cx="5943600" cy="4938571"/>
            <wp:effectExtent l="0" t="0" r="0" b="0"/>
            <wp:docPr id="2" name="Picture 2" descr="cid:3d8f55af-2147-4f63-8f8e-755b87d90c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722783" descr="cid:3d8f55af-2147-4f63-8f8e-755b87d90c8f"/>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943600" cy="4938571"/>
                    </a:xfrm>
                    <a:prstGeom prst="rect">
                      <a:avLst/>
                    </a:prstGeom>
                    <a:noFill/>
                    <a:ln>
                      <a:noFill/>
                    </a:ln>
                  </pic:spPr>
                </pic:pic>
              </a:graphicData>
            </a:graphic>
          </wp:inline>
        </w:drawing>
      </w:r>
    </w:p>
    <w:p w14:paraId="639E73A1" w14:textId="77777777" w:rsidR="006541C4" w:rsidRDefault="006541C4" w:rsidP="008757DF">
      <w:pPr>
        <w:tabs>
          <w:tab w:val="left" w:pos="-1440"/>
        </w:tabs>
        <w:rPr>
          <w:szCs w:val="26"/>
        </w:rPr>
      </w:pPr>
    </w:p>
    <w:p w14:paraId="24690316" w14:textId="1E93660D" w:rsidR="00D217D6" w:rsidRPr="00BC3A9D" w:rsidRDefault="00D217D6" w:rsidP="00DC6121">
      <w:pPr>
        <w:pStyle w:val="Level1"/>
        <w:widowControl/>
        <w:numPr>
          <w:ilvl w:val="0"/>
          <w:numId w:val="0"/>
        </w:numPr>
        <w:tabs>
          <w:tab w:val="left" w:pos="-1440"/>
        </w:tabs>
      </w:pPr>
      <w:r>
        <w:t xml:space="preserve">For </w:t>
      </w:r>
      <w:r w:rsidRPr="00BC3A9D">
        <w:t>the purposes of this PRA submittal to OMB, we will average the additional burden over the 3-year period, giving an average of 51,</w:t>
      </w:r>
      <w:r w:rsidR="00BC3A9D" w:rsidRPr="00BC3A9D">
        <w:t xml:space="preserve">826 </w:t>
      </w:r>
      <w:r w:rsidRPr="00BC3A9D">
        <w:t>hours per year</w:t>
      </w:r>
      <w:r w:rsidR="001D1AD6">
        <w:t xml:space="preserve"> and 23,838 responses</w:t>
      </w:r>
      <w:r w:rsidRPr="00BC3A9D">
        <w:t>.</w:t>
      </w:r>
      <w:r w:rsidRPr="00BC3A9D">
        <w:rPr>
          <w:rStyle w:val="FootnoteReference"/>
        </w:rPr>
        <w:footnoteReference w:id="12"/>
      </w:r>
    </w:p>
    <w:p w14:paraId="2C817A92" w14:textId="77777777" w:rsidR="00847492" w:rsidRPr="00BC3A9D" w:rsidRDefault="00847492" w:rsidP="008C6ACE">
      <w:pPr>
        <w:pStyle w:val="FERCparanumber"/>
        <w:numPr>
          <w:ilvl w:val="0"/>
          <w:numId w:val="0"/>
        </w:numPr>
        <w:autoSpaceDE w:val="0"/>
        <w:autoSpaceDN w:val="0"/>
        <w:adjustRightInd w:val="0"/>
      </w:pPr>
    </w:p>
    <w:p w14:paraId="7E480BAD" w14:textId="77777777" w:rsidR="00CA19B9" w:rsidRPr="00BC3A9D" w:rsidRDefault="00847492" w:rsidP="00D12AA4">
      <w:pPr>
        <w:pStyle w:val="Level1"/>
        <w:rPr>
          <w:szCs w:val="26"/>
        </w:rPr>
      </w:pPr>
      <w:r w:rsidRPr="00BC3A9D">
        <w:rPr>
          <w:rFonts w:ascii="Times New Roman Bold" w:hAnsi="Times New Roman Bold"/>
          <w:b/>
        </w:rPr>
        <w:lastRenderedPageBreak/>
        <w:t xml:space="preserve"> ESTIMATE OF THE TOTAL COST BURDEN TO RESPONDENTS</w:t>
      </w:r>
    </w:p>
    <w:p w14:paraId="2CF4E77B" w14:textId="77777777" w:rsidR="00A17A68" w:rsidRPr="00BC3A9D" w:rsidRDefault="00A17A68" w:rsidP="008757DF">
      <w:pPr>
        <w:rPr>
          <w:szCs w:val="26"/>
          <w:highlight w:val="yellow"/>
        </w:rPr>
      </w:pPr>
    </w:p>
    <w:p w14:paraId="0C5340C1" w14:textId="59FF2157" w:rsidR="008757DF" w:rsidRDefault="008757DF" w:rsidP="008757DF">
      <w:pPr>
        <w:rPr>
          <w:szCs w:val="26"/>
        </w:rPr>
      </w:pPr>
      <w:r>
        <w:rPr>
          <w:szCs w:val="26"/>
        </w:rPr>
        <w:t xml:space="preserve">There are no non-labor costs currently associated with the FERC-921 information collection.  </w:t>
      </w:r>
    </w:p>
    <w:p w14:paraId="70E7E37C" w14:textId="77777777" w:rsidR="008757DF" w:rsidRDefault="008757DF" w:rsidP="008757DF">
      <w:pPr>
        <w:rPr>
          <w:szCs w:val="26"/>
        </w:rPr>
      </w:pPr>
    </w:p>
    <w:p w14:paraId="0B0EEECE" w14:textId="3E1C1DC0" w:rsidR="008757DF" w:rsidRDefault="008757DF" w:rsidP="008757DF">
      <w:pPr>
        <w:rPr>
          <w:szCs w:val="26"/>
        </w:rPr>
      </w:pPr>
      <w:r>
        <w:rPr>
          <w:szCs w:val="26"/>
        </w:rPr>
        <w:t xml:space="preserve">All of the costs in this collection are associated with burden hours (labor) and described in Question #12 </w:t>
      </w:r>
      <w:r w:rsidR="00F66263">
        <w:rPr>
          <w:szCs w:val="26"/>
        </w:rPr>
        <w:t>and/</w:t>
      </w:r>
      <w:r>
        <w:rPr>
          <w:szCs w:val="26"/>
        </w:rPr>
        <w:t>or Question #15.</w:t>
      </w:r>
    </w:p>
    <w:p w14:paraId="56EC17BF" w14:textId="77777777" w:rsidR="00BB4133" w:rsidRPr="00B268AC" w:rsidRDefault="00BB4133" w:rsidP="008757DF">
      <w:pPr>
        <w:rPr>
          <w:szCs w:val="26"/>
        </w:rPr>
      </w:pPr>
    </w:p>
    <w:p w14:paraId="3A57DC18" w14:textId="77777777" w:rsidR="00847492" w:rsidRDefault="00847492" w:rsidP="004D4587">
      <w:pPr>
        <w:ind w:left="3600" w:hanging="3600"/>
        <w:rPr>
          <w:szCs w:val="26"/>
        </w:rPr>
      </w:pPr>
    </w:p>
    <w:p w14:paraId="57A35929" w14:textId="77777777" w:rsidR="00BB4133" w:rsidRPr="00BB4133" w:rsidRDefault="00E77EE0" w:rsidP="00BB4133">
      <w:pPr>
        <w:pStyle w:val="Level1"/>
        <w:widowControl/>
        <w:numPr>
          <w:ilvl w:val="0"/>
          <w:numId w:val="0"/>
        </w:numPr>
        <w:tabs>
          <w:tab w:val="left" w:pos="-1440"/>
        </w:tabs>
        <w:ind w:left="720" w:hanging="720"/>
        <w:rPr>
          <w:b/>
        </w:rPr>
      </w:pPr>
      <w:r>
        <w:rPr>
          <w:b/>
        </w:rPr>
        <w:t>14.</w:t>
      </w:r>
      <w:r>
        <w:rPr>
          <w:b/>
        </w:rPr>
        <w:tab/>
      </w:r>
      <w:r w:rsidR="00BA7345" w:rsidRPr="00CD0BE2">
        <w:rPr>
          <w:b/>
        </w:rPr>
        <w:t>ESTIMATED ANNUALIZED COST TO THE FEDERAL GOVERNMENT</w:t>
      </w:r>
      <w:r w:rsidR="00901707">
        <w:rPr>
          <w:b/>
        </w:rPr>
        <w:t xml:space="preserve"> </w:t>
      </w:r>
    </w:p>
    <w:p w14:paraId="30A06EEF" w14:textId="77777777" w:rsidR="00BB4133" w:rsidRDefault="00BB4133" w:rsidP="008057ED">
      <w:pPr>
        <w:pStyle w:val="Level1"/>
        <w:widowControl/>
        <w:numPr>
          <w:ilvl w:val="0"/>
          <w:numId w:val="0"/>
        </w:numPr>
        <w:tabs>
          <w:tab w:val="left" w:pos="-1440"/>
        </w:tabs>
        <w:rPr>
          <w:b/>
          <w:highlight w:val="yellow"/>
        </w:rPr>
      </w:pPr>
    </w:p>
    <w:p w14:paraId="1E3AAAB2" w14:textId="13EC78DC" w:rsidR="00F66263" w:rsidRDefault="00B424EE" w:rsidP="008057ED">
      <w:pPr>
        <w:pStyle w:val="Level1"/>
        <w:widowControl/>
        <w:numPr>
          <w:ilvl w:val="0"/>
          <w:numId w:val="0"/>
        </w:numPr>
        <w:tabs>
          <w:tab w:val="left" w:pos="-1440"/>
        </w:tabs>
      </w:pPr>
      <w:r w:rsidRPr="00B424EE">
        <w:t xml:space="preserve">The estimated annualized cost to </w:t>
      </w:r>
      <w:r w:rsidR="00106A35">
        <w:t xml:space="preserve">the Federal Government for FERC-921 </w:t>
      </w:r>
      <w:r w:rsidR="00F66263">
        <w:t xml:space="preserve">before implementation of the NOPR in RM15-23 is </w:t>
      </w:r>
      <w:r w:rsidR="000F0C18">
        <w:t>$1,868,613 (</w:t>
      </w:r>
      <w:r w:rsidR="00F66263">
        <w:t>12.5 FTEs</w:t>
      </w:r>
      <w:r w:rsidR="000F0C18">
        <w:t>)</w:t>
      </w:r>
      <w:r w:rsidR="00F66263">
        <w:t xml:space="preserve">.  </w:t>
      </w:r>
    </w:p>
    <w:p w14:paraId="34FA70AE" w14:textId="77777777" w:rsidR="00F66263" w:rsidRDefault="00F66263" w:rsidP="008057ED">
      <w:pPr>
        <w:pStyle w:val="Level1"/>
        <w:widowControl/>
        <w:numPr>
          <w:ilvl w:val="0"/>
          <w:numId w:val="0"/>
        </w:numPr>
        <w:tabs>
          <w:tab w:val="left" w:pos="-1440"/>
        </w:tabs>
      </w:pPr>
    </w:p>
    <w:p w14:paraId="6ABD7191" w14:textId="5C2B9029" w:rsidR="00B424EE" w:rsidRDefault="00F66263" w:rsidP="008057ED">
      <w:pPr>
        <w:pStyle w:val="Level1"/>
        <w:widowControl/>
        <w:numPr>
          <w:ilvl w:val="0"/>
          <w:numId w:val="0"/>
        </w:numPr>
        <w:tabs>
          <w:tab w:val="left" w:pos="-1440"/>
        </w:tabs>
      </w:pPr>
      <w:r>
        <w:t>The</w:t>
      </w:r>
      <w:r w:rsidR="00DC6121">
        <w:t xml:space="preserve"> </w:t>
      </w:r>
      <w:r>
        <w:t>proposed requirements in RM15-23 will add the following</w:t>
      </w:r>
      <w:r w:rsidR="00B424EE" w:rsidRPr="00B424EE">
        <w:t>:</w:t>
      </w:r>
    </w:p>
    <w:p w14:paraId="0E33A680" w14:textId="77777777" w:rsidR="00B424EE" w:rsidRDefault="00B424EE" w:rsidP="008057ED">
      <w:pPr>
        <w:pStyle w:val="Level1"/>
        <w:widowControl/>
        <w:numPr>
          <w:ilvl w:val="0"/>
          <w:numId w:val="0"/>
        </w:numPr>
        <w:tabs>
          <w:tab w:val="left" w:pos="-1440"/>
        </w:tabs>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B424EE" w:rsidRPr="00630A34" w14:paraId="3142C8F7" w14:textId="77777777" w:rsidTr="00DC6121">
        <w:tc>
          <w:tcPr>
            <w:tcW w:w="3182" w:type="dxa"/>
            <w:tcBorders>
              <w:top w:val="single" w:sz="4" w:space="0" w:color="auto"/>
              <w:left w:val="single" w:sz="4" w:space="0" w:color="auto"/>
              <w:bottom w:val="single" w:sz="4" w:space="0" w:color="auto"/>
              <w:right w:val="single" w:sz="4" w:space="0" w:color="auto"/>
            </w:tcBorders>
            <w:shd w:val="clear" w:color="auto" w:fill="CCCCCC"/>
            <w:vAlign w:val="bottom"/>
          </w:tcPr>
          <w:p w14:paraId="5CAACE50" w14:textId="06AF09A1" w:rsidR="00B424EE" w:rsidRPr="00DC6121" w:rsidRDefault="00F66263" w:rsidP="00DC6121">
            <w:pPr>
              <w:jc w:val="center"/>
              <w:rPr>
                <w:b/>
                <w:sz w:val="24"/>
              </w:rPr>
            </w:pPr>
            <w:r w:rsidRPr="00DC6121">
              <w:rPr>
                <w:b/>
                <w:sz w:val="24"/>
              </w:rPr>
              <w:t>NOPR in RM15-23</w:t>
            </w:r>
          </w:p>
        </w:tc>
        <w:tc>
          <w:tcPr>
            <w:tcW w:w="3201" w:type="dxa"/>
            <w:tcBorders>
              <w:top w:val="single" w:sz="4" w:space="0" w:color="auto"/>
              <w:left w:val="single" w:sz="4" w:space="0" w:color="auto"/>
              <w:bottom w:val="single" w:sz="4" w:space="0" w:color="auto"/>
              <w:right w:val="single" w:sz="4" w:space="0" w:color="auto"/>
            </w:tcBorders>
            <w:shd w:val="clear" w:color="auto" w:fill="CCCCCC"/>
            <w:vAlign w:val="bottom"/>
            <w:hideMark/>
          </w:tcPr>
          <w:p w14:paraId="1FB9AA5B" w14:textId="77777777" w:rsidR="00B424EE" w:rsidRPr="00630A34" w:rsidRDefault="00B424EE" w:rsidP="00DC6121">
            <w:pPr>
              <w:jc w:val="center"/>
              <w:rPr>
                <w:b/>
                <w:sz w:val="24"/>
              </w:rPr>
            </w:pPr>
            <w:r w:rsidRPr="00630A34">
              <w:rPr>
                <w:b/>
                <w:sz w:val="24"/>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vAlign w:val="bottom"/>
            <w:hideMark/>
          </w:tcPr>
          <w:p w14:paraId="30C92FFD" w14:textId="77777777" w:rsidR="00B424EE" w:rsidRPr="00630A34" w:rsidRDefault="00B424EE" w:rsidP="00DC6121">
            <w:pPr>
              <w:jc w:val="center"/>
              <w:rPr>
                <w:b/>
                <w:sz w:val="24"/>
              </w:rPr>
            </w:pPr>
            <w:r w:rsidRPr="00630A34">
              <w:rPr>
                <w:b/>
                <w:sz w:val="24"/>
              </w:rPr>
              <w:t>Estimated Annual Federal Cost</w:t>
            </w:r>
          </w:p>
        </w:tc>
      </w:tr>
      <w:tr w:rsidR="00B424EE" w:rsidRPr="00630A34" w14:paraId="30B2158E" w14:textId="77777777" w:rsidTr="00DC6121">
        <w:tc>
          <w:tcPr>
            <w:tcW w:w="3182" w:type="dxa"/>
            <w:tcBorders>
              <w:top w:val="single" w:sz="4" w:space="0" w:color="auto"/>
              <w:left w:val="single" w:sz="4" w:space="0" w:color="auto"/>
              <w:bottom w:val="single" w:sz="4" w:space="0" w:color="auto"/>
              <w:right w:val="single" w:sz="4" w:space="0" w:color="auto"/>
            </w:tcBorders>
            <w:hideMark/>
          </w:tcPr>
          <w:p w14:paraId="6A246D37" w14:textId="541E5BC9" w:rsidR="00B424EE" w:rsidRPr="00630A34" w:rsidRDefault="00B424EE" w:rsidP="00333969">
            <w:pPr>
              <w:rPr>
                <w:sz w:val="24"/>
              </w:rPr>
            </w:pPr>
            <w:r>
              <w:rPr>
                <w:sz w:val="24"/>
              </w:rPr>
              <w:t xml:space="preserve">FERC-921 </w:t>
            </w:r>
            <w:r w:rsidRPr="00630A34">
              <w:rPr>
                <w:sz w:val="24"/>
              </w:rPr>
              <w:t>Analysis and Processing of filings</w:t>
            </w:r>
            <w:r w:rsidR="000F0C18">
              <w:rPr>
                <w:rStyle w:val="FootnoteReference"/>
              </w:rPr>
              <w:footnoteReference w:id="13"/>
            </w:r>
          </w:p>
        </w:tc>
        <w:tc>
          <w:tcPr>
            <w:tcW w:w="3201" w:type="dxa"/>
            <w:tcBorders>
              <w:top w:val="single" w:sz="4" w:space="0" w:color="auto"/>
              <w:left w:val="single" w:sz="4" w:space="0" w:color="auto"/>
              <w:bottom w:val="single" w:sz="4" w:space="0" w:color="auto"/>
              <w:right w:val="single" w:sz="4" w:space="0" w:color="auto"/>
            </w:tcBorders>
            <w:vAlign w:val="bottom"/>
            <w:hideMark/>
          </w:tcPr>
          <w:p w14:paraId="127ECDBF" w14:textId="57AE1615" w:rsidR="00B424EE" w:rsidRPr="00630A34" w:rsidRDefault="005B007A" w:rsidP="00DC6121">
            <w:pPr>
              <w:jc w:val="right"/>
              <w:rPr>
                <w:sz w:val="24"/>
              </w:rPr>
            </w:pPr>
            <w:r>
              <w:rPr>
                <w:sz w:val="24"/>
              </w:rPr>
              <w:t>0</w:t>
            </w:r>
          </w:p>
        </w:tc>
        <w:tc>
          <w:tcPr>
            <w:tcW w:w="2995" w:type="dxa"/>
            <w:tcBorders>
              <w:top w:val="single" w:sz="4" w:space="0" w:color="auto"/>
              <w:left w:val="single" w:sz="4" w:space="0" w:color="auto"/>
              <w:bottom w:val="single" w:sz="4" w:space="0" w:color="auto"/>
              <w:right w:val="single" w:sz="4" w:space="0" w:color="auto"/>
            </w:tcBorders>
            <w:vAlign w:val="bottom"/>
            <w:hideMark/>
          </w:tcPr>
          <w:p w14:paraId="25A7C80B" w14:textId="4C9205EF" w:rsidR="00B424EE" w:rsidRPr="00630A34" w:rsidRDefault="005B007A" w:rsidP="005B007A">
            <w:pPr>
              <w:jc w:val="right"/>
              <w:rPr>
                <w:sz w:val="24"/>
              </w:rPr>
            </w:pPr>
            <w:r>
              <w:rPr>
                <w:sz w:val="24"/>
              </w:rPr>
              <w:t>$0</w:t>
            </w:r>
          </w:p>
        </w:tc>
      </w:tr>
      <w:tr w:rsidR="00B424EE" w:rsidRPr="00630A34" w14:paraId="3440A860" w14:textId="77777777" w:rsidTr="00DC6121">
        <w:tc>
          <w:tcPr>
            <w:tcW w:w="3182" w:type="dxa"/>
            <w:tcBorders>
              <w:top w:val="single" w:sz="4" w:space="0" w:color="auto"/>
              <w:left w:val="single" w:sz="4" w:space="0" w:color="auto"/>
              <w:bottom w:val="single" w:sz="4" w:space="0" w:color="auto"/>
              <w:right w:val="single" w:sz="4" w:space="0" w:color="auto"/>
            </w:tcBorders>
          </w:tcPr>
          <w:p w14:paraId="3AF1ADF8" w14:textId="77777777" w:rsidR="00B424EE" w:rsidRDefault="00B424EE" w:rsidP="00333969">
            <w:pPr>
              <w:rPr>
                <w:sz w:val="24"/>
              </w:rPr>
            </w:pPr>
            <w:r w:rsidRPr="00630A34">
              <w:rPr>
                <w:sz w:val="24"/>
              </w:rPr>
              <w:t>PRA</w:t>
            </w:r>
            <w:r w:rsidRPr="00630A34">
              <w:rPr>
                <w:sz w:val="24"/>
                <w:vertAlign w:val="superscript"/>
              </w:rPr>
              <w:footnoteReference w:id="14"/>
            </w:r>
            <w:r w:rsidRPr="00630A34">
              <w:rPr>
                <w:sz w:val="24"/>
              </w:rPr>
              <w:t xml:space="preserve"> Administrative Cost</w:t>
            </w:r>
            <w:r w:rsidRPr="00896F4D">
              <w:rPr>
                <w:rStyle w:val="FootnoteReference"/>
                <w:sz w:val="24"/>
              </w:rPr>
              <w:footnoteReference w:id="15"/>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bottom"/>
          </w:tcPr>
          <w:p w14:paraId="64ABE493" w14:textId="77777777" w:rsidR="00B424EE" w:rsidRPr="00630A34" w:rsidRDefault="00B424EE" w:rsidP="00DC6121">
            <w:pPr>
              <w:jc w:val="right"/>
              <w:rPr>
                <w:sz w:val="24"/>
              </w:rPr>
            </w:pPr>
          </w:p>
        </w:tc>
        <w:tc>
          <w:tcPr>
            <w:tcW w:w="2995" w:type="dxa"/>
            <w:tcBorders>
              <w:top w:val="single" w:sz="4" w:space="0" w:color="auto"/>
              <w:left w:val="single" w:sz="4" w:space="0" w:color="auto"/>
              <w:bottom w:val="single" w:sz="4" w:space="0" w:color="auto"/>
              <w:right w:val="single" w:sz="4" w:space="0" w:color="auto"/>
            </w:tcBorders>
            <w:vAlign w:val="bottom"/>
          </w:tcPr>
          <w:p w14:paraId="316CC14E" w14:textId="77777777" w:rsidR="00B424EE" w:rsidRPr="00630A34" w:rsidRDefault="00B424EE" w:rsidP="00DC6121">
            <w:pPr>
              <w:jc w:val="right"/>
              <w:rPr>
                <w:sz w:val="24"/>
              </w:rPr>
            </w:pPr>
            <w:r w:rsidRPr="00630A34">
              <w:rPr>
                <w:sz w:val="24"/>
              </w:rPr>
              <w:t>$5</w:t>
            </w:r>
            <w:r>
              <w:rPr>
                <w:sz w:val="24"/>
              </w:rPr>
              <w:t>,193</w:t>
            </w:r>
          </w:p>
        </w:tc>
      </w:tr>
      <w:tr w:rsidR="00B424EE" w:rsidRPr="00630A34" w14:paraId="53296D3B" w14:textId="77777777" w:rsidTr="00DC6121">
        <w:tc>
          <w:tcPr>
            <w:tcW w:w="3182" w:type="dxa"/>
            <w:tcBorders>
              <w:top w:val="single" w:sz="4" w:space="0" w:color="auto"/>
              <w:left w:val="single" w:sz="4" w:space="0" w:color="auto"/>
              <w:bottom w:val="single" w:sz="4" w:space="0" w:color="auto"/>
              <w:right w:val="single" w:sz="4" w:space="0" w:color="auto"/>
            </w:tcBorders>
          </w:tcPr>
          <w:p w14:paraId="077D741C" w14:textId="77777777" w:rsidR="00B424EE" w:rsidRPr="00630A34" w:rsidRDefault="00B424EE" w:rsidP="00333969">
            <w:pPr>
              <w:rPr>
                <w:sz w:val="24"/>
              </w:rPr>
            </w:pPr>
          </w:p>
        </w:tc>
        <w:tc>
          <w:tcPr>
            <w:tcW w:w="3201" w:type="dxa"/>
            <w:tcBorders>
              <w:top w:val="single" w:sz="4" w:space="0" w:color="auto"/>
              <w:left w:val="single" w:sz="4" w:space="0" w:color="auto"/>
              <w:bottom w:val="single" w:sz="4" w:space="0" w:color="auto"/>
              <w:right w:val="single" w:sz="4" w:space="0" w:color="auto"/>
            </w:tcBorders>
            <w:shd w:val="clear" w:color="auto" w:fill="D9D9D9"/>
            <w:vAlign w:val="bottom"/>
          </w:tcPr>
          <w:p w14:paraId="72DBFF74" w14:textId="77777777" w:rsidR="00B424EE" w:rsidRPr="00630A34" w:rsidRDefault="00B424EE" w:rsidP="00DC6121">
            <w:pPr>
              <w:jc w:val="right"/>
              <w:rPr>
                <w:sz w:val="24"/>
              </w:rPr>
            </w:pPr>
          </w:p>
        </w:tc>
        <w:tc>
          <w:tcPr>
            <w:tcW w:w="2995" w:type="dxa"/>
            <w:tcBorders>
              <w:top w:val="single" w:sz="4" w:space="0" w:color="auto"/>
              <w:left w:val="single" w:sz="4" w:space="0" w:color="auto"/>
              <w:bottom w:val="single" w:sz="4" w:space="0" w:color="auto"/>
              <w:right w:val="single" w:sz="4" w:space="0" w:color="auto"/>
            </w:tcBorders>
            <w:vAlign w:val="bottom"/>
          </w:tcPr>
          <w:p w14:paraId="7CE40890" w14:textId="77777777" w:rsidR="00B424EE" w:rsidRPr="00630A34" w:rsidRDefault="00B424EE" w:rsidP="00DC6121">
            <w:pPr>
              <w:jc w:val="right"/>
              <w:rPr>
                <w:sz w:val="24"/>
              </w:rPr>
            </w:pPr>
          </w:p>
        </w:tc>
      </w:tr>
      <w:tr w:rsidR="00B424EE" w:rsidRPr="00630A34" w14:paraId="6A8D5B56" w14:textId="77777777" w:rsidTr="00DC6121">
        <w:tc>
          <w:tcPr>
            <w:tcW w:w="3182" w:type="dxa"/>
            <w:tcBorders>
              <w:top w:val="single" w:sz="4" w:space="0" w:color="auto"/>
              <w:left w:val="single" w:sz="4" w:space="0" w:color="auto"/>
              <w:bottom w:val="single" w:sz="4" w:space="0" w:color="auto"/>
              <w:right w:val="single" w:sz="4" w:space="0" w:color="auto"/>
            </w:tcBorders>
            <w:hideMark/>
          </w:tcPr>
          <w:p w14:paraId="2F8838F4" w14:textId="77777777" w:rsidR="00B424EE" w:rsidRPr="00630A34" w:rsidRDefault="00B424EE" w:rsidP="00333969">
            <w:pPr>
              <w:rPr>
                <w:sz w:val="24"/>
              </w:rPr>
            </w:pPr>
            <w:r w:rsidRPr="00630A34">
              <w:rPr>
                <w:b/>
                <w:sz w:val="24"/>
              </w:rPr>
              <w:t>FERC Total</w:t>
            </w:r>
          </w:p>
        </w:tc>
        <w:tc>
          <w:tcPr>
            <w:tcW w:w="3201" w:type="dxa"/>
            <w:tcBorders>
              <w:top w:val="single" w:sz="4" w:space="0" w:color="auto"/>
              <w:left w:val="single" w:sz="4" w:space="0" w:color="auto"/>
              <w:bottom w:val="single" w:sz="4" w:space="0" w:color="auto"/>
              <w:right w:val="single" w:sz="4" w:space="0" w:color="auto"/>
            </w:tcBorders>
            <w:vAlign w:val="bottom"/>
          </w:tcPr>
          <w:p w14:paraId="17FDA676" w14:textId="77777777" w:rsidR="00B424EE" w:rsidRPr="00630A34" w:rsidRDefault="00B424EE" w:rsidP="00DC6121">
            <w:pPr>
              <w:jc w:val="right"/>
              <w:rPr>
                <w:sz w:val="24"/>
              </w:rPr>
            </w:pPr>
          </w:p>
        </w:tc>
        <w:tc>
          <w:tcPr>
            <w:tcW w:w="2995" w:type="dxa"/>
            <w:tcBorders>
              <w:top w:val="single" w:sz="4" w:space="0" w:color="auto"/>
              <w:left w:val="single" w:sz="4" w:space="0" w:color="auto"/>
              <w:bottom w:val="single" w:sz="4" w:space="0" w:color="auto"/>
              <w:right w:val="single" w:sz="4" w:space="0" w:color="auto"/>
            </w:tcBorders>
            <w:vAlign w:val="bottom"/>
            <w:hideMark/>
          </w:tcPr>
          <w:p w14:paraId="78E7AAB8" w14:textId="5E32E5BC" w:rsidR="00B424EE" w:rsidRPr="00630A34" w:rsidRDefault="005B007A" w:rsidP="005B007A">
            <w:pPr>
              <w:jc w:val="right"/>
              <w:rPr>
                <w:sz w:val="24"/>
              </w:rPr>
            </w:pPr>
            <w:r w:rsidRPr="00630A34">
              <w:rPr>
                <w:sz w:val="24"/>
              </w:rPr>
              <w:t>$</w:t>
            </w:r>
            <w:r>
              <w:rPr>
                <w:sz w:val="24"/>
              </w:rPr>
              <w:t>5,193</w:t>
            </w:r>
          </w:p>
        </w:tc>
      </w:tr>
    </w:tbl>
    <w:p w14:paraId="6E8728B5" w14:textId="77777777" w:rsidR="00B424EE" w:rsidRPr="00B424EE" w:rsidRDefault="00B424EE" w:rsidP="008057ED">
      <w:pPr>
        <w:pStyle w:val="Level1"/>
        <w:widowControl/>
        <w:numPr>
          <w:ilvl w:val="0"/>
          <w:numId w:val="0"/>
        </w:numPr>
        <w:tabs>
          <w:tab w:val="left" w:pos="-1440"/>
        </w:tabs>
        <w:rPr>
          <w:b/>
        </w:rPr>
      </w:pPr>
    </w:p>
    <w:p w14:paraId="7F8071F9" w14:textId="77777777" w:rsidR="00BB4133" w:rsidRDefault="00BB4133" w:rsidP="00BB4133">
      <w:pPr>
        <w:ind w:left="-144"/>
        <w:rPr>
          <w:szCs w:val="26"/>
        </w:rPr>
      </w:pPr>
      <w:r>
        <w:rPr>
          <w:szCs w:val="26"/>
        </w:rPr>
        <w:t>The Commission bases its estimate of the ‘</w:t>
      </w:r>
      <w:r>
        <w:t>Analysis and Processing of filings’</w:t>
      </w:r>
      <w:r>
        <w:rPr>
          <w:szCs w:val="26"/>
        </w:rPr>
        <w:t xml:space="preserve"> cost to the Federal Government on salaries and benefits for professional and clerical support.  This </w:t>
      </w:r>
      <w:r>
        <w:rPr>
          <w:szCs w:val="26"/>
        </w:rPr>
        <w:lastRenderedPageBreak/>
        <w:t xml:space="preserve">estimated cost represents staff analysis, decision making, and review of any actual filings made in response to the information collection.  </w:t>
      </w:r>
    </w:p>
    <w:p w14:paraId="712D4124" w14:textId="3218EE29" w:rsidR="00DD58BF" w:rsidRDefault="00DD58BF" w:rsidP="00BB4133">
      <w:pPr>
        <w:ind w:left="-144"/>
        <w:rPr>
          <w:szCs w:val="26"/>
        </w:rPr>
      </w:pPr>
    </w:p>
    <w:p w14:paraId="23B000BC" w14:textId="4FB08652" w:rsidR="00DD58BF" w:rsidRDefault="00DD58BF" w:rsidP="00BB4133">
      <w:pPr>
        <w:ind w:left="-144"/>
        <w:rPr>
          <w:szCs w:val="26"/>
        </w:rPr>
      </w:pPr>
      <w:r>
        <w:rPr>
          <w:szCs w:val="26"/>
        </w:rPr>
        <w:t>FERC staff</w:t>
      </w:r>
      <w:r w:rsidRPr="00DD58BF">
        <w:rPr>
          <w:szCs w:val="26"/>
        </w:rPr>
        <w:t xml:space="preserve"> will not need to add additional FTEs</w:t>
      </w:r>
      <w:r>
        <w:rPr>
          <w:szCs w:val="26"/>
        </w:rPr>
        <w:t xml:space="preserve"> due to the NOPR in RM15-23.  </w:t>
      </w:r>
      <w:r w:rsidR="000C2768">
        <w:rPr>
          <w:szCs w:val="26"/>
        </w:rPr>
        <w:t>FERC s</w:t>
      </w:r>
      <w:r>
        <w:rPr>
          <w:szCs w:val="26"/>
        </w:rPr>
        <w:t>taff</w:t>
      </w:r>
      <w:r w:rsidRPr="00DD58BF">
        <w:rPr>
          <w:szCs w:val="26"/>
        </w:rPr>
        <w:t xml:space="preserve"> is currently doing a lot of </w:t>
      </w:r>
      <w:r>
        <w:rPr>
          <w:szCs w:val="26"/>
        </w:rPr>
        <w:t xml:space="preserve">extra </w:t>
      </w:r>
      <w:r w:rsidRPr="00DD58BF">
        <w:rPr>
          <w:szCs w:val="26"/>
        </w:rPr>
        <w:t>work to use the disparate and incomplete data th</w:t>
      </w:r>
      <w:r>
        <w:rPr>
          <w:szCs w:val="26"/>
        </w:rPr>
        <w:t xml:space="preserve">at is currently available </w:t>
      </w:r>
      <w:r w:rsidRPr="00DD58BF">
        <w:rPr>
          <w:szCs w:val="26"/>
        </w:rPr>
        <w:t xml:space="preserve">to try to get some view of the relationships between market participants. </w:t>
      </w:r>
      <w:r w:rsidR="000C2768">
        <w:rPr>
          <w:szCs w:val="26"/>
        </w:rPr>
        <w:t>A</w:t>
      </w:r>
      <w:r w:rsidR="000C2768" w:rsidRPr="000C2768">
        <w:rPr>
          <w:szCs w:val="26"/>
        </w:rPr>
        <w:t>fter implementation of the NOPR in RM15-23</w:t>
      </w:r>
      <w:r w:rsidR="000C2768">
        <w:rPr>
          <w:szCs w:val="26"/>
        </w:rPr>
        <w:t xml:space="preserve">, that extra work </w:t>
      </w:r>
      <w:r w:rsidR="000C2768" w:rsidRPr="000C2768">
        <w:rPr>
          <w:szCs w:val="26"/>
        </w:rPr>
        <w:t>will no longer be necessary</w:t>
      </w:r>
      <w:r w:rsidR="000C2768">
        <w:rPr>
          <w:szCs w:val="26"/>
        </w:rPr>
        <w:t xml:space="preserve"> and that </w:t>
      </w:r>
      <w:r w:rsidR="00020BB0">
        <w:rPr>
          <w:szCs w:val="26"/>
        </w:rPr>
        <w:t xml:space="preserve">staff </w:t>
      </w:r>
      <w:r w:rsidR="000C2768">
        <w:rPr>
          <w:szCs w:val="26"/>
        </w:rPr>
        <w:t>time will be spent analyzing and processing the additional data.</w:t>
      </w:r>
    </w:p>
    <w:p w14:paraId="7DA151AB" w14:textId="77777777" w:rsidR="00BB4133" w:rsidRDefault="00BB4133" w:rsidP="00E77EE0">
      <w:pPr>
        <w:pStyle w:val="Level1"/>
        <w:widowControl/>
        <w:numPr>
          <w:ilvl w:val="0"/>
          <w:numId w:val="0"/>
        </w:numPr>
        <w:tabs>
          <w:tab w:val="left" w:pos="-1440"/>
        </w:tabs>
        <w:ind w:left="720" w:hanging="720"/>
        <w:rPr>
          <w:b/>
        </w:rPr>
      </w:pPr>
    </w:p>
    <w:p w14:paraId="30C702D6" w14:textId="77777777" w:rsidR="00BA7345" w:rsidRDefault="00E77EE0" w:rsidP="00E77EE0">
      <w:pPr>
        <w:pStyle w:val="Level1"/>
        <w:widowControl/>
        <w:numPr>
          <w:ilvl w:val="0"/>
          <w:numId w:val="0"/>
        </w:numPr>
        <w:tabs>
          <w:tab w:val="left" w:pos="-1440"/>
        </w:tabs>
        <w:ind w:left="720" w:hanging="720"/>
        <w:rPr>
          <w:b/>
        </w:rPr>
      </w:pPr>
      <w:r>
        <w:rPr>
          <w:b/>
        </w:rPr>
        <w:t>15.</w:t>
      </w:r>
      <w:r>
        <w:rPr>
          <w:b/>
        </w:rPr>
        <w:tab/>
      </w:r>
      <w:r w:rsidR="00BA7345" w:rsidRPr="00CD0BE2">
        <w:rPr>
          <w:b/>
        </w:rPr>
        <w:t>REASONS FOR CHANGES IN BURDEN INCLUDING THE NEED FOR ANY INCREASE</w:t>
      </w:r>
    </w:p>
    <w:p w14:paraId="5DC48D01" w14:textId="77777777" w:rsidR="001C0DB5" w:rsidRDefault="001C0DB5" w:rsidP="00E77EE0">
      <w:pPr>
        <w:pStyle w:val="Level1"/>
        <w:widowControl/>
        <w:numPr>
          <w:ilvl w:val="0"/>
          <w:numId w:val="0"/>
        </w:numPr>
        <w:tabs>
          <w:tab w:val="left" w:pos="-1440"/>
        </w:tabs>
        <w:ind w:left="720" w:hanging="720"/>
        <w:rPr>
          <w:b/>
        </w:rPr>
      </w:pPr>
    </w:p>
    <w:p w14:paraId="02D963C7" w14:textId="2B5B4587" w:rsidR="00E96F66" w:rsidRDefault="00E96F66" w:rsidP="00E96F66">
      <w:pPr>
        <w:tabs>
          <w:tab w:val="left" w:pos="-1440"/>
        </w:tabs>
        <w:rPr>
          <w:szCs w:val="26"/>
        </w:rPr>
      </w:pPr>
      <w:r w:rsidRPr="00DC6121">
        <w:rPr>
          <w:b/>
        </w:rPr>
        <w:t>Current Inventory.</w:t>
      </w:r>
      <w:r>
        <w:t xml:space="preserve">  </w:t>
      </w:r>
      <w:r w:rsidRPr="00E96F66">
        <w:rPr>
          <w:szCs w:val="26"/>
        </w:rPr>
        <w:t>The</w:t>
      </w:r>
      <w:r>
        <w:rPr>
          <w:szCs w:val="26"/>
        </w:rPr>
        <w:t xml:space="preserve"> current </w:t>
      </w:r>
      <w:r w:rsidR="006F1C7F">
        <w:rPr>
          <w:szCs w:val="26"/>
        </w:rPr>
        <w:t>OMB-</w:t>
      </w:r>
      <w:r>
        <w:rPr>
          <w:szCs w:val="26"/>
        </w:rPr>
        <w:t>approved Public Reporting Burden for the FERC-921 information collection is represented in the table below:</w:t>
      </w:r>
    </w:p>
    <w:p w14:paraId="009ABAB1" w14:textId="58661307" w:rsidR="000F0C18" w:rsidRDefault="000F0C18" w:rsidP="00E96F66">
      <w:pPr>
        <w:tabs>
          <w:tab w:val="left" w:pos="-1440"/>
        </w:tabs>
        <w:rPr>
          <w:szCs w:val="26"/>
        </w:rPr>
      </w:pPr>
    </w:p>
    <w:tbl>
      <w:tblPr>
        <w:tblW w:w="52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1522"/>
        <w:gridCol w:w="1434"/>
        <w:gridCol w:w="1637"/>
        <w:gridCol w:w="2657"/>
        <w:gridCol w:w="1283"/>
      </w:tblGrid>
      <w:tr w:rsidR="000F0C18" w14:paraId="12F9EB7F" w14:textId="77777777" w:rsidTr="000F0C18">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bottom"/>
            <w:hideMark/>
          </w:tcPr>
          <w:p w14:paraId="01E83BA7" w14:textId="77777777" w:rsidR="000F0C18" w:rsidRDefault="000F0C18">
            <w:pPr>
              <w:jc w:val="center"/>
              <w:rPr>
                <w:rFonts w:eastAsia="Calibri"/>
                <w:b/>
                <w:sz w:val="20"/>
                <w:szCs w:val="20"/>
              </w:rPr>
            </w:pPr>
            <w:r>
              <w:rPr>
                <w:rFonts w:eastAsia="Calibri"/>
                <w:b/>
                <w:sz w:val="20"/>
                <w:szCs w:val="20"/>
              </w:rPr>
              <w:t xml:space="preserve">FERC-921 (Ongoing Electronic Delivery of Data from Regional Transmission Organizations </w:t>
            </w:r>
          </w:p>
          <w:p w14:paraId="04A3978F" w14:textId="45453355" w:rsidR="000F0C18" w:rsidRDefault="000F0C18">
            <w:pPr>
              <w:jc w:val="center"/>
              <w:rPr>
                <w:rFonts w:eastAsia="Calibri"/>
                <w:b/>
                <w:sz w:val="20"/>
                <w:szCs w:val="20"/>
              </w:rPr>
            </w:pPr>
            <w:r>
              <w:rPr>
                <w:rFonts w:eastAsia="Calibri"/>
                <w:b/>
                <w:sz w:val="20"/>
                <w:szCs w:val="20"/>
              </w:rPr>
              <w:t>and Independent System Operators)</w:t>
            </w:r>
          </w:p>
        </w:tc>
      </w:tr>
      <w:tr w:rsidR="000F0C18" w14:paraId="12E9316B" w14:textId="77777777" w:rsidTr="000F0C18">
        <w:trPr>
          <w:cantSplit/>
        </w:trPr>
        <w:tc>
          <w:tcPr>
            <w:tcW w:w="75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8CC1080" w14:textId="77777777" w:rsidR="000F0C18" w:rsidRDefault="000F0C18">
            <w:pPr>
              <w:jc w:val="center"/>
              <w:rPr>
                <w:rFonts w:eastAsia="Calibri"/>
                <w:b/>
                <w:sz w:val="20"/>
                <w:szCs w:val="20"/>
              </w:rPr>
            </w:pPr>
            <w:r>
              <w:rPr>
                <w:rFonts w:eastAsia="Calibri"/>
                <w:b/>
                <w:sz w:val="20"/>
                <w:szCs w:val="20"/>
              </w:rPr>
              <w:t>Number of Respondents</w:t>
            </w:r>
            <w:r>
              <w:rPr>
                <w:rFonts w:eastAsia="Calibri"/>
                <w:b/>
                <w:sz w:val="20"/>
                <w:szCs w:val="20"/>
              </w:rPr>
              <w:br/>
              <w:t>(1)</w:t>
            </w:r>
          </w:p>
        </w:tc>
        <w:tc>
          <w:tcPr>
            <w:tcW w:w="75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7A1BC2A" w14:textId="77777777" w:rsidR="000F0C18" w:rsidRDefault="000F0C18">
            <w:pPr>
              <w:jc w:val="center"/>
              <w:rPr>
                <w:rFonts w:eastAsia="Calibri"/>
                <w:b/>
                <w:sz w:val="20"/>
                <w:szCs w:val="20"/>
              </w:rPr>
            </w:pPr>
            <w:r>
              <w:rPr>
                <w:rFonts w:eastAsia="Calibri"/>
                <w:b/>
                <w:sz w:val="20"/>
                <w:szCs w:val="20"/>
              </w:rPr>
              <w:t>Annual Number of Responses per Respondent</w:t>
            </w:r>
          </w:p>
          <w:p w14:paraId="42BC83E7" w14:textId="77777777" w:rsidR="000F0C18" w:rsidRDefault="000F0C18">
            <w:pPr>
              <w:jc w:val="center"/>
              <w:rPr>
                <w:rFonts w:eastAsia="Calibri"/>
                <w:b/>
                <w:sz w:val="20"/>
                <w:szCs w:val="20"/>
              </w:rPr>
            </w:pPr>
            <w:r>
              <w:rPr>
                <w:rFonts w:eastAsia="Calibri"/>
                <w:b/>
                <w:sz w:val="20"/>
                <w:szCs w:val="20"/>
              </w:rPr>
              <w:t>(2)</w:t>
            </w:r>
          </w:p>
        </w:tc>
        <w:tc>
          <w:tcPr>
            <w:tcW w:w="713"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51D1D4B" w14:textId="77777777" w:rsidR="000F0C18" w:rsidRDefault="000F0C18">
            <w:pPr>
              <w:jc w:val="center"/>
              <w:rPr>
                <w:rFonts w:eastAsia="Calibri"/>
                <w:b/>
                <w:sz w:val="20"/>
                <w:szCs w:val="20"/>
              </w:rPr>
            </w:pPr>
            <w:r>
              <w:rPr>
                <w:rFonts w:eastAsia="Calibri"/>
                <w:b/>
                <w:sz w:val="20"/>
                <w:szCs w:val="20"/>
              </w:rPr>
              <w:t>Total Number of Responses (1)*(2)=(3)</w:t>
            </w:r>
          </w:p>
        </w:tc>
        <w:tc>
          <w:tcPr>
            <w:tcW w:w="814"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8F9A10F" w14:textId="77777777" w:rsidR="000F0C18" w:rsidRDefault="000F0C18">
            <w:pPr>
              <w:jc w:val="center"/>
              <w:rPr>
                <w:rFonts w:eastAsia="Calibri"/>
                <w:b/>
                <w:sz w:val="20"/>
                <w:szCs w:val="20"/>
              </w:rPr>
            </w:pPr>
            <w:r>
              <w:rPr>
                <w:rFonts w:eastAsia="Calibri"/>
                <w:b/>
                <w:sz w:val="20"/>
                <w:szCs w:val="20"/>
              </w:rPr>
              <w:t>Average Burden &amp; Cost Per Response</w:t>
            </w:r>
            <w:r>
              <w:rPr>
                <w:rFonts w:eastAsia="Calibri"/>
                <w:b/>
                <w:sz w:val="20"/>
                <w:szCs w:val="20"/>
                <w:vertAlign w:val="superscript"/>
              </w:rPr>
              <w:footnoteReference w:id="16"/>
            </w:r>
          </w:p>
          <w:p w14:paraId="7BA49BFB" w14:textId="77777777" w:rsidR="000F0C18" w:rsidRDefault="000F0C18">
            <w:pPr>
              <w:jc w:val="center"/>
              <w:rPr>
                <w:rFonts w:eastAsia="Calibri"/>
                <w:b/>
                <w:sz w:val="20"/>
                <w:szCs w:val="20"/>
              </w:rPr>
            </w:pPr>
            <w:r>
              <w:rPr>
                <w:rFonts w:eastAsia="Calibri"/>
                <w:b/>
                <w:sz w:val="20"/>
                <w:szCs w:val="20"/>
              </w:rPr>
              <w:t>(4)</w:t>
            </w:r>
          </w:p>
        </w:tc>
        <w:tc>
          <w:tcPr>
            <w:tcW w:w="1321"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500DCB9" w14:textId="77777777" w:rsidR="000F0C18" w:rsidRDefault="000F0C18">
            <w:pPr>
              <w:jc w:val="center"/>
              <w:rPr>
                <w:rFonts w:eastAsia="Calibri"/>
                <w:b/>
                <w:sz w:val="20"/>
                <w:szCs w:val="20"/>
              </w:rPr>
            </w:pPr>
            <w:r>
              <w:rPr>
                <w:rFonts w:eastAsia="Calibri"/>
                <w:b/>
                <w:sz w:val="20"/>
                <w:szCs w:val="20"/>
              </w:rPr>
              <w:t>Total Annual Recurring Operating Burden Hours &amp; Cost</w:t>
            </w:r>
          </w:p>
          <w:p w14:paraId="3D209EAB" w14:textId="77777777" w:rsidR="000F0C18" w:rsidRDefault="000F0C18">
            <w:pPr>
              <w:jc w:val="center"/>
              <w:rPr>
                <w:rFonts w:eastAsia="Calibri"/>
                <w:b/>
                <w:sz w:val="20"/>
                <w:szCs w:val="20"/>
              </w:rPr>
            </w:pPr>
            <w:r>
              <w:rPr>
                <w:rFonts w:eastAsia="Calibri"/>
                <w:b/>
                <w:sz w:val="20"/>
                <w:szCs w:val="20"/>
              </w:rPr>
              <w:t>(3)*(4)=(5)</w:t>
            </w:r>
          </w:p>
        </w:tc>
        <w:tc>
          <w:tcPr>
            <w:tcW w:w="63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773CA88" w14:textId="77777777" w:rsidR="000F0C18" w:rsidRDefault="000F0C18">
            <w:pPr>
              <w:jc w:val="center"/>
              <w:rPr>
                <w:rFonts w:eastAsia="Calibri"/>
                <w:b/>
                <w:sz w:val="20"/>
                <w:szCs w:val="20"/>
              </w:rPr>
            </w:pPr>
            <w:r>
              <w:rPr>
                <w:rFonts w:eastAsia="Calibri"/>
                <w:b/>
                <w:sz w:val="20"/>
                <w:szCs w:val="20"/>
              </w:rPr>
              <w:t>Cost per Respondent</w:t>
            </w:r>
          </w:p>
          <w:p w14:paraId="202D9707" w14:textId="77777777" w:rsidR="000F0C18" w:rsidRDefault="000F0C18">
            <w:pPr>
              <w:jc w:val="center"/>
              <w:rPr>
                <w:rFonts w:eastAsia="Calibri"/>
                <w:b/>
                <w:sz w:val="20"/>
                <w:szCs w:val="20"/>
              </w:rPr>
            </w:pPr>
            <w:r>
              <w:rPr>
                <w:rFonts w:eastAsia="Calibri"/>
                <w:b/>
                <w:sz w:val="20"/>
                <w:szCs w:val="20"/>
              </w:rPr>
              <w:t xml:space="preserve"> ($)</w:t>
            </w:r>
          </w:p>
          <w:p w14:paraId="1007B64C" w14:textId="77777777" w:rsidR="000F0C18" w:rsidRDefault="000F0C18">
            <w:pPr>
              <w:jc w:val="center"/>
              <w:rPr>
                <w:rFonts w:eastAsia="Calibri"/>
                <w:b/>
                <w:sz w:val="20"/>
                <w:szCs w:val="20"/>
              </w:rPr>
            </w:pPr>
            <w:r>
              <w:rPr>
                <w:rFonts w:eastAsia="Calibri"/>
                <w:b/>
                <w:sz w:val="20"/>
                <w:szCs w:val="20"/>
              </w:rPr>
              <w:t>(5)÷(1)</w:t>
            </w:r>
          </w:p>
        </w:tc>
      </w:tr>
      <w:tr w:rsidR="000F0C18" w14:paraId="5DB1F0FC" w14:textId="77777777" w:rsidTr="000F0C18">
        <w:trPr>
          <w:cantSplit/>
        </w:trPr>
        <w:tc>
          <w:tcPr>
            <w:tcW w:w="757" w:type="pct"/>
            <w:tcBorders>
              <w:top w:val="single" w:sz="4" w:space="0" w:color="auto"/>
              <w:left w:val="single" w:sz="4" w:space="0" w:color="auto"/>
              <w:bottom w:val="single" w:sz="4" w:space="0" w:color="auto"/>
              <w:right w:val="single" w:sz="4" w:space="0" w:color="auto"/>
            </w:tcBorders>
          </w:tcPr>
          <w:p w14:paraId="17198501" w14:textId="77777777" w:rsidR="000F0C18" w:rsidRDefault="000F0C18">
            <w:pPr>
              <w:jc w:val="right"/>
              <w:rPr>
                <w:rFonts w:eastAsia="Calibri"/>
                <w:sz w:val="20"/>
                <w:szCs w:val="20"/>
              </w:rPr>
            </w:pPr>
            <w:r>
              <w:rPr>
                <w:rFonts w:eastAsia="Calibri"/>
                <w:sz w:val="20"/>
                <w:szCs w:val="20"/>
              </w:rPr>
              <w:t>6</w:t>
            </w:r>
          </w:p>
          <w:p w14:paraId="49103481" w14:textId="77777777" w:rsidR="000F0C18" w:rsidRDefault="000F0C18">
            <w:pPr>
              <w:jc w:val="right"/>
              <w:rPr>
                <w:rFonts w:eastAsia="Calibri"/>
                <w:sz w:val="20"/>
                <w:szCs w:val="20"/>
              </w:rPr>
            </w:pPr>
          </w:p>
        </w:tc>
        <w:tc>
          <w:tcPr>
            <w:tcW w:w="757" w:type="pct"/>
            <w:tcBorders>
              <w:top w:val="single" w:sz="4" w:space="0" w:color="auto"/>
              <w:left w:val="single" w:sz="4" w:space="0" w:color="auto"/>
              <w:bottom w:val="single" w:sz="4" w:space="0" w:color="auto"/>
              <w:right w:val="single" w:sz="4" w:space="0" w:color="auto"/>
            </w:tcBorders>
            <w:hideMark/>
          </w:tcPr>
          <w:p w14:paraId="0DBB1B19" w14:textId="77777777" w:rsidR="000F0C18" w:rsidRDefault="000F0C18">
            <w:pPr>
              <w:jc w:val="right"/>
              <w:rPr>
                <w:rFonts w:eastAsia="Calibri"/>
                <w:sz w:val="20"/>
                <w:szCs w:val="20"/>
              </w:rPr>
            </w:pPr>
            <w:r>
              <w:rPr>
                <w:rFonts w:eastAsia="Calibri"/>
                <w:sz w:val="20"/>
                <w:szCs w:val="20"/>
              </w:rPr>
              <w:t>1</w:t>
            </w:r>
          </w:p>
        </w:tc>
        <w:tc>
          <w:tcPr>
            <w:tcW w:w="713" w:type="pct"/>
            <w:tcBorders>
              <w:top w:val="single" w:sz="4" w:space="0" w:color="auto"/>
              <w:left w:val="single" w:sz="4" w:space="0" w:color="auto"/>
              <w:bottom w:val="single" w:sz="4" w:space="0" w:color="auto"/>
              <w:right w:val="single" w:sz="4" w:space="0" w:color="auto"/>
            </w:tcBorders>
            <w:hideMark/>
          </w:tcPr>
          <w:p w14:paraId="5E0B4694" w14:textId="77777777" w:rsidR="000F0C18" w:rsidRDefault="000F0C18">
            <w:pPr>
              <w:jc w:val="right"/>
              <w:rPr>
                <w:rFonts w:eastAsia="Calibri"/>
                <w:sz w:val="20"/>
                <w:szCs w:val="20"/>
              </w:rPr>
            </w:pPr>
            <w:r>
              <w:rPr>
                <w:rFonts w:eastAsia="Calibri"/>
                <w:sz w:val="20"/>
                <w:szCs w:val="20"/>
              </w:rPr>
              <w:t>6</w:t>
            </w:r>
          </w:p>
        </w:tc>
        <w:tc>
          <w:tcPr>
            <w:tcW w:w="814" w:type="pct"/>
            <w:tcBorders>
              <w:top w:val="single" w:sz="4" w:space="0" w:color="auto"/>
              <w:left w:val="single" w:sz="4" w:space="0" w:color="auto"/>
              <w:bottom w:val="single" w:sz="4" w:space="0" w:color="auto"/>
              <w:right w:val="single" w:sz="4" w:space="0" w:color="auto"/>
            </w:tcBorders>
            <w:hideMark/>
          </w:tcPr>
          <w:p w14:paraId="719F73F4" w14:textId="77777777" w:rsidR="000F0C18" w:rsidRDefault="000F0C18">
            <w:pPr>
              <w:jc w:val="right"/>
              <w:rPr>
                <w:rFonts w:eastAsia="Calibri"/>
                <w:sz w:val="20"/>
                <w:szCs w:val="20"/>
              </w:rPr>
            </w:pPr>
            <w:r>
              <w:rPr>
                <w:rFonts w:eastAsia="Calibri"/>
                <w:sz w:val="20"/>
                <w:szCs w:val="20"/>
              </w:rPr>
              <w:t>98</w:t>
            </w:r>
          </w:p>
          <w:p w14:paraId="0D304FD4" w14:textId="77777777" w:rsidR="000F0C18" w:rsidRDefault="000F0C18">
            <w:pPr>
              <w:jc w:val="right"/>
              <w:rPr>
                <w:rFonts w:eastAsia="Calibri"/>
                <w:sz w:val="20"/>
                <w:szCs w:val="20"/>
              </w:rPr>
            </w:pPr>
            <w:r>
              <w:rPr>
                <w:rFonts w:eastAsia="Calibri"/>
                <w:sz w:val="20"/>
                <w:szCs w:val="20"/>
              </w:rPr>
              <w:t>$9,830</w:t>
            </w:r>
          </w:p>
        </w:tc>
        <w:tc>
          <w:tcPr>
            <w:tcW w:w="1321" w:type="pct"/>
            <w:tcBorders>
              <w:top w:val="single" w:sz="4" w:space="0" w:color="auto"/>
              <w:left w:val="single" w:sz="4" w:space="0" w:color="auto"/>
              <w:bottom w:val="single" w:sz="4" w:space="0" w:color="auto"/>
              <w:right w:val="single" w:sz="4" w:space="0" w:color="auto"/>
            </w:tcBorders>
            <w:hideMark/>
          </w:tcPr>
          <w:p w14:paraId="117338FB" w14:textId="77777777" w:rsidR="000F0C18" w:rsidRDefault="000F0C18">
            <w:pPr>
              <w:jc w:val="right"/>
              <w:rPr>
                <w:rFonts w:eastAsia="Calibri"/>
                <w:sz w:val="20"/>
                <w:szCs w:val="20"/>
              </w:rPr>
            </w:pPr>
            <w:r>
              <w:rPr>
                <w:rFonts w:eastAsia="Calibri"/>
                <w:sz w:val="20"/>
                <w:szCs w:val="20"/>
              </w:rPr>
              <w:t xml:space="preserve"> 588</w:t>
            </w:r>
          </w:p>
          <w:p w14:paraId="0C5DBB2C" w14:textId="77777777" w:rsidR="000F0C18" w:rsidRDefault="000F0C18">
            <w:pPr>
              <w:jc w:val="right"/>
              <w:rPr>
                <w:rFonts w:eastAsia="Calibri"/>
                <w:sz w:val="20"/>
                <w:szCs w:val="20"/>
              </w:rPr>
            </w:pPr>
            <w:r>
              <w:rPr>
                <w:rFonts w:eastAsia="Calibri"/>
                <w:sz w:val="20"/>
                <w:szCs w:val="20"/>
              </w:rPr>
              <w:t xml:space="preserve">$58,980 </w:t>
            </w:r>
          </w:p>
        </w:tc>
        <w:tc>
          <w:tcPr>
            <w:tcW w:w="638" w:type="pct"/>
            <w:tcBorders>
              <w:top w:val="single" w:sz="4" w:space="0" w:color="auto"/>
              <w:left w:val="single" w:sz="4" w:space="0" w:color="auto"/>
              <w:bottom w:val="single" w:sz="4" w:space="0" w:color="auto"/>
              <w:right w:val="single" w:sz="4" w:space="0" w:color="auto"/>
            </w:tcBorders>
          </w:tcPr>
          <w:p w14:paraId="02E22D20" w14:textId="77777777" w:rsidR="000F0C18" w:rsidRDefault="000F0C18">
            <w:pPr>
              <w:jc w:val="right"/>
              <w:rPr>
                <w:rFonts w:eastAsia="Calibri"/>
                <w:sz w:val="20"/>
                <w:szCs w:val="20"/>
              </w:rPr>
            </w:pPr>
            <w:r>
              <w:rPr>
                <w:rFonts w:eastAsia="Calibri"/>
                <w:sz w:val="20"/>
                <w:szCs w:val="20"/>
              </w:rPr>
              <w:t xml:space="preserve">$9,830 </w:t>
            </w:r>
          </w:p>
          <w:p w14:paraId="39E9E98F" w14:textId="77777777" w:rsidR="000F0C18" w:rsidRDefault="000F0C18">
            <w:pPr>
              <w:jc w:val="right"/>
              <w:rPr>
                <w:rFonts w:eastAsia="Calibri"/>
                <w:sz w:val="20"/>
                <w:szCs w:val="20"/>
              </w:rPr>
            </w:pPr>
          </w:p>
        </w:tc>
      </w:tr>
    </w:tbl>
    <w:p w14:paraId="3304C0D2" w14:textId="77777777" w:rsidR="000F0C18" w:rsidRDefault="000F0C18" w:rsidP="00E96F66">
      <w:pPr>
        <w:tabs>
          <w:tab w:val="left" w:pos="-1440"/>
        </w:tabs>
        <w:rPr>
          <w:szCs w:val="26"/>
        </w:rPr>
      </w:pPr>
    </w:p>
    <w:p w14:paraId="63F23512" w14:textId="77777777" w:rsidR="00357F3C" w:rsidRDefault="00357F3C" w:rsidP="00DC6121">
      <w:pPr>
        <w:tabs>
          <w:tab w:val="num" w:pos="0"/>
        </w:tabs>
        <w:rPr>
          <w:b/>
          <w:bCs/>
          <w:szCs w:val="26"/>
        </w:rPr>
      </w:pPr>
    </w:p>
    <w:p w14:paraId="0CF29B6A" w14:textId="19B845F1" w:rsidR="00357F3C" w:rsidRDefault="00357F3C" w:rsidP="00DC6121">
      <w:pPr>
        <w:tabs>
          <w:tab w:val="num" w:pos="0"/>
        </w:tabs>
        <w:rPr>
          <w:bCs/>
          <w:szCs w:val="26"/>
        </w:rPr>
      </w:pPr>
      <w:r w:rsidRPr="00DC6121">
        <w:rPr>
          <w:b/>
          <w:bCs/>
          <w:szCs w:val="26"/>
        </w:rPr>
        <w:t>Changes Proposed in NOPR in RM15-23</w:t>
      </w:r>
      <w:r>
        <w:rPr>
          <w:bCs/>
          <w:szCs w:val="26"/>
        </w:rPr>
        <w:t xml:space="preserve">. </w:t>
      </w:r>
    </w:p>
    <w:p w14:paraId="7FB7D518" w14:textId="77777777" w:rsidR="009E3D34" w:rsidRDefault="009E3D34" w:rsidP="009E3D34">
      <w:pPr>
        <w:tabs>
          <w:tab w:val="num" w:pos="0"/>
        </w:tabs>
        <w:rPr>
          <w:bCs/>
          <w:szCs w:val="26"/>
        </w:rPr>
      </w:pPr>
    </w:p>
    <w:p w14:paraId="1AED997A" w14:textId="26A96432" w:rsidR="009E3D34" w:rsidRDefault="009E3D34" w:rsidP="009E3D34">
      <w:pPr>
        <w:tabs>
          <w:tab w:val="num" w:pos="0"/>
        </w:tabs>
        <w:rPr>
          <w:bCs/>
          <w:szCs w:val="26"/>
        </w:rPr>
      </w:pPr>
      <w:r>
        <w:rPr>
          <w:bCs/>
          <w:szCs w:val="26"/>
        </w:rPr>
        <w:t>The proposal require</w:t>
      </w:r>
      <w:r w:rsidR="000F05BC">
        <w:rPr>
          <w:bCs/>
          <w:szCs w:val="26"/>
        </w:rPr>
        <w:t>s</w:t>
      </w:r>
      <w:r>
        <w:rPr>
          <w:bCs/>
          <w:szCs w:val="26"/>
        </w:rPr>
        <w:t xml:space="preserve"> the RTOs/ISOs to make an initial compliance filing to implement this new requirement.  In addition, the RTOs/ISOs will be required to add </w:t>
      </w:r>
      <w:r w:rsidR="004050DB">
        <w:rPr>
          <w:bCs/>
          <w:szCs w:val="26"/>
        </w:rPr>
        <w:t>new</w:t>
      </w:r>
      <w:r>
        <w:rPr>
          <w:bCs/>
          <w:szCs w:val="26"/>
        </w:rPr>
        <w:t xml:space="preserve"> tables to their databases and make provisions for those tables to be included </w:t>
      </w:r>
      <w:r w:rsidR="00F75EB4">
        <w:rPr>
          <w:bCs/>
          <w:szCs w:val="26"/>
        </w:rPr>
        <w:t xml:space="preserve">in </w:t>
      </w:r>
      <w:r>
        <w:rPr>
          <w:bCs/>
          <w:szCs w:val="26"/>
        </w:rPr>
        <w:t xml:space="preserve">their regular </w:t>
      </w:r>
      <w:r>
        <w:rPr>
          <w:bCs/>
          <w:szCs w:val="26"/>
        </w:rPr>
        <w:lastRenderedPageBreak/>
        <w:t>submissions of data to the Commission.  The proposal also require</w:t>
      </w:r>
      <w:r w:rsidR="000F05BC">
        <w:rPr>
          <w:bCs/>
          <w:szCs w:val="26"/>
        </w:rPr>
        <w:t>s</w:t>
      </w:r>
      <w:r>
        <w:rPr>
          <w:bCs/>
          <w:szCs w:val="26"/>
        </w:rPr>
        <w:t xml:space="preserve"> the RTOs/ISOs </w:t>
      </w:r>
      <w:r w:rsidR="000F05BC">
        <w:rPr>
          <w:bCs/>
          <w:szCs w:val="26"/>
        </w:rPr>
        <w:t>to collect additional information from their market participants, which requires e</w:t>
      </w:r>
      <w:r w:rsidRPr="009E3D34">
        <w:rPr>
          <w:bCs/>
          <w:szCs w:val="26"/>
        </w:rPr>
        <w:t xml:space="preserve">ach RTO/ISO to modify its current process for accepting </w:t>
      </w:r>
      <w:r w:rsidR="00BD15F5">
        <w:rPr>
          <w:bCs/>
          <w:szCs w:val="26"/>
        </w:rPr>
        <w:t xml:space="preserve">this type of </w:t>
      </w:r>
      <w:r w:rsidRPr="009E3D34">
        <w:rPr>
          <w:bCs/>
          <w:szCs w:val="26"/>
        </w:rPr>
        <w:t xml:space="preserve">information from market participants.  </w:t>
      </w:r>
      <w:r w:rsidR="000F05BC">
        <w:rPr>
          <w:bCs/>
          <w:szCs w:val="26"/>
        </w:rPr>
        <w:t xml:space="preserve">Although the proposal does not require market participants to submit information directly to the Commission, it does require market participants to provide additional Connected Entities information to the RTOs/ISOs in a designated manner and format.  The burden estimates, therefore, include the additional costs of those market participant-related requirements.  </w:t>
      </w:r>
      <w:r w:rsidRPr="009E3D34">
        <w:rPr>
          <w:bCs/>
          <w:szCs w:val="26"/>
        </w:rPr>
        <w:t xml:space="preserve"> </w:t>
      </w:r>
    </w:p>
    <w:p w14:paraId="582093EB" w14:textId="2313833A" w:rsidR="00EF773F" w:rsidRPr="00B268AC" w:rsidRDefault="00B65764" w:rsidP="00EF773F">
      <w:pPr>
        <w:tabs>
          <w:tab w:val="num" w:pos="0"/>
        </w:tabs>
        <w:spacing w:before="100" w:beforeAutospacing="1" w:after="240"/>
        <w:rPr>
          <w:szCs w:val="26"/>
        </w:rPr>
      </w:pPr>
      <w:r>
        <w:rPr>
          <w:b/>
          <w:bCs/>
          <w:szCs w:val="26"/>
        </w:rPr>
        <w:t xml:space="preserve">Summary.  </w:t>
      </w:r>
      <w:r w:rsidR="00EF773F">
        <w:rPr>
          <w:bCs/>
          <w:szCs w:val="26"/>
        </w:rPr>
        <w:t xml:space="preserve">The following table </w:t>
      </w:r>
      <w:r>
        <w:rPr>
          <w:bCs/>
          <w:szCs w:val="26"/>
        </w:rPr>
        <w:t>shows t</w:t>
      </w:r>
      <w:r w:rsidR="00EF773F">
        <w:rPr>
          <w:bCs/>
          <w:szCs w:val="26"/>
        </w:rPr>
        <w:t>he currently approved inventory for FERC-921</w:t>
      </w:r>
      <w:r>
        <w:rPr>
          <w:bCs/>
          <w:szCs w:val="26"/>
        </w:rPr>
        <w:t>, revisions proposed in RM15-23, and the new proposed totals</w:t>
      </w:r>
      <w:r w:rsidR="00EF773F">
        <w:rPr>
          <w:bCs/>
          <w:szCs w:val="26"/>
        </w:rPr>
        <w:t xml:space="preserve">.  </w:t>
      </w:r>
    </w:p>
    <w:p w14:paraId="74D792BB" w14:textId="38F16ABB" w:rsidR="00EF773F" w:rsidRDefault="0096181D" w:rsidP="00DC6121">
      <w:pPr>
        <w:rPr>
          <w:szCs w:val="26"/>
        </w:rPr>
      </w:pPr>
      <w:r w:rsidRPr="0096181D">
        <w:rPr>
          <w:szCs w:val="26"/>
        </w:rPr>
        <w:t xml:space="preserve">For the purposes of this PRA submittal to OMB, we will average the additional burden </w:t>
      </w:r>
      <w:r>
        <w:rPr>
          <w:szCs w:val="26"/>
        </w:rPr>
        <w:t xml:space="preserve">and responses </w:t>
      </w:r>
      <w:r w:rsidRPr="0096181D">
        <w:rPr>
          <w:szCs w:val="26"/>
        </w:rPr>
        <w:t xml:space="preserve">over the 3-year period, giving an </w:t>
      </w:r>
      <w:r>
        <w:rPr>
          <w:szCs w:val="26"/>
        </w:rPr>
        <w:t xml:space="preserve">additional </w:t>
      </w:r>
      <w:r w:rsidRPr="002C2DAE">
        <w:rPr>
          <w:szCs w:val="26"/>
        </w:rPr>
        <w:t>average of 51,</w:t>
      </w:r>
      <w:r w:rsidR="002C2DAE" w:rsidRPr="002C2DAE">
        <w:rPr>
          <w:szCs w:val="26"/>
        </w:rPr>
        <w:t>8</w:t>
      </w:r>
      <w:r w:rsidR="002C2DAE" w:rsidRPr="00CB3AFA">
        <w:rPr>
          <w:szCs w:val="26"/>
        </w:rPr>
        <w:t xml:space="preserve">26 </w:t>
      </w:r>
      <w:r w:rsidRPr="00CB3AFA">
        <w:rPr>
          <w:szCs w:val="26"/>
        </w:rPr>
        <w:t>hours</w:t>
      </w:r>
      <w:r w:rsidRPr="0096181D">
        <w:rPr>
          <w:szCs w:val="26"/>
        </w:rPr>
        <w:t xml:space="preserve"> </w:t>
      </w:r>
      <w:r>
        <w:rPr>
          <w:szCs w:val="26"/>
        </w:rPr>
        <w:t xml:space="preserve">and 23,838 responses </w:t>
      </w:r>
      <w:r w:rsidRPr="0096181D">
        <w:rPr>
          <w:szCs w:val="26"/>
        </w:rPr>
        <w:t>per year</w:t>
      </w:r>
      <w:r>
        <w:rPr>
          <w:szCs w:val="26"/>
        </w:rPr>
        <w: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779"/>
        <w:gridCol w:w="1959"/>
        <w:gridCol w:w="1958"/>
        <w:gridCol w:w="1504"/>
      </w:tblGrid>
      <w:tr w:rsidR="00EF773F" w:rsidRPr="00BC3A9D" w14:paraId="55495C32" w14:textId="77777777" w:rsidTr="00880EAE">
        <w:trPr>
          <w:trHeight w:val="870"/>
        </w:trPr>
        <w:tc>
          <w:tcPr>
            <w:tcW w:w="2160" w:type="dxa"/>
            <w:shd w:val="clear" w:color="auto" w:fill="D9D9D9"/>
            <w:vAlign w:val="bottom"/>
          </w:tcPr>
          <w:p w14:paraId="0D251383" w14:textId="7DE333E6" w:rsidR="00EF773F" w:rsidRPr="0071322F" w:rsidRDefault="00EF773F" w:rsidP="00EF773F">
            <w:pPr>
              <w:jc w:val="center"/>
              <w:rPr>
                <w:b/>
                <w:szCs w:val="26"/>
              </w:rPr>
            </w:pPr>
            <w:r w:rsidRPr="0071322F">
              <w:rPr>
                <w:b/>
                <w:szCs w:val="26"/>
              </w:rPr>
              <w:t>FERC</w:t>
            </w:r>
            <w:r>
              <w:rPr>
                <w:b/>
                <w:szCs w:val="26"/>
              </w:rPr>
              <w:t>-921</w:t>
            </w:r>
          </w:p>
        </w:tc>
        <w:tc>
          <w:tcPr>
            <w:tcW w:w="1779" w:type="dxa"/>
            <w:shd w:val="clear" w:color="auto" w:fill="D9D9D9"/>
            <w:vAlign w:val="bottom"/>
          </w:tcPr>
          <w:p w14:paraId="626A3A91" w14:textId="77777777" w:rsidR="00EF773F" w:rsidRPr="00BC3A9D" w:rsidRDefault="00EF773F" w:rsidP="00880EAE">
            <w:pPr>
              <w:jc w:val="center"/>
              <w:rPr>
                <w:b/>
                <w:szCs w:val="26"/>
              </w:rPr>
            </w:pPr>
            <w:r w:rsidRPr="00BC3A9D">
              <w:rPr>
                <w:b/>
                <w:szCs w:val="26"/>
              </w:rPr>
              <w:t>Total Request</w:t>
            </w:r>
          </w:p>
        </w:tc>
        <w:tc>
          <w:tcPr>
            <w:tcW w:w="1959" w:type="dxa"/>
            <w:shd w:val="clear" w:color="auto" w:fill="D9D9D9"/>
            <w:vAlign w:val="bottom"/>
          </w:tcPr>
          <w:p w14:paraId="2055AC70" w14:textId="77777777" w:rsidR="00EF773F" w:rsidRPr="00BC3A9D" w:rsidRDefault="00EF773F" w:rsidP="00880EAE">
            <w:pPr>
              <w:jc w:val="center"/>
              <w:rPr>
                <w:b/>
                <w:szCs w:val="26"/>
              </w:rPr>
            </w:pPr>
            <w:r w:rsidRPr="00BC3A9D">
              <w:rPr>
                <w:b/>
                <w:szCs w:val="26"/>
              </w:rPr>
              <w:t>Previously Approved</w:t>
            </w:r>
          </w:p>
        </w:tc>
        <w:tc>
          <w:tcPr>
            <w:tcW w:w="1958" w:type="dxa"/>
            <w:shd w:val="clear" w:color="auto" w:fill="D9D9D9"/>
            <w:vAlign w:val="bottom"/>
          </w:tcPr>
          <w:p w14:paraId="11C4FD69" w14:textId="77777777" w:rsidR="00EF773F" w:rsidRPr="00BC3A9D" w:rsidRDefault="00EF773F" w:rsidP="00880EAE">
            <w:pPr>
              <w:jc w:val="center"/>
              <w:rPr>
                <w:b/>
                <w:szCs w:val="26"/>
              </w:rPr>
            </w:pPr>
            <w:r w:rsidRPr="00BC3A9D">
              <w:rPr>
                <w:b/>
                <w:szCs w:val="26"/>
              </w:rPr>
              <w:t>Change due to Adjustment in Estimate</w:t>
            </w:r>
          </w:p>
        </w:tc>
        <w:tc>
          <w:tcPr>
            <w:tcW w:w="1504" w:type="dxa"/>
            <w:shd w:val="clear" w:color="auto" w:fill="D9D9D9"/>
            <w:vAlign w:val="bottom"/>
          </w:tcPr>
          <w:p w14:paraId="4D3A6BE0" w14:textId="77777777" w:rsidR="00EF773F" w:rsidRPr="00BC3A9D" w:rsidRDefault="00EF773F" w:rsidP="00880EAE">
            <w:pPr>
              <w:jc w:val="center"/>
              <w:rPr>
                <w:b/>
                <w:szCs w:val="26"/>
              </w:rPr>
            </w:pPr>
            <w:r w:rsidRPr="00BC3A9D">
              <w:rPr>
                <w:b/>
                <w:szCs w:val="26"/>
              </w:rPr>
              <w:t>Change Due to Agency Discretion</w:t>
            </w:r>
          </w:p>
        </w:tc>
      </w:tr>
      <w:tr w:rsidR="00EF773F" w:rsidRPr="00BC3A9D" w14:paraId="559B6CF7" w14:textId="77777777" w:rsidTr="00880EAE">
        <w:trPr>
          <w:trHeight w:val="591"/>
        </w:trPr>
        <w:tc>
          <w:tcPr>
            <w:tcW w:w="2160" w:type="dxa"/>
            <w:shd w:val="clear" w:color="auto" w:fill="auto"/>
          </w:tcPr>
          <w:p w14:paraId="7A62D29C" w14:textId="77777777" w:rsidR="00EF773F" w:rsidRPr="0071322F" w:rsidRDefault="00EF773F" w:rsidP="00880EAE">
            <w:pPr>
              <w:jc w:val="center"/>
              <w:rPr>
                <w:szCs w:val="26"/>
              </w:rPr>
            </w:pPr>
            <w:r w:rsidRPr="0071322F">
              <w:rPr>
                <w:szCs w:val="26"/>
              </w:rPr>
              <w:t>Annual Number of Responses</w:t>
            </w:r>
          </w:p>
        </w:tc>
        <w:tc>
          <w:tcPr>
            <w:tcW w:w="1779" w:type="dxa"/>
            <w:shd w:val="clear" w:color="auto" w:fill="auto"/>
            <w:vAlign w:val="center"/>
          </w:tcPr>
          <w:p w14:paraId="3C36B2D1" w14:textId="3E9E12C6" w:rsidR="00EF773F" w:rsidRPr="00BC3A9D" w:rsidRDefault="00944862" w:rsidP="00944862">
            <w:pPr>
              <w:jc w:val="right"/>
              <w:rPr>
                <w:szCs w:val="26"/>
              </w:rPr>
            </w:pPr>
            <w:r w:rsidRPr="00BC3A9D">
              <w:rPr>
                <w:szCs w:val="26"/>
              </w:rPr>
              <w:t>23,844</w:t>
            </w:r>
          </w:p>
        </w:tc>
        <w:tc>
          <w:tcPr>
            <w:tcW w:w="1959" w:type="dxa"/>
            <w:shd w:val="clear" w:color="auto" w:fill="auto"/>
            <w:vAlign w:val="center"/>
          </w:tcPr>
          <w:p w14:paraId="1976D76A" w14:textId="77777777" w:rsidR="00EF773F" w:rsidRPr="00BC3A9D" w:rsidRDefault="00EF773F" w:rsidP="00880EAE">
            <w:pPr>
              <w:jc w:val="right"/>
              <w:rPr>
                <w:szCs w:val="26"/>
              </w:rPr>
            </w:pPr>
            <w:r w:rsidRPr="00BC3A9D">
              <w:rPr>
                <w:szCs w:val="26"/>
              </w:rPr>
              <w:t>6</w:t>
            </w:r>
          </w:p>
        </w:tc>
        <w:tc>
          <w:tcPr>
            <w:tcW w:w="1958" w:type="dxa"/>
            <w:shd w:val="clear" w:color="auto" w:fill="auto"/>
            <w:vAlign w:val="center"/>
          </w:tcPr>
          <w:p w14:paraId="7F32CF07" w14:textId="77777777" w:rsidR="00EF773F" w:rsidRPr="00BC3A9D" w:rsidRDefault="00EF773F" w:rsidP="00880EAE">
            <w:pPr>
              <w:jc w:val="right"/>
              <w:rPr>
                <w:szCs w:val="26"/>
              </w:rPr>
            </w:pPr>
            <w:r w:rsidRPr="00BC3A9D">
              <w:rPr>
                <w:szCs w:val="26"/>
              </w:rPr>
              <w:t>0</w:t>
            </w:r>
          </w:p>
        </w:tc>
        <w:tc>
          <w:tcPr>
            <w:tcW w:w="1504" w:type="dxa"/>
            <w:shd w:val="clear" w:color="auto" w:fill="auto"/>
            <w:vAlign w:val="center"/>
          </w:tcPr>
          <w:p w14:paraId="5B3D315C" w14:textId="51431371" w:rsidR="00EF773F" w:rsidRPr="00BC3A9D" w:rsidRDefault="009F388D" w:rsidP="00944862">
            <w:pPr>
              <w:jc w:val="right"/>
              <w:rPr>
                <w:szCs w:val="26"/>
              </w:rPr>
            </w:pPr>
            <w:r w:rsidRPr="00BC3A9D">
              <w:rPr>
                <w:szCs w:val="26"/>
              </w:rPr>
              <w:t>+</w:t>
            </w:r>
            <w:r w:rsidR="00944862" w:rsidRPr="00BC3A9D">
              <w:rPr>
                <w:szCs w:val="26"/>
              </w:rPr>
              <w:t>23,838</w:t>
            </w:r>
          </w:p>
        </w:tc>
      </w:tr>
      <w:tr w:rsidR="00EF773F" w:rsidRPr="00BC3A9D" w14:paraId="627567FE" w14:textId="77777777" w:rsidTr="00880EAE">
        <w:trPr>
          <w:trHeight w:val="575"/>
        </w:trPr>
        <w:tc>
          <w:tcPr>
            <w:tcW w:w="2160" w:type="dxa"/>
            <w:shd w:val="clear" w:color="auto" w:fill="auto"/>
          </w:tcPr>
          <w:p w14:paraId="46B011B4" w14:textId="7C331A1B" w:rsidR="00EF773F" w:rsidRPr="0071322F" w:rsidRDefault="00EF773F" w:rsidP="00880EAE">
            <w:pPr>
              <w:jc w:val="center"/>
              <w:rPr>
                <w:szCs w:val="26"/>
              </w:rPr>
            </w:pPr>
            <w:r w:rsidRPr="0071322F">
              <w:rPr>
                <w:szCs w:val="26"/>
              </w:rPr>
              <w:t>Annual Time Burden (Hr</w:t>
            </w:r>
            <w:r w:rsidR="00B65764">
              <w:rPr>
                <w:szCs w:val="26"/>
              </w:rPr>
              <w:t>.</w:t>
            </w:r>
            <w:r w:rsidRPr="0071322F">
              <w:rPr>
                <w:szCs w:val="26"/>
              </w:rPr>
              <w:t>)</w:t>
            </w:r>
          </w:p>
        </w:tc>
        <w:tc>
          <w:tcPr>
            <w:tcW w:w="1779" w:type="dxa"/>
            <w:shd w:val="clear" w:color="auto" w:fill="auto"/>
            <w:vAlign w:val="center"/>
          </w:tcPr>
          <w:p w14:paraId="6BA3F54A" w14:textId="24E40B40" w:rsidR="00EF773F" w:rsidRPr="00BC3A9D" w:rsidRDefault="00BC3A9D" w:rsidP="00880EAE">
            <w:pPr>
              <w:jc w:val="right"/>
              <w:rPr>
                <w:szCs w:val="26"/>
              </w:rPr>
            </w:pPr>
            <w:r w:rsidRPr="00BC3A9D">
              <w:rPr>
                <w:szCs w:val="26"/>
              </w:rPr>
              <w:t>52,414</w:t>
            </w:r>
          </w:p>
        </w:tc>
        <w:tc>
          <w:tcPr>
            <w:tcW w:w="1959" w:type="dxa"/>
            <w:shd w:val="clear" w:color="auto" w:fill="auto"/>
            <w:vAlign w:val="center"/>
          </w:tcPr>
          <w:p w14:paraId="0C05FBFE" w14:textId="2DC8CC63" w:rsidR="00EF773F" w:rsidRPr="00BC3A9D" w:rsidRDefault="00B65764" w:rsidP="00880EAE">
            <w:pPr>
              <w:jc w:val="right"/>
              <w:rPr>
                <w:szCs w:val="26"/>
              </w:rPr>
            </w:pPr>
            <w:r w:rsidRPr="00BC3A9D">
              <w:rPr>
                <w:szCs w:val="26"/>
              </w:rPr>
              <w:t>588</w:t>
            </w:r>
          </w:p>
        </w:tc>
        <w:tc>
          <w:tcPr>
            <w:tcW w:w="1958" w:type="dxa"/>
            <w:shd w:val="clear" w:color="auto" w:fill="auto"/>
            <w:vAlign w:val="center"/>
          </w:tcPr>
          <w:p w14:paraId="5CA0E629" w14:textId="0B55AA9D" w:rsidR="00EF773F" w:rsidRPr="00BC3A9D" w:rsidRDefault="00B65764" w:rsidP="002B7E9C">
            <w:pPr>
              <w:jc w:val="right"/>
              <w:rPr>
                <w:szCs w:val="26"/>
              </w:rPr>
            </w:pPr>
            <w:r w:rsidRPr="00BC3A9D">
              <w:rPr>
                <w:szCs w:val="26"/>
              </w:rPr>
              <w:t>0</w:t>
            </w:r>
          </w:p>
        </w:tc>
        <w:tc>
          <w:tcPr>
            <w:tcW w:w="1504" w:type="dxa"/>
            <w:shd w:val="clear" w:color="auto" w:fill="auto"/>
            <w:vAlign w:val="center"/>
          </w:tcPr>
          <w:p w14:paraId="23AA9727" w14:textId="1B1244B5" w:rsidR="00EF773F" w:rsidRPr="00BC3A9D" w:rsidRDefault="009F388D" w:rsidP="00BC3A9D">
            <w:pPr>
              <w:jc w:val="right"/>
              <w:rPr>
                <w:szCs w:val="26"/>
              </w:rPr>
            </w:pPr>
            <w:r w:rsidRPr="00BC3A9D">
              <w:rPr>
                <w:szCs w:val="26"/>
              </w:rPr>
              <w:t>+</w:t>
            </w:r>
            <w:r w:rsidR="00D217D6" w:rsidRPr="00BC3A9D">
              <w:rPr>
                <w:szCs w:val="26"/>
              </w:rPr>
              <w:t>51,</w:t>
            </w:r>
            <w:r w:rsidR="00BC3A9D" w:rsidRPr="00BC3A9D">
              <w:rPr>
                <w:szCs w:val="26"/>
              </w:rPr>
              <w:t>826</w:t>
            </w:r>
          </w:p>
        </w:tc>
      </w:tr>
      <w:tr w:rsidR="00EF773F" w:rsidRPr="00BC3A9D" w14:paraId="23DEA124" w14:textId="77777777" w:rsidTr="00880EAE">
        <w:trPr>
          <w:trHeight w:val="295"/>
        </w:trPr>
        <w:tc>
          <w:tcPr>
            <w:tcW w:w="2160" w:type="dxa"/>
            <w:tcBorders>
              <w:bottom w:val="single" w:sz="4" w:space="0" w:color="auto"/>
            </w:tcBorders>
            <w:shd w:val="clear" w:color="auto" w:fill="auto"/>
          </w:tcPr>
          <w:p w14:paraId="4D235749" w14:textId="77777777" w:rsidR="00EF773F" w:rsidRPr="0071322F" w:rsidRDefault="00EF773F" w:rsidP="00880EAE">
            <w:pPr>
              <w:jc w:val="center"/>
              <w:rPr>
                <w:szCs w:val="26"/>
              </w:rPr>
            </w:pPr>
            <w:r w:rsidRPr="0071322F">
              <w:rPr>
                <w:szCs w:val="26"/>
              </w:rPr>
              <w:t>Annual Cost Burden ($)</w:t>
            </w:r>
          </w:p>
        </w:tc>
        <w:tc>
          <w:tcPr>
            <w:tcW w:w="1779" w:type="dxa"/>
            <w:tcBorders>
              <w:bottom w:val="single" w:sz="4" w:space="0" w:color="auto"/>
            </w:tcBorders>
            <w:shd w:val="clear" w:color="auto" w:fill="auto"/>
            <w:vAlign w:val="center"/>
          </w:tcPr>
          <w:p w14:paraId="5FD86774" w14:textId="5AAB22B7" w:rsidR="00EF773F" w:rsidRPr="00BC3A9D" w:rsidRDefault="00106A35" w:rsidP="00880EAE">
            <w:pPr>
              <w:jc w:val="right"/>
              <w:rPr>
                <w:szCs w:val="26"/>
              </w:rPr>
            </w:pPr>
            <w:r w:rsidRPr="00BC3A9D">
              <w:rPr>
                <w:szCs w:val="26"/>
              </w:rPr>
              <w:t>$0</w:t>
            </w:r>
          </w:p>
        </w:tc>
        <w:tc>
          <w:tcPr>
            <w:tcW w:w="1959" w:type="dxa"/>
            <w:tcBorders>
              <w:bottom w:val="single" w:sz="4" w:space="0" w:color="auto"/>
            </w:tcBorders>
            <w:shd w:val="clear" w:color="auto" w:fill="auto"/>
            <w:vAlign w:val="center"/>
          </w:tcPr>
          <w:p w14:paraId="0C05C87A" w14:textId="5C875993" w:rsidR="00EF773F" w:rsidRPr="00BC3A9D" w:rsidRDefault="00106A35" w:rsidP="00880EAE">
            <w:pPr>
              <w:jc w:val="right"/>
              <w:rPr>
                <w:szCs w:val="26"/>
              </w:rPr>
            </w:pPr>
            <w:r w:rsidRPr="00BC3A9D">
              <w:rPr>
                <w:szCs w:val="26"/>
              </w:rPr>
              <w:t>$0</w:t>
            </w:r>
          </w:p>
        </w:tc>
        <w:tc>
          <w:tcPr>
            <w:tcW w:w="1958" w:type="dxa"/>
            <w:tcBorders>
              <w:bottom w:val="single" w:sz="4" w:space="0" w:color="auto"/>
            </w:tcBorders>
            <w:shd w:val="clear" w:color="auto" w:fill="auto"/>
            <w:vAlign w:val="center"/>
          </w:tcPr>
          <w:p w14:paraId="54E8A30C" w14:textId="22FB8254" w:rsidR="00EF773F" w:rsidRPr="00BC3A9D" w:rsidRDefault="00106A35" w:rsidP="00880EAE">
            <w:pPr>
              <w:jc w:val="right"/>
              <w:rPr>
                <w:szCs w:val="26"/>
              </w:rPr>
            </w:pPr>
            <w:r w:rsidRPr="00BC3A9D">
              <w:rPr>
                <w:szCs w:val="26"/>
              </w:rPr>
              <w:t>$0</w:t>
            </w:r>
          </w:p>
        </w:tc>
        <w:tc>
          <w:tcPr>
            <w:tcW w:w="1504" w:type="dxa"/>
            <w:tcBorders>
              <w:bottom w:val="single" w:sz="4" w:space="0" w:color="auto"/>
            </w:tcBorders>
            <w:shd w:val="clear" w:color="auto" w:fill="auto"/>
            <w:vAlign w:val="center"/>
          </w:tcPr>
          <w:p w14:paraId="7BC3DC12" w14:textId="77777777" w:rsidR="00EF773F" w:rsidRPr="00BC3A9D" w:rsidRDefault="00EF773F" w:rsidP="00880EAE">
            <w:pPr>
              <w:jc w:val="right"/>
              <w:rPr>
                <w:szCs w:val="26"/>
              </w:rPr>
            </w:pPr>
            <w:r w:rsidRPr="00BC3A9D">
              <w:rPr>
                <w:szCs w:val="26"/>
              </w:rPr>
              <w:t>0</w:t>
            </w:r>
          </w:p>
        </w:tc>
      </w:tr>
    </w:tbl>
    <w:p w14:paraId="2ED8ACA2" w14:textId="77777777" w:rsidR="00EF773F" w:rsidRPr="004D1C42" w:rsidRDefault="00EF773F" w:rsidP="00EF773F">
      <w:pPr>
        <w:pStyle w:val="ListParagraph"/>
        <w:spacing w:after="0" w:line="240" w:lineRule="auto"/>
        <w:rPr>
          <w:rFonts w:ascii="Arial" w:hAnsi="Arial" w:cs="Arial"/>
          <w:sz w:val="20"/>
          <w:szCs w:val="20"/>
        </w:rPr>
      </w:pPr>
    </w:p>
    <w:p w14:paraId="4963926D" w14:textId="77777777" w:rsidR="00BA7345" w:rsidRDefault="00BA7345">
      <w:pPr>
        <w:ind w:firstLine="720"/>
      </w:pPr>
    </w:p>
    <w:p w14:paraId="0BF535B2" w14:textId="77777777" w:rsidR="00BA7345" w:rsidRPr="002D3DBA" w:rsidRDefault="00E77EE0" w:rsidP="00E77EE0">
      <w:pPr>
        <w:pStyle w:val="Level1"/>
        <w:widowControl/>
        <w:numPr>
          <w:ilvl w:val="0"/>
          <w:numId w:val="0"/>
        </w:numPr>
        <w:tabs>
          <w:tab w:val="left" w:pos="-1440"/>
        </w:tabs>
        <w:ind w:left="720" w:hanging="720"/>
        <w:rPr>
          <w:b/>
        </w:rPr>
      </w:pPr>
      <w:r>
        <w:rPr>
          <w:b/>
        </w:rPr>
        <w:t>16.</w:t>
      </w:r>
      <w:r>
        <w:rPr>
          <w:b/>
        </w:rPr>
        <w:tab/>
      </w:r>
      <w:r w:rsidR="00BA7345" w:rsidRPr="002D3DBA">
        <w:rPr>
          <w:b/>
        </w:rPr>
        <w:t>TIME SCHEDULE FOR THE PUBLICATION OF DATA</w:t>
      </w:r>
    </w:p>
    <w:p w14:paraId="591995D3" w14:textId="77777777" w:rsidR="008057ED" w:rsidRDefault="008057ED" w:rsidP="008057ED">
      <w:pPr>
        <w:tabs>
          <w:tab w:val="left" w:pos="-1440"/>
        </w:tabs>
        <w:rPr>
          <w:b/>
        </w:rPr>
      </w:pPr>
    </w:p>
    <w:p w14:paraId="4595A747" w14:textId="77777777" w:rsidR="00701886" w:rsidRDefault="001A6452" w:rsidP="008057ED">
      <w:pPr>
        <w:tabs>
          <w:tab w:val="left" w:pos="-1440"/>
        </w:tabs>
      </w:pPr>
      <w:r>
        <w:t>The data are being collected for regulatory purposes and not for the purposes of publication.</w:t>
      </w:r>
    </w:p>
    <w:p w14:paraId="193F30A7" w14:textId="77777777" w:rsidR="001A6452" w:rsidRDefault="001A6452" w:rsidP="001A6452">
      <w:pPr>
        <w:tabs>
          <w:tab w:val="left" w:pos="-1440"/>
        </w:tabs>
        <w:ind w:firstLine="720"/>
        <w:rPr>
          <w:szCs w:val="26"/>
        </w:rPr>
      </w:pPr>
    </w:p>
    <w:p w14:paraId="283A32B0" w14:textId="77777777" w:rsidR="00BA7345" w:rsidRPr="002D3DBA" w:rsidRDefault="003F64B0" w:rsidP="00942DB3">
      <w:pPr>
        <w:pStyle w:val="Level1"/>
        <w:widowControl/>
        <w:numPr>
          <w:ilvl w:val="0"/>
          <w:numId w:val="0"/>
        </w:numPr>
        <w:tabs>
          <w:tab w:val="left" w:pos="-1440"/>
        </w:tabs>
        <w:ind w:left="720" w:hanging="720"/>
        <w:rPr>
          <w:b/>
        </w:rPr>
      </w:pPr>
      <w:r>
        <w:rPr>
          <w:b/>
        </w:rPr>
        <w:t>17.</w:t>
      </w:r>
      <w:r>
        <w:rPr>
          <w:b/>
        </w:rPr>
        <w:tab/>
      </w:r>
      <w:r w:rsidR="00BA7345" w:rsidRPr="002D3DBA">
        <w:rPr>
          <w:b/>
        </w:rPr>
        <w:t>DISPLAY OF EXPIRATION DATE</w:t>
      </w:r>
    </w:p>
    <w:p w14:paraId="5BB7505E" w14:textId="77777777" w:rsidR="008057ED" w:rsidRDefault="008057ED" w:rsidP="008057ED">
      <w:pPr>
        <w:rPr>
          <w:b/>
        </w:rPr>
      </w:pPr>
    </w:p>
    <w:p w14:paraId="22931C76" w14:textId="77777777" w:rsidR="007760B5" w:rsidRDefault="007760B5" w:rsidP="007760B5">
      <w:pPr>
        <w:rPr>
          <w:szCs w:val="26"/>
        </w:rPr>
      </w:pPr>
      <w:r w:rsidRPr="00304CD0">
        <w:rPr>
          <w:szCs w:val="26"/>
        </w:rPr>
        <w:t xml:space="preserve">The information is not collected on a standard, preprinted form which would allow the display of the expiration date for OMB approval of the information collected.  </w:t>
      </w:r>
    </w:p>
    <w:p w14:paraId="3F1C5657" w14:textId="77777777" w:rsidR="009A7831" w:rsidRDefault="009A7831" w:rsidP="007760B5">
      <w:pPr>
        <w:rPr>
          <w:szCs w:val="26"/>
        </w:rPr>
      </w:pPr>
    </w:p>
    <w:p w14:paraId="3D29251E" w14:textId="1D2D773D" w:rsidR="009A7831" w:rsidRPr="00304CD0" w:rsidRDefault="009A7831" w:rsidP="007760B5">
      <w:pPr>
        <w:rPr>
          <w:szCs w:val="26"/>
        </w:rPr>
      </w:pPr>
      <w:r w:rsidRPr="009A7831">
        <w:rPr>
          <w:szCs w:val="26"/>
        </w:rPr>
        <w:t xml:space="preserve">The expiration date is displayed at </w:t>
      </w:r>
      <w:hyperlink r:id="rId15" w:history="1">
        <w:r w:rsidR="00357F3C" w:rsidRPr="001B3E42">
          <w:rPr>
            <w:rStyle w:val="Hyperlink"/>
            <w:szCs w:val="26"/>
          </w:rPr>
          <w:t>http://www.ferc.gov/docs-filing/info-collections.asp</w:t>
        </w:r>
      </w:hyperlink>
      <w:r w:rsidRPr="009A7831">
        <w:rPr>
          <w:szCs w:val="26"/>
        </w:rPr>
        <w:t>.</w:t>
      </w:r>
    </w:p>
    <w:p w14:paraId="00B7AD71" w14:textId="77777777" w:rsidR="00BA7345" w:rsidRDefault="00BA7345" w:rsidP="00100664">
      <w:pPr>
        <w:ind w:left="720"/>
        <w:rPr>
          <w:szCs w:val="26"/>
        </w:rPr>
      </w:pPr>
    </w:p>
    <w:p w14:paraId="218581F9" w14:textId="77777777" w:rsidR="00BA7345" w:rsidRPr="002D3DBA" w:rsidRDefault="003F64B0" w:rsidP="003F64B0">
      <w:pPr>
        <w:pStyle w:val="Level1"/>
        <w:widowControl/>
        <w:numPr>
          <w:ilvl w:val="0"/>
          <w:numId w:val="0"/>
        </w:numPr>
        <w:tabs>
          <w:tab w:val="left" w:pos="-1440"/>
        </w:tabs>
        <w:rPr>
          <w:b/>
        </w:rPr>
      </w:pPr>
      <w:r>
        <w:rPr>
          <w:b/>
        </w:rPr>
        <w:t>18.</w:t>
      </w:r>
      <w:r>
        <w:rPr>
          <w:b/>
        </w:rPr>
        <w:tab/>
      </w:r>
      <w:r w:rsidR="00BA7345" w:rsidRPr="002D3DBA">
        <w:rPr>
          <w:b/>
        </w:rPr>
        <w:t>EXCEPTION TO THE CERTIFICATION STATEMENT</w:t>
      </w:r>
    </w:p>
    <w:p w14:paraId="19D7F099" w14:textId="77777777" w:rsidR="008057ED" w:rsidRDefault="008057ED" w:rsidP="008057ED">
      <w:pPr>
        <w:rPr>
          <w:b/>
        </w:rPr>
      </w:pPr>
    </w:p>
    <w:p w14:paraId="5D82E9A2" w14:textId="5AAFDC83" w:rsidR="005D0864" w:rsidRPr="005D0864" w:rsidRDefault="00F509D3" w:rsidP="00BC3A9D">
      <w:pPr>
        <w:tabs>
          <w:tab w:val="left" w:pos="5745"/>
        </w:tabs>
        <w:rPr>
          <w:rFonts w:eastAsia="Calibri"/>
          <w:szCs w:val="26"/>
        </w:rPr>
      </w:pPr>
      <w:r>
        <w:rPr>
          <w:szCs w:val="26"/>
        </w:rPr>
        <w:t>There are no exceptions.</w:t>
      </w:r>
    </w:p>
    <w:sectPr w:rsidR="005D0864" w:rsidRPr="005D0864" w:rsidSect="00705E5F">
      <w:headerReference w:type="default" r:id="rId16"/>
      <w:type w:val="continuous"/>
      <w:pgSz w:w="12240" w:h="15840" w:code="1"/>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94571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1976F2" w14:textId="77777777" w:rsidR="00572F9F" w:rsidRDefault="00572F9F">
      <w:r>
        <w:separator/>
      </w:r>
    </w:p>
  </w:endnote>
  <w:endnote w:type="continuationSeparator" w:id="0">
    <w:p w14:paraId="6FBB3DA7" w14:textId="77777777" w:rsidR="00572F9F" w:rsidRDefault="00572F9F">
      <w:r>
        <w:continuationSeparator/>
      </w:r>
    </w:p>
  </w:endnote>
  <w:endnote w:type="continuationNotice" w:id="1">
    <w:p w14:paraId="12989619" w14:textId="77777777" w:rsidR="00572F9F" w:rsidRDefault="00572F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6D22C" w14:textId="77777777" w:rsidR="00572F9F" w:rsidRDefault="00572F9F">
      <w:r>
        <w:separator/>
      </w:r>
    </w:p>
  </w:footnote>
  <w:footnote w:type="continuationSeparator" w:id="0">
    <w:p w14:paraId="5DE07710" w14:textId="77777777" w:rsidR="00572F9F" w:rsidRDefault="00572F9F">
      <w:r>
        <w:continuationSeparator/>
      </w:r>
    </w:p>
  </w:footnote>
  <w:footnote w:type="continuationNotice" w:id="1">
    <w:p w14:paraId="6ACB9733" w14:textId="77777777" w:rsidR="00572F9F" w:rsidRDefault="00572F9F"/>
  </w:footnote>
  <w:footnote w:id="2">
    <w:p w14:paraId="5ACB972B" w14:textId="709A5633" w:rsidR="005D715D" w:rsidRDefault="005D715D" w:rsidP="00051E5C">
      <w:pPr>
        <w:pStyle w:val="FootnoteText"/>
        <w:spacing w:after="0"/>
        <w:ind w:firstLine="0"/>
      </w:pPr>
      <w:r>
        <w:rPr>
          <w:rStyle w:val="FootnoteReference"/>
        </w:rPr>
        <w:footnoteRef/>
      </w:r>
      <w:r>
        <w:t xml:space="preserve"> The NOPR is posted in FERC’s eLibrary at </w:t>
      </w:r>
      <w:hyperlink r:id="rId1" w:history="1">
        <w:r w:rsidRPr="00217EEA">
          <w:rPr>
            <w:rStyle w:val="Hyperlink"/>
          </w:rPr>
          <w:t>http://elibrary.ferc.gov/idmws/common/opennat.asp?fileID=13989180</w:t>
        </w:r>
      </w:hyperlink>
      <w:r>
        <w:t xml:space="preserve">.  Commissioner LaFleur’s Statement is available at </w:t>
      </w:r>
      <w:hyperlink r:id="rId2" w:history="1">
        <w:r w:rsidRPr="00217EEA">
          <w:rPr>
            <w:rStyle w:val="Hyperlink"/>
          </w:rPr>
          <w:t>http://elibrary.ferc.gov/idmws/common/opennat.asp?fileID=13989194</w:t>
        </w:r>
      </w:hyperlink>
      <w:r>
        <w:t xml:space="preserve">; the News Release is posted at </w:t>
      </w:r>
      <w:hyperlink r:id="rId3" w:history="1">
        <w:r w:rsidR="00FE438E" w:rsidRPr="00217EEA">
          <w:rPr>
            <w:rStyle w:val="Hyperlink"/>
          </w:rPr>
          <w:t>http://elibrary.ferc.gov/idmws/common/opennat.asp?fileID=13989192</w:t>
        </w:r>
      </w:hyperlink>
      <w:r>
        <w:t>.</w:t>
      </w:r>
    </w:p>
  </w:footnote>
  <w:footnote w:id="3">
    <w:p w14:paraId="79C678E3" w14:textId="77777777" w:rsidR="00D4221B" w:rsidRPr="00051E5C" w:rsidRDefault="00D4221B" w:rsidP="00F3149D">
      <w:pPr>
        <w:pStyle w:val="FootnoteText"/>
        <w:spacing w:after="0"/>
        <w:ind w:firstLine="0"/>
        <w:rPr>
          <w:szCs w:val="26"/>
        </w:rPr>
      </w:pPr>
      <w:r w:rsidRPr="00051E5C">
        <w:rPr>
          <w:rStyle w:val="FootnoteReference"/>
        </w:rPr>
        <w:footnoteRef/>
      </w:r>
      <w:r w:rsidRPr="00051E5C">
        <w:rPr>
          <w:szCs w:val="26"/>
        </w:rPr>
        <w:t xml:space="preserve"> </w:t>
      </w:r>
      <w:r w:rsidRPr="00051E5C">
        <w:rPr>
          <w:i/>
          <w:szCs w:val="26"/>
        </w:rPr>
        <w:t xml:space="preserve">See </w:t>
      </w:r>
      <w:r w:rsidRPr="00051E5C">
        <w:rPr>
          <w:szCs w:val="26"/>
        </w:rPr>
        <w:t>16 U.S.C. 824d, 824e [attached in ROCIS under Supplementary Documents].</w:t>
      </w:r>
    </w:p>
  </w:footnote>
  <w:footnote w:id="4">
    <w:p w14:paraId="4E189DF1" w14:textId="77777777" w:rsidR="00D4221B" w:rsidRPr="00051E5C" w:rsidRDefault="00D4221B" w:rsidP="00F3149D">
      <w:pPr>
        <w:pStyle w:val="FootnoteText"/>
        <w:spacing w:after="0"/>
        <w:ind w:firstLine="0"/>
        <w:rPr>
          <w:szCs w:val="26"/>
        </w:rPr>
      </w:pPr>
      <w:r w:rsidRPr="00051E5C">
        <w:rPr>
          <w:rStyle w:val="FootnoteReference"/>
        </w:rPr>
        <w:footnoteRef/>
      </w:r>
      <w:r w:rsidRPr="00051E5C">
        <w:rPr>
          <w:szCs w:val="26"/>
        </w:rPr>
        <w:t xml:space="preserve"> </w:t>
      </w:r>
      <w:r w:rsidRPr="00051E5C">
        <w:rPr>
          <w:i/>
          <w:szCs w:val="26"/>
        </w:rPr>
        <w:t xml:space="preserve">See </w:t>
      </w:r>
      <w:r w:rsidRPr="00051E5C">
        <w:rPr>
          <w:szCs w:val="26"/>
        </w:rPr>
        <w:t>16 U.S.C. 824v [attached in ROCIS under Supplementary Documents].</w:t>
      </w:r>
    </w:p>
  </w:footnote>
  <w:footnote w:id="5">
    <w:p w14:paraId="216FFB99" w14:textId="77777777" w:rsidR="00D4221B" w:rsidRPr="00051E5C" w:rsidRDefault="00D4221B" w:rsidP="00F3149D">
      <w:pPr>
        <w:pStyle w:val="FootnoteText"/>
        <w:spacing w:after="0"/>
        <w:ind w:firstLine="0"/>
        <w:rPr>
          <w:szCs w:val="26"/>
        </w:rPr>
      </w:pPr>
      <w:r w:rsidRPr="00051E5C">
        <w:rPr>
          <w:rStyle w:val="FootnoteReference"/>
        </w:rPr>
        <w:footnoteRef/>
      </w:r>
      <w:r w:rsidRPr="00051E5C">
        <w:rPr>
          <w:szCs w:val="26"/>
        </w:rPr>
        <w:t xml:space="preserve"> 16 U.S.C. 825(b).</w:t>
      </w:r>
    </w:p>
  </w:footnote>
  <w:footnote w:id="6">
    <w:p w14:paraId="6013D646" w14:textId="77777777" w:rsidR="00D4221B" w:rsidRPr="00051E5C" w:rsidRDefault="00D4221B" w:rsidP="00F3149D">
      <w:pPr>
        <w:pStyle w:val="FootnoteText"/>
        <w:spacing w:after="0"/>
        <w:ind w:firstLine="0"/>
        <w:rPr>
          <w:szCs w:val="26"/>
        </w:rPr>
      </w:pPr>
      <w:r w:rsidRPr="00051E5C">
        <w:rPr>
          <w:rStyle w:val="FootnoteReference"/>
        </w:rPr>
        <w:footnoteRef/>
      </w:r>
      <w:r w:rsidRPr="00051E5C">
        <w:rPr>
          <w:szCs w:val="26"/>
        </w:rPr>
        <w:t xml:space="preserve"> 16 U.S.C. 825f(a).</w:t>
      </w:r>
    </w:p>
  </w:footnote>
  <w:footnote w:id="7">
    <w:p w14:paraId="135CEE04" w14:textId="6F2C1D12" w:rsidR="00D4221B" w:rsidRPr="00051E5C" w:rsidRDefault="00D4221B" w:rsidP="00DC6121">
      <w:pPr>
        <w:pStyle w:val="FootnoteText"/>
        <w:ind w:firstLine="0"/>
        <w:rPr>
          <w:szCs w:val="26"/>
        </w:rPr>
      </w:pPr>
      <w:r w:rsidRPr="00051E5C">
        <w:rPr>
          <w:rStyle w:val="FootnoteReference"/>
        </w:rPr>
        <w:footnoteRef/>
      </w:r>
      <w:r w:rsidRPr="00051E5C">
        <w:rPr>
          <w:szCs w:val="26"/>
        </w:rPr>
        <w:t xml:space="preserve"> The small business threshold is defined by the Small Business Administration in 13 CFR 121.201 (Sector, Utilities).</w:t>
      </w:r>
    </w:p>
  </w:footnote>
  <w:footnote w:id="8">
    <w:p w14:paraId="684F0F10" w14:textId="6AFD511C" w:rsidR="00D4221B" w:rsidRPr="00051E5C" w:rsidRDefault="001D35B8" w:rsidP="00F3149D">
      <w:pPr>
        <w:pStyle w:val="FootnoteText"/>
        <w:spacing w:after="0"/>
        <w:ind w:firstLine="0"/>
        <w:rPr>
          <w:szCs w:val="26"/>
        </w:rPr>
      </w:pPr>
      <w:r w:rsidRPr="00051E5C">
        <w:rPr>
          <w:szCs w:val="26"/>
        </w:rPr>
        <w:tab/>
      </w:r>
      <w:r w:rsidR="00D4221B" w:rsidRPr="00051E5C">
        <w:rPr>
          <w:rStyle w:val="FootnoteReference"/>
        </w:rPr>
        <w:footnoteRef/>
      </w:r>
      <w:r w:rsidR="00D4221B" w:rsidRPr="00051E5C">
        <w:rPr>
          <w:szCs w:val="26"/>
        </w:rPr>
        <w:t xml:space="preserve"> </w:t>
      </w:r>
      <w:hyperlink r:id="rId4" w:history="1">
        <w:r w:rsidRPr="00051E5C">
          <w:rPr>
            <w:rStyle w:val="Hyperlink"/>
            <w:szCs w:val="26"/>
          </w:rPr>
          <w:t>http://www.justice.gov/sites/default/files/oip/legacy/2014/07/23/</w:t>
        </w:r>
        <w:r w:rsidRPr="001D35B8">
          <w:rPr>
            <w:rStyle w:val="Hyperlink"/>
            <w:szCs w:val="26"/>
          </w:rPr>
          <w:t xml:space="preserve"> </w:t>
        </w:r>
        <w:r w:rsidRPr="00051E5C">
          <w:rPr>
            <w:rStyle w:val="Hyperlink"/>
            <w:szCs w:val="26"/>
          </w:rPr>
          <w:t>exemption4_0.pdf</w:t>
        </w:r>
      </w:hyperlink>
    </w:p>
    <w:p w14:paraId="0C580850" w14:textId="77777777" w:rsidR="00D4221B" w:rsidRPr="00051E5C" w:rsidRDefault="00D4221B" w:rsidP="00F3149D">
      <w:pPr>
        <w:pStyle w:val="FootnoteText"/>
        <w:spacing w:after="0"/>
        <w:ind w:firstLine="0"/>
        <w:rPr>
          <w:szCs w:val="26"/>
        </w:rPr>
      </w:pPr>
    </w:p>
  </w:footnote>
  <w:footnote w:id="9">
    <w:p w14:paraId="124D1585" w14:textId="77777777" w:rsidR="00D4221B" w:rsidRPr="001D35B8" w:rsidRDefault="00D4221B" w:rsidP="0036604E">
      <w:pPr>
        <w:pStyle w:val="FootnoteText"/>
        <w:spacing w:after="0"/>
        <w:rPr>
          <w:szCs w:val="26"/>
        </w:rPr>
      </w:pPr>
      <w:r w:rsidRPr="001D35B8">
        <w:rPr>
          <w:rStyle w:val="FootnoteReference"/>
        </w:rPr>
        <w:footnoteRef/>
      </w:r>
      <w:r w:rsidRPr="001D35B8">
        <w:rPr>
          <w:szCs w:val="26"/>
        </w:rPr>
        <w:t xml:space="preserve"> The estimated hourly cost (salary plus benefits) provided in this section are based on the figures for May 2014 posted by the Bureau of Labor Statistics for the Utilities sector (available at </w:t>
      </w:r>
      <w:hyperlink r:id="rId5" w:anchor="13-0000" w:history="1">
        <w:r w:rsidRPr="001D35B8">
          <w:rPr>
            <w:rStyle w:val="Hyperlink"/>
            <w:szCs w:val="26"/>
          </w:rPr>
          <w:t>http://www.bls.gov/oes/current/naics2_22.htm#13-0000</w:t>
        </w:r>
      </w:hyperlink>
      <w:r w:rsidRPr="001D35B8">
        <w:rPr>
          <w:szCs w:val="26"/>
        </w:rPr>
        <w:t>).  The hourly estimates for salary plus benefits are:</w:t>
      </w:r>
    </w:p>
    <w:p w14:paraId="323F4B1C" w14:textId="77777777" w:rsidR="00D4221B" w:rsidRPr="001D35B8" w:rsidRDefault="00D4221B" w:rsidP="0036604E">
      <w:pPr>
        <w:pStyle w:val="FootnoteText"/>
        <w:widowControl w:val="0"/>
        <w:numPr>
          <w:ilvl w:val="0"/>
          <w:numId w:val="32"/>
        </w:numPr>
        <w:autoSpaceDE w:val="0"/>
        <w:autoSpaceDN w:val="0"/>
        <w:adjustRightInd w:val="0"/>
        <w:spacing w:after="0"/>
        <w:rPr>
          <w:szCs w:val="26"/>
        </w:rPr>
      </w:pPr>
      <w:r w:rsidRPr="001D35B8">
        <w:rPr>
          <w:szCs w:val="26"/>
        </w:rPr>
        <w:t>Legal (code 23-0000), $129.87</w:t>
      </w:r>
    </w:p>
    <w:p w14:paraId="41314910" w14:textId="77777777" w:rsidR="00D4221B" w:rsidRPr="001D35B8" w:rsidRDefault="00D4221B" w:rsidP="0036604E">
      <w:pPr>
        <w:pStyle w:val="FootnoteText"/>
        <w:widowControl w:val="0"/>
        <w:numPr>
          <w:ilvl w:val="0"/>
          <w:numId w:val="32"/>
        </w:numPr>
        <w:autoSpaceDE w:val="0"/>
        <w:autoSpaceDN w:val="0"/>
        <w:adjustRightInd w:val="0"/>
        <w:spacing w:after="0"/>
        <w:rPr>
          <w:szCs w:val="26"/>
        </w:rPr>
      </w:pPr>
      <w:r w:rsidRPr="001D35B8">
        <w:rPr>
          <w:szCs w:val="26"/>
        </w:rPr>
        <w:t>Computer and mathematical (code 15-0000), $58.25</w:t>
      </w:r>
    </w:p>
    <w:p w14:paraId="1ACCC720" w14:textId="77777777" w:rsidR="00D4221B" w:rsidRPr="001D35B8" w:rsidRDefault="00D4221B" w:rsidP="0036604E">
      <w:pPr>
        <w:pStyle w:val="FootnoteText"/>
        <w:widowControl w:val="0"/>
        <w:numPr>
          <w:ilvl w:val="0"/>
          <w:numId w:val="32"/>
        </w:numPr>
        <w:autoSpaceDE w:val="0"/>
        <w:autoSpaceDN w:val="0"/>
        <w:adjustRightInd w:val="0"/>
        <w:spacing w:after="0"/>
        <w:rPr>
          <w:szCs w:val="26"/>
        </w:rPr>
      </w:pPr>
      <w:r w:rsidRPr="001D35B8">
        <w:rPr>
          <w:szCs w:val="26"/>
        </w:rPr>
        <w:t>Information systems manager (code 11-3021), $94.55</w:t>
      </w:r>
    </w:p>
    <w:p w14:paraId="3CFFE813" w14:textId="77777777" w:rsidR="00D4221B" w:rsidRPr="001D35B8" w:rsidRDefault="00D4221B" w:rsidP="0036604E">
      <w:pPr>
        <w:pStyle w:val="FootnoteText"/>
        <w:widowControl w:val="0"/>
        <w:numPr>
          <w:ilvl w:val="0"/>
          <w:numId w:val="32"/>
        </w:numPr>
        <w:autoSpaceDE w:val="0"/>
        <w:autoSpaceDN w:val="0"/>
        <w:adjustRightInd w:val="0"/>
        <w:spacing w:after="0"/>
        <w:rPr>
          <w:szCs w:val="26"/>
        </w:rPr>
      </w:pPr>
      <w:r w:rsidRPr="001D35B8">
        <w:rPr>
          <w:szCs w:val="26"/>
        </w:rPr>
        <w:t>IT security analyst (code 15-1122), $63.55</w:t>
      </w:r>
    </w:p>
    <w:p w14:paraId="4076E563" w14:textId="77777777" w:rsidR="00D4221B" w:rsidRPr="001D35B8" w:rsidRDefault="00D4221B" w:rsidP="0036604E">
      <w:pPr>
        <w:pStyle w:val="FootnoteText"/>
        <w:widowControl w:val="0"/>
        <w:numPr>
          <w:ilvl w:val="0"/>
          <w:numId w:val="32"/>
        </w:numPr>
        <w:autoSpaceDE w:val="0"/>
        <w:autoSpaceDN w:val="0"/>
        <w:adjustRightInd w:val="0"/>
        <w:spacing w:after="0"/>
        <w:rPr>
          <w:szCs w:val="26"/>
        </w:rPr>
      </w:pPr>
      <w:r w:rsidRPr="001D35B8">
        <w:rPr>
          <w:szCs w:val="26"/>
        </w:rPr>
        <w:t>Auditing and accounting (code 13-2011), $51.11</w:t>
      </w:r>
    </w:p>
    <w:p w14:paraId="2C4AE18E" w14:textId="77777777" w:rsidR="00D4221B" w:rsidRPr="001D35B8" w:rsidRDefault="00D4221B" w:rsidP="0036604E">
      <w:pPr>
        <w:pStyle w:val="FootnoteText"/>
        <w:widowControl w:val="0"/>
        <w:numPr>
          <w:ilvl w:val="0"/>
          <w:numId w:val="32"/>
        </w:numPr>
        <w:autoSpaceDE w:val="0"/>
        <w:autoSpaceDN w:val="0"/>
        <w:adjustRightInd w:val="0"/>
        <w:spacing w:after="0"/>
        <w:rPr>
          <w:szCs w:val="26"/>
        </w:rPr>
      </w:pPr>
      <w:r w:rsidRPr="001D35B8">
        <w:rPr>
          <w:szCs w:val="26"/>
        </w:rPr>
        <w:t xml:space="preserve">Information and record clerk (Referred to as administrative work in the body) (code 43-4199), $37.50 </w:t>
      </w:r>
    </w:p>
    <w:p w14:paraId="4FBBCF37" w14:textId="77777777" w:rsidR="00D4221B" w:rsidRPr="001D35B8" w:rsidRDefault="00D4221B" w:rsidP="0036604E">
      <w:pPr>
        <w:pStyle w:val="FootnoteText"/>
        <w:spacing w:after="0"/>
        <w:ind w:left="1440" w:firstLine="0"/>
        <w:rPr>
          <w:szCs w:val="26"/>
        </w:rPr>
      </w:pPr>
    </w:p>
  </w:footnote>
  <w:footnote w:id="10">
    <w:p w14:paraId="73094785" w14:textId="77777777" w:rsidR="00D4221B" w:rsidRPr="001D35B8" w:rsidRDefault="00D4221B" w:rsidP="0036604E">
      <w:pPr>
        <w:pStyle w:val="FootnoteText"/>
        <w:spacing w:after="0"/>
        <w:rPr>
          <w:szCs w:val="26"/>
        </w:rPr>
      </w:pPr>
      <w:r w:rsidRPr="001D35B8">
        <w:rPr>
          <w:rStyle w:val="FootnoteReference"/>
        </w:rPr>
        <w:footnoteRef/>
      </w:r>
      <w:r w:rsidRPr="001D35B8">
        <w:rPr>
          <w:szCs w:val="26"/>
        </w:rPr>
        <w:t xml:space="preserve"> The following weightings were applied to estimate the average hourly cost (salary plus benefits) of $78.00:  </w:t>
      </w:r>
    </w:p>
    <w:p w14:paraId="4609B1A7" w14:textId="77777777" w:rsidR="00D4221B" w:rsidRPr="001D35B8" w:rsidRDefault="00D4221B" w:rsidP="0036604E">
      <w:pPr>
        <w:pStyle w:val="FootnoteText"/>
        <w:widowControl w:val="0"/>
        <w:numPr>
          <w:ilvl w:val="0"/>
          <w:numId w:val="33"/>
        </w:numPr>
        <w:autoSpaceDE w:val="0"/>
        <w:autoSpaceDN w:val="0"/>
        <w:adjustRightInd w:val="0"/>
        <w:spacing w:after="0"/>
        <w:rPr>
          <w:szCs w:val="26"/>
        </w:rPr>
      </w:pPr>
      <w:r w:rsidRPr="001D35B8">
        <w:rPr>
          <w:szCs w:val="26"/>
        </w:rPr>
        <w:t xml:space="preserve">Legal staff, 1/6 </w:t>
      </w:r>
    </w:p>
    <w:p w14:paraId="7CF12290" w14:textId="77777777" w:rsidR="00D4221B" w:rsidRPr="001D35B8" w:rsidRDefault="00D4221B" w:rsidP="0036604E">
      <w:pPr>
        <w:pStyle w:val="FootnoteText"/>
        <w:widowControl w:val="0"/>
        <w:numPr>
          <w:ilvl w:val="0"/>
          <w:numId w:val="33"/>
        </w:numPr>
        <w:autoSpaceDE w:val="0"/>
        <w:autoSpaceDN w:val="0"/>
        <w:adjustRightInd w:val="0"/>
        <w:spacing w:after="0"/>
        <w:rPr>
          <w:szCs w:val="26"/>
        </w:rPr>
      </w:pPr>
      <w:r w:rsidRPr="001D35B8">
        <w:rPr>
          <w:szCs w:val="26"/>
        </w:rPr>
        <w:t xml:space="preserve">Information systems manager, 1/6 </w:t>
      </w:r>
    </w:p>
    <w:p w14:paraId="49C7F8C8" w14:textId="77777777" w:rsidR="00D4221B" w:rsidRPr="001D35B8" w:rsidRDefault="00D4221B" w:rsidP="0036604E">
      <w:pPr>
        <w:pStyle w:val="FootnoteText"/>
        <w:widowControl w:val="0"/>
        <w:numPr>
          <w:ilvl w:val="0"/>
          <w:numId w:val="33"/>
        </w:numPr>
        <w:autoSpaceDE w:val="0"/>
        <w:autoSpaceDN w:val="0"/>
        <w:adjustRightInd w:val="0"/>
        <w:spacing w:after="0"/>
        <w:rPr>
          <w:szCs w:val="26"/>
        </w:rPr>
      </w:pPr>
      <w:r w:rsidRPr="001D35B8">
        <w:rPr>
          <w:szCs w:val="26"/>
        </w:rPr>
        <w:t>Computer and mathematical, 1/3</w:t>
      </w:r>
    </w:p>
    <w:p w14:paraId="179FDDE9" w14:textId="77777777" w:rsidR="00D4221B" w:rsidRPr="001D35B8" w:rsidRDefault="00D4221B" w:rsidP="0036604E">
      <w:pPr>
        <w:pStyle w:val="FootnoteText"/>
        <w:widowControl w:val="0"/>
        <w:numPr>
          <w:ilvl w:val="0"/>
          <w:numId w:val="33"/>
        </w:numPr>
        <w:autoSpaceDE w:val="0"/>
        <w:autoSpaceDN w:val="0"/>
        <w:adjustRightInd w:val="0"/>
        <w:spacing w:after="0"/>
        <w:rPr>
          <w:szCs w:val="26"/>
        </w:rPr>
      </w:pPr>
      <w:r w:rsidRPr="001D35B8">
        <w:rPr>
          <w:szCs w:val="26"/>
        </w:rPr>
        <w:t>Information security analyst, 1/3.</w:t>
      </w:r>
    </w:p>
  </w:footnote>
  <w:footnote w:id="11">
    <w:p w14:paraId="6B10F188" w14:textId="77777777" w:rsidR="00D4221B" w:rsidRPr="001D35B8" w:rsidRDefault="00D4221B" w:rsidP="0036604E">
      <w:pPr>
        <w:pStyle w:val="FootnoteText"/>
        <w:rPr>
          <w:szCs w:val="26"/>
        </w:rPr>
      </w:pPr>
      <w:r w:rsidRPr="001D35B8">
        <w:rPr>
          <w:rStyle w:val="FootnoteReference"/>
        </w:rPr>
        <w:footnoteRef/>
      </w:r>
      <w:r w:rsidRPr="001D35B8">
        <w:rPr>
          <w:szCs w:val="26"/>
        </w:rPr>
        <w:t xml:space="preserve"> Using the average hourly cost of salary plus benefits provided above, the following weightings were applied to estimate the average hourly cost of $42.12:  95 percent information and record clerk, 5 percent legal.</w:t>
      </w:r>
    </w:p>
  </w:footnote>
  <w:footnote w:id="12">
    <w:p w14:paraId="7FE03243" w14:textId="75809A92" w:rsidR="00D4221B" w:rsidRDefault="00D4221B" w:rsidP="008F776C">
      <w:pPr>
        <w:pStyle w:val="FootnoteText"/>
        <w:spacing w:after="0"/>
        <w:rPr>
          <w:szCs w:val="26"/>
        </w:rPr>
      </w:pPr>
      <w:r w:rsidRPr="001D35B8">
        <w:rPr>
          <w:rStyle w:val="FootnoteReference"/>
        </w:rPr>
        <w:footnoteRef/>
      </w:r>
      <w:r w:rsidRPr="001D35B8">
        <w:rPr>
          <w:szCs w:val="26"/>
        </w:rPr>
        <w:t xml:space="preserve"> One third of the one-</w:t>
      </w:r>
      <w:r w:rsidRPr="00BC3A9D">
        <w:rPr>
          <w:szCs w:val="26"/>
        </w:rPr>
        <w:t xml:space="preserve">time burden (or </w:t>
      </w:r>
      <w:r w:rsidR="008534D3" w:rsidRPr="00BC3A9D">
        <w:rPr>
          <w:szCs w:val="26"/>
        </w:rPr>
        <w:t>26,148</w:t>
      </w:r>
      <w:r w:rsidRPr="00BC3A9D">
        <w:rPr>
          <w:szCs w:val="26"/>
        </w:rPr>
        <w:t xml:space="preserve"> hrs./3) plus the annual ongoing burden of 43,110 hrs., gives an average of 51,</w:t>
      </w:r>
      <w:r w:rsidR="00BC3A9D" w:rsidRPr="00BC3A9D">
        <w:rPr>
          <w:szCs w:val="26"/>
        </w:rPr>
        <w:t xml:space="preserve">826 </w:t>
      </w:r>
      <w:r w:rsidRPr="00BC3A9D">
        <w:rPr>
          <w:szCs w:val="26"/>
        </w:rPr>
        <w:t>hours per year for Years 1-3.</w:t>
      </w:r>
    </w:p>
    <w:p w14:paraId="17BEC309" w14:textId="2CB5B881" w:rsidR="001D1AD6" w:rsidRPr="001D35B8" w:rsidRDefault="001D1AD6">
      <w:pPr>
        <w:pStyle w:val="FootnoteText"/>
        <w:rPr>
          <w:szCs w:val="26"/>
        </w:rPr>
      </w:pPr>
      <w:r>
        <w:rPr>
          <w:szCs w:val="26"/>
        </w:rPr>
        <w:t xml:space="preserve">Similarly averaging the no. of responses over Years 1-3, gives 23,838 additional responses per year </w:t>
      </w:r>
      <w:r w:rsidR="006D13CD">
        <w:rPr>
          <w:szCs w:val="26"/>
        </w:rPr>
        <w:t>[</w:t>
      </w:r>
      <w:r>
        <w:rPr>
          <w:szCs w:val="26"/>
        </w:rPr>
        <w:t>(6,012 one-time responses divided by 3) plus 21,834 annual ongoing responses</w:t>
      </w:r>
      <w:r w:rsidR="006D13CD">
        <w:rPr>
          <w:szCs w:val="26"/>
        </w:rPr>
        <w:t>]</w:t>
      </w:r>
      <w:bookmarkStart w:id="0" w:name="_GoBack"/>
      <w:bookmarkEnd w:id="0"/>
      <w:r>
        <w:rPr>
          <w:szCs w:val="26"/>
        </w:rPr>
        <w:t>.</w:t>
      </w:r>
    </w:p>
  </w:footnote>
  <w:footnote w:id="13">
    <w:p w14:paraId="2BB4090F" w14:textId="45AF3591" w:rsidR="00D4221B" w:rsidRPr="001D35B8" w:rsidRDefault="00D4221B">
      <w:pPr>
        <w:pStyle w:val="FootnoteText"/>
        <w:rPr>
          <w:szCs w:val="26"/>
        </w:rPr>
      </w:pPr>
      <w:r w:rsidRPr="001D35B8">
        <w:rPr>
          <w:rStyle w:val="FootnoteReference"/>
        </w:rPr>
        <w:footnoteRef/>
      </w:r>
      <w:r w:rsidRPr="001D35B8">
        <w:rPr>
          <w:szCs w:val="26"/>
        </w:rPr>
        <w:t xml:space="preserve"> The federal cost of analysis and processing of filings is based upon FERC’s 2015 FTE (full time equivalent) average salary plus benefits of $149,489 (or $72 per hour).</w:t>
      </w:r>
    </w:p>
  </w:footnote>
  <w:footnote w:id="14">
    <w:p w14:paraId="4BF5F43E" w14:textId="77777777" w:rsidR="00D4221B" w:rsidRPr="001D35B8" w:rsidRDefault="00D4221B" w:rsidP="00B424EE">
      <w:pPr>
        <w:pStyle w:val="FootnoteText"/>
        <w:rPr>
          <w:szCs w:val="26"/>
        </w:rPr>
      </w:pPr>
      <w:r w:rsidRPr="001D35B8">
        <w:rPr>
          <w:rStyle w:val="FootnoteReference"/>
        </w:rPr>
        <w:footnoteRef/>
      </w:r>
      <w:r w:rsidRPr="001D35B8">
        <w:rPr>
          <w:szCs w:val="26"/>
          <w:vertAlign w:val="superscript"/>
        </w:rPr>
        <w:t xml:space="preserve"> </w:t>
      </w:r>
      <w:r w:rsidRPr="001D35B8">
        <w:rPr>
          <w:szCs w:val="26"/>
        </w:rPr>
        <w:t>Paperwork Reduction Act of 1995 (PRA)</w:t>
      </w:r>
    </w:p>
  </w:footnote>
  <w:footnote w:id="15">
    <w:p w14:paraId="35A7CDFC" w14:textId="5F092339" w:rsidR="00D4221B" w:rsidRPr="001D35B8" w:rsidRDefault="00D4221B" w:rsidP="00B424EE">
      <w:pPr>
        <w:pStyle w:val="FootnoteText"/>
        <w:rPr>
          <w:szCs w:val="26"/>
        </w:rPr>
      </w:pPr>
      <w:r w:rsidRPr="001D35B8">
        <w:rPr>
          <w:rStyle w:val="FootnoteReference"/>
        </w:rPr>
        <w:footnoteRef/>
      </w:r>
      <w:r w:rsidRPr="001D35B8">
        <w:rPr>
          <w:szCs w:val="26"/>
          <w:vertAlign w:val="superscript"/>
        </w:rPr>
        <w:t xml:space="preserve"> </w:t>
      </w:r>
      <w:r w:rsidRPr="001D35B8">
        <w:rPr>
          <w:szCs w:val="26"/>
        </w:rPr>
        <w:t>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 and other changes to the collection.</w:t>
      </w:r>
    </w:p>
  </w:footnote>
  <w:footnote w:id="16">
    <w:p w14:paraId="0E76E2D2" w14:textId="176FF73F" w:rsidR="00D4221B" w:rsidRPr="001D35B8" w:rsidRDefault="00D4221B" w:rsidP="000F0C18">
      <w:pPr>
        <w:pStyle w:val="FootnoteText"/>
        <w:spacing w:after="0"/>
        <w:rPr>
          <w:szCs w:val="26"/>
        </w:rPr>
      </w:pPr>
      <w:r w:rsidRPr="001D35B8">
        <w:rPr>
          <w:rStyle w:val="FootnoteReference"/>
        </w:rPr>
        <w:footnoteRef/>
      </w:r>
      <w:r w:rsidRPr="001D35B8">
        <w:rPr>
          <w:szCs w:val="26"/>
        </w:rPr>
        <w:t xml:space="preserve"> The estimates for cost per response were derived using the following formula: Average Burden Hours per Response * $100.30 per Hour = Average Cost per Response.  Commission staff used their own IT staff salaries to formulate the hourly wage estimate of $100.30/hour.  The hourly wage estimate (salary plus benefits) is based on Commission analysis of duties performed in response to the FERC-921 information collection and their knowledge that people in similar positions perform similar duties in the public sector.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2C714" w14:textId="62555D14" w:rsidR="00D4221B" w:rsidRPr="005E290C" w:rsidRDefault="00D4221B" w:rsidP="00100664">
    <w:pPr>
      <w:pStyle w:val="Header"/>
      <w:framePr w:wrap="around" w:vAnchor="text" w:hAnchor="margin" w:xAlign="right" w:y="1"/>
      <w:rPr>
        <w:rStyle w:val="PageNumber"/>
        <w:sz w:val="20"/>
        <w:szCs w:val="20"/>
      </w:rPr>
    </w:pPr>
    <w:r w:rsidRPr="005E290C">
      <w:rPr>
        <w:rStyle w:val="PageNumber"/>
        <w:sz w:val="20"/>
        <w:szCs w:val="20"/>
      </w:rPr>
      <w:fldChar w:fldCharType="begin"/>
    </w:r>
    <w:r w:rsidRPr="005E290C">
      <w:rPr>
        <w:rStyle w:val="PageNumber"/>
        <w:sz w:val="20"/>
        <w:szCs w:val="20"/>
      </w:rPr>
      <w:instrText xml:space="preserve">PAGE  </w:instrText>
    </w:r>
    <w:r w:rsidRPr="005E290C">
      <w:rPr>
        <w:rStyle w:val="PageNumber"/>
        <w:sz w:val="20"/>
        <w:szCs w:val="20"/>
      </w:rPr>
      <w:fldChar w:fldCharType="separate"/>
    </w:r>
    <w:r w:rsidR="006D13CD">
      <w:rPr>
        <w:rStyle w:val="PageNumber"/>
        <w:noProof/>
        <w:sz w:val="20"/>
        <w:szCs w:val="20"/>
      </w:rPr>
      <w:t>11</w:t>
    </w:r>
    <w:r w:rsidRPr="005E290C">
      <w:rPr>
        <w:rStyle w:val="PageNumber"/>
        <w:sz w:val="20"/>
        <w:szCs w:val="20"/>
      </w:rPr>
      <w:fldChar w:fldCharType="end"/>
    </w:r>
  </w:p>
  <w:p w14:paraId="27319520" w14:textId="5CB85B7E" w:rsidR="00D4221B" w:rsidRPr="00051E5C" w:rsidRDefault="00D4221B" w:rsidP="00100664">
    <w:pPr>
      <w:tabs>
        <w:tab w:val="left" w:pos="-1440"/>
      </w:tabs>
      <w:ind w:left="5760" w:right="360" w:hanging="5760"/>
      <w:rPr>
        <w:b/>
        <w:szCs w:val="26"/>
      </w:rPr>
    </w:pPr>
    <w:r w:rsidRPr="00051E5C">
      <w:rPr>
        <w:b/>
        <w:szCs w:val="26"/>
      </w:rPr>
      <w:t>FERC-921 (OMB Control No. 1902-0257)</w:t>
    </w:r>
  </w:p>
  <w:p w14:paraId="4E7C1F75" w14:textId="5A716913" w:rsidR="00D4221B" w:rsidRPr="00051E5C" w:rsidRDefault="00D4221B" w:rsidP="00100664">
    <w:pPr>
      <w:tabs>
        <w:tab w:val="left" w:pos="-1440"/>
      </w:tabs>
      <w:ind w:left="5760" w:right="360" w:hanging="5760"/>
      <w:rPr>
        <w:b/>
        <w:szCs w:val="26"/>
      </w:rPr>
    </w:pPr>
    <w:r w:rsidRPr="00051E5C">
      <w:rPr>
        <w:b/>
        <w:szCs w:val="26"/>
      </w:rPr>
      <w:t>NOPR (issued 9</w:t>
    </w:r>
    <w:r w:rsidR="00051E5C">
      <w:rPr>
        <w:b/>
        <w:szCs w:val="26"/>
      </w:rPr>
      <w:t>/</w:t>
    </w:r>
    <w:r w:rsidRPr="00051E5C">
      <w:rPr>
        <w:b/>
        <w:szCs w:val="26"/>
      </w:rPr>
      <w:t>17/2015) in Docket No. RM15-23</w:t>
    </w:r>
  </w:p>
  <w:p w14:paraId="3F563549" w14:textId="1A304574" w:rsidR="00D4221B" w:rsidRPr="00051E5C" w:rsidRDefault="00D4221B" w:rsidP="00100664">
    <w:pPr>
      <w:tabs>
        <w:tab w:val="left" w:pos="-1440"/>
      </w:tabs>
      <w:ind w:left="5760" w:right="360" w:hanging="5760"/>
      <w:rPr>
        <w:b/>
        <w:szCs w:val="26"/>
      </w:rPr>
    </w:pPr>
    <w:r w:rsidRPr="00051E5C">
      <w:rPr>
        <w:b/>
        <w:szCs w:val="26"/>
      </w:rPr>
      <w:t xml:space="preserve">RIN:  </w:t>
    </w:r>
    <w:r w:rsidR="001473DC" w:rsidRPr="00051E5C">
      <w:rPr>
        <w:b/>
        <w:szCs w:val="26"/>
      </w:rPr>
      <w:t>1902-AF10</w:t>
    </w:r>
  </w:p>
  <w:p w14:paraId="0ACFB981" w14:textId="77777777" w:rsidR="00D4221B" w:rsidRPr="005C32C4" w:rsidRDefault="00D4221B" w:rsidP="00917975">
    <w:pPr>
      <w:tabs>
        <w:tab w:val="left" w:pos="-1440"/>
      </w:tabs>
      <w:ind w:left="5760" w:right="360" w:hanging="5760"/>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B04262C"/>
    <w:lvl w:ilvl="0">
      <w:start w:val="1"/>
      <w:numFmt w:val="bullet"/>
      <w:lvlText w:val=""/>
      <w:lvlJc w:val="left"/>
      <w:pPr>
        <w:tabs>
          <w:tab w:val="num" w:pos="1800"/>
        </w:tabs>
        <w:ind w:left="1800" w:hanging="360"/>
      </w:pPr>
      <w:rPr>
        <w:rFonts w:ascii="Symbol" w:hAnsi="Symbol" w:hint="default"/>
      </w:rPr>
    </w:lvl>
  </w:abstractNum>
  <w:abstractNum w:abstractNumId="1">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2">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nsid w:val="00000002"/>
    <w:multiLevelType w:val="multilevel"/>
    <w:tmpl w:val="40427A94"/>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nsid w:val="056D4623"/>
    <w:multiLevelType w:val="hybridMultilevel"/>
    <w:tmpl w:val="5B16C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5851F7"/>
    <w:multiLevelType w:val="hybridMultilevel"/>
    <w:tmpl w:val="D7488B98"/>
    <w:lvl w:ilvl="0" w:tplc="6F0C8698">
      <w:start w:val="12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B80D8D"/>
    <w:multiLevelType w:val="hybridMultilevel"/>
    <w:tmpl w:val="06845504"/>
    <w:lvl w:ilvl="0" w:tplc="A5FAECC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BC74D5E"/>
    <w:multiLevelType w:val="hybridMultilevel"/>
    <w:tmpl w:val="947E17FA"/>
    <w:lvl w:ilvl="0" w:tplc="21F4E832">
      <w:start w:val="13"/>
      <w:numFmt w:val="decimal"/>
      <w:lvlText w:val="%1."/>
      <w:lvlJc w:val="left"/>
      <w:pPr>
        <w:tabs>
          <w:tab w:val="num" w:pos="360"/>
        </w:tabs>
        <w:ind w:left="360" w:hanging="360"/>
      </w:pPr>
      <w:rPr>
        <w:rFonts w:hint="default"/>
        <w:sz w:val="26"/>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07A2C42"/>
    <w:multiLevelType w:val="hybridMultilevel"/>
    <w:tmpl w:val="31E47C7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08A75AF"/>
    <w:multiLevelType w:val="hybridMultilevel"/>
    <w:tmpl w:val="26A876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3E7192C"/>
    <w:multiLevelType w:val="hybridMultilevel"/>
    <w:tmpl w:val="BCC2C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565407"/>
    <w:multiLevelType w:val="hybridMultilevel"/>
    <w:tmpl w:val="CD34E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6BA3956"/>
    <w:multiLevelType w:val="hybridMultilevel"/>
    <w:tmpl w:val="8F2AA1E4"/>
    <w:lvl w:ilvl="0" w:tplc="942AB56A">
      <w:start w:val="1"/>
      <w:numFmt w:val="bullet"/>
      <w:lvlText w:val=""/>
      <w:lvlJc w:val="left"/>
      <w:pPr>
        <w:tabs>
          <w:tab w:val="num" w:pos="1080"/>
        </w:tabs>
        <w:ind w:left="1080" w:hanging="360"/>
      </w:pPr>
      <w:rPr>
        <w:rFonts w:ascii="Wingdings" w:hAnsi="Wingdings"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BA2851"/>
    <w:multiLevelType w:val="multilevel"/>
    <w:tmpl w:val="6AFEF3EC"/>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2700"/>
        </w:tabs>
        <w:ind w:left="2700" w:hanging="720"/>
      </w:pPr>
    </w:lvl>
    <w:lvl w:ilvl="2">
      <w:start w:val="1"/>
      <w:numFmt w:val="decimal"/>
      <w:pStyle w:val="Heading3"/>
      <w:lvlText w:val="%3."/>
      <w:lvlJc w:val="left"/>
      <w:pPr>
        <w:tabs>
          <w:tab w:val="num" w:pos="1440"/>
        </w:tabs>
        <w:ind w:left="1440" w:hanging="720"/>
      </w:pPr>
    </w:lvl>
    <w:lvl w:ilvl="3">
      <w:start w:val="1"/>
      <w:numFmt w:val="lowerLetter"/>
      <w:pStyle w:val="Heading4"/>
      <w:lvlText w:val="%4."/>
      <w:lvlJc w:val="left"/>
      <w:pPr>
        <w:tabs>
          <w:tab w:val="num" w:pos="1800"/>
        </w:tabs>
        <w:ind w:left="1800" w:hanging="720"/>
      </w:pPr>
    </w:lvl>
    <w:lvl w:ilvl="4">
      <w:start w:val="1"/>
      <w:numFmt w:val="lowerRoman"/>
      <w:pStyle w:val="Heading5"/>
      <w:lvlText w:val="%5."/>
      <w:lvlJc w:val="left"/>
      <w:pPr>
        <w:tabs>
          <w:tab w:val="num" w:pos="2160"/>
        </w:tabs>
        <w:ind w:left="2160" w:hanging="720"/>
      </w:pPr>
    </w:lvl>
    <w:lvl w:ilvl="5">
      <w:start w:val="1"/>
      <w:numFmt w:val="lowerLetter"/>
      <w:pStyle w:val="Heading6"/>
      <w:lvlText w:val="(%6)"/>
      <w:lvlJc w:val="left"/>
      <w:pPr>
        <w:tabs>
          <w:tab w:val="num" w:pos="2520"/>
        </w:tabs>
        <w:ind w:left="2520" w:hanging="720"/>
      </w:pPr>
    </w:lvl>
    <w:lvl w:ilvl="6">
      <w:start w:val="1"/>
      <w:numFmt w:val="decimal"/>
      <w:pStyle w:val="Heading7"/>
      <w:lvlText w:val="(%7)"/>
      <w:lvlJc w:val="left"/>
      <w:pPr>
        <w:tabs>
          <w:tab w:val="num" w:pos="2880"/>
        </w:tabs>
        <w:ind w:left="2880" w:hanging="720"/>
      </w:pPr>
    </w:lvl>
    <w:lvl w:ilvl="7">
      <w:start w:val="1"/>
      <w:numFmt w:val="lowerRoman"/>
      <w:pStyle w:val="Heading8"/>
      <w:lvlText w:val="(%8)"/>
      <w:lvlJc w:val="left"/>
      <w:pPr>
        <w:tabs>
          <w:tab w:val="num" w:pos="3240"/>
        </w:tabs>
        <w:ind w:left="3240" w:hanging="720"/>
      </w:pPr>
    </w:lvl>
    <w:lvl w:ilvl="8">
      <w:start w:val="1"/>
      <w:numFmt w:val="decimalZero"/>
      <w:pStyle w:val="Heading9"/>
      <w:lvlText w:val="(%9)"/>
      <w:lvlJc w:val="left"/>
      <w:pPr>
        <w:tabs>
          <w:tab w:val="num" w:pos="3600"/>
        </w:tabs>
        <w:ind w:left="3600" w:hanging="720"/>
      </w:pPr>
    </w:lvl>
  </w:abstractNum>
  <w:abstractNum w:abstractNumId="14">
    <w:nsid w:val="39C74EE7"/>
    <w:multiLevelType w:val="hybridMultilevel"/>
    <w:tmpl w:val="507E7196"/>
    <w:lvl w:ilvl="0" w:tplc="30A4779A">
      <w:start w:val="11"/>
      <w:numFmt w:val="decimal"/>
      <w:lvlText w:val="%1."/>
      <w:lvlJc w:val="left"/>
      <w:pPr>
        <w:tabs>
          <w:tab w:val="num" w:pos="360"/>
        </w:tabs>
        <w:ind w:left="360" w:hanging="360"/>
      </w:pPr>
      <w:rPr>
        <w:rFonts w:hint="default"/>
        <w:b w:val="0"/>
      </w:rPr>
    </w:lvl>
    <w:lvl w:ilvl="1" w:tplc="D70EDF7C" w:tentative="1">
      <w:start w:val="1"/>
      <w:numFmt w:val="lowerLetter"/>
      <w:lvlText w:val="%2."/>
      <w:lvlJc w:val="left"/>
      <w:pPr>
        <w:tabs>
          <w:tab w:val="num" w:pos="1080"/>
        </w:tabs>
        <w:ind w:left="1080" w:hanging="360"/>
      </w:pPr>
    </w:lvl>
    <w:lvl w:ilvl="2" w:tplc="5A40D518" w:tentative="1">
      <w:start w:val="1"/>
      <w:numFmt w:val="lowerRoman"/>
      <w:lvlText w:val="%3."/>
      <w:lvlJc w:val="right"/>
      <w:pPr>
        <w:tabs>
          <w:tab w:val="num" w:pos="1800"/>
        </w:tabs>
        <w:ind w:left="1800" w:hanging="180"/>
      </w:pPr>
    </w:lvl>
    <w:lvl w:ilvl="3" w:tplc="AF30302A" w:tentative="1">
      <w:start w:val="1"/>
      <w:numFmt w:val="decimal"/>
      <w:lvlText w:val="%4."/>
      <w:lvlJc w:val="left"/>
      <w:pPr>
        <w:tabs>
          <w:tab w:val="num" w:pos="2520"/>
        </w:tabs>
        <w:ind w:left="2520" w:hanging="360"/>
      </w:pPr>
    </w:lvl>
    <w:lvl w:ilvl="4" w:tplc="34DC2DD6" w:tentative="1">
      <w:start w:val="1"/>
      <w:numFmt w:val="lowerLetter"/>
      <w:lvlText w:val="%5."/>
      <w:lvlJc w:val="left"/>
      <w:pPr>
        <w:tabs>
          <w:tab w:val="num" w:pos="3240"/>
        </w:tabs>
        <w:ind w:left="3240" w:hanging="360"/>
      </w:pPr>
    </w:lvl>
    <w:lvl w:ilvl="5" w:tplc="C82A9770" w:tentative="1">
      <w:start w:val="1"/>
      <w:numFmt w:val="lowerRoman"/>
      <w:lvlText w:val="%6."/>
      <w:lvlJc w:val="right"/>
      <w:pPr>
        <w:tabs>
          <w:tab w:val="num" w:pos="3960"/>
        </w:tabs>
        <w:ind w:left="3960" w:hanging="180"/>
      </w:pPr>
    </w:lvl>
    <w:lvl w:ilvl="6" w:tplc="2C6C8628" w:tentative="1">
      <w:start w:val="1"/>
      <w:numFmt w:val="decimal"/>
      <w:lvlText w:val="%7."/>
      <w:lvlJc w:val="left"/>
      <w:pPr>
        <w:tabs>
          <w:tab w:val="num" w:pos="4680"/>
        </w:tabs>
        <w:ind w:left="4680" w:hanging="360"/>
      </w:pPr>
    </w:lvl>
    <w:lvl w:ilvl="7" w:tplc="0D5E4184" w:tentative="1">
      <w:start w:val="1"/>
      <w:numFmt w:val="lowerLetter"/>
      <w:lvlText w:val="%8."/>
      <w:lvlJc w:val="left"/>
      <w:pPr>
        <w:tabs>
          <w:tab w:val="num" w:pos="5400"/>
        </w:tabs>
        <w:ind w:left="5400" w:hanging="360"/>
      </w:pPr>
    </w:lvl>
    <w:lvl w:ilvl="8" w:tplc="BCA217F0" w:tentative="1">
      <w:start w:val="1"/>
      <w:numFmt w:val="lowerRoman"/>
      <w:lvlText w:val="%9."/>
      <w:lvlJc w:val="right"/>
      <w:pPr>
        <w:tabs>
          <w:tab w:val="num" w:pos="6120"/>
        </w:tabs>
        <w:ind w:left="6120" w:hanging="180"/>
      </w:pPr>
    </w:lvl>
  </w:abstractNum>
  <w:abstractNum w:abstractNumId="15">
    <w:nsid w:val="3A0214EE"/>
    <w:multiLevelType w:val="hybridMultilevel"/>
    <w:tmpl w:val="3D0C7A04"/>
    <w:lvl w:ilvl="0" w:tplc="942AB56A">
      <w:start w:val="1"/>
      <w:numFmt w:val="bullet"/>
      <w:lvlText w:val=""/>
      <w:lvlJc w:val="left"/>
      <w:pPr>
        <w:tabs>
          <w:tab w:val="num" w:pos="1800"/>
        </w:tabs>
        <w:ind w:left="1800" w:hanging="360"/>
      </w:pPr>
      <w:rPr>
        <w:rFonts w:ascii="Wingdings" w:hAnsi="Wingdings" w:cs="Aria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5342E26"/>
    <w:multiLevelType w:val="hybridMultilevel"/>
    <w:tmpl w:val="3476F4A4"/>
    <w:lvl w:ilvl="0" w:tplc="E3EEA60E">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5BD1864"/>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ACD3B87"/>
    <w:multiLevelType w:val="hybridMultilevel"/>
    <w:tmpl w:val="86BEA6E6"/>
    <w:lvl w:ilvl="0" w:tplc="4530B2D6">
      <w:start w:val="1"/>
      <w:numFmt w:val="bullet"/>
      <w:lvlText w:val=""/>
      <w:lvlJc w:val="left"/>
      <w:pPr>
        <w:ind w:left="720" w:hanging="360"/>
      </w:pPr>
      <w:rPr>
        <w:rFonts w:ascii="Wingdings" w:hAnsi="Wingdings" w:hint="default"/>
        <w:sz w:val="26"/>
        <w:szCs w:val="26"/>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E719D3"/>
    <w:multiLevelType w:val="hybridMultilevel"/>
    <w:tmpl w:val="B9A2F77C"/>
    <w:lvl w:ilvl="0" w:tplc="0409000F">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1D210F1"/>
    <w:multiLevelType w:val="hybridMultilevel"/>
    <w:tmpl w:val="5504165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EA0D60"/>
    <w:multiLevelType w:val="hybridMultilevel"/>
    <w:tmpl w:val="A9B03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403CDD"/>
    <w:multiLevelType w:val="hybridMultilevel"/>
    <w:tmpl w:val="79D2D922"/>
    <w:lvl w:ilvl="0" w:tplc="A5FAECC0">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B937FF6"/>
    <w:multiLevelType w:val="hybridMultilevel"/>
    <w:tmpl w:val="B58C69D2"/>
    <w:lvl w:ilvl="0" w:tplc="4530B2D6">
      <w:start w:val="1"/>
      <w:numFmt w:val="bullet"/>
      <w:lvlText w:val=""/>
      <w:lvlJc w:val="left"/>
      <w:pPr>
        <w:ind w:left="1440" w:hanging="360"/>
      </w:pPr>
      <w:rPr>
        <w:rFonts w:ascii="Wingdings" w:hAnsi="Wingdings" w:hint="default"/>
        <w:sz w:val="26"/>
        <w:szCs w:val="2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C302338"/>
    <w:multiLevelType w:val="hybridMultilevel"/>
    <w:tmpl w:val="C5D40662"/>
    <w:lvl w:ilvl="0" w:tplc="D7103D8A">
      <w:numFmt w:val="bullet"/>
      <w:lvlText w:val="▪"/>
      <w:lvlJc w:val="left"/>
      <w:pPr>
        <w:tabs>
          <w:tab w:val="num" w:pos="360"/>
        </w:tabs>
        <w:ind w:left="360" w:hanging="360"/>
      </w:pPr>
      <w:rPr>
        <w:rFonts w:ascii="Courier New" w:eastAsia="Times New Roman" w:hAnsi="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D2B3F50"/>
    <w:multiLevelType w:val="hybridMultilevel"/>
    <w:tmpl w:val="2E68AC4A"/>
    <w:lvl w:ilvl="0" w:tplc="E4FAF836">
      <w:start w:val="13"/>
      <w:numFmt w:val="decimal"/>
      <w:lvlText w:val="%1."/>
      <w:lvlJc w:val="left"/>
      <w:pPr>
        <w:tabs>
          <w:tab w:val="num" w:pos="720"/>
        </w:tabs>
        <w:ind w:left="720" w:hanging="360"/>
      </w:pPr>
      <w:rPr>
        <w:rFonts w:hint="default"/>
        <w:sz w:val="26"/>
      </w:rPr>
    </w:lvl>
    <w:lvl w:ilvl="1" w:tplc="04090019" w:tentative="1">
      <w:start w:val="1"/>
      <w:numFmt w:val="lowerLetter"/>
      <w:lvlText w:val="%2."/>
      <w:lvlJc w:val="left"/>
      <w:pPr>
        <w:tabs>
          <w:tab w:val="num" w:pos="1440"/>
        </w:tabs>
        <w:ind w:left="1440" w:hanging="360"/>
      </w:pPr>
    </w:lvl>
    <w:lvl w:ilvl="2" w:tplc="1AE2909C"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E4E4DD3"/>
    <w:multiLevelType w:val="hybridMultilevel"/>
    <w:tmpl w:val="680E3DA0"/>
    <w:lvl w:ilvl="0" w:tplc="B1CA0C42">
      <w:start w:val="1"/>
      <w:numFmt w:val="decimal"/>
      <w:lvlText w:val="%1."/>
      <w:lvlJc w:val="left"/>
      <w:pPr>
        <w:tabs>
          <w:tab w:val="num" w:pos="1350"/>
        </w:tabs>
        <w:ind w:left="630" w:firstLine="0"/>
      </w:pPr>
      <w:rPr>
        <w:rFonts w:hint="default"/>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B1A6DE48">
      <w:start w:val="1"/>
      <w:numFmt w:val="lowerLetter"/>
      <w:lvlText w:val="%8."/>
      <w:lvlJc w:val="left"/>
      <w:pPr>
        <w:tabs>
          <w:tab w:val="num" w:pos="5760"/>
        </w:tabs>
        <w:ind w:left="5760" w:hanging="360"/>
      </w:pPr>
      <w:rPr>
        <w:i w:val="0"/>
      </w:rPr>
    </w:lvl>
    <w:lvl w:ilvl="8" w:tplc="0409001B" w:tentative="1">
      <w:start w:val="1"/>
      <w:numFmt w:val="lowerRoman"/>
      <w:lvlText w:val="%9."/>
      <w:lvlJc w:val="right"/>
      <w:pPr>
        <w:tabs>
          <w:tab w:val="num" w:pos="6480"/>
        </w:tabs>
        <w:ind w:left="6480" w:hanging="180"/>
      </w:pPr>
    </w:lvl>
  </w:abstractNum>
  <w:num w:numId="1">
    <w:abstractNumId w:val="19"/>
  </w:num>
  <w:num w:numId="2">
    <w:abstractNumId w:val="2"/>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3"/>
    <w:lvlOverride w:ilvl="0">
      <w:lvl w:ilvl="0">
        <w:start w:val="1"/>
        <w:numFmt w:val="decimal"/>
        <w:pStyle w:val="Level1"/>
        <w:lvlText w:val="%1."/>
        <w:lvlJc w:val="left"/>
        <w:pPr>
          <w:ind w:left="180" w:firstLine="0"/>
        </w:pPr>
        <w:rPr>
          <w:rFonts w:hint="default"/>
          <w:b/>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4">
    <w:abstractNumId w:val="2"/>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abstractNumId w:val="25"/>
  </w:num>
  <w:num w:numId="6">
    <w:abstractNumId w:val="14"/>
  </w:num>
  <w:num w:numId="7">
    <w:abstractNumId w:val="13"/>
  </w:num>
  <w:num w:numId="8">
    <w:abstractNumId w:val="1"/>
  </w:num>
  <w:num w:numId="9">
    <w:abstractNumId w:val="0"/>
  </w:num>
  <w:num w:numId="10">
    <w:abstractNumId w:val="7"/>
  </w:num>
  <w:num w:numId="11">
    <w:abstractNumId w:val="6"/>
  </w:num>
  <w:num w:numId="12">
    <w:abstractNumId w:val="5"/>
  </w:num>
  <w:num w:numId="13">
    <w:abstractNumId w:val="22"/>
  </w:num>
  <w:num w:numId="14">
    <w:abstractNumId w:val="16"/>
  </w:num>
  <w:num w:numId="15">
    <w:abstractNumId w:val="8"/>
  </w:num>
  <w:num w:numId="16">
    <w:abstractNumId w:val="12"/>
  </w:num>
  <w:num w:numId="17">
    <w:abstractNumId w:val="15"/>
  </w:num>
  <w:num w:numId="18">
    <w:abstractNumId w:val="10"/>
  </w:num>
  <w:num w:numId="19">
    <w:abstractNumId w:val="21"/>
  </w:num>
  <w:num w:numId="20">
    <w:abstractNumId w:val="20"/>
  </w:num>
  <w:num w:numId="21">
    <w:abstractNumId w:val="18"/>
  </w:num>
  <w:num w:numId="22">
    <w:abstractNumId w:val="23"/>
  </w:num>
  <w:num w:numId="23">
    <w:abstractNumId w:val="24"/>
  </w:num>
  <w:num w:numId="24">
    <w:abstractNumId w:val="3"/>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5">
    <w:abstractNumId w:val="4"/>
  </w:num>
  <w:num w:numId="26">
    <w:abstractNumId w:val="3"/>
    <w:lvlOverride w:ilvl="0">
      <w:lvl w:ilvl="0">
        <w:start w:val="1"/>
        <w:numFmt w:val="decimal"/>
        <w:pStyle w:val="Level1"/>
        <w:lvlText w:val="%1."/>
        <w:lvlJc w:val="left"/>
        <w:pPr>
          <w:ind w:left="0" w:firstLine="0"/>
        </w:pPr>
        <w:rPr>
          <w:rFonts w:hint="default"/>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7">
    <w:abstractNumId w:val="3"/>
    <w:lvlOverride w:ilvl="0">
      <w:lvl w:ilvl="0">
        <w:start w:val="1"/>
        <w:numFmt w:val="decimal"/>
        <w:pStyle w:val="Level1"/>
        <w:lvlText w:val="%1."/>
        <w:lvlJc w:val="left"/>
        <w:pPr>
          <w:ind w:left="0" w:firstLine="0"/>
        </w:pPr>
        <w:rPr>
          <w:rFonts w:hint="default"/>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8">
    <w:abstractNumId w:val="3"/>
    <w:lvlOverride w:ilvl="0">
      <w:lvl w:ilvl="0">
        <w:start w:val="1"/>
        <w:numFmt w:val="decimal"/>
        <w:pStyle w:val="Level1"/>
        <w:lvlText w:val="%1."/>
        <w:lvlJc w:val="left"/>
        <w:pPr>
          <w:ind w:left="0" w:firstLine="0"/>
        </w:pPr>
        <w:rPr>
          <w:rFonts w:hint="default"/>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9">
    <w:abstractNumId w:val="3"/>
    <w:lvlOverride w:ilvl="0">
      <w:lvl w:ilvl="0">
        <w:start w:val="1"/>
        <w:numFmt w:val="decimal"/>
        <w:pStyle w:val="Level1"/>
        <w:lvlText w:val="%1."/>
        <w:lvlJc w:val="left"/>
        <w:pPr>
          <w:ind w:left="0" w:firstLine="0"/>
        </w:pPr>
        <w:rPr>
          <w:rFonts w:hint="default"/>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30">
    <w:abstractNumId w:val="3"/>
    <w:lvlOverride w:ilvl="0">
      <w:startOverride w:val="12"/>
      <w:lvl w:ilvl="0">
        <w:start w:val="12"/>
        <w:numFmt w:val="decimal"/>
        <w:pStyle w:val="Level1"/>
        <w:lvlText w:val="%1."/>
        <w:lvlJc w:val="left"/>
        <w:pPr>
          <w:ind w:left="0" w:firstLine="0"/>
        </w:pPr>
        <w:rPr>
          <w:rFonts w:hint="default"/>
          <w:b/>
        </w:rPr>
      </w:lvl>
    </w:lvlOverride>
    <w:lvlOverride w:ilvl="1">
      <w:startOverride w:val="1"/>
      <w:lvl w:ilvl="1">
        <w:start w:val="1"/>
        <w:numFmt w:val="lowerLetter"/>
        <w:lvlText w:val="%2."/>
        <w:lvlJc w:val="left"/>
        <w:pPr>
          <w:ind w:left="0" w:firstLine="0"/>
        </w:pPr>
        <w:rPr>
          <w:rFonts w:hint="default"/>
        </w:rPr>
      </w:lvl>
    </w:lvlOverride>
    <w:lvlOverride w:ilvl="2">
      <w:startOverride w:val="1"/>
      <w:lvl w:ilvl="2">
        <w:start w:val="1"/>
        <w:numFmt w:val="lowerRoman"/>
        <w:lvlText w:val="%3."/>
        <w:lvlJc w:val="left"/>
        <w:pPr>
          <w:ind w:left="0" w:firstLine="0"/>
        </w:pPr>
        <w:rPr>
          <w:rFonts w:hint="default"/>
        </w:rPr>
      </w:lvl>
    </w:lvlOverride>
    <w:lvlOverride w:ilvl="3">
      <w:startOverride w:val="1"/>
      <w:lvl w:ilvl="3">
        <w:start w:val="1"/>
        <w:numFmt w:val="decimal"/>
        <w:lvlText w:val="(%4)"/>
        <w:lvlJc w:val="left"/>
        <w:pPr>
          <w:ind w:left="0" w:firstLine="0"/>
        </w:pPr>
        <w:rPr>
          <w:rFonts w:hint="default"/>
        </w:rPr>
      </w:lvl>
    </w:lvlOverride>
    <w:lvlOverride w:ilvl="4">
      <w:startOverride w:val="1"/>
      <w:lvl w:ilvl="4">
        <w:start w:val="1"/>
        <w:numFmt w:val="lowerLetter"/>
        <w:lvlText w:val="(%5)"/>
        <w:lvlJc w:val="left"/>
        <w:pPr>
          <w:ind w:left="0" w:firstLine="0"/>
        </w:pPr>
        <w:rPr>
          <w:rFonts w:hint="default"/>
        </w:rPr>
      </w:lvl>
    </w:lvlOverride>
    <w:lvlOverride w:ilvl="5">
      <w:startOverride w:val="1"/>
      <w:lvl w:ilvl="5">
        <w:start w:val="1"/>
        <w:numFmt w:val="lowerRoman"/>
        <w:lvlText w:val="(%6)"/>
        <w:lvlJc w:val="left"/>
        <w:pPr>
          <w:ind w:left="0" w:firstLine="0"/>
        </w:pPr>
        <w:rPr>
          <w:rFonts w:hint="default"/>
        </w:rPr>
      </w:lvl>
    </w:lvlOverride>
    <w:lvlOverride w:ilvl="6">
      <w:startOverride w:val="1"/>
      <w:lvl w:ilvl="6">
        <w:start w:val="1"/>
        <w:numFmt w:val="decimal"/>
        <w:lvlText w:val="%7)"/>
        <w:lvlJc w:val="left"/>
        <w:pPr>
          <w:ind w:left="0" w:firstLine="0"/>
        </w:pPr>
        <w:rPr>
          <w:rFonts w:hint="default"/>
        </w:rPr>
      </w:lvl>
    </w:lvlOverride>
    <w:lvlOverride w:ilvl="7">
      <w:startOverride w:val="1"/>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31">
    <w:abstractNumId w:val="26"/>
  </w:num>
  <w:num w:numId="32">
    <w:abstractNumId w:val="11"/>
  </w:num>
  <w:num w:numId="33">
    <w:abstractNumId w:val="9"/>
  </w:num>
  <w:num w:numId="34">
    <w:abstractNumId w:val="17"/>
  </w:num>
  <w:num w:numId="35">
    <w:abstractNumId w:val="3"/>
    <w:lvlOverride w:ilvl="0">
      <w:lvl w:ilvl="0">
        <w:start w:val="1"/>
        <w:numFmt w:val="decimal"/>
        <w:pStyle w:val="Level1"/>
        <w:lvlText w:val="%1."/>
        <w:lvlJc w:val="left"/>
        <w:pPr>
          <w:ind w:left="180" w:firstLine="0"/>
        </w:pPr>
        <w:rPr>
          <w:rFonts w:hint="default"/>
          <w:b/>
        </w:rPr>
      </w:lvl>
    </w:lvlOverride>
    <w:lvlOverride w:ilvl="1">
      <w:lvl w:ilvl="1">
        <w:start w:val="1"/>
        <w:numFmt w:val="lowerLetter"/>
        <w:lvlText w:val="%2."/>
        <w:lvlJc w:val="left"/>
        <w:pPr>
          <w:ind w:left="0" w:firstLine="0"/>
        </w:pPr>
        <w:rPr>
          <w:rFonts w:hint="default"/>
        </w:rPr>
      </w:lvl>
    </w:lvlOverride>
    <w:lvlOverride w:ilvl="2">
      <w:lvl w:ilvl="2">
        <w:start w:val="1"/>
        <w:numFmt w:val="lowerRoman"/>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thony May">
    <w15:presenceInfo w15:providerId="AD" w15:userId="S-1-5-21-842925246-1078145449-725345543-104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345"/>
    <w:rsid w:val="00000BF6"/>
    <w:rsid w:val="0000191A"/>
    <w:rsid w:val="00001F98"/>
    <w:rsid w:val="00001FF2"/>
    <w:rsid w:val="000028DF"/>
    <w:rsid w:val="000046F9"/>
    <w:rsid w:val="000047D2"/>
    <w:rsid w:val="00004E0F"/>
    <w:rsid w:val="00006A14"/>
    <w:rsid w:val="00007856"/>
    <w:rsid w:val="00011714"/>
    <w:rsid w:val="000117A6"/>
    <w:rsid w:val="00011C6D"/>
    <w:rsid w:val="0001200A"/>
    <w:rsid w:val="00012DF7"/>
    <w:rsid w:val="0001365F"/>
    <w:rsid w:val="000140DD"/>
    <w:rsid w:val="0001499D"/>
    <w:rsid w:val="00015E18"/>
    <w:rsid w:val="00016508"/>
    <w:rsid w:val="00016863"/>
    <w:rsid w:val="00017EA1"/>
    <w:rsid w:val="00020BB0"/>
    <w:rsid w:val="00020E01"/>
    <w:rsid w:val="00020E8A"/>
    <w:rsid w:val="00021D0F"/>
    <w:rsid w:val="0002582F"/>
    <w:rsid w:val="00026498"/>
    <w:rsid w:val="00026D71"/>
    <w:rsid w:val="0003140F"/>
    <w:rsid w:val="00032424"/>
    <w:rsid w:val="00032651"/>
    <w:rsid w:val="00032B1F"/>
    <w:rsid w:val="00032D04"/>
    <w:rsid w:val="00033726"/>
    <w:rsid w:val="00035A3D"/>
    <w:rsid w:val="00035E7E"/>
    <w:rsid w:val="0003613D"/>
    <w:rsid w:val="000364CE"/>
    <w:rsid w:val="00040691"/>
    <w:rsid w:val="00042284"/>
    <w:rsid w:val="00042408"/>
    <w:rsid w:val="00042A40"/>
    <w:rsid w:val="00043B4D"/>
    <w:rsid w:val="00043DB8"/>
    <w:rsid w:val="00044A80"/>
    <w:rsid w:val="0004501B"/>
    <w:rsid w:val="00045BB6"/>
    <w:rsid w:val="0004789A"/>
    <w:rsid w:val="00051C21"/>
    <w:rsid w:val="00051E5C"/>
    <w:rsid w:val="00052B80"/>
    <w:rsid w:val="00053E11"/>
    <w:rsid w:val="000542F3"/>
    <w:rsid w:val="000578CB"/>
    <w:rsid w:val="00057D4D"/>
    <w:rsid w:val="00060600"/>
    <w:rsid w:val="000609D8"/>
    <w:rsid w:val="0006204C"/>
    <w:rsid w:val="00062F1A"/>
    <w:rsid w:val="000634C7"/>
    <w:rsid w:val="000636EC"/>
    <w:rsid w:val="00067C04"/>
    <w:rsid w:val="00071065"/>
    <w:rsid w:val="00074152"/>
    <w:rsid w:val="00074209"/>
    <w:rsid w:val="00074A1F"/>
    <w:rsid w:val="000777FB"/>
    <w:rsid w:val="00080DB3"/>
    <w:rsid w:val="00081580"/>
    <w:rsid w:val="00081FF3"/>
    <w:rsid w:val="00083CFC"/>
    <w:rsid w:val="00084207"/>
    <w:rsid w:val="0008489C"/>
    <w:rsid w:val="0008543E"/>
    <w:rsid w:val="00085BB2"/>
    <w:rsid w:val="00085FF1"/>
    <w:rsid w:val="000861C4"/>
    <w:rsid w:val="0008624F"/>
    <w:rsid w:val="000863F8"/>
    <w:rsid w:val="00090A89"/>
    <w:rsid w:val="00092144"/>
    <w:rsid w:val="00092391"/>
    <w:rsid w:val="000944DC"/>
    <w:rsid w:val="00094EC2"/>
    <w:rsid w:val="00095BCC"/>
    <w:rsid w:val="000960C0"/>
    <w:rsid w:val="000A196F"/>
    <w:rsid w:val="000A2839"/>
    <w:rsid w:val="000A3ABA"/>
    <w:rsid w:val="000A457D"/>
    <w:rsid w:val="000A4F83"/>
    <w:rsid w:val="000A5F94"/>
    <w:rsid w:val="000A6F14"/>
    <w:rsid w:val="000B0EBA"/>
    <w:rsid w:val="000B185E"/>
    <w:rsid w:val="000B261E"/>
    <w:rsid w:val="000B3752"/>
    <w:rsid w:val="000B3F01"/>
    <w:rsid w:val="000B5FFD"/>
    <w:rsid w:val="000B68C8"/>
    <w:rsid w:val="000B7977"/>
    <w:rsid w:val="000B7CB0"/>
    <w:rsid w:val="000C0051"/>
    <w:rsid w:val="000C0EAF"/>
    <w:rsid w:val="000C19A9"/>
    <w:rsid w:val="000C2622"/>
    <w:rsid w:val="000C2768"/>
    <w:rsid w:val="000C2CFD"/>
    <w:rsid w:val="000C5797"/>
    <w:rsid w:val="000C5B7A"/>
    <w:rsid w:val="000C5BB6"/>
    <w:rsid w:val="000C5C09"/>
    <w:rsid w:val="000C5DB4"/>
    <w:rsid w:val="000C6174"/>
    <w:rsid w:val="000C6D9C"/>
    <w:rsid w:val="000C7EFC"/>
    <w:rsid w:val="000D0E2A"/>
    <w:rsid w:val="000D151C"/>
    <w:rsid w:val="000D2EA0"/>
    <w:rsid w:val="000D3073"/>
    <w:rsid w:val="000D3E40"/>
    <w:rsid w:val="000D4B40"/>
    <w:rsid w:val="000D762F"/>
    <w:rsid w:val="000E144C"/>
    <w:rsid w:val="000E1BBE"/>
    <w:rsid w:val="000E1D3A"/>
    <w:rsid w:val="000E1FEE"/>
    <w:rsid w:val="000E25DC"/>
    <w:rsid w:val="000E3C2C"/>
    <w:rsid w:val="000E4493"/>
    <w:rsid w:val="000E50FF"/>
    <w:rsid w:val="000E515C"/>
    <w:rsid w:val="000E5A3B"/>
    <w:rsid w:val="000E6919"/>
    <w:rsid w:val="000E6A59"/>
    <w:rsid w:val="000E6E6A"/>
    <w:rsid w:val="000E77DB"/>
    <w:rsid w:val="000F05BC"/>
    <w:rsid w:val="000F0C18"/>
    <w:rsid w:val="000F2A3A"/>
    <w:rsid w:val="000F333F"/>
    <w:rsid w:val="000F668F"/>
    <w:rsid w:val="0010065B"/>
    <w:rsid w:val="00100664"/>
    <w:rsid w:val="0010116A"/>
    <w:rsid w:val="001011D6"/>
    <w:rsid w:val="00101452"/>
    <w:rsid w:val="001024FA"/>
    <w:rsid w:val="00102710"/>
    <w:rsid w:val="001027CF"/>
    <w:rsid w:val="00103B8C"/>
    <w:rsid w:val="00106A35"/>
    <w:rsid w:val="0011098C"/>
    <w:rsid w:val="001125BC"/>
    <w:rsid w:val="001129FF"/>
    <w:rsid w:val="00112D59"/>
    <w:rsid w:val="00113271"/>
    <w:rsid w:val="00113986"/>
    <w:rsid w:val="00114F59"/>
    <w:rsid w:val="00115707"/>
    <w:rsid w:val="00116654"/>
    <w:rsid w:val="00120066"/>
    <w:rsid w:val="001241C7"/>
    <w:rsid w:val="001259CE"/>
    <w:rsid w:val="00125EC8"/>
    <w:rsid w:val="0013022C"/>
    <w:rsid w:val="00131609"/>
    <w:rsid w:val="00132353"/>
    <w:rsid w:val="00134B80"/>
    <w:rsid w:val="00136C3C"/>
    <w:rsid w:val="001370D2"/>
    <w:rsid w:val="00137404"/>
    <w:rsid w:val="00137A80"/>
    <w:rsid w:val="00137C03"/>
    <w:rsid w:val="00140565"/>
    <w:rsid w:val="001405CE"/>
    <w:rsid w:val="00141C0A"/>
    <w:rsid w:val="001444F8"/>
    <w:rsid w:val="00144BFF"/>
    <w:rsid w:val="001451AA"/>
    <w:rsid w:val="00145358"/>
    <w:rsid w:val="00145768"/>
    <w:rsid w:val="00146E17"/>
    <w:rsid w:val="001473DC"/>
    <w:rsid w:val="00152103"/>
    <w:rsid w:val="0015244B"/>
    <w:rsid w:val="0015255C"/>
    <w:rsid w:val="00152C2D"/>
    <w:rsid w:val="00154D26"/>
    <w:rsid w:val="001559C4"/>
    <w:rsid w:val="00155A7E"/>
    <w:rsid w:val="00155DA7"/>
    <w:rsid w:val="00156482"/>
    <w:rsid w:val="001576CE"/>
    <w:rsid w:val="0016019E"/>
    <w:rsid w:val="00160637"/>
    <w:rsid w:val="0016118F"/>
    <w:rsid w:val="00161D82"/>
    <w:rsid w:val="001630F0"/>
    <w:rsid w:val="00163910"/>
    <w:rsid w:val="0016527B"/>
    <w:rsid w:val="001652F8"/>
    <w:rsid w:val="00165D52"/>
    <w:rsid w:val="00167018"/>
    <w:rsid w:val="00167CB6"/>
    <w:rsid w:val="0017057A"/>
    <w:rsid w:val="00171A92"/>
    <w:rsid w:val="00175B4F"/>
    <w:rsid w:val="001763C3"/>
    <w:rsid w:val="001767A6"/>
    <w:rsid w:val="001769A2"/>
    <w:rsid w:val="00177E5E"/>
    <w:rsid w:val="00177F64"/>
    <w:rsid w:val="0018065D"/>
    <w:rsid w:val="0018326C"/>
    <w:rsid w:val="00184E4B"/>
    <w:rsid w:val="0018501D"/>
    <w:rsid w:val="00186D59"/>
    <w:rsid w:val="00186F3E"/>
    <w:rsid w:val="00187B9A"/>
    <w:rsid w:val="001916BE"/>
    <w:rsid w:val="00191EFD"/>
    <w:rsid w:val="00193707"/>
    <w:rsid w:val="001941F2"/>
    <w:rsid w:val="00194A23"/>
    <w:rsid w:val="001959F2"/>
    <w:rsid w:val="001A03AF"/>
    <w:rsid w:val="001A0A4D"/>
    <w:rsid w:val="001A242F"/>
    <w:rsid w:val="001A27AD"/>
    <w:rsid w:val="001A2D40"/>
    <w:rsid w:val="001A37B8"/>
    <w:rsid w:val="001A559B"/>
    <w:rsid w:val="001A5C84"/>
    <w:rsid w:val="001A6452"/>
    <w:rsid w:val="001A73FE"/>
    <w:rsid w:val="001A782A"/>
    <w:rsid w:val="001A7A15"/>
    <w:rsid w:val="001A7AC8"/>
    <w:rsid w:val="001B0662"/>
    <w:rsid w:val="001B0793"/>
    <w:rsid w:val="001B0B89"/>
    <w:rsid w:val="001B15CB"/>
    <w:rsid w:val="001B1609"/>
    <w:rsid w:val="001B3A5B"/>
    <w:rsid w:val="001B4180"/>
    <w:rsid w:val="001B4519"/>
    <w:rsid w:val="001B5668"/>
    <w:rsid w:val="001B6B32"/>
    <w:rsid w:val="001C0DB5"/>
    <w:rsid w:val="001C2B55"/>
    <w:rsid w:val="001C35DD"/>
    <w:rsid w:val="001C3FEE"/>
    <w:rsid w:val="001C4481"/>
    <w:rsid w:val="001C477E"/>
    <w:rsid w:val="001C6756"/>
    <w:rsid w:val="001C78F0"/>
    <w:rsid w:val="001C7937"/>
    <w:rsid w:val="001C7FCA"/>
    <w:rsid w:val="001D1AD6"/>
    <w:rsid w:val="001D226E"/>
    <w:rsid w:val="001D306E"/>
    <w:rsid w:val="001D35B8"/>
    <w:rsid w:val="001D4D6B"/>
    <w:rsid w:val="001D5C9C"/>
    <w:rsid w:val="001D63E6"/>
    <w:rsid w:val="001D6B3D"/>
    <w:rsid w:val="001D6DE9"/>
    <w:rsid w:val="001D7398"/>
    <w:rsid w:val="001D741C"/>
    <w:rsid w:val="001E05FD"/>
    <w:rsid w:val="001E0C28"/>
    <w:rsid w:val="001E1793"/>
    <w:rsid w:val="001E2169"/>
    <w:rsid w:val="001E3003"/>
    <w:rsid w:val="001E43E7"/>
    <w:rsid w:val="001E64B6"/>
    <w:rsid w:val="001E7D00"/>
    <w:rsid w:val="001F02C6"/>
    <w:rsid w:val="001F0DEE"/>
    <w:rsid w:val="001F2C18"/>
    <w:rsid w:val="001F4259"/>
    <w:rsid w:val="001F4518"/>
    <w:rsid w:val="001F4F8C"/>
    <w:rsid w:val="001F5743"/>
    <w:rsid w:val="001F59CA"/>
    <w:rsid w:val="001F61D2"/>
    <w:rsid w:val="001F6FC7"/>
    <w:rsid w:val="001F7BCB"/>
    <w:rsid w:val="00202451"/>
    <w:rsid w:val="002027B4"/>
    <w:rsid w:val="00203830"/>
    <w:rsid w:val="00204753"/>
    <w:rsid w:val="00204B30"/>
    <w:rsid w:val="0020584F"/>
    <w:rsid w:val="002059BB"/>
    <w:rsid w:val="00205ACF"/>
    <w:rsid w:val="00205CAD"/>
    <w:rsid w:val="00206829"/>
    <w:rsid w:val="00206A7B"/>
    <w:rsid w:val="002109DA"/>
    <w:rsid w:val="00210F13"/>
    <w:rsid w:val="00211D32"/>
    <w:rsid w:val="002155CA"/>
    <w:rsid w:val="00215C3D"/>
    <w:rsid w:val="00216C37"/>
    <w:rsid w:val="00217134"/>
    <w:rsid w:val="002215DE"/>
    <w:rsid w:val="00222AF6"/>
    <w:rsid w:val="002231D3"/>
    <w:rsid w:val="00225864"/>
    <w:rsid w:val="002264B7"/>
    <w:rsid w:val="00227144"/>
    <w:rsid w:val="002300FC"/>
    <w:rsid w:val="00230237"/>
    <w:rsid w:val="002315B4"/>
    <w:rsid w:val="00232BD2"/>
    <w:rsid w:val="0023432C"/>
    <w:rsid w:val="00235F16"/>
    <w:rsid w:val="0023611B"/>
    <w:rsid w:val="00236C7C"/>
    <w:rsid w:val="002370D2"/>
    <w:rsid w:val="00237B91"/>
    <w:rsid w:val="00237E4B"/>
    <w:rsid w:val="00240A2F"/>
    <w:rsid w:val="002423CB"/>
    <w:rsid w:val="0024389F"/>
    <w:rsid w:val="00244339"/>
    <w:rsid w:val="002465E3"/>
    <w:rsid w:val="002479DB"/>
    <w:rsid w:val="00250CCB"/>
    <w:rsid w:val="00251585"/>
    <w:rsid w:val="002530BA"/>
    <w:rsid w:val="00260C3C"/>
    <w:rsid w:val="00261088"/>
    <w:rsid w:val="002628B9"/>
    <w:rsid w:val="0026295A"/>
    <w:rsid w:val="00262A84"/>
    <w:rsid w:val="002638EF"/>
    <w:rsid w:val="00263E65"/>
    <w:rsid w:val="00263F0C"/>
    <w:rsid w:val="00264B39"/>
    <w:rsid w:val="00264C52"/>
    <w:rsid w:val="00265F0D"/>
    <w:rsid w:val="00266793"/>
    <w:rsid w:val="00267D79"/>
    <w:rsid w:val="00270991"/>
    <w:rsid w:val="00271F0F"/>
    <w:rsid w:val="002728BA"/>
    <w:rsid w:val="00274B52"/>
    <w:rsid w:val="00275506"/>
    <w:rsid w:val="00275893"/>
    <w:rsid w:val="0027605C"/>
    <w:rsid w:val="00276CE8"/>
    <w:rsid w:val="00276F68"/>
    <w:rsid w:val="00281350"/>
    <w:rsid w:val="0028223F"/>
    <w:rsid w:val="002830B3"/>
    <w:rsid w:val="00284B88"/>
    <w:rsid w:val="00284D01"/>
    <w:rsid w:val="002850A2"/>
    <w:rsid w:val="00285C4E"/>
    <w:rsid w:val="00286F54"/>
    <w:rsid w:val="00287F8A"/>
    <w:rsid w:val="0029315D"/>
    <w:rsid w:val="002965E5"/>
    <w:rsid w:val="00296DE9"/>
    <w:rsid w:val="00297253"/>
    <w:rsid w:val="00297F43"/>
    <w:rsid w:val="002A019B"/>
    <w:rsid w:val="002A0FC2"/>
    <w:rsid w:val="002A14F1"/>
    <w:rsid w:val="002A3669"/>
    <w:rsid w:val="002A4EFB"/>
    <w:rsid w:val="002B0AC0"/>
    <w:rsid w:val="002B0ACF"/>
    <w:rsid w:val="002B1DA3"/>
    <w:rsid w:val="002B1F4D"/>
    <w:rsid w:val="002B3473"/>
    <w:rsid w:val="002B3731"/>
    <w:rsid w:val="002B3BB5"/>
    <w:rsid w:val="002B44AC"/>
    <w:rsid w:val="002B4765"/>
    <w:rsid w:val="002B4A34"/>
    <w:rsid w:val="002B4F03"/>
    <w:rsid w:val="002B62A0"/>
    <w:rsid w:val="002B7E9C"/>
    <w:rsid w:val="002C0ECB"/>
    <w:rsid w:val="002C2A0D"/>
    <w:rsid w:val="002C2DAE"/>
    <w:rsid w:val="002C43A7"/>
    <w:rsid w:val="002C4E67"/>
    <w:rsid w:val="002C5AC9"/>
    <w:rsid w:val="002C7054"/>
    <w:rsid w:val="002D011E"/>
    <w:rsid w:val="002D01EE"/>
    <w:rsid w:val="002D1B1D"/>
    <w:rsid w:val="002D31ED"/>
    <w:rsid w:val="002D373A"/>
    <w:rsid w:val="002D3DBA"/>
    <w:rsid w:val="002D448A"/>
    <w:rsid w:val="002D4AB0"/>
    <w:rsid w:val="002D4DC2"/>
    <w:rsid w:val="002D57A7"/>
    <w:rsid w:val="002D5A2A"/>
    <w:rsid w:val="002D6166"/>
    <w:rsid w:val="002D6ADA"/>
    <w:rsid w:val="002E1E9D"/>
    <w:rsid w:val="002E1EE4"/>
    <w:rsid w:val="002E24E2"/>
    <w:rsid w:val="002E26F6"/>
    <w:rsid w:val="002E336E"/>
    <w:rsid w:val="002E3857"/>
    <w:rsid w:val="002E3B28"/>
    <w:rsid w:val="002E6F3B"/>
    <w:rsid w:val="002F0354"/>
    <w:rsid w:val="002F0B54"/>
    <w:rsid w:val="002F0D91"/>
    <w:rsid w:val="002F194C"/>
    <w:rsid w:val="002F34C0"/>
    <w:rsid w:val="002F3755"/>
    <w:rsid w:val="002F66DB"/>
    <w:rsid w:val="002F7CCE"/>
    <w:rsid w:val="003003A6"/>
    <w:rsid w:val="00300C7E"/>
    <w:rsid w:val="00302362"/>
    <w:rsid w:val="0030270A"/>
    <w:rsid w:val="0030286E"/>
    <w:rsid w:val="00302BA4"/>
    <w:rsid w:val="00302E9F"/>
    <w:rsid w:val="00303C50"/>
    <w:rsid w:val="00303ED8"/>
    <w:rsid w:val="003041E9"/>
    <w:rsid w:val="0030430F"/>
    <w:rsid w:val="0030603D"/>
    <w:rsid w:val="00307FED"/>
    <w:rsid w:val="00312F5A"/>
    <w:rsid w:val="00315AF1"/>
    <w:rsid w:val="00315BAA"/>
    <w:rsid w:val="0031642B"/>
    <w:rsid w:val="0031697C"/>
    <w:rsid w:val="00320A1C"/>
    <w:rsid w:val="00320A31"/>
    <w:rsid w:val="003213D7"/>
    <w:rsid w:val="003217AE"/>
    <w:rsid w:val="003227F8"/>
    <w:rsid w:val="00324A2F"/>
    <w:rsid w:val="00327465"/>
    <w:rsid w:val="0032750C"/>
    <w:rsid w:val="00330544"/>
    <w:rsid w:val="003310AE"/>
    <w:rsid w:val="00331209"/>
    <w:rsid w:val="00331E07"/>
    <w:rsid w:val="00332411"/>
    <w:rsid w:val="0033265A"/>
    <w:rsid w:val="00332DF9"/>
    <w:rsid w:val="0033317E"/>
    <w:rsid w:val="003331F7"/>
    <w:rsid w:val="00333969"/>
    <w:rsid w:val="00333FF7"/>
    <w:rsid w:val="003353B7"/>
    <w:rsid w:val="00336E80"/>
    <w:rsid w:val="00336EFC"/>
    <w:rsid w:val="00336EFE"/>
    <w:rsid w:val="00340D5F"/>
    <w:rsid w:val="003452C7"/>
    <w:rsid w:val="00345656"/>
    <w:rsid w:val="003461A8"/>
    <w:rsid w:val="00350912"/>
    <w:rsid w:val="00350A4D"/>
    <w:rsid w:val="00350CEA"/>
    <w:rsid w:val="003529F4"/>
    <w:rsid w:val="003536E9"/>
    <w:rsid w:val="00353A69"/>
    <w:rsid w:val="003541B7"/>
    <w:rsid w:val="0035470B"/>
    <w:rsid w:val="003557B5"/>
    <w:rsid w:val="00355F21"/>
    <w:rsid w:val="0035668C"/>
    <w:rsid w:val="00357F3C"/>
    <w:rsid w:val="00360702"/>
    <w:rsid w:val="00360BC5"/>
    <w:rsid w:val="00361B1D"/>
    <w:rsid w:val="00361C0A"/>
    <w:rsid w:val="003626B8"/>
    <w:rsid w:val="00363DEC"/>
    <w:rsid w:val="0036411C"/>
    <w:rsid w:val="00364631"/>
    <w:rsid w:val="00364FB8"/>
    <w:rsid w:val="0036604E"/>
    <w:rsid w:val="00370E3B"/>
    <w:rsid w:val="00371E08"/>
    <w:rsid w:val="003727A1"/>
    <w:rsid w:val="00372DAF"/>
    <w:rsid w:val="0037444C"/>
    <w:rsid w:val="003748E2"/>
    <w:rsid w:val="00374CFE"/>
    <w:rsid w:val="0037638A"/>
    <w:rsid w:val="00376D2E"/>
    <w:rsid w:val="00376DF8"/>
    <w:rsid w:val="003804CC"/>
    <w:rsid w:val="003834A4"/>
    <w:rsid w:val="00383C78"/>
    <w:rsid w:val="00384E6E"/>
    <w:rsid w:val="00386981"/>
    <w:rsid w:val="00387E1B"/>
    <w:rsid w:val="00387FFC"/>
    <w:rsid w:val="0039047B"/>
    <w:rsid w:val="00390908"/>
    <w:rsid w:val="00391E98"/>
    <w:rsid w:val="003938B4"/>
    <w:rsid w:val="00393FCB"/>
    <w:rsid w:val="003965E0"/>
    <w:rsid w:val="00396A21"/>
    <w:rsid w:val="00396D22"/>
    <w:rsid w:val="0039750B"/>
    <w:rsid w:val="003A020B"/>
    <w:rsid w:val="003A0895"/>
    <w:rsid w:val="003A09C9"/>
    <w:rsid w:val="003A1534"/>
    <w:rsid w:val="003A1ABE"/>
    <w:rsid w:val="003A1D7A"/>
    <w:rsid w:val="003A2211"/>
    <w:rsid w:val="003A23AB"/>
    <w:rsid w:val="003A28AB"/>
    <w:rsid w:val="003A4789"/>
    <w:rsid w:val="003A4D84"/>
    <w:rsid w:val="003A5A0A"/>
    <w:rsid w:val="003A615C"/>
    <w:rsid w:val="003B00C2"/>
    <w:rsid w:val="003B335E"/>
    <w:rsid w:val="003B49A9"/>
    <w:rsid w:val="003B5633"/>
    <w:rsid w:val="003B759D"/>
    <w:rsid w:val="003B7ADB"/>
    <w:rsid w:val="003C058D"/>
    <w:rsid w:val="003C09E5"/>
    <w:rsid w:val="003C1F91"/>
    <w:rsid w:val="003C35C1"/>
    <w:rsid w:val="003C3DDC"/>
    <w:rsid w:val="003C4651"/>
    <w:rsid w:val="003C4AB4"/>
    <w:rsid w:val="003C4CE0"/>
    <w:rsid w:val="003C5540"/>
    <w:rsid w:val="003C5F0E"/>
    <w:rsid w:val="003C6AAB"/>
    <w:rsid w:val="003C7A24"/>
    <w:rsid w:val="003C7FEF"/>
    <w:rsid w:val="003D0F01"/>
    <w:rsid w:val="003D186F"/>
    <w:rsid w:val="003D1F67"/>
    <w:rsid w:val="003D3516"/>
    <w:rsid w:val="003D518F"/>
    <w:rsid w:val="003D7D32"/>
    <w:rsid w:val="003D7E1D"/>
    <w:rsid w:val="003E1996"/>
    <w:rsid w:val="003E1E37"/>
    <w:rsid w:val="003E2B18"/>
    <w:rsid w:val="003E2D9E"/>
    <w:rsid w:val="003E4F4E"/>
    <w:rsid w:val="003E77CA"/>
    <w:rsid w:val="003F009B"/>
    <w:rsid w:val="003F0CE5"/>
    <w:rsid w:val="003F0F24"/>
    <w:rsid w:val="003F0FDA"/>
    <w:rsid w:val="003F14FB"/>
    <w:rsid w:val="003F2639"/>
    <w:rsid w:val="003F2C35"/>
    <w:rsid w:val="003F34B3"/>
    <w:rsid w:val="003F64B0"/>
    <w:rsid w:val="004000C4"/>
    <w:rsid w:val="00400F4D"/>
    <w:rsid w:val="004020D1"/>
    <w:rsid w:val="00402D40"/>
    <w:rsid w:val="004033DA"/>
    <w:rsid w:val="00404D29"/>
    <w:rsid w:val="004050DB"/>
    <w:rsid w:val="004055E1"/>
    <w:rsid w:val="00405740"/>
    <w:rsid w:val="004057DC"/>
    <w:rsid w:val="004059CF"/>
    <w:rsid w:val="0041252C"/>
    <w:rsid w:val="004125A7"/>
    <w:rsid w:val="00412D4D"/>
    <w:rsid w:val="004149A9"/>
    <w:rsid w:val="00415747"/>
    <w:rsid w:val="00415F69"/>
    <w:rsid w:val="0041756E"/>
    <w:rsid w:val="00417DF5"/>
    <w:rsid w:val="00420EE6"/>
    <w:rsid w:val="00421EF0"/>
    <w:rsid w:val="004221F6"/>
    <w:rsid w:val="00423B36"/>
    <w:rsid w:val="00424FB2"/>
    <w:rsid w:val="00424FBF"/>
    <w:rsid w:val="00425B27"/>
    <w:rsid w:val="0042705F"/>
    <w:rsid w:val="004300C1"/>
    <w:rsid w:val="004307CC"/>
    <w:rsid w:val="00430A7E"/>
    <w:rsid w:val="00431C3A"/>
    <w:rsid w:val="00431C60"/>
    <w:rsid w:val="00431CB9"/>
    <w:rsid w:val="00433027"/>
    <w:rsid w:val="004334D5"/>
    <w:rsid w:val="00433E76"/>
    <w:rsid w:val="00437935"/>
    <w:rsid w:val="004408CC"/>
    <w:rsid w:val="00440F9E"/>
    <w:rsid w:val="00443A0C"/>
    <w:rsid w:val="004447A4"/>
    <w:rsid w:val="00444CE8"/>
    <w:rsid w:val="00445908"/>
    <w:rsid w:val="004461B7"/>
    <w:rsid w:val="00446B83"/>
    <w:rsid w:val="00447D48"/>
    <w:rsid w:val="004511E9"/>
    <w:rsid w:val="00451D35"/>
    <w:rsid w:val="00453EC1"/>
    <w:rsid w:val="00454A97"/>
    <w:rsid w:val="00455C60"/>
    <w:rsid w:val="004563A2"/>
    <w:rsid w:val="004619B9"/>
    <w:rsid w:val="00461A95"/>
    <w:rsid w:val="00461DB9"/>
    <w:rsid w:val="00462CA4"/>
    <w:rsid w:val="00467328"/>
    <w:rsid w:val="0047027F"/>
    <w:rsid w:val="004708BC"/>
    <w:rsid w:val="00471ECD"/>
    <w:rsid w:val="00472149"/>
    <w:rsid w:val="00472CB6"/>
    <w:rsid w:val="00473722"/>
    <w:rsid w:val="004737D9"/>
    <w:rsid w:val="00473E9D"/>
    <w:rsid w:val="004743AB"/>
    <w:rsid w:val="00474ACC"/>
    <w:rsid w:val="00475180"/>
    <w:rsid w:val="00476721"/>
    <w:rsid w:val="004767C0"/>
    <w:rsid w:val="00480A64"/>
    <w:rsid w:val="00482D2E"/>
    <w:rsid w:val="00483B30"/>
    <w:rsid w:val="00483F49"/>
    <w:rsid w:val="004843C7"/>
    <w:rsid w:val="004845E2"/>
    <w:rsid w:val="00486A34"/>
    <w:rsid w:val="00487256"/>
    <w:rsid w:val="004926BE"/>
    <w:rsid w:val="004931AF"/>
    <w:rsid w:val="00493C90"/>
    <w:rsid w:val="00493CB7"/>
    <w:rsid w:val="00494014"/>
    <w:rsid w:val="00494E74"/>
    <w:rsid w:val="00495D14"/>
    <w:rsid w:val="00496DCB"/>
    <w:rsid w:val="00496F27"/>
    <w:rsid w:val="004A0590"/>
    <w:rsid w:val="004A07BF"/>
    <w:rsid w:val="004A3B87"/>
    <w:rsid w:val="004A6269"/>
    <w:rsid w:val="004A740C"/>
    <w:rsid w:val="004A7D3A"/>
    <w:rsid w:val="004B00CA"/>
    <w:rsid w:val="004B0BD7"/>
    <w:rsid w:val="004B1161"/>
    <w:rsid w:val="004B3AE2"/>
    <w:rsid w:val="004C03E0"/>
    <w:rsid w:val="004C15C4"/>
    <w:rsid w:val="004C164A"/>
    <w:rsid w:val="004C3614"/>
    <w:rsid w:val="004C6C55"/>
    <w:rsid w:val="004C7631"/>
    <w:rsid w:val="004D0217"/>
    <w:rsid w:val="004D0324"/>
    <w:rsid w:val="004D12DE"/>
    <w:rsid w:val="004D4587"/>
    <w:rsid w:val="004D4A2B"/>
    <w:rsid w:val="004D66CB"/>
    <w:rsid w:val="004D7428"/>
    <w:rsid w:val="004D7A2C"/>
    <w:rsid w:val="004D7C7A"/>
    <w:rsid w:val="004E0C4D"/>
    <w:rsid w:val="004E1C2F"/>
    <w:rsid w:val="004E5FC1"/>
    <w:rsid w:val="004E700F"/>
    <w:rsid w:val="004F068A"/>
    <w:rsid w:val="004F15EF"/>
    <w:rsid w:val="004F1BA0"/>
    <w:rsid w:val="004F2368"/>
    <w:rsid w:val="004F2DD0"/>
    <w:rsid w:val="004F31CA"/>
    <w:rsid w:val="004F3B5C"/>
    <w:rsid w:val="004F3FC7"/>
    <w:rsid w:val="004F4E87"/>
    <w:rsid w:val="004F4F66"/>
    <w:rsid w:val="004F5019"/>
    <w:rsid w:val="004F51BC"/>
    <w:rsid w:val="004F61D3"/>
    <w:rsid w:val="005012FF"/>
    <w:rsid w:val="00501AC8"/>
    <w:rsid w:val="00501C39"/>
    <w:rsid w:val="00502FA1"/>
    <w:rsid w:val="00503323"/>
    <w:rsid w:val="00506AC2"/>
    <w:rsid w:val="00506AFF"/>
    <w:rsid w:val="0050790B"/>
    <w:rsid w:val="00507DA5"/>
    <w:rsid w:val="00510058"/>
    <w:rsid w:val="00510597"/>
    <w:rsid w:val="005106EB"/>
    <w:rsid w:val="00511150"/>
    <w:rsid w:val="00511EFD"/>
    <w:rsid w:val="00512492"/>
    <w:rsid w:val="00513B20"/>
    <w:rsid w:val="00513EEA"/>
    <w:rsid w:val="005153B9"/>
    <w:rsid w:val="005157FA"/>
    <w:rsid w:val="00516A4E"/>
    <w:rsid w:val="00516C71"/>
    <w:rsid w:val="005176BF"/>
    <w:rsid w:val="00520466"/>
    <w:rsid w:val="0052047B"/>
    <w:rsid w:val="00521415"/>
    <w:rsid w:val="0052217B"/>
    <w:rsid w:val="0052254C"/>
    <w:rsid w:val="00522929"/>
    <w:rsid w:val="00522E25"/>
    <w:rsid w:val="0052326A"/>
    <w:rsid w:val="0052502F"/>
    <w:rsid w:val="00526282"/>
    <w:rsid w:val="00526968"/>
    <w:rsid w:val="00526EE2"/>
    <w:rsid w:val="005307DF"/>
    <w:rsid w:val="00531547"/>
    <w:rsid w:val="00532043"/>
    <w:rsid w:val="0053314F"/>
    <w:rsid w:val="005347FB"/>
    <w:rsid w:val="0053492B"/>
    <w:rsid w:val="005352A2"/>
    <w:rsid w:val="00535A67"/>
    <w:rsid w:val="00536F1B"/>
    <w:rsid w:val="005401F9"/>
    <w:rsid w:val="00540AF4"/>
    <w:rsid w:val="00543A63"/>
    <w:rsid w:val="00544054"/>
    <w:rsid w:val="0054477B"/>
    <w:rsid w:val="00544D2B"/>
    <w:rsid w:val="0054505E"/>
    <w:rsid w:val="00546A47"/>
    <w:rsid w:val="005470A8"/>
    <w:rsid w:val="00547808"/>
    <w:rsid w:val="00550984"/>
    <w:rsid w:val="00550D62"/>
    <w:rsid w:val="005514D4"/>
    <w:rsid w:val="005530DB"/>
    <w:rsid w:val="005533B9"/>
    <w:rsid w:val="00554D82"/>
    <w:rsid w:val="00556AC8"/>
    <w:rsid w:val="00557A3F"/>
    <w:rsid w:val="00561AE7"/>
    <w:rsid w:val="00561FB6"/>
    <w:rsid w:val="00562B2C"/>
    <w:rsid w:val="00563419"/>
    <w:rsid w:val="00565B03"/>
    <w:rsid w:val="00565B34"/>
    <w:rsid w:val="00565C8E"/>
    <w:rsid w:val="00566BB7"/>
    <w:rsid w:val="005702CD"/>
    <w:rsid w:val="00570660"/>
    <w:rsid w:val="005724A9"/>
    <w:rsid w:val="00572505"/>
    <w:rsid w:val="00572F9F"/>
    <w:rsid w:val="0057343B"/>
    <w:rsid w:val="00574C37"/>
    <w:rsid w:val="00575449"/>
    <w:rsid w:val="00575540"/>
    <w:rsid w:val="005758DF"/>
    <w:rsid w:val="0057777E"/>
    <w:rsid w:val="005779E1"/>
    <w:rsid w:val="00577D48"/>
    <w:rsid w:val="005805FE"/>
    <w:rsid w:val="0058106E"/>
    <w:rsid w:val="00582580"/>
    <w:rsid w:val="005826E1"/>
    <w:rsid w:val="0058281E"/>
    <w:rsid w:val="00583198"/>
    <w:rsid w:val="00584BB5"/>
    <w:rsid w:val="00586589"/>
    <w:rsid w:val="005916D2"/>
    <w:rsid w:val="00591AFA"/>
    <w:rsid w:val="005920EA"/>
    <w:rsid w:val="0059593F"/>
    <w:rsid w:val="005965A7"/>
    <w:rsid w:val="00597284"/>
    <w:rsid w:val="005A03E4"/>
    <w:rsid w:val="005A0F65"/>
    <w:rsid w:val="005A1D58"/>
    <w:rsid w:val="005A263B"/>
    <w:rsid w:val="005A335F"/>
    <w:rsid w:val="005A3DEE"/>
    <w:rsid w:val="005A4F3B"/>
    <w:rsid w:val="005A4F69"/>
    <w:rsid w:val="005A5DC6"/>
    <w:rsid w:val="005B007A"/>
    <w:rsid w:val="005B0237"/>
    <w:rsid w:val="005B0C9B"/>
    <w:rsid w:val="005B0E52"/>
    <w:rsid w:val="005B1530"/>
    <w:rsid w:val="005B37A1"/>
    <w:rsid w:val="005B44A2"/>
    <w:rsid w:val="005B4E8A"/>
    <w:rsid w:val="005B7171"/>
    <w:rsid w:val="005B7456"/>
    <w:rsid w:val="005B78BF"/>
    <w:rsid w:val="005C0204"/>
    <w:rsid w:val="005C0AE5"/>
    <w:rsid w:val="005C11BF"/>
    <w:rsid w:val="005C1D13"/>
    <w:rsid w:val="005C32C4"/>
    <w:rsid w:val="005C3911"/>
    <w:rsid w:val="005C5206"/>
    <w:rsid w:val="005C6A93"/>
    <w:rsid w:val="005D0864"/>
    <w:rsid w:val="005D092A"/>
    <w:rsid w:val="005D1A5D"/>
    <w:rsid w:val="005D2497"/>
    <w:rsid w:val="005D3BF0"/>
    <w:rsid w:val="005D3E74"/>
    <w:rsid w:val="005D458A"/>
    <w:rsid w:val="005D715D"/>
    <w:rsid w:val="005D77A0"/>
    <w:rsid w:val="005E0061"/>
    <w:rsid w:val="005E00ED"/>
    <w:rsid w:val="005E07C6"/>
    <w:rsid w:val="005E112C"/>
    <w:rsid w:val="005E2692"/>
    <w:rsid w:val="005E290C"/>
    <w:rsid w:val="005E2BE4"/>
    <w:rsid w:val="005E5FBB"/>
    <w:rsid w:val="005E6052"/>
    <w:rsid w:val="005E6654"/>
    <w:rsid w:val="005E79B6"/>
    <w:rsid w:val="005F0028"/>
    <w:rsid w:val="005F11F5"/>
    <w:rsid w:val="005F187F"/>
    <w:rsid w:val="005F41C5"/>
    <w:rsid w:val="005F4DB9"/>
    <w:rsid w:val="005F56FD"/>
    <w:rsid w:val="00604C35"/>
    <w:rsid w:val="00606C57"/>
    <w:rsid w:val="0060746C"/>
    <w:rsid w:val="00607A37"/>
    <w:rsid w:val="006118A3"/>
    <w:rsid w:val="00612B67"/>
    <w:rsid w:val="0061323B"/>
    <w:rsid w:val="006147A9"/>
    <w:rsid w:val="00614C6B"/>
    <w:rsid w:val="006153B2"/>
    <w:rsid w:val="0061585D"/>
    <w:rsid w:val="00617EE8"/>
    <w:rsid w:val="006207D2"/>
    <w:rsid w:val="00620D0B"/>
    <w:rsid w:val="00620D91"/>
    <w:rsid w:val="006216ED"/>
    <w:rsid w:val="00621A42"/>
    <w:rsid w:val="00622889"/>
    <w:rsid w:val="00624B56"/>
    <w:rsid w:val="006251EB"/>
    <w:rsid w:val="006262D7"/>
    <w:rsid w:val="00627DD3"/>
    <w:rsid w:val="00631ED1"/>
    <w:rsid w:val="00633240"/>
    <w:rsid w:val="0063360A"/>
    <w:rsid w:val="00633EBF"/>
    <w:rsid w:val="00635A05"/>
    <w:rsid w:val="00635A58"/>
    <w:rsid w:val="00636644"/>
    <w:rsid w:val="006373E6"/>
    <w:rsid w:val="00640AE3"/>
    <w:rsid w:val="00640B1B"/>
    <w:rsid w:val="00640E6E"/>
    <w:rsid w:val="00641FE1"/>
    <w:rsid w:val="00643B40"/>
    <w:rsid w:val="006447D2"/>
    <w:rsid w:val="00645D01"/>
    <w:rsid w:val="006463ED"/>
    <w:rsid w:val="0065041C"/>
    <w:rsid w:val="00650ADC"/>
    <w:rsid w:val="00653288"/>
    <w:rsid w:val="00653F4E"/>
    <w:rsid w:val="006541C4"/>
    <w:rsid w:val="00655B32"/>
    <w:rsid w:val="00655CDD"/>
    <w:rsid w:val="0065709B"/>
    <w:rsid w:val="006571B4"/>
    <w:rsid w:val="00660BFD"/>
    <w:rsid w:val="00660CBD"/>
    <w:rsid w:val="00660FE3"/>
    <w:rsid w:val="00661275"/>
    <w:rsid w:val="006624BB"/>
    <w:rsid w:val="0066289A"/>
    <w:rsid w:val="006642F8"/>
    <w:rsid w:val="006645F0"/>
    <w:rsid w:val="00664C97"/>
    <w:rsid w:val="0066570E"/>
    <w:rsid w:val="00665C53"/>
    <w:rsid w:val="0066697F"/>
    <w:rsid w:val="00667370"/>
    <w:rsid w:val="00670DFB"/>
    <w:rsid w:val="00671783"/>
    <w:rsid w:val="00672A17"/>
    <w:rsid w:val="00672B54"/>
    <w:rsid w:val="006738F7"/>
    <w:rsid w:val="00675AD8"/>
    <w:rsid w:val="00676F6D"/>
    <w:rsid w:val="00677735"/>
    <w:rsid w:val="006804C1"/>
    <w:rsid w:val="00680C38"/>
    <w:rsid w:val="00681CBC"/>
    <w:rsid w:val="006823C5"/>
    <w:rsid w:val="0068287D"/>
    <w:rsid w:val="00682F5A"/>
    <w:rsid w:val="00685F9B"/>
    <w:rsid w:val="006867C2"/>
    <w:rsid w:val="00690EA1"/>
    <w:rsid w:val="0069243E"/>
    <w:rsid w:val="00692CFB"/>
    <w:rsid w:val="00695307"/>
    <w:rsid w:val="006959A0"/>
    <w:rsid w:val="00695EFD"/>
    <w:rsid w:val="00696DFA"/>
    <w:rsid w:val="006976CA"/>
    <w:rsid w:val="006A0C52"/>
    <w:rsid w:val="006A26D3"/>
    <w:rsid w:val="006A2942"/>
    <w:rsid w:val="006A3197"/>
    <w:rsid w:val="006A31D4"/>
    <w:rsid w:val="006A5B26"/>
    <w:rsid w:val="006A69A0"/>
    <w:rsid w:val="006A7006"/>
    <w:rsid w:val="006B04A5"/>
    <w:rsid w:val="006B0763"/>
    <w:rsid w:val="006B0BCB"/>
    <w:rsid w:val="006B1A7C"/>
    <w:rsid w:val="006B3071"/>
    <w:rsid w:val="006B37E7"/>
    <w:rsid w:val="006B3911"/>
    <w:rsid w:val="006B45AD"/>
    <w:rsid w:val="006B48CE"/>
    <w:rsid w:val="006C25C9"/>
    <w:rsid w:val="006C3441"/>
    <w:rsid w:val="006C4E57"/>
    <w:rsid w:val="006C5BEB"/>
    <w:rsid w:val="006C6030"/>
    <w:rsid w:val="006C6BD8"/>
    <w:rsid w:val="006D0602"/>
    <w:rsid w:val="006D13CD"/>
    <w:rsid w:val="006D19A9"/>
    <w:rsid w:val="006D2563"/>
    <w:rsid w:val="006D30FD"/>
    <w:rsid w:val="006D3F36"/>
    <w:rsid w:val="006D441C"/>
    <w:rsid w:val="006D56F0"/>
    <w:rsid w:val="006D5BBB"/>
    <w:rsid w:val="006D61C8"/>
    <w:rsid w:val="006D668B"/>
    <w:rsid w:val="006D763E"/>
    <w:rsid w:val="006E00A7"/>
    <w:rsid w:val="006E20ED"/>
    <w:rsid w:val="006E2E36"/>
    <w:rsid w:val="006E5DD7"/>
    <w:rsid w:val="006E662C"/>
    <w:rsid w:val="006E67AD"/>
    <w:rsid w:val="006E6C79"/>
    <w:rsid w:val="006F07DA"/>
    <w:rsid w:val="006F09B3"/>
    <w:rsid w:val="006F1C7F"/>
    <w:rsid w:val="006F3A43"/>
    <w:rsid w:val="006F3CDB"/>
    <w:rsid w:val="006F7472"/>
    <w:rsid w:val="006F7764"/>
    <w:rsid w:val="006F776C"/>
    <w:rsid w:val="00701886"/>
    <w:rsid w:val="00702C89"/>
    <w:rsid w:val="007032D9"/>
    <w:rsid w:val="00703EF7"/>
    <w:rsid w:val="00705E5F"/>
    <w:rsid w:val="0070612D"/>
    <w:rsid w:val="007102B3"/>
    <w:rsid w:val="007109AA"/>
    <w:rsid w:val="00710E3E"/>
    <w:rsid w:val="007112A3"/>
    <w:rsid w:val="00713981"/>
    <w:rsid w:val="00715B46"/>
    <w:rsid w:val="00716824"/>
    <w:rsid w:val="0071727F"/>
    <w:rsid w:val="00720E03"/>
    <w:rsid w:val="00721F26"/>
    <w:rsid w:val="00722A8D"/>
    <w:rsid w:val="0072643A"/>
    <w:rsid w:val="00727E9A"/>
    <w:rsid w:val="00730DC2"/>
    <w:rsid w:val="0073224B"/>
    <w:rsid w:val="007324E5"/>
    <w:rsid w:val="00733201"/>
    <w:rsid w:val="00733333"/>
    <w:rsid w:val="00733CCC"/>
    <w:rsid w:val="00733CD8"/>
    <w:rsid w:val="00735394"/>
    <w:rsid w:val="00736710"/>
    <w:rsid w:val="007375CD"/>
    <w:rsid w:val="007400B9"/>
    <w:rsid w:val="00740E1F"/>
    <w:rsid w:val="0074133A"/>
    <w:rsid w:val="00744B4F"/>
    <w:rsid w:val="0074575B"/>
    <w:rsid w:val="0074603F"/>
    <w:rsid w:val="00746348"/>
    <w:rsid w:val="00747540"/>
    <w:rsid w:val="00750027"/>
    <w:rsid w:val="00750051"/>
    <w:rsid w:val="00750F41"/>
    <w:rsid w:val="00750FCE"/>
    <w:rsid w:val="00751509"/>
    <w:rsid w:val="00752615"/>
    <w:rsid w:val="00753651"/>
    <w:rsid w:val="00754D83"/>
    <w:rsid w:val="00756D64"/>
    <w:rsid w:val="00756DC4"/>
    <w:rsid w:val="00756FBC"/>
    <w:rsid w:val="00760ADC"/>
    <w:rsid w:val="0076193E"/>
    <w:rsid w:val="00762688"/>
    <w:rsid w:val="007629B6"/>
    <w:rsid w:val="007632CC"/>
    <w:rsid w:val="0076488E"/>
    <w:rsid w:val="00764A68"/>
    <w:rsid w:val="00765B95"/>
    <w:rsid w:val="00765CC8"/>
    <w:rsid w:val="0076737E"/>
    <w:rsid w:val="00767475"/>
    <w:rsid w:val="007675D4"/>
    <w:rsid w:val="00767831"/>
    <w:rsid w:val="00767B0C"/>
    <w:rsid w:val="00771D2E"/>
    <w:rsid w:val="00773AC7"/>
    <w:rsid w:val="00773B61"/>
    <w:rsid w:val="0077416C"/>
    <w:rsid w:val="007744EB"/>
    <w:rsid w:val="00774E3A"/>
    <w:rsid w:val="00775742"/>
    <w:rsid w:val="00775CDB"/>
    <w:rsid w:val="00775CFD"/>
    <w:rsid w:val="007760B5"/>
    <w:rsid w:val="00776840"/>
    <w:rsid w:val="0078160D"/>
    <w:rsid w:val="0078174E"/>
    <w:rsid w:val="00781E28"/>
    <w:rsid w:val="0078241C"/>
    <w:rsid w:val="00783562"/>
    <w:rsid w:val="00783D79"/>
    <w:rsid w:val="007840A3"/>
    <w:rsid w:val="00786BBB"/>
    <w:rsid w:val="00787E0F"/>
    <w:rsid w:val="00790118"/>
    <w:rsid w:val="00790A61"/>
    <w:rsid w:val="00791F5E"/>
    <w:rsid w:val="0079524C"/>
    <w:rsid w:val="0079547B"/>
    <w:rsid w:val="00796FF3"/>
    <w:rsid w:val="007A0A3C"/>
    <w:rsid w:val="007A0E17"/>
    <w:rsid w:val="007A142A"/>
    <w:rsid w:val="007A164F"/>
    <w:rsid w:val="007A36FC"/>
    <w:rsid w:val="007A6675"/>
    <w:rsid w:val="007A74F0"/>
    <w:rsid w:val="007A7562"/>
    <w:rsid w:val="007A759C"/>
    <w:rsid w:val="007A7A60"/>
    <w:rsid w:val="007B01E3"/>
    <w:rsid w:val="007B0339"/>
    <w:rsid w:val="007B0E7F"/>
    <w:rsid w:val="007B4531"/>
    <w:rsid w:val="007B4D25"/>
    <w:rsid w:val="007B592E"/>
    <w:rsid w:val="007B640F"/>
    <w:rsid w:val="007B6DB9"/>
    <w:rsid w:val="007C1B90"/>
    <w:rsid w:val="007C2878"/>
    <w:rsid w:val="007C2B2C"/>
    <w:rsid w:val="007C3418"/>
    <w:rsid w:val="007C3986"/>
    <w:rsid w:val="007C39D7"/>
    <w:rsid w:val="007C4C7E"/>
    <w:rsid w:val="007C4E7B"/>
    <w:rsid w:val="007C54C4"/>
    <w:rsid w:val="007C6192"/>
    <w:rsid w:val="007C6A57"/>
    <w:rsid w:val="007C789F"/>
    <w:rsid w:val="007D068F"/>
    <w:rsid w:val="007D17C7"/>
    <w:rsid w:val="007D1875"/>
    <w:rsid w:val="007D210E"/>
    <w:rsid w:val="007D2897"/>
    <w:rsid w:val="007D2EE0"/>
    <w:rsid w:val="007D2F49"/>
    <w:rsid w:val="007D3717"/>
    <w:rsid w:val="007D3F3C"/>
    <w:rsid w:val="007D482E"/>
    <w:rsid w:val="007D615C"/>
    <w:rsid w:val="007D6204"/>
    <w:rsid w:val="007D68F6"/>
    <w:rsid w:val="007D76F6"/>
    <w:rsid w:val="007E18DC"/>
    <w:rsid w:val="007E25E3"/>
    <w:rsid w:val="007E43C3"/>
    <w:rsid w:val="007E558A"/>
    <w:rsid w:val="007E59D6"/>
    <w:rsid w:val="007E6209"/>
    <w:rsid w:val="007F0A36"/>
    <w:rsid w:val="007F1C08"/>
    <w:rsid w:val="007F1D6D"/>
    <w:rsid w:val="007F280A"/>
    <w:rsid w:val="007F2925"/>
    <w:rsid w:val="007F2A34"/>
    <w:rsid w:val="007F2C89"/>
    <w:rsid w:val="007F7B8C"/>
    <w:rsid w:val="00804BD2"/>
    <w:rsid w:val="008057ED"/>
    <w:rsid w:val="00806D37"/>
    <w:rsid w:val="0081008D"/>
    <w:rsid w:val="0081165D"/>
    <w:rsid w:val="00812ED7"/>
    <w:rsid w:val="00813876"/>
    <w:rsid w:val="00813A51"/>
    <w:rsid w:val="0081454C"/>
    <w:rsid w:val="008151ED"/>
    <w:rsid w:val="00815B7C"/>
    <w:rsid w:val="00815F62"/>
    <w:rsid w:val="008169AA"/>
    <w:rsid w:val="008172DE"/>
    <w:rsid w:val="0081747D"/>
    <w:rsid w:val="00817FDE"/>
    <w:rsid w:val="00822BE5"/>
    <w:rsid w:val="00823294"/>
    <w:rsid w:val="0082387D"/>
    <w:rsid w:val="00824F34"/>
    <w:rsid w:val="0082595D"/>
    <w:rsid w:val="008264D9"/>
    <w:rsid w:val="00826C0E"/>
    <w:rsid w:val="00831037"/>
    <w:rsid w:val="0083104C"/>
    <w:rsid w:val="0083288C"/>
    <w:rsid w:val="00832943"/>
    <w:rsid w:val="00832F5F"/>
    <w:rsid w:val="008333E3"/>
    <w:rsid w:val="0083477D"/>
    <w:rsid w:val="00834B4C"/>
    <w:rsid w:val="00834F20"/>
    <w:rsid w:val="00834F7C"/>
    <w:rsid w:val="008367BD"/>
    <w:rsid w:val="0083693A"/>
    <w:rsid w:val="00836FFC"/>
    <w:rsid w:val="00837A63"/>
    <w:rsid w:val="008402FC"/>
    <w:rsid w:val="00840441"/>
    <w:rsid w:val="0084121D"/>
    <w:rsid w:val="00841B12"/>
    <w:rsid w:val="0084294B"/>
    <w:rsid w:val="00843279"/>
    <w:rsid w:val="0084345D"/>
    <w:rsid w:val="00843720"/>
    <w:rsid w:val="00845A02"/>
    <w:rsid w:val="0084729F"/>
    <w:rsid w:val="00847492"/>
    <w:rsid w:val="00847E7A"/>
    <w:rsid w:val="00852E32"/>
    <w:rsid w:val="00852EFB"/>
    <w:rsid w:val="008534D3"/>
    <w:rsid w:val="00853934"/>
    <w:rsid w:val="008566B0"/>
    <w:rsid w:val="00856AFE"/>
    <w:rsid w:val="00857AE1"/>
    <w:rsid w:val="008606FF"/>
    <w:rsid w:val="00861A55"/>
    <w:rsid w:val="00862C86"/>
    <w:rsid w:val="008650C3"/>
    <w:rsid w:val="00866E2D"/>
    <w:rsid w:val="00867149"/>
    <w:rsid w:val="00867C77"/>
    <w:rsid w:val="0087243C"/>
    <w:rsid w:val="00872506"/>
    <w:rsid w:val="00872CAE"/>
    <w:rsid w:val="008744C7"/>
    <w:rsid w:val="008752EE"/>
    <w:rsid w:val="00875613"/>
    <w:rsid w:val="008757DF"/>
    <w:rsid w:val="008764CE"/>
    <w:rsid w:val="008768A6"/>
    <w:rsid w:val="00877C94"/>
    <w:rsid w:val="00880EAE"/>
    <w:rsid w:val="00881183"/>
    <w:rsid w:val="0088200F"/>
    <w:rsid w:val="00882D10"/>
    <w:rsid w:val="008839F4"/>
    <w:rsid w:val="00883DA9"/>
    <w:rsid w:val="00884B72"/>
    <w:rsid w:val="00884ECB"/>
    <w:rsid w:val="008853C5"/>
    <w:rsid w:val="00887E7D"/>
    <w:rsid w:val="0089133F"/>
    <w:rsid w:val="00891360"/>
    <w:rsid w:val="00891950"/>
    <w:rsid w:val="00891D14"/>
    <w:rsid w:val="00892DC5"/>
    <w:rsid w:val="008947AA"/>
    <w:rsid w:val="00894E54"/>
    <w:rsid w:val="00894E95"/>
    <w:rsid w:val="00894F8D"/>
    <w:rsid w:val="00895398"/>
    <w:rsid w:val="00895F3A"/>
    <w:rsid w:val="00895F47"/>
    <w:rsid w:val="00897525"/>
    <w:rsid w:val="00897557"/>
    <w:rsid w:val="008A102C"/>
    <w:rsid w:val="008A169C"/>
    <w:rsid w:val="008A1D6B"/>
    <w:rsid w:val="008A2B8A"/>
    <w:rsid w:val="008A3271"/>
    <w:rsid w:val="008A3888"/>
    <w:rsid w:val="008A4A4B"/>
    <w:rsid w:val="008A4D33"/>
    <w:rsid w:val="008A5854"/>
    <w:rsid w:val="008A6702"/>
    <w:rsid w:val="008A7DB2"/>
    <w:rsid w:val="008B25A4"/>
    <w:rsid w:val="008B3230"/>
    <w:rsid w:val="008B3389"/>
    <w:rsid w:val="008B451B"/>
    <w:rsid w:val="008B4F87"/>
    <w:rsid w:val="008B5959"/>
    <w:rsid w:val="008B607E"/>
    <w:rsid w:val="008B6773"/>
    <w:rsid w:val="008B7B60"/>
    <w:rsid w:val="008C0B4A"/>
    <w:rsid w:val="008C130E"/>
    <w:rsid w:val="008C3143"/>
    <w:rsid w:val="008C55CA"/>
    <w:rsid w:val="008C55D1"/>
    <w:rsid w:val="008C5DC6"/>
    <w:rsid w:val="008C6ACE"/>
    <w:rsid w:val="008C7FB9"/>
    <w:rsid w:val="008D23A3"/>
    <w:rsid w:val="008D2A44"/>
    <w:rsid w:val="008D38C9"/>
    <w:rsid w:val="008D599D"/>
    <w:rsid w:val="008D7F8D"/>
    <w:rsid w:val="008E20DE"/>
    <w:rsid w:val="008E2B04"/>
    <w:rsid w:val="008E3894"/>
    <w:rsid w:val="008E3A73"/>
    <w:rsid w:val="008E43D0"/>
    <w:rsid w:val="008E70CE"/>
    <w:rsid w:val="008E78A7"/>
    <w:rsid w:val="008E7F2B"/>
    <w:rsid w:val="008F08FC"/>
    <w:rsid w:val="008F11D3"/>
    <w:rsid w:val="008F1D5D"/>
    <w:rsid w:val="008F32B6"/>
    <w:rsid w:val="008F344A"/>
    <w:rsid w:val="008F3C51"/>
    <w:rsid w:val="008F3E9F"/>
    <w:rsid w:val="008F4179"/>
    <w:rsid w:val="008F45D7"/>
    <w:rsid w:val="008F4606"/>
    <w:rsid w:val="008F4D3F"/>
    <w:rsid w:val="008F60C7"/>
    <w:rsid w:val="008F776C"/>
    <w:rsid w:val="00900082"/>
    <w:rsid w:val="009014DF"/>
    <w:rsid w:val="00901707"/>
    <w:rsid w:val="00901768"/>
    <w:rsid w:val="00902960"/>
    <w:rsid w:val="00902FE5"/>
    <w:rsid w:val="00903CFF"/>
    <w:rsid w:val="009048B6"/>
    <w:rsid w:val="009052FB"/>
    <w:rsid w:val="00905EB9"/>
    <w:rsid w:val="00910709"/>
    <w:rsid w:val="00911EED"/>
    <w:rsid w:val="009125D8"/>
    <w:rsid w:val="00913763"/>
    <w:rsid w:val="00914A0F"/>
    <w:rsid w:val="0091520C"/>
    <w:rsid w:val="009157CC"/>
    <w:rsid w:val="00915A35"/>
    <w:rsid w:val="0091686D"/>
    <w:rsid w:val="00917641"/>
    <w:rsid w:val="00917975"/>
    <w:rsid w:val="00920F23"/>
    <w:rsid w:val="00923591"/>
    <w:rsid w:val="009239D7"/>
    <w:rsid w:val="00923F8D"/>
    <w:rsid w:val="00924E90"/>
    <w:rsid w:val="009254C0"/>
    <w:rsid w:val="00925F04"/>
    <w:rsid w:val="00925F30"/>
    <w:rsid w:val="00927922"/>
    <w:rsid w:val="0093060C"/>
    <w:rsid w:val="0093476D"/>
    <w:rsid w:val="0093493D"/>
    <w:rsid w:val="00935B10"/>
    <w:rsid w:val="00935E22"/>
    <w:rsid w:val="00936EF3"/>
    <w:rsid w:val="00941C13"/>
    <w:rsid w:val="00942DB3"/>
    <w:rsid w:val="009433B8"/>
    <w:rsid w:val="00944006"/>
    <w:rsid w:val="00944862"/>
    <w:rsid w:val="00944E7F"/>
    <w:rsid w:val="00945010"/>
    <w:rsid w:val="009450E9"/>
    <w:rsid w:val="00945456"/>
    <w:rsid w:val="00945D34"/>
    <w:rsid w:val="009464B7"/>
    <w:rsid w:val="00947BD0"/>
    <w:rsid w:val="0095059A"/>
    <w:rsid w:val="00950954"/>
    <w:rsid w:val="0095134A"/>
    <w:rsid w:val="00952BAF"/>
    <w:rsid w:val="00953C75"/>
    <w:rsid w:val="00954905"/>
    <w:rsid w:val="00955598"/>
    <w:rsid w:val="00955686"/>
    <w:rsid w:val="009601DD"/>
    <w:rsid w:val="009604AB"/>
    <w:rsid w:val="00960B2F"/>
    <w:rsid w:val="00960F0C"/>
    <w:rsid w:val="00961132"/>
    <w:rsid w:val="0096181D"/>
    <w:rsid w:val="0096191F"/>
    <w:rsid w:val="00962494"/>
    <w:rsid w:val="009633F0"/>
    <w:rsid w:val="0096750A"/>
    <w:rsid w:val="009702D9"/>
    <w:rsid w:val="00970B26"/>
    <w:rsid w:val="009718E6"/>
    <w:rsid w:val="00973244"/>
    <w:rsid w:val="009740DA"/>
    <w:rsid w:val="00974765"/>
    <w:rsid w:val="009753B9"/>
    <w:rsid w:val="00976E69"/>
    <w:rsid w:val="00977429"/>
    <w:rsid w:val="009774F3"/>
    <w:rsid w:val="00977890"/>
    <w:rsid w:val="00977AD9"/>
    <w:rsid w:val="00980211"/>
    <w:rsid w:val="009803AC"/>
    <w:rsid w:val="009810A5"/>
    <w:rsid w:val="00981251"/>
    <w:rsid w:val="009815E2"/>
    <w:rsid w:val="009818C4"/>
    <w:rsid w:val="00983B0D"/>
    <w:rsid w:val="00985FA5"/>
    <w:rsid w:val="009861D0"/>
    <w:rsid w:val="00986A71"/>
    <w:rsid w:val="00987E24"/>
    <w:rsid w:val="009913D0"/>
    <w:rsid w:val="00993956"/>
    <w:rsid w:val="00994ADA"/>
    <w:rsid w:val="009954BD"/>
    <w:rsid w:val="009958AA"/>
    <w:rsid w:val="00997E0F"/>
    <w:rsid w:val="009A10BC"/>
    <w:rsid w:val="009A1208"/>
    <w:rsid w:val="009A17A6"/>
    <w:rsid w:val="009A24B2"/>
    <w:rsid w:val="009A2561"/>
    <w:rsid w:val="009A2EE1"/>
    <w:rsid w:val="009A32E2"/>
    <w:rsid w:val="009A45FE"/>
    <w:rsid w:val="009A501A"/>
    <w:rsid w:val="009A60E8"/>
    <w:rsid w:val="009A7831"/>
    <w:rsid w:val="009B135A"/>
    <w:rsid w:val="009B1D12"/>
    <w:rsid w:val="009B20CA"/>
    <w:rsid w:val="009B24F8"/>
    <w:rsid w:val="009B28F8"/>
    <w:rsid w:val="009B3412"/>
    <w:rsid w:val="009B3CF6"/>
    <w:rsid w:val="009B7857"/>
    <w:rsid w:val="009C006A"/>
    <w:rsid w:val="009C0C4F"/>
    <w:rsid w:val="009C3876"/>
    <w:rsid w:val="009C7465"/>
    <w:rsid w:val="009D0234"/>
    <w:rsid w:val="009D189E"/>
    <w:rsid w:val="009D1B1A"/>
    <w:rsid w:val="009D2C80"/>
    <w:rsid w:val="009D3077"/>
    <w:rsid w:val="009D3760"/>
    <w:rsid w:val="009D4396"/>
    <w:rsid w:val="009D46A2"/>
    <w:rsid w:val="009D64A7"/>
    <w:rsid w:val="009D6AF8"/>
    <w:rsid w:val="009D7C29"/>
    <w:rsid w:val="009E0620"/>
    <w:rsid w:val="009E0B4A"/>
    <w:rsid w:val="009E288F"/>
    <w:rsid w:val="009E3D34"/>
    <w:rsid w:val="009E64FB"/>
    <w:rsid w:val="009E697A"/>
    <w:rsid w:val="009F0221"/>
    <w:rsid w:val="009F1C2D"/>
    <w:rsid w:val="009F388D"/>
    <w:rsid w:val="009F7B27"/>
    <w:rsid w:val="00A0026F"/>
    <w:rsid w:val="00A00F05"/>
    <w:rsid w:val="00A0138C"/>
    <w:rsid w:val="00A0179C"/>
    <w:rsid w:val="00A0247C"/>
    <w:rsid w:val="00A04D14"/>
    <w:rsid w:val="00A060FD"/>
    <w:rsid w:val="00A06527"/>
    <w:rsid w:val="00A0664E"/>
    <w:rsid w:val="00A07913"/>
    <w:rsid w:val="00A101E4"/>
    <w:rsid w:val="00A10A53"/>
    <w:rsid w:val="00A12929"/>
    <w:rsid w:val="00A12C30"/>
    <w:rsid w:val="00A136A7"/>
    <w:rsid w:val="00A1385D"/>
    <w:rsid w:val="00A13C69"/>
    <w:rsid w:val="00A1490F"/>
    <w:rsid w:val="00A15EBE"/>
    <w:rsid w:val="00A16037"/>
    <w:rsid w:val="00A17A68"/>
    <w:rsid w:val="00A17C76"/>
    <w:rsid w:val="00A22B11"/>
    <w:rsid w:val="00A25A43"/>
    <w:rsid w:val="00A26BF3"/>
    <w:rsid w:val="00A26E88"/>
    <w:rsid w:val="00A300EA"/>
    <w:rsid w:val="00A313B7"/>
    <w:rsid w:val="00A3183E"/>
    <w:rsid w:val="00A31A7E"/>
    <w:rsid w:val="00A32E4E"/>
    <w:rsid w:val="00A32FA3"/>
    <w:rsid w:val="00A3462C"/>
    <w:rsid w:val="00A35337"/>
    <w:rsid w:val="00A37083"/>
    <w:rsid w:val="00A373BD"/>
    <w:rsid w:val="00A41C1C"/>
    <w:rsid w:val="00A41DEB"/>
    <w:rsid w:val="00A4399F"/>
    <w:rsid w:val="00A456F4"/>
    <w:rsid w:val="00A4589A"/>
    <w:rsid w:val="00A465A9"/>
    <w:rsid w:val="00A46B17"/>
    <w:rsid w:val="00A47EC3"/>
    <w:rsid w:val="00A508EA"/>
    <w:rsid w:val="00A52A2F"/>
    <w:rsid w:val="00A53B35"/>
    <w:rsid w:val="00A55375"/>
    <w:rsid w:val="00A57CD5"/>
    <w:rsid w:val="00A60985"/>
    <w:rsid w:val="00A61885"/>
    <w:rsid w:val="00A62712"/>
    <w:rsid w:val="00A62B2C"/>
    <w:rsid w:val="00A64122"/>
    <w:rsid w:val="00A66031"/>
    <w:rsid w:val="00A665D8"/>
    <w:rsid w:val="00A675CB"/>
    <w:rsid w:val="00A70C0C"/>
    <w:rsid w:val="00A7136A"/>
    <w:rsid w:val="00A76BD4"/>
    <w:rsid w:val="00A76C51"/>
    <w:rsid w:val="00A77A97"/>
    <w:rsid w:val="00A8030C"/>
    <w:rsid w:val="00A80537"/>
    <w:rsid w:val="00A8075A"/>
    <w:rsid w:val="00A80B13"/>
    <w:rsid w:val="00A80F6E"/>
    <w:rsid w:val="00A81728"/>
    <w:rsid w:val="00A818B5"/>
    <w:rsid w:val="00A833BC"/>
    <w:rsid w:val="00A83F1F"/>
    <w:rsid w:val="00A87269"/>
    <w:rsid w:val="00A87ACA"/>
    <w:rsid w:val="00A92978"/>
    <w:rsid w:val="00A93211"/>
    <w:rsid w:val="00A949B4"/>
    <w:rsid w:val="00A949F2"/>
    <w:rsid w:val="00A94F7A"/>
    <w:rsid w:val="00A955DA"/>
    <w:rsid w:val="00A958FB"/>
    <w:rsid w:val="00A97434"/>
    <w:rsid w:val="00A97F4E"/>
    <w:rsid w:val="00AA0196"/>
    <w:rsid w:val="00AA12F8"/>
    <w:rsid w:val="00AA1351"/>
    <w:rsid w:val="00AA2F02"/>
    <w:rsid w:val="00AA3C2A"/>
    <w:rsid w:val="00AA5770"/>
    <w:rsid w:val="00AA5943"/>
    <w:rsid w:val="00AA5A8D"/>
    <w:rsid w:val="00AA6D18"/>
    <w:rsid w:val="00AA7776"/>
    <w:rsid w:val="00AA7D88"/>
    <w:rsid w:val="00AB0A99"/>
    <w:rsid w:val="00AB177D"/>
    <w:rsid w:val="00AB1BB2"/>
    <w:rsid w:val="00AB2916"/>
    <w:rsid w:val="00AB2D6C"/>
    <w:rsid w:val="00AB32F2"/>
    <w:rsid w:val="00AB4A3F"/>
    <w:rsid w:val="00AB5476"/>
    <w:rsid w:val="00AB72EE"/>
    <w:rsid w:val="00AC024E"/>
    <w:rsid w:val="00AC06E7"/>
    <w:rsid w:val="00AC09FD"/>
    <w:rsid w:val="00AC0B04"/>
    <w:rsid w:val="00AC19C9"/>
    <w:rsid w:val="00AC19D8"/>
    <w:rsid w:val="00AC1A1A"/>
    <w:rsid w:val="00AC1A2B"/>
    <w:rsid w:val="00AC3668"/>
    <w:rsid w:val="00AC52FE"/>
    <w:rsid w:val="00AC732B"/>
    <w:rsid w:val="00AD01EB"/>
    <w:rsid w:val="00AD02DE"/>
    <w:rsid w:val="00AD05D2"/>
    <w:rsid w:val="00AD0B92"/>
    <w:rsid w:val="00AD2312"/>
    <w:rsid w:val="00AD2A28"/>
    <w:rsid w:val="00AD2A4A"/>
    <w:rsid w:val="00AD33CB"/>
    <w:rsid w:val="00AD3869"/>
    <w:rsid w:val="00AD3F89"/>
    <w:rsid w:val="00AD5DCD"/>
    <w:rsid w:val="00AD694D"/>
    <w:rsid w:val="00AD6EDA"/>
    <w:rsid w:val="00AE02B2"/>
    <w:rsid w:val="00AE1DD2"/>
    <w:rsid w:val="00AE2567"/>
    <w:rsid w:val="00AE2A5A"/>
    <w:rsid w:val="00AE2D45"/>
    <w:rsid w:val="00AE2F00"/>
    <w:rsid w:val="00AE3286"/>
    <w:rsid w:val="00AE3B4B"/>
    <w:rsid w:val="00AE4A55"/>
    <w:rsid w:val="00AE7CE1"/>
    <w:rsid w:val="00AF0234"/>
    <w:rsid w:val="00AF0A0E"/>
    <w:rsid w:val="00AF3F53"/>
    <w:rsid w:val="00AF4C7A"/>
    <w:rsid w:val="00AF4FAE"/>
    <w:rsid w:val="00AF57AC"/>
    <w:rsid w:val="00AF6677"/>
    <w:rsid w:val="00AF66FB"/>
    <w:rsid w:val="00AF6A51"/>
    <w:rsid w:val="00AF7368"/>
    <w:rsid w:val="00AF7738"/>
    <w:rsid w:val="00B013E1"/>
    <w:rsid w:val="00B0184D"/>
    <w:rsid w:val="00B018AA"/>
    <w:rsid w:val="00B01B88"/>
    <w:rsid w:val="00B02F22"/>
    <w:rsid w:val="00B04600"/>
    <w:rsid w:val="00B05237"/>
    <w:rsid w:val="00B06580"/>
    <w:rsid w:val="00B078C7"/>
    <w:rsid w:val="00B07FEB"/>
    <w:rsid w:val="00B106BB"/>
    <w:rsid w:val="00B10B21"/>
    <w:rsid w:val="00B116CA"/>
    <w:rsid w:val="00B128C0"/>
    <w:rsid w:val="00B13114"/>
    <w:rsid w:val="00B134A6"/>
    <w:rsid w:val="00B1387F"/>
    <w:rsid w:val="00B14531"/>
    <w:rsid w:val="00B14C16"/>
    <w:rsid w:val="00B15DDC"/>
    <w:rsid w:val="00B1602D"/>
    <w:rsid w:val="00B16D36"/>
    <w:rsid w:val="00B17055"/>
    <w:rsid w:val="00B20455"/>
    <w:rsid w:val="00B21C75"/>
    <w:rsid w:val="00B22800"/>
    <w:rsid w:val="00B22ECD"/>
    <w:rsid w:val="00B245E6"/>
    <w:rsid w:val="00B27856"/>
    <w:rsid w:val="00B278D6"/>
    <w:rsid w:val="00B31415"/>
    <w:rsid w:val="00B32BEB"/>
    <w:rsid w:val="00B33B1E"/>
    <w:rsid w:val="00B34196"/>
    <w:rsid w:val="00B341C5"/>
    <w:rsid w:val="00B341FE"/>
    <w:rsid w:val="00B37DBB"/>
    <w:rsid w:val="00B416C7"/>
    <w:rsid w:val="00B419B1"/>
    <w:rsid w:val="00B424EE"/>
    <w:rsid w:val="00B43697"/>
    <w:rsid w:val="00B43AF9"/>
    <w:rsid w:val="00B44A12"/>
    <w:rsid w:val="00B46DB4"/>
    <w:rsid w:val="00B470DF"/>
    <w:rsid w:val="00B47418"/>
    <w:rsid w:val="00B47D6F"/>
    <w:rsid w:val="00B503B2"/>
    <w:rsid w:val="00B51241"/>
    <w:rsid w:val="00B51570"/>
    <w:rsid w:val="00B523DA"/>
    <w:rsid w:val="00B529B8"/>
    <w:rsid w:val="00B53207"/>
    <w:rsid w:val="00B537A0"/>
    <w:rsid w:val="00B538B4"/>
    <w:rsid w:val="00B53A3F"/>
    <w:rsid w:val="00B544B3"/>
    <w:rsid w:val="00B55404"/>
    <w:rsid w:val="00B560D0"/>
    <w:rsid w:val="00B56E4A"/>
    <w:rsid w:val="00B56F8E"/>
    <w:rsid w:val="00B61BC2"/>
    <w:rsid w:val="00B61CB8"/>
    <w:rsid w:val="00B62FD6"/>
    <w:rsid w:val="00B64773"/>
    <w:rsid w:val="00B64894"/>
    <w:rsid w:val="00B65764"/>
    <w:rsid w:val="00B65B45"/>
    <w:rsid w:val="00B6607D"/>
    <w:rsid w:val="00B665F5"/>
    <w:rsid w:val="00B67F33"/>
    <w:rsid w:val="00B70533"/>
    <w:rsid w:val="00B73970"/>
    <w:rsid w:val="00B750D7"/>
    <w:rsid w:val="00B75595"/>
    <w:rsid w:val="00B763F7"/>
    <w:rsid w:val="00B7708B"/>
    <w:rsid w:val="00B770BF"/>
    <w:rsid w:val="00B77BC6"/>
    <w:rsid w:val="00B77D22"/>
    <w:rsid w:val="00B8031E"/>
    <w:rsid w:val="00B8093A"/>
    <w:rsid w:val="00B80AF8"/>
    <w:rsid w:val="00B817A7"/>
    <w:rsid w:val="00B81BD9"/>
    <w:rsid w:val="00B82B12"/>
    <w:rsid w:val="00B82EEC"/>
    <w:rsid w:val="00B836AF"/>
    <w:rsid w:val="00B83E55"/>
    <w:rsid w:val="00B83F09"/>
    <w:rsid w:val="00B84675"/>
    <w:rsid w:val="00B84AF6"/>
    <w:rsid w:val="00B86699"/>
    <w:rsid w:val="00B87958"/>
    <w:rsid w:val="00B90CB9"/>
    <w:rsid w:val="00B930DA"/>
    <w:rsid w:val="00B938CF"/>
    <w:rsid w:val="00B96AD7"/>
    <w:rsid w:val="00B96B50"/>
    <w:rsid w:val="00B96CF0"/>
    <w:rsid w:val="00B96EFC"/>
    <w:rsid w:val="00B97C87"/>
    <w:rsid w:val="00BA0C66"/>
    <w:rsid w:val="00BA1C3B"/>
    <w:rsid w:val="00BA2FA1"/>
    <w:rsid w:val="00BA34E3"/>
    <w:rsid w:val="00BA3E66"/>
    <w:rsid w:val="00BA6FB1"/>
    <w:rsid w:val="00BA7345"/>
    <w:rsid w:val="00BA7E83"/>
    <w:rsid w:val="00BB14D4"/>
    <w:rsid w:val="00BB1BB9"/>
    <w:rsid w:val="00BB30B7"/>
    <w:rsid w:val="00BB3625"/>
    <w:rsid w:val="00BB36C5"/>
    <w:rsid w:val="00BB4133"/>
    <w:rsid w:val="00BB49C2"/>
    <w:rsid w:val="00BB4A57"/>
    <w:rsid w:val="00BB5275"/>
    <w:rsid w:val="00BB55BE"/>
    <w:rsid w:val="00BB5C01"/>
    <w:rsid w:val="00BB6307"/>
    <w:rsid w:val="00BB68B2"/>
    <w:rsid w:val="00BB7E34"/>
    <w:rsid w:val="00BB7E39"/>
    <w:rsid w:val="00BB7E7E"/>
    <w:rsid w:val="00BB7FA0"/>
    <w:rsid w:val="00BC0F59"/>
    <w:rsid w:val="00BC2FD9"/>
    <w:rsid w:val="00BC3A9D"/>
    <w:rsid w:val="00BC56B9"/>
    <w:rsid w:val="00BC6C25"/>
    <w:rsid w:val="00BC792C"/>
    <w:rsid w:val="00BC7D0D"/>
    <w:rsid w:val="00BD0276"/>
    <w:rsid w:val="00BD0F9A"/>
    <w:rsid w:val="00BD15F5"/>
    <w:rsid w:val="00BD276C"/>
    <w:rsid w:val="00BD27A0"/>
    <w:rsid w:val="00BD4B1E"/>
    <w:rsid w:val="00BD4DA4"/>
    <w:rsid w:val="00BD56E3"/>
    <w:rsid w:val="00BD7448"/>
    <w:rsid w:val="00BE08DE"/>
    <w:rsid w:val="00BE116A"/>
    <w:rsid w:val="00BE1857"/>
    <w:rsid w:val="00BE219C"/>
    <w:rsid w:val="00BE27A7"/>
    <w:rsid w:val="00BE57C5"/>
    <w:rsid w:val="00BE5932"/>
    <w:rsid w:val="00BE63C0"/>
    <w:rsid w:val="00BE77FD"/>
    <w:rsid w:val="00BF07B7"/>
    <w:rsid w:val="00BF1373"/>
    <w:rsid w:val="00BF168E"/>
    <w:rsid w:val="00BF256B"/>
    <w:rsid w:val="00BF2A52"/>
    <w:rsid w:val="00BF4959"/>
    <w:rsid w:val="00BF4CDC"/>
    <w:rsid w:val="00BF6944"/>
    <w:rsid w:val="00BF769B"/>
    <w:rsid w:val="00C031F7"/>
    <w:rsid w:val="00C03575"/>
    <w:rsid w:val="00C03892"/>
    <w:rsid w:val="00C0514E"/>
    <w:rsid w:val="00C06B2E"/>
    <w:rsid w:val="00C076CE"/>
    <w:rsid w:val="00C10A18"/>
    <w:rsid w:val="00C10CEE"/>
    <w:rsid w:val="00C11C8E"/>
    <w:rsid w:val="00C11FFE"/>
    <w:rsid w:val="00C1246E"/>
    <w:rsid w:val="00C14265"/>
    <w:rsid w:val="00C147DE"/>
    <w:rsid w:val="00C14A15"/>
    <w:rsid w:val="00C1580A"/>
    <w:rsid w:val="00C16D8F"/>
    <w:rsid w:val="00C16EC1"/>
    <w:rsid w:val="00C16FD7"/>
    <w:rsid w:val="00C2060D"/>
    <w:rsid w:val="00C209D8"/>
    <w:rsid w:val="00C2180B"/>
    <w:rsid w:val="00C22F76"/>
    <w:rsid w:val="00C25342"/>
    <w:rsid w:val="00C25720"/>
    <w:rsid w:val="00C26C25"/>
    <w:rsid w:val="00C26D4D"/>
    <w:rsid w:val="00C30F84"/>
    <w:rsid w:val="00C319E0"/>
    <w:rsid w:val="00C34665"/>
    <w:rsid w:val="00C351D0"/>
    <w:rsid w:val="00C40068"/>
    <w:rsid w:val="00C40A1E"/>
    <w:rsid w:val="00C41DBB"/>
    <w:rsid w:val="00C420F8"/>
    <w:rsid w:val="00C4211C"/>
    <w:rsid w:val="00C4285A"/>
    <w:rsid w:val="00C43BBB"/>
    <w:rsid w:val="00C46B27"/>
    <w:rsid w:val="00C46B9D"/>
    <w:rsid w:val="00C5099B"/>
    <w:rsid w:val="00C5235B"/>
    <w:rsid w:val="00C53FB1"/>
    <w:rsid w:val="00C53FDF"/>
    <w:rsid w:val="00C5685F"/>
    <w:rsid w:val="00C57A36"/>
    <w:rsid w:val="00C60738"/>
    <w:rsid w:val="00C6197D"/>
    <w:rsid w:val="00C62A26"/>
    <w:rsid w:val="00C6347E"/>
    <w:rsid w:val="00C63CD4"/>
    <w:rsid w:val="00C659DA"/>
    <w:rsid w:val="00C65B8C"/>
    <w:rsid w:val="00C6745F"/>
    <w:rsid w:val="00C7286F"/>
    <w:rsid w:val="00C72A8D"/>
    <w:rsid w:val="00C73D98"/>
    <w:rsid w:val="00C745AB"/>
    <w:rsid w:val="00C74CBA"/>
    <w:rsid w:val="00C74D66"/>
    <w:rsid w:val="00C75BFD"/>
    <w:rsid w:val="00C77E15"/>
    <w:rsid w:val="00C80419"/>
    <w:rsid w:val="00C80E36"/>
    <w:rsid w:val="00C812B8"/>
    <w:rsid w:val="00C81E9F"/>
    <w:rsid w:val="00C83289"/>
    <w:rsid w:val="00C84669"/>
    <w:rsid w:val="00C85552"/>
    <w:rsid w:val="00C856B2"/>
    <w:rsid w:val="00C869F0"/>
    <w:rsid w:val="00C86AE2"/>
    <w:rsid w:val="00C90B09"/>
    <w:rsid w:val="00C90B63"/>
    <w:rsid w:val="00C90FDC"/>
    <w:rsid w:val="00C90FF5"/>
    <w:rsid w:val="00C91643"/>
    <w:rsid w:val="00C91A5D"/>
    <w:rsid w:val="00C93126"/>
    <w:rsid w:val="00C9336E"/>
    <w:rsid w:val="00C933DB"/>
    <w:rsid w:val="00C939C0"/>
    <w:rsid w:val="00C943B8"/>
    <w:rsid w:val="00C95DC3"/>
    <w:rsid w:val="00CA0311"/>
    <w:rsid w:val="00CA19B9"/>
    <w:rsid w:val="00CA2B93"/>
    <w:rsid w:val="00CA2CA1"/>
    <w:rsid w:val="00CA31EE"/>
    <w:rsid w:val="00CA465E"/>
    <w:rsid w:val="00CA4D3C"/>
    <w:rsid w:val="00CA7ECB"/>
    <w:rsid w:val="00CB144C"/>
    <w:rsid w:val="00CB1BF9"/>
    <w:rsid w:val="00CB2644"/>
    <w:rsid w:val="00CB264D"/>
    <w:rsid w:val="00CB3947"/>
    <w:rsid w:val="00CB3AFA"/>
    <w:rsid w:val="00CB4332"/>
    <w:rsid w:val="00CB53BD"/>
    <w:rsid w:val="00CB7625"/>
    <w:rsid w:val="00CC02FC"/>
    <w:rsid w:val="00CC105B"/>
    <w:rsid w:val="00CC1280"/>
    <w:rsid w:val="00CC336D"/>
    <w:rsid w:val="00CC3A8C"/>
    <w:rsid w:val="00CC5B52"/>
    <w:rsid w:val="00CC6E9C"/>
    <w:rsid w:val="00CC73C9"/>
    <w:rsid w:val="00CC7608"/>
    <w:rsid w:val="00CD05BE"/>
    <w:rsid w:val="00CD0612"/>
    <w:rsid w:val="00CD0BE2"/>
    <w:rsid w:val="00CD1EF9"/>
    <w:rsid w:val="00CD26E8"/>
    <w:rsid w:val="00CD2A55"/>
    <w:rsid w:val="00CD4627"/>
    <w:rsid w:val="00CD5093"/>
    <w:rsid w:val="00CE1A29"/>
    <w:rsid w:val="00CE22F1"/>
    <w:rsid w:val="00CE289A"/>
    <w:rsid w:val="00CE29AE"/>
    <w:rsid w:val="00CE2CD6"/>
    <w:rsid w:val="00CE38A9"/>
    <w:rsid w:val="00CE427C"/>
    <w:rsid w:val="00CE4525"/>
    <w:rsid w:val="00CE4E65"/>
    <w:rsid w:val="00CE765E"/>
    <w:rsid w:val="00CE7D22"/>
    <w:rsid w:val="00CE7DD7"/>
    <w:rsid w:val="00CF06B4"/>
    <w:rsid w:val="00CF0AF8"/>
    <w:rsid w:val="00CF0BD9"/>
    <w:rsid w:val="00CF0D3D"/>
    <w:rsid w:val="00CF1D4A"/>
    <w:rsid w:val="00CF24E9"/>
    <w:rsid w:val="00CF4302"/>
    <w:rsid w:val="00CF4C4C"/>
    <w:rsid w:val="00CF4F6F"/>
    <w:rsid w:val="00CF5DDA"/>
    <w:rsid w:val="00D009DC"/>
    <w:rsid w:val="00D010BD"/>
    <w:rsid w:val="00D01D87"/>
    <w:rsid w:val="00D02F5B"/>
    <w:rsid w:val="00D032B3"/>
    <w:rsid w:val="00D034AB"/>
    <w:rsid w:val="00D03F3D"/>
    <w:rsid w:val="00D04813"/>
    <w:rsid w:val="00D04B4E"/>
    <w:rsid w:val="00D0743F"/>
    <w:rsid w:val="00D07894"/>
    <w:rsid w:val="00D07EBD"/>
    <w:rsid w:val="00D117F5"/>
    <w:rsid w:val="00D12608"/>
    <w:rsid w:val="00D12A04"/>
    <w:rsid w:val="00D12AA4"/>
    <w:rsid w:val="00D14CB7"/>
    <w:rsid w:val="00D14E33"/>
    <w:rsid w:val="00D15A94"/>
    <w:rsid w:val="00D166DA"/>
    <w:rsid w:val="00D16955"/>
    <w:rsid w:val="00D200C2"/>
    <w:rsid w:val="00D20F3E"/>
    <w:rsid w:val="00D217D6"/>
    <w:rsid w:val="00D220B4"/>
    <w:rsid w:val="00D22181"/>
    <w:rsid w:val="00D24152"/>
    <w:rsid w:val="00D2527A"/>
    <w:rsid w:val="00D25896"/>
    <w:rsid w:val="00D31358"/>
    <w:rsid w:val="00D31457"/>
    <w:rsid w:val="00D31F82"/>
    <w:rsid w:val="00D35AF0"/>
    <w:rsid w:val="00D35E0E"/>
    <w:rsid w:val="00D36702"/>
    <w:rsid w:val="00D36AAC"/>
    <w:rsid w:val="00D36ECC"/>
    <w:rsid w:val="00D37B71"/>
    <w:rsid w:val="00D37BF1"/>
    <w:rsid w:val="00D4105B"/>
    <w:rsid w:val="00D41336"/>
    <w:rsid w:val="00D41C6F"/>
    <w:rsid w:val="00D4221B"/>
    <w:rsid w:val="00D44E00"/>
    <w:rsid w:val="00D453D5"/>
    <w:rsid w:val="00D45CEF"/>
    <w:rsid w:val="00D47DCD"/>
    <w:rsid w:val="00D5034B"/>
    <w:rsid w:val="00D50BAE"/>
    <w:rsid w:val="00D5391E"/>
    <w:rsid w:val="00D5488D"/>
    <w:rsid w:val="00D54FEF"/>
    <w:rsid w:val="00D550EF"/>
    <w:rsid w:val="00D5545A"/>
    <w:rsid w:val="00D55AB7"/>
    <w:rsid w:val="00D56C77"/>
    <w:rsid w:val="00D601B7"/>
    <w:rsid w:val="00D6239C"/>
    <w:rsid w:val="00D63895"/>
    <w:rsid w:val="00D66ADD"/>
    <w:rsid w:val="00D67CAD"/>
    <w:rsid w:val="00D705F1"/>
    <w:rsid w:val="00D718FD"/>
    <w:rsid w:val="00D723BA"/>
    <w:rsid w:val="00D7315B"/>
    <w:rsid w:val="00D733CD"/>
    <w:rsid w:val="00D734D0"/>
    <w:rsid w:val="00D73955"/>
    <w:rsid w:val="00D7566D"/>
    <w:rsid w:val="00D7763E"/>
    <w:rsid w:val="00D80533"/>
    <w:rsid w:val="00D82070"/>
    <w:rsid w:val="00D82301"/>
    <w:rsid w:val="00D8262C"/>
    <w:rsid w:val="00D83604"/>
    <w:rsid w:val="00D85A35"/>
    <w:rsid w:val="00D8684D"/>
    <w:rsid w:val="00D9199A"/>
    <w:rsid w:val="00D91D36"/>
    <w:rsid w:val="00D9366C"/>
    <w:rsid w:val="00D93CE0"/>
    <w:rsid w:val="00D93F90"/>
    <w:rsid w:val="00D95D75"/>
    <w:rsid w:val="00D97440"/>
    <w:rsid w:val="00D97C7E"/>
    <w:rsid w:val="00DA0C82"/>
    <w:rsid w:val="00DA16E4"/>
    <w:rsid w:val="00DA3F04"/>
    <w:rsid w:val="00DA5676"/>
    <w:rsid w:val="00DA64E0"/>
    <w:rsid w:val="00DA6E24"/>
    <w:rsid w:val="00DA6FB0"/>
    <w:rsid w:val="00DA7636"/>
    <w:rsid w:val="00DB101B"/>
    <w:rsid w:val="00DB140B"/>
    <w:rsid w:val="00DB238C"/>
    <w:rsid w:val="00DB2D2A"/>
    <w:rsid w:val="00DB2FF3"/>
    <w:rsid w:val="00DB3884"/>
    <w:rsid w:val="00DB5103"/>
    <w:rsid w:val="00DB5E64"/>
    <w:rsid w:val="00DB6A0A"/>
    <w:rsid w:val="00DB7557"/>
    <w:rsid w:val="00DB7BDF"/>
    <w:rsid w:val="00DB7EBC"/>
    <w:rsid w:val="00DC121F"/>
    <w:rsid w:val="00DC379E"/>
    <w:rsid w:val="00DC4054"/>
    <w:rsid w:val="00DC4F10"/>
    <w:rsid w:val="00DC54C7"/>
    <w:rsid w:val="00DC5BDA"/>
    <w:rsid w:val="00DC6121"/>
    <w:rsid w:val="00DC684F"/>
    <w:rsid w:val="00DC7677"/>
    <w:rsid w:val="00DD1B4E"/>
    <w:rsid w:val="00DD2F21"/>
    <w:rsid w:val="00DD3FBB"/>
    <w:rsid w:val="00DD43E0"/>
    <w:rsid w:val="00DD58BF"/>
    <w:rsid w:val="00DD5ABE"/>
    <w:rsid w:val="00DD5ACD"/>
    <w:rsid w:val="00DD5DFD"/>
    <w:rsid w:val="00DD6713"/>
    <w:rsid w:val="00DE0068"/>
    <w:rsid w:val="00DE048E"/>
    <w:rsid w:val="00DE061D"/>
    <w:rsid w:val="00DE108C"/>
    <w:rsid w:val="00DE203F"/>
    <w:rsid w:val="00DE398D"/>
    <w:rsid w:val="00DE516C"/>
    <w:rsid w:val="00DE5720"/>
    <w:rsid w:val="00DE5B31"/>
    <w:rsid w:val="00DE642F"/>
    <w:rsid w:val="00DF1B28"/>
    <w:rsid w:val="00DF3B49"/>
    <w:rsid w:val="00DF4495"/>
    <w:rsid w:val="00DF4CC5"/>
    <w:rsid w:val="00DF66A0"/>
    <w:rsid w:val="00DF73A2"/>
    <w:rsid w:val="00DF7F37"/>
    <w:rsid w:val="00E0285F"/>
    <w:rsid w:val="00E03285"/>
    <w:rsid w:val="00E034BF"/>
    <w:rsid w:val="00E038AE"/>
    <w:rsid w:val="00E0502A"/>
    <w:rsid w:val="00E071B1"/>
    <w:rsid w:val="00E07FEC"/>
    <w:rsid w:val="00E10469"/>
    <w:rsid w:val="00E1097E"/>
    <w:rsid w:val="00E1124B"/>
    <w:rsid w:val="00E11674"/>
    <w:rsid w:val="00E117E3"/>
    <w:rsid w:val="00E11C35"/>
    <w:rsid w:val="00E11FFD"/>
    <w:rsid w:val="00E12AD6"/>
    <w:rsid w:val="00E12DA7"/>
    <w:rsid w:val="00E13140"/>
    <w:rsid w:val="00E134E4"/>
    <w:rsid w:val="00E13D25"/>
    <w:rsid w:val="00E15561"/>
    <w:rsid w:val="00E16C8F"/>
    <w:rsid w:val="00E201E8"/>
    <w:rsid w:val="00E20C33"/>
    <w:rsid w:val="00E2177D"/>
    <w:rsid w:val="00E220F9"/>
    <w:rsid w:val="00E227B6"/>
    <w:rsid w:val="00E23A04"/>
    <w:rsid w:val="00E24E85"/>
    <w:rsid w:val="00E25506"/>
    <w:rsid w:val="00E25DDE"/>
    <w:rsid w:val="00E25F6C"/>
    <w:rsid w:val="00E27E38"/>
    <w:rsid w:val="00E30A9F"/>
    <w:rsid w:val="00E310B1"/>
    <w:rsid w:val="00E32619"/>
    <w:rsid w:val="00E334D4"/>
    <w:rsid w:val="00E3416B"/>
    <w:rsid w:val="00E35E21"/>
    <w:rsid w:val="00E420EB"/>
    <w:rsid w:val="00E42AA3"/>
    <w:rsid w:val="00E42C50"/>
    <w:rsid w:val="00E47FB4"/>
    <w:rsid w:val="00E5044D"/>
    <w:rsid w:val="00E50F61"/>
    <w:rsid w:val="00E532BC"/>
    <w:rsid w:val="00E54C9E"/>
    <w:rsid w:val="00E55488"/>
    <w:rsid w:val="00E55681"/>
    <w:rsid w:val="00E55BE5"/>
    <w:rsid w:val="00E60A72"/>
    <w:rsid w:val="00E61193"/>
    <w:rsid w:val="00E615D0"/>
    <w:rsid w:val="00E632FB"/>
    <w:rsid w:val="00E64EE8"/>
    <w:rsid w:val="00E65145"/>
    <w:rsid w:val="00E65B56"/>
    <w:rsid w:val="00E6675B"/>
    <w:rsid w:val="00E66ECC"/>
    <w:rsid w:val="00E67B71"/>
    <w:rsid w:val="00E67E4C"/>
    <w:rsid w:val="00E7101E"/>
    <w:rsid w:val="00E713BE"/>
    <w:rsid w:val="00E71D4D"/>
    <w:rsid w:val="00E72018"/>
    <w:rsid w:val="00E73FC3"/>
    <w:rsid w:val="00E744D4"/>
    <w:rsid w:val="00E7492F"/>
    <w:rsid w:val="00E74DB2"/>
    <w:rsid w:val="00E74F07"/>
    <w:rsid w:val="00E75EB6"/>
    <w:rsid w:val="00E76793"/>
    <w:rsid w:val="00E77CC9"/>
    <w:rsid w:val="00E77EE0"/>
    <w:rsid w:val="00E85860"/>
    <w:rsid w:val="00E860DE"/>
    <w:rsid w:val="00E9246A"/>
    <w:rsid w:val="00E9289F"/>
    <w:rsid w:val="00E933FC"/>
    <w:rsid w:val="00E9469D"/>
    <w:rsid w:val="00E94DED"/>
    <w:rsid w:val="00E95105"/>
    <w:rsid w:val="00E95777"/>
    <w:rsid w:val="00E961AB"/>
    <w:rsid w:val="00E96F66"/>
    <w:rsid w:val="00E97C46"/>
    <w:rsid w:val="00EA06AD"/>
    <w:rsid w:val="00EA119D"/>
    <w:rsid w:val="00EA35E5"/>
    <w:rsid w:val="00EA38A6"/>
    <w:rsid w:val="00EA38DD"/>
    <w:rsid w:val="00EA3E72"/>
    <w:rsid w:val="00EA4315"/>
    <w:rsid w:val="00EA49CA"/>
    <w:rsid w:val="00EA539F"/>
    <w:rsid w:val="00EA5739"/>
    <w:rsid w:val="00EA5EAF"/>
    <w:rsid w:val="00EB19F5"/>
    <w:rsid w:val="00EB2F7A"/>
    <w:rsid w:val="00EB310F"/>
    <w:rsid w:val="00EB405A"/>
    <w:rsid w:val="00EB45EC"/>
    <w:rsid w:val="00EB5B8C"/>
    <w:rsid w:val="00EB61F7"/>
    <w:rsid w:val="00EB6848"/>
    <w:rsid w:val="00EB7EFF"/>
    <w:rsid w:val="00EC0A16"/>
    <w:rsid w:val="00EC0B6D"/>
    <w:rsid w:val="00EC151C"/>
    <w:rsid w:val="00EC1B2E"/>
    <w:rsid w:val="00EC2EAF"/>
    <w:rsid w:val="00EC2F03"/>
    <w:rsid w:val="00EC43EB"/>
    <w:rsid w:val="00EC4966"/>
    <w:rsid w:val="00EC54E5"/>
    <w:rsid w:val="00EC591E"/>
    <w:rsid w:val="00EC6E84"/>
    <w:rsid w:val="00EC772E"/>
    <w:rsid w:val="00EC7941"/>
    <w:rsid w:val="00ED10BF"/>
    <w:rsid w:val="00ED132E"/>
    <w:rsid w:val="00ED1EA9"/>
    <w:rsid w:val="00ED3184"/>
    <w:rsid w:val="00ED3874"/>
    <w:rsid w:val="00ED5698"/>
    <w:rsid w:val="00ED5703"/>
    <w:rsid w:val="00ED75DC"/>
    <w:rsid w:val="00ED77A9"/>
    <w:rsid w:val="00ED7C81"/>
    <w:rsid w:val="00EE2710"/>
    <w:rsid w:val="00EE2736"/>
    <w:rsid w:val="00EE499D"/>
    <w:rsid w:val="00EE58B5"/>
    <w:rsid w:val="00EE5AAF"/>
    <w:rsid w:val="00EE6E72"/>
    <w:rsid w:val="00EE7216"/>
    <w:rsid w:val="00EE7750"/>
    <w:rsid w:val="00EE7DF1"/>
    <w:rsid w:val="00EF0DE5"/>
    <w:rsid w:val="00EF272F"/>
    <w:rsid w:val="00EF28D9"/>
    <w:rsid w:val="00EF4075"/>
    <w:rsid w:val="00EF42DB"/>
    <w:rsid w:val="00EF4333"/>
    <w:rsid w:val="00EF43AC"/>
    <w:rsid w:val="00EF773F"/>
    <w:rsid w:val="00F000E7"/>
    <w:rsid w:val="00F01E12"/>
    <w:rsid w:val="00F029C5"/>
    <w:rsid w:val="00F02E73"/>
    <w:rsid w:val="00F02F92"/>
    <w:rsid w:val="00F041F2"/>
    <w:rsid w:val="00F04BBF"/>
    <w:rsid w:val="00F050E1"/>
    <w:rsid w:val="00F05494"/>
    <w:rsid w:val="00F0560C"/>
    <w:rsid w:val="00F05679"/>
    <w:rsid w:val="00F06536"/>
    <w:rsid w:val="00F06DA0"/>
    <w:rsid w:val="00F10061"/>
    <w:rsid w:val="00F10449"/>
    <w:rsid w:val="00F109A1"/>
    <w:rsid w:val="00F1221E"/>
    <w:rsid w:val="00F13866"/>
    <w:rsid w:val="00F147A7"/>
    <w:rsid w:val="00F14F7D"/>
    <w:rsid w:val="00F1581D"/>
    <w:rsid w:val="00F17D46"/>
    <w:rsid w:val="00F204F0"/>
    <w:rsid w:val="00F20A59"/>
    <w:rsid w:val="00F21A39"/>
    <w:rsid w:val="00F22096"/>
    <w:rsid w:val="00F24677"/>
    <w:rsid w:val="00F269D0"/>
    <w:rsid w:val="00F27965"/>
    <w:rsid w:val="00F3149D"/>
    <w:rsid w:val="00F317C1"/>
    <w:rsid w:val="00F318D9"/>
    <w:rsid w:val="00F32402"/>
    <w:rsid w:val="00F33226"/>
    <w:rsid w:val="00F33E1A"/>
    <w:rsid w:val="00F3477D"/>
    <w:rsid w:val="00F365BA"/>
    <w:rsid w:val="00F371DF"/>
    <w:rsid w:val="00F40972"/>
    <w:rsid w:val="00F41380"/>
    <w:rsid w:val="00F413EF"/>
    <w:rsid w:val="00F42560"/>
    <w:rsid w:val="00F458ED"/>
    <w:rsid w:val="00F460EC"/>
    <w:rsid w:val="00F463AF"/>
    <w:rsid w:val="00F46F2C"/>
    <w:rsid w:val="00F47F13"/>
    <w:rsid w:val="00F50610"/>
    <w:rsid w:val="00F5077F"/>
    <w:rsid w:val="00F509D3"/>
    <w:rsid w:val="00F50A62"/>
    <w:rsid w:val="00F52629"/>
    <w:rsid w:val="00F52754"/>
    <w:rsid w:val="00F529DA"/>
    <w:rsid w:val="00F5346B"/>
    <w:rsid w:val="00F53628"/>
    <w:rsid w:val="00F5399E"/>
    <w:rsid w:val="00F53FDE"/>
    <w:rsid w:val="00F540DF"/>
    <w:rsid w:val="00F547EB"/>
    <w:rsid w:val="00F54849"/>
    <w:rsid w:val="00F549E9"/>
    <w:rsid w:val="00F56811"/>
    <w:rsid w:val="00F62588"/>
    <w:rsid w:val="00F62EA3"/>
    <w:rsid w:val="00F63BCC"/>
    <w:rsid w:val="00F66263"/>
    <w:rsid w:val="00F66390"/>
    <w:rsid w:val="00F67476"/>
    <w:rsid w:val="00F70D08"/>
    <w:rsid w:val="00F737BB"/>
    <w:rsid w:val="00F73B1B"/>
    <w:rsid w:val="00F7422D"/>
    <w:rsid w:val="00F75EB4"/>
    <w:rsid w:val="00F7646D"/>
    <w:rsid w:val="00F775A8"/>
    <w:rsid w:val="00F77F5C"/>
    <w:rsid w:val="00F80EA9"/>
    <w:rsid w:val="00F82AD3"/>
    <w:rsid w:val="00F83E38"/>
    <w:rsid w:val="00F83E79"/>
    <w:rsid w:val="00F83ECF"/>
    <w:rsid w:val="00F85DC6"/>
    <w:rsid w:val="00F87052"/>
    <w:rsid w:val="00F90784"/>
    <w:rsid w:val="00F9081B"/>
    <w:rsid w:val="00F90B43"/>
    <w:rsid w:val="00F911C0"/>
    <w:rsid w:val="00F94112"/>
    <w:rsid w:val="00F94603"/>
    <w:rsid w:val="00F95C04"/>
    <w:rsid w:val="00FA1548"/>
    <w:rsid w:val="00FA191E"/>
    <w:rsid w:val="00FA1934"/>
    <w:rsid w:val="00FA2A52"/>
    <w:rsid w:val="00FA3EB3"/>
    <w:rsid w:val="00FA58AA"/>
    <w:rsid w:val="00FA7270"/>
    <w:rsid w:val="00FB12A4"/>
    <w:rsid w:val="00FB1AB1"/>
    <w:rsid w:val="00FB2156"/>
    <w:rsid w:val="00FB2A75"/>
    <w:rsid w:val="00FB377A"/>
    <w:rsid w:val="00FB3D0F"/>
    <w:rsid w:val="00FB5A88"/>
    <w:rsid w:val="00FC4A67"/>
    <w:rsid w:val="00FC5E1B"/>
    <w:rsid w:val="00FC656A"/>
    <w:rsid w:val="00FC78B9"/>
    <w:rsid w:val="00FC7EA2"/>
    <w:rsid w:val="00FD041B"/>
    <w:rsid w:val="00FD0810"/>
    <w:rsid w:val="00FD3440"/>
    <w:rsid w:val="00FD470B"/>
    <w:rsid w:val="00FD5D73"/>
    <w:rsid w:val="00FD6451"/>
    <w:rsid w:val="00FE4003"/>
    <w:rsid w:val="00FE438E"/>
    <w:rsid w:val="00FE4AA7"/>
    <w:rsid w:val="00FE5238"/>
    <w:rsid w:val="00FE5C28"/>
    <w:rsid w:val="00FE66AF"/>
    <w:rsid w:val="00FE66E1"/>
    <w:rsid w:val="00FE7547"/>
    <w:rsid w:val="00FE7C0C"/>
    <w:rsid w:val="00FF1624"/>
    <w:rsid w:val="00FF1B4A"/>
    <w:rsid w:val="00FF5951"/>
    <w:rsid w:val="00FF6B75"/>
    <w:rsid w:val="00FF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CDA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86D"/>
    <w:rPr>
      <w:sz w:val="26"/>
      <w:szCs w:val="24"/>
    </w:rPr>
  </w:style>
  <w:style w:type="paragraph" w:styleId="Heading1">
    <w:name w:val="heading 1"/>
    <w:basedOn w:val="Normal"/>
    <w:next w:val="FERCparanumber"/>
    <w:qFormat/>
    <w:rsid w:val="00F90784"/>
    <w:pPr>
      <w:keepNext/>
      <w:keepLines/>
      <w:numPr>
        <w:numId w:val="7"/>
      </w:numPr>
      <w:autoSpaceDE w:val="0"/>
      <w:autoSpaceDN w:val="0"/>
      <w:adjustRightInd w:val="0"/>
      <w:spacing w:after="260"/>
      <w:outlineLvl w:val="0"/>
    </w:pPr>
    <w:rPr>
      <w:b/>
      <w:bCs/>
      <w:kern w:val="32"/>
      <w:szCs w:val="32"/>
      <w:u w:val="single"/>
    </w:rPr>
  </w:style>
  <w:style w:type="paragraph" w:styleId="Heading2">
    <w:name w:val="heading 2"/>
    <w:basedOn w:val="Normal"/>
    <w:next w:val="FERCparanumber"/>
    <w:qFormat/>
    <w:rsid w:val="00F90784"/>
    <w:pPr>
      <w:keepNext/>
      <w:keepLines/>
      <w:numPr>
        <w:ilvl w:val="1"/>
        <w:numId w:val="7"/>
      </w:numPr>
      <w:autoSpaceDE w:val="0"/>
      <w:autoSpaceDN w:val="0"/>
      <w:adjustRightInd w:val="0"/>
      <w:spacing w:after="260"/>
      <w:outlineLvl w:val="1"/>
    </w:pPr>
    <w:rPr>
      <w:b/>
      <w:bCs/>
      <w:iCs/>
      <w:kern w:val="32"/>
      <w:szCs w:val="28"/>
      <w:u w:val="single"/>
    </w:rPr>
  </w:style>
  <w:style w:type="paragraph" w:styleId="Heading3">
    <w:name w:val="heading 3"/>
    <w:basedOn w:val="Normal"/>
    <w:next w:val="FERCparanumber"/>
    <w:qFormat/>
    <w:rsid w:val="00F90784"/>
    <w:pPr>
      <w:keepNext/>
      <w:keepLines/>
      <w:numPr>
        <w:ilvl w:val="2"/>
        <w:numId w:val="7"/>
      </w:numPr>
      <w:autoSpaceDE w:val="0"/>
      <w:autoSpaceDN w:val="0"/>
      <w:adjustRightInd w:val="0"/>
      <w:spacing w:after="260"/>
      <w:outlineLvl w:val="2"/>
    </w:pPr>
    <w:rPr>
      <w:b/>
      <w:bCs/>
      <w:kern w:val="32"/>
      <w:szCs w:val="26"/>
      <w:u w:val="single"/>
    </w:rPr>
  </w:style>
  <w:style w:type="paragraph" w:styleId="Heading4">
    <w:name w:val="heading 4"/>
    <w:basedOn w:val="Normal"/>
    <w:next w:val="FERCparanumber"/>
    <w:qFormat/>
    <w:rsid w:val="00F90784"/>
    <w:pPr>
      <w:keepNext/>
      <w:keepLines/>
      <w:numPr>
        <w:ilvl w:val="3"/>
        <w:numId w:val="7"/>
      </w:numPr>
      <w:autoSpaceDE w:val="0"/>
      <w:autoSpaceDN w:val="0"/>
      <w:adjustRightInd w:val="0"/>
      <w:spacing w:after="260"/>
      <w:outlineLvl w:val="3"/>
    </w:pPr>
    <w:rPr>
      <w:b/>
      <w:bCs/>
      <w:kern w:val="32"/>
      <w:szCs w:val="28"/>
      <w:u w:val="single"/>
    </w:rPr>
  </w:style>
  <w:style w:type="paragraph" w:styleId="Heading5">
    <w:name w:val="heading 5"/>
    <w:basedOn w:val="Normal"/>
    <w:next w:val="FERCparanumber"/>
    <w:qFormat/>
    <w:rsid w:val="00F90784"/>
    <w:pPr>
      <w:keepNext/>
      <w:keepLines/>
      <w:numPr>
        <w:ilvl w:val="4"/>
        <w:numId w:val="7"/>
      </w:numPr>
      <w:autoSpaceDE w:val="0"/>
      <w:autoSpaceDN w:val="0"/>
      <w:adjustRightInd w:val="0"/>
      <w:spacing w:after="260"/>
      <w:outlineLvl w:val="4"/>
    </w:pPr>
    <w:rPr>
      <w:b/>
      <w:bCs/>
      <w:iCs/>
      <w:kern w:val="32"/>
      <w:szCs w:val="26"/>
      <w:u w:val="single"/>
    </w:rPr>
  </w:style>
  <w:style w:type="paragraph" w:styleId="Heading6">
    <w:name w:val="heading 6"/>
    <w:basedOn w:val="Normal"/>
    <w:next w:val="FERCparanumber"/>
    <w:qFormat/>
    <w:rsid w:val="00F90784"/>
    <w:pPr>
      <w:keepNext/>
      <w:keepLines/>
      <w:numPr>
        <w:ilvl w:val="5"/>
        <w:numId w:val="7"/>
      </w:numPr>
      <w:autoSpaceDE w:val="0"/>
      <w:autoSpaceDN w:val="0"/>
      <w:adjustRightInd w:val="0"/>
      <w:spacing w:after="260"/>
      <w:outlineLvl w:val="5"/>
    </w:pPr>
    <w:rPr>
      <w:b/>
      <w:bCs/>
      <w:kern w:val="32"/>
      <w:szCs w:val="22"/>
      <w:u w:val="single"/>
    </w:rPr>
  </w:style>
  <w:style w:type="paragraph" w:styleId="Heading7">
    <w:name w:val="heading 7"/>
    <w:basedOn w:val="Normal"/>
    <w:next w:val="FERCparanumber"/>
    <w:qFormat/>
    <w:rsid w:val="00F90784"/>
    <w:pPr>
      <w:widowControl w:val="0"/>
      <w:numPr>
        <w:ilvl w:val="6"/>
        <w:numId w:val="7"/>
      </w:numPr>
      <w:autoSpaceDE w:val="0"/>
      <w:autoSpaceDN w:val="0"/>
      <w:adjustRightInd w:val="0"/>
      <w:spacing w:after="260"/>
      <w:outlineLvl w:val="6"/>
    </w:pPr>
    <w:rPr>
      <w:b/>
      <w:kern w:val="32"/>
      <w:u w:val="single"/>
    </w:rPr>
  </w:style>
  <w:style w:type="paragraph" w:styleId="Heading8">
    <w:name w:val="heading 8"/>
    <w:basedOn w:val="Normal"/>
    <w:next w:val="FERCparanumber"/>
    <w:qFormat/>
    <w:rsid w:val="00F90784"/>
    <w:pPr>
      <w:keepNext/>
      <w:keepLines/>
      <w:numPr>
        <w:ilvl w:val="7"/>
        <w:numId w:val="7"/>
      </w:numPr>
      <w:autoSpaceDE w:val="0"/>
      <w:autoSpaceDN w:val="0"/>
      <w:adjustRightInd w:val="0"/>
      <w:spacing w:after="260"/>
      <w:outlineLvl w:val="7"/>
    </w:pPr>
    <w:rPr>
      <w:b/>
      <w:iCs/>
      <w:kern w:val="32"/>
      <w:u w:val="single"/>
    </w:rPr>
  </w:style>
  <w:style w:type="paragraph" w:styleId="Heading9">
    <w:name w:val="heading 9"/>
    <w:basedOn w:val="Normal"/>
    <w:next w:val="FERCparanumber"/>
    <w:qFormat/>
    <w:rsid w:val="00F90784"/>
    <w:pPr>
      <w:keepNext/>
      <w:keepLines/>
      <w:numPr>
        <w:ilvl w:val="8"/>
        <w:numId w:val="7"/>
      </w:numPr>
      <w:autoSpaceDE w:val="0"/>
      <w:autoSpaceDN w:val="0"/>
      <w:adjustRightInd w:val="0"/>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qFormat/>
    <w:rsid w:val="00487256"/>
    <w:pPr>
      <w:numPr>
        <w:numId w:val="1"/>
      </w:numPr>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487256"/>
    <w:rPr>
      <w:rFonts w:ascii="Times New Roman" w:hAnsi="Times New Roman"/>
      <w:b/>
      <w:sz w:val="26"/>
      <w:szCs w:val="26"/>
      <w:vertAlign w:val="superscript"/>
    </w:rPr>
  </w:style>
  <w:style w:type="paragraph" w:styleId="FootnoteText">
    <w:name w:val="footnote text"/>
    <w:aliases w:val="Footnote Text Char,Footnote Text1 Char,Footnote Text Char Ch,Footnote Text Char1,Footnote Text1 Char1,Footnote Text Char Ch1,Footnote Text Char2 Char,Footnote Text Char Char1 Char,Footnote Text Char1 Char Char Char,ft,fn,ft Char,ft Char Ch"/>
    <w:basedOn w:val="Normal"/>
    <w:link w:val="FootnoteTextChar2"/>
    <w:uiPriority w:val="99"/>
    <w:qFormat/>
    <w:rsid w:val="00487256"/>
    <w:pPr>
      <w:spacing w:after="260"/>
      <w:ind w:firstLine="720"/>
    </w:pPr>
    <w:rPr>
      <w:szCs w:val="20"/>
    </w:rPr>
  </w:style>
  <w:style w:type="paragraph" w:customStyle="1" w:styleId="Level1">
    <w:name w:val="Level 1"/>
    <w:basedOn w:val="Normal"/>
    <w:rsid w:val="00263F0C"/>
    <w:pPr>
      <w:widowControl w:val="0"/>
      <w:numPr>
        <w:numId w:val="3"/>
      </w:numPr>
      <w:autoSpaceDE w:val="0"/>
      <w:autoSpaceDN w:val="0"/>
      <w:adjustRightInd w:val="0"/>
      <w:outlineLvl w:val="0"/>
    </w:pPr>
    <w:rPr>
      <w:sz w:val="24"/>
    </w:rPr>
  </w:style>
  <w:style w:type="paragraph" w:styleId="Header">
    <w:name w:val="header"/>
    <w:basedOn w:val="Normal"/>
    <w:rsid w:val="00BA7345"/>
    <w:pPr>
      <w:widowControl w:val="0"/>
      <w:tabs>
        <w:tab w:val="center" w:pos="4320"/>
        <w:tab w:val="right" w:pos="8640"/>
      </w:tabs>
      <w:autoSpaceDE w:val="0"/>
      <w:autoSpaceDN w:val="0"/>
      <w:adjustRightInd w:val="0"/>
    </w:pPr>
    <w:rPr>
      <w:sz w:val="24"/>
    </w:rPr>
  </w:style>
  <w:style w:type="table" w:styleId="TableGrid">
    <w:name w:val="Table Grid"/>
    <w:basedOn w:val="TableNormal"/>
    <w:rsid w:val="00BA734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A7345"/>
  </w:style>
  <w:style w:type="paragraph" w:styleId="Footer">
    <w:name w:val="footer"/>
    <w:basedOn w:val="Normal"/>
    <w:rsid w:val="00BA7345"/>
    <w:pPr>
      <w:tabs>
        <w:tab w:val="center" w:pos="4320"/>
        <w:tab w:val="right" w:pos="8640"/>
      </w:tabs>
    </w:pPr>
  </w:style>
  <w:style w:type="character" w:styleId="Hyperlink">
    <w:name w:val="Hyperlink"/>
    <w:rsid w:val="00331E07"/>
    <w:rPr>
      <w:color w:val="0000FF"/>
      <w:u w:val="single"/>
    </w:rPr>
  </w:style>
  <w:style w:type="character" w:customStyle="1" w:styleId="FootnoteTextChar2">
    <w:name w:val="Footnote Text Char2"/>
    <w:aliases w:val="Footnote Text Char Char,Footnote Text1 Char Char,Footnote Text Char Ch Char,Footnote Text Char1 Char,Footnote Text1 Char1 Char,Footnote Text Char Ch1 Char,Footnote Text Char2 Char Char,Footnote Text Char Char1 Char Char,ft Char1"/>
    <w:link w:val="FootnoteText"/>
    <w:uiPriority w:val="99"/>
    <w:rsid w:val="00750051"/>
    <w:rPr>
      <w:sz w:val="26"/>
      <w:lang w:val="en-US" w:eastAsia="en-US" w:bidi="ar-SA"/>
    </w:rPr>
  </w:style>
  <w:style w:type="paragraph" w:customStyle="1" w:styleId="LegalFormat">
    <w:name w:val="Legal Format"/>
    <w:basedOn w:val="ListContinue"/>
    <w:rsid w:val="00B46DB4"/>
    <w:pPr>
      <w:tabs>
        <w:tab w:val="num" w:pos="360"/>
      </w:tabs>
      <w:spacing w:after="240"/>
      <w:ind w:hanging="360"/>
    </w:pPr>
    <w:rPr>
      <w:szCs w:val="26"/>
    </w:rPr>
  </w:style>
  <w:style w:type="paragraph" w:styleId="ListContinue">
    <w:name w:val="List Continue"/>
    <w:basedOn w:val="Normal"/>
    <w:rsid w:val="00B46DB4"/>
    <w:pPr>
      <w:spacing w:after="120"/>
      <w:ind w:left="360"/>
    </w:pPr>
  </w:style>
  <w:style w:type="paragraph" w:styleId="ListNumber">
    <w:name w:val="List Number"/>
    <w:basedOn w:val="Normal"/>
    <w:rsid w:val="00A57CD5"/>
    <w:pPr>
      <w:widowControl w:val="0"/>
      <w:numPr>
        <w:numId w:val="8"/>
      </w:numPr>
      <w:autoSpaceDE w:val="0"/>
      <w:autoSpaceDN w:val="0"/>
      <w:adjustRightInd w:val="0"/>
    </w:pPr>
  </w:style>
  <w:style w:type="character" w:customStyle="1" w:styleId="FootnoteTextCharChar2">
    <w:name w:val="Footnote Text Char Char2"/>
    <w:aliases w:val="Footnote Text Char1 Char Char1,Footnote Text Char Char Char Char1,Footnote Text Char1 Char2,Footnote Text Char Char1 Char1,fn Char2,Footnote Text Char Char Char2,Footnote Text Char1 Char Char Char1 Char1,fn Char1 Char Char"/>
    <w:rsid w:val="00225864"/>
    <w:rPr>
      <w:lang w:val="en-US" w:eastAsia="en-US" w:bidi="ar-SA"/>
    </w:rPr>
  </w:style>
  <w:style w:type="character" w:customStyle="1" w:styleId="FERCparanumberChar">
    <w:name w:val="FERC paranumber Char"/>
    <w:link w:val="FERCparanumber"/>
    <w:rsid w:val="00225864"/>
    <w:rPr>
      <w:sz w:val="26"/>
      <w:szCs w:val="24"/>
      <w:lang w:val="en-US" w:eastAsia="en-US" w:bidi="ar-SA"/>
    </w:rPr>
  </w:style>
  <w:style w:type="paragraph" w:styleId="ListBullet5">
    <w:name w:val="List Bullet 5"/>
    <w:basedOn w:val="Normal"/>
    <w:rsid w:val="00261088"/>
    <w:pPr>
      <w:widowControl w:val="0"/>
      <w:tabs>
        <w:tab w:val="num" w:pos="1800"/>
      </w:tabs>
      <w:autoSpaceDE w:val="0"/>
      <w:autoSpaceDN w:val="0"/>
      <w:adjustRightInd w:val="0"/>
      <w:ind w:left="1800" w:hanging="360"/>
    </w:pPr>
  </w:style>
  <w:style w:type="paragraph" w:styleId="BalloonText">
    <w:name w:val="Balloon Text"/>
    <w:basedOn w:val="Normal"/>
    <w:semiHidden/>
    <w:rsid w:val="00476721"/>
    <w:rPr>
      <w:rFonts w:ascii="Tahoma" w:hAnsi="Tahoma" w:cs="Tahoma"/>
      <w:sz w:val="16"/>
      <w:szCs w:val="16"/>
    </w:rPr>
  </w:style>
  <w:style w:type="character" w:styleId="CommentReference">
    <w:name w:val="annotation reference"/>
    <w:uiPriority w:val="99"/>
    <w:semiHidden/>
    <w:rsid w:val="00BB14D4"/>
    <w:rPr>
      <w:sz w:val="16"/>
      <w:szCs w:val="16"/>
    </w:rPr>
  </w:style>
  <w:style w:type="paragraph" w:styleId="CommentText">
    <w:name w:val="annotation text"/>
    <w:basedOn w:val="Normal"/>
    <w:semiHidden/>
    <w:rsid w:val="00BB14D4"/>
    <w:rPr>
      <w:sz w:val="20"/>
      <w:szCs w:val="20"/>
    </w:rPr>
  </w:style>
  <w:style w:type="paragraph" w:styleId="CommentSubject">
    <w:name w:val="annotation subject"/>
    <w:basedOn w:val="CommentText"/>
    <w:next w:val="CommentText"/>
    <w:semiHidden/>
    <w:rsid w:val="00BB14D4"/>
    <w:rPr>
      <w:b/>
      <w:bCs/>
    </w:rPr>
  </w:style>
  <w:style w:type="character" w:styleId="FollowedHyperlink">
    <w:name w:val="FollowedHyperlink"/>
    <w:rsid w:val="005D77A0"/>
    <w:rPr>
      <w:color w:val="000080"/>
      <w:u w:val="single"/>
    </w:rPr>
  </w:style>
  <w:style w:type="character" w:customStyle="1" w:styleId="ptext-2">
    <w:name w:val="ptext-2"/>
    <w:basedOn w:val="DefaultParagraphFont"/>
    <w:rsid w:val="00D5488D"/>
  </w:style>
  <w:style w:type="character" w:customStyle="1" w:styleId="ptext-3">
    <w:name w:val="ptext-3"/>
    <w:basedOn w:val="DefaultParagraphFont"/>
    <w:rsid w:val="00D5488D"/>
  </w:style>
  <w:style w:type="character" w:customStyle="1" w:styleId="ptext-4">
    <w:name w:val="ptext-4"/>
    <w:basedOn w:val="DefaultParagraphFont"/>
    <w:rsid w:val="00D5488D"/>
  </w:style>
  <w:style w:type="character" w:customStyle="1" w:styleId="enumbell">
    <w:name w:val="enumbell"/>
    <w:rsid w:val="00D5488D"/>
    <w:rPr>
      <w:b/>
      <w:bCs/>
    </w:rPr>
  </w:style>
  <w:style w:type="character" w:customStyle="1" w:styleId="enumlstr">
    <w:name w:val="enumlstr"/>
    <w:rsid w:val="00D5488D"/>
    <w:rPr>
      <w:b/>
      <w:bCs/>
      <w:color w:val="000066"/>
    </w:rPr>
  </w:style>
  <w:style w:type="paragraph" w:styleId="Revision">
    <w:name w:val="Revision"/>
    <w:hidden/>
    <w:uiPriority w:val="99"/>
    <w:semiHidden/>
    <w:rsid w:val="00815F62"/>
    <w:rPr>
      <w:sz w:val="26"/>
      <w:szCs w:val="24"/>
    </w:rPr>
  </w:style>
  <w:style w:type="paragraph" w:styleId="ListParagraph">
    <w:name w:val="List Paragraph"/>
    <w:basedOn w:val="Normal"/>
    <w:uiPriority w:val="34"/>
    <w:qFormat/>
    <w:rsid w:val="00815F62"/>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86D"/>
    <w:rPr>
      <w:sz w:val="26"/>
      <w:szCs w:val="24"/>
    </w:rPr>
  </w:style>
  <w:style w:type="paragraph" w:styleId="Heading1">
    <w:name w:val="heading 1"/>
    <w:basedOn w:val="Normal"/>
    <w:next w:val="FERCparanumber"/>
    <w:qFormat/>
    <w:rsid w:val="00F90784"/>
    <w:pPr>
      <w:keepNext/>
      <w:keepLines/>
      <w:numPr>
        <w:numId w:val="7"/>
      </w:numPr>
      <w:autoSpaceDE w:val="0"/>
      <w:autoSpaceDN w:val="0"/>
      <w:adjustRightInd w:val="0"/>
      <w:spacing w:after="260"/>
      <w:outlineLvl w:val="0"/>
    </w:pPr>
    <w:rPr>
      <w:b/>
      <w:bCs/>
      <w:kern w:val="32"/>
      <w:szCs w:val="32"/>
      <w:u w:val="single"/>
    </w:rPr>
  </w:style>
  <w:style w:type="paragraph" w:styleId="Heading2">
    <w:name w:val="heading 2"/>
    <w:basedOn w:val="Normal"/>
    <w:next w:val="FERCparanumber"/>
    <w:qFormat/>
    <w:rsid w:val="00F90784"/>
    <w:pPr>
      <w:keepNext/>
      <w:keepLines/>
      <w:numPr>
        <w:ilvl w:val="1"/>
        <w:numId w:val="7"/>
      </w:numPr>
      <w:autoSpaceDE w:val="0"/>
      <w:autoSpaceDN w:val="0"/>
      <w:adjustRightInd w:val="0"/>
      <w:spacing w:after="260"/>
      <w:outlineLvl w:val="1"/>
    </w:pPr>
    <w:rPr>
      <w:b/>
      <w:bCs/>
      <w:iCs/>
      <w:kern w:val="32"/>
      <w:szCs w:val="28"/>
      <w:u w:val="single"/>
    </w:rPr>
  </w:style>
  <w:style w:type="paragraph" w:styleId="Heading3">
    <w:name w:val="heading 3"/>
    <w:basedOn w:val="Normal"/>
    <w:next w:val="FERCparanumber"/>
    <w:qFormat/>
    <w:rsid w:val="00F90784"/>
    <w:pPr>
      <w:keepNext/>
      <w:keepLines/>
      <w:numPr>
        <w:ilvl w:val="2"/>
        <w:numId w:val="7"/>
      </w:numPr>
      <w:autoSpaceDE w:val="0"/>
      <w:autoSpaceDN w:val="0"/>
      <w:adjustRightInd w:val="0"/>
      <w:spacing w:after="260"/>
      <w:outlineLvl w:val="2"/>
    </w:pPr>
    <w:rPr>
      <w:b/>
      <w:bCs/>
      <w:kern w:val="32"/>
      <w:szCs w:val="26"/>
      <w:u w:val="single"/>
    </w:rPr>
  </w:style>
  <w:style w:type="paragraph" w:styleId="Heading4">
    <w:name w:val="heading 4"/>
    <w:basedOn w:val="Normal"/>
    <w:next w:val="FERCparanumber"/>
    <w:qFormat/>
    <w:rsid w:val="00F90784"/>
    <w:pPr>
      <w:keepNext/>
      <w:keepLines/>
      <w:numPr>
        <w:ilvl w:val="3"/>
        <w:numId w:val="7"/>
      </w:numPr>
      <w:autoSpaceDE w:val="0"/>
      <w:autoSpaceDN w:val="0"/>
      <w:adjustRightInd w:val="0"/>
      <w:spacing w:after="260"/>
      <w:outlineLvl w:val="3"/>
    </w:pPr>
    <w:rPr>
      <w:b/>
      <w:bCs/>
      <w:kern w:val="32"/>
      <w:szCs w:val="28"/>
      <w:u w:val="single"/>
    </w:rPr>
  </w:style>
  <w:style w:type="paragraph" w:styleId="Heading5">
    <w:name w:val="heading 5"/>
    <w:basedOn w:val="Normal"/>
    <w:next w:val="FERCparanumber"/>
    <w:qFormat/>
    <w:rsid w:val="00F90784"/>
    <w:pPr>
      <w:keepNext/>
      <w:keepLines/>
      <w:numPr>
        <w:ilvl w:val="4"/>
        <w:numId w:val="7"/>
      </w:numPr>
      <w:autoSpaceDE w:val="0"/>
      <w:autoSpaceDN w:val="0"/>
      <w:adjustRightInd w:val="0"/>
      <w:spacing w:after="260"/>
      <w:outlineLvl w:val="4"/>
    </w:pPr>
    <w:rPr>
      <w:b/>
      <w:bCs/>
      <w:iCs/>
      <w:kern w:val="32"/>
      <w:szCs w:val="26"/>
      <w:u w:val="single"/>
    </w:rPr>
  </w:style>
  <w:style w:type="paragraph" w:styleId="Heading6">
    <w:name w:val="heading 6"/>
    <w:basedOn w:val="Normal"/>
    <w:next w:val="FERCparanumber"/>
    <w:qFormat/>
    <w:rsid w:val="00F90784"/>
    <w:pPr>
      <w:keepNext/>
      <w:keepLines/>
      <w:numPr>
        <w:ilvl w:val="5"/>
        <w:numId w:val="7"/>
      </w:numPr>
      <w:autoSpaceDE w:val="0"/>
      <w:autoSpaceDN w:val="0"/>
      <w:adjustRightInd w:val="0"/>
      <w:spacing w:after="260"/>
      <w:outlineLvl w:val="5"/>
    </w:pPr>
    <w:rPr>
      <w:b/>
      <w:bCs/>
      <w:kern w:val="32"/>
      <w:szCs w:val="22"/>
      <w:u w:val="single"/>
    </w:rPr>
  </w:style>
  <w:style w:type="paragraph" w:styleId="Heading7">
    <w:name w:val="heading 7"/>
    <w:basedOn w:val="Normal"/>
    <w:next w:val="FERCparanumber"/>
    <w:qFormat/>
    <w:rsid w:val="00F90784"/>
    <w:pPr>
      <w:widowControl w:val="0"/>
      <w:numPr>
        <w:ilvl w:val="6"/>
        <w:numId w:val="7"/>
      </w:numPr>
      <w:autoSpaceDE w:val="0"/>
      <w:autoSpaceDN w:val="0"/>
      <w:adjustRightInd w:val="0"/>
      <w:spacing w:after="260"/>
      <w:outlineLvl w:val="6"/>
    </w:pPr>
    <w:rPr>
      <w:b/>
      <w:kern w:val="32"/>
      <w:u w:val="single"/>
    </w:rPr>
  </w:style>
  <w:style w:type="paragraph" w:styleId="Heading8">
    <w:name w:val="heading 8"/>
    <w:basedOn w:val="Normal"/>
    <w:next w:val="FERCparanumber"/>
    <w:qFormat/>
    <w:rsid w:val="00F90784"/>
    <w:pPr>
      <w:keepNext/>
      <w:keepLines/>
      <w:numPr>
        <w:ilvl w:val="7"/>
        <w:numId w:val="7"/>
      </w:numPr>
      <w:autoSpaceDE w:val="0"/>
      <w:autoSpaceDN w:val="0"/>
      <w:adjustRightInd w:val="0"/>
      <w:spacing w:after="260"/>
      <w:outlineLvl w:val="7"/>
    </w:pPr>
    <w:rPr>
      <w:b/>
      <w:iCs/>
      <w:kern w:val="32"/>
      <w:u w:val="single"/>
    </w:rPr>
  </w:style>
  <w:style w:type="paragraph" w:styleId="Heading9">
    <w:name w:val="heading 9"/>
    <w:basedOn w:val="Normal"/>
    <w:next w:val="FERCparanumber"/>
    <w:qFormat/>
    <w:rsid w:val="00F90784"/>
    <w:pPr>
      <w:keepNext/>
      <w:keepLines/>
      <w:numPr>
        <w:ilvl w:val="8"/>
        <w:numId w:val="7"/>
      </w:numPr>
      <w:autoSpaceDE w:val="0"/>
      <w:autoSpaceDN w:val="0"/>
      <w:adjustRightInd w:val="0"/>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qFormat/>
    <w:rsid w:val="00487256"/>
    <w:pPr>
      <w:numPr>
        <w:numId w:val="1"/>
      </w:numPr>
    </w:pPr>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487256"/>
    <w:rPr>
      <w:rFonts w:ascii="Times New Roman" w:hAnsi="Times New Roman"/>
      <w:b/>
      <w:sz w:val="26"/>
      <w:szCs w:val="26"/>
      <w:vertAlign w:val="superscript"/>
    </w:rPr>
  </w:style>
  <w:style w:type="paragraph" w:styleId="FootnoteText">
    <w:name w:val="footnote text"/>
    <w:aliases w:val="Footnote Text Char,Footnote Text1 Char,Footnote Text Char Ch,Footnote Text Char1,Footnote Text1 Char1,Footnote Text Char Ch1,Footnote Text Char2 Char,Footnote Text Char Char1 Char,Footnote Text Char1 Char Char Char,ft,fn,ft Char,ft Char Ch"/>
    <w:basedOn w:val="Normal"/>
    <w:link w:val="FootnoteTextChar2"/>
    <w:uiPriority w:val="99"/>
    <w:qFormat/>
    <w:rsid w:val="00487256"/>
    <w:pPr>
      <w:spacing w:after="260"/>
      <w:ind w:firstLine="720"/>
    </w:pPr>
    <w:rPr>
      <w:szCs w:val="20"/>
    </w:rPr>
  </w:style>
  <w:style w:type="paragraph" w:customStyle="1" w:styleId="Level1">
    <w:name w:val="Level 1"/>
    <w:basedOn w:val="Normal"/>
    <w:rsid w:val="00263F0C"/>
    <w:pPr>
      <w:widowControl w:val="0"/>
      <w:numPr>
        <w:numId w:val="3"/>
      </w:numPr>
      <w:autoSpaceDE w:val="0"/>
      <w:autoSpaceDN w:val="0"/>
      <w:adjustRightInd w:val="0"/>
      <w:outlineLvl w:val="0"/>
    </w:pPr>
    <w:rPr>
      <w:sz w:val="24"/>
    </w:rPr>
  </w:style>
  <w:style w:type="paragraph" w:styleId="Header">
    <w:name w:val="header"/>
    <w:basedOn w:val="Normal"/>
    <w:rsid w:val="00BA7345"/>
    <w:pPr>
      <w:widowControl w:val="0"/>
      <w:tabs>
        <w:tab w:val="center" w:pos="4320"/>
        <w:tab w:val="right" w:pos="8640"/>
      </w:tabs>
      <w:autoSpaceDE w:val="0"/>
      <w:autoSpaceDN w:val="0"/>
      <w:adjustRightInd w:val="0"/>
    </w:pPr>
    <w:rPr>
      <w:sz w:val="24"/>
    </w:rPr>
  </w:style>
  <w:style w:type="table" w:styleId="TableGrid">
    <w:name w:val="Table Grid"/>
    <w:basedOn w:val="TableNormal"/>
    <w:rsid w:val="00BA734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A7345"/>
  </w:style>
  <w:style w:type="paragraph" w:styleId="Footer">
    <w:name w:val="footer"/>
    <w:basedOn w:val="Normal"/>
    <w:rsid w:val="00BA7345"/>
    <w:pPr>
      <w:tabs>
        <w:tab w:val="center" w:pos="4320"/>
        <w:tab w:val="right" w:pos="8640"/>
      </w:tabs>
    </w:pPr>
  </w:style>
  <w:style w:type="character" w:styleId="Hyperlink">
    <w:name w:val="Hyperlink"/>
    <w:rsid w:val="00331E07"/>
    <w:rPr>
      <w:color w:val="0000FF"/>
      <w:u w:val="single"/>
    </w:rPr>
  </w:style>
  <w:style w:type="character" w:customStyle="1" w:styleId="FootnoteTextChar2">
    <w:name w:val="Footnote Text Char2"/>
    <w:aliases w:val="Footnote Text Char Char,Footnote Text1 Char Char,Footnote Text Char Ch Char,Footnote Text Char1 Char,Footnote Text1 Char1 Char,Footnote Text Char Ch1 Char,Footnote Text Char2 Char Char,Footnote Text Char Char1 Char Char,ft Char1"/>
    <w:link w:val="FootnoteText"/>
    <w:uiPriority w:val="99"/>
    <w:rsid w:val="00750051"/>
    <w:rPr>
      <w:sz w:val="26"/>
      <w:lang w:val="en-US" w:eastAsia="en-US" w:bidi="ar-SA"/>
    </w:rPr>
  </w:style>
  <w:style w:type="paragraph" w:customStyle="1" w:styleId="LegalFormat">
    <w:name w:val="Legal Format"/>
    <w:basedOn w:val="ListContinue"/>
    <w:rsid w:val="00B46DB4"/>
    <w:pPr>
      <w:tabs>
        <w:tab w:val="num" w:pos="360"/>
      </w:tabs>
      <w:spacing w:after="240"/>
      <w:ind w:hanging="360"/>
    </w:pPr>
    <w:rPr>
      <w:szCs w:val="26"/>
    </w:rPr>
  </w:style>
  <w:style w:type="paragraph" w:styleId="ListContinue">
    <w:name w:val="List Continue"/>
    <w:basedOn w:val="Normal"/>
    <w:rsid w:val="00B46DB4"/>
    <w:pPr>
      <w:spacing w:after="120"/>
      <w:ind w:left="360"/>
    </w:pPr>
  </w:style>
  <w:style w:type="paragraph" w:styleId="ListNumber">
    <w:name w:val="List Number"/>
    <w:basedOn w:val="Normal"/>
    <w:rsid w:val="00A57CD5"/>
    <w:pPr>
      <w:widowControl w:val="0"/>
      <w:numPr>
        <w:numId w:val="8"/>
      </w:numPr>
      <w:autoSpaceDE w:val="0"/>
      <w:autoSpaceDN w:val="0"/>
      <w:adjustRightInd w:val="0"/>
    </w:pPr>
  </w:style>
  <w:style w:type="character" w:customStyle="1" w:styleId="FootnoteTextCharChar2">
    <w:name w:val="Footnote Text Char Char2"/>
    <w:aliases w:val="Footnote Text Char1 Char Char1,Footnote Text Char Char Char Char1,Footnote Text Char1 Char2,Footnote Text Char Char1 Char1,fn Char2,Footnote Text Char Char Char2,Footnote Text Char1 Char Char Char1 Char1,fn Char1 Char Char"/>
    <w:rsid w:val="00225864"/>
    <w:rPr>
      <w:lang w:val="en-US" w:eastAsia="en-US" w:bidi="ar-SA"/>
    </w:rPr>
  </w:style>
  <w:style w:type="character" w:customStyle="1" w:styleId="FERCparanumberChar">
    <w:name w:val="FERC paranumber Char"/>
    <w:link w:val="FERCparanumber"/>
    <w:rsid w:val="00225864"/>
    <w:rPr>
      <w:sz w:val="26"/>
      <w:szCs w:val="24"/>
      <w:lang w:val="en-US" w:eastAsia="en-US" w:bidi="ar-SA"/>
    </w:rPr>
  </w:style>
  <w:style w:type="paragraph" w:styleId="ListBullet5">
    <w:name w:val="List Bullet 5"/>
    <w:basedOn w:val="Normal"/>
    <w:rsid w:val="00261088"/>
    <w:pPr>
      <w:widowControl w:val="0"/>
      <w:tabs>
        <w:tab w:val="num" w:pos="1800"/>
      </w:tabs>
      <w:autoSpaceDE w:val="0"/>
      <w:autoSpaceDN w:val="0"/>
      <w:adjustRightInd w:val="0"/>
      <w:ind w:left="1800" w:hanging="360"/>
    </w:pPr>
  </w:style>
  <w:style w:type="paragraph" w:styleId="BalloonText">
    <w:name w:val="Balloon Text"/>
    <w:basedOn w:val="Normal"/>
    <w:semiHidden/>
    <w:rsid w:val="00476721"/>
    <w:rPr>
      <w:rFonts w:ascii="Tahoma" w:hAnsi="Tahoma" w:cs="Tahoma"/>
      <w:sz w:val="16"/>
      <w:szCs w:val="16"/>
    </w:rPr>
  </w:style>
  <w:style w:type="character" w:styleId="CommentReference">
    <w:name w:val="annotation reference"/>
    <w:uiPriority w:val="99"/>
    <w:semiHidden/>
    <w:rsid w:val="00BB14D4"/>
    <w:rPr>
      <w:sz w:val="16"/>
      <w:szCs w:val="16"/>
    </w:rPr>
  </w:style>
  <w:style w:type="paragraph" w:styleId="CommentText">
    <w:name w:val="annotation text"/>
    <w:basedOn w:val="Normal"/>
    <w:semiHidden/>
    <w:rsid w:val="00BB14D4"/>
    <w:rPr>
      <w:sz w:val="20"/>
      <w:szCs w:val="20"/>
    </w:rPr>
  </w:style>
  <w:style w:type="paragraph" w:styleId="CommentSubject">
    <w:name w:val="annotation subject"/>
    <w:basedOn w:val="CommentText"/>
    <w:next w:val="CommentText"/>
    <w:semiHidden/>
    <w:rsid w:val="00BB14D4"/>
    <w:rPr>
      <w:b/>
      <w:bCs/>
    </w:rPr>
  </w:style>
  <w:style w:type="character" w:styleId="FollowedHyperlink">
    <w:name w:val="FollowedHyperlink"/>
    <w:rsid w:val="005D77A0"/>
    <w:rPr>
      <w:color w:val="000080"/>
      <w:u w:val="single"/>
    </w:rPr>
  </w:style>
  <w:style w:type="character" w:customStyle="1" w:styleId="ptext-2">
    <w:name w:val="ptext-2"/>
    <w:basedOn w:val="DefaultParagraphFont"/>
    <w:rsid w:val="00D5488D"/>
  </w:style>
  <w:style w:type="character" w:customStyle="1" w:styleId="ptext-3">
    <w:name w:val="ptext-3"/>
    <w:basedOn w:val="DefaultParagraphFont"/>
    <w:rsid w:val="00D5488D"/>
  </w:style>
  <w:style w:type="character" w:customStyle="1" w:styleId="ptext-4">
    <w:name w:val="ptext-4"/>
    <w:basedOn w:val="DefaultParagraphFont"/>
    <w:rsid w:val="00D5488D"/>
  </w:style>
  <w:style w:type="character" w:customStyle="1" w:styleId="enumbell">
    <w:name w:val="enumbell"/>
    <w:rsid w:val="00D5488D"/>
    <w:rPr>
      <w:b/>
      <w:bCs/>
    </w:rPr>
  </w:style>
  <w:style w:type="character" w:customStyle="1" w:styleId="enumlstr">
    <w:name w:val="enumlstr"/>
    <w:rsid w:val="00D5488D"/>
    <w:rPr>
      <w:b/>
      <w:bCs/>
      <w:color w:val="000066"/>
    </w:rPr>
  </w:style>
  <w:style w:type="paragraph" w:styleId="Revision">
    <w:name w:val="Revision"/>
    <w:hidden/>
    <w:uiPriority w:val="99"/>
    <w:semiHidden/>
    <w:rsid w:val="00815F62"/>
    <w:rPr>
      <w:sz w:val="26"/>
      <w:szCs w:val="24"/>
    </w:rPr>
  </w:style>
  <w:style w:type="paragraph" w:styleId="ListParagraph">
    <w:name w:val="List Paragraph"/>
    <w:basedOn w:val="Normal"/>
    <w:uiPriority w:val="34"/>
    <w:qFormat/>
    <w:rsid w:val="00815F62"/>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6003">
      <w:bodyDiv w:val="1"/>
      <w:marLeft w:val="0"/>
      <w:marRight w:val="0"/>
      <w:marTop w:val="0"/>
      <w:marBottom w:val="0"/>
      <w:divBdr>
        <w:top w:val="none" w:sz="0" w:space="0" w:color="auto"/>
        <w:left w:val="none" w:sz="0" w:space="0" w:color="auto"/>
        <w:bottom w:val="none" w:sz="0" w:space="0" w:color="auto"/>
        <w:right w:val="none" w:sz="0" w:space="0" w:color="auto"/>
      </w:divBdr>
    </w:div>
    <w:div w:id="265158935">
      <w:bodyDiv w:val="1"/>
      <w:marLeft w:val="0"/>
      <w:marRight w:val="0"/>
      <w:marTop w:val="0"/>
      <w:marBottom w:val="0"/>
      <w:divBdr>
        <w:top w:val="none" w:sz="0" w:space="0" w:color="auto"/>
        <w:left w:val="none" w:sz="0" w:space="0" w:color="auto"/>
        <w:bottom w:val="none" w:sz="0" w:space="0" w:color="auto"/>
        <w:right w:val="none" w:sz="0" w:space="0" w:color="auto"/>
      </w:divBdr>
      <w:divsChild>
        <w:div w:id="815679800">
          <w:marLeft w:val="0"/>
          <w:marRight w:val="0"/>
          <w:marTop w:val="0"/>
          <w:marBottom w:val="0"/>
          <w:divBdr>
            <w:top w:val="none" w:sz="0" w:space="0" w:color="auto"/>
            <w:left w:val="none" w:sz="0" w:space="0" w:color="auto"/>
            <w:bottom w:val="none" w:sz="0" w:space="0" w:color="auto"/>
            <w:right w:val="none" w:sz="0" w:space="0" w:color="auto"/>
          </w:divBdr>
          <w:divsChild>
            <w:div w:id="1380587453">
              <w:marLeft w:val="0"/>
              <w:marRight w:val="0"/>
              <w:marTop w:val="0"/>
              <w:marBottom w:val="0"/>
              <w:divBdr>
                <w:top w:val="none" w:sz="0" w:space="0" w:color="auto"/>
                <w:left w:val="none" w:sz="0" w:space="0" w:color="auto"/>
                <w:bottom w:val="none" w:sz="0" w:space="0" w:color="auto"/>
                <w:right w:val="none" w:sz="0" w:space="0" w:color="auto"/>
              </w:divBdr>
              <w:divsChild>
                <w:div w:id="169218191">
                  <w:marLeft w:val="0"/>
                  <w:marRight w:val="0"/>
                  <w:marTop w:val="0"/>
                  <w:marBottom w:val="0"/>
                  <w:divBdr>
                    <w:top w:val="none" w:sz="0" w:space="0" w:color="auto"/>
                    <w:left w:val="none" w:sz="0" w:space="0" w:color="auto"/>
                    <w:bottom w:val="none" w:sz="0" w:space="0" w:color="auto"/>
                    <w:right w:val="none" w:sz="0" w:space="0" w:color="auto"/>
                  </w:divBdr>
                  <w:divsChild>
                    <w:div w:id="1348487727">
                      <w:marLeft w:val="0"/>
                      <w:marRight w:val="0"/>
                      <w:marTop w:val="75"/>
                      <w:marBottom w:val="75"/>
                      <w:divBdr>
                        <w:top w:val="none" w:sz="0" w:space="0" w:color="auto"/>
                        <w:left w:val="none" w:sz="0" w:space="0" w:color="auto"/>
                        <w:bottom w:val="none" w:sz="0" w:space="0" w:color="auto"/>
                        <w:right w:val="none" w:sz="0" w:space="0" w:color="auto"/>
                      </w:divBdr>
                      <w:divsChild>
                        <w:div w:id="127017258">
                          <w:marLeft w:val="0"/>
                          <w:marRight w:val="0"/>
                          <w:marTop w:val="0"/>
                          <w:marBottom w:val="0"/>
                          <w:divBdr>
                            <w:top w:val="none" w:sz="0" w:space="0" w:color="auto"/>
                            <w:left w:val="none" w:sz="0" w:space="0" w:color="auto"/>
                            <w:bottom w:val="none" w:sz="0" w:space="0" w:color="auto"/>
                            <w:right w:val="none" w:sz="0" w:space="0" w:color="auto"/>
                          </w:divBdr>
                          <w:divsChild>
                            <w:div w:id="289017430">
                              <w:marLeft w:val="0"/>
                              <w:marRight w:val="300"/>
                              <w:marTop w:val="0"/>
                              <w:marBottom w:val="0"/>
                              <w:divBdr>
                                <w:top w:val="none" w:sz="0" w:space="0" w:color="auto"/>
                                <w:left w:val="none" w:sz="0" w:space="0" w:color="auto"/>
                                <w:bottom w:val="none" w:sz="0" w:space="0" w:color="auto"/>
                                <w:right w:val="none" w:sz="0" w:space="0" w:color="auto"/>
                              </w:divBdr>
                              <w:divsChild>
                                <w:div w:id="592396039">
                                  <w:marLeft w:val="0"/>
                                  <w:marRight w:val="0"/>
                                  <w:marTop w:val="0"/>
                                  <w:marBottom w:val="0"/>
                                  <w:divBdr>
                                    <w:top w:val="none" w:sz="0" w:space="0" w:color="auto"/>
                                    <w:left w:val="none" w:sz="0" w:space="0" w:color="auto"/>
                                    <w:bottom w:val="none" w:sz="0" w:space="0" w:color="auto"/>
                                    <w:right w:val="none" w:sz="0" w:space="0" w:color="auto"/>
                                  </w:divBdr>
                                  <w:divsChild>
                                    <w:div w:id="1785921964">
                                      <w:marLeft w:val="0"/>
                                      <w:marRight w:val="0"/>
                                      <w:marTop w:val="0"/>
                                      <w:marBottom w:val="0"/>
                                      <w:divBdr>
                                        <w:top w:val="none" w:sz="0" w:space="0" w:color="auto"/>
                                        <w:left w:val="none" w:sz="0" w:space="0" w:color="auto"/>
                                        <w:bottom w:val="none" w:sz="0" w:space="0" w:color="auto"/>
                                        <w:right w:val="none" w:sz="0" w:space="0" w:color="auto"/>
                                      </w:divBdr>
                                      <w:divsChild>
                                        <w:div w:id="1065954653">
                                          <w:marLeft w:val="0"/>
                                          <w:marRight w:val="0"/>
                                          <w:marTop w:val="0"/>
                                          <w:marBottom w:val="0"/>
                                          <w:divBdr>
                                            <w:top w:val="none" w:sz="0" w:space="0" w:color="auto"/>
                                            <w:left w:val="none" w:sz="0" w:space="0" w:color="auto"/>
                                            <w:bottom w:val="none" w:sz="0" w:space="0" w:color="auto"/>
                                            <w:right w:val="none" w:sz="0" w:space="0" w:color="auto"/>
                                          </w:divBdr>
                                          <w:divsChild>
                                            <w:div w:id="39479357">
                                              <w:marLeft w:val="0"/>
                                              <w:marRight w:val="0"/>
                                              <w:marTop w:val="0"/>
                                              <w:marBottom w:val="0"/>
                                              <w:divBdr>
                                                <w:top w:val="none" w:sz="0" w:space="0" w:color="auto"/>
                                                <w:left w:val="none" w:sz="0" w:space="0" w:color="auto"/>
                                                <w:bottom w:val="none" w:sz="0" w:space="0" w:color="auto"/>
                                                <w:right w:val="none" w:sz="0" w:space="0" w:color="auto"/>
                                              </w:divBdr>
                                              <w:divsChild>
                                                <w:div w:id="948048851">
                                                  <w:marLeft w:val="0"/>
                                                  <w:marRight w:val="0"/>
                                                  <w:marTop w:val="0"/>
                                                  <w:marBottom w:val="0"/>
                                                  <w:divBdr>
                                                    <w:top w:val="none" w:sz="0" w:space="0" w:color="auto"/>
                                                    <w:left w:val="none" w:sz="0" w:space="0" w:color="auto"/>
                                                    <w:bottom w:val="none" w:sz="0" w:space="0" w:color="auto"/>
                                                    <w:right w:val="none" w:sz="0" w:space="0" w:color="auto"/>
                                                  </w:divBdr>
                                                </w:div>
                                              </w:divsChild>
                                            </w:div>
                                            <w:div w:id="431097518">
                                              <w:marLeft w:val="0"/>
                                              <w:marRight w:val="0"/>
                                              <w:marTop w:val="0"/>
                                              <w:marBottom w:val="0"/>
                                              <w:divBdr>
                                                <w:top w:val="none" w:sz="0" w:space="0" w:color="auto"/>
                                                <w:left w:val="none" w:sz="0" w:space="0" w:color="auto"/>
                                                <w:bottom w:val="none" w:sz="0" w:space="0" w:color="auto"/>
                                                <w:right w:val="none" w:sz="0" w:space="0" w:color="auto"/>
                                              </w:divBdr>
                                              <w:divsChild>
                                                <w:div w:id="1987195403">
                                                  <w:marLeft w:val="0"/>
                                                  <w:marRight w:val="0"/>
                                                  <w:marTop w:val="0"/>
                                                  <w:marBottom w:val="0"/>
                                                  <w:divBdr>
                                                    <w:top w:val="none" w:sz="0" w:space="0" w:color="auto"/>
                                                    <w:left w:val="none" w:sz="0" w:space="0" w:color="auto"/>
                                                    <w:bottom w:val="none" w:sz="0" w:space="0" w:color="auto"/>
                                                    <w:right w:val="none" w:sz="0" w:space="0" w:color="auto"/>
                                                  </w:divBdr>
                                                </w:div>
                                                <w:div w:id="2045053610">
                                                  <w:marLeft w:val="0"/>
                                                  <w:marRight w:val="0"/>
                                                  <w:marTop w:val="0"/>
                                                  <w:marBottom w:val="0"/>
                                                  <w:divBdr>
                                                    <w:top w:val="none" w:sz="0" w:space="0" w:color="auto"/>
                                                    <w:left w:val="none" w:sz="0" w:space="0" w:color="auto"/>
                                                    <w:bottom w:val="none" w:sz="0" w:space="0" w:color="auto"/>
                                                    <w:right w:val="none" w:sz="0" w:space="0" w:color="auto"/>
                                                  </w:divBdr>
                                                </w:div>
                                              </w:divsChild>
                                            </w:div>
                                            <w:div w:id="510606405">
                                              <w:marLeft w:val="0"/>
                                              <w:marRight w:val="0"/>
                                              <w:marTop w:val="0"/>
                                              <w:marBottom w:val="0"/>
                                              <w:divBdr>
                                                <w:top w:val="none" w:sz="0" w:space="0" w:color="auto"/>
                                                <w:left w:val="none" w:sz="0" w:space="0" w:color="auto"/>
                                                <w:bottom w:val="none" w:sz="0" w:space="0" w:color="auto"/>
                                                <w:right w:val="none" w:sz="0" w:space="0" w:color="auto"/>
                                              </w:divBdr>
                                              <w:divsChild>
                                                <w:div w:id="846288003">
                                                  <w:marLeft w:val="4"/>
                                                  <w:marRight w:val="0"/>
                                                  <w:marTop w:val="0"/>
                                                  <w:marBottom w:val="0"/>
                                                  <w:divBdr>
                                                    <w:top w:val="none" w:sz="0" w:space="0" w:color="auto"/>
                                                    <w:left w:val="none" w:sz="0" w:space="0" w:color="auto"/>
                                                    <w:bottom w:val="none" w:sz="0" w:space="0" w:color="auto"/>
                                                    <w:right w:val="none" w:sz="0" w:space="0" w:color="auto"/>
                                                  </w:divBdr>
                                                  <w:divsChild>
                                                    <w:div w:id="640883553">
                                                      <w:marLeft w:val="4"/>
                                                      <w:marRight w:val="0"/>
                                                      <w:marTop w:val="0"/>
                                                      <w:marBottom w:val="0"/>
                                                      <w:divBdr>
                                                        <w:top w:val="none" w:sz="0" w:space="0" w:color="auto"/>
                                                        <w:left w:val="none" w:sz="0" w:space="0" w:color="auto"/>
                                                        <w:bottom w:val="none" w:sz="0" w:space="0" w:color="auto"/>
                                                        <w:right w:val="none" w:sz="0" w:space="0" w:color="auto"/>
                                                      </w:divBdr>
                                                    </w:div>
                                                    <w:div w:id="1638143349">
                                                      <w:marLeft w:val="4"/>
                                                      <w:marRight w:val="0"/>
                                                      <w:marTop w:val="0"/>
                                                      <w:marBottom w:val="0"/>
                                                      <w:divBdr>
                                                        <w:top w:val="none" w:sz="0" w:space="0" w:color="auto"/>
                                                        <w:left w:val="none" w:sz="0" w:space="0" w:color="auto"/>
                                                        <w:bottom w:val="none" w:sz="0" w:space="0" w:color="auto"/>
                                                        <w:right w:val="none" w:sz="0" w:space="0" w:color="auto"/>
                                                      </w:divBdr>
                                                    </w:div>
                                                    <w:div w:id="1797679609">
                                                      <w:marLeft w:val="0"/>
                                                      <w:marRight w:val="0"/>
                                                      <w:marTop w:val="0"/>
                                                      <w:marBottom w:val="0"/>
                                                      <w:divBdr>
                                                        <w:top w:val="none" w:sz="0" w:space="0" w:color="auto"/>
                                                        <w:left w:val="none" w:sz="0" w:space="0" w:color="auto"/>
                                                        <w:bottom w:val="none" w:sz="0" w:space="0" w:color="auto"/>
                                                        <w:right w:val="none" w:sz="0" w:space="0" w:color="auto"/>
                                                      </w:divBdr>
                                                    </w:div>
                                                  </w:divsChild>
                                                </w:div>
                                                <w:div w:id="919874160">
                                                  <w:marLeft w:val="4"/>
                                                  <w:marRight w:val="0"/>
                                                  <w:marTop w:val="0"/>
                                                  <w:marBottom w:val="0"/>
                                                  <w:divBdr>
                                                    <w:top w:val="none" w:sz="0" w:space="0" w:color="auto"/>
                                                    <w:left w:val="none" w:sz="0" w:space="0" w:color="auto"/>
                                                    <w:bottom w:val="none" w:sz="0" w:space="0" w:color="auto"/>
                                                    <w:right w:val="none" w:sz="0" w:space="0" w:color="auto"/>
                                                  </w:divBdr>
                                                  <w:divsChild>
                                                    <w:div w:id="1309287394">
                                                      <w:marLeft w:val="0"/>
                                                      <w:marRight w:val="0"/>
                                                      <w:marTop w:val="0"/>
                                                      <w:marBottom w:val="0"/>
                                                      <w:divBdr>
                                                        <w:top w:val="none" w:sz="0" w:space="0" w:color="auto"/>
                                                        <w:left w:val="none" w:sz="0" w:space="0" w:color="auto"/>
                                                        <w:bottom w:val="none" w:sz="0" w:space="0" w:color="auto"/>
                                                        <w:right w:val="none" w:sz="0" w:space="0" w:color="auto"/>
                                                      </w:divBdr>
                                                    </w:div>
                                                  </w:divsChild>
                                                </w:div>
                                                <w:div w:id="1345126969">
                                                  <w:marLeft w:val="4"/>
                                                  <w:marRight w:val="0"/>
                                                  <w:marTop w:val="0"/>
                                                  <w:marBottom w:val="0"/>
                                                  <w:divBdr>
                                                    <w:top w:val="none" w:sz="0" w:space="0" w:color="auto"/>
                                                    <w:left w:val="none" w:sz="0" w:space="0" w:color="auto"/>
                                                    <w:bottom w:val="none" w:sz="0" w:space="0" w:color="auto"/>
                                                    <w:right w:val="none" w:sz="0" w:space="0" w:color="auto"/>
                                                  </w:divBdr>
                                                  <w:divsChild>
                                                    <w:div w:id="1145585464">
                                                      <w:marLeft w:val="0"/>
                                                      <w:marRight w:val="0"/>
                                                      <w:marTop w:val="0"/>
                                                      <w:marBottom w:val="0"/>
                                                      <w:divBdr>
                                                        <w:top w:val="none" w:sz="0" w:space="0" w:color="auto"/>
                                                        <w:left w:val="none" w:sz="0" w:space="0" w:color="auto"/>
                                                        <w:bottom w:val="none" w:sz="0" w:space="0" w:color="auto"/>
                                                        <w:right w:val="none" w:sz="0" w:space="0" w:color="auto"/>
                                                      </w:divBdr>
                                                    </w:div>
                                                  </w:divsChild>
                                                </w:div>
                                                <w:div w:id="1515342029">
                                                  <w:marLeft w:val="4"/>
                                                  <w:marRight w:val="0"/>
                                                  <w:marTop w:val="0"/>
                                                  <w:marBottom w:val="0"/>
                                                  <w:divBdr>
                                                    <w:top w:val="none" w:sz="0" w:space="0" w:color="auto"/>
                                                    <w:left w:val="none" w:sz="0" w:space="0" w:color="auto"/>
                                                    <w:bottom w:val="none" w:sz="0" w:space="0" w:color="auto"/>
                                                    <w:right w:val="none" w:sz="0" w:space="0" w:color="auto"/>
                                                  </w:divBdr>
                                                  <w:divsChild>
                                                    <w:div w:id="497117417">
                                                      <w:marLeft w:val="0"/>
                                                      <w:marRight w:val="0"/>
                                                      <w:marTop w:val="0"/>
                                                      <w:marBottom w:val="0"/>
                                                      <w:divBdr>
                                                        <w:top w:val="none" w:sz="0" w:space="0" w:color="auto"/>
                                                        <w:left w:val="none" w:sz="0" w:space="0" w:color="auto"/>
                                                        <w:bottom w:val="none" w:sz="0" w:space="0" w:color="auto"/>
                                                        <w:right w:val="none" w:sz="0" w:space="0" w:color="auto"/>
                                                      </w:divBdr>
                                                    </w:div>
                                                  </w:divsChild>
                                                </w:div>
                                                <w:div w:id="1672485400">
                                                  <w:marLeft w:val="4"/>
                                                  <w:marRight w:val="0"/>
                                                  <w:marTop w:val="0"/>
                                                  <w:marBottom w:val="0"/>
                                                  <w:divBdr>
                                                    <w:top w:val="none" w:sz="0" w:space="0" w:color="auto"/>
                                                    <w:left w:val="none" w:sz="0" w:space="0" w:color="auto"/>
                                                    <w:bottom w:val="none" w:sz="0" w:space="0" w:color="auto"/>
                                                    <w:right w:val="none" w:sz="0" w:space="0" w:color="auto"/>
                                                  </w:divBdr>
                                                  <w:divsChild>
                                                    <w:div w:id="32509611">
                                                      <w:marLeft w:val="4"/>
                                                      <w:marRight w:val="0"/>
                                                      <w:marTop w:val="0"/>
                                                      <w:marBottom w:val="0"/>
                                                      <w:divBdr>
                                                        <w:top w:val="none" w:sz="0" w:space="0" w:color="auto"/>
                                                        <w:left w:val="none" w:sz="0" w:space="0" w:color="auto"/>
                                                        <w:bottom w:val="none" w:sz="0" w:space="0" w:color="auto"/>
                                                        <w:right w:val="none" w:sz="0" w:space="0" w:color="auto"/>
                                                      </w:divBdr>
                                                    </w:div>
                                                    <w:div w:id="37509586">
                                                      <w:marLeft w:val="4"/>
                                                      <w:marRight w:val="0"/>
                                                      <w:marTop w:val="0"/>
                                                      <w:marBottom w:val="0"/>
                                                      <w:divBdr>
                                                        <w:top w:val="none" w:sz="0" w:space="0" w:color="auto"/>
                                                        <w:left w:val="none" w:sz="0" w:space="0" w:color="auto"/>
                                                        <w:bottom w:val="none" w:sz="0" w:space="0" w:color="auto"/>
                                                        <w:right w:val="none" w:sz="0" w:space="0" w:color="auto"/>
                                                      </w:divBdr>
                                                    </w:div>
                                                    <w:div w:id="1945502326">
                                                      <w:marLeft w:val="4"/>
                                                      <w:marRight w:val="0"/>
                                                      <w:marTop w:val="0"/>
                                                      <w:marBottom w:val="0"/>
                                                      <w:divBdr>
                                                        <w:top w:val="none" w:sz="0" w:space="0" w:color="auto"/>
                                                        <w:left w:val="none" w:sz="0" w:space="0" w:color="auto"/>
                                                        <w:bottom w:val="none" w:sz="0" w:space="0" w:color="auto"/>
                                                        <w:right w:val="none" w:sz="0" w:space="0" w:color="auto"/>
                                                      </w:divBdr>
                                                      <w:divsChild>
                                                        <w:div w:id="562954460">
                                                          <w:marLeft w:val="4"/>
                                                          <w:marRight w:val="0"/>
                                                          <w:marTop w:val="0"/>
                                                          <w:marBottom w:val="0"/>
                                                          <w:divBdr>
                                                            <w:top w:val="none" w:sz="0" w:space="0" w:color="auto"/>
                                                            <w:left w:val="none" w:sz="0" w:space="0" w:color="auto"/>
                                                            <w:bottom w:val="none" w:sz="0" w:space="0" w:color="auto"/>
                                                            <w:right w:val="none" w:sz="0" w:space="0" w:color="auto"/>
                                                          </w:divBdr>
                                                        </w:div>
                                                        <w:div w:id="1035622122">
                                                          <w:marLeft w:val="4"/>
                                                          <w:marRight w:val="0"/>
                                                          <w:marTop w:val="0"/>
                                                          <w:marBottom w:val="0"/>
                                                          <w:divBdr>
                                                            <w:top w:val="none" w:sz="0" w:space="0" w:color="auto"/>
                                                            <w:left w:val="none" w:sz="0" w:space="0" w:color="auto"/>
                                                            <w:bottom w:val="none" w:sz="0" w:space="0" w:color="auto"/>
                                                            <w:right w:val="none" w:sz="0" w:space="0" w:color="auto"/>
                                                          </w:divBdr>
                                                          <w:divsChild>
                                                            <w:div w:id="381952694">
                                                              <w:marLeft w:val="4"/>
                                                              <w:marRight w:val="0"/>
                                                              <w:marTop w:val="0"/>
                                                              <w:marBottom w:val="0"/>
                                                              <w:divBdr>
                                                                <w:top w:val="none" w:sz="0" w:space="0" w:color="auto"/>
                                                                <w:left w:val="none" w:sz="0" w:space="0" w:color="auto"/>
                                                                <w:bottom w:val="none" w:sz="0" w:space="0" w:color="auto"/>
                                                                <w:right w:val="none" w:sz="0" w:space="0" w:color="auto"/>
                                                              </w:divBdr>
                                                            </w:div>
                                                            <w:div w:id="696584394">
                                                              <w:marLeft w:val="0"/>
                                                              <w:marRight w:val="0"/>
                                                              <w:marTop w:val="0"/>
                                                              <w:marBottom w:val="0"/>
                                                              <w:divBdr>
                                                                <w:top w:val="none" w:sz="0" w:space="0" w:color="auto"/>
                                                                <w:left w:val="none" w:sz="0" w:space="0" w:color="auto"/>
                                                                <w:bottom w:val="none" w:sz="0" w:space="0" w:color="auto"/>
                                                                <w:right w:val="none" w:sz="0" w:space="0" w:color="auto"/>
                                                              </w:divBdr>
                                                            </w:div>
                                                            <w:div w:id="1911424925">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2042239305">
                                                      <w:marLeft w:val="4"/>
                                                      <w:marRight w:val="0"/>
                                                      <w:marTop w:val="0"/>
                                                      <w:marBottom w:val="0"/>
                                                      <w:divBdr>
                                                        <w:top w:val="none" w:sz="0" w:space="0" w:color="auto"/>
                                                        <w:left w:val="none" w:sz="0" w:space="0" w:color="auto"/>
                                                        <w:bottom w:val="none" w:sz="0" w:space="0" w:color="auto"/>
                                                        <w:right w:val="none" w:sz="0" w:space="0" w:color="auto"/>
                                                      </w:divBdr>
                                                      <w:divsChild>
                                                        <w:div w:id="1046610056">
                                                          <w:marLeft w:val="0"/>
                                                          <w:marRight w:val="0"/>
                                                          <w:marTop w:val="0"/>
                                                          <w:marBottom w:val="0"/>
                                                          <w:divBdr>
                                                            <w:top w:val="none" w:sz="0" w:space="0" w:color="auto"/>
                                                            <w:left w:val="none" w:sz="0" w:space="0" w:color="auto"/>
                                                            <w:bottom w:val="none" w:sz="0" w:space="0" w:color="auto"/>
                                                            <w:right w:val="none" w:sz="0" w:space="0" w:color="auto"/>
                                                          </w:divBdr>
                                                        </w:div>
                                                        <w:div w:id="1219242550">
                                                          <w:marLeft w:val="4"/>
                                                          <w:marRight w:val="0"/>
                                                          <w:marTop w:val="0"/>
                                                          <w:marBottom w:val="0"/>
                                                          <w:divBdr>
                                                            <w:top w:val="none" w:sz="0" w:space="0" w:color="auto"/>
                                                            <w:left w:val="none" w:sz="0" w:space="0" w:color="auto"/>
                                                            <w:bottom w:val="none" w:sz="0" w:space="0" w:color="auto"/>
                                                            <w:right w:val="none" w:sz="0" w:space="0" w:color="auto"/>
                                                          </w:divBdr>
                                                        </w:div>
                                                        <w:div w:id="1702432063">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2106071066">
                                                  <w:marLeft w:val="4"/>
                                                  <w:marRight w:val="0"/>
                                                  <w:marTop w:val="0"/>
                                                  <w:marBottom w:val="0"/>
                                                  <w:divBdr>
                                                    <w:top w:val="none" w:sz="0" w:space="0" w:color="auto"/>
                                                    <w:left w:val="none" w:sz="0" w:space="0" w:color="auto"/>
                                                    <w:bottom w:val="none" w:sz="0" w:space="0" w:color="auto"/>
                                                    <w:right w:val="none" w:sz="0" w:space="0" w:color="auto"/>
                                                  </w:divBdr>
                                                  <w:divsChild>
                                                    <w:div w:id="64312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432129">
      <w:bodyDiv w:val="1"/>
      <w:marLeft w:val="0"/>
      <w:marRight w:val="0"/>
      <w:marTop w:val="0"/>
      <w:marBottom w:val="0"/>
      <w:divBdr>
        <w:top w:val="none" w:sz="0" w:space="0" w:color="auto"/>
        <w:left w:val="none" w:sz="0" w:space="0" w:color="auto"/>
        <w:bottom w:val="none" w:sz="0" w:space="0" w:color="auto"/>
        <w:right w:val="none" w:sz="0" w:space="0" w:color="auto"/>
      </w:divBdr>
    </w:div>
    <w:div w:id="1096636392">
      <w:bodyDiv w:val="1"/>
      <w:marLeft w:val="0"/>
      <w:marRight w:val="0"/>
      <w:marTop w:val="0"/>
      <w:marBottom w:val="0"/>
      <w:divBdr>
        <w:top w:val="none" w:sz="0" w:space="0" w:color="auto"/>
        <w:left w:val="none" w:sz="0" w:space="0" w:color="auto"/>
        <w:bottom w:val="none" w:sz="0" w:space="0" w:color="auto"/>
        <w:right w:val="none" w:sz="0" w:space="0" w:color="auto"/>
      </w:divBdr>
    </w:div>
    <w:div w:id="1154028207">
      <w:bodyDiv w:val="1"/>
      <w:marLeft w:val="0"/>
      <w:marRight w:val="0"/>
      <w:marTop w:val="0"/>
      <w:marBottom w:val="0"/>
      <w:divBdr>
        <w:top w:val="none" w:sz="0" w:space="0" w:color="auto"/>
        <w:left w:val="none" w:sz="0" w:space="0" w:color="auto"/>
        <w:bottom w:val="none" w:sz="0" w:space="0" w:color="auto"/>
        <w:right w:val="none" w:sz="0" w:space="0" w:color="auto"/>
      </w:divBdr>
    </w:div>
    <w:div w:id="1668439860">
      <w:bodyDiv w:val="1"/>
      <w:marLeft w:val="0"/>
      <w:marRight w:val="0"/>
      <w:marTop w:val="0"/>
      <w:marBottom w:val="0"/>
      <w:divBdr>
        <w:top w:val="none" w:sz="0" w:space="0" w:color="auto"/>
        <w:left w:val="none" w:sz="0" w:space="0" w:color="auto"/>
        <w:bottom w:val="none" w:sz="0" w:space="0" w:color="auto"/>
        <w:right w:val="none" w:sz="0" w:space="0" w:color="auto"/>
      </w:divBdr>
      <w:divsChild>
        <w:div w:id="84418798">
          <w:marLeft w:val="0"/>
          <w:marRight w:val="0"/>
          <w:marTop w:val="0"/>
          <w:marBottom w:val="0"/>
          <w:divBdr>
            <w:top w:val="none" w:sz="0" w:space="0" w:color="auto"/>
            <w:left w:val="none" w:sz="0" w:space="0" w:color="auto"/>
            <w:bottom w:val="none" w:sz="0" w:space="0" w:color="auto"/>
            <w:right w:val="none" w:sz="0" w:space="0" w:color="auto"/>
          </w:divBdr>
          <w:divsChild>
            <w:div w:id="1006713240">
              <w:marLeft w:val="0"/>
              <w:marRight w:val="0"/>
              <w:marTop w:val="0"/>
              <w:marBottom w:val="0"/>
              <w:divBdr>
                <w:top w:val="none" w:sz="0" w:space="0" w:color="auto"/>
                <w:left w:val="none" w:sz="0" w:space="0" w:color="auto"/>
                <w:bottom w:val="none" w:sz="0" w:space="0" w:color="auto"/>
                <w:right w:val="none" w:sz="0" w:space="0" w:color="auto"/>
              </w:divBdr>
              <w:divsChild>
                <w:div w:id="2107724117">
                  <w:marLeft w:val="0"/>
                  <w:marRight w:val="0"/>
                  <w:marTop w:val="0"/>
                  <w:marBottom w:val="0"/>
                  <w:divBdr>
                    <w:top w:val="none" w:sz="0" w:space="0" w:color="auto"/>
                    <w:left w:val="none" w:sz="0" w:space="0" w:color="auto"/>
                    <w:bottom w:val="none" w:sz="0" w:space="0" w:color="auto"/>
                    <w:right w:val="none" w:sz="0" w:space="0" w:color="auto"/>
                  </w:divBdr>
                  <w:divsChild>
                    <w:div w:id="2032225338">
                      <w:marLeft w:val="0"/>
                      <w:marRight w:val="0"/>
                      <w:marTop w:val="75"/>
                      <w:marBottom w:val="75"/>
                      <w:divBdr>
                        <w:top w:val="none" w:sz="0" w:space="0" w:color="auto"/>
                        <w:left w:val="none" w:sz="0" w:space="0" w:color="auto"/>
                        <w:bottom w:val="none" w:sz="0" w:space="0" w:color="auto"/>
                        <w:right w:val="none" w:sz="0" w:space="0" w:color="auto"/>
                      </w:divBdr>
                      <w:divsChild>
                        <w:div w:id="1341665413">
                          <w:marLeft w:val="0"/>
                          <w:marRight w:val="0"/>
                          <w:marTop w:val="0"/>
                          <w:marBottom w:val="0"/>
                          <w:divBdr>
                            <w:top w:val="none" w:sz="0" w:space="0" w:color="auto"/>
                            <w:left w:val="none" w:sz="0" w:space="0" w:color="auto"/>
                            <w:bottom w:val="none" w:sz="0" w:space="0" w:color="auto"/>
                            <w:right w:val="none" w:sz="0" w:space="0" w:color="auto"/>
                          </w:divBdr>
                          <w:divsChild>
                            <w:div w:id="269096350">
                              <w:marLeft w:val="0"/>
                              <w:marRight w:val="300"/>
                              <w:marTop w:val="0"/>
                              <w:marBottom w:val="0"/>
                              <w:divBdr>
                                <w:top w:val="none" w:sz="0" w:space="0" w:color="auto"/>
                                <w:left w:val="none" w:sz="0" w:space="0" w:color="auto"/>
                                <w:bottom w:val="none" w:sz="0" w:space="0" w:color="auto"/>
                                <w:right w:val="none" w:sz="0" w:space="0" w:color="auto"/>
                              </w:divBdr>
                              <w:divsChild>
                                <w:div w:id="301618416">
                                  <w:marLeft w:val="0"/>
                                  <w:marRight w:val="0"/>
                                  <w:marTop w:val="0"/>
                                  <w:marBottom w:val="0"/>
                                  <w:divBdr>
                                    <w:top w:val="none" w:sz="0" w:space="0" w:color="auto"/>
                                    <w:left w:val="none" w:sz="0" w:space="0" w:color="auto"/>
                                    <w:bottom w:val="none" w:sz="0" w:space="0" w:color="auto"/>
                                    <w:right w:val="none" w:sz="0" w:space="0" w:color="auto"/>
                                  </w:divBdr>
                                  <w:divsChild>
                                    <w:div w:id="914122649">
                                      <w:marLeft w:val="0"/>
                                      <w:marRight w:val="0"/>
                                      <w:marTop w:val="0"/>
                                      <w:marBottom w:val="0"/>
                                      <w:divBdr>
                                        <w:top w:val="none" w:sz="0" w:space="0" w:color="auto"/>
                                        <w:left w:val="none" w:sz="0" w:space="0" w:color="auto"/>
                                        <w:bottom w:val="none" w:sz="0" w:space="0" w:color="auto"/>
                                        <w:right w:val="none" w:sz="0" w:space="0" w:color="auto"/>
                                      </w:divBdr>
                                      <w:divsChild>
                                        <w:div w:id="1867720164">
                                          <w:marLeft w:val="0"/>
                                          <w:marRight w:val="0"/>
                                          <w:marTop w:val="0"/>
                                          <w:marBottom w:val="0"/>
                                          <w:divBdr>
                                            <w:top w:val="none" w:sz="0" w:space="0" w:color="auto"/>
                                            <w:left w:val="none" w:sz="0" w:space="0" w:color="auto"/>
                                            <w:bottom w:val="none" w:sz="0" w:space="0" w:color="auto"/>
                                            <w:right w:val="none" w:sz="0" w:space="0" w:color="auto"/>
                                          </w:divBdr>
                                          <w:divsChild>
                                            <w:div w:id="346450256">
                                              <w:marLeft w:val="0"/>
                                              <w:marRight w:val="0"/>
                                              <w:marTop w:val="0"/>
                                              <w:marBottom w:val="0"/>
                                              <w:divBdr>
                                                <w:top w:val="none" w:sz="0" w:space="0" w:color="auto"/>
                                                <w:left w:val="none" w:sz="0" w:space="0" w:color="auto"/>
                                                <w:bottom w:val="none" w:sz="0" w:space="0" w:color="auto"/>
                                                <w:right w:val="none" w:sz="0" w:space="0" w:color="auto"/>
                                              </w:divBdr>
                                              <w:divsChild>
                                                <w:div w:id="434641041">
                                                  <w:marLeft w:val="0"/>
                                                  <w:marRight w:val="0"/>
                                                  <w:marTop w:val="0"/>
                                                  <w:marBottom w:val="0"/>
                                                  <w:divBdr>
                                                    <w:top w:val="none" w:sz="0" w:space="0" w:color="auto"/>
                                                    <w:left w:val="none" w:sz="0" w:space="0" w:color="auto"/>
                                                    <w:bottom w:val="none" w:sz="0" w:space="0" w:color="auto"/>
                                                    <w:right w:val="none" w:sz="0" w:space="0" w:color="auto"/>
                                                  </w:divBdr>
                                                </w:div>
                                              </w:divsChild>
                                            </w:div>
                                            <w:div w:id="795412735">
                                              <w:marLeft w:val="0"/>
                                              <w:marRight w:val="0"/>
                                              <w:marTop w:val="0"/>
                                              <w:marBottom w:val="0"/>
                                              <w:divBdr>
                                                <w:top w:val="none" w:sz="0" w:space="0" w:color="auto"/>
                                                <w:left w:val="none" w:sz="0" w:space="0" w:color="auto"/>
                                                <w:bottom w:val="none" w:sz="0" w:space="0" w:color="auto"/>
                                                <w:right w:val="none" w:sz="0" w:space="0" w:color="auto"/>
                                              </w:divBdr>
                                              <w:divsChild>
                                                <w:div w:id="43188607">
                                                  <w:marLeft w:val="0"/>
                                                  <w:marRight w:val="0"/>
                                                  <w:marTop w:val="0"/>
                                                  <w:marBottom w:val="0"/>
                                                  <w:divBdr>
                                                    <w:top w:val="none" w:sz="0" w:space="0" w:color="auto"/>
                                                    <w:left w:val="none" w:sz="0" w:space="0" w:color="auto"/>
                                                    <w:bottom w:val="none" w:sz="0" w:space="0" w:color="auto"/>
                                                    <w:right w:val="none" w:sz="0" w:space="0" w:color="auto"/>
                                                  </w:divBdr>
                                                </w:div>
                                                <w:div w:id="1808165566">
                                                  <w:marLeft w:val="0"/>
                                                  <w:marRight w:val="0"/>
                                                  <w:marTop w:val="0"/>
                                                  <w:marBottom w:val="0"/>
                                                  <w:divBdr>
                                                    <w:top w:val="none" w:sz="0" w:space="0" w:color="auto"/>
                                                    <w:left w:val="none" w:sz="0" w:space="0" w:color="auto"/>
                                                    <w:bottom w:val="none" w:sz="0" w:space="0" w:color="auto"/>
                                                    <w:right w:val="none" w:sz="0" w:space="0" w:color="auto"/>
                                                  </w:divBdr>
                                                </w:div>
                                              </w:divsChild>
                                            </w:div>
                                            <w:div w:id="1875343428">
                                              <w:marLeft w:val="0"/>
                                              <w:marRight w:val="0"/>
                                              <w:marTop w:val="0"/>
                                              <w:marBottom w:val="0"/>
                                              <w:divBdr>
                                                <w:top w:val="none" w:sz="0" w:space="0" w:color="auto"/>
                                                <w:left w:val="none" w:sz="0" w:space="0" w:color="auto"/>
                                                <w:bottom w:val="none" w:sz="0" w:space="0" w:color="auto"/>
                                                <w:right w:val="none" w:sz="0" w:space="0" w:color="auto"/>
                                              </w:divBdr>
                                              <w:divsChild>
                                                <w:div w:id="198010099">
                                                  <w:marLeft w:val="4"/>
                                                  <w:marRight w:val="0"/>
                                                  <w:marTop w:val="0"/>
                                                  <w:marBottom w:val="0"/>
                                                  <w:divBdr>
                                                    <w:top w:val="none" w:sz="0" w:space="0" w:color="auto"/>
                                                    <w:left w:val="none" w:sz="0" w:space="0" w:color="auto"/>
                                                    <w:bottom w:val="none" w:sz="0" w:space="0" w:color="auto"/>
                                                    <w:right w:val="none" w:sz="0" w:space="0" w:color="auto"/>
                                                  </w:divBdr>
                                                  <w:divsChild>
                                                    <w:div w:id="669260688">
                                                      <w:marLeft w:val="4"/>
                                                      <w:marRight w:val="0"/>
                                                      <w:marTop w:val="0"/>
                                                      <w:marBottom w:val="0"/>
                                                      <w:divBdr>
                                                        <w:top w:val="none" w:sz="0" w:space="0" w:color="auto"/>
                                                        <w:left w:val="none" w:sz="0" w:space="0" w:color="auto"/>
                                                        <w:bottom w:val="none" w:sz="0" w:space="0" w:color="auto"/>
                                                        <w:right w:val="none" w:sz="0" w:space="0" w:color="auto"/>
                                                      </w:divBdr>
                                                      <w:divsChild>
                                                        <w:div w:id="1876886244">
                                                          <w:marLeft w:val="4"/>
                                                          <w:marRight w:val="0"/>
                                                          <w:marTop w:val="0"/>
                                                          <w:marBottom w:val="0"/>
                                                          <w:divBdr>
                                                            <w:top w:val="none" w:sz="0" w:space="0" w:color="auto"/>
                                                            <w:left w:val="none" w:sz="0" w:space="0" w:color="auto"/>
                                                            <w:bottom w:val="none" w:sz="0" w:space="0" w:color="auto"/>
                                                            <w:right w:val="none" w:sz="0" w:space="0" w:color="auto"/>
                                                          </w:divBdr>
                                                        </w:div>
                                                        <w:div w:id="2033142120">
                                                          <w:marLeft w:val="4"/>
                                                          <w:marRight w:val="0"/>
                                                          <w:marTop w:val="0"/>
                                                          <w:marBottom w:val="0"/>
                                                          <w:divBdr>
                                                            <w:top w:val="none" w:sz="0" w:space="0" w:color="auto"/>
                                                            <w:left w:val="none" w:sz="0" w:space="0" w:color="auto"/>
                                                            <w:bottom w:val="none" w:sz="0" w:space="0" w:color="auto"/>
                                                            <w:right w:val="none" w:sz="0" w:space="0" w:color="auto"/>
                                                          </w:divBdr>
                                                        </w:div>
                                                      </w:divsChild>
                                                    </w:div>
                                                    <w:div w:id="1553082384">
                                                      <w:marLeft w:val="4"/>
                                                      <w:marRight w:val="0"/>
                                                      <w:marTop w:val="0"/>
                                                      <w:marBottom w:val="0"/>
                                                      <w:divBdr>
                                                        <w:top w:val="none" w:sz="0" w:space="0" w:color="auto"/>
                                                        <w:left w:val="none" w:sz="0" w:space="0" w:color="auto"/>
                                                        <w:bottom w:val="none" w:sz="0" w:space="0" w:color="auto"/>
                                                        <w:right w:val="none" w:sz="0" w:space="0" w:color="auto"/>
                                                      </w:divBdr>
                                                      <w:divsChild>
                                                        <w:div w:id="172233780">
                                                          <w:marLeft w:val="4"/>
                                                          <w:marRight w:val="0"/>
                                                          <w:marTop w:val="0"/>
                                                          <w:marBottom w:val="0"/>
                                                          <w:divBdr>
                                                            <w:top w:val="none" w:sz="0" w:space="0" w:color="auto"/>
                                                            <w:left w:val="none" w:sz="0" w:space="0" w:color="auto"/>
                                                            <w:bottom w:val="none" w:sz="0" w:space="0" w:color="auto"/>
                                                            <w:right w:val="none" w:sz="0" w:space="0" w:color="auto"/>
                                                          </w:divBdr>
                                                        </w:div>
                                                        <w:div w:id="604968457">
                                                          <w:marLeft w:val="4"/>
                                                          <w:marRight w:val="0"/>
                                                          <w:marTop w:val="0"/>
                                                          <w:marBottom w:val="0"/>
                                                          <w:divBdr>
                                                            <w:top w:val="none" w:sz="0" w:space="0" w:color="auto"/>
                                                            <w:left w:val="none" w:sz="0" w:space="0" w:color="auto"/>
                                                            <w:bottom w:val="none" w:sz="0" w:space="0" w:color="auto"/>
                                                            <w:right w:val="none" w:sz="0" w:space="0" w:color="auto"/>
                                                          </w:divBdr>
                                                        </w:div>
                                                        <w:div w:id="1498569921">
                                                          <w:marLeft w:val="4"/>
                                                          <w:marRight w:val="0"/>
                                                          <w:marTop w:val="0"/>
                                                          <w:marBottom w:val="0"/>
                                                          <w:divBdr>
                                                            <w:top w:val="none" w:sz="0" w:space="0" w:color="auto"/>
                                                            <w:left w:val="none" w:sz="0" w:space="0" w:color="auto"/>
                                                            <w:bottom w:val="none" w:sz="0" w:space="0" w:color="auto"/>
                                                            <w:right w:val="none" w:sz="0" w:space="0" w:color="auto"/>
                                                          </w:divBdr>
                                                        </w:div>
                                                      </w:divsChild>
                                                    </w:div>
                                                    <w:div w:id="1763528148">
                                                      <w:marLeft w:val="4"/>
                                                      <w:marRight w:val="0"/>
                                                      <w:marTop w:val="0"/>
                                                      <w:marBottom w:val="0"/>
                                                      <w:divBdr>
                                                        <w:top w:val="none" w:sz="0" w:space="0" w:color="auto"/>
                                                        <w:left w:val="none" w:sz="0" w:space="0" w:color="auto"/>
                                                        <w:bottom w:val="none" w:sz="0" w:space="0" w:color="auto"/>
                                                        <w:right w:val="none" w:sz="0" w:space="0" w:color="auto"/>
                                                      </w:divBdr>
                                                      <w:divsChild>
                                                        <w:div w:id="788745686">
                                                          <w:marLeft w:val="4"/>
                                                          <w:marRight w:val="0"/>
                                                          <w:marTop w:val="0"/>
                                                          <w:marBottom w:val="0"/>
                                                          <w:divBdr>
                                                            <w:top w:val="none" w:sz="0" w:space="0" w:color="auto"/>
                                                            <w:left w:val="none" w:sz="0" w:space="0" w:color="auto"/>
                                                            <w:bottom w:val="none" w:sz="0" w:space="0" w:color="auto"/>
                                                            <w:right w:val="none" w:sz="0" w:space="0" w:color="auto"/>
                                                          </w:divBdr>
                                                        </w:div>
                                                        <w:div w:id="797643833">
                                                          <w:marLeft w:val="4"/>
                                                          <w:marRight w:val="0"/>
                                                          <w:marTop w:val="0"/>
                                                          <w:marBottom w:val="0"/>
                                                          <w:divBdr>
                                                            <w:top w:val="none" w:sz="0" w:space="0" w:color="auto"/>
                                                            <w:left w:val="none" w:sz="0" w:space="0" w:color="auto"/>
                                                            <w:bottom w:val="none" w:sz="0" w:space="0" w:color="auto"/>
                                                            <w:right w:val="none" w:sz="0" w:space="0" w:color="auto"/>
                                                          </w:divBdr>
                                                        </w:div>
                                                      </w:divsChild>
                                                    </w:div>
                                                    <w:div w:id="1971787702">
                                                      <w:marLeft w:val="4"/>
                                                      <w:marRight w:val="0"/>
                                                      <w:marTop w:val="0"/>
                                                      <w:marBottom w:val="0"/>
                                                      <w:divBdr>
                                                        <w:top w:val="none" w:sz="0" w:space="0" w:color="auto"/>
                                                        <w:left w:val="none" w:sz="0" w:space="0" w:color="auto"/>
                                                        <w:bottom w:val="none" w:sz="0" w:space="0" w:color="auto"/>
                                                        <w:right w:val="none" w:sz="0" w:space="0" w:color="auto"/>
                                                      </w:divBdr>
                                                    </w:div>
                                                  </w:divsChild>
                                                </w:div>
                                                <w:div w:id="244460834">
                                                  <w:marLeft w:val="4"/>
                                                  <w:marRight w:val="0"/>
                                                  <w:marTop w:val="0"/>
                                                  <w:marBottom w:val="0"/>
                                                  <w:divBdr>
                                                    <w:top w:val="none" w:sz="0" w:space="0" w:color="auto"/>
                                                    <w:left w:val="none" w:sz="0" w:space="0" w:color="auto"/>
                                                    <w:bottom w:val="none" w:sz="0" w:space="0" w:color="auto"/>
                                                    <w:right w:val="none" w:sz="0" w:space="0" w:color="auto"/>
                                                  </w:divBdr>
                                                  <w:divsChild>
                                                    <w:div w:id="1354451823">
                                                      <w:marLeft w:val="0"/>
                                                      <w:marRight w:val="0"/>
                                                      <w:marTop w:val="0"/>
                                                      <w:marBottom w:val="0"/>
                                                      <w:divBdr>
                                                        <w:top w:val="none" w:sz="0" w:space="0" w:color="auto"/>
                                                        <w:left w:val="none" w:sz="0" w:space="0" w:color="auto"/>
                                                        <w:bottom w:val="none" w:sz="0" w:space="0" w:color="auto"/>
                                                        <w:right w:val="none" w:sz="0" w:space="0" w:color="auto"/>
                                                      </w:divBdr>
                                                    </w:div>
                                                  </w:divsChild>
                                                </w:div>
                                                <w:div w:id="663968373">
                                                  <w:marLeft w:val="4"/>
                                                  <w:marRight w:val="0"/>
                                                  <w:marTop w:val="0"/>
                                                  <w:marBottom w:val="0"/>
                                                  <w:divBdr>
                                                    <w:top w:val="none" w:sz="0" w:space="0" w:color="auto"/>
                                                    <w:left w:val="none" w:sz="0" w:space="0" w:color="auto"/>
                                                    <w:bottom w:val="none" w:sz="0" w:space="0" w:color="auto"/>
                                                    <w:right w:val="none" w:sz="0" w:space="0" w:color="auto"/>
                                                  </w:divBdr>
                                                  <w:divsChild>
                                                    <w:div w:id="1280801765">
                                                      <w:marLeft w:val="0"/>
                                                      <w:marRight w:val="0"/>
                                                      <w:marTop w:val="0"/>
                                                      <w:marBottom w:val="0"/>
                                                      <w:divBdr>
                                                        <w:top w:val="none" w:sz="0" w:space="0" w:color="auto"/>
                                                        <w:left w:val="none" w:sz="0" w:space="0" w:color="auto"/>
                                                        <w:bottom w:val="none" w:sz="0" w:space="0" w:color="auto"/>
                                                        <w:right w:val="none" w:sz="0" w:space="0" w:color="auto"/>
                                                      </w:divBdr>
                                                    </w:div>
                                                  </w:divsChild>
                                                </w:div>
                                                <w:div w:id="1541239122">
                                                  <w:marLeft w:val="4"/>
                                                  <w:marRight w:val="0"/>
                                                  <w:marTop w:val="0"/>
                                                  <w:marBottom w:val="0"/>
                                                  <w:divBdr>
                                                    <w:top w:val="none" w:sz="0" w:space="0" w:color="auto"/>
                                                    <w:left w:val="none" w:sz="0" w:space="0" w:color="auto"/>
                                                    <w:bottom w:val="none" w:sz="0" w:space="0" w:color="auto"/>
                                                    <w:right w:val="none" w:sz="0" w:space="0" w:color="auto"/>
                                                  </w:divBdr>
                                                  <w:divsChild>
                                                    <w:div w:id="2007979713">
                                                      <w:marLeft w:val="0"/>
                                                      <w:marRight w:val="0"/>
                                                      <w:marTop w:val="0"/>
                                                      <w:marBottom w:val="0"/>
                                                      <w:divBdr>
                                                        <w:top w:val="none" w:sz="0" w:space="0" w:color="auto"/>
                                                        <w:left w:val="none" w:sz="0" w:space="0" w:color="auto"/>
                                                        <w:bottom w:val="none" w:sz="0" w:space="0" w:color="auto"/>
                                                        <w:right w:val="none" w:sz="0" w:space="0" w:color="auto"/>
                                                      </w:divBdr>
                                                    </w:div>
                                                  </w:divsChild>
                                                </w:div>
                                                <w:div w:id="1832286675">
                                                  <w:marLeft w:val="4"/>
                                                  <w:marRight w:val="0"/>
                                                  <w:marTop w:val="0"/>
                                                  <w:marBottom w:val="0"/>
                                                  <w:divBdr>
                                                    <w:top w:val="none" w:sz="0" w:space="0" w:color="auto"/>
                                                    <w:left w:val="none" w:sz="0" w:space="0" w:color="auto"/>
                                                    <w:bottom w:val="none" w:sz="0" w:space="0" w:color="auto"/>
                                                    <w:right w:val="none" w:sz="0" w:space="0" w:color="auto"/>
                                                  </w:divBdr>
                                                  <w:divsChild>
                                                    <w:div w:id="408624440">
                                                      <w:marLeft w:val="4"/>
                                                      <w:marRight w:val="0"/>
                                                      <w:marTop w:val="0"/>
                                                      <w:marBottom w:val="0"/>
                                                      <w:divBdr>
                                                        <w:top w:val="none" w:sz="0" w:space="0" w:color="auto"/>
                                                        <w:left w:val="none" w:sz="0" w:space="0" w:color="auto"/>
                                                        <w:bottom w:val="none" w:sz="0" w:space="0" w:color="auto"/>
                                                        <w:right w:val="none" w:sz="0" w:space="0" w:color="auto"/>
                                                      </w:divBdr>
                                                    </w:div>
                                                    <w:div w:id="1916428148">
                                                      <w:marLeft w:val="0"/>
                                                      <w:marRight w:val="0"/>
                                                      <w:marTop w:val="0"/>
                                                      <w:marBottom w:val="0"/>
                                                      <w:divBdr>
                                                        <w:top w:val="none" w:sz="0" w:space="0" w:color="auto"/>
                                                        <w:left w:val="none" w:sz="0" w:space="0" w:color="auto"/>
                                                        <w:bottom w:val="none" w:sz="0" w:space="0" w:color="auto"/>
                                                        <w:right w:val="none" w:sz="0" w:space="0" w:color="auto"/>
                                                      </w:divBdr>
                                                    </w:div>
                                                    <w:div w:id="2028478065">
                                                      <w:marLeft w:val="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176106">
      <w:bodyDiv w:val="1"/>
      <w:marLeft w:val="0"/>
      <w:marRight w:val="0"/>
      <w:marTop w:val="0"/>
      <w:marBottom w:val="0"/>
      <w:divBdr>
        <w:top w:val="none" w:sz="0" w:space="0" w:color="auto"/>
        <w:left w:val="none" w:sz="0" w:space="0" w:color="auto"/>
        <w:bottom w:val="none" w:sz="0" w:space="0" w:color="auto"/>
        <w:right w:val="none" w:sz="0" w:space="0" w:color="auto"/>
      </w:divBdr>
    </w:div>
    <w:div w:id="1931506891">
      <w:bodyDiv w:val="1"/>
      <w:marLeft w:val="0"/>
      <w:marRight w:val="0"/>
      <w:marTop w:val="0"/>
      <w:marBottom w:val="0"/>
      <w:divBdr>
        <w:top w:val="none" w:sz="0" w:space="0" w:color="auto"/>
        <w:left w:val="none" w:sz="0" w:space="0" w:color="auto"/>
        <w:bottom w:val="none" w:sz="0" w:space="0" w:color="auto"/>
        <w:right w:val="none" w:sz="0" w:space="0" w:color="auto"/>
      </w:divBdr>
    </w:div>
    <w:div w:id="204617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ferc.gov/docs-filing/info-collections.asp"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3d8f55af-2147-4f63-8f8e-755b87d90c8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library.ferc.gov/idmws/common/opennat.asp?fileID=13989192" TargetMode="External"/><Relationship Id="rId2" Type="http://schemas.openxmlformats.org/officeDocument/2006/relationships/hyperlink" Target="http://elibrary.ferc.gov/idmws/common/opennat.asp?fileID=13989194" TargetMode="External"/><Relationship Id="rId1" Type="http://schemas.openxmlformats.org/officeDocument/2006/relationships/hyperlink" Target="http://elibrary.ferc.gov/idmws/common/opennat.asp?fileID=13989180" TargetMode="External"/><Relationship Id="rId5" Type="http://schemas.openxmlformats.org/officeDocument/2006/relationships/hyperlink" Target="http://www.bls.gov/oes/current/naics2_22.htm" TargetMode="External"/><Relationship Id="rId4" Type="http://schemas.openxmlformats.org/officeDocument/2006/relationships/hyperlink" Target="http://www.justice.gov/sites/default/files/oip/legacy/2014/07/23/%20exemption4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921</_x0031__x002e__x0020_Collection_x0020_Number>
    <Date xmlns="d6eefc7d-9817-4fa6-84d5-3bc009be21b8">2015-09-23T00:00:00-04:00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RM15-23</_x0031__x002e__x0020_Docket_x0020_Number>
    <_x0033__x002e__x0020_Collection_x0020_Number xmlns="d6eefc7d-9817-4fa6-84d5-3bc009be21b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40644-3477-45F7-9F6A-AC77E0DE1AD4}">
  <ds:schemaRefs>
    <ds:schemaRef ds:uri="http://purl.org/dc/terms/"/>
    <ds:schemaRef ds:uri="http://schemas.microsoft.com/office/2006/metadata/properties"/>
    <ds:schemaRef ds:uri="http://purl.org/dc/dcmitype/"/>
    <ds:schemaRef ds:uri="http://schemas.microsoft.com/office/2006/documentManagement/types"/>
    <ds:schemaRef ds:uri="http://www.w3.org/XML/1998/namespace"/>
    <ds:schemaRef ds:uri="http://purl.org/dc/elements/1.1/"/>
    <ds:schemaRef ds:uri="d6eefc7d-9817-4fa6-84d5-3bc009be21b8"/>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7ACEAD40-EF10-490F-A695-4394AE7764EA}">
  <ds:schemaRefs>
    <ds:schemaRef ds:uri="http://schemas.microsoft.com/sharepoint/v3/contenttype/forms"/>
  </ds:schemaRefs>
</ds:datastoreItem>
</file>

<file path=customXml/itemProps3.xml><?xml version="1.0" encoding="utf-8"?>
<ds:datastoreItem xmlns:ds="http://schemas.openxmlformats.org/officeDocument/2006/customXml" ds:itemID="{11135293-FA38-4EE9-ADDC-F6D71156DE46}">
  <ds:schemaRefs>
    <ds:schemaRef ds:uri="http://schemas.microsoft.com/office/2006/metadata/customXsn"/>
  </ds:schemaRefs>
</ds:datastoreItem>
</file>

<file path=customXml/itemProps4.xml><?xml version="1.0" encoding="utf-8"?>
<ds:datastoreItem xmlns:ds="http://schemas.openxmlformats.org/officeDocument/2006/customXml" ds:itemID="{A1179539-7198-413D-BAFE-E2163C90D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1B1227-5C7C-43E1-895A-C0C25EC38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3942</Words>
  <Characters>22476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RM15-23 NOPR supporting statement</vt:lpstr>
    </vt:vector>
  </TitlesOfParts>
  <Company>FERC</Company>
  <LinksUpToDate>false</LinksUpToDate>
  <CharactersWithSpaces>26366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RM15-23 NOPR supporting statement</dc:title>
  <dc:creator>michael miller</dc:creator>
  <cp:lastModifiedBy>Ellen Brown</cp:lastModifiedBy>
  <cp:revision>2</cp:revision>
  <cp:lastPrinted>2015-09-11T13:41:00Z</cp:lastPrinted>
  <dcterms:created xsi:type="dcterms:W3CDTF">2015-09-23T12:31:00Z</dcterms:created>
  <dcterms:modified xsi:type="dcterms:W3CDTF">2015-09-23T12:31:00Z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0x0101003837EBEE62F2E248B8AD112B0E89FEBA</vt:lpwstr>
  </property>
  <property fmtid="{D5CDD505-2E9C-101B-9397-08002B2CF9AE}" pid="4" name="_AdHocReviewCycleID">
    <vt:i4>1532288930</vt:i4>
  </property>
  <property fmtid="{D5CDD505-2E9C-101B-9397-08002B2CF9AE}" pid="5" name="_EmailSubject">
    <vt:lpwstr>draft supporting statement for NOPR in RM15-23--for review and completion-------RE: Connected Entity NOPR CLEAN 8-27-15.docx</vt:lpwstr>
  </property>
  <property fmtid="{D5CDD505-2E9C-101B-9397-08002B2CF9AE}" pid="6" name="_AuthorEmail">
    <vt:lpwstr>Jamie.Marcos@ferc.gov</vt:lpwstr>
  </property>
  <property fmtid="{D5CDD505-2E9C-101B-9397-08002B2CF9AE}" pid="7" name="_AuthorEmailDisplayName">
    <vt:lpwstr>Jamie Marcos</vt:lpwstr>
  </property>
  <property fmtid="{D5CDD505-2E9C-101B-9397-08002B2CF9AE}" pid="8" name="_ReviewingToolsShownOnce">
    <vt:lpwstr/>
  </property>
</Properties>
</file>