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1A0F7" w14:textId="77777777" w:rsidR="0073089F" w:rsidRPr="00894C6A" w:rsidRDefault="0073089F" w:rsidP="0073089F">
      <w:pPr>
        <w:tabs>
          <w:tab w:val="center" w:pos="4680"/>
        </w:tabs>
        <w:jc w:val="center"/>
        <w:rPr>
          <w:b/>
          <w:bCs/>
          <w:szCs w:val="26"/>
        </w:rPr>
      </w:pPr>
      <w:r w:rsidRPr="00894C6A">
        <w:rPr>
          <w:b/>
          <w:bCs/>
          <w:szCs w:val="26"/>
        </w:rPr>
        <w:t>SUPPORTING STATEMENT FOR</w:t>
      </w:r>
    </w:p>
    <w:p w14:paraId="71E8E9A3" w14:textId="77777777" w:rsidR="0090507E" w:rsidRDefault="0073089F" w:rsidP="009A6251">
      <w:pPr>
        <w:tabs>
          <w:tab w:val="left" w:pos="520"/>
        </w:tabs>
        <w:jc w:val="center"/>
        <w:rPr>
          <w:b/>
          <w:szCs w:val="26"/>
        </w:rPr>
      </w:pPr>
      <w:r w:rsidRPr="00894C6A">
        <w:rPr>
          <w:b/>
          <w:bCs/>
          <w:szCs w:val="26"/>
        </w:rPr>
        <w:t>FERC-725</w:t>
      </w:r>
      <w:r w:rsidR="005A62C4" w:rsidRPr="00894C6A">
        <w:rPr>
          <w:b/>
          <w:bCs/>
          <w:szCs w:val="26"/>
        </w:rPr>
        <w:t>B</w:t>
      </w:r>
      <w:r w:rsidRPr="00894C6A">
        <w:rPr>
          <w:b/>
          <w:bCs/>
          <w:szCs w:val="26"/>
        </w:rPr>
        <w:t xml:space="preserve">, </w:t>
      </w:r>
      <w:r w:rsidR="009A6251" w:rsidRPr="00894C6A">
        <w:rPr>
          <w:b/>
          <w:szCs w:val="26"/>
        </w:rPr>
        <w:t>Revised Critical Infrastructure Protection Reliability Standards</w:t>
      </w:r>
      <w:r w:rsidR="0090507E">
        <w:rPr>
          <w:b/>
          <w:szCs w:val="26"/>
        </w:rPr>
        <w:t>,</w:t>
      </w:r>
    </w:p>
    <w:p w14:paraId="0F57FE1D" w14:textId="77777777" w:rsidR="009A6251" w:rsidRPr="00894C6A" w:rsidRDefault="0090507E" w:rsidP="009A6251">
      <w:pPr>
        <w:tabs>
          <w:tab w:val="left" w:pos="520"/>
        </w:tabs>
        <w:jc w:val="center"/>
        <w:rPr>
          <w:szCs w:val="26"/>
        </w:rPr>
      </w:pPr>
      <w:proofErr w:type="gramStart"/>
      <w:r>
        <w:rPr>
          <w:b/>
          <w:szCs w:val="26"/>
        </w:rPr>
        <w:t>as</w:t>
      </w:r>
      <w:proofErr w:type="gramEnd"/>
      <w:r>
        <w:rPr>
          <w:b/>
          <w:szCs w:val="26"/>
        </w:rPr>
        <w:t xml:space="preserve"> revised by NOPR in Docket RM15-14</w:t>
      </w:r>
    </w:p>
    <w:p w14:paraId="3DBC6797" w14:textId="77777777" w:rsidR="0073089F" w:rsidRPr="00894C6A" w:rsidRDefault="0073089F" w:rsidP="0073089F">
      <w:pPr>
        <w:tabs>
          <w:tab w:val="center" w:pos="4680"/>
        </w:tabs>
        <w:jc w:val="center"/>
        <w:rPr>
          <w:b/>
          <w:bCs/>
          <w:szCs w:val="26"/>
        </w:rPr>
      </w:pPr>
    </w:p>
    <w:p w14:paraId="7FDEE983" w14:textId="77777777" w:rsidR="0073089F" w:rsidRPr="00894C6A" w:rsidRDefault="0073089F" w:rsidP="0073089F">
      <w:pPr>
        <w:rPr>
          <w:szCs w:val="26"/>
        </w:rPr>
      </w:pPr>
    </w:p>
    <w:p w14:paraId="25B148BE" w14:textId="77777777" w:rsidR="0073089F" w:rsidRPr="00894C6A" w:rsidRDefault="0073089F" w:rsidP="009A6251">
      <w:pPr>
        <w:tabs>
          <w:tab w:val="left" w:pos="520"/>
        </w:tabs>
        <w:rPr>
          <w:szCs w:val="26"/>
        </w:rPr>
      </w:pPr>
      <w:r w:rsidRPr="00894C6A">
        <w:rPr>
          <w:szCs w:val="26"/>
        </w:rPr>
        <w:t xml:space="preserve">The Federal Energy Regulatory Commission (Commission or FERC) requests that the Office of Management and Budget (OMB) review the information collection requirements in the </w:t>
      </w:r>
      <w:r w:rsidRPr="00894C6A">
        <w:rPr>
          <w:b/>
          <w:bCs/>
          <w:szCs w:val="26"/>
        </w:rPr>
        <w:t>FERC-725</w:t>
      </w:r>
      <w:r w:rsidR="009A6251" w:rsidRPr="00894C6A">
        <w:rPr>
          <w:b/>
          <w:bCs/>
          <w:szCs w:val="26"/>
        </w:rPr>
        <w:t>B</w:t>
      </w:r>
      <w:r w:rsidRPr="00894C6A">
        <w:rPr>
          <w:b/>
          <w:bCs/>
          <w:szCs w:val="26"/>
        </w:rPr>
        <w:t xml:space="preserve">, </w:t>
      </w:r>
      <w:r w:rsidR="009A6251" w:rsidRPr="00894C6A">
        <w:rPr>
          <w:b/>
          <w:szCs w:val="26"/>
        </w:rPr>
        <w:t>Revised Critical Infrastructure Protection Reliability Standards</w:t>
      </w:r>
      <w:r w:rsidR="009A6251" w:rsidRPr="00894C6A">
        <w:rPr>
          <w:szCs w:val="26"/>
        </w:rPr>
        <w:t>.</w:t>
      </w:r>
    </w:p>
    <w:p w14:paraId="1D406822" w14:textId="77777777" w:rsidR="009A6251" w:rsidRPr="00894C6A" w:rsidRDefault="009A6251" w:rsidP="009A6251">
      <w:pPr>
        <w:tabs>
          <w:tab w:val="left" w:pos="520"/>
        </w:tabs>
        <w:rPr>
          <w:szCs w:val="26"/>
        </w:rPr>
      </w:pPr>
    </w:p>
    <w:p w14:paraId="4AE7A24A" w14:textId="77777777" w:rsidR="0073089F" w:rsidRPr="00894C6A" w:rsidRDefault="0073089F" w:rsidP="0073089F">
      <w:pPr>
        <w:tabs>
          <w:tab w:val="center" w:pos="4680"/>
        </w:tabs>
        <w:rPr>
          <w:szCs w:val="26"/>
        </w:rPr>
      </w:pPr>
      <w:r w:rsidRPr="00894C6A">
        <w:rPr>
          <w:szCs w:val="26"/>
        </w:rPr>
        <w:t>In this NOPR (Notice of Proposed Rulemaking) in Docket RM15-</w:t>
      </w:r>
      <w:r w:rsidR="009A6251" w:rsidRPr="00894C6A">
        <w:rPr>
          <w:szCs w:val="26"/>
        </w:rPr>
        <w:t>1</w:t>
      </w:r>
      <w:r w:rsidRPr="00894C6A">
        <w:rPr>
          <w:szCs w:val="26"/>
        </w:rPr>
        <w:t xml:space="preserve">4, the Commission proposes </w:t>
      </w:r>
      <w:r w:rsidR="009A6251" w:rsidRPr="00894C6A">
        <w:rPr>
          <w:szCs w:val="26"/>
        </w:rPr>
        <w:t xml:space="preserve">to approve seven </w:t>
      </w:r>
      <w:r w:rsidR="00A2254E">
        <w:rPr>
          <w:szCs w:val="26"/>
        </w:rPr>
        <w:t>C</w:t>
      </w:r>
      <w:r w:rsidR="00A2254E" w:rsidRPr="00894C6A">
        <w:rPr>
          <w:szCs w:val="26"/>
        </w:rPr>
        <w:t xml:space="preserve">ritical </w:t>
      </w:r>
      <w:r w:rsidR="00A2254E">
        <w:rPr>
          <w:szCs w:val="26"/>
        </w:rPr>
        <w:t>I</w:t>
      </w:r>
      <w:r w:rsidR="00A2254E" w:rsidRPr="00894C6A">
        <w:rPr>
          <w:szCs w:val="26"/>
        </w:rPr>
        <w:t xml:space="preserve">nfrastructure </w:t>
      </w:r>
      <w:r w:rsidR="00A2254E">
        <w:rPr>
          <w:szCs w:val="26"/>
        </w:rPr>
        <w:t>P</w:t>
      </w:r>
      <w:r w:rsidR="00A2254E" w:rsidRPr="00894C6A">
        <w:rPr>
          <w:szCs w:val="26"/>
        </w:rPr>
        <w:t xml:space="preserve">rotection </w:t>
      </w:r>
      <w:r w:rsidR="009A6251" w:rsidRPr="00894C6A">
        <w:rPr>
          <w:szCs w:val="26"/>
        </w:rPr>
        <w:t>(CIP) Reliability Standards:  CIP-003-6 (Security Management Controls), CIP-004-6 (Personnel and Training), CIP-006-6 (Physical Security of BES Cyber Systems), CIP-007-6 (Systems Security Management), CIP-009-6 (Recovery Plans for BES Cyber Systems), CIP-010-2 (Configuration Change Management and Vulnerability Assessments), and CIP-011-2 (Information Protection).</w:t>
      </w:r>
    </w:p>
    <w:p w14:paraId="3349C4BB" w14:textId="77777777" w:rsidR="0073089F" w:rsidRPr="00894C6A" w:rsidRDefault="0073089F" w:rsidP="0073089F">
      <w:pPr>
        <w:tabs>
          <w:tab w:val="center" w:pos="4680"/>
        </w:tabs>
        <w:rPr>
          <w:szCs w:val="26"/>
        </w:rPr>
      </w:pPr>
    </w:p>
    <w:p w14:paraId="300CF73A" w14:textId="77777777" w:rsidR="0073089F" w:rsidRPr="00894C6A" w:rsidRDefault="009A6251" w:rsidP="0073089F">
      <w:pPr>
        <w:rPr>
          <w:szCs w:val="26"/>
        </w:rPr>
      </w:pPr>
      <w:r w:rsidRPr="00894C6A">
        <w:rPr>
          <w:szCs w:val="26"/>
        </w:rPr>
        <w:t>FERC-725B</w:t>
      </w:r>
      <w:r w:rsidRPr="00894C6A">
        <w:rPr>
          <w:szCs w:val="26"/>
          <w:vertAlign w:val="superscript"/>
        </w:rPr>
        <w:t xml:space="preserve"> </w:t>
      </w:r>
      <w:r w:rsidRPr="00894C6A">
        <w:rPr>
          <w:szCs w:val="26"/>
        </w:rPr>
        <w:t xml:space="preserve">(OMB Control No. 1902-0248) is an existing data collection, as contained in 18 Code of Federal Regulations (CFR), Part 40.   </w:t>
      </w:r>
    </w:p>
    <w:p w14:paraId="7C7535DF" w14:textId="77777777" w:rsidR="0073089F" w:rsidRPr="00894C6A" w:rsidRDefault="0073089F" w:rsidP="0073089F">
      <w:pPr>
        <w:rPr>
          <w:b/>
          <w:szCs w:val="26"/>
        </w:rPr>
      </w:pPr>
    </w:p>
    <w:p w14:paraId="37A0A8FE" w14:textId="77777777" w:rsidR="0073089F" w:rsidRPr="00894C6A" w:rsidRDefault="0073089F" w:rsidP="0073089F">
      <w:pPr>
        <w:pStyle w:val="Level1"/>
        <w:widowControl/>
        <w:tabs>
          <w:tab w:val="left" w:pos="-1440"/>
          <w:tab w:val="num" w:pos="720"/>
        </w:tabs>
        <w:rPr>
          <w:b/>
          <w:sz w:val="26"/>
          <w:szCs w:val="26"/>
        </w:rPr>
      </w:pPr>
      <w:bookmarkStart w:id="0" w:name="_Ref427228112"/>
      <w:r w:rsidRPr="00894C6A">
        <w:rPr>
          <w:b/>
          <w:sz w:val="26"/>
          <w:szCs w:val="26"/>
        </w:rPr>
        <w:t>CIRCUMSTANCES THAT MAKE THE COLLECTION OF INFORMATION NECESSARY</w:t>
      </w:r>
      <w:bookmarkEnd w:id="0"/>
      <w:r w:rsidRPr="00894C6A">
        <w:rPr>
          <w:b/>
          <w:sz w:val="26"/>
          <w:szCs w:val="26"/>
        </w:rPr>
        <w:t xml:space="preserve">  </w:t>
      </w:r>
    </w:p>
    <w:p w14:paraId="297FF137" w14:textId="77777777" w:rsidR="0073089F" w:rsidRPr="00894C6A" w:rsidRDefault="0073089F" w:rsidP="0073089F">
      <w:pPr>
        <w:pStyle w:val="Level1"/>
        <w:widowControl/>
        <w:numPr>
          <w:ilvl w:val="0"/>
          <w:numId w:val="0"/>
        </w:numPr>
        <w:tabs>
          <w:tab w:val="left" w:pos="-1440"/>
        </w:tabs>
        <w:rPr>
          <w:b/>
          <w:sz w:val="26"/>
          <w:szCs w:val="26"/>
        </w:rPr>
      </w:pPr>
    </w:p>
    <w:p w14:paraId="2C5595C3" w14:textId="77777777" w:rsidR="009A6251" w:rsidRDefault="009A6251" w:rsidP="009A6251">
      <w:pPr>
        <w:rPr>
          <w:szCs w:val="26"/>
        </w:rPr>
      </w:pPr>
      <w:r w:rsidRPr="00894C6A">
        <w:rPr>
          <w:szCs w:val="26"/>
        </w:rPr>
        <w:t>On August 8, 2005, The Electricity Modernization Act of 2005, which is Title XII of the Energy Policy Act of 2005 (</w:t>
      </w:r>
      <w:proofErr w:type="spellStart"/>
      <w:r w:rsidRPr="00894C6A">
        <w:rPr>
          <w:szCs w:val="26"/>
        </w:rPr>
        <w:t>EPAct</w:t>
      </w:r>
      <w:proofErr w:type="spellEnd"/>
      <w:r w:rsidRPr="00894C6A">
        <w:rPr>
          <w:szCs w:val="26"/>
        </w:rPr>
        <w:t xml:space="preserve"> 2005), was enacted into law.</w:t>
      </w:r>
      <w:r w:rsidRPr="00894C6A">
        <w:rPr>
          <w:szCs w:val="26"/>
          <w:vertAlign w:val="superscript"/>
        </w:rPr>
        <w:footnoteReference w:id="1"/>
      </w:r>
      <w:r w:rsidRPr="00894C6A">
        <w:rPr>
          <w:szCs w:val="26"/>
        </w:rPr>
        <w:t xml:space="preserve">  </w:t>
      </w:r>
      <w:proofErr w:type="spellStart"/>
      <w:r w:rsidRPr="00894C6A">
        <w:rPr>
          <w:szCs w:val="26"/>
        </w:rPr>
        <w:t>EPAct</w:t>
      </w:r>
      <w:proofErr w:type="spellEnd"/>
      <w:r w:rsidRPr="00894C6A">
        <w:rPr>
          <w:szCs w:val="26"/>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by the Commission, the Reliability Standards may be enforced by the ERO, subject to Commission oversight.  The North American Electric Reliability Corporation (NERC) is the Commission-certified ERO.</w:t>
      </w:r>
    </w:p>
    <w:p w14:paraId="6A5F17F4" w14:textId="77777777" w:rsidR="00A2254E" w:rsidRPr="00894C6A" w:rsidRDefault="00A2254E" w:rsidP="009A6251">
      <w:pPr>
        <w:rPr>
          <w:szCs w:val="26"/>
        </w:rPr>
      </w:pPr>
    </w:p>
    <w:p w14:paraId="5D26DBBB" w14:textId="77777777" w:rsidR="0073089F" w:rsidRPr="00894C6A" w:rsidRDefault="009A6251" w:rsidP="00661302">
      <w:pPr>
        <w:pStyle w:val="StyleFERCparanumberLinespacingDouble"/>
        <w:numPr>
          <w:ilvl w:val="0"/>
          <w:numId w:val="0"/>
        </w:numPr>
        <w:tabs>
          <w:tab w:val="left" w:pos="520"/>
        </w:tabs>
        <w:spacing w:line="240" w:lineRule="auto"/>
      </w:pPr>
      <w:r w:rsidRPr="00894C6A">
        <w:rPr>
          <w:szCs w:val="26"/>
        </w:rPr>
        <w:t xml:space="preserve">NERC submitted the proposed Reliability Standards in response to the Commission’s Order No. 791.  The proposed Reliability Standards address the cyber security of the bulk electric system and improve upon the current Commission-approved CIP Reliability </w:t>
      </w:r>
      <w:r w:rsidRPr="00894C6A">
        <w:rPr>
          <w:szCs w:val="26"/>
        </w:rPr>
        <w:lastRenderedPageBreak/>
        <w:t xml:space="preserve">Standards.  In addition, the Commission proposes to direct NERC to develop certain modifications to Reliability Standard CIP-006-6 and to develop requirements addressing supply chain management. </w:t>
      </w:r>
    </w:p>
    <w:p w14:paraId="36C88AF2" w14:textId="77777777" w:rsidR="0073089F" w:rsidRPr="00894C6A" w:rsidRDefault="0073089F" w:rsidP="0073089F">
      <w:pPr>
        <w:rPr>
          <w:szCs w:val="26"/>
        </w:rPr>
      </w:pPr>
    </w:p>
    <w:p w14:paraId="468742FA"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HOW, BY WHOM, AND FOR WHAT PURPOSE THE INFORMATION IS TO BE USED AND THE CONSEQUENCES OF NOT COLLECTING THE INFORMATION</w:t>
      </w:r>
    </w:p>
    <w:p w14:paraId="4E213B39" w14:textId="77777777" w:rsidR="0073089F" w:rsidRPr="00894C6A" w:rsidRDefault="0073089F" w:rsidP="0073089F">
      <w:pPr>
        <w:pStyle w:val="Level1"/>
        <w:numPr>
          <w:ilvl w:val="0"/>
          <w:numId w:val="0"/>
        </w:numPr>
        <w:tabs>
          <w:tab w:val="left" w:pos="-1440"/>
        </w:tabs>
        <w:rPr>
          <w:sz w:val="26"/>
          <w:szCs w:val="26"/>
        </w:rPr>
      </w:pPr>
    </w:p>
    <w:p w14:paraId="6BE9E1B5" w14:textId="77777777" w:rsidR="00F3248B" w:rsidRPr="00894C6A" w:rsidRDefault="00F3248B" w:rsidP="00F3248B">
      <w:pPr>
        <w:rPr>
          <w:szCs w:val="26"/>
        </w:rPr>
      </w:pPr>
      <w:r w:rsidRPr="00894C6A">
        <w:rPr>
          <w:szCs w:val="26"/>
        </w:rPr>
        <w:t xml:space="preserve">The information collection requirements in the </w:t>
      </w:r>
      <w:r w:rsidR="00A2254E">
        <w:rPr>
          <w:szCs w:val="26"/>
        </w:rPr>
        <w:t>proposed</w:t>
      </w:r>
      <w:r w:rsidR="008A611C" w:rsidRPr="00894C6A">
        <w:rPr>
          <w:szCs w:val="26"/>
        </w:rPr>
        <w:t xml:space="preserve"> </w:t>
      </w:r>
      <w:r w:rsidRPr="00894C6A">
        <w:rPr>
          <w:szCs w:val="26"/>
        </w:rPr>
        <w:t xml:space="preserve">CIP standards apply to entities registered as the following functions:  balancing authorities, distribution providers, generator operators, generator owners, interchange coordinators (or interchange authorities), reliability coordinators, transmission operators, and transmission owners.  Based on the NERC compliance registry, FERC estimates there are </w:t>
      </w:r>
      <w:r w:rsidRPr="00661302">
        <w:rPr>
          <w:szCs w:val="26"/>
        </w:rPr>
        <w:t>1,363</w:t>
      </w:r>
      <w:r w:rsidRPr="00894C6A">
        <w:rPr>
          <w:szCs w:val="26"/>
        </w:rPr>
        <w:t xml:space="preserve"> entities in the U.S. registered for at least one of the functions listed above.  Each of these entities is considered a “respondent” for the purposes of fulfilling the paperwork requirements.   </w:t>
      </w:r>
    </w:p>
    <w:p w14:paraId="0684BB18" w14:textId="77777777" w:rsidR="00F3248B" w:rsidRPr="00894C6A" w:rsidRDefault="00F3248B" w:rsidP="00F3248B">
      <w:pPr>
        <w:rPr>
          <w:szCs w:val="26"/>
        </w:rPr>
      </w:pPr>
    </w:p>
    <w:p w14:paraId="2D0A2F35" w14:textId="77777777" w:rsidR="00F3248B" w:rsidRPr="00894C6A" w:rsidRDefault="00F3248B" w:rsidP="00F3248B">
      <w:pPr>
        <w:rPr>
          <w:szCs w:val="26"/>
        </w:rPr>
      </w:pPr>
      <w:r w:rsidRPr="00894C6A">
        <w:rPr>
          <w:szCs w:val="26"/>
        </w:rPr>
        <w:t xml:space="preserve">The cyber security policy, process, and procedure documentation required by the CIP standards are the principal components of a cyber-security program.  The main use for the information generated is to achieve and maintain a cyber-secure operational state, a process which requires vigilant monitoring of activity against documented policies and procedures.  The information generated can also be used to show auditors that required cyber security policies, processes, and procedures are designed to achieve the requirement and are implemented as designed.  Similarly, the applicable compliance enforcement authority (regional entity or NERC) relies upon any such documentation it is shown to measure an entity’s compliance with a given requirement.  The information is also used for evaluating reliability events or for enforcement actions. </w:t>
      </w:r>
    </w:p>
    <w:p w14:paraId="7AC1D386" w14:textId="77777777" w:rsidR="00F3248B" w:rsidRPr="00894C6A" w:rsidRDefault="00F3248B" w:rsidP="00F3248B">
      <w:pPr>
        <w:rPr>
          <w:szCs w:val="26"/>
        </w:rPr>
      </w:pPr>
    </w:p>
    <w:p w14:paraId="78DCC29F" w14:textId="77777777" w:rsidR="00F3248B" w:rsidRPr="00894C6A" w:rsidRDefault="00F3248B" w:rsidP="00F3248B">
      <w:pPr>
        <w:rPr>
          <w:szCs w:val="26"/>
        </w:rPr>
      </w:pPr>
      <w:r w:rsidRPr="00894C6A">
        <w:rPr>
          <w:szCs w:val="26"/>
        </w:rPr>
        <w:t>If the information collection requirements did not exist then it would be difficult to monitor and enforce compliance with the standards</w:t>
      </w:r>
      <w:r w:rsidR="00A2254E">
        <w:rPr>
          <w:szCs w:val="26"/>
        </w:rPr>
        <w:t>,</w:t>
      </w:r>
      <w:r w:rsidRPr="00894C6A">
        <w:rPr>
          <w:szCs w:val="26"/>
        </w:rPr>
        <w:t xml:space="preserve"> which could lead entities to relax their compliance with the requirements.  Also, creating and maintaining documentation is integral to the task of performing cyber security, as reflected in the fact that some of the reliability standards’ requirements actually require an entity to create a document (as opposed to </w:t>
      </w:r>
      <w:r w:rsidRPr="00894C6A">
        <w:rPr>
          <w:i/>
          <w:szCs w:val="26"/>
        </w:rPr>
        <w:t xml:space="preserve">documenting </w:t>
      </w:r>
      <w:r w:rsidRPr="00894C6A">
        <w:rPr>
          <w:szCs w:val="26"/>
        </w:rPr>
        <w:t>compliance with a requirement).  Without such information collection an entity may fail to perform actions that may affect the reliability and security of the grid.</w:t>
      </w:r>
    </w:p>
    <w:p w14:paraId="48235335" w14:textId="77777777" w:rsidR="0073089F" w:rsidRPr="00894C6A" w:rsidRDefault="0073089F" w:rsidP="0073089F">
      <w:pPr>
        <w:pStyle w:val="FERCparanumber"/>
        <w:numPr>
          <w:ilvl w:val="0"/>
          <w:numId w:val="0"/>
        </w:numPr>
        <w:autoSpaceDE w:val="0"/>
        <w:autoSpaceDN w:val="0"/>
        <w:adjustRightInd w:val="0"/>
        <w:ind w:firstLine="720"/>
        <w:rPr>
          <w:szCs w:val="26"/>
        </w:rPr>
      </w:pPr>
    </w:p>
    <w:p w14:paraId="0E3C056E"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ANY CONSIDERATION FOR THE USE OF IMPROVED INFORMATION TECHNOLOGY TO REDUCE BURDEN AND TECHNICAL OR LEGAL OBSTACLES TO REDUCING BURDEN</w:t>
      </w:r>
    </w:p>
    <w:p w14:paraId="2FA8F307" w14:textId="77777777" w:rsidR="0073089F" w:rsidRPr="00894C6A" w:rsidRDefault="0073089F" w:rsidP="0073089F">
      <w:pPr>
        <w:rPr>
          <w:b/>
          <w:szCs w:val="26"/>
        </w:rPr>
      </w:pPr>
    </w:p>
    <w:p w14:paraId="7F801181" w14:textId="77777777" w:rsidR="00F3248B" w:rsidRPr="00894C6A" w:rsidRDefault="00F3248B" w:rsidP="00F3248B">
      <w:pPr>
        <w:rPr>
          <w:szCs w:val="26"/>
        </w:rPr>
      </w:pPr>
      <w:r w:rsidRPr="00894C6A">
        <w:rPr>
          <w:szCs w:val="26"/>
        </w:rPr>
        <w:lastRenderedPageBreak/>
        <w:t xml:space="preserve">The use of current or improved technology is not covered in the </w:t>
      </w:r>
      <w:r w:rsidR="00A2254E">
        <w:rPr>
          <w:szCs w:val="26"/>
        </w:rPr>
        <w:t xml:space="preserve">proposed </w:t>
      </w:r>
      <w:r w:rsidRPr="00894C6A">
        <w:rPr>
          <w:szCs w:val="26"/>
        </w:rPr>
        <w:t>CIP</w:t>
      </w:r>
      <w:r w:rsidR="008A611C" w:rsidRPr="00894C6A">
        <w:rPr>
          <w:szCs w:val="26"/>
        </w:rPr>
        <w:t xml:space="preserve"> </w:t>
      </w:r>
      <w:r w:rsidRPr="00894C6A">
        <w:rPr>
          <w:szCs w:val="26"/>
        </w:rPr>
        <w:t>Reliability Standards, and is therefore left to the discretion of each responsible entity.</w:t>
      </w:r>
    </w:p>
    <w:p w14:paraId="6F2C8A61" w14:textId="77777777" w:rsidR="0073089F" w:rsidRPr="00894C6A" w:rsidRDefault="0073089F" w:rsidP="0073089F">
      <w:pPr>
        <w:rPr>
          <w:szCs w:val="26"/>
        </w:rPr>
      </w:pPr>
    </w:p>
    <w:p w14:paraId="1AC5A97F" w14:textId="77777777" w:rsidR="0073089F" w:rsidRPr="00894C6A" w:rsidRDefault="0073089F" w:rsidP="0073089F">
      <w:pPr>
        <w:rPr>
          <w:szCs w:val="26"/>
        </w:rPr>
      </w:pPr>
      <w:r w:rsidRPr="00894C6A">
        <w:rPr>
          <w:szCs w:val="26"/>
        </w:rPr>
        <w:t>In general, the Commission supports the use of information technology to reduce burden.</w:t>
      </w:r>
    </w:p>
    <w:p w14:paraId="2C042329" w14:textId="77777777" w:rsidR="0073089F" w:rsidRPr="00894C6A" w:rsidRDefault="0073089F" w:rsidP="0073089F">
      <w:pPr>
        <w:rPr>
          <w:b/>
          <w:bCs/>
          <w:szCs w:val="26"/>
        </w:rPr>
      </w:pPr>
    </w:p>
    <w:p w14:paraId="35C5B450"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EFFORTS TO IDENTIFY DUPLICATION AND SHOW SPECIFICALLY WHY ANY SIMILAR INFORMATION ALREADY AVAILABLE CANNOT BE USED OR MODIFIED FOR USE FOR THE PURPOSE(S) DESCRIBED IN INSTRUCTION NO. 2.</w:t>
      </w:r>
    </w:p>
    <w:p w14:paraId="7CA3216C" w14:textId="77777777" w:rsidR="0073089F" w:rsidRPr="00894C6A" w:rsidRDefault="0073089F" w:rsidP="0073089F">
      <w:pPr>
        <w:pStyle w:val="Level1"/>
        <w:widowControl/>
        <w:numPr>
          <w:ilvl w:val="0"/>
          <w:numId w:val="0"/>
        </w:numPr>
        <w:tabs>
          <w:tab w:val="left" w:pos="-1440"/>
        </w:tabs>
        <w:rPr>
          <w:sz w:val="26"/>
          <w:szCs w:val="26"/>
        </w:rPr>
      </w:pPr>
    </w:p>
    <w:p w14:paraId="19462D90" w14:textId="77777777" w:rsidR="00F3248B" w:rsidRPr="00894C6A" w:rsidRDefault="0073089F" w:rsidP="00F3248B">
      <w:pPr>
        <w:rPr>
          <w:szCs w:val="26"/>
        </w:rPr>
      </w:pPr>
      <w:r w:rsidRPr="00894C6A">
        <w:rPr>
          <w:szCs w:val="26"/>
        </w:rPr>
        <w:t xml:space="preserve">The Commission periodically reviews filing requirements concurrent with OMB review or as the Commission deems necessary to eliminate duplicative filing and to minimize the filing burden.  </w:t>
      </w:r>
    </w:p>
    <w:p w14:paraId="344EB46C" w14:textId="77777777" w:rsidR="00F3248B" w:rsidRPr="00894C6A" w:rsidRDefault="00F3248B" w:rsidP="00F3248B">
      <w:pPr>
        <w:rPr>
          <w:szCs w:val="26"/>
        </w:rPr>
      </w:pPr>
    </w:p>
    <w:p w14:paraId="4A6C552C" w14:textId="77777777" w:rsidR="0073089F" w:rsidRPr="00894C6A" w:rsidRDefault="00F3248B" w:rsidP="0073089F">
      <w:pPr>
        <w:rPr>
          <w:szCs w:val="26"/>
        </w:rPr>
      </w:pPr>
      <w:r w:rsidRPr="00894C6A">
        <w:rPr>
          <w:szCs w:val="26"/>
        </w:rPr>
        <w:t>The information collection requirements are unique to this reliability standard and to this information collection.  The Commission does not know of any duplication in the requirements.</w:t>
      </w:r>
    </w:p>
    <w:p w14:paraId="390C4CD4" w14:textId="77777777" w:rsidR="0073089F" w:rsidRPr="00894C6A" w:rsidRDefault="0073089F" w:rsidP="0073089F">
      <w:pPr>
        <w:pStyle w:val="Level1"/>
        <w:widowControl/>
        <w:numPr>
          <w:ilvl w:val="0"/>
          <w:numId w:val="0"/>
        </w:numPr>
        <w:tabs>
          <w:tab w:val="left" w:pos="-1440"/>
        </w:tabs>
        <w:ind w:firstLine="720"/>
        <w:rPr>
          <w:sz w:val="26"/>
          <w:szCs w:val="26"/>
        </w:rPr>
      </w:pPr>
    </w:p>
    <w:p w14:paraId="27EC44AC"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METHODS USED TO MINIMIZE BURDEN IN COLLECTION OF INFORMATION INVOLVING SMALL ENTITIES</w:t>
      </w:r>
    </w:p>
    <w:p w14:paraId="2E13444A" w14:textId="77777777" w:rsidR="0073089F" w:rsidRPr="00894C6A" w:rsidRDefault="0073089F" w:rsidP="0073089F">
      <w:pPr>
        <w:pStyle w:val="Level1"/>
        <w:widowControl/>
        <w:numPr>
          <w:ilvl w:val="0"/>
          <w:numId w:val="0"/>
        </w:numPr>
        <w:tabs>
          <w:tab w:val="left" w:pos="-1440"/>
        </w:tabs>
        <w:ind w:left="720" w:hanging="720"/>
        <w:rPr>
          <w:sz w:val="26"/>
          <w:szCs w:val="26"/>
        </w:rPr>
      </w:pPr>
    </w:p>
    <w:p w14:paraId="342FA180" w14:textId="77777777" w:rsidR="00737FAC" w:rsidRDefault="00F3248B" w:rsidP="007552F3">
      <w:pPr>
        <w:autoSpaceDE w:val="0"/>
        <w:autoSpaceDN w:val="0"/>
        <w:adjustRightInd w:val="0"/>
        <w:rPr>
          <w:szCs w:val="26"/>
        </w:rPr>
      </w:pPr>
      <w:r w:rsidRPr="00894C6A">
        <w:rPr>
          <w:szCs w:val="26"/>
        </w:rPr>
        <w:t xml:space="preserve">The </w:t>
      </w:r>
      <w:r w:rsidR="007552F3">
        <w:rPr>
          <w:szCs w:val="26"/>
        </w:rPr>
        <w:t>revised CIP</w:t>
      </w:r>
      <w:r w:rsidRPr="00894C6A">
        <w:rPr>
          <w:szCs w:val="26"/>
        </w:rPr>
        <w:t xml:space="preserve"> Reliability Standards generally do apply to small entities, depending first on their registered function(s) and then on the types of facilities they own.  Nearly all of the small entities, which are subject to the CIP version 5 standards, own </w:t>
      </w:r>
      <w:r w:rsidRPr="00894C6A">
        <w:rPr>
          <w:i/>
          <w:szCs w:val="26"/>
        </w:rPr>
        <w:t>only</w:t>
      </w:r>
      <w:r w:rsidRPr="00894C6A">
        <w:rPr>
          <w:szCs w:val="26"/>
        </w:rPr>
        <w:t xml:space="preserve"> facilities that should fall into the Low impact category for these standards.  This means the burden for these entities is relatively minor compared with the rest of the applicable entities.  The only requirement</w:t>
      </w:r>
      <w:r w:rsidR="007552F3">
        <w:rPr>
          <w:szCs w:val="26"/>
        </w:rPr>
        <w:t>s in the revised CIP</w:t>
      </w:r>
      <w:r w:rsidRPr="00894C6A">
        <w:rPr>
          <w:szCs w:val="26"/>
        </w:rPr>
        <w:t xml:space="preserve"> Reliability Standards</w:t>
      </w:r>
      <w:r w:rsidR="007552F3">
        <w:rPr>
          <w:szCs w:val="26"/>
        </w:rPr>
        <w:t xml:space="preserve"> that are applicable to most small entities are CIP-002-5</w:t>
      </w:r>
      <w:r w:rsidR="00C11094">
        <w:rPr>
          <w:szCs w:val="26"/>
        </w:rPr>
        <w:t>.1</w:t>
      </w:r>
      <w:r w:rsidR="007552F3">
        <w:rPr>
          <w:szCs w:val="26"/>
        </w:rPr>
        <w:t xml:space="preserve"> (BES Cyber System Categorization) and CIP-003-6 (</w:t>
      </w:r>
      <w:r w:rsidR="007552F3" w:rsidRPr="007552F3">
        <w:rPr>
          <w:szCs w:val="26"/>
        </w:rPr>
        <w:t>Security Management Controls, Low impact</w:t>
      </w:r>
      <w:r w:rsidR="007552F3">
        <w:rPr>
          <w:szCs w:val="26"/>
        </w:rPr>
        <w:t xml:space="preserve"> Policies and Low impact</w:t>
      </w:r>
      <w:r w:rsidR="007552F3" w:rsidRPr="007552F3">
        <w:rPr>
          <w:szCs w:val="26"/>
        </w:rPr>
        <w:t xml:space="preserve"> BES cyber system plans</w:t>
      </w:r>
      <w:r w:rsidR="007552F3">
        <w:rPr>
          <w:szCs w:val="26"/>
        </w:rPr>
        <w:t xml:space="preserve">).  </w:t>
      </w:r>
    </w:p>
    <w:p w14:paraId="22538471" w14:textId="77777777" w:rsidR="00737FAC" w:rsidRDefault="00737FAC" w:rsidP="007552F3">
      <w:pPr>
        <w:autoSpaceDE w:val="0"/>
        <w:autoSpaceDN w:val="0"/>
        <w:adjustRightInd w:val="0"/>
        <w:rPr>
          <w:szCs w:val="26"/>
        </w:rPr>
      </w:pPr>
    </w:p>
    <w:p w14:paraId="790CADD3" w14:textId="7A6F6603" w:rsidR="00F3248B" w:rsidRPr="00894C6A" w:rsidRDefault="007552F3" w:rsidP="007552F3">
      <w:pPr>
        <w:autoSpaceDE w:val="0"/>
        <w:autoSpaceDN w:val="0"/>
        <w:adjustRightInd w:val="0"/>
        <w:rPr>
          <w:szCs w:val="26"/>
        </w:rPr>
      </w:pPr>
      <w:r w:rsidRPr="007552F3">
        <w:rPr>
          <w:szCs w:val="26"/>
        </w:rPr>
        <w:t xml:space="preserve">Using the list of assets containing </w:t>
      </w:r>
      <w:r w:rsidR="00C11094">
        <w:rPr>
          <w:szCs w:val="26"/>
        </w:rPr>
        <w:t>L</w:t>
      </w:r>
      <w:r w:rsidRPr="007552F3">
        <w:rPr>
          <w:szCs w:val="26"/>
        </w:rPr>
        <w:t xml:space="preserve">ow </w:t>
      </w:r>
      <w:r w:rsidR="00C11094">
        <w:rPr>
          <w:szCs w:val="26"/>
        </w:rPr>
        <w:t>I</w:t>
      </w:r>
      <w:r w:rsidRPr="007552F3">
        <w:rPr>
          <w:szCs w:val="26"/>
        </w:rPr>
        <w:t xml:space="preserve">mpact BES Cyber Systems </w:t>
      </w:r>
      <w:r>
        <w:rPr>
          <w:szCs w:val="26"/>
        </w:rPr>
        <w:t xml:space="preserve">from CIP-002, the intent of CIP-003-6 Requirement R2 </w:t>
      </w:r>
      <w:r w:rsidRPr="007552F3">
        <w:rPr>
          <w:szCs w:val="26"/>
        </w:rPr>
        <w:t>is for each Responsible Entity to create, document, and implement one or more</w:t>
      </w:r>
      <w:r>
        <w:rPr>
          <w:szCs w:val="26"/>
        </w:rPr>
        <w:t xml:space="preserve"> </w:t>
      </w:r>
      <w:r w:rsidRPr="007552F3">
        <w:rPr>
          <w:szCs w:val="26"/>
        </w:rPr>
        <w:t xml:space="preserve">cyber security plan(s) that addresses objective criteria for the protection of </w:t>
      </w:r>
      <w:r w:rsidR="00C11094">
        <w:rPr>
          <w:szCs w:val="26"/>
        </w:rPr>
        <w:t>L</w:t>
      </w:r>
      <w:r w:rsidRPr="007552F3">
        <w:rPr>
          <w:szCs w:val="26"/>
        </w:rPr>
        <w:t xml:space="preserve">ow </w:t>
      </w:r>
      <w:r w:rsidR="00C11094">
        <w:rPr>
          <w:szCs w:val="26"/>
        </w:rPr>
        <w:t>I</w:t>
      </w:r>
      <w:r w:rsidRPr="007552F3">
        <w:rPr>
          <w:szCs w:val="26"/>
        </w:rPr>
        <w:t>mpact BES</w:t>
      </w:r>
      <w:r>
        <w:rPr>
          <w:szCs w:val="26"/>
        </w:rPr>
        <w:t xml:space="preserve"> </w:t>
      </w:r>
      <w:r w:rsidRPr="007552F3">
        <w:rPr>
          <w:szCs w:val="26"/>
        </w:rPr>
        <w:t xml:space="preserve">Cyber Systems. The protections required by Requirement R2 reflect the level of risk that </w:t>
      </w:r>
      <w:r w:rsidR="00BF0122">
        <w:rPr>
          <w:szCs w:val="26"/>
        </w:rPr>
        <w:t xml:space="preserve">must </w:t>
      </w:r>
      <w:r w:rsidR="00BF0122" w:rsidRPr="00737FAC">
        <w:rPr>
          <w:szCs w:val="26"/>
        </w:rPr>
        <w:t>use</w:t>
      </w:r>
      <w:r w:rsidR="00BF0122" w:rsidRPr="00BF0122">
        <w:rPr>
          <w:szCs w:val="26"/>
        </w:rPr>
        <w:t xml:space="preserve"> </w:t>
      </w:r>
      <w:r w:rsidRPr="007552F3">
        <w:rPr>
          <w:szCs w:val="26"/>
        </w:rPr>
        <w:t>Guidelines and Technical Basis</w:t>
      </w:r>
      <w:r>
        <w:rPr>
          <w:szCs w:val="26"/>
        </w:rPr>
        <w:t xml:space="preserve"> </w:t>
      </w:r>
      <w:r w:rsidRPr="007552F3">
        <w:rPr>
          <w:szCs w:val="26"/>
        </w:rPr>
        <w:t xml:space="preserve">or the unavailability of </w:t>
      </w:r>
      <w:r w:rsidR="00C11094">
        <w:rPr>
          <w:szCs w:val="26"/>
        </w:rPr>
        <w:t>L</w:t>
      </w:r>
      <w:r w:rsidRPr="007552F3">
        <w:rPr>
          <w:szCs w:val="26"/>
        </w:rPr>
        <w:t xml:space="preserve">ow </w:t>
      </w:r>
      <w:r w:rsidR="00C11094">
        <w:rPr>
          <w:szCs w:val="26"/>
        </w:rPr>
        <w:t>I</w:t>
      </w:r>
      <w:r w:rsidRPr="007552F3">
        <w:rPr>
          <w:szCs w:val="26"/>
        </w:rPr>
        <w:t>mpact BES Cyber Systems poses to the BES. The intent is that the</w:t>
      </w:r>
      <w:r>
        <w:rPr>
          <w:szCs w:val="26"/>
        </w:rPr>
        <w:t xml:space="preserve"> </w:t>
      </w:r>
      <w:r w:rsidRPr="007552F3">
        <w:rPr>
          <w:szCs w:val="26"/>
        </w:rPr>
        <w:t xml:space="preserve">required protections are part of a program that covers the </w:t>
      </w:r>
      <w:r w:rsidR="00C11094">
        <w:rPr>
          <w:szCs w:val="26"/>
        </w:rPr>
        <w:t>L</w:t>
      </w:r>
      <w:r w:rsidRPr="007552F3">
        <w:rPr>
          <w:szCs w:val="26"/>
        </w:rPr>
        <w:t xml:space="preserve">ow </w:t>
      </w:r>
      <w:r w:rsidR="00C11094">
        <w:rPr>
          <w:szCs w:val="26"/>
        </w:rPr>
        <w:t>I</w:t>
      </w:r>
      <w:r w:rsidRPr="007552F3">
        <w:rPr>
          <w:szCs w:val="26"/>
        </w:rPr>
        <w:t>mpact BES Cyber Systems</w:t>
      </w:r>
      <w:r>
        <w:rPr>
          <w:szCs w:val="26"/>
        </w:rPr>
        <w:t xml:space="preserve"> </w:t>
      </w:r>
      <w:r w:rsidRPr="007552F3">
        <w:rPr>
          <w:szCs w:val="26"/>
        </w:rPr>
        <w:t>collectively either at an asset or site level (assets containing low impact BES Cyber Systems), but</w:t>
      </w:r>
      <w:r>
        <w:rPr>
          <w:szCs w:val="26"/>
        </w:rPr>
        <w:t xml:space="preserve"> </w:t>
      </w:r>
      <w:r w:rsidRPr="007552F3">
        <w:rPr>
          <w:szCs w:val="26"/>
        </w:rPr>
        <w:t>not at an individual device or system level.</w:t>
      </w:r>
      <w:r>
        <w:rPr>
          <w:szCs w:val="26"/>
        </w:rPr>
        <w:t xml:space="preserve">  </w:t>
      </w:r>
      <w:r w:rsidRPr="007552F3">
        <w:rPr>
          <w:szCs w:val="26"/>
        </w:rPr>
        <w:t xml:space="preserve">There are four subject </w:t>
      </w:r>
      <w:r w:rsidRPr="007552F3">
        <w:rPr>
          <w:szCs w:val="26"/>
        </w:rPr>
        <w:lastRenderedPageBreak/>
        <w:t>matter areas, as identified in Att</w:t>
      </w:r>
      <w:r>
        <w:rPr>
          <w:szCs w:val="26"/>
        </w:rPr>
        <w:t xml:space="preserve">achment 1, that must be covered </w:t>
      </w:r>
      <w:r w:rsidRPr="007552F3">
        <w:rPr>
          <w:szCs w:val="26"/>
        </w:rPr>
        <w:t>by the</w:t>
      </w:r>
      <w:r>
        <w:rPr>
          <w:szCs w:val="26"/>
        </w:rPr>
        <w:t xml:space="preserve"> </w:t>
      </w:r>
      <w:r w:rsidRPr="007552F3">
        <w:rPr>
          <w:szCs w:val="26"/>
        </w:rPr>
        <w:t>cyber security plan: (1) cyber security awareness, (2) physical security controls, (3) electronic</w:t>
      </w:r>
      <w:r>
        <w:rPr>
          <w:szCs w:val="26"/>
        </w:rPr>
        <w:t xml:space="preserve"> </w:t>
      </w:r>
      <w:r w:rsidRPr="007552F3">
        <w:rPr>
          <w:szCs w:val="26"/>
        </w:rPr>
        <w:t>access controls for LERC and Dial-up Connectivity, and (4) Cyber Security Incident response.</w:t>
      </w:r>
      <w:r>
        <w:rPr>
          <w:szCs w:val="26"/>
        </w:rPr>
        <w:t xml:space="preserve"> </w:t>
      </w:r>
      <w:r w:rsidR="00F3248B" w:rsidRPr="00894C6A">
        <w:rPr>
          <w:szCs w:val="26"/>
        </w:rPr>
        <w:t>.</w:t>
      </w:r>
    </w:p>
    <w:p w14:paraId="7675827E" w14:textId="77777777" w:rsidR="00F3248B" w:rsidRPr="00894C6A" w:rsidRDefault="00F3248B" w:rsidP="00F3248B">
      <w:pPr>
        <w:rPr>
          <w:szCs w:val="26"/>
        </w:rPr>
      </w:pPr>
    </w:p>
    <w:p w14:paraId="151C0BF2" w14:textId="77777777" w:rsidR="00F3248B" w:rsidRPr="00894C6A" w:rsidRDefault="00F3248B" w:rsidP="00790AF3">
      <w:pPr>
        <w:autoSpaceDE w:val="0"/>
        <w:autoSpaceDN w:val="0"/>
        <w:adjustRightInd w:val="0"/>
        <w:rPr>
          <w:szCs w:val="26"/>
        </w:rPr>
      </w:pPr>
      <w:r w:rsidRPr="00894C6A">
        <w:rPr>
          <w:szCs w:val="26"/>
        </w:rPr>
        <w:t xml:space="preserve">NERC’s Standard Drafting Team of technical experts considered the impact on small entities when setting the cyber asset impact classification levels and intended that the Low </w:t>
      </w:r>
      <w:r w:rsidR="00C11094">
        <w:rPr>
          <w:szCs w:val="26"/>
        </w:rPr>
        <w:t>Impact BES C</w:t>
      </w:r>
      <w:r w:rsidR="00C11094" w:rsidRPr="00894C6A">
        <w:rPr>
          <w:szCs w:val="26"/>
        </w:rPr>
        <w:t xml:space="preserve">yber </w:t>
      </w:r>
      <w:r w:rsidR="00C11094">
        <w:rPr>
          <w:szCs w:val="26"/>
        </w:rPr>
        <w:t>A</w:t>
      </w:r>
      <w:r w:rsidR="00C11094" w:rsidRPr="00894C6A">
        <w:rPr>
          <w:szCs w:val="26"/>
        </w:rPr>
        <w:t xml:space="preserve">ssets </w:t>
      </w:r>
      <w:r w:rsidRPr="00894C6A">
        <w:rPr>
          <w:szCs w:val="26"/>
        </w:rPr>
        <w:t>would be provided with the least effort and cost, compared to other impact levels</w:t>
      </w:r>
      <w:r w:rsidR="007552F3" w:rsidRPr="00894C6A">
        <w:rPr>
          <w:szCs w:val="26"/>
        </w:rPr>
        <w:t>.</w:t>
      </w:r>
      <w:r w:rsidR="007552F3">
        <w:rPr>
          <w:szCs w:val="26"/>
        </w:rPr>
        <w:t xml:space="preserve"> </w:t>
      </w:r>
      <w:r w:rsidR="00F37180">
        <w:rPr>
          <w:szCs w:val="26"/>
        </w:rPr>
        <w:t>For example</w:t>
      </w:r>
      <w:r w:rsidR="007552F3">
        <w:rPr>
          <w:szCs w:val="26"/>
        </w:rPr>
        <w:t xml:space="preserve">, the </w:t>
      </w:r>
      <w:r w:rsidR="00F37180">
        <w:rPr>
          <w:szCs w:val="26"/>
        </w:rPr>
        <w:t>revised</w:t>
      </w:r>
      <w:r w:rsidR="009D655A">
        <w:rPr>
          <w:szCs w:val="26"/>
        </w:rPr>
        <w:t xml:space="preserve"> CIP Reliability</w:t>
      </w:r>
      <w:r w:rsidR="00F37180">
        <w:rPr>
          <w:szCs w:val="26"/>
        </w:rPr>
        <w:t xml:space="preserve"> </w:t>
      </w:r>
      <w:r w:rsidR="009D655A">
        <w:rPr>
          <w:szCs w:val="26"/>
        </w:rPr>
        <w:t>S</w:t>
      </w:r>
      <w:r w:rsidR="007552F3">
        <w:rPr>
          <w:szCs w:val="26"/>
        </w:rPr>
        <w:t>tandards do not require responsible entities to: (1)</w:t>
      </w:r>
      <w:r w:rsidR="009D655A">
        <w:rPr>
          <w:szCs w:val="26"/>
        </w:rPr>
        <w:t xml:space="preserve"> maintain </w:t>
      </w:r>
      <w:r w:rsidR="00F37180">
        <w:rPr>
          <w:szCs w:val="26"/>
        </w:rPr>
        <w:t>comprehensive</w:t>
      </w:r>
      <w:r w:rsidR="009D655A">
        <w:rPr>
          <w:szCs w:val="26"/>
        </w:rPr>
        <w:t xml:space="preserve"> inventories</w:t>
      </w:r>
      <w:r w:rsidR="007552F3">
        <w:rPr>
          <w:szCs w:val="26"/>
        </w:rPr>
        <w:t xml:space="preserve"> of all </w:t>
      </w:r>
      <w:r w:rsidR="00C11094">
        <w:rPr>
          <w:szCs w:val="26"/>
        </w:rPr>
        <w:t>L</w:t>
      </w:r>
      <w:r w:rsidR="007552F3">
        <w:rPr>
          <w:szCs w:val="26"/>
        </w:rPr>
        <w:t xml:space="preserve">ow </w:t>
      </w:r>
      <w:r w:rsidR="00C11094">
        <w:rPr>
          <w:szCs w:val="26"/>
        </w:rPr>
        <w:t>I</w:t>
      </w:r>
      <w:r w:rsidR="007552F3">
        <w:rPr>
          <w:szCs w:val="26"/>
        </w:rPr>
        <w:t xml:space="preserve">mpact BES </w:t>
      </w:r>
      <w:r w:rsidR="00C11094">
        <w:rPr>
          <w:szCs w:val="26"/>
        </w:rPr>
        <w:t>C</w:t>
      </w:r>
      <w:r w:rsidR="007552F3">
        <w:rPr>
          <w:szCs w:val="26"/>
        </w:rPr>
        <w:t xml:space="preserve">yber </w:t>
      </w:r>
      <w:r w:rsidR="00C11094">
        <w:rPr>
          <w:szCs w:val="26"/>
        </w:rPr>
        <w:t>S</w:t>
      </w:r>
      <w:r w:rsidR="007552F3">
        <w:rPr>
          <w:szCs w:val="26"/>
        </w:rPr>
        <w:t xml:space="preserve">ystems, (2) </w:t>
      </w:r>
      <w:r w:rsidR="00F37180">
        <w:rPr>
          <w:szCs w:val="26"/>
        </w:rPr>
        <w:t xml:space="preserve">implement specific technical controls for each low impact </w:t>
      </w:r>
      <w:r w:rsidR="009D655A">
        <w:rPr>
          <w:szCs w:val="26"/>
        </w:rPr>
        <w:t>BES cyber system</w:t>
      </w:r>
      <w:r w:rsidR="00F37180">
        <w:rPr>
          <w:szCs w:val="26"/>
        </w:rPr>
        <w:t xml:space="preserve">, (3) </w:t>
      </w:r>
      <w:r w:rsidR="00F37180" w:rsidRPr="00F37180">
        <w:rPr>
          <w:szCs w:val="26"/>
        </w:rPr>
        <w:t>maintain lists of recipients and track the reception of the awareness material by personnel</w:t>
      </w:r>
      <w:r w:rsidR="00F37180">
        <w:rPr>
          <w:szCs w:val="26"/>
        </w:rPr>
        <w:t xml:space="preserve">, (4) specify a need for each access or authorization of a user to access </w:t>
      </w:r>
      <w:r w:rsidR="00C11094">
        <w:rPr>
          <w:szCs w:val="26"/>
        </w:rPr>
        <w:t>L</w:t>
      </w:r>
      <w:r w:rsidR="00F37180">
        <w:rPr>
          <w:szCs w:val="26"/>
        </w:rPr>
        <w:t xml:space="preserve">ow </w:t>
      </w:r>
      <w:r w:rsidR="00C11094">
        <w:rPr>
          <w:szCs w:val="26"/>
        </w:rPr>
        <w:t>I</w:t>
      </w:r>
      <w:r w:rsidR="00F37180">
        <w:rPr>
          <w:szCs w:val="26"/>
        </w:rPr>
        <w:t xml:space="preserve">mpact BES </w:t>
      </w:r>
      <w:r w:rsidR="00C11094">
        <w:rPr>
          <w:szCs w:val="26"/>
        </w:rPr>
        <w:t>C</w:t>
      </w:r>
      <w:r w:rsidR="00F37180">
        <w:rPr>
          <w:szCs w:val="26"/>
        </w:rPr>
        <w:t xml:space="preserve">yber </w:t>
      </w:r>
      <w:r w:rsidR="00C11094">
        <w:rPr>
          <w:szCs w:val="26"/>
        </w:rPr>
        <w:t>S</w:t>
      </w:r>
      <w:r w:rsidR="00F37180">
        <w:rPr>
          <w:szCs w:val="26"/>
        </w:rPr>
        <w:t xml:space="preserve">ystems, (5) implement monitoring for each </w:t>
      </w:r>
      <w:r w:rsidR="00C11094">
        <w:rPr>
          <w:szCs w:val="26"/>
        </w:rPr>
        <w:t>L</w:t>
      </w:r>
      <w:r w:rsidR="00F37180">
        <w:rPr>
          <w:szCs w:val="26"/>
        </w:rPr>
        <w:t xml:space="preserve">ow </w:t>
      </w:r>
      <w:r w:rsidR="00C11094">
        <w:rPr>
          <w:szCs w:val="26"/>
        </w:rPr>
        <w:t>I</w:t>
      </w:r>
      <w:r w:rsidR="00F37180">
        <w:rPr>
          <w:szCs w:val="26"/>
        </w:rPr>
        <w:t xml:space="preserve">mpact BES </w:t>
      </w:r>
      <w:r w:rsidR="00C11094">
        <w:rPr>
          <w:szCs w:val="26"/>
        </w:rPr>
        <w:t>C</w:t>
      </w:r>
      <w:r w:rsidR="00F37180">
        <w:rPr>
          <w:szCs w:val="26"/>
        </w:rPr>
        <w:t xml:space="preserve">yber </w:t>
      </w:r>
      <w:r w:rsidR="00C11094">
        <w:rPr>
          <w:szCs w:val="26"/>
        </w:rPr>
        <w:t>S</w:t>
      </w:r>
      <w:r w:rsidR="00F37180">
        <w:rPr>
          <w:szCs w:val="26"/>
        </w:rPr>
        <w:t xml:space="preserve">ystem or site, (5) establish a Low Impact Electronic Access Point for each </w:t>
      </w:r>
      <w:r w:rsidR="00C11094">
        <w:rPr>
          <w:szCs w:val="26"/>
        </w:rPr>
        <w:t>L</w:t>
      </w:r>
      <w:r w:rsidR="00F37180">
        <w:rPr>
          <w:szCs w:val="26"/>
        </w:rPr>
        <w:t xml:space="preserve">ow </w:t>
      </w:r>
      <w:r w:rsidR="00C11094">
        <w:rPr>
          <w:szCs w:val="26"/>
        </w:rPr>
        <w:t>I</w:t>
      </w:r>
      <w:r w:rsidR="00F37180">
        <w:rPr>
          <w:szCs w:val="26"/>
        </w:rPr>
        <w:t>mpact BES cyber system. The low impact controls in CIP-003-6 Requirement R2 Attachment 1 also contain an exclusion for</w:t>
      </w:r>
      <w:r w:rsidR="00F37180" w:rsidRPr="00F37180">
        <w:rPr>
          <w:szCs w:val="26"/>
        </w:rPr>
        <w:t xml:space="preserve"> “point-</w:t>
      </w:r>
      <w:r w:rsidR="00F37180">
        <w:rPr>
          <w:szCs w:val="26"/>
        </w:rPr>
        <w:t xml:space="preserve">to-point communications between </w:t>
      </w:r>
      <w:r w:rsidR="00F37180" w:rsidRPr="00F37180">
        <w:rPr>
          <w:szCs w:val="26"/>
        </w:rPr>
        <w:t>intelligent electronic devices that use routable communication protocols for time-sensitive</w:t>
      </w:r>
      <w:r w:rsidR="00F37180">
        <w:rPr>
          <w:szCs w:val="26"/>
        </w:rPr>
        <w:t xml:space="preserve"> </w:t>
      </w:r>
      <w:r w:rsidR="00F37180" w:rsidRPr="00F37180">
        <w:rPr>
          <w:szCs w:val="26"/>
        </w:rPr>
        <w:t>protection or control functions between Transmission station or substation assets containing</w:t>
      </w:r>
      <w:r w:rsidR="00F37180">
        <w:rPr>
          <w:szCs w:val="26"/>
        </w:rPr>
        <w:t xml:space="preserve"> </w:t>
      </w:r>
      <w:r w:rsidR="00F37180" w:rsidRPr="00F37180">
        <w:rPr>
          <w:szCs w:val="26"/>
        </w:rPr>
        <w:t>low impact BES Cyber Systems,”</w:t>
      </w:r>
      <w:r w:rsidR="009D655A">
        <w:rPr>
          <w:szCs w:val="26"/>
        </w:rPr>
        <w:t xml:space="preserve"> to ameliorate reporting responsibilities for this type of connectivity.</w:t>
      </w:r>
      <w:r w:rsidR="00F37180" w:rsidRPr="00F37180">
        <w:rPr>
          <w:szCs w:val="26"/>
        </w:rPr>
        <w:t xml:space="preserve"> </w:t>
      </w:r>
    </w:p>
    <w:p w14:paraId="7002F33D" w14:textId="77777777" w:rsidR="0073089F" w:rsidRPr="00894C6A" w:rsidRDefault="0073089F" w:rsidP="005B6EA4">
      <w:pPr>
        <w:pStyle w:val="FERCparanumber"/>
        <w:numPr>
          <w:ilvl w:val="0"/>
          <w:numId w:val="0"/>
        </w:numPr>
        <w:autoSpaceDE w:val="0"/>
        <w:autoSpaceDN w:val="0"/>
        <w:adjustRightInd w:val="0"/>
        <w:rPr>
          <w:szCs w:val="26"/>
        </w:rPr>
      </w:pPr>
    </w:p>
    <w:p w14:paraId="3C3A716F"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CONSEQUENCE TO FEDERAL PROGRAM IF COLLECTION WERE CONDUCTED LESS FREQUENTLY</w:t>
      </w:r>
    </w:p>
    <w:p w14:paraId="291E75FC" w14:textId="77777777" w:rsidR="0073089F" w:rsidRPr="00894C6A" w:rsidRDefault="0073089F" w:rsidP="0073089F">
      <w:pPr>
        <w:pStyle w:val="Level1"/>
        <w:widowControl/>
        <w:numPr>
          <w:ilvl w:val="0"/>
          <w:numId w:val="0"/>
        </w:numPr>
        <w:tabs>
          <w:tab w:val="left" w:pos="-1440"/>
          <w:tab w:val="num" w:pos="0"/>
        </w:tabs>
        <w:ind w:firstLine="720"/>
        <w:rPr>
          <w:b/>
          <w:sz w:val="26"/>
          <w:szCs w:val="26"/>
        </w:rPr>
      </w:pPr>
    </w:p>
    <w:p w14:paraId="10A1030A" w14:textId="77777777" w:rsidR="00F3248B" w:rsidRPr="00894C6A" w:rsidRDefault="00F3248B" w:rsidP="00F3248B">
      <w:pPr>
        <w:rPr>
          <w:szCs w:val="26"/>
        </w:rPr>
      </w:pPr>
      <w:r w:rsidRPr="00894C6A">
        <w:rPr>
          <w:szCs w:val="26"/>
        </w:rPr>
        <w:t xml:space="preserve">The documentation related to the CIP </w:t>
      </w:r>
      <w:r w:rsidR="00A36EA3">
        <w:rPr>
          <w:szCs w:val="26"/>
        </w:rPr>
        <w:t>R</w:t>
      </w:r>
      <w:r w:rsidR="00A36EA3" w:rsidRPr="00894C6A">
        <w:rPr>
          <w:szCs w:val="26"/>
        </w:rPr>
        <w:t xml:space="preserve">eliability </w:t>
      </w:r>
      <w:r w:rsidR="00A36EA3">
        <w:rPr>
          <w:szCs w:val="26"/>
        </w:rPr>
        <w:t>S</w:t>
      </w:r>
      <w:r w:rsidR="00180EA2">
        <w:rPr>
          <w:szCs w:val="26"/>
        </w:rPr>
        <w:t>t</w:t>
      </w:r>
      <w:r w:rsidR="00A36EA3" w:rsidRPr="00894C6A">
        <w:rPr>
          <w:szCs w:val="26"/>
        </w:rPr>
        <w:t xml:space="preserve">andards </w:t>
      </w:r>
      <w:r w:rsidRPr="00894C6A">
        <w:rPr>
          <w:szCs w:val="26"/>
        </w:rPr>
        <w:t>is an integral part of establishing and maintaining cyber security.  The power grid would be at greater risk to cyber threats if the collection was conducted less frequently.</w:t>
      </w:r>
    </w:p>
    <w:p w14:paraId="0BFE5CD8" w14:textId="77777777" w:rsidR="0073089F" w:rsidRPr="00894C6A" w:rsidRDefault="0073089F" w:rsidP="0073089F">
      <w:pPr>
        <w:pStyle w:val="Level1"/>
        <w:widowControl/>
        <w:numPr>
          <w:ilvl w:val="0"/>
          <w:numId w:val="0"/>
        </w:numPr>
        <w:tabs>
          <w:tab w:val="left" w:pos="-1440"/>
        </w:tabs>
        <w:rPr>
          <w:sz w:val="26"/>
          <w:szCs w:val="26"/>
        </w:rPr>
      </w:pPr>
    </w:p>
    <w:p w14:paraId="383C8583"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EXPLAIN ANY SPECIAL CIRCUMSTANCES RELATING TO THE INFORMATION COLLECTION</w:t>
      </w:r>
    </w:p>
    <w:p w14:paraId="04DAD187" w14:textId="77777777" w:rsidR="0073089F" w:rsidRPr="00894C6A" w:rsidRDefault="0073089F" w:rsidP="0073089F">
      <w:pPr>
        <w:pStyle w:val="Level1"/>
        <w:numPr>
          <w:ilvl w:val="0"/>
          <w:numId w:val="0"/>
        </w:numPr>
        <w:rPr>
          <w:sz w:val="26"/>
          <w:szCs w:val="26"/>
        </w:rPr>
      </w:pPr>
    </w:p>
    <w:p w14:paraId="59A4E0D6" w14:textId="77777777" w:rsidR="00F3248B" w:rsidRPr="00894C6A" w:rsidRDefault="00F3248B" w:rsidP="00F3248B">
      <w:pPr>
        <w:rPr>
          <w:szCs w:val="26"/>
        </w:rPr>
      </w:pPr>
      <w:r w:rsidRPr="00894C6A">
        <w:rPr>
          <w:szCs w:val="26"/>
        </w:rPr>
        <w:t>There is one special circumstances as described in 5 CFR 1320.5(d</w:t>
      </w:r>
      <w:proofErr w:type="gramStart"/>
      <w:r w:rsidRPr="00894C6A">
        <w:rPr>
          <w:szCs w:val="26"/>
        </w:rPr>
        <w:t>)(</w:t>
      </w:r>
      <w:proofErr w:type="gramEnd"/>
      <w:r w:rsidRPr="00894C6A">
        <w:rPr>
          <w:szCs w:val="26"/>
        </w:rPr>
        <w:t>2) related to this information collection.</w:t>
      </w:r>
    </w:p>
    <w:p w14:paraId="255265CF" w14:textId="77777777" w:rsidR="00F3248B" w:rsidRPr="00894C6A" w:rsidRDefault="00F3248B" w:rsidP="00F3248B">
      <w:pPr>
        <w:rPr>
          <w:szCs w:val="26"/>
        </w:rPr>
      </w:pPr>
    </w:p>
    <w:p w14:paraId="65187789" w14:textId="77777777" w:rsidR="00F3248B" w:rsidRPr="00894C6A" w:rsidRDefault="00F3248B" w:rsidP="00F3248B">
      <w:pPr>
        <w:rPr>
          <w:szCs w:val="26"/>
        </w:rPr>
      </w:pPr>
      <w:r w:rsidRPr="00894C6A">
        <w:rPr>
          <w:szCs w:val="26"/>
        </w:rPr>
        <w:t>Entities may have to submit to or show the auditors security or confidential information that is related to the CIP standards.  The general practice is that the auditor often does not remove the information from the site of the entity and, in any case, returns the confidential information to the entity following the audit.</w:t>
      </w:r>
      <w:r w:rsidRPr="00894C6A">
        <w:rPr>
          <w:rStyle w:val="FootnoteReference"/>
        </w:rPr>
        <w:footnoteReference w:id="2"/>
      </w:r>
      <w:r w:rsidRPr="00894C6A">
        <w:rPr>
          <w:szCs w:val="26"/>
        </w:rPr>
        <w:t xml:space="preserve">  </w:t>
      </w:r>
    </w:p>
    <w:p w14:paraId="76AEAB97" w14:textId="77777777" w:rsidR="00F3248B" w:rsidRPr="00894C6A" w:rsidRDefault="00F3248B" w:rsidP="00F3248B">
      <w:pPr>
        <w:rPr>
          <w:szCs w:val="26"/>
        </w:rPr>
      </w:pPr>
    </w:p>
    <w:p w14:paraId="25F9C47B" w14:textId="77777777" w:rsidR="00F3248B" w:rsidRPr="00894C6A" w:rsidRDefault="00F3248B" w:rsidP="00F3248B">
      <w:pPr>
        <w:rPr>
          <w:szCs w:val="26"/>
        </w:rPr>
      </w:pPr>
      <w:r w:rsidRPr="00894C6A">
        <w:rPr>
          <w:szCs w:val="26"/>
        </w:rPr>
        <w:t xml:space="preserve">This special circumstance is necessary to maintain an effective cyber-security program.  </w:t>
      </w:r>
    </w:p>
    <w:p w14:paraId="79F3697D" w14:textId="77777777" w:rsidR="0073089F" w:rsidRPr="00894C6A" w:rsidRDefault="0073089F" w:rsidP="0073089F">
      <w:pPr>
        <w:pStyle w:val="Level1"/>
        <w:widowControl/>
        <w:numPr>
          <w:ilvl w:val="0"/>
          <w:numId w:val="0"/>
        </w:numPr>
        <w:tabs>
          <w:tab w:val="left" w:pos="-1440"/>
        </w:tabs>
        <w:rPr>
          <w:sz w:val="26"/>
          <w:szCs w:val="26"/>
        </w:rPr>
      </w:pPr>
    </w:p>
    <w:p w14:paraId="0A22D334" w14:textId="77777777" w:rsidR="0073089F" w:rsidRPr="00894C6A" w:rsidRDefault="0073089F" w:rsidP="0073089F">
      <w:pPr>
        <w:pStyle w:val="Level1"/>
        <w:widowControl/>
        <w:tabs>
          <w:tab w:val="left" w:pos="-1440"/>
          <w:tab w:val="num" w:pos="720"/>
        </w:tabs>
        <w:rPr>
          <w:b/>
          <w:sz w:val="26"/>
          <w:szCs w:val="26"/>
        </w:rPr>
      </w:pPr>
      <w:r w:rsidRPr="00894C6A">
        <w:rPr>
          <w:b/>
          <w:sz w:val="26"/>
          <w:szCs w:val="26"/>
        </w:rPr>
        <w:t>DESCRIBE EFFORTS TO CONSULT OUTSIDE THE AGENCY: SUMMARIZE PUBLIC COMMENTS AND AGENCY'S RESPONSE TO THESE COMMENTS</w:t>
      </w:r>
    </w:p>
    <w:p w14:paraId="750D2FDA" w14:textId="77777777" w:rsidR="0073089F" w:rsidRPr="00894C6A" w:rsidRDefault="0073089F" w:rsidP="0073089F">
      <w:pPr>
        <w:tabs>
          <w:tab w:val="left" w:pos="-1440"/>
        </w:tabs>
        <w:rPr>
          <w:b/>
          <w:szCs w:val="26"/>
        </w:rPr>
      </w:pPr>
    </w:p>
    <w:p w14:paraId="15F1C6B8" w14:textId="77777777" w:rsidR="0073089F" w:rsidRPr="00894C6A" w:rsidRDefault="0073089F" w:rsidP="0073089F">
      <w:pPr>
        <w:rPr>
          <w:szCs w:val="26"/>
        </w:rPr>
      </w:pPr>
      <w:r w:rsidRPr="00894C6A">
        <w:rPr>
          <w:szCs w:val="26"/>
        </w:rPr>
        <w:t xml:space="preserve">The ERO process to establish Reliability Standards is a collaborative process with the ERO, Regional Entities, and other stakeholders developing and reviewing drafts and providing comments.  The reliability standard was submitted to the FERC for review and approval.   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approved collection of data.  The NOPR was published in the Federal Register on </w:t>
      </w:r>
      <w:r w:rsidR="00F3248B" w:rsidRPr="00894C6A">
        <w:rPr>
          <w:szCs w:val="26"/>
        </w:rPr>
        <w:t>7</w:t>
      </w:r>
      <w:r w:rsidRPr="00894C6A">
        <w:rPr>
          <w:szCs w:val="26"/>
        </w:rPr>
        <w:t xml:space="preserve">/22/2015 (80 FR </w:t>
      </w:r>
      <w:r w:rsidR="00F3248B" w:rsidRPr="00894C6A">
        <w:rPr>
          <w:szCs w:val="26"/>
        </w:rPr>
        <w:t>43354</w:t>
      </w:r>
      <w:r w:rsidRPr="00894C6A">
        <w:rPr>
          <w:szCs w:val="26"/>
        </w:rPr>
        <w:t>).</w:t>
      </w:r>
    </w:p>
    <w:p w14:paraId="7761325E" w14:textId="77777777" w:rsidR="0073089F" w:rsidRPr="00894C6A" w:rsidRDefault="0073089F" w:rsidP="0073089F">
      <w:pPr>
        <w:pStyle w:val="FERCparanumber"/>
        <w:numPr>
          <w:ilvl w:val="0"/>
          <w:numId w:val="0"/>
        </w:numPr>
        <w:autoSpaceDE w:val="0"/>
        <w:autoSpaceDN w:val="0"/>
        <w:adjustRightInd w:val="0"/>
        <w:ind w:firstLine="720"/>
        <w:rPr>
          <w:szCs w:val="26"/>
        </w:rPr>
      </w:pPr>
    </w:p>
    <w:p w14:paraId="66D642D2" w14:textId="77777777" w:rsidR="0073089F" w:rsidRPr="00894C6A" w:rsidRDefault="0073089F" w:rsidP="0073089F">
      <w:pPr>
        <w:rPr>
          <w:b/>
          <w:szCs w:val="26"/>
        </w:rPr>
      </w:pPr>
      <w:r w:rsidRPr="00894C6A">
        <w:rPr>
          <w:bCs/>
          <w:szCs w:val="26"/>
        </w:rPr>
        <w:t>9.</w:t>
      </w:r>
      <w:r w:rsidRPr="00894C6A">
        <w:rPr>
          <w:bCs/>
          <w:szCs w:val="26"/>
        </w:rPr>
        <w:tab/>
      </w:r>
      <w:r w:rsidRPr="00894C6A">
        <w:rPr>
          <w:b/>
          <w:szCs w:val="26"/>
        </w:rPr>
        <w:t>EXPLAIN ANY PAYMENT OR GIFTS TO RESPONDENTS</w:t>
      </w:r>
    </w:p>
    <w:p w14:paraId="44CE6A19" w14:textId="77777777" w:rsidR="0073089F" w:rsidRPr="00894C6A" w:rsidRDefault="0073089F" w:rsidP="0073089F">
      <w:pPr>
        <w:rPr>
          <w:b/>
          <w:szCs w:val="26"/>
        </w:rPr>
      </w:pPr>
    </w:p>
    <w:p w14:paraId="3DC92BEE" w14:textId="77777777" w:rsidR="0073089F" w:rsidRPr="00894C6A" w:rsidRDefault="0073089F" w:rsidP="0073089F">
      <w:pPr>
        <w:rPr>
          <w:szCs w:val="26"/>
        </w:rPr>
      </w:pPr>
      <w:r w:rsidRPr="00894C6A">
        <w:rPr>
          <w:szCs w:val="26"/>
        </w:rPr>
        <w:t>There are no payments or gifts to respondents associated with this collection.</w:t>
      </w:r>
    </w:p>
    <w:p w14:paraId="69A7240C" w14:textId="77777777" w:rsidR="0073089F" w:rsidRPr="00894C6A" w:rsidRDefault="0073089F" w:rsidP="0073089F">
      <w:pPr>
        <w:ind w:left="720" w:hanging="720"/>
        <w:rPr>
          <w:b/>
          <w:bCs/>
          <w:szCs w:val="26"/>
        </w:rPr>
      </w:pPr>
    </w:p>
    <w:p w14:paraId="4C1ED15A" w14:textId="77777777" w:rsidR="0073089F" w:rsidRPr="00894C6A" w:rsidRDefault="0073089F" w:rsidP="0073089F">
      <w:pPr>
        <w:ind w:left="720" w:hanging="720"/>
        <w:rPr>
          <w:b/>
          <w:szCs w:val="26"/>
        </w:rPr>
      </w:pPr>
      <w:r w:rsidRPr="00894C6A">
        <w:rPr>
          <w:bCs/>
          <w:szCs w:val="26"/>
        </w:rPr>
        <w:t>1</w:t>
      </w:r>
      <w:r w:rsidRPr="00894C6A">
        <w:rPr>
          <w:szCs w:val="26"/>
        </w:rPr>
        <w:t>0.</w:t>
      </w:r>
      <w:r w:rsidRPr="00894C6A">
        <w:rPr>
          <w:szCs w:val="26"/>
        </w:rPr>
        <w:tab/>
      </w:r>
      <w:r w:rsidRPr="00894C6A">
        <w:rPr>
          <w:b/>
          <w:szCs w:val="26"/>
        </w:rPr>
        <w:t>DESCRIBE ANY ASSURANCE OF CONFIDENTIALITY PROVIDED TO RESPONDENTS</w:t>
      </w:r>
    </w:p>
    <w:p w14:paraId="5552403D" w14:textId="77777777" w:rsidR="0073089F" w:rsidRPr="00894C6A" w:rsidRDefault="0073089F" w:rsidP="0073089F">
      <w:pPr>
        <w:rPr>
          <w:szCs w:val="26"/>
        </w:rPr>
      </w:pPr>
    </w:p>
    <w:p w14:paraId="4F773622" w14:textId="77777777" w:rsidR="00B42AAD" w:rsidRPr="00894C6A" w:rsidRDefault="00B42AAD" w:rsidP="00B42AAD">
      <w:pPr>
        <w:rPr>
          <w:szCs w:val="26"/>
        </w:rPr>
      </w:pPr>
      <w:r w:rsidRPr="00894C6A">
        <w:rPr>
          <w:szCs w:val="26"/>
        </w:rPr>
        <w:t>As stated in item #7, if a registered entity is required to disclose security or confidential information during an audit, the general practice is that the auditor returns that information to the entity following the audit.</w:t>
      </w:r>
      <w:r w:rsidRPr="00894C6A">
        <w:rPr>
          <w:rStyle w:val="FootnoteReference"/>
        </w:rPr>
        <w:footnoteReference w:id="3"/>
      </w:r>
      <w:r w:rsidRPr="00894C6A">
        <w:rPr>
          <w:szCs w:val="26"/>
        </w:rPr>
        <w:t xml:space="preserve">  </w:t>
      </w:r>
    </w:p>
    <w:p w14:paraId="2B648541" w14:textId="77777777" w:rsidR="0073089F" w:rsidRPr="00894C6A" w:rsidRDefault="0073089F" w:rsidP="0073089F">
      <w:pPr>
        <w:rPr>
          <w:szCs w:val="26"/>
        </w:rPr>
      </w:pPr>
    </w:p>
    <w:p w14:paraId="4A58CC5B" w14:textId="77777777" w:rsidR="0073089F" w:rsidRPr="00894C6A" w:rsidRDefault="0073089F" w:rsidP="0073089F">
      <w:pPr>
        <w:pStyle w:val="Level1"/>
        <w:numPr>
          <w:ilvl w:val="0"/>
          <w:numId w:val="3"/>
        </w:numPr>
        <w:rPr>
          <w:b/>
          <w:sz w:val="26"/>
          <w:szCs w:val="26"/>
        </w:rPr>
      </w:pPr>
      <w:r w:rsidRPr="00894C6A">
        <w:rPr>
          <w:b/>
          <w:sz w:val="26"/>
          <w:szCs w:val="26"/>
        </w:rPr>
        <w:t>PROVIDE ADDITIONAL JUSTIFICATION FOR ANY QUESTIONS OF A SENSITIVE NATURE, SUCH AS SEXUAL BEHAVIOR AND ATTITUDES, RELIGIOUS BELIEFS, AND OTHER MATTERS THAT ARE COMMONLY CONSIDERED PRIVATE.</w:t>
      </w:r>
    </w:p>
    <w:p w14:paraId="4BA48C4F" w14:textId="77777777" w:rsidR="0073089F" w:rsidRPr="00894C6A" w:rsidRDefault="0073089F" w:rsidP="0073089F">
      <w:pPr>
        <w:rPr>
          <w:szCs w:val="26"/>
        </w:rPr>
      </w:pPr>
    </w:p>
    <w:p w14:paraId="02A796F5" w14:textId="77777777" w:rsidR="0073089F" w:rsidRPr="00894C6A" w:rsidRDefault="0073089F" w:rsidP="0073089F">
      <w:pPr>
        <w:rPr>
          <w:szCs w:val="26"/>
        </w:rPr>
      </w:pPr>
      <w:r w:rsidRPr="00894C6A">
        <w:rPr>
          <w:szCs w:val="26"/>
        </w:rPr>
        <w:t>There are no questions of a sensitive nature in the reporting requirements.</w:t>
      </w:r>
    </w:p>
    <w:p w14:paraId="7256E9D3" w14:textId="77777777" w:rsidR="0073089F" w:rsidRPr="00894C6A" w:rsidRDefault="0073089F" w:rsidP="0073089F">
      <w:pPr>
        <w:rPr>
          <w:szCs w:val="26"/>
        </w:rPr>
      </w:pPr>
    </w:p>
    <w:p w14:paraId="0B554609" w14:textId="77777777" w:rsidR="0073089F" w:rsidRPr="00894C6A" w:rsidRDefault="0073089F" w:rsidP="0073089F">
      <w:pPr>
        <w:pStyle w:val="Level1"/>
        <w:rPr>
          <w:b/>
          <w:sz w:val="26"/>
          <w:szCs w:val="26"/>
        </w:rPr>
      </w:pPr>
      <w:r w:rsidRPr="00894C6A">
        <w:rPr>
          <w:b/>
          <w:sz w:val="26"/>
          <w:szCs w:val="26"/>
        </w:rPr>
        <w:t>ESTIMATED BURDEN OF COLLECTION OF INFORMATION</w:t>
      </w:r>
    </w:p>
    <w:p w14:paraId="616C6D68" w14:textId="77777777" w:rsidR="0073089F" w:rsidRDefault="0073089F" w:rsidP="0073089F">
      <w:pPr>
        <w:rPr>
          <w:szCs w:val="26"/>
        </w:rPr>
      </w:pPr>
    </w:p>
    <w:p w14:paraId="17AE1A15" w14:textId="77777777" w:rsidR="006A3A55" w:rsidRDefault="006A3A55" w:rsidP="006A3A55">
      <w:pPr>
        <w:pStyle w:val="FERCparanumber"/>
        <w:numPr>
          <w:ilvl w:val="0"/>
          <w:numId w:val="0"/>
        </w:numPr>
        <w:autoSpaceDE w:val="0"/>
        <w:autoSpaceDN w:val="0"/>
        <w:adjustRightInd w:val="0"/>
        <w:ind w:firstLine="720"/>
        <w:rPr>
          <w:szCs w:val="26"/>
        </w:rPr>
      </w:pPr>
      <w:r w:rsidRPr="00894C6A">
        <w:rPr>
          <w:szCs w:val="26"/>
        </w:rPr>
        <w:lastRenderedPageBreak/>
        <w:t>The NERC Compliance Registry, as of June 2015, identifies approximately 1,435 U.S. entities that are subject to mandatory compliance with Reliability Standards.  Of this total, we estimate that 1,363 entities will face an increased paperwork burden under the proposed CIP Reliability Standards, and we estimate that a majority of these entities will have one or more Low Impact assets.  In addition, we estimate that approximately 23 percent of the entities have assets that will be subject to Reliability Standards CIP-006-6 and CIP-010-2.  Based on these assumptions, we estimate the following reporting burden:</w:t>
      </w:r>
    </w:p>
    <w:p w14:paraId="0D2B4F4E" w14:textId="77777777" w:rsidR="006A3A55" w:rsidRPr="00894C6A" w:rsidRDefault="006A3A55" w:rsidP="006A3A55">
      <w:pPr>
        <w:pStyle w:val="FERCparanumber"/>
        <w:numPr>
          <w:ilvl w:val="0"/>
          <w:numId w:val="0"/>
        </w:numPr>
        <w:autoSpaceDE w:val="0"/>
        <w:autoSpaceDN w:val="0"/>
        <w:adjustRightInd w:val="0"/>
        <w:ind w:firstLine="720"/>
        <w:rPr>
          <w:szCs w:val="26"/>
        </w:rPr>
      </w:pPr>
      <w:r w:rsidRPr="00894C6A">
        <w:rPr>
          <w:szCs w:val="26"/>
        </w:rPr>
        <w:t xml:space="preserve">    </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170"/>
        <w:gridCol w:w="1890"/>
        <w:gridCol w:w="1800"/>
        <w:gridCol w:w="1728"/>
      </w:tblGrid>
      <w:tr w:rsidR="006A3A55" w:rsidRPr="00894C6A" w14:paraId="16987F51" w14:textId="77777777">
        <w:tc>
          <w:tcPr>
            <w:tcW w:w="1458" w:type="dxa"/>
            <w:shd w:val="clear" w:color="auto" w:fill="D9D9D9"/>
            <w:vAlign w:val="bottom"/>
          </w:tcPr>
          <w:p w14:paraId="518E153D" w14:textId="77777777" w:rsidR="006A3A55" w:rsidRPr="00894C6A" w:rsidRDefault="006A3A55" w:rsidP="00A2254E">
            <w:pPr>
              <w:pStyle w:val="FERCparanumber"/>
              <w:numPr>
                <w:ilvl w:val="0"/>
                <w:numId w:val="0"/>
              </w:numPr>
              <w:jc w:val="center"/>
              <w:rPr>
                <w:szCs w:val="26"/>
              </w:rPr>
            </w:pPr>
            <w:r w:rsidRPr="00894C6A">
              <w:rPr>
                <w:szCs w:val="26"/>
              </w:rPr>
              <w:t>Registered Entities</w:t>
            </w:r>
          </w:p>
        </w:tc>
        <w:tc>
          <w:tcPr>
            <w:tcW w:w="1170" w:type="dxa"/>
            <w:shd w:val="clear" w:color="auto" w:fill="D9D9D9"/>
            <w:vAlign w:val="bottom"/>
          </w:tcPr>
          <w:p w14:paraId="52D19DF3" w14:textId="77777777" w:rsidR="006A3A55" w:rsidRPr="00894C6A" w:rsidRDefault="006A3A55" w:rsidP="00A2254E">
            <w:pPr>
              <w:pStyle w:val="FERCparanumber"/>
              <w:numPr>
                <w:ilvl w:val="0"/>
                <w:numId w:val="0"/>
              </w:numPr>
              <w:jc w:val="center"/>
              <w:rPr>
                <w:szCs w:val="26"/>
              </w:rPr>
            </w:pPr>
            <w:r w:rsidRPr="00894C6A">
              <w:rPr>
                <w:szCs w:val="26"/>
              </w:rPr>
              <w:t>Number of Entities</w:t>
            </w:r>
          </w:p>
        </w:tc>
        <w:tc>
          <w:tcPr>
            <w:tcW w:w="1890" w:type="dxa"/>
            <w:shd w:val="clear" w:color="auto" w:fill="D9D9D9"/>
            <w:vAlign w:val="bottom"/>
          </w:tcPr>
          <w:p w14:paraId="4EA5567B" w14:textId="77777777" w:rsidR="006A3A55" w:rsidRPr="00894C6A" w:rsidRDefault="006A3A55" w:rsidP="00A2254E">
            <w:pPr>
              <w:pStyle w:val="FERCparanumber"/>
              <w:numPr>
                <w:ilvl w:val="0"/>
                <w:numId w:val="0"/>
              </w:numPr>
              <w:jc w:val="center"/>
              <w:rPr>
                <w:szCs w:val="26"/>
              </w:rPr>
            </w:pPr>
            <w:r w:rsidRPr="00894C6A">
              <w:rPr>
                <w:szCs w:val="26"/>
              </w:rPr>
              <w:t>Total Burden Hours in</w:t>
            </w:r>
          </w:p>
          <w:p w14:paraId="37F39968" w14:textId="77777777" w:rsidR="006A3A55" w:rsidRPr="00894C6A" w:rsidRDefault="006A3A55" w:rsidP="00A2254E">
            <w:pPr>
              <w:pStyle w:val="FERCparanumber"/>
              <w:numPr>
                <w:ilvl w:val="0"/>
                <w:numId w:val="0"/>
              </w:numPr>
              <w:jc w:val="center"/>
              <w:rPr>
                <w:szCs w:val="26"/>
              </w:rPr>
            </w:pPr>
            <w:r w:rsidRPr="00894C6A">
              <w:rPr>
                <w:szCs w:val="26"/>
              </w:rPr>
              <w:t>Year 1</w:t>
            </w:r>
          </w:p>
        </w:tc>
        <w:tc>
          <w:tcPr>
            <w:tcW w:w="1800" w:type="dxa"/>
            <w:shd w:val="clear" w:color="auto" w:fill="D9D9D9"/>
            <w:vAlign w:val="bottom"/>
          </w:tcPr>
          <w:p w14:paraId="1750F3C4" w14:textId="77777777" w:rsidR="006A3A55" w:rsidRPr="00894C6A" w:rsidRDefault="006A3A55" w:rsidP="00A2254E">
            <w:pPr>
              <w:pStyle w:val="FERCparanumber"/>
              <w:numPr>
                <w:ilvl w:val="0"/>
                <w:numId w:val="0"/>
              </w:numPr>
              <w:jc w:val="center"/>
              <w:rPr>
                <w:szCs w:val="26"/>
              </w:rPr>
            </w:pPr>
            <w:r w:rsidRPr="00894C6A">
              <w:rPr>
                <w:szCs w:val="26"/>
              </w:rPr>
              <w:t>Total Burden Hours in Year 2</w:t>
            </w:r>
          </w:p>
        </w:tc>
        <w:tc>
          <w:tcPr>
            <w:tcW w:w="1728" w:type="dxa"/>
            <w:shd w:val="clear" w:color="auto" w:fill="D9D9D9"/>
            <w:vAlign w:val="bottom"/>
          </w:tcPr>
          <w:p w14:paraId="17A45689" w14:textId="77777777" w:rsidR="006A3A55" w:rsidRPr="00894C6A" w:rsidRDefault="006A3A55" w:rsidP="00A2254E">
            <w:pPr>
              <w:pStyle w:val="FERCparanumber"/>
              <w:numPr>
                <w:ilvl w:val="0"/>
                <w:numId w:val="0"/>
              </w:numPr>
              <w:jc w:val="center"/>
              <w:rPr>
                <w:szCs w:val="26"/>
              </w:rPr>
            </w:pPr>
            <w:r w:rsidRPr="00894C6A">
              <w:rPr>
                <w:szCs w:val="26"/>
              </w:rPr>
              <w:t>Total Burden Hours in Year 3</w:t>
            </w:r>
          </w:p>
        </w:tc>
      </w:tr>
      <w:tr w:rsidR="006A3A55" w:rsidRPr="00894C6A" w14:paraId="6685DBE8" w14:textId="77777777">
        <w:tc>
          <w:tcPr>
            <w:tcW w:w="1458" w:type="dxa"/>
          </w:tcPr>
          <w:p w14:paraId="73590D15" w14:textId="77777777" w:rsidR="006A3A55" w:rsidRPr="00894C6A" w:rsidRDefault="006A3A55" w:rsidP="00A2254E">
            <w:pPr>
              <w:pStyle w:val="FERCparanumber"/>
              <w:numPr>
                <w:ilvl w:val="0"/>
                <w:numId w:val="0"/>
              </w:numPr>
              <w:rPr>
                <w:szCs w:val="26"/>
              </w:rPr>
            </w:pPr>
            <w:r w:rsidRPr="00894C6A">
              <w:rPr>
                <w:szCs w:val="26"/>
              </w:rPr>
              <w:t>Entities subject to CIP-006-6 and CIP-010-2 with Medium and/or High Impact Assets</w:t>
            </w:r>
          </w:p>
        </w:tc>
        <w:tc>
          <w:tcPr>
            <w:tcW w:w="1170" w:type="dxa"/>
            <w:vAlign w:val="bottom"/>
          </w:tcPr>
          <w:p w14:paraId="3A57C37C" w14:textId="77777777" w:rsidR="006A3A55" w:rsidRPr="00894C6A" w:rsidRDefault="006A3A55" w:rsidP="00A2254E">
            <w:pPr>
              <w:pStyle w:val="FERCparanumber"/>
              <w:numPr>
                <w:ilvl w:val="0"/>
                <w:numId w:val="0"/>
              </w:numPr>
              <w:jc w:val="right"/>
              <w:rPr>
                <w:szCs w:val="26"/>
              </w:rPr>
            </w:pPr>
            <w:r w:rsidRPr="00894C6A">
              <w:rPr>
                <w:szCs w:val="26"/>
              </w:rPr>
              <w:t>313</w:t>
            </w:r>
          </w:p>
        </w:tc>
        <w:tc>
          <w:tcPr>
            <w:tcW w:w="1890" w:type="dxa"/>
            <w:vAlign w:val="bottom"/>
          </w:tcPr>
          <w:p w14:paraId="53F33241" w14:textId="77777777" w:rsidR="006A3A55" w:rsidRPr="00894C6A" w:rsidRDefault="006A3A55" w:rsidP="00A2254E">
            <w:pPr>
              <w:pStyle w:val="FERCparanumber"/>
              <w:numPr>
                <w:ilvl w:val="0"/>
                <w:numId w:val="0"/>
              </w:numPr>
              <w:jc w:val="right"/>
              <w:rPr>
                <w:szCs w:val="26"/>
              </w:rPr>
            </w:pPr>
            <w:r w:rsidRPr="00894C6A">
              <w:rPr>
                <w:szCs w:val="26"/>
              </w:rPr>
              <w:t>75,120</w:t>
            </w:r>
          </w:p>
        </w:tc>
        <w:tc>
          <w:tcPr>
            <w:tcW w:w="1800" w:type="dxa"/>
            <w:vAlign w:val="bottom"/>
          </w:tcPr>
          <w:p w14:paraId="33DBC905" w14:textId="77777777" w:rsidR="006A3A55" w:rsidRPr="00894C6A" w:rsidRDefault="006A3A55" w:rsidP="00A2254E">
            <w:pPr>
              <w:pStyle w:val="FERCparanumber"/>
              <w:numPr>
                <w:ilvl w:val="0"/>
                <w:numId w:val="0"/>
              </w:numPr>
              <w:jc w:val="right"/>
              <w:rPr>
                <w:szCs w:val="26"/>
              </w:rPr>
            </w:pPr>
            <w:r w:rsidRPr="00894C6A">
              <w:rPr>
                <w:szCs w:val="26"/>
              </w:rPr>
              <w:t>130,208</w:t>
            </w:r>
          </w:p>
        </w:tc>
        <w:tc>
          <w:tcPr>
            <w:tcW w:w="1728" w:type="dxa"/>
            <w:vAlign w:val="bottom"/>
          </w:tcPr>
          <w:p w14:paraId="11BBA3C1" w14:textId="77777777" w:rsidR="006A3A55" w:rsidRPr="00894C6A" w:rsidRDefault="006A3A55" w:rsidP="00A2254E">
            <w:pPr>
              <w:pStyle w:val="FERCparanumber"/>
              <w:numPr>
                <w:ilvl w:val="0"/>
                <w:numId w:val="0"/>
              </w:numPr>
              <w:jc w:val="right"/>
              <w:rPr>
                <w:szCs w:val="26"/>
              </w:rPr>
            </w:pPr>
            <w:r w:rsidRPr="00894C6A">
              <w:rPr>
                <w:szCs w:val="26"/>
              </w:rPr>
              <w:t>130,208</w:t>
            </w:r>
          </w:p>
        </w:tc>
      </w:tr>
      <w:tr w:rsidR="006A3A55" w:rsidRPr="00894C6A" w14:paraId="6073F7F5" w14:textId="77777777">
        <w:tc>
          <w:tcPr>
            <w:tcW w:w="1458" w:type="dxa"/>
          </w:tcPr>
          <w:p w14:paraId="38524759" w14:textId="77777777" w:rsidR="006A3A55" w:rsidRPr="00894C6A" w:rsidRDefault="006A3A55" w:rsidP="00A2254E">
            <w:pPr>
              <w:pStyle w:val="FERCparanumber"/>
              <w:numPr>
                <w:ilvl w:val="0"/>
                <w:numId w:val="0"/>
              </w:numPr>
              <w:rPr>
                <w:szCs w:val="26"/>
              </w:rPr>
            </w:pPr>
            <w:r w:rsidRPr="00894C6A">
              <w:rPr>
                <w:szCs w:val="26"/>
              </w:rPr>
              <w:t>Totals</w:t>
            </w:r>
          </w:p>
        </w:tc>
        <w:tc>
          <w:tcPr>
            <w:tcW w:w="1170" w:type="dxa"/>
            <w:shd w:val="clear" w:color="auto" w:fill="D9D9D9"/>
            <w:vAlign w:val="bottom"/>
          </w:tcPr>
          <w:p w14:paraId="4787E2AB" w14:textId="77777777" w:rsidR="006A3A55" w:rsidRPr="00894C6A" w:rsidRDefault="006A3A55" w:rsidP="00A2254E">
            <w:pPr>
              <w:pStyle w:val="FERCparanumber"/>
              <w:numPr>
                <w:ilvl w:val="0"/>
                <w:numId w:val="0"/>
              </w:numPr>
              <w:jc w:val="right"/>
              <w:rPr>
                <w:szCs w:val="26"/>
              </w:rPr>
            </w:pPr>
            <w:r w:rsidRPr="00894C6A">
              <w:rPr>
                <w:szCs w:val="26"/>
              </w:rPr>
              <w:t>313</w:t>
            </w:r>
          </w:p>
        </w:tc>
        <w:tc>
          <w:tcPr>
            <w:tcW w:w="1890" w:type="dxa"/>
            <w:vAlign w:val="bottom"/>
          </w:tcPr>
          <w:p w14:paraId="430FA2F2" w14:textId="77777777" w:rsidR="006A3A55" w:rsidRPr="00894C6A" w:rsidRDefault="006A3A55" w:rsidP="00A2254E">
            <w:pPr>
              <w:pStyle w:val="FERCparanumber"/>
              <w:numPr>
                <w:ilvl w:val="0"/>
                <w:numId w:val="0"/>
              </w:numPr>
              <w:jc w:val="right"/>
              <w:rPr>
                <w:szCs w:val="26"/>
              </w:rPr>
            </w:pPr>
            <w:r w:rsidRPr="00894C6A">
              <w:rPr>
                <w:szCs w:val="26"/>
              </w:rPr>
              <w:t>75,120</w:t>
            </w:r>
          </w:p>
        </w:tc>
        <w:tc>
          <w:tcPr>
            <w:tcW w:w="1800" w:type="dxa"/>
          </w:tcPr>
          <w:p w14:paraId="49EAFC2C" w14:textId="77777777" w:rsidR="006A3A55" w:rsidRPr="00894C6A" w:rsidRDefault="006A3A55" w:rsidP="00A2254E">
            <w:pPr>
              <w:pStyle w:val="FERCparanumber"/>
              <w:numPr>
                <w:ilvl w:val="0"/>
                <w:numId w:val="0"/>
              </w:numPr>
              <w:jc w:val="right"/>
              <w:rPr>
                <w:szCs w:val="26"/>
              </w:rPr>
            </w:pPr>
            <w:r w:rsidRPr="00894C6A">
              <w:rPr>
                <w:szCs w:val="26"/>
              </w:rPr>
              <w:t>130,208</w:t>
            </w:r>
          </w:p>
        </w:tc>
        <w:tc>
          <w:tcPr>
            <w:tcW w:w="1728" w:type="dxa"/>
            <w:vAlign w:val="bottom"/>
          </w:tcPr>
          <w:p w14:paraId="56D91127" w14:textId="77777777" w:rsidR="006A3A55" w:rsidRPr="00894C6A" w:rsidRDefault="006A3A55" w:rsidP="00A2254E">
            <w:pPr>
              <w:pStyle w:val="FERCparanumber"/>
              <w:numPr>
                <w:ilvl w:val="0"/>
                <w:numId w:val="0"/>
              </w:numPr>
              <w:jc w:val="right"/>
              <w:rPr>
                <w:szCs w:val="26"/>
              </w:rPr>
            </w:pPr>
            <w:r w:rsidRPr="00894C6A">
              <w:rPr>
                <w:szCs w:val="26"/>
              </w:rPr>
              <w:t>130,208</w:t>
            </w:r>
          </w:p>
        </w:tc>
      </w:tr>
    </w:tbl>
    <w:p w14:paraId="5BFC5655" w14:textId="77777777" w:rsidR="006A3A55" w:rsidRPr="00894C6A" w:rsidRDefault="006A3A55" w:rsidP="006A3A55">
      <w:pPr>
        <w:pStyle w:val="StyleFERCparanumberLinespacingDouble"/>
        <w:numPr>
          <w:ilvl w:val="0"/>
          <w:numId w:val="0"/>
        </w:numPr>
        <w:tabs>
          <w:tab w:val="left" w:pos="2805"/>
        </w:tabs>
        <w:rPr>
          <w:szCs w:val="26"/>
        </w:rPr>
      </w:pPr>
      <w:r>
        <w:rPr>
          <w:szCs w:val="26"/>
        </w:rPr>
        <w:tab/>
      </w:r>
    </w:p>
    <w:p w14:paraId="7A88DD08" w14:textId="77777777" w:rsidR="006A3A55" w:rsidRPr="00894C6A" w:rsidRDefault="006A3A55" w:rsidP="006A3A55">
      <w:pPr>
        <w:pStyle w:val="FERCparanumber"/>
        <w:numPr>
          <w:ilvl w:val="0"/>
          <w:numId w:val="0"/>
        </w:numPr>
        <w:ind w:firstLine="360"/>
        <w:rPr>
          <w:szCs w:val="26"/>
        </w:rPr>
      </w:pPr>
      <w:r w:rsidRPr="00894C6A">
        <w:rPr>
          <w:szCs w:val="26"/>
        </w:rPr>
        <w:t>The following shows the annual cost burden for each group, based on the burden hours in the table above:</w:t>
      </w:r>
    </w:p>
    <w:p w14:paraId="6F947A28" w14:textId="77777777" w:rsidR="006A3A55" w:rsidRPr="00894C6A" w:rsidRDefault="006A3A55" w:rsidP="006A3A55">
      <w:pPr>
        <w:widowControl w:val="0"/>
        <w:numPr>
          <w:ilvl w:val="0"/>
          <w:numId w:val="7"/>
        </w:numPr>
        <w:autoSpaceDE w:val="0"/>
        <w:autoSpaceDN w:val="0"/>
        <w:adjustRightInd w:val="0"/>
        <w:rPr>
          <w:szCs w:val="26"/>
        </w:rPr>
      </w:pPr>
      <w:r w:rsidRPr="00894C6A">
        <w:rPr>
          <w:szCs w:val="26"/>
        </w:rPr>
        <w:t xml:space="preserve">Year 1:  Entities subject to CIP-006-6 and CIP-010-2 with Medium and/or High Impact Assets: 313 x 240 </w:t>
      </w:r>
      <w:proofErr w:type="spellStart"/>
      <w:r w:rsidRPr="00894C6A">
        <w:rPr>
          <w:szCs w:val="26"/>
        </w:rPr>
        <w:t>hrs</w:t>
      </w:r>
      <w:proofErr w:type="spellEnd"/>
      <w:r w:rsidRPr="00894C6A">
        <w:rPr>
          <w:szCs w:val="26"/>
        </w:rPr>
        <w:t>/entity * $76/hour = $5,709,120</w:t>
      </w:r>
    </w:p>
    <w:p w14:paraId="2E1F5348" w14:textId="77777777" w:rsidR="006A3A55" w:rsidRPr="00894C6A" w:rsidRDefault="006A3A55" w:rsidP="006A3A55">
      <w:pPr>
        <w:widowControl w:val="0"/>
        <w:numPr>
          <w:ilvl w:val="0"/>
          <w:numId w:val="7"/>
        </w:numPr>
        <w:autoSpaceDE w:val="0"/>
        <w:autoSpaceDN w:val="0"/>
        <w:adjustRightInd w:val="0"/>
        <w:rPr>
          <w:szCs w:val="26"/>
        </w:rPr>
      </w:pPr>
      <w:r w:rsidRPr="00894C6A">
        <w:rPr>
          <w:szCs w:val="26"/>
        </w:rPr>
        <w:t xml:space="preserve">Years 2 and 3:  313 entities x 416 </w:t>
      </w:r>
      <w:proofErr w:type="spellStart"/>
      <w:r w:rsidRPr="00894C6A">
        <w:rPr>
          <w:szCs w:val="26"/>
        </w:rPr>
        <w:t>hrs</w:t>
      </w:r>
      <w:proofErr w:type="spellEnd"/>
      <w:r w:rsidRPr="00894C6A">
        <w:rPr>
          <w:szCs w:val="26"/>
        </w:rPr>
        <w:t>/entity * $76/hour = $9,895,808 per year.</w:t>
      </w:r>
    </w:p>
    <w:p w14:paraId="02CAC9A7" w14:textId="77777777" w:rsidR="006A3A55" w:rsidRDefault="006A3A55" w:rsidP="006A3A55">
      <w:pPr>
        <w:widowControl w:val="0"/>
        <w:numPr>
          <w:ilvl w:val="0"/>
          <w:numId w:val="7"/>
        </w:numPr>
        <w:autoSpaceDE w:val="0"/>
        <w:autoSpaceDN w:val="0"/>
        <w:adjustRightInd w:val="0"/>
        <w:rPr>
          <w:szCs w:val="26"/>
        </w:rPr>
      </w:pPr>
      <w:r w:rsidRPr="00894C6A">
        <w:rPr>
          <w:szCs w:val="26"/>
        </w:rPr>
        <w:t>The paper work burden estimate includes costs associated with the initial development of a policy to address requirements relating to transient devices, as well as the ongoing data collection burden.  Further, the estimate reflects the assumption that costs incurred in year 1 will pertain to policy development, while costs in years 2 and 3 will reflect the burden associated with maintaining logs and other records to demonstrate ongoing compliance.</w:t>
      </w:r>
    </w:p>
    <w:p w14:paraId="38A6ACA3" w14:textId="77777777" w:rsidR="00A36EA3" w:rsidRPr="00894C6A" w:rsidRDefault="00A36EA3" w:rsidP="00790AF3">
      <w:pPr>
        <w:widowControl w:val="0"/>
        <w:autoSpaceDE w:val="0"/>
        <w:autoSpaceDN w:val="0"/>
        <w:adjustRightInd w:val="0"/>
        <w:ind w:left="720"/>
        <w:rPr>
          <w:szCs w:val="26"/>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170"/>
        <w:gridCol w:w="1890"/>
        <w:gridCol w:w="1800"/>
        <w:gridCol w:w="1728"/>
      </w:tblGrid>
      <w:tr w:rsidR="006A3A55" w:rsidRPr="00894C6A" w14:paraId="613D8214" w14:textId="77777777">
        <w:tc>
          <w:tcPr>
            <w:tcW w:w="1458" w:type="dxa"/>
            <w:shd w:val="clear" w:color="auto" w:fill="D9D9D9"/>
            <w:vAlign w:val="bottom"/>
          </w:tcPr>
          <w:p w14:paraId="6D39C00F" w14:textId="77777777" w:rsidR="006A3A55" w:rsidRPr="00894C6A" w:rsidRDefault="006A3A55" w:rsidP="00A2254E">
            <w:pPr>
              <w:autoSpaceDE w:val="0"/>
              <w:autoSpaceDN w:val="0"/>
              <w:adjustRightInd w:val="0"/>
              <w:jc w:val="center"/>
              <w:rPr>
                <w:b/>
                <w:szCs w:val="26"/>
              </w:rPr>
            </w:pPr>
            <w:r w:rsidRPr="00894C6A">
              <w:rPr>
                <w:b/>
                <w:szCs w:val="26"/>
              </w:rPr>
              <w:t>Registered Entities</w:t>
            </w:r>
          </w:p>
        </w:tc>
        <w:tc>
          <w:tcPr>
            <w:tcW w:w="1170" w:type="dxa"/>
            <w:shd w:val="clear" w:color="auto" w:fill="D9D9D9"/>
            <w:vAlign w:val="bottom"/>
          </w:tcPr>
          <w:p w14:paraId="5B89DDEF" w14:textId="77777777" w:rsidR="006A3A55" w:rsidRPr="00894C6A" w:rsidRDefault="006A3A55" w:rsidP="00A2254E">
            <w:pPr>
              <w:autoSpaceDE w:val="0"/>
              <w:autoSpaceDN w:val="0"/>
              <w:adjustRightInd w:val="0"/>
              <w:jc w:val="center"/>
              <w:rPr>
                <w:b/>
                <w:szCs w:val="26"/>
              </w:rPr>
            </w:pPr>
            <w:r w:rsidRPr="00894C6A">
              <w:rPr>
                <w:b/>
                <w:szCs w:val="26"/>
              </w:rPr>
              <w:t>Number of Entities</w:t>
            </w:r>
          </w:p>
        </w:tc>
        <w:tc>
          <w:tcPr>
            <w:tcW w:w="1890" w:type="dxa"/>
            <w:shd w:val="clear" w:color="auto" w:fill="D9D9D9"/>
            <w:vAlign w:val="bottom"/>
          </w:tcPr>
          <w:p w14:paraId="5313F59C" w14:textId="77777777" w:rsidR="006A3A55" w:rsidRPr="00894C6A" w:rsidRDefault="006A3A55" w:rsidP="00A2254E">
            <w:pPr>
              <w:autoSpaceDE w:val="0"/>
              <w:autoSpaceDN w:val="0"/>
              <w:adjustRightInd w:val="0"/>
              <w:jc w:val="center"/>
              <w:rPr>
                <w:b/>
                <w:szCs w:val="26"/>
              </w:rPr>
            </w:pPr>
            <w:r w:rsidRPr="00894C6A">
              <w:rPr>
                <w:b/>
                <w:szCs w:val="26"/>
              </w:rPr>
              <w:t>Total Burden Hours in</w:t>
            </w:r>
          </w:p>
          <w:p w14:paraId="3FC24F11" w14:textId="77777777" w:rsidR="006A3A55" w:rsidRPr="00894C6A" w:rsidRDefault="006A3A55" w:rsidP="00A2254E">
            <w:pPr>
              <w:autoSpaceDE w:val="0"/>
              <w:autoSpaceDN w:val="0"/>
              <w:adjustRightInd w:val="0"/>
              <w:jc w:val="center"/>
              <w:rPr>
                <w:b/>
                <w:szCs w:val="26"/>
              </w:rPr>
            </w:pPr>
            <w:r w:rsidRPr="00894C6A">
              <w:rPr>
                <w:b/>
                <w:szCs w:val="26"/>
              </w:rPr>
              <w:t>Year 1</w:t>
            </w:r>
          </w:p>
        </w:tc>
        <w:tc>
          <w:tcPr>
            <w:tcW w:w="1800" w:type="dxa"/>
            <w:shd w:val="clear" w:color="auto" w:fill="D9D9D9"/>
            <w:vAlign w:val="bottom"/>
          </w:tcPr>
          <w:p w14:paraId="1C602083" w14:textId="77777777" w:rsidR="006A3A55" w:rsidRPr="00894C6A" w:rsidRDefault="006A3A55" w:rsidP="00A2254E">
            <w:pPr>
              <w:autoSpaceDE w:val="0"/>
              <w:autoSpaceDN w:val="0"/>
              <w:adjustRightInd w:val="0"/>
              <w:jc w:val="center"/>
              <w:rPr>
                <w:b/>
                <w:szCs w:val="26"/>
              </w:rPr>
            </w:pPr>
            <w:r w:rsidRPr="00894C6A">
              <w:rPr>
                <w:b/>
                <w:szCs w:val="26"/>
              </w:rPr>
              <w:t>Total Burden Hours in Year 2</w:t>
            </w:r>
          </w:p>
        </w:tc>
        <w:tc>
          <w:tcPr>
            <w:tcW w:w="1728" w:type="dxa"/>
            <w:shd w:val="clear" w:color="auto" w:fill="D9D9D9"/>
            <w:vAlign w:val="bottom"/>
          </w:tcPr>
          <w:p w14:paraId="2ECBF332" w14:textId="77777777" w:rsidR="006A3A55" w:rsidRPr="00894C6A" w:rsidRDefault="006A3A55" w:rsidP="00A2254E">
            <w:pPr>
              <w:autoSpaceDE w:val="0"/>
              <w:autoSpaceDN w:val="0"/>
              <w:adjustRightInd w:val="0"/>
              <w:jc w:val="center"/>
              <w:rPr>
                <w:b/>
                <w:szCs w:val="26"/>
              </w:rPr>
            </w:pPr>
            <w:r w:rsidRPr="00894C6A">
              <w:rPr>
                <w:b/>
                <w:szCs w:val="26"/>
              </w:rPr>
              <w:t>Total Burden Hours in Year 3</w:t>
            </w:r>
          </w:p>
        </w:tc>
      </w:tr>
      <w:tr w:rsidR="006A3A55" w:rsidRPr="00894C6A" w14:paraId="0E43AF31" w14:textId="77777777">
        <w:tc>
          <w:tcPr>
            <w:tcW w:w="1458" w:type="dxa"/>
          </w:tcPr>
          <w:p w14:paraId="0FB42CF5" w14:textId="77777777" w:rsidR="006A3A55" w:rsidRPr="00894C6A" w:rsidRDefault="006A3A55" w:rsidP="00A2254E">
            <w:pPr>
              <w:autoSpaceDE w:val="0"/>
              <w:autoSpaceDN w:val="0"/>
              <w:adjustRightInd w:val="0"/>
              <w:rPr>
                <w:szCs w:val="26"/>
              </w:rPr>
            </w:pPr>
            <w:r w:rsidRPr="00894C6A">
              <w:rPr>
                <w:szCs w:val="26"/>
              </w:rPr>
              <w:t xml:space="preserve">Entities </w:t>
            </w:r>
            <w:r w:rsidRPr="00894C6A">
              <w:rPr>
                <w:szCs w:val="26"/>
              </w:rPr>
              <w:lastRenderedPageBreak/>
              <w:t>subject to CIP-003-6 with low impact Assets</w:t>
            </w:r>
          </w:p>
        </w:tc>
        <w:tc>
          <w:tcPr>
            <w:tcW w:w="1170" w:type="dxa"/>
            <w:vAlign w:val="bottom"/>
          </w:tcPr>
          <w:p w14:paraId="0E2D77DE" w14:textId="77777777" w:rsidR="006A3A55" w:rsidRPr="00894C6A" w:rsidRDefault="006A3A55" w:rsidP="00A2254E">
            <w:pPr>
              <w:autoSpaceDE w:val="0"/>
              <w:autoSpaceDN w:val="0"/>
              <w:adjustRightInd w:val="0"/>
              <w:jc w:val="right"/>
              <w:rPr>
                <w:szCs w:val="26"/>
              </w:rPr>
            </w:pPr>
            <w:r w:rsidRPr="00894C6A">
              <w:rPr>
                <w:szCs w:val="26"/>
              </w:rPr>
              <w:lastRenderedPageBreak/>
              <w:t>1,363</w:t>
            </w:r>
            <w:r w:rsidRPr="00894C6A" w:rsidDel="00954576">
              <w:rPr>
                <w:szCs w:val="26"/>
              </w:rPr>
              <w:t xml:space="preserve"> </w:t>
            </w:r>
          </w:p>
        </w:tc>
        <w:tc>
          <w:tcPr>
            <w:tcW w:w="1890" w:type="dxa"/>
            <w:vAlign w:val="bottom"/>
          </w:tcPr>
          <w:p w14:paraId="015C305B" w14:textId="77777777" w:rsidR="006A3A55" w:rsidRPr="00894C6A" w:rsidRDefault="006A3A55" w:rsidP="00A2254E">
            <w:pPr>
              <w:autoSpaceDE w:val="0"/>
              <w:autoSpaceDN w:val="0"/>
              <w:adjustRightInd w:val="0"/>
              <w:jc w:val="right"/>
              <w:rPr>
                <w:szCs w:val="26"/>
              </w:rPr>
            </w:pPr>
            <w:r w:rsidRPr="00894C6A">
              <w:rPr>
                <w:szCs w:val="26"/>
              </w:rPr>
              <w:t>163,560</w:t>
            </w:r>
          </w:p>
        </w:tc>
        <w:tc>
          <w:tcPr>
            <w:tcW w:w="1800" w:type="dxa"/>
            <w:vAlign w:val="bottom"/>
          </w:tcPr>
          <w:p w14:paraId="48B7C915" w14:textId="77777777" w:rsidR="006A3A55" w:rsidRPr="00894C6A" w:rsidRDefault="006A3A55" w:rsidP="00A2254E">
            <w:pPr>
              <w:autoSpaceDE w:val="0"/>
              <w:autoSpaceDN w:val="0"/>
              <w:adjustRightInd w:val="0"/>
              <w:jc w:val="right"/>
              <w:rPr>
                <w:szCs w:val="26"/>
              </w:rPr>
            </w:pPr>
            <w:r w:rsidRPr="00894C6A">
              <w:rPr>
                <w:szCs w:val="26"/>
              </w:rPr>
              <w:t>283,504</w:t>
            </w:r>
          </w:p>
        </w:tc>
        <w:tc>
          <w:tcPr>
            <w:tcW w:w="1728" w:type="dxa"/>
            <w:vAlign w:val="bottom"/>
          </w:tcPr>
          <w:p w14:paraId="4DAA030C" w14:textId="77777777" w:rsidR="006A3A55" w:rsidRPr="00894C6A" w:rsidRDefault="006A3A55" w:rsidP="00A2254E">
            <w:pPr>
              <w:autoSpaceDE w:val="0"/>
              <w:autoSpaceDN w:val="0"/>
              <w:adjustRightInd w:val="0"/>
              <w:jc w:val="right"/>
              <w:rPr>
                <w:szCs w:val="26"/>
              </w:rPr>
            </w:pPr>
            <w:r w:rsidRPr="00894C6A">
              <w:rPr>
                <w:szCs w:val="26"/>
              </w:rPr>
              <w:t>283,504</w:t>
            </w:r>
          </w:p>
        </w:tc>
      </w:tr>
      <w:tr w:rsidR="006A3A55" w:rsidRPr="00894C6A" w14:paraId="21809558" w14:textId="77777777">
        <w:tc>
          <w:tcPr>
            <w:tcW w:w="1458" w:type="dxa"/>
          </w:tcPr>
          <w:p w14:paraId="55A49762" w14:textId="77777777" w:rsidR="006A3A55" w:rsidRPr="00894C6A" w:rsidRDefault="006A3A55" w:rsidP="00A2254E">
            <w:pPr>
              <w:autoSpaceDE w:val="0"/>
              <w:autoSpaceDN w:val="0"/>
              <w:adjustRightInd w:val="0"/>
              <w:rPr>
                <w:b/>
                <w:szCs w:val="26"/>
              </w:rPr>
            </w:pPr>
            <w:r w:rsidRPr="00894C6A">
              <w:rPr>
                <w:b/>
                <w:szCs w:val="26"/>
              </w:rPr>
              <w:lastRenderedPageBreak/>
              <w:t>Totals</w:t>
            </w:r>
          </w:p>
        </w:tc>
        <w:tc>
          <w:tcPr>
            <w:tcW w:w="1170" w:type="dxa"/>
            <w:shd w:val="clear" w:color="auto" w:fill="D9D9D9"/>
            <w:vAlign w:val="bottom"/>
          </w:tcPr>
          <w:p w14:paraId="2650675D" w14:textId="77777777" w:rsidR="006A3A55" w:rsidRPr="00894C6A" w:rsidRDefault="006A3A55" w:rsidP="00A2254E">
            <w:pPr>
              <w:autoSpaceDE w:val="0"/>
              <w:autoSpaceDN w:val="0"/>
              <w:adjustRightInd w:val="0"/>
              <w:jc w:val="right"/>
              <w:rPr>
                <w:szCs w:val="26"/>
              </w:rPr>
            </w:pPr>
            <w:r w:rsidRPr="00894C6A">
              <w:rPr>
                <w:szCs w:val="26"/>
              </w:rPr>
              <w:t>1,363</w:t>
            </w:r>
          </w:p>
        </w:tc>
        <w:tc>
          <w:tcPr>
            <w:tcW w:w="1890" w:type="dxa"/>
            <w:vAlign w:val="bottom"/>
          </w:tcPr>
          <w:p w14:paraId="759A2FAD" w14:textId="77777777" w:rsidR="006A3A55" w:rsidRPr="00894C6A" w:rsidRDefault="006A3A55" w:rsidP="00A2254E">
            <w:pPr>
              <w:autoSpaceDE w:val="0"/>
              <w:autoSpaceDN w:val="0"/>
              <w:adjustRightInd w:val="0"/>
              <w:jc w:val="right"/>
              <w:rPr>
                <w:szCs w:val="26"/>
              </w:rPr>
            </w:pPr>
            <w:r w:rsidRPr="00894C6A">
              <w:rPr>
                <w:szCs w:val="26"/>
              </w:rPr>
              <w:t>163,560</w:t>
            </w:r>
          </w:p>
        </w:tc>
        <w:tc>
          <w:tcPr>
            <w:tcW w:w="1800" w:type="dxa"/>
          </w:tcPr>
          <w:p w14:paraId="3723F855" w14:textId="77777777" w:rsidR="006A3A55" w:rsidRPr="00894C6A" w:rsidRDefault="006A3A55" w:rsidP="00A2254E">
            <w:pPr>
              <w:autoSpaceDE w:val="0"/>
              <w:autoSpaceDN w:val="0"/>
              <w:adjustRightInd w:val="0"/>
              <w:jc w:val="right"/>
              <w:rPr>
                <w:szCs w:val="26"/>
              </w:rPr>
            </w:pPr>
            <w:r w:rsidRPr="00894C6A">
              <w:rPr>
                <w:szCs w:val="26"/>
              </w:rPr>
              <w:t>283,504</w:t>
            </w:r>
          </w:p>
        </w:tc>
        <w:tc>
          <w:tcPr>
            <w:tcW w:w="1728" w:type="dxa"/>
            <w:vAlign w:val="bottom"/>
          </w:tcPr>
          <w:p w14:paraId="79FAB1B6" w14:textId="77777777" w:rsidR="006A3A55" w:rsidRPr="00894C6A" w:rsidRDefault="006A3A55" w:rsidP="00A2254E">
            <w:pPr>
              <w:autoSpaceDE w:val="0"/>
              <w:autoSpaceDN w:val="0"/>
              <w:adjustRightInd w:val="0"/>
              <w:jc w:val="right"/>
              <w:rPr>
                <w:szCs w:val="26"/>
              </w:rPr>
            </w:pPr>
            <w:r w:rsidRPr="00894C6A">
              <w:rPr>
                <w:szCs w:val="26"/>
              </w:rPr>
              <w:t>283,504</w:t>
            </w:r>
          </w:p>
        </w:tc>
      </w:tr>
    </w:tbl>
    <w:p w14:paraId="5CEE1EF8" w14:textId="77777777" w:rsidR="006A3A55" w:rsidRPr="00894C6A" w:rsidRDefault="006A3A55" w:rsidP="006A3A55">
      <w:pPr>
        <w:tabs>
          <w:tab w:val="num" w:pos="720"/>
        </w:tabs>
        <w:autoSpaceDE w:val="0"/>
        <w:autoSpaceDN w:val="0"/>
        <w:adjustRightInd w:val="0"/>
        <w:rPr>
          <w:szCs w:val="26"/>
        </w:rPr>
      </w:pPr>
    </w:p>
    <w:p w14:paraId="3626ED4E" w14:textId="77777777" w:rsidR="006A3A55" w:rsidRPr="00894C6A" w:rsidRDefault="006A3A55" w:rsidP="006A3A55">
      <w:pPr>
        <w:pStyle w:val="FERCparanumber"/>
        <w:numPr>
          <w:ilvl w:val="0"/>
          <w:numId w:val="0"/>
        </w:numPr>
        <w:rPr>
          <w:szCs w:val="26"/>
        </w:rPr>
      </w:pPr>
      <w:r w:rsidRPr="00894C6A">
        <w:rPr>
          <w:szCs w:val="26"/>
        </w:rPr>
        <w:t xml:space="preserve">The following shows the annual cost burden for each group, based on the burden hours in the table above: </w:t>
      </w:r>
    </w:p>
    <w:p w14:paraId="0E6AA1AE" w14:textId="77777777" w:rsidR="006A3A55" w:rsidRPr="00894C6A" w:rsidRDefault="006A3A55" w:rsidP="006A3A55">
      <w:pPr>
        <w:widowControl w:val="0"/>
        <w:numPr>
          <w:ilvl w:val="0"/>
          <w:numId w:val="7"/>
        </w:numPr>
        <w:autoSpaceDE w:val="0"/>
        <w:autoSpaceDN w:val="0"/>
        <w:adjustRightInd w:val="0"/>
        <w:rPr>
          <w:szCs w:val="26"/>
        </w:rPr>
      </w:pPr>
      <w:r w:rsidRPr="00894C6A">
        <w:rPr>
          <w:szCs w:val="26"/>
        </w:rPr>
        <w:t xml:space="preserve">Year 1:  Entities subject to CIP-003-6 with Low Impact Assets: 1,363 x 120 </w:t>
      </w:r>
      <w:proofErr w:type="spellStart"/>
      <w:r w:rsidRPr="00894C6A">
        <w:rPr>
          <w:szCs w:val="26"/>
        </w:rPr>
        <w:t>hrs</w:t>
      </w:r>
      <w:proofErr w:type="spellEnd"/>
      <w:r w:rsidRPr="00894C6A">
        <w:rPr>
          <w:szCs w:val="26"/>
        </w:rPr>
        <w:t xml:space="preserve">/entity * $76/hour = $12,430,560. </w:t>
      </w:r>
    </w:p>
    <w:p w14:paraId="2BC9499C" w14:textId="77777777" w:rsidR="006A3A55" w:rsidRPr="00894C6A" w:rsidRDefault="006A3A55" w:rsidP="006A3A55">
      <w:pPr>
        <w:widowControl w:val="0"/>
        <w:numPr>
          <w:ilvl w:val="0"/>
          <w:numId w:val="7"/>
        </w:numPr>
        <w:autoSpaceDE w:val="0"/>
        <w:autoSpaceDN w:val="0"/>
        <w:adjustRightInd w:val="0"/>
        <w:rPr>
          <w:szCs w:val="26"/>
        </w:rPr>
      </w:pPr>
      <w:r w:rsidRPr="00894C6A">
        <w:rPr>
          <w:szCs w:val="26"/>
        </w:rPr>
        <w:t xml:space="preserve">Years 2 and 3:  1,363 entities x 208 </w:t>
      </w:r>
      <w:proofErr w:type="spellStart"/>
      <w:r w:rsidRPr="00894C6A">
        <w:rPr>
          <w:szCs w:val="26"/>
        </w:rPr>
        <w:t>hrs</w:t>
      </w:r>
      <w:proofErr w:type="spellEnd"/>
      <w:r w:rsidRPr="00894C6A">
        <w:rPr>
          <w:szCs w:val="26"/>
        </w:rPr>
        <w:t xml:space="preserve">/entity * $76/hour = $21,546,304 per year. </w:t>
      </w:r>
    </w:p>
    <w:p w14:paraId="64199E64" w14:textId="77777777" w:rsidR="00614F75" w:rsidRDefault="006A3A55" w:rsidP="00614F75">
      <w:pPr>
        <w:widowControl w:val="0"/>
        <w:numPr>
          <w:ilvl w:val="0"/>
          <w:numId w:val="7"/>
        </w:numPr>
        <w:autoSpaceDE w:val="0"/>
        <w:autoSpaceDN w:val="0"/>
        <w:adjustRightInd w:val="0"/>
        <w:rPr>
          <w:szCs w:val="26"/>
        </w:rPr>
      </w:pPr>
      <w:r w:rsidRPr="00894C6A">
        <w:rPr>
          <w:szCs w:val="26"/>
        </w:rPr>
        <w:t xml:space="preserve">The paper work burden estimate includes costs associated with the modification of existing policies to address requirements relating to low impact assets, as well as the ongoing data collection burden, as set forth in CIP-003-6, Requirements R1.2 and R2, and Attachment 1.  Further, the estimate reflects the assumption that costs incurred in year 1 will pertain to revising existing policies, while costs in years 2 and 3 will reflect the burden associated with maintaining logs and other records to demonstrate ongoing compliance.   </w:t>
      </w:r>
    </w:p>
    <w:p w14:paraId="45DE4F6C" w14:textId="77777777" w:rsidR="00614F75" w:rsidRDefault="00614F75" w:rsidP="00614F75">
      <w:pPr>
        <w:widowControl w:val="0"/>
        <w:autoSpaceDE w:val="0"/>
        <w:autoSpaceDN w:val="0"/>
        <w:adjustRightInd w:val="0"/>
        <w:ind w:left="720"/>
        <w:rPr>
          <w:szCs w:val="26"/>
        </w:rPr>
      </w:pPr>
    </w:p>
    <w:p w14:paraId="7C99CE0E" w14:textId="77777777" w:rsidR="008B5EFD" w:rsidRDefault="008B5EFD" w:rsidP="00614F75">
      <w:pPr>
        <w:rPr>
          <w:szCs w:val="26"/>
        </w:rPr>
      </w:pPr>
      <w:r>
        <w:rPr>
          <w:szCs w:val="26"/>
        </w:rPr>
        <w:t xml:space="preserve">The </w:t>
      </w:r>
      <w:r w:rsidR="00CA3956">
        <w:rPr>
          <w:szCs w:val="26"/>
        </w:rPr>
        <w:t>total burden</w:t>
      </w:r>
      <w:r>
        <w:rPr>
          <w:szCs w:val="26"/>
        </w:rPr>
        <w:t xml:space="preserve"> </w:t>
      </w:r>
      <w:r w:rsidR="00132FD3">
        <w:rPr>
          <w:szCs w:val="26"/>
        </w:rPr>
        <w:t>hours are</w:t>
      </w:r>
      <w:r>
        <w:rPr>
          <w:szCs w:val="26"/>
        </w:rPr>
        <w:t xml:space="preserve"> 355,367.</w:t>
      </w:r>
    </w:p>
    <w:p w14:paraId="3382D789" w14:textId="77777777" w:rsidR="008B5EFD" w:rsidRDefault="008B5EFD" w:rsidP="00614F75">
      <w:pPr>
        <w:rPr>
          <w:szCs w:val="26"/>
        </w:rPr>
      </w:pPr>
    </w:p>
    <w:p w14:paraId="3D93848D" w14:textId="77777777" w:rsidR="008B5EFD" w:rsidRDefault="008B5EFD" w:rsidP="00614F75">
      <w:pPr>
        <w:rPr>
          <w:szCs w:val="26"/>
        </w:rPr>
      </w:pPr>
      <w:r>
        <w:rPr>
          <w:szCs w:val="26"/>
        </w:rPr>
        <w:t xml:space="preserve">For </w:t>
      </w:r>
      <w:r w:rsidRPr="00894C6A">
        <w:rPr>
          <w:szCs w:val="26"/>
        </w:rPr>
        <w:t>Entities subject to CIP-006-6 and CIP-010-2 with Medium and/or High Impact Assets</w:t>
      </w:r>
      <w:r>
        <w:rPr>
          <w:szCs w:val="26"/>
        </w:rPr>
        <w:t xml:space="preserve">, the average of the burden hours of year 1, year 2, and year 3 is111,845  hours. </w:t>
      </w:r>
    </w:p>
    <w:p w14:paraId="5F50F0A2" w14:textId="77777777" w:rsidR="008B5EFD" w:rsidRPr="008B5EFD" w:rsidRDefault="008B5EFD" w:rsidP="005B6EA4">
      <w:pPr>
        <w:pStyle w:val="ListParagraph"/>
        <w:numPr>
          <w:ilvl w:val="0"/>
          <w:numId w:val="10"/>
        </w:numPr>
        <w:rPr>
          <w:szCs w:val="26"/>
        </w:rPr>
      </w:pPr>
      <w:r>
        <w:rPr>
          <w:szCs w:val="26"/>
        </w:rPr>
        <w:t>75,120 + 130,208 + 130,208 = 335,536 /3 = 111,845</w:t>
      </w:r>
    </w:p>
    <w:p w14:paraId="3F2C67C5" w14:textId="77777777" w:rsidR="008B5EFD" w:rsidRDefault="008B5EFD" w:rsidP="00614F75">
      <w:pPr>
        <w:rPr>
          <w:szCs w:val="26"/>
        </w:rPr>
      </w:pPr>
    </w:p>
    <w:p w14:paraId="2595C024" w14:textId="77777777" w:rsidR="00614F75" w:rsidRDefault="008B5EFD" w:rsidP="00614F75">
      <w:pPr>
        <w:rPr>
          <w:szCs w:val="26"/>
        </w:rPr>
      </w:pPr>
      <w:r>
        <w:rPr>
          <w:szCs w:val="26"/>
        </w:rPr>
        <w:t>For Entities subject to CIP-003-6 with low impact Assets, t</w:t>
      </w:r>
      <w:r w:rsidR="00614F75">
        <w:rPr>
          <w:szCs w:val="26"/>
        </w:rPr>
        <w:t>he average of the burden hours of year 1, year 2 and year 3 is 243,522</w:t>
      </w:r>
      <w:r>
        <w:rPr>
          <w:szCs w:val="26"/>
        </w:rPr>
        <w:t xml:space="preserve"> hours.</w:t>
      </w:r>
    </w:p>
    <w:p w14:paraId="7CF8FB2B" w14:textId="77777777" w:rsidR="00614F75" w:rsidRDefault="00614F75" w:rsidP="00614F75">
      <w:pPr>
        <w:pStyle w:val="ListParagraph"/>
        <w:numPr>
          <w:ilvl w:val="0"/>
          <w:numId w:val="9"/>
        </w:numPr>
        <w:rPr>
          <w:szCs w:val="26"/>
        </w:rPr>
      </w:pPr>
      <w:r>
        <w:rPr>
          <w:szCs w:val="26"/>
        </w:rPr>
        <w:t xml:space="preserve">163,560 + 283,504 + 283,504 = </w:t>
      </w:r>
      <w:r w:rsidR="008B5EFD">
        <w:rPr>
          <w:szCs w:val="26"/>
        </w:rPr>
        <w:t>730,568 / 3 = 243,522</w:t>
      </w:r>
    </w:p>
    <w:p w14:paraId="76C89582" w14:textId="77777777" w:rsidR="00BF0122" w:rsidRDefault="00BF0122" w:rsidP="0073089F">
      <w:pPr>
        <w:rPr>
          <w:szCs w:val="26"/>
        </w:rPr>
      </w:pPr>
    </w:p>
    <w:p w14:paraId="081C83DB" w14:textId="77777777" w:rsidR="00BF0122" w:rsidRDefault="00BF0122" w:rsidP="0073089F">
      <w:pPr>
        <w:rPr>
          <w:szCs w:val="26"/>
        </w:rPr>
      </w:pPr>
      <w:r>
        <w:rPr>
          <w:szCs w:val="26"/>
        </w:rPr>
        <w:t xml:space="preserve">Proposed standards CIP-004-6, -007-6, </w:t>
      </w:r>
      <w:r w:rsidRPr="00BF0122">
        <w:rPr>
          <w:szCs w:val="26"/>
        </w:rPr>
        <w:t>009-6</w:t>
      </w:r>
      <w:r>
        <w:rPr>
          <w:szCs w:val="26"/>
        </w:rPr>
        <w:t>,</w:t>
      </w:r>
      <w:r w:rsidRPr="00BF0122">
        <w:rPr>
          <w:szCs w:val="26"/>
        </w:rPr>
        <w:t xml:space="preserve"> </w:t>
      </w:r>
      <w:r>
        <w:rPr>
          <w:szCs w:val="26"/>
        </w:rPr>
        <w:t>and -011-2 do not affect burden.</w:t>
      </w:r>
    </w:p>
    <w:p w14:paraId="48FB2420" w14:textId="77777777" w:rsidR="00BF0122" w:rsidRPr="00894C6A" w:rsidRDefault="00BF0122" w:rsidP="0073089F">
      <w:pPr>
        <w:rPr>
          <w:szCs w:val="26"/>
        </w:rPr>
      </w:pPr>
    </w:p>
    <w:p w14:paraId="65A5C8F9" w14:textId="77777777" w:rsidR="0073089F" w:rsidRPr="00894C6A" w:rsidRDefault="0073089F" w:rsidP="0073089F">
      <w:pPr>
        <w:pStyle w:val="Level1"/>
        <w:rPr>
          <w:b/>
          <w:sz w:val="26"/>
          <w:szCs w:val="26"/>
        </w:rPr>
      </w:pPr>
      <w:r w:rsidRPr="00894C6A">
        <w:rPr>
          <w:b/>
          <w:sz w:val="26"/>
          <w:szCs w:val="26"/>
        </w:rPr>
        <w:t>ESTIMATE OF THE TOTAL ANNUAL COST BURDEN TO RESPONDENTS</w:t>
      </w:r>
    </w:p>
    <w:p w14:paraId="241BE122" w14:textId="77777777" w:rsidR="006A3A55" w:rsidRPr="002359F6" w:rsidRDefault="006A3A55" w:rsidP="006A3A55">
      <w:pPr>
        <w:rPr>
          <w:szCs w:val="26"/>
        </w:rPr>
      </w:pPr>
      <w:r w:rsidRPr="002359F6">
        <w:rPr>
          <w:szCs w:val="26"/>
        </w:rPr>
        <w:t xml:space="preserve">There </w:t>
      </w:r>
      <w:proofErr w:type="gramStart"/>
      <w:r w:rsidRPr="002359F6">
        <w:rPr>
          <w:szCs w:val="26"/>
        </w:rPr>
        <w:t>are</w:t>
      </w:r>
      <w:proofErr w:type="gramEnd"/>
      <w:r w:rsidRPr="002359F6">
        <w:rPr>
          <w:szCs w:val="26"/>
        </w:rPr>
        <w:t xml:space="preserve"> no start-up or other non-labor costs.</w:t>
      </w:r>
    </w:p>
    <w:p w14:paraId="5C98A5AC" w14:textId="77777777" w:rsidR="006A3A55" w:rsidRPr="002359F6" w:rsidRDefault="006A3A55" w:rsidP="006A3A55">
      <w:pPr>
        <w:rPr>
          <w:szCs w:val="26"/>
        </w:rPr>
      </w:pPr>
    </w:p>
    <w:p w14:paraId="6718ACE5" w14:textId="77777777" w:rsidR="006A3A55" w:rsidRPr="002359F6" w:rsidRDefault="006A3A55" w:rsidP="006A3A55">
      <w:pPr>
        <w:ind w:firstLine="720"/>
        <w:rPr>
          <w:szCs w:val="26"/>
        </w:rPr>
      </w:pPr>
      <w:r w:rsidRPr="002359F6">
        <w:rPr>
          <w:szCs w:val="26"/>
        </w:rPr>
        <w:t>Total Capital and Start-up cost: $0</w:t>
      </w:r>
    </w:p>
    <w:p w14:paraId="38ADBF3C" w14:textId="77777777" w:rsidR="006A3A55" w:rsidRPr="002359F6" w:rsidRDefault="006A3A55" w:rsidP="006A3A55">
      <w:pPr>
        <w:ind w:left="720"/>
        <w:rPr>
          <w:szCs w:val="26"/>
        </w:rPr>
      </w:pPr>
      <w:r w:rsidRPr="002359F6">
        <w:rPr>
          <w:szCs w:val="26"/>
        </w:rPr>
        <w:t>Total Operation, Maintenance, and Purchase of Services: $0</w:t>
      </w:r>
    </w:p>
    <w:p w14:paraId="7C8E25CD" w14:textId="77777777" w:rsidR="006A3A55" w:rsidRPr="002359F6" w:rsidRDefault="006A3A55" w:rsidP="006A3A55">
      <w:pPr>
        <w:rPr>
          <w:szCs w:val="26"/>
        </w:rPr>
      </w:pPr>
    </w:p>
    <w:p w14:paraId="744D34D6" w14:textId="77777777" w:rsidR="006A3A55" w:rsidRPr="002359F6" w:rsidRDefault="006A3A55" w:rsidP="006A3A55">
      <w:pPr>
        <w:rPr>
          <w:szCs w:val="26"/>
        </w:rPr>
      </w:pPr>
      <w:r w:rsidRPr="002359F6">
        <w:rPr>
          <w:szCs w:val="26"/>
        </w:rPr>
        <w:lastRenderedPageBreak/>
        <w:t xml:space="preserve">All of the costs in the proposed rule are associated with burden hours (labor) and described in Questions #12 and #15 in this supporting statement. </w:t>
      </w:r>
    </w:p>
    <w:p w14:paraId="50F0F040" w14:textId="77777777" w:rsidR="0073089F" w:rsidRPr="00894C6A" w:rsidRDefault="0073089F" w:rsidP="0073089F">
      <w:pPr>
        <w:rPr>
          <w:szCs w:val="26"/>
        </w:rPr>
      </w:pPr>
    </w:p>
    <w:p w14:paraId="463DA07D" w14:textId="77777777" w:rsidR="0073089F" w:rsidRPr="00894C6A" w:rsidRDefault="0073089F" w:rsidP="0073089F">
      <w:pPr>
        <w:pStyle w:val="Level1"/>
        <w:rPr>
          <w:b/>
          <w:sz w:val="26"/>
          <w:szCs w:val="26"/>
        </w:rPr>
      </w:pPr>
      <w:r w:rsidRPr="00894C6A">
        <w:rPr>
          <w:b/>
          <w:sz w:val="26"/>
          <w:szCs w:val="26"/>
        </w:rPr>
        <w:t>ESTIMATED ANNUALIZED COST TO FEDERAL GOVERNMENT</w:t>
      </w:r>
    </w:p>
    <w:p w14:paraId="4542C210" w14:textId="77777777" w:rsidR="0073089F" w:rsidRPr="00894C6A" w:rsidRDefault="0073089F" w:rsidP="0073089F">
      <w:pPr>
        <w:rPr>
          <w:szCs w:val="26"/>
        </w:rPr>
      </w:pPr>
    </w:p>
    <w:p w14:paraId="2D1BB3CF" w14:textId="77777777" w:rsidR="00060E45" w:rsidRDefault="00060E45" w:rsidP="0073089F">
      <w:pPr>
        <w:rPr>
          <w:szCs w:val="26"/>
        </w:rPr>
      </w:pPr>
      <w:r w:rsidRPr="00060E45">
        <w:rPr>
          <w:szCs w:val="26"/>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1ACDD76E" w14:textId="77777777" w:rsidR="00060E45" w:rsidRDefault="00060E45" w:rsidP="0073089F">
      <w:pPr>
        <w:rPr>
          <w:szCs w:val="26"/>
        </w:rPr>
      </w:pPr>
    </w:p>
    <w:p w14:paraId="65CE5885" w14:textId="66ACB92F" w:rsidR="0073089F" w:rsidRPr="00894C6A" w:rsidRDefault="0073089F" w:rsidP="0073089F">
      <w:pPr>
        <w:rPr>
          <w:szCs w:val="26"/>
        </w:rPr>
      </w:pPr>
      <w:r w:rsidRPr="00894C6A">
        <w:rPr>
          <w:szCs w:val="26"/>
        </w:rPr>
        <w:t>The estimated annualized cost to the Federal Government for FERC-725</w:t>
      </w:r>
      <w:r w:rsidR="00894C6A" w:rsidRPr="00894C6A">
        <w:rPr>
          <w:szCs w:val="26"/>
        </w:rPr>
        <w:t>B</w:t>
      </w:r>
      <w:r w:rsidRPr="00894C6A">
        <w:rPr>
          <w:szCs w:val="26"/>
        </w:rPr>
        <w:t xml:space="preserve"> as related to the requirements in the </w:t>
      </w:r>
      <w:r w:rsidR="00060E45">
        <w:rPr>
          <w:szCs w:val="26"/>
        </w:rPr>
        <w:t>NOPR</w:t>
      </w:r>
      <w:r w:rsidRPr="00894C6A">
        <w:rPr>
          <w:szCs w:val="26"/>
        </w:rPr>
        <w:t xml:space="preserve"> in RM15-</w:t>
      </w:r>
      <w:r w:rsidR="00894C6A" w:rsidRPr="00894C6A">
        <w:rPr>
          <w:szCs w:val="26"/>
        </w:rPr>
        <w:t>1</w:t>
      </w:r>
      <w:r w:rsidRPr="00894C6A">
        <w:rPr>
          <w:szCs w:val="26"/>
        </w:rPr>
        <w:t>4-000 follows:</w:t>
      </w:r>
    </w:p>
    <w:p w14:paraId="3826E40C" w14:textId="77777777" w:rsidR="0073089F" w:rsidRPr="00894C6A" w:rsidRDefault="0073089F" w:rsidP="0073089F">
      <w:pPr>
        <w:rPr>
          <w:szCs w:val="26"/>
        </w:rPr>
      </w:pPr>
    </w:p>
    <w:p w14:paraId="47077242" w14:textId="0B491ECA" w:rsidR="0073089F" w:rsidRPr="00894C6A" w:rsidRDefault="0073089F" w:rsidP="0073089F">
      <w:pPr>
        <w:rPr>
          <w:szCs w:val="26"/>
        </w:rPr>
      </w:pPr>
      <w:r w:rsidRPr="00894C6A">
        <w:rPr>
          <w:szCs w:val="26"/>
        </w:rPr>
        <w:t>Annualized cost to Federal Government</w:t>
      </w:r>
    </w:p>
    <w:p w14:paraId="03B715E9" w14:textId="77777777" w:rsidR="0073089F" w:rsidRPr="00894C6A" w:rsidRDefault="0073089F" w:rsidP="0073089F">
      <w:pPr>
        <w:rPr>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894C6A" w:rsidRPr="00894C6A" w14:paraId="2457D624" w14:textId="77777777">
        <w:tc>
          <w:tcPr>
            <w:tcW w:w="3182" w:type="dxa"/>
            <w:tcBorders>
              <w:top w:val="single" w:sz="4" w:space="0" w:color="auto"/>
              <w:left w:val="single" w:sz="4" w:space="0" w:color="auto"/>
              <w:bottom w:val="single" w:sz="4" w:space="0" w:color="auto"/>
              <w:right w:val="single" w:sz="4" w:space="0" w:color="auto"/>
            </w:tcBorders>
            <w:shd w:val="clear" w:color="auto" w:fill="CCCCCC"/>
          </w:tcPr>
          <w:p w14:paraId="21D04D82" w14:textId="77777777" w:rsidR="0073089F" w:rsidRPr="00894C6A" w:rsidRDefault="0073089F" w:rsidP="00A2254E">
            <w:pPr>
              <w:rPr>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4F3A411A" w14:textId="77777777" w:rsidR="0073089F" w:rsidRPr="00894C6A" w:rsidRDefault="0073089F" w:rsidP="00A2254E">
            <w:pPr>
              <w:rPr>
                <w:b/>
                <w:szCs w:val="26"/>
              </w:rPr>
            </w:pPr>
            <w:r w:rsidRPr="00894C6A">
              <w:rPr>
                <w:b/>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08E06A3A" w14:textId="77777777" w:rsidR="0073089F" w:rsidRPr="00894C6A" w:rsidRDefault="0073089F" w:rsidP="00A2254E">
            <w:pPr>
              <w:rPr>
                <w:b/>
                <w:szCs w:val="26"/>
              </w:rPr>
            </w:pPr>
            <w:r w:rsidRPr="00894C6A">
              <w:rPr>
                <w:b/>
                <w:szCs w:val="26"/>
              </w:rPr>
              <w:t>Estimated Annual Federal Cost</w:t>
            </w:r>
          </w:p>
        </w:tc>
      </w:tr>
      <w:tr w:rsidR="00894C6A" w:rsidRPr="00894C6A" w14:paraId="35C19D30" w14:textId="77777777">
        <w:tc>
          <w:tcPr>
            <w:tcW w:w="3182" w:type="dxa"/>
            <w:tcBorders>
              <w:top w:val="single" w:sz="4" w:space="0" w:color="auto"/>
              <w:left w:val="single" w:sz="4" w:space="0" w:color="auto"/>
              <w:bottom w:val="single" w:sz="4" w:space="0" w:color="auto"/>
              <w:right w:val="single" w:sz="4" w:space="0" w:color="auto"/>
            </w:tcBorders>
          </w:tcPr>
          <w:p w14:paraId="58BED6DA" w14:textId="0F2ECF47" w:rsidR="0073089F" w:rsidRPr="00894C6A" w:rsidRDefault="0073089F" w:rsidP="00060E45">
            <w:pPr>
              <w:rPr>
                <w:szCs w:val="26"/>
              </w:rPr>
            </w:pPr>
            <w:r w:rsidRPr="00894C6A">
              <w:rPr>
                <w:szCs w:val="26"/>
              </w:rPr>
              <w:t>FERC-725</w:t>
            </w:r>
            <w:r w:rsidR="00894C6A" w:rsidRPr="00894C6A">
              <w:rPr>
                <w:szCs w:val="26"/>
              </w:rPr>
              <w:t>B</w:t>
            </w:r>
            <w:r w:rsidRPr="00894C6A">
              <w:rPr>
                <w:szCs w:val="26"/>
              </w:rPr>
              <w:t xml:space="preserv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C4556BE" w14:textId="77777777" w:rsidR="0073089F" w:rsidRPr="00894C6A" w:rsidRDefault="0073089F" w:rsidP="00A2254E">
            <w:pPr>
              <w:rPr>
                <w:szCs w:val="26"/>
              </w:rPr>
            </w:pPr>
            <w:r w:rsidRPr="00894C6A">
              <w:rPr>
                <w:szCs w:val="26"/>
              </w:rPr>
              <w:t>0</w:t>
            </w:r>
          </w:p>
        </w:tc>
        <w:tc>
          <w:tcPr>
            <w:tcW w:w="2995" w:type="dxa"/>
            <w:tcBorders>
              <w:top w:val="single" w:sz="4" w:space="0" w:color="auto"/>
              <w:left w:val="single" w:sz="4" w:space="0" w:color="auto"/>
              <w:bottom w:val="single" w:sz="4" w:space="0" w:color="auto"/>
              <w:right w:val="single" w:sz="4" w:space="0" w:color="auto"/>
            </w:tcBorders>
            <w:vAlign w:val="bottom"/>
          </w:tcPr>
          <w:p w14:paraId="7B1D7FED" w14:textId="77777777" w:rsidR="0073089F" w:rsidRPr="00894C6A" w:rsidRDefault="0073089F" w:rsidP="00A2254E">
            <w:pPr>
              <w:rPr>
                <w:szCs w:val="26"/>
              </w:rPr>
            </w:pPr>
            <w:r w:rsidRPr="00894C6A">
              <w:rPr>
                <w:szCs w:val="26"/>
              </w:rPr>
              <w:t>$0</w:t>
            </w:r>
          </w:p>
        </w:tc>
      </w:tr>
      <w:tr w:rsidR="00894C6A" w:rsidRPr="00894C6A" w14:paraId="370C4CBF" w14:textId="77777777">
        <w:tc>
          <w:tcPr>
            <w:tcW w:w="3182" w:type="dxa"/>
            <w:tcBorders>
              <w:top w:val="single" w:sz="4" w:space="0" w:color="auto"/>
              <w:left w:val="single" w:sz="4" w:space="0" w:color="auto"/>
              <w:bottom w:val="single" w:sz="4" w:space="0" w:color="auto"/>
              <w:right w:val="single" w:sz="4" w:space="0" w:color="auto"/>
            </w:tcBorders>
          </w:tcPr>
          <w:p w14:paraId="5FB7F81A" w14:textId="77777777" w:rsidR="0073089F" w:rsidRPr="00894C6A" w:rsidRDefault="0073089F" w:rsidP="00A2254E">
            <w:pPr>
              <w:rPr>
                <w:szCs w:val="26"/>
              </w:rPr>
            </w:pPr>
            <w:r w:rsidRPr="00894C6A">
              <w:rPr>
                <w:szCs w:val="26"/>
              </w:rPr>
              <w:t>PRA</w:t>
            </w:r>
            <w:r w:rsidRPr="00894C6A">
              <w:rPr>
                <w:szCs w:val="26"/>
                <w:vertAlign w:val="superscript"/>
              </w:rPr>
              <w:footnoteReference w:id="4"/>
            </w:r>
            <w:r w:rsidRPr="00894C6A">
              <w:rPr>
                <w:szCs w:val="26"/>
              </w:rPr>
              <w:t xml:space="preserve"> Administrative Cost</w:t>
            </w:r>
            <w:r w:rsidRPr="00894C6A">
              <w:rPr>
                <w:rStyle w:val="FootnoteReference"/>
              </w:rPr>
              <w:footnoteReference w:id="5"/>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2FB5EA18" w14:textId="77777777" w:rsidR="0073089F" w:rsidRPr="00894C6A" w:rsidRDefault="0073089F" w:rsidP="00A2254E">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70E25CBA" w14:textId="77777777" w:rsidR="0073089F" w:rsidRPr="00894C6A" w:rsidRDefault="0073089F" w:rsidP="00A2254E">
            <w:pPr>
              <w:rPr>
                <w:szCs w:val="26"/>
              </w:rPr>
            </w:pPr>
            <w:r w:rsidRPr="00894C6A">
              <w:rPr>
                <w:szCs w:val="26"/>
              </w:rPr>
              <w:t>$5,193</w:t>
            </w:r>
          </w:p>
        </w:tc>
      </w:tr>
      <w:tr w:rsidR="008A611C" w:rsidRPr="00894C6A" w14:paraId="45C5C525" w14:textId="77777777">
        <w:tc>
          <w:tcPr>
            <w:tcW w:w="3182" w:type="dxa"/>
            <w:tcBorders>
              <w:top w:val="single" w:sz="4" w:space="0" w:color="auto"/>
              <w:left w:val="single" w:sz="4" w:space="0" w:color="auto"/>
              <w:bottom w:val="single" w:sz="4" w:space="0" w:color="auto"/>
              <w:right w:val="single" w:sz="4" w:space="0" w:color="auto"/>
            </w:tcBorders>
          </w:tcPr>
          <w:p w14:paraId="6DE91AEB" w14:textId="77777777" w:rsidR="0073089F" w:rsidRPr="00894C6A" w:rsidRDefault="0073089F" w:rsidP="00A2254E">
            <w:pPr>
              <w:rPr>
                <w:szCs w:val="26"/>
              </w:rPr>
            </w:pPr>
            <w:r w:rsidRPr="00894C6A">
              <w:rPr>
                <w:b/>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22BA99EA" w14:textId="77777777" w:rsidR="0073089F" w:rsidRPr="00894C6A" w:rsidRDefault="0073089F" w:rsidP="00A2254E">
            <w:pPr>
              <w:rPr>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6BAF791A" w14:textId="77777777" w:rsidR="0073089F" w:rsidRPr="00894C6A" w:rsidRDefault="0073089F" w:rsidP="00A2254E">
            <w:pPr>
              <w:rPr>
                <w:szCs w:val="26"/>
              </w:rPr>
            </w:pPr>
            <w:r w:rsidRPr="00894C6A">
              <w:rPr>
                <w:szCs w:val="26"/>
              </w:rPr>
              <w:t>$5,193</w:t>
            </w:r>
          </w:p>
        </w:tc>
      </w:tr>
    </w:tbl>
    <w:p w14:paraId="4F28E918" w14:textId="77777777" w:rsidR="0073089F" w:rsidRPr="00894C6A" w:rsidRDefault="0073089F" w:rsidP="0073089F">
      <w:pPr>
        <w:rPr>
          <w:szCs w:val="26"/>
        </w:rPr>
      </w:pPr>
    </w:p>
    <w:p w14:paraId="6F831096" w14:textId="77777777" w:rsidR="0073089F" w:rsidRPr="00894C6A" w:rsidRDefault="0073089F" w:rsidP="0073089F">
      <w:pPr>
        <w:rPr>
          <w:szCs w:val="26"/>
        </w:rPr>
      </w:pPr>
    </w:p>
    <w:p w14:paraId="122046A7" w14:textId="77777777" w:rsidR="0073089F" w:rsidRPr="00894C6A" w:rsidRDefault="0073089F" w:rsidP="0073089F">
      <w:pPr>
        <w:pStyle w:val="Level1"/>
        <w:rPr>
          <w:b/>
          <w:sz w:val="26"/>
          <w:szCs w:val="26"/>
        </w:rPr>
      </w:pPr>
      <w:r w:rsidRPr="00894C6A">
        <w:rPr>
          <w:b/>
          <w:sz w:val="26"/>
          <w:szCs w:val="26"/>
        </w:rPr>
        <w:t>REASONS FOR CHANGES IN BURDEN INCLUDING THE NEED FOR ANY INCREASE</w:t>
      </w:r>
    </w:p>
    <w:p w14:paraId="7B432764" w14:textId="77777777" w:rsidR="00614F75" w:rsidRPr="00894C6A" w:rsidRDefault="00614F75" w:rsidP="0073089F">
      <w:pPr>
        <w:rPr>
          <w:szCs w:val="26"/>
        </w:rPr>
      </w:pPr>
    </w:p>
    <w:p w14:paraId="5A4B2668" w14:textId="77777777" w:rsidR="0073089F" w:rsidRDefault="00790AF3" w:rsidP="0073089F">
      <w:r>
        <w:t xml:space="preserve">The Federal Energy Regulatory Commission (Commission) proposes to approve seven critical infrastructure protection (CIP) Reliability Standards: CIP-003-6 (Security Management Controls), CIP-004-6 (Personnel and Training), CIP-006-6 (Physical Security of BES Cyber Systems), CIP-007-6 (Systems Security Management), CIP-009-6 </w:t>
      </w:r>
      <w:r>
        <w:lastRenderedPageBreak/>
        <w:t>(Recovery Plans for BES Cyber Systems), CIP-010-2 (Configuration Change Management and Vulnerability Assessments), and CIP-011-2 (Information Protection). The North American Electric Reliability Corporation (NERC) submitted the proposed Reliability Standards in response to the Commission’s Order No. 791. The proposed Reliability Standards address the cyber security of the bulk electric system and improve upon the current Commission-approved CIP Reliability Standards. In addition, the Commission proposes to direct NERC to develop certain modifications to Reliability Standard CIP-006-6 and to develop requirements addressing supply chain management.</w:t>
      </w:r>
    </w:p>
    <w:p w14:paraId="100D4005" w14:textId="77777777" w:rsidR="00790AF3" w:rsidRDefault="00790AF3" w:rsidP="0073089F"/>
    <w:p w14:paraId="675DCA4B" w14:textId="77777777" w:rsidR="00790AF3" w:rsidRDefault="00790AF3" w:rsidP="0073089F">
      <w:r>
        <w:t>The proposed Reliability Standards are designed to mitigate the cybersecurity risks to bulk electric system facilities, systems, and equipment, which, if destroyed, degraded, or otherwise rendered unavailable as a result of a cybersecurity incident, would affect the reliable operation of the Bulk-Power System. 3 As discussed below, we believe that the proposed CIP Reliability Standards are just and reasonable and address the directives in Order No. 791 by: (1) eliminating the “identify, assess, and correct” language in 17 of the CIP version 5 Standard requirements; (2) providing enhanced security controls for Low Impact assets; (3) providing controls to address the risks posed by transient electronic devices (e.g., thumb drives and laptop computers); and (4) addressing in an equally effective and efficient manner the need for a NERC Glossary definition for the term “communication networks.” Accordingly, we propose to approve the proposed CIP Reliability Standards because they improve the base-line cybersecurity posture of applicable entities compared to the current Commission-approved CIP Reliability Standards.</w:t>
      </w:r>
    </w:p>
    <w:p w14:paraId="14268E38" w14:textId="77777777" w:rsidR="00C40814" w:rsidRDefault="00C40814" w:rsidP="0073089F"/>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C40814" w:rsidRPr="00E012D6" w14:paraId="6B4066F3" w14:textId="77777777" w:rsidTr="0038319D">
        <w:trPr>
          <w:trHeight w:val="870"/>
        </w:trPr>
        <w:tc>
          <w:tcPr>
            <w:tcW w:w="2589" w:type="dxa"/>
            <w:shd w:val="clear" w:color="auto" w:fill="D9D9D9"/>
            <w:vAlign w:val="bottom"/>
          </w:tcPr>
          <w:p w14:paraId="262AAE32" w14:textId="11D28A7F" w:rsidR="00C40814" w:rsidRPr="00E012D6" w:rsidRDefault="00C40814" w:rsidP="00060E45">
            <w:pPr>
              <w:rPr>
                <w:b/>
                <w:szCs w:val="26"/>
              </w:rPr>
            </w:pPr>
            <w:r>
              <w:rPr>
                <w:b/>
                <w:szCs w:val="26"/>
              </w:rPr>
              <w:t>FERC-725B</w:t>
            </w:r>
          </w:p>
        </w:tc>
        <w:tc>
          <w:tcPr>
            <w:tcW w:w="1779" w:type="dxa"/>
            <w:shd w:val="clear" w:color="auto" w:fill="D9D9D9"/>
            <w:vAlign w:val="bottom"/>
          </w:tcPr>
          <w:p w14:paraId="4E698250" w14:textId="77777777" w:rsidR="00C40814" w:rsidRPr="00E012D6" w:rsidRDefault="00C40814" w:rsidP="0038319D">
            <w:pPr>
              <w:rPr>
                <w:b/>
                <w:szCs w:val="26"/>
              </w:rPr>
            </w:pPr>
            <w:r w:rsidRPr="00E012D6">
              <w:rPr>
                <w:b/>
                <w:szCs w:val="26"/>
              </w:rPr>
              <w:t>Total Request</w:t>
            </w:r>
          </w:p>
        </w:tc>
        <w:tc>
          <w:tcPr>
            <w:tcW w:w="1959" w:type="dxa"/>
            <w:shd w:val="clear" w:color="auto" w:fill="D9D9D9"/>
            <w:vAlign w:val="bottom"/>
          </w:tcPr>
          <w:p w14:paraId="40B92236" w14:textId="77777777" w:rsidR="00C40814" w:rsidRPr="00E012D6" w:rsidRDefault="00C40814" w:rsidP="0038319D">
            <w:pPr>
              <w:rPr>
                <w:b/>
                <w:szCs w:val="26"/>
              </w:rPr>
            </w:pPr>
            <w:r w:rsidRPr="00E012D6">
              <w:rPr>
                <w:b/>
                <w:szCs w:val="26"/>
              </w:rPr>
              <w:t>Previously Approved</w:t>
            </w:r>
          </w:p>
        </w:tc>
        <w:tc>
          <w:tcPr>
            <w:tcW w:w="1683" w:type="dxa"/>
            <w:shd w:val="clear" w:color="auto" w:fill="D9D9D9"/>
            <w:vAlign w:val="bottom"/>
          </w:tcPr>
          <w:p w14:paraId="196241B8" w14:textId="77777777" w:rsidR="00C40814" w:rsidRPr="00E012D6" w:rsidRDefault="00C40814" w:rsidP="0038319D">
            <w:pPr>
              <w:rPr>
                <w:b/>
                <w:szCs w:val="26"/>
              </w:rPr>
            </w:pPr>
            <w:r w:rsidRPr="00E012D6">
              <w:rPr>
                <w:b/>
                <w:szCs w:val="26"/>
              </w:rPr>
              <w:t>Change due to Adjustment in Estimate</w:t>
            </w:r>
          </w:p>
        </w:tc>
        <w:tc>
          <w:tcPr>
            <w:tcW w:w="1357" w:type="dxa"/>
            <w:shd w:val="clear" w:color="auto" w:fill="D9D9D9"/>
            <w:vAlign w:val="bottom"/>
          </w:tcPr>
          <w:p w14:paraId="697FE9FC" w14:textId="77777777" w:rsidR="00C40814" w:rsidRPr="00E012D6" w:rsidRDefault="00C40814" w:rsidP="0038319D">
            <w:pPr>
              <w:rPr>
                <w:b/>
                <w:szCs w:val="26"/>
              </w:rPr>
            </w:pPr>
            <w:r w:rsidRPr="00E012D6">
              <w:rPr>
                <w:b/>
                <w:szCs w:val="26"/>
              </w:rPr>
              <w:t>Change Due to Agency Discretion</w:t>
            </w:r>
          </w:p>
        </w:tc>
      </w:tr>
      <w:tr w:rsidR="00C40814" w:rsidRPr="00E012D6" w14:paraId="5C073F4A" w14:textId="77777777" w:rsidTr="0038319D">
        <w:trPr>
          <w:trHeight w:val="591"/>
        </w:trPr>
        <w:tc>
          <w:tcPr>
            <w:tcW w:w="2589" w:type="dxa"/>
          </w:tcPr>
          <w:p w14:paraId="20BA6287" w14:textId="77777777" w:rsidR="00C40814" w:rsidRPr="00E012D6" w:rsidRDefault="00C40814" w:rsidP="0038319D">
            <w:pPr>
              <w:rPr>
                <w:szCs w:val="26"/>
              </w:rPr>
            </w:pPr>
            <w:r w:rsidRPr="00E012D6">
              <w:rPr>
                <w:szCs w:val="26"/>
              </w:rPr>
              <w:t>Annual Number of Responses</w:t>
            </w:r>
          </w:p>
        </w:tc>
        <w:tc>
          <w:tcPr>
            <w:tcW w:w="1779" w:type="dxa"/>
            <w:vAlign w:val="center"/>
          </w:tcPr>
          <w:p w14:paraId="29629E40" w14:textId="77777777" w:rsidR="00C40814" w:rsidRPr="00E012D6" w:rsidRDefault="00C40814" w:rsidP="0038319D">
            <w:pPr>
              <w:rPr>
                <w:szCs w:val="26"/>
              </w:rPr>
            </w:pPr>
            <w:r>
              <w:rPr>
                <w:szCs w:val="26"/>
              </w:rPr>
              <w:t>1415</w:t>
            </w:r>
          </w:p>
        </w:tc>
        <w:tc>
          <w:tcPr>
            <w:tcW w:w="1959" w:type="dxa"/>
            <w:vAlign w:val="center"/>
          </w:tcPr>
          <w:p w14:paraId="475DC27C" w14:textId="77777777" w:rsidR="00C40814" w:rsidRPr="00E012D6" w:rsidRDefault="00C40814" w:rsidP="0038319D">
            <w:pPr>
              <w:rPr>
                <w:szCs w:val="26"/>
              </w:rPr>
            </w:pPr>
            <w:r>
              <w:rPr>
                <w:szCs w:val="26"/>
              </w:rPr>
              <w:t>1415</w:t>
            </w:r>
          </w:p>
        </w:tc>
        <w:tc>
          <w:tcPr>
            <w:tcW w:w="1683" w:type="dxa"/>
            <w:vAlign w:val="center"/>
          </w:tcPr>
          <w:p w14:paraId="72FAE297" w14:textId="77777777" w:rsidR="00C40814" w:rsidRPr="00E012D6" w:rsidRDefault="00C40814" w:rsidP="0038319D">
            <w:pPr>
              <w:rPr>
                <w:szCs w:val="26"/>
              </w:rPr>
            </w:pPr>
            <w:r>
              <w:rPr>
                <w:szCs w:val="26"/>
              </w:rPr>
              <w:t>0</w:t>
            </w:r>
          </w:p>
        </w:tc>
        <w:tc>
          <w:tcPr>
            <w:tcW w:w="1357" w:type="dxa"/>
            <w:vAlign w:val="center"/>
          </w:tcPr>
          <w:p w14:paraId="1DD3A901" w14:textId="77777777" w:rsidR="00C40814" w:rsidRPr="00E012D6" w:rsidRDefault="00C40814" w:rsidP="0038319D">
            <w:pPr>
              <w:rPr>
                <w:szCs w:val="26"/>
              </w:rPr>
            </w:pPr>
            <w:r>
              <w:rPr>
                <w:szCs w:val="26"/>
              </w:rPr>
              <w:t>0</w:t>
            </w:r>
          </w:p>
        </w:tc>
      </w:tr>
      <w:tr w:rsidR="00C40814" w:rsidRPr="00E012D6" w14:paraId="67C65C2B" w14:textId="77777777" w:rsidTr="0038319D">
        <w:trPr>
          <w:trHeight w:val="575"/>
        </w:trPr>
        <w:tc>
          <w:tcPr>
            <w:tcW w:w="2589" w:type="dxa"/>
          </w:tcPr>
          <w:p w14:paraId="1D13CF01" w14:textId="6813C78E" w:rsidR="00C40814" w:rsidRPr="00E012D6" w:rsidRDefault="00C40814" w:rsidP="00431D3C">
            <w:pPr>
              <w:rPr>
                <w:szCs w:val="26"/>
              </w:rPr>
            </w:pPr>
            <w:r w:rsidRPr="00E012D6">
              <w:rPr>
                <w:szCs w:val="26"/>
              </w:rPr>
              <w:t>Annual Time Burden (</w:t>
            </w:r>
            <w:proofErr w:type="spellStart"/>
            <w:r w:rsidRPr="00E012D6">
              <w:rPr>
                <w:szCs w:val="26"/>
              </w:rPr>
              <w:t>Hr</w:t>
            </w:r>
            <w:proofErr w:type="spellEnd"/>
            <w:r w:rsidRPr="00E012D6">
              <w:rPr>
                <w:szCs w:val="26"/>
              </w:rPr>
              <w:t xml:space="preserve">) </w:t>
            </w:r>
            <w:bookmarkStart w:id="1" w:name="_GoBack"/>
            <w:bookmarkEnd w:id="1"/>
          </w:p>
        </w:tc>
        <w:tc>
          <w:tcPr>
            <w:tcW w:w="1779" w:type="dxa"/>
            <w:vAlign w:val="center"/>
          </w:tcPr>
          <w:p w14:paraId="1BF91A07" w14:textId="77777777" w:rsidR="00C40814" w:rsidRPr="00E012D6" w:rsidRDefault="00C40814" w:rsidP="0038319D">
            <w:pPr>
              <w:rPr>
                <w:szCs w:val="26"/>
              </w:rPr>
            </w:pPr>
            <w:r>
              <w:rPr>
                <w:szCs w:val="26"/>
              </w:rPr>
              <w:t>1,569,409</w:t>
            </w:r>
          </w:p>
        </w:tc>
        <w:tc>
          <w:tcPr>
            <w:tcW w:w="1959" w:type="dxa"/>
            <w:vAlign w:val="center"/>
          </w:tcPr>
          <w:p w14:paraId="3E684F04" w14:textId="77777777" w:rsidR="00C40814" w:rsidRPr="00E012D6" w:rsidRDefault="00C40814" w:rsidP="0038319D">
            <w:pPr>
              <w:rPr>
                <w:szCs w:val="26"/>
              </w:rPr>
            </w:pPr>
            <w:r>
              <w:rPr>
                <w:szCs w:val="26"/>
              </w:rPr>
              <w:t>1,214,042</w:t>
            </w:r>
          </w:p>
        </w:tc>
        <w:tc>
          <w:tcPr>
            <w:tcW w:w="1683" w:type="dxa"/>
            <w:vAlign w:val="center"/>
          </w:tcPr>
          <w:p w14:paraId="42AC2970" w14:textId="77777777" w:rsidR="00C40814" w:rsidRPr="00E012D6" w:rsidRDefault="00C40814" w:rsidP="0038319D">
            <w:pPr>
              <w:rPr>
                <w:szCs w:val="26"/>
              </w:rPr>
            </w:pPr>
            <w:r>
              <w:rPr>
                <w:szCs w:val="26"/>
              </w:rPr>
              <w:t>0</w:t>
            </w:r>
          </w:p>
        </w:tc>
        <w:tc>
          <w:tcPr>
            <w:tcW w:w="1357" w:type="dxa"/>
            <w:vAlign w:val="center"/>
          </w:tcPr>
          <w:p w14:paraId="61BE977C" w14:textId="77777777" w:rsidR="00C40814" w:rsidRPr="00E012D6" w:rsidRDefault="00C40814" w:rsidP="0038319D">
            <w:pPr>
              <w:rPr>
                <w:szCs w:val="26"/>
              </w:rPr>
            </w:pPr>
            <w:r>
              <w:rPr>
                <w:szCs w:val="26"/>
              </w:rPr>
              <w:t>355,367</w:t>
            </w:r>
          </w:p>
        </w:tc>
      </w:tr>
      <w:tr w:rsidR="00C40814" w:rsidRPr="00E012D6" w14:paraId="00F1B4FA" w14:textId="77777777" w:rsidTr="0038319D">
        <w:trPr>
          <w:trHeight w:val="295"/>
        </w:trPr>
        <w:tc>
          <w:tcPr>
            <w:tcW w:w="2589" w:type="dxa"/>
          </w:tcPr>
          <w:p w14:paraId="3FCABB95" w14:textId="77777777" w:rsidR="00C40814" w:rsidRPr="00E012D6" w:rsidRDefault="00C40814" w:rsidP="0038319D">
            <w:pPr>
              <w:rPr>
                <w:szCs w:val="26"/>
              </w:rPr>
            </w:pPr>
            <w:r w:rsidRPr="00E012D6">
              <w:rPr>
                <w:szCs w:val="26"/>
              </w:rPr>
              <w:t>Annual Cost Burden ($)</w:t>
            </w:r>
          </w:p>
        </w:tc>
        <w:tc>
          <w:tcPr>
            <w:tcW w:w="1779" w:type="dxa"/>
            <w:vAlign w:val="center"/>
          </w:tcPr>
          <w:p w14:paraId="5F8B146D" w14:textId="77777777" w:rsidR="00C40814" w:rsidRPr="00E012D6" w:rsidRDefault="00C40814" w:rsidP="0038319D">
            <w:pPr>
              <w:rPr>
                <w:szCs w:val="26"/>
              </w:rPr>
            </w:pPr>
            <w:r>
              <w:rPr>
                <w:szCs w:val="26"/>
              </w:rPr>
              <w:t>0</w:t>
            </w:r>
          </w:p>
        </w:tc>
        <w:tc>
          <w:tcPr>
            <w:tcW w:w="1959" w:type="dxa"/>
            <w:vAlign w:val="center"/>
          </w:tcPr>
          <w:p w14:paraId="759B7681" w14:textId="77777777" w:rsidR="00C40814" w:rsidRPr="00E012D6" w:rsidRDefault="00C40814" w:rsidP="0038319D">
            <w:pPr>
              <w:rPr>
                <w:szCs w:val="26"/>
              </w:rPr>
            </w:pPr>
            <w:r>
              <w:rPr>
                <w:szCs w:val="26"/>
              </w:rPr>
              <w:t>0</w:t>
            </w:r>
          </w:p>
        </w:tc>
        <w:tc>
          <w:tcPr>
            <w:tcW w:w="1683" w:type="dxa"/>
            <w:vAlign w:val="center"/>
          </w:tcPr>
          <w:p w14:paraId="681E3C0E" w14:textId="77777777" w:rsidR="00C40814" w:rsidRPr="00E012D6" w:rsidRDefault="00C40814" w:rsidP="0038319D">
            <w:pPr>
              <w:rPr>
                <w:szCs w:val="26"/>
              </w:rPr>
            </w:pPr>
            <w:r>
              <w:rPr>
                <w:szCs w:val="26"/>
              </w:rPr>
              <w:t>0</w:t>
            </w:r>
          </w:p>
        </w:tc>
        <w:tc>
          <w:tcPr>
            <w:tcW w:w="1357" w:type="dxa"/>
            <w:vAlign w:val="center"/>
          </w:tcPr>
          <w:p w14:paraId="6AF2D567" w14:textId="77777777" w:rsidR="00C40814" w:rsidRPr="00E012D6" w:rsidRDefault="00C40814" w:rsidP="0038319D">
            <w:pPr>
              <w:rPr>
                <w:szCs w:val="26"/>
              </w:rPr>
            </w:pPr>
            <w:r>
              <w:rPr>
                <w:szCs w:val="26"/>
              </w:rPr>
              <w:t>0</w:t>
            </w:r>
          </w:p>
        </w:tc>
      </w:tr>
    </w:tbl>
    <w:p w14:paraId="53B88527" w14:textId="77777777" w:rsidR="00C40814" w:rsidRPr="00894C6A" w:rsidRDefault="00C40814" w:rsidP="0073089F">
      <w:pPr>
        <w:rPr>
          <w:color w:val="FF0000"/>
          <w:szCs w:val="26"/>
        </w:rPr>
      </w:pPr>
    </w:p>
    <w:p w14:paraId="68D91B0F" w14:textId="77777777" w:rsidR="0073089F" w:rsidRPr="00894C6A" w:rsidRDefault="0073089F" w:rsidP="0073089F">
      <w:pPr>
        <w:rPr>
          <w:szCs w:val="26"/>
        </w:rPr>
      </w:pPr>
    </w:p>
    <w:p w14:paraId="6BEFF759" w14:textId="77777777" w:rsidR="0073089F" w:rsidRPr="00894C6A" w:rsidRDefault="0073089F" w:rsidP="0073089F">
      <w:pPr>
        <w:pStyle w:val="Level1"/>
        <w:rPr>
          <w:b/>
          <w:sz w:val="26"/>
          <w:szCs w:val="26"/>
        </w:rPr>
      </w:pPr>
      <w:r w:rsidRPr="00894C6A">
        <w:rPr>
          <w:b/>
          <w:sz w:val="26"/>
          <w:szCs w:val="26"/>
        </w:rPr>
        <w:t>TIME SCHEDULE FOR PUBLICATION OF DATA</w:t>
      </w:r>
    </w:p>
    <w:p w14:paraId="6FF0F68F" w14:textId="77777777" w:rsidR="0073089F" w:rsidRPr="00894C6A" w:rsidRDefault="0073089F" w:rsidP="0073089F">
      <w:pPr>
        <w:rPr>
          <w:szCs w:val="26"/>
        </w:rPr>
      </w:pPr>
    </w:p>
    <w:p w14:paraId="0A2FB514" w14:textId="77777777" w:rsidR="0073089F" w:rsidRPr="00894C6A" w:rsidRDefault="0073089F" w:rsidP="0073089F">
      <w:pPr>
        <w:rPr>
          <w:szCs w:val="26"/>
        </w:rPr>
      </w:pPr>
      <w:r w:rsidRPr="00894C6A">
        <w:rPr>
          <w:szCs w:val="26"/>
        </w:rPr>
        <w:t>FERC does not publish any data associated with this collection.</w:t>
      </w:r>
    </w:p>
    <w:p w14:paraId="63426DBF" w14:textId="77777777" w:rsidR="0073089F" w:rsidRPr="00894C6A" w:rsidRDefault="0073089F" w:rsidP="0073089F">
      <w:pPr>
        <w:rPr>
          <w:szCs w:val="26"/>
        </w:rPr>
      </w:pPr>
    </w:p>
    <w:p w14:paraId="06791C0C" w14:textId="77777777" w:rsidR="0073089F" w:rsidRPr="00894C6A" w:rsidRDefault="0073089F" w:rsidP="0073089F">
      <w:pPr>
        <w:pStyle w:val="Level1"/>
        <w:rPr>
          <w:b/>
          <w:sz w:val="26"/>
          <w:szCs w:val="26"/>
        </w:rPr>
      </w:pPr>
      <w:r w:rsidRPr="00894C6A">
        <w:rPr>
          <w:b/>
          <w:sz w:val="26"/>
          <w:szCs w:val="26"/>
        </w:rPr>
        <w:lastRenderedPageBreak/>
        <w:t>DISPLAY OF EXPIRATION DATE</w:t>
      </w:r>
    </w:p>
    <w:p w14:paraId="6F359BCC" w14:textId="77777777" w:rsidR="0073089F" w:rsidRPr="00894C6A" w:rsidRDefault="0073089F" w:rsidP="0073089F">
      <w:pPr>
        <w:rPr>
          <w:szCs w:val="26"/>
        </w:rPr>
      </w:pPr>
    </w:p>
    <w:p w14:paraId="76A6DE16" w14:textId="59DB7A23" w:rsidR="0073089F" w:rsidRPr="00894C6A" w:rsidRDefault="0073089F" w:rsidP="0073089F">
      <w:pPr>
        <w:rPr>
          <w:szCs w:val="26"/>
        </w:rPr>
      </w:pPr>
      <w:r w:rsidRPr="00894C6A">
        <w:rPr>
          <w:szCs w:val="26"/>
        </w:rPr>
        <w:t>It is not appropriate to display the expiration date for OMB approval of the information collected pursuant to this rulemaking affecting FERC-725</w:t>
      </w:r>
      <w:r w:rsidR="008A611C" w:rsidRPr="00894C6A">
        <w:rPr>
          <w:szCs w:val="26"/>
        </w:rPr>
        <w:t>B</w:t>
      </w:r>
      <w:r w:rsidRPr="00894C6A">
        <w:rPr>
          <w:szCs w:val="26"/>
        </w:rPr>
        <w:t xml:space="preserve"> because there are no specific instruments used in the collection. </w:t>
      </w:r>
    </w:p>
    <w:p w14:paraId="7AA2F14B" w14:textId="77777777" w:rsidR="0073089F" w:rsidRPr="00894C6A" w:rsidRDefault="0073089F" w:rsidP="0073089F">
      <w:pPr>
        <w:rPr>
          <w:szCs w:val="26"/>
        </w:rPr>
      </w:pPr>
    </w:p>
    <w:p w14:paraId="580FBB76" w14:textId="77777777" w:rsidR="0073089F" w:rsidRPr="00894C6A" w:rsidRDefault="0073089F" w:rsidP="0073089F">
      <w:pPr>
        <w:rPr>
          <w:szCs w:val="26"/>
        </w:rPr>
      </w:pPr>
      <w:r w:rsidRPr="00894C6A">
        <w:rPr>
          <w:szCs w:val="26"/>
        </w:rPr>
        <w:t xml:space="preserve">The expiration date is displayed at </w:t>
      </w:r>
      <w:hyperlink r:id="rId13" w:history="1">
        <w:r w:rsidRPr="00894C6A">
          <w:rPr>
            <w:rStyle w:val="Hyperlink"/>
            <w:szCs w:val="26"/>
          </w:rPr>
          <w:t>http://www.ferc.gov/docs-filing/info-collections.asp</w:t>
        </w:r>
      </w:hyperlink>
      <w:r w:rsidRPr="00894C6A">
        <w:rPr>
          <w:szCs w:val="26"/>
        </w:rPr>
        <w:t xml:space="preserve">. </w:t>
      </w:r>
    </w:p>
    <w:p w14:paraId="6E978963" w14:textId="77777777" w:rsidR="0073089F" w:rsidRPr="00894C6A" w:rsidRDefault="0073089F" w:rsidP="0073089F">
      <w:pPr>
        <w:rPr>
          <w:szCs w:val="26"/>
        </w:rPr>
      </w:pPr>
    </w:p>
    <w:p w14:paraId="467E8DE8" w14:textId="77777777" w:rsidR="0073089F" w:rsidRPr="00894C6A" w:rsidRDefault="0073089F" w:rsidP="0073089F">
      <w:pPr>
        <w:pStyle w:val="Level1"/>
        <w:rPr>
          <w:b/>
          <w:sz w:val="26"/>
          <w:szCs w:val="26"/>
        </w:rPr>
      </w:pPr>
      <w:r w:rsidRPr="00894C6A">
        <w:rPr>
          <w:b/>
          <w:sz w:val="26"/>
          <w:szCs w:val="26"/>
        </w:rPr>
        <w:t>EXCEPTIONS TO THE CERTIFICATION STATEMENT</w:t>
      </w:r>
    </w:p>
    <w:p w14:paraId="0016C930" w14:textId="77777777" w:rsidR="0073089F" w:rsidRPr="00894C6A" w:rsidRDefault="0073089F" w:rsidP="0073089F">
      <w:pPr>
        <w:rPr>
          <w:szCs w:val="26"/>
        </w:rPr>
      </w:pPr>
    </w:p>
    <w:p w14:paraId="0530E9FE" w14:textId="3CD1D973" w:rsidR="0073089F" w:rsidRPr="00894C6A" w:rsidRDefault="0073089F" w:rsidP="0073089F">
      <w:pPr>
        <w:rPr>
          <w:szCs w:val="26"/>
        </w:rPr>
      </w:pPr>
      <w:r w:rsidRPr="00894C6A">
        <w:rPr>
          <w:szCs w:val="26"/>
        </w:rPr>
        <w:t>The</w:t>
      </w:r>
      <w:r w:rsidR="00825BC2">
        <w:rPr>
          <w:szCs w:val="26"/>
        </w:rPr>
        <w:t>re are no exceptions</w:t>
      </w:r>
      <w:r w:rsidRPr="00894C6A">
        <w:rPr>
          <w:szCs w:val="26"/>
        </w:rPr>
        <w:t xml:space="preserve">. </w:t>
      </w:r>
    </w:p>
    <w:p w14:paraId="408D678D" w14:textId="77777777" w:rsidR="0010764F" w:rsidRPr="00894C6A" w:rsidRDefault="0010764F">
      <w:pPr>
        <w:rPr>
          <w:szCs w:val="26"/>
        </w:rPr>
      </w:pPr>
    </w:p>
    <w:sectPr w:rsidR="0010764F" w:rsidRPr="00894C6A" w:rsidSect="00A2254E">
      <w:headerReference w:type="default" r:id="rId14"/>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AC204" w14:textId="77777777" w:rsidR="00FF6CCD" w:rsidRDefault="00FF6CCD" w:rsidP="0073089F">
      <w:r>
        <w:separator/>
      </w:r>
    </w:p>
  </w:endnote>
  <w:endnote w:type="continuationSeparator" w:id="0">
    <w:p w14:paraId="29A4A327" w14:textId="77777777" w:rsidR="00FF6CCD" w:rsidRDefault="00FF6CCD" w:rsidP="0073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16EB6" w14:textId="77777777" w:rsidR="00FF6CCD" w:rsidRDefault="00FF6CCD" w:rsidP="0073089F">
      <w:r>
        <w:separator/>
      </w:r>
    </w:p>
  </w:footnote>
  <w:footnote w:type="continuationSeparator" w:id="0">
    <w:p w14:paraId="3C7FDF12" w14:textId="77777777" w:rsidR="00FF6CCD" w:rsidRDefault="00FF6CCD" w:rsidP="0073089F">
      <w:r>
        <w:continuationSeparator/>
      </w:r>
    </w:p>
  </w:footnote>
  <w:footnote w:id="1">
    <w:p w14:paraId="7600E88E" w14:textId="77777777" w:rsidR="00A2254E" w:rsidRDefault="00A2254E" w:rsidP="009A6251">
      <w:pPr>
        <w:pStyle w:val="FootnoteText"/>
        <w:rPr>
          <w:sz w:val="20"/>
        </w:rPr>
      </w:pPr>
      <w:r>
        <w:rPr>
          <w:rStyle w:val="FootnoteReference"/>
          <w:b w:val="0"/>
        </w:rPr>
        <w:footnoteRef/>
      </w:r>
      <w:r>
        <w:t xml:space="preserve"> The Energy Policy Act of 2005, Pub. L. No 109-58, Title XII, Subtitle A, 119 Stat. 594, 941 (2005), codified at 16 U.S.C. 824o (2000).</w:t>
      </w:r>
    </w:p>
  </w:footnote>
  <w:footnote w:id="2">
    <w:p w14:paraId="1BE692CA" w14:textId="77777777" w:rsidR="00A2254E" w:rsidRDefault="00A2254E" w:rsidP="00F3248B">
      <w:pPr>
        <w:pStyle w:val="FootnoteText"/>
        <w:rPr>
          <w:sz w:val="20"/>
        </w:rPr>
      </w:pPr>
      <w:r>
        <w:rPr>
          <w:rStyle w:val="FootnoteReference"/>
        </w:rPr>
        <w:footnoteRef/>
      </w:r>
      <w:r>
        <w:t xml:space="preserve"> This information is based on FERC staff experience with reliability standards.</w:t>
      </w:r>
    </w:p>
  </w:footnote>
  <w:footnote w:id="3">
    <w:p w14:paraId="779A04F4" w14:textId="77777777" w:rsidR="00A2254E" w:rsidRDefault="00A2254E" w:rsidP="00B42AAD">
      <w:pPr>
        <w:pStyle w:val="FootnoteText"/>
        <w:rPr>
          <w:sz w:val="20"/>
        </w:rPr>
      </w:pPr>
      <w:r>
        <w:rPr>
          <w:rStyle w:val="FootnoteReference"/>
        </w:rPr>
        <w:footnoteRef/>
      </w:r>
      <w:r>
        <w:t xml:space="preserve"> See item #7 in this supporting statement.</w:t>
      </w:r>
    </w:p>
  </w:footnote>
  <w:footnote w:id="4">
    <w:p w14:paraId="6ABCFFF8" w14:textId="77777777" w:rsidR="00A2254E" w:rsidRPr="00790AF3" w:rsidRDefault="00A2254E" w:rsidP="0073089F">
      <w:pPr>
        <w:pStyle w:val="FootnoteText"/>
        <w:rPr>
          <w:szCs w:val="18"/>
        </w:rPr>
      </w:pPr>
      <w:r w:rsidRPr="00790AF3">
        <w:rPr>
          <w:rStyle w:val="FootnoteReference"/>
          <w:szCs w:val="18"/>
        </w:rPr>
        <w:footnoteRef/>
      </w:r>
      <w:r w:rsidRPr="00790AF3">
        <w:rPr>
          <w:szCs w:val="18"/>
          <w:vertAlign w:val="superscript"/>
        </w:rPr>
        <w:t xml:space="preserve"> </w:t>
      </w:r>
      <w:r w:rsidRPr="00790AF3">
        <w:rPr>
          <w:szCs w:val="18"/>
        </w:rPr>
        <w:t>Paperwork Reduction Act of 1995 (PRA)</w:t>
      </w:r>
    </w:p>
  </w:footnote>
  <w:footnote w:id="5">
    <w:p w14:paraId="6FB4CC8B" w14:textId="77777777" w:rsidR="00A2254E" w:rsidRPr="00790AF3" w:rsidRDefault="00A2254E" w:rsidP="0073089F">
      <w:pPr>
        <w:pStyle w:val="FootnoteText"/>
        <w:rPr>
          <w:szCs w:val="18"/>
        </w:rPr>
      </w:pPr>
      <w:r w:rsidRPr="00790AF3">
        <w:rPr>
          <w:rStyle w:val="FootnoteReference"/>
          <w:szCs w:val="18"/>
        </w:rPr>
        <w:footnoteRef/>
      </w:r>
      <w:r w:rsidRPr="00790AF3">
        <w:rPr>
          <w:szCs w:val="18"/>
          <w:vertAlign w:val="superscript"/>
        </w:rPr>
        <w:t xml:space="preserve"> </w:t>
      </w:r>
      <w:r w:rsidRPr="00790AF3">
        <w:rPr>
          <w:szCs w:val="18"/>
        </w:rPr>
        <w:t xml:space="preserve">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NOPR in Docket No. </w:t>
      </w:r>
      <w:proofErr w:type="gramStart"/>
      <w:r w:rsidRPr="00790AF3">
        <w:rPr>
          <w:szCs w:val="18"/>
        </w:rPr>
        <w:t>RM15-14-000), and other changes to the collection.</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F934" w14:textId="77777777" w:rsidR="00A2254E" w:rsidRPr="005E290C" w:rsidRDefault="00A2254E" w:rsidP="00A2254E">
    <w:pPr>
      <w:pStyle w:val="Header"/>
      <w:framePr w:wrap="around" w:vAnchor="text" w:hAnchor="margin" w:xAlign="right" w:y="1"/>
      <w:rPr>
        <w:rStyle w:val="PageNumber"/>
        <w:sz w:val="26"/>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2F37B6">
      <w:rPr>
        <w:rStyle w:val="PageNumber"/>
        <w:noProof/>
        <w:sz w:val="20"/>
        <w:szCs w:val="20"/>
      </w:rPr>
      <w:t>10</w:t>
    </w:r>
    <w:r w:rsidRPr="005E290C">
      <w:rPr>
        <w:rStyle w:val="PageNumber"/>
        <w:sz w:val="20"/>
        <w:szCs w:val="20"/>
      </w:rPr>
      <w:fldChar w:fldCharType="end"/>
    </w:r>
  </w:p>
  <w:p w14:paraId="548EE6ED" w14:textId="77777777" w:rsidR="00A2254E" w:rsidRDefault="00A2254E" w:rsidP="00A2254E">
    <w:pPr>
      <w:tabs>
        <w:tab w:val="left" w:pos="-1440"/>
      </w:tabs>
      <w:ind w:left="5760" w:right="360" w:hanging="5760"/>
      <w:rPr>
        <w:b/>
        <w:sz w:val="22"/>
        <w:szCs w:val="22"/>
      </w:rPr>
    </w:pPr>
    <w:r w:rsidRPr="00771D2E">
      <w:rPr>
        <w:b/>
        <w:sz w:val="22"/>
        <w:szCs w:val="22"/>
      </w:rPr>
      <w:t>FER</w:t>
    </w:r>
    <w:r w:rsidRPr="001A559B">
      <w:rPr>
        <w:b/>
        <w:sz w:val="22"/>
        <w:szCs w:val="22"/>
      </w:rPr>
      <w:t>C-</w:t>
    </w:r>
    <w:r>
      <w:rPr>
        <w:b/>
        <w:sz w:val="22"/>
        <w:szCs w:val="22"/>
      </w:rPr>
      <w:t>725B</w:t>
    </w:r>
    <w:r w:rsidRPr="001A559B">
      <w:rPr>
        <w:b/>
        <w:sz w:val="22"/>
        <w:szCs w:val="22"/>
      </w:rPr>
      <w:t xml:space="preserve"> (OMB Control No. 1902-</w:t>
    </w:r>
    <w:r w:rsidR="00790AF3">
      <w:rPr>
        <w:b/>
        <w:sz w:val="22"/>
        <w:szCs w:val="22"/>
      </w:rPr>
      <w:t>0248</w:t>
    </w:r>
    <w:r w:rsidR="00060E45">
      <w:rPr>
        <w:b/>
        <w:sz w:val="22"/>
        <w:szCs w:val="22"/>
      </w:rPr>
      <w:t>)</w:t>
    </w:r>
  </w:p>
  <w:p w14:paraId="093E044B" w14:textId="77777777" w:rsidR="00A2254E" w:rsidRPr="001A559B" w:rsidRDefault="00A2254E" w:rsidP="00A2254E">
    <w:pPr>
      <w:tabs>
        <w:tab w:val="left" w:pos="-1440"/>
      </w:tabs>
      <w:ind w:left="5760" w:right="360" w:hanging="5760"/>
      <w:rPr>
        <w:b/>
        <w:sz w:val="22"/>
        <w:szCs w:val="22"/>
      </w:rPr>
    </w:pPr>
    <w:r>
      <w:rPr>
        <w:b/>
        <w:sz w:val="22"/>
        <w:szCs w:val="22"/>
      </w:rPr>
      <w:t>NOPR (issued 7/16/2015) in Docket No. RM15-14</w:t>
    </w:r>
    <w:r w:rsidRPr="001A559B">
      <w:rPr>
        <w:b/>
        <w:sz w:val="22"/>
        <w:szCs w:val="22"/>
      </w:rPr>
      <w:t xml:space="preserve"> </w:t>
    </w:r>
  </w:p>
  <w:p w14:paraId="2B375DD4" w14:textId="77777777" w:rsidR="00A2254E" w:rsidRPr="005C32C4" w:rsidRDefault="00A2254E" w:rsidP="00A2254E">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BEC586"/>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974C9C"/>
    <w:multiLevelType w:val="hybridMultilevel"/>
    <w:tmpl w:val="A2E6B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3A16D75"/>
    <w:multiLevelType w:val="hybridMultilevel"/>
    <w:tmpl w:val="0130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75FA5232"/>
    <w:multiLevelType w:val="hybridMultilevel"/>
    <w:tmpl w:val="0FC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E4DD3"/>
    <w:multiLevelType w:val="hybridMultilevel"/>
    <w:tmpl w:val="E638882A"/>
    <w:lvl w:ilvl="0" w:tplc="6EAEAA46">
      <w:start w:val="1"/>
      <w:numFmt w:val="decimal"/>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5"/>
  </w:num>
  <w:num w:numId="2">
    <w:abstractNumId w:val="0"/>
    <w:lvlOverride w:ilvl="0">
      <w:startOverride w:val="1"/>
      <w:lvl w:ilvl="0">
        <w:start w:val="1"/>
        <w:numFmt w:val="decimal"/>
        <w:pStyle w:val="Level1"/>
        <w:lvlText w:val="%1."/>
        <w:lvlJc w:val="left"/>
        <w:rPr>
          <w:sz w:val="22"/>
          <w:szCs w:val="22"/>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6"/>
  </w:num>
  <w:num w:numId="5">
    <w:abstractNumId w:val="8"/>
  </w:num>
  <w:num w:numId="6">
    <w:abstractNumId w:val="2"/>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9F"/>
    <w:rsid w:val="00060E45"/>
    <w:rsid w:val="0010764F"/>
    <w:rsid w:val="00132FD3"/>
    <w:rsid w:val="00180EA2"/>
    <w:rsid w:val="002D5472"/>
    <w:rsid w:val="002F37B6"/>
    <w:rsid w:val="003956E9"/>
    <w:rsid w:val="003B0575"/>
    <w:rsid w:val="00421628"/>
    <w:rsid w:val="00431D3C"/>
    <w:rsid w:val="004B4B08"/>
    <w:rsid w:val="00557F0D"/>
    <w:rsid w:val="005A62C4"/>
    <w:rsid w:val="005B3270"/>
    <w:rsid w:val="005B6EA4"/>
    <w:rsid w:val="00614F75"/>
    <w:rsid w:val="006168E8"/>
    <w:rsid w:val="00661302"/>
    <w:rsid w:val="006628C2"/>
    <w:rsid w:val="00691DF4"/>
    <w:rsid w:val="0069550B"/>
    <w:rsid w:val="006A3A55"/>
    <w:rsid w:val="006C2D09"/>
    <w:rsid w:val="006C4B01"/>
    <w:rsid w:val="0073089F"/>
    <w:rsid w:val="00737FAC"/>
    <w:rsid w:val="007552F3"/>
    <w:rsid w:val="00775F6F"/>
    <w:rsid w:val="00790AF3"/>
    <w:rsid w:val="007B4B76"/>
    <w:rsid w:val="008211A4"/>
    <w:rsid w:val="00825BC2"/>
    <w:rsid w:val="00864D1C"/>
    <w:rsid w:val="00894C6A"/>
    <w:rsid w:val="008A611C"/>
    <w:rsid w:val="008B5EFD"/>
    <w:rsid w:val="008F7E30"/>
    <w:rsid w:val="0090507E"/>
    <w:rsid w:val="009A6251"/>
    <w:rsid w:val="009D655A"/>
    <w:rsid w:val="00A001ED"/>
    <w:rsid w:val="00A2254E"/>
    <w:rsid w:val="00A36EA3"/>
    <w:rsid w:val="00A80E62"/>
    <w:rsid w:val="00B14F68"/>
    <w:rsid w:val="00B40E23"/>
    <w:rsid w:val="00B42AAD"/>
    <w:rsid w:val="00BA496B"/>
    <w:rsid w:val="00BF0122"/>
    <w:rsid w:val="00C11094"/>
    <w:rsid w:val="00C40814"/>
    <w:rsid w:val="00C85C78"/>
    <w:rsid w:val="00C91FE7"/>
    <w:rsid w:val="00CA3956"/>
    <w:rsid w:val="00D74A07"/>
    <w:rsid w:val="00E03C18"/>
    <w:rsid w:val="00F3248B"/>
    <w:rsid w:val="00F37180"/>
    <w:rsid w:val="00F4751A"/>
    <w:rsid w:val="00FF0669"/>
    <w:rsid w:val="00FF6C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9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3089F"/>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73089F"/>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73089F"/>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semiHidden/>
    <w:rsid w:val="0073089F"/>
    <w:rPr>
      <w:rFonts w:ascii="Times New Roman" w:eastAsia="Times New Roman" w:hAnsi="Times New Roman" w:cs="Times New Roman"/>
      <w:sz w:val="20"/>
      <w:szCs w:val="20"/>
    </w:rPr>
  </w:style>
  <w:style w:type="paragraph" w:customStyle="1" w:styleId="Level1">
    <w:name w:val="Level 1"/>
    <w:basedOn w:val="Normal"/>
    <w:rsid w:val="0073089F"/>
    <w:pPr>
      <w:widowControl w:val="0"/>
      <w:numPr>
        <w:numId w:val="2"/>
      </w:numPr>
      <w:autoSpaceDE w:val="0"/>
      <w:autoSpaceDN w:val="0"/>
      <w:adjustRightInd w:val="0"/>
      <w:outlineLvl w:val="0"/>
    </w:pPr>
    <w:rPr>
      <w:sz w:val="24"/>
    </w:rPr>
  </w:style>
  <w:style w:type="paragraph" w:styleId="Header">
    <w:name w:val="header"/>
    <w:basedOn w:val="Normal"/>
    <w:link w:val="HeaderChar"/>
    <w:rsid w:val="0073089F"/>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73089F"/>
    <w:rPr>
      <w:rFonts w:ascii="Times New Roman" w:eastAsia="Times New Roman" w:hAnsi="Times New Roman" w:cs="Times New Roman"/>
      <w:sz w:val="24"/>
      <w:szCs w:val="24"/>
    </w:rPr>
  </w:style>
  <w:style w:type="character" w:styleId="PageNumber">
    <w:name w:val="page number"/>
    <w:basedOn w:val="DefaultParagraphFont"/>
    <w:rsid w:val="0073089F"/>
  </w:style>
  <w:style w:type="character" w:styleId="Hyperlink">
    <w:name w:val="Hyperlink"/>
    <w:rsid w:val="0073089F"/>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73089F"/>
    <w:rPr>
      <w:rFonts w:ascii="Times New Roman" w:eastAsia="Times New Roman" w:hAnsi="Times New Roman" w:cs="Times New Roman"/>
      <w:sz w:val="26"/>
      <w:szCs w:val="20"/>
    </w:rPr>
  </w:style>
  <w:style w:type="paragraph" w:customStyle="1" w:styleId="LegalFormat">
    <w:name w:val="Legal Format"/>
    <w:basedOn w:val="ListContinue"/>
    <w:rsid w:val="0073089F"/>
    <w:pPr>
      <w:tabs>
        <w:tab w:val="num" w:pos="360"/>
      </w:tabs>
      <w:spacing w:after="240"/>
      <w:ind w:hanging="360"/>
      <w:contextualSpacing w:val="0"/>
    </w:pPr>
    <w:rPr>
      <w:szCs w:val="26"/>
    </w:rPr>
  </w:style>
  <w:style w:type="character" w:customStyle="1" w:styleId="FERCparanumberChar">
    <w:name w:val="FERC paranumber Char"/>
    <w:link w:val="FERCparanumber"/>
    <w:rsid w:val="0073089F"/>
    <w:rPr>
      <w:rFonts w:ascii="Times New Roman" w:eastAsia="Times New Roman" w:hAnsi="Times New Roman" w:cs="Times New Roman"/>
      <w:sz w:val="26"/>
      <w:szCs w:val="24"/>
    </w:rPr>
  </w:style>
  <w:style w:type="paragraph" w:styleId="NormalWeb">
    <w:name w:val="Normal (Web)"/>
    <w:basedOn w:val="Normal"/>
    <w:uiPriority w:val="99"/>
    <w:unhideWhenUsed/>
    <w:rsid w:val="0073089F"/>
    <w:pPr>
      <w:spacing w:before="100" w:beforeAutospacing="1" w:after="100" w:afterAutospacing="1"/>
    </w:pPr>
    <w:rPr>
      <w:sz w:val="24"/>
    </w:rPr>
  </w:style>
  <w:style w:type="paragraph" w:styleId="ListContinue">
    <w:name w:val="List Continue"/>
    <w:basedOn w:val="Normal"/>
    <w:uiPriority w:val="99"/>
    <w:semiHidden/>
    <w:unhideWhenUsed/>
    <w:rsid w:val="0073089F"/>
    <w:pPr>
      <w:spacing w:after="120"/>
      <w:ind w:left="360"/>
      <w:contextualSpacing/>
    </w:pPr>
  </w:style>
  <w:style w:type="paragraph" w:styleId="Footer">
    <w:name w:val="footer"/>
    <w:basedOn w:val="Normal"/>
    <w:link w:val="FooterChar"/>
    <w:uiPriority w:val="99"/>
    <w:unhideWhenUsed/>
    <w:rsid w:val="005A62C4"/>
    <w:pPr>
      <w:tabs>
        <w:tab w:val="center" w:pos="4680"/>
        <w:tab w:val="right" w:pos="9360"/>
      </w:tabs>
    </w:pPr>
  </w:style>
  <w:style w:type="character" w:customStyle="1" w:styleId="FooterChar">
    <w:name w:val="Footer Char"/>
    <w:basedOn w:val="DefaultParagraphFont"/>
    <w:link w:val="Footer"/>
    <w:uiPriority w:val="99"/>
    <w:rsid w:val="005A62C4"/>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9A6251"/>
    <w:pPr>
      <w:tabs>
        <w:tab w:val="clear" w:pos="720"/>
        <w:tab w:val="num" w:pos="990"/>
      </w:tabs>
      <w:spacing w:line="480" w:lineRule="auto"/>
      <w:ind w:left="270"/>
    </w:pPr>
    <w:rPr>
      <w:szCs w:val="20"/>
    </w:rPr>
  </w:style>
  <w:style w:type="character" w:styleId="CommentReference">
    <w:name w:val="annotation reference"/>
    <w:basedOn w:val="DefaultParagraphFont"/>
    <w:uiPriority w:val="99"/>
    <w:semiHidden/>
    <w:unhideWhenUsed/>
    <w:rsid w:val="00F3248B"/>
    <w:rPr>
      <w:sz w:val="16"/>
      <w:szCs w:val="16"/>
    </w:rPr>
  </w:style>
  <w:style w:type="paragraph" w:styleId="CommentText">
    <w:name w:val="annotation text"/>
    <w:basedOn w:val="Normal"/>
    <w:link w:val="CommentTextChar"/>
    <w:uiPriority w:val="99"/>
    <w:semiHidden/>
    <w:unhideWhenUsed/>
    <w:rsid w:val="00F3248B"/>
    <w:rPr>
      <w:sz w:val="20"/>
      <w:szCs w:val="20"/>
    </w:rPr>
  </w:style>
  <w:style w:type="character" w:customStyle="1" w:styleId="CommentTextChar">
    <w:name w:val="Comment Text Char"/>
    <w:basedOn w:val="DefaultParagraphFont"/>
    <w:link w:val="CommentText"/>
    <w:uiPriority w:val="99"/>
    <w:semiHidden/>
    <w:rsid w:val="00F3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48B"/>
    <w:rPr>
      <w:b/>
      <w:bCs/>
    </w:rPr>
  </w:style>
  <w:style w:type="character" w:customStyle="1" w:styleId="CommentSubjectChar">
    <w:name w:val="Comment Subject Char"/>
    <w:basedOn w:val="CommentTextChar"/>
    <w:link w:val="CommentSubject"/>
    <w:uiPriority w:val="99"/>
    <w:semiHidden/>
    <w:rsid w:val="00F324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248B"/>
    <w:rPr>
      <w:rFonts w:ascii="Tahoma" w:hAnsi="Tahoma" w:cs="Tahoma"/>
      <w:sz w:val="16"/>
      <w:szCs w:val="16"/>
    </w:rPr>
  </w:style>
  <w:style w:type="character" w:customStyle="1" w:styleId="BalloonTextChar">
    <w:name w:val="Balloon Text Char"/>
    <w:basedOn w:val="DefaultParagraphFont"/>
    <w:link w:val="BalloonText"/>
    <w:uiPriority w:val="99"/>
    <w:semiHidden/>
    <w:rsid w:val="00F3248B"/>
    <w:rPr>
      <w:rFonts w:ascii="Tahoma" w:eastAsia="Times New Roman" w:hAnsi="Tahoma" w:cs="Tahoma"/>
      <w:sz w:val="16"/>
      <w:szCs w:val="16"/>
    </w:rPr>
  </w:style>
  <w:style w:type="character" w:customStyle="1" w:styleId="FERCparanumberChar1">
    <w:name w:val="FERC paranumber Char1"/>
    <w:rsid w:val="00894C6A"/>
    <w:rPr>
      <w:sz w:val="26"/>
    </w:rPr>
  </w:style>
  <w:style w:type="paragraph" w:styleId="ListParagraph">
    <w:name w:val="List Paragraph"/>
    <w:basedOn w:val="Normal"/>
    <w:uiPriority w:val="34"/>
    <w:qFormat/>
    <w:rsid w:val="00614F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9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3089F"/>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73089F"/>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73089F"/>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
    <w:basedOn w:val="DefaultParagraphFont"/>
    <w:semiHidden/>
    <w:rsid w:val="0073089F"/>
    <w:rPr>
      <w:rFonts w:ascii="Times New Roman" w:eastAsia="Times New Roman" w:hAnsi="Times New Roman" w:cs="Times New Roman"/>
      <w:sz w:val="20"/>
      <w:szCs w:val="20"/>
    </w:rPr>
  </w:style>
  <w:style w:type="paragraph" w:customStyle="1" w:styleId="Level1">
    <w:name w:val="Level 1"/>
    <w:basedOn w:val="Normal"/>
    <w:rsid w:val="0073089F"/>
    <w:pPr>
      <w:widowControl w:val="0"/>
      <w:numPr>
        <w:numId w:val="2"/>
      </w:numPr>
      <w:autoSpaceDE w:val="0"/>
      <w:autoSpaceDN w:val="0"/>
      <w:adjustRightInd w:val="0"/>
      <w:outlineLvl w:val="0"/>
    </w:pPr>
    <w:rPr>
      <w:sz w:val="24"/>
    </w:rPr>
  </w:style>
  <w:style w:type="paragraph" w:styleId="Header">
    <w:name w:val="header"/>
    <w:basedOn w:val="Normal"/>
    <w:link w:val="HeaderChar"/>
    <w:rsid w:val="0073089F"/>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rsid w:val="0073089F"/>
    <w:rPr>
      <w:rFonts w:ascii="Times New Roman" w:eastAsia="Times New Roman" w:hAnsi="Times New Roman" w:cs="Times New Roman"/>
      <w:sz w:val="24"/>
      <w:szCs w:val="24"/>
    </w:rPr>
  </w:style>
  <w:style w:type="character" w:styleId="PageNumber">
    <w:name w:val="page number"/>
    <w:basedOn w:val="DefaultParagraphFont"/>
    <w:rsid w:val="0073089F"/>
  </w:style>
  <w:style w:type="character" w:styleId="Hyperlink">
    <w:name w:val="Hyperlink"/>
    <w:rsid w:val="0073089F"/>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73089F"/>
    <w:rPr>
      <w:rFonts w:ascii="Times New Roman" w:eastAsia="Times New Roman" w:hAnsi="Times New Roman" w:cs="Times New Roman"/>
      <w:sz w:val="26"/>
      <w:szCs w:val="20"/>
    </w:rPr>
  </w:style>
  <w:style w:type="paragraph" w:customStyle="1" w:styleId="LegalFormat">
    <w:name w:val="Legal Format"/>
    <w:basedOn w:val="ListContinue"/>
    <w:rsid w:val="0073089F"/>
    <w:pPr>
      <w:tabs>
        <w:tab w:val="num" w:pos="360"/>
      </w:tabs>
      <w:spacing w:after="240"/>
      <w:ind w:hanging="360"/>
      <w:contextualSpacing w:val="0"/>
    </w:pPr>
    <w:rPr>
      <w:szCs w:val="26"/>
    </w:rPr>
  </w:style>
  <w:style w:type="character" w:customStyle="1" w:styleId="FERCparanumberChar">
    <w:name w:val="FERC paranumber Char"/>
    <w:link w:val="FERCparanumber"/>
    <w:rsid w:val="0073089F"/>
    <w:rPr>
      <w:rFonts w:ascii="Times New Roman" w:eastAsia="Times New Roman" w:hAnsi="Times New Roman" w:cs="Times New Roman"/>
      <w:sz w:val="26"/>
      <w:szCs w:val="24"/>
    </w:rPr>
  </w:style>
  <w:style w:type="paragraph" w:styleId="NormalWeb">
    <w:name w:val="Normal (Web)"/>
    <w:basedOn w:val="Normal"/>
    <w:uiPriority w:val="99"/>
    <w:unhideWhenUsed/>
    <w:rsid w:val="0073089F"/>
    <w:pPr>
      <w:spacing w:before="100" w:beforeAutospacing="1" w:after="100" w:afterAutospacing="1"/>
    </w:pPr>
    <w:rPr>
      <w:sz w:val="24"/>
    </w:rPr>
  </w:style>
  <w:style w:type="paragraph" w:styleId="ListContinue">
    <w:name w:val="List Continue"/>
    <w:basedOn w:val="Normal"/>
    <w:uiPriority w:val="99"/>
    <w:semiHidden/>
    <w:unhideWhenUsed/>
    <w:rsid w:val="0073089F"/>
    <w:pPr>
      <w:spacing w:after="120"/>
      <w:ind w:left="360"/>
      <w:contextualSpacing/>
    </w:pPr>
  </w:style>
  <w:style w:type="paragraph" w:styleId="Footer">
    <w:name w:val="footer"/>
    <w:basedOn w:val="Normal"/>
    <w:link w:val="FooterChar"/>
    <w:uiPriority w:val="99"/>
    <w:unhideWhenUsed/>
    <w:rsid w:val="005A62C4"/>
    <w:pPr>
      <w:tabs>
        <w:tab w:val="center" w:pos="4680"/>
        <w:tab w:val="right" w:pos="9360"/>
      </w:tabs>
    </w:pPr>
  </w:style>
  <w:style w:type="character" w:customStyle="1" w:styleId="FooterChar">
    <w:name w:val="Footer Char"/>
    <w:basedOn w:val="DefaultParagraphFont"/>
    <w:link w:val="Footer"/>
    <w:uiPriority w:val="99"/>
    <w:rsid w:val="005A62C4"/>
    <w:rPr>
      <w:rFonts w:ascii="Times New Roman" w:eastAsia="Times New Roman" w:hAnsi="Times New Roman" w:cs="Times New Roman"/>
      <w:sz w:val="26"/>
      <w:szCs w:val="24"/>
    </w:rPr>
  </w:style>
  <w:style w:type="paragraph" w:customStyle="1" w:styleId="StyleFERCparanumberLinespacingDouble">
    <w:name w:val="Style FERC paranumber + Line spacing:  Double"/>
    <w:basedOn w:val="FERCparanumber"/>
    <w:rsid w:val="009A6251"/>
    <w:pPr>
      <w:tabs>
        <w:tab w:val="clear" w:pos="720"/>
        <w:tab w:val="num" w:pos="990"/>
      </w:tabs>
      <w:spacing w:line="480" w:lineRule="auto"/>
      <w:ind w:left="270"/>
    </w:pPr>
    <w:rPr>
      <w:szCs w:val="20"/>
    </w:rPr>
  </w:style>
  <w:style w:type="character" w:styleId="CommentReference">
    <w:name w:val="annotation reference"/>
    <w:basedOn w:val="DefaultParagraphFont"/>
    <w:uiPriority w:val="99"/>
    <w:semiHidden/>
    <w:unhideWhenUsed/>
    <w:rsid w:val="00F3248B"/>
    <w:rPr>
      <w:sz w:val="16"/>
      <w:szCs w:val="16"/>
    </w:rPr>
  </w:style>
  <w:style w:type="paragraph" w:styleId="CommentText">
    <w:name w:val="annotation text"/>
    <w:basedOn w:val="Normal"/>
    <w:link w:val="CommentTextChar"/>
    <w:uiPriority w:val="99"/>
    <w:semiHidden/>
    <w:unhideWhenUsed/>
    <w:rsid w:val="00F3248B"/>
    <w:rPr>
      <w:sz w:val="20"/>
      <w:szCs w:val="20"/>
    </w:rPr>
  </w:style>
  <w:style w:type="character" w:customStyle="1" w:styleId="CommentTextChar">
    <w:name w:val="Comment Text Char"/>
    <w:basedOn w:val="DefaultParagraphFont"/>
    <w:link w:val="CommentText"/>
    <w:uiPriority w:val="99"/>
    <w:semiHidden/>
    <w:rsid w:val="00F324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48B"/>
    <w:rPr>
      <w:b/>
      <w:bCs/>
    </w:rPr>
  </w:style>
  <w:style w:type="character" w:customStyle="1" w:styleId="CommentSubjectChar">
    <w:name w:val="Comment Subject Char"/>
    <w:basedOn w:val="CommentTextChar"/>
    <w:link w:val="CommentSubject"/>
    <w:uiPriority w:val="99"/>
    <w:semiHidden/>
    <w:rsid w:val="00F324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248B"/>
    <w:rPr>
      <w:rFonts w:ascii="Tahoma" w:hAnsi="Tahoma" w:cs="Tahoma"/>
      <w:sz w:val="16"/>
      <w:szCs w:val="16"/>
    </w:rPr>
  </w:style>
  <w:style w:type="character" w:customStyle="1" w:styleId="BalloonTextChar">
    <w:name w:val="Balloon Text Char"/>
    <w:basedOn w:val="DefaultParagraphFont"/>
    <w:link w:val="BalloonText"/>
    <w:uiPriority w:val="99"/>
    <w:semiHidden/>
    <w:rsid w:val="00F3248B"/>
    <w:rPr>
      <w:rFonts w:ascii="Tahoma" w:eastAsia="Times New Roman" w:hAnsi="Tahoma" w:cs="Tahoma"/>
      <w:sz w:val="16"/>
      <w:szCs w:val="16"/>
    </w:rPr>
  </w:style>
  <w:style w:type="character" w:customStyle="1" w:styleId="FERCparanumberChar1">
    <w:name w:val="FERC paranumber Char1"/>
    <w:rsid w:val="00894C6A"/>
    <w:rPr>
      <w:sz w:val="26"/>
    </w:rPr>
  </w:style>
  <w:style w:type="paragraph" w:styleId="ListParagraph">
    <w:name w:val="List Paragraph"/>
    <w:basedOn w:val="Normal"/>
    <w:uiPriority w:val="34"/>
    <w:qFormat/>
    <w:rsid w:val="00614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4935">
      <w:bodyDiv w:val="1"/>
      <w:marLeft w:val="0"/>
      <w:marRight w:val="0"/>
      <w:marTop w:val="0"/>
      <w:marBottom w:val="0"/>
      <w:divBdr>
        <w:top w:val="none" w:sz="0" w:space="0" w:color="auto"/>
        <w:left w:val="none" w:sz="0" w:space="0" w:color="auto"/>
        <w:bottom w:val="none" w:sz="0" w:space="0" w:color="auto"/>
        <w:right w:val="none" w:sz="0" w:space="0" w:color="auto"/>
      </w:divBdr>
    </w:div>
    <w:div w:id="433550894">
      <w:bodyDiv w:val="1"/>
      <w:marLeft w:val="0"/>
      <w:marRight w:val="0"/>
      <w:marTop w:val="0"/>
      <w:marBottom w:val="0"/>
      <w:divBdr>
        <w:top w:val="none" w:sz="0" w:space="0" w:color="auto"/>
        <w:left w:val="none" w:sz="0" w:space="0" w:color="auto"/>
        <w:bottom w:val="none" w:sz="0" w:space="0" w:color="auto"/>
        <w:right w:val="none" w:sz="0" w:space="0" w:color="auto"/>
      </w:divBdr>
    </w:div>
    <w:div w:id="897009610">
      <w:bodyDiv w:val="1"/>
      <w:marLeft w:val="0"/>
      <w:marRight w:val="0"/>
      <w:marTop w:val="0"/>
      <w:marBottom w:val="0"/>
      <w:divBdr>
        <w:top w:val="none" w:sz="0" w:space="0" w:color="auto"/>
        <w:left w:val="none" w:sz="0" w:space="0" w:color="auto"/>
        <w:bottom w:val="none" w:sz="0" w:space="0" w:color="auto"/>
        <w:right w:val="none" w:sz="0" w:space="0" w:color="auto"/>
      </w:divBdr>
    </w:div>
    <w:div w:id="1329410072">
      <w:bodyDiv w:val="1"/>
      <w:marLeft w:val="0"/>
      <w:marRight w:val="0"/>
      <w:marTop w:val="0"/>
      <w:marBottom w:val="0"/>
      <w:divBdr>
        <w:top w:val="none" w:sz="0" w:space="0" w:color="auto"/>
        <w:left w:val="none" w:sz="0" w:space="0" w:color="auto"/>
        <w:bottom w:val="none" w:sz="0" w:space="0" w:color="auto"/>
        <w:right w:val="none" w:sz="0" w:space="0" w:color="auto"/>
      </w:divBdr>
    </w:div>
    <w:div w:id="1527209086">
      <w:bodyDiv w:val="1"/>
      <w:marLeft w:val="0"/>
      <w:marRight w:val="0"/>
      <w:marTop w:val="0"/>
      <w:marBottom w:val="0"/>
      <w:divBdr>
        <w:top w:val="none" w:sz="0" w:space="0" w:color="auto"/>
        <w:left w:val="none" w:sz="0" w:space="0" w:color="auto"/>
        <w:bottom w:val="none" w:sz="0" w:space="0" w:color="auto"/>
        <w:right w:val="none" w:sz="0" w:space="0" w:color="auto"/>
      </w:divBdr>
    </w:div>
    <w:div w:id="1789737461">
      <w:bodyDiv w:val="1"/>
      <w:marLeft w:val="0"/>
      <w:marRight w:val="0"/>
      <w:marTop w:val="0"/>
      <w:marBottom w:val="0"/>
      <w:divBdr>
        <w:top w:val="none" w:sz="0" w:space="0" w:color="auto"/>
        <w:left w:val="none" w:sz="0" w:space="0" w:color="auto"/>
        <w:bottom w:val="none" w:sz="0" w:space="0" w:color="auto"/>
        <w:right w:val="none" w:sz="0" w:space="0" w:color="auto"/>
      </w:divBdr>
    </w:div>
    <w:div w:id="1950166021">
      <w:bodyDiv w:val="1"/>
      <w:marLeft w:val="0"/>
      <w:marRight w:val="0"/>
      <w:marTop w:val="0"/>
      <w:marBottom w:val="0"/>
      <w:divBdr>
        <w:top w:val="none" w:sz="0" w:space="0" w:color="auto"/>
        <w:left w:val="none" w:sz="0" w:space="0" w:color="auto"/>
        <w:bottom w:val="none" w:sz="0" w:space="0" w:color="auto"/>
        <w:right w:val="none" w:sz="0" w:space="0" w:color="auto"/>
      </w:divBdr>
    </w:div>
    <w:div w:id="2014405666">
      <w:bodyDiv w:val="1"/>
      <w:marLeft w:val="0"/>
      <w:marRight w:val="0"/>
      <w:marTop w:val="0"/>
      <w:marBottom w:val="0"/>
      <w:divBdr>
        <w:top w:val="none" w:sz="0" w:space="0" w:color="auto"/>
        <w:left w:val="none" w:sz="0" w:space="0" w:color="auto"/>
        <w:bottom w:val="none" w:sz="0" w:space="0" w:color="auto"/>
        <w:right w:val="none" w:sz="0" w:space="0" w:color="auto"/>
      </w:divBdr>
    </w:div>
    <w:div w:id="2023505288">
      <w:bodyDiv w:val="1"/>
      <w:marLeft w:val="0"/>
      <w:marRight w:val="0"/>
      <w:marTop w:val="0"/>
      <w:marBottom w:val="0"/>
      <w:divBdr>
        <w:top w:val="none" w:sz="0" w:space="0" w:color="auto"/>
        <w:left w:val="none" w:sz="0" w:space="0" w:color="auto"/>
        <w:bottom w:val="none" w:sz="0" w:space="0" w:color="auto"/>
        <w:right w:val="none" w:sz="0" w:space="0" w:color="auto"/>
      </w:divBdr>
    </w:div>
    <w:div w:id="20288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2015-09-15T00:00:00-04:00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RM15-14</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F67E-4353-4070-B582-0E827CE26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BFD86-1B93-446D-9045-81BA760946EC}">
  <ds:schemaRefs>
    <ds:schemaRef ds:uri="http://schemas.microsoft.com/office/2006/metadata/customXsn"/>
  </ds:schemaRefs>
</ds:datastoreItem>
</file>

<file path=customXml/itemProps3.xml><?xml version="1.0" encoding="utf-8"?>
<ds:datastoreItem xmlns:ds="http://schemas.openxmlformats.org/officeDocument/2006/customXml" ds:itemID="{248AE22E-145D-4B76-A384-76F14B10DF55}">
  <ds:schemaRefs>
    <ds:schemaRef ds:uri="http://schemas.microsoft.com/sharepoint/v3/contenttype/forms"/>
  </ds:schemaRefs>
</ds:datastoreItem>
</file>

<file path=customXml/itemProps4.xml><?xml version="1.0" encoding="utf-8"?>
<ds:datastoreItem xmlns:ds="http://schemas.openxmlformats.org/officeDocument/2006/customXml" ds:itemID="{45A26EE6-F47B-4166-A3C5-4A28DA832060}">
  <ds:schemaRefs>
    <ds:schemaRef ds:uri="http://purl.org/dc/terms/"/>
    <ds:schemaRef ds:uri="d6eefc7d-9817-4fa6-84d5-3bc009be21b8"/>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1842C50-E595-49E8-8B83-3639D0FA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2737</Words>
  <Characters>15522</Characters>
  <Application>Microsoft Office Word</Application>
  <DocSecurity>0</DocSecurity>
  <Lines>304</Lines>
  <Paragraphs>98</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Ellen Brown</cp:lastModifiedBy>
  <cp:revision>11</cp:revision>
  <dcterms:created xsi:type="dcterms:W3CDTF">2015-09-15T20:38:00Z</dcterms:created>
  <dcterms:modified xsi:type="dcterms:W3CDTF">2015-09-15T20:42:00Z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