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0AB0" w:rsidRDefault="00B81716" w:rsidP="00AE7C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b/>
          <w:bCs/>
          <w:sz w:val="32"/>
          <w:szCs w:val="32"/>
        </w:rPr>
      </w:pPr>
      <w:r w:rsidRPr="00645C4A">
        <w:rPr>
          <w:sz w:val="32"/>
          <w:szCs w:val="32"/>
          <w:lang w:val="en-CA"/>
        </w:rPr>
        <w:fldChar w:fldCharType="begin"/>
      </w:r>
      <w:r w:rsidR="00645C4A" w:rsidRPr="00645C4A">
        <w:rPr>
          <w:sz w:val="32"/>
          <w:szCs w:val="32"/>
          <w:lang w:val="en-CA"/>
        </w:rPr>
        <w:instrText xml:space="preserve"> SEQ CHAPTER \h \r 1</w:instrText>
      </w:r>
      <w:r w:rsidRPr="00645C4A">
        <w:rPr>
          <w:sz w:val="32"/>
          <w:szCs w:val="32"/>
          <w:lang w:val="en-CA"/>
        </w:rPr>
        <w:fldChar w:fldCharType="end"/>
      </w:r>
      <w:r w:rsidR="00645C4A" w:rsidRPr="00645C4A">
        <w:rPr>
          <w:b/>
          <w:bCs/>
          <w:sz w:val="32"/>
          <w:szCs w:val="32"/>
        </w:rPr>
        <w:t xml:space="preserve">Supporting Statement </w:t>
      </w:r>
      <w:r w:rsidR="00B30AB0">
        <w:rPr>
          <w:b/>
          <w:bCs/>
          <w:sz w:val="32"/>
          <w:szCs w:val="32"/>
        </w:rPr>
        <w:t>A</w:t>
      </w:r>
    </w:p>
    <w:p w:rsidR="00645C4A" w:rsidRPr="00645C4A" w:rsidRDefault="00645C4A" w:rsidP="00AE7C37">
      <w:pPr>
        <w:tabs>
          <w:tab w:val="center" w:pos="4680"/>
        </w:tabs>
        <w:jc w:val="center"/>
        <w:outlineLvl w:val="0"/>
        <w:rPr>
          <w:b/>
          <w:sz w:val="32"/>
          <w:szCs w:val="32"/>
        </w:rPr>
      </w:pPr>
      <w:r>
        <w:rPr>
          <w:b/>
          <w:sz w:val="32"/>
          <w:szCs w:val="32"/>
        </w:rPr>
        <w:t>3</w:t>
      </w:r>
      <w:r w:rsidRPr="00645C4A">
        <w:rPr>
          <w:b/>
          <w:sz w:val="32"/>
          <w:szCs w:val="32"/>
        </w:rPr>
        <w:t>0 CFR P</w:t>
      </w:r>
      <w:r>
        <w:rPr>
          <w:b/>
          <w:sz w:val="32"/>
          <w:szCs w:val="32"/>
        </w:rPr>
        <w:t>art</w:t>
      </w:r>
      <w:r w:rsidRPr="00645C4A">
        <w:rPr>
          <w:b/>
          <w:sz w:val="32"/>
          <w:szCs w:val="32"/>
        </w:rPr>
        <w:t xml:space="preserve"> 7</w:t>
      </w:r>
      <w:r>
        <w:rPr>
          <w:b/>
          <w:sz w:val="32"/>
          <w:szCs w:val="32"/>
        </w:rPr>
        <w:t>00</w:t>
      </w:r>
      <w:r w:rsidR="003F0748">
        <w:rPr>
          <w:b/>
          <w:sz w:val="32"/>
          <w:szCs w:val="32"/>
        </w:rPr>
        <w:t xml:space="preserve"> - General</w:t>
      </w:r>
    </w:p>
    <w:p w:rsidR="00645C4A" w:rsidRPr="00645C4A" w:rsidRDefault="00645C4A" w:rsidP="00645C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rsidR="00645C4A" w:rsidRPr="00645C4A" w:rsidRDefault="00645C4A" w:rsidP="00AE7C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sz w:val="32"/>
          <w:szCs w:val="32"/>
        </w:rPr>
      </w:pPr>
      <w:r w:rsidRPr="00645C4A">
        <w:rPr>
          <w:b/>
          <w:bCs/>
          <w:sz w:val="32"/>
          <w:szCs w:val="32"/>
        </w:rPr>
        <w:t>OMB Control Number 1029-009</w:t>
      </w:r>
      <w:r>
        <w:rPr>
          <w:b/>
          <w:bCs/>
          <w:sz w:val="32"/>
          <w:szCs w:val="32"/>
        </w:rPr>
        <w:t>4</w:t>
      </w:r>
    </w:p>
    <w:p w:rsidR="003F0748" w:rsidRDefault="003F0748" w:rsidP="00645C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p>
    <w:p w:rsidR="00645C4A" w:rsidRPr="003F0748" w:rsidRDefault="003F0748" w:rsidP="00645C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3F0748">
        <w:rPr>
          <w:sz w:val="28"/>
          <w:szCs w:val="28"/>
        </w:rPr>
        <w:t>Terms of Clearance:  None</w:t>
      </w:r>
    </w:p>
    <w:p w:rsidR="003F0748" w:rsidRPr="00645C4A" w:rsidRDefault="003F0748" w:rsidP="00645C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p>
    <w:p w:rsidR="0063456F" w:rsidRPr="00072AA0" w:rsidRDefault="0063456F" w:rsidP="0063456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b/>
          <w:bCs/>
          <w:i/>
        </w:rPr>
        <w:t>General Instructions</w:t>
      </w:r>
      <w:r w:rsidRPr="00072AA0">
        <w:rPr>
          <w:i/>
        </w:rPr>
        <w:t xml:space="preserve"> </w:t>
      </w:r>
    </w:p>
    <w:p w:rsidR="0063456F" w:rsidRPr="00072AA0" w:rsidRDefault="0063456F" w:rsidP="0063456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63456F" w:rsidRPr="00072AA0" w:rsidRDefault="0063456F" w:rsidP="0063456F">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rPr>
      </w:pPr>
      <w:r w:rsidRPr="00072AA0">
        <w:rPr>
          <w:i/>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0063456F" w:rsidRPr="00072AA0" w:rsidRDefault="0063456F" w:rsidP="0063456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63456F" w:rsidRPr="00072AA0" w:rsidRDefault="0063456F" w:rsidP="0063456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b/>
          <w:bCs/>
          <w:i/>
        </w:rPr>
        <w:t>Specific Instructions</w:t>
      </w:r>
    </w:p>
    <w:p w:rsidR="0063456F" w:rsidRPr="00072AA0" w:rsidRDefault="0063456F" w:rsidP="0063456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63456F" w:rsidRPr="00072AA0" w:rsidRDefault="0063456F" w:rsidP="0063456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b/>
          <w:bCs/>
          <w:i/>
        </w:rPr>
        <w:t>Justification</w:t>
      </w:r>
    </w:p>
    <w:p w:rsidR="0063456F" w:rsidRPr="00072AA0" w:rsidRDefault="0063456F" w:rsidP="0063456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63456F" w:rsidRPr="00072AA0" w:rsidRDefault="0063456F" w:rsidP="0063456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w:t>
      </w:r>
      <w:r w:rsidRPr="00072AA0">
        <w:rPr>
          <w:i/>
        </w:rPr>
        <w:tab/>
        <w:t>Explain the circumstances that make the collection of information necessary.  Identify any legal or administrative requirements that necessitate the collection.</w:t>
      </w:r>
    </w:p>
    <w:p w:rsidR="0063456F" w:rsidRPr="00072AA0" w:rsidRDefault="0063456F" w:rsidP="0063456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63456F" w:rsidRPr="00072AA0" w:rsidRDefault="0063456F" w:rsidP="0063456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2.</w:t>
      </w:r>
      <w:r w:rsidRPr="00072AA0">
        <w:rPr>
          <w:i/>
        </w:rPr>
        <w:tab/>
        <w:t xml:space="preserve">Indicate how, by whom, and for what purpose the information is to be used.  Except for a new collection, indicate the actual use the agency has made of the information received </w:t>
      </w:r>
      <w:proofErr w:type="gramStart"/>
      <w:r w:rsidRPr="00072AA0">
        <w:rPr>
          <w:i/>
        </w:rPr>
        <w:t>from</w:t>
      </w:r>
      <w:proofErr w:type="gramEnd"/>
      <w:r w:rsidRPr="00072AA0">
        <w:rPr>
          <w:i/>
        </w:rPr>
        <w:t xml:space="preserve"> the current collection.  Be specific.  If this collection is a form or a questionnaire, every question needs to be justified.</w:t>
      </w:r>
    </w:p>
    <w:p w:rsidR="0063456F" w:rsidRPr="00072AA0" w:rsidRDefault="0063456F" w:rsidP="0063456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63456F" w:rsidRPr="00072AA0" w:rsidRDefault="0063456F" w:rsidP="0063456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3.</w:t>
      </w:r>
      <w:r w:rsidRPr="00072AA0">
        <w:rPr>
          <w:i/>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63456F" w:rsidRPr="00072AA0" w:rsidRDefault="0063456F" w:rsidP="0063456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63456F" w:rsidRPr="00072AA0" w:rsidRDefault="0063456F" w:rsidP="0063456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4.</w:t>
      </w:r>
      <w:r w:rsidRPr="00072AA0">
        <w:rPr>
          <w:i/>
        </w:rPr>
        <w:tab/>
        <w:t>Describe efforts to identify duplication.  Show specifically why any similar information already available cannot be used or modified for use for the purposes described in Item 2 above.</w:t>
      </w:r>
    </w:p>
    <w:p w:rsidR="0063456F" w:rsidRPr="00072AA0" w:rsidRDefault="0063456F" w:rsidP="0063456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63456F" w:rsidRPr="00072AA0" w:rsidRDefault="0063456F" w:rsidP="0063456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5.</w:t>
      </w:r>
      <w:r w:rsidRPr="00072AA0">
        <w:rPr>
          <w:i/>
        </w:rPr>
        <w:tab/>
        <w:t>If the collection of information impacts small businesses or other small entities, describe any methods used to minimize burden.</w:t>
      </w:r>
    </w:p>
    <w:p w:rsidR="0063456F" w:rsidRPr="00072AA0" w:rsidRDefault="0063456F" w:rsidP="0063456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63456F" w:rsidRPr="00072AA0" w:rsidRDefault="0063456F" w:rsidP="0063456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6.</w:t>
      </w:r>
      <w:r w:rsidRPr="00072AA0">
        <w:rPr>
          <w:i/>
        </w:rPr>
        <w:tab/>
        <w:t xml:space="preserve">Describe the consequence to Federal program or policy activities if the collection is not </w:t>
      </w:r>
      <w:r w:rsidRPr="00072AA0">
        <w:rPr>
          <w:i/>
        </w:rPr>
        <w:lastRenderedPageBreak/>
        <w:t>conducted or is conducted less frequently, as well as any technical or legal obstacles to reducing burden.</w:t>
      </w:r>
    </w:p>
    <w:p w:rsidR="0063456F" w:rsidRPr="00072AA0" w:rsidRDefault="0063456F" w:rsidP="0063456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63456F" w:rsidRPr="00072AA0" w:rsidRDefault="0063456F" w:rsidP="0063456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7.</w:t>
      </w:r>
      <w:r w:rsidRPr="00072AA0">
        <w:rPr>
          <w:i/>
        </w:rPr>
        <w:tab/>
        <w:t>Explain any special circumstances that would cause an information collection to be conducted in a manner:</w:t>
      </w:r>
    </w:p>
    <w:p w:rsidR="0063456F" w:rsidRPr="00072AA0" w:rsidRDefault="0063456F" w:rsidP="0063456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r>
      <w:proofErr w:type="gramStart"/>
      <w:r w:rsidRPr="00072AA0">
        <w:rPr>
          <w:i/>
        </w:rPr>
        <w:t>requiring</w:t>
      </w:r>
      <w:proofErr w:type="gramEnd"/>
      <w:r w:rsidRPr="00072AA0">
        <w:rPr>
          <w:i/>
        </w:rPr>
        <w:t xml:space="preserve"> respondents to report information to the agency more often than quarterly;</w:t>
      </w:r>
    </w:p>
    <w:p w:rsidR="0063456F" w:rsidRPr="00072AA0" w:rsidRDefault="0063456F" w:rsidP="0063456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requiring respondents to prepare a written response to a collection of information in fewer than 30 days after receipt of it;</w:t>
      </w:r>
    </w:p>
    <w:p w:rsidR="0063456F" w:rsidRPr="00072AA0" w:rsidRDefault="0063456F" w:rsidP="0063456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requiring respondents to submit more than an original and two copies of any document;</w:t>
      </w:r>
    </w:p>
    <w:p w:rsidR="0063456F" w:rsidRPr="00072AA0" w:rsidRDefault="0063456F" w:rsidP="0063456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requiring respondents to retain records, other than health, medical, government contract, grant-in-aid, or tax records, for more than three years;</w:t>
      </w:r>
    </w:p>
    <w:p w:rsidR="0063456F" w:rsidRPr="00072AA0" w:rsidRDefault="0063456F" w:rsidP="0063456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r>
      <w:proofErr w:type="gramStart"/>
      <w:r w:rsidRPr="00072AA0">
        <w:rPr>
          <w:i/>
        </w:rPr>
        <w:t>in</w:t>
      </w:r>
      <w:proofErr w:type="gramEnd"/>
      <w:r w:rsidRPr="00072AA0">
        <w:rPr>
          <w:i/>
        </w:rPr>
        <w:t xml:space="preserve"> connection with a statistical survey that is not designed to produce valid and reliable results that can be generalized to the universe of study;</w:t>
      </w:r>
    </w:p>
    <w:p w:rsidR="0063456F" w:rsidRPr="00072AA0" w:rsidRDefault="0063456F" w:rsidP="0063456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requiring the use of a statistical data classification that has not been reviewed and approved by OMB;</w:t>
      </w:r>
    </w:p>
    <w:p w:rsidR="0063456F" w:rsidRPr="00072AA0" w:rsidRDefault="0063456F" w:rsidP="0063456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63456F" w:rsidRPr="00072AA0" w:rsidRDefault="0063456F" w:rsidP="0063456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requiring respondents to submit proprietary trade secrets, or other confidential information, unless the agency can demonstrate that it has instituted procedures to protect the information's confidentiality to the extent permitted by law.</w:t>
      </w:r>
    </w:p>
    <w:p w:rsidR="0063456F" w:rsidRPr="00072AA0" w:rsidRDefault="0063456F" w:rsidP="0063456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63456F" w:rsidRPr="00072AA0" w:rsidRDefault="0063456F" w:rsidP="0063456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8.</w:t>
      </w:r>
      <w:r w:rsidRPr="00072AA0">
        <w:rPr>
          <w:i/>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63456F" w:rsidRPr="00072AA0" w:rsidRDefault="0063456F" w:rsidP="0063456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63456F" w:rsidRPr="00072AA0" w:rsidRDefault="0063456F" w:rsidP="0063456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Pr>
          <w:i/>
        </w:rPr>
        <w:tab/>
      </w:r>
      <w:r w:rsidRPr="00072AA0">
        <w:rPr>
          <w:i/>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3456F" w:rsidRPr="00072AA0" w:rsidRDefault="0063456F" w:rsidP="0063456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63456F" w:rsidRPr="00072AA0" w:rsidRDefault="0063456F" w:rsidP="0063456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Pr>
          <w:i/>
        </w:rPr>
        <w:tab/>
      </w:r>
      <w:r w:rsidRPr="00072AA0">
        <w:rPr>
          <w:i/>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63456F" w:rsidRPr="00072AA0" w:rsidRDefault="0063456F" w:rsidP="0063456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63456F" w:rsidRPr="00072AA0" w:rsidRDefault="0063456F" w:rsidP="0063456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9.</w:t>
      </w:r>
      <w:r w:rsidRPr="00072AA0">
        <w:rPr>
          <w:i/>
        </w:rPr>
        <w:tab/>
        <w:t>Explain any decision to provide any payment or gift to respondents, other than remuneration of contractors or grantees.</w:t>
      </w:r>
    </w:p>
    <w:p w:rsidR="0063456F" w:rsidRPr="00072AA0" w:rsidRDefault="0063456F" w:rsidP="0063456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63456F" w:rsidRPr="00072AA0" w:rsidRDefault="0063456F" w:rsidP="0063456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lastRenderedPageBreak/>
        <w:t>10.</w:t>
      </w:r>
      <w:r w:rsidRPr="00072AA0">
        <w:rPr>
          <w:i/>
        </w:rPr>
        <w:tab/>
        <w:t>Describe any assurance of confidentiality provided to respondents and the basis for the assurance in statute, regulation, or agency policy.</w:t>
      </w:r>
    </w:p>
    <w:p w:rsidR="0063456F" w:rsidRPr="00072AA0" w:rsidRDefault="0063456F" w:rsidP="0063456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63456F" w:rsidRPr="00072AA0" w:rsidRDefault="0063456F" w:rsidP="0063456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11.</w:t>
      </w:r>
      <w:r w:rsidRPr="00072AA0">
        <w:rPr>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3456F" w:rsidRPr="00072AA0" w:rsidRDefault="0063456F" w:rsidP="0063456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63456F" w:rsidRPr="00072AA0" w:rsidRDefault="0063456F" w:rsidP="0063456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12.</w:t>
      </w:r>
      <w:r w:rsidRPr="00072AA0">
        <w:rPr>
          <w:i/>
        </w:rPr>
        <w:tab/>
        <w:t>Provide estimates of the hour burden of the collection of information.  The statement should:</w:t>
      </w:r>
    </w:p>
    <w:p w:rsidR="0063456F" w:rsidRPr="00072AA0" w:rsidRDefault="0063456F" w:rsidP="0063456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63456F" w:rsidRPr="00072AA0" w:rsidRDefault="0063456F" w:rsidP="0063456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If this request for approval covers more than one form, provide separate hour burden estimates for each form and aggregate the hour burdens.</w:t>
      </w:r>
    </w:p>
    <w:p w:rsidR="0063456F" w:rsidRPr="00072AA0" w:rsidRDefault="0063456F" w:rsidP="0063456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63456F" w:rsidRPr="00072AA0" w:rsidRDefault="0063456F" w:rsidP="0063456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63456F" w:rsidRPr="00072AA0" w:rsidRDefault="0063456F" w:rsidP="0063456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13.</w:t>
      </w:r>
      <w:r w:rsidRPr="00072AA0">
        <w:rPr>
          <w:i/>
        </w:rPr>
        <w:tab/>
        <w:t xml:space="preserve">Provide an estimate of the total annual non-hour cost burden to respondents or </w:t>
      </w:r>
      <w:proofErr w:type="spellStart"/>
      <w:r w:rsidRPr="00072AA0">
        <w:rPr>
          <w:i/>
        </w:rPr>
        <w:t>recordkeepers</w:t>
      </w:r>
      <w:proofErr w:type="spellEnd"/>
      <w:r w:rsidRPr="00072AA0">
        <w:rPr>
          <w:i/>
        </w:rPr>
        <w:t xml:space="preserve"> resulting from the collection of information.  (Do not include the cost of any hour burden already reflected in item 12.)</w:t>
      </w:r>
    </w:p>
    <w:p w:rsidR="0063456F" w:rsidRPr="00072AA0" w:rsidRDefault="0063456F" w:rsidP="0063456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Pr>
          <w:i/>
        </w:rPr>
        <w:tab/>
      </w:r>
      <w:r w:rsidRPr="00072AA0">
        <w:rPr>
          <w:i/>
        </w:rPr>
        <w:t>*</w:t>
      </w:r>
      <w:r w:rsidRPr="00072AA0">
        <w:rPr>
          <w:i/>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63456F" w:rsidRPr="00072AA0" w:rsidRDefault="0063456F" w:rsidP="0063456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Pr>
          <w:i/>
        </w:rPr>
        <w:tab/>
      </w:r>
      <w:r w:rsidRPr="00072AA0">
        <w:rPr>
          <w:i/>
        </w:rPr>
        <w:t>*</w:t>
      </w:r>
      <w:r w:rsidRPr="00072AA0">
        <w:rPr>
          <w:i/>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w:t>
      </w:r>
      <w:r w:rsidRPr="00072AA0">
        <w:rPr>
          <w:i/>
        </w:rPr>
        <w:lastRenderedPageBreak/>
        <w:t>containing the information collection, as appropriate.</w:t>
      </w:r>
    </w:p>
    <w:p w:rsidR="0063456F" w:rsidRPr="00072AA0" w:rsidRDefault="0063456F" w:rsidP="0063456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63456F" w:rsidRPr="00072AA0" w:rsidRDefault="0063456F" w:rsidP="0063456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63456F" w:rsidRPr="00072AA0" w:rsidRDefault="0063456F" w:rsidP="0063456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14.</w:t>
      </w:r>
      <w:r w:rsidRPr="00072AA0">
        <w:rPr>
          <w:i/>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63456F" w:rsidRPr="00072AA0" w:rsidRDefault="0063456F" w:rsidP="0063456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63456F" w:rsidRPr="00072AA0" w:rsidRDefault="0063456F" w:rsidP="0063456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15.</w:t>
      </w:r>
      <w:r w:rsidRPr="00072AA0">
        <w:rPr>
          <w:i/>
        </w:rPr>
        <w:tab/>
        <w:t>Explain the reasons for any program changes or adjustments in hour or cost burden.</w:t>
      </w:r>
    </w:p>
    <w:p w:rsidR="0063456F" w:rsidRPr="00072AA0" w:rsidRDefault="0063456F" w:rsidP="0063456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63456F" w:rsidRPr="00072AA0" w:rsidRDefault="0063456F" w:rsidP="0063456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16.</w:t>
      </w:r>
      <w:r w:rsidRPr="00072AA0">
        <w:rPr>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3456F" w:rsidRPr="00072AA0" w:rsidRDefault="0063456F" w:rsidP="0063456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63456F" w:rsidRPr="00072AA0" w:rsidRDefault="0063456F" w:rsidP="0063456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17.</w:t>
      </w:r>
      <w:r w:rsidRPr="00072AA0">
        <w:rPr>
          <w:i/>
        </w:rPr>
        <w:tab/>
        <w:t>If seeking approval to not display the expiration date for OMB approval of the information collection, explain the reasons that display would be inappropriate.</w:t>
      </w:r>
    </w:p>
    <w:p w:rsidR="0063456F" w:rsidRPr="00072AA0" w:rsidRDefault="0063456F" w:rsidP="0063456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63456F" w:rsidRPr="00072AA0" w:rsidRDefault="0063456F" w:rsidP="0063456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18.</w:t>
      </w:r>
      <w:r w:rsidRPr="00072AA0">
        <w:rPr>
          <w:i/>
        </w:rPr>
        <w:tab/>
        <w:t>Explain each exception to the topics of the certification statement identified in "Certification for Paperwork Reduction Act Submissions."</w:t>
      </w:r>
    </w:p>
    <w:p w:rsidR="0063456F" w:rsidRPr="00072AA0" w:rsidRDefault="0063456F" w:rsidP="0063456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63456F" w:rsidRDefault="0063456F" w:rsidP="00AE7C37">
      <w:pPr>
        <w:tabs>
          <w:tab w:val="left" w:pos="1502"/>
        </w:tabs>
        <w:outlineLvl w:val="0"/>
        <w:rPr>
          <w:b/>
        </w:rPr>
      </w:pPr>
      <w:r>
        <w:rPr>
          <w:b/>
        </w:rPr>
        <w:br/>
      </w:r>
    </w:p>
    <w:p w:rsidR="00645C4A" w:rsidRPr="00645C4A" w:rsidRDefault="0063456F" w:rsidP="00AE7C37">
      <w:pPr>
        <w:tabs>
          <w:tab w:val="left" w:pos="1502"/>
        </w:tabs>
        <w:outlineLvl w:val="0"/>
        <w:rPr>
          <w:b/>
        </w:rPr>
      </w:pPr>
      <w:r>
        <w:rPr>
          <w:b/>
        </w:rPr>
        <w:br w:type="page"/>
      </w:r>
      <w:r w:rsidR="00645C4A" w:rsidRPr="00645C4A">
        <w:rPr>
          <w:b/>
        </w:rPr>
        <w:lastRenderedPageBreak/>
        <w:t>Introduction</w:t>
      </w:r>
    </w:p>
    <w:p w:rsidR="00645C4A" w:rsidRPr="00645C4A" w:rsidRDefault="00645C4A">
      <w:pPr>
        <w:tabs>
          <w:tab w:val="left" w:pos="1502"/>
        </w:tabs>
      </w:pPr>
    </w:p>
    <w:p w:rsidR="000E6F48" w:rsidRPr="00645C4A" w:rsidRDefault="000E6F48">
      <w:pPr>
        <w:rPr>
          <w:szCs w:val="26"/>
        </w:rPr>
      </w:pPr>
      <w:r w:rsidRPr="00645C4A">
        <w:t>This information collection clearance package is being submitted by the Office of Surface Mining Reclamation and Enforcement (OSM</w:t>
      </w:r>
      <w:r w:rsidR="0082447F">
        <w:t>RE</w:t>
      </w:r>
      <w:r w:rsidRPr="00645C4A">
        <w:t xml:space="preserve">) to request permission to continue collecting information under 30 CFR Part 700. </w:t>
      </w:r>
      <w:r w:rsidR="007671A1" w:rsidRPr="00645C4A">
        <w:t xml:space="preserve"> </w:t>
      </w:r>
      <w:r w:rsidRPr="00645C4A">
        <w:t>The regulations govern termination of jurisdictions</w:t>
      </w:r>
      <w:r w:rsidRPr="00645C4A">
        <w:rPr>
          <w:szCs w:val="26"/>
        </w:rPr>
        <w:t xml:space="preserve">, </w:t>
      </w:r>
      <w:r w:rsidRPr="00645C4A">
        <w:t>petitions for rulemaking, and citizen suits under the Surface Mining Control and Reclamation Act and its</w:t>
      </w:r>
      <w:r w:rsidRPr="00645C4A">
        <w:rPr>
          <w:szCs w:val="26"/>
        </w:rPr>
        <w:t xml:space="preserve"> implementing regulations.  </w:t>
      </w:r>
    </w:p>
    <w:p w:rsidR="000E6F48" w:rsidRPr="00645C4A" w:rsidRDefault="000E6F48">
      <w:pPr>
        <w:rPr>
          <w:szCs w:val="26"/>
        </w:rPr>
      </w:pPr>
    </w:p>
    <w:p w:rsidR="000E6F48" w:rsidRPr="00645C4A" w:rsidRDefault="000E6F48">
      <w:pPr>
        <w:rPr>
          <w:szCs w:val="26"/>
        </w:rPr>
      </w:pPr>
      <w:r w:rsidRPr="00645C4A">
        <w:t>This information collection was previously reviewed and approved by the Of</w:t>
      </w:r>
      <w:r w:rsidR="009632D2">
        <w:t>fice of Management and Budget (O</w:t>
      </w:r>
      <w:r w:rsidR="00A01F34">
        <w:t xml:space="preserve">MB) and assigned </w:t>
      </w:r>
      <w:r w:rsidRPr="00645C4A">
        <w:t xml:space="preserve">control number 1029-0094.  </w:t>
      </w:r>
      <w:r w:rsidR="003A6B0D">
        <w:t>The justification statements that follow discuss each section separately.</w:t>
      </w:r>
    </w:p>
    <w:p w:rsidR="000E6F48" w:rsidRPr="00645C4A" w:rsidRDefault="000E6F48">
      <w:pPr>
        <w:tabs>
          <w:tab w:val="left" w:pos="204"/>
        </w:tabs>
        <w:spacing w:line="277" w:lineRule="exact"/>
        <w:rPr>
          <w:sz w:val="26"/>
          <w:szCs w:val="26"/>
        </w:rPr>
      </w:pPr>
    </w:p>
    <w:p w:rsidR="000E6F48" w:rsidRPr="00645C4A" w:rsidRDefault="000E6F48">
      <w:pPr>
        <w:tabs>
          <w:tab w:val="left" w:pos="204"/>
        </w:tabs>
        <w:spacing w:line="277" w:lineRule="exact"/>
      </w:pPr>
    </w:p>
    <w:p w:rsidR="00741371" w:rsidRPr="00645C4A" w:rsidRDefault="00741371">
      <w:pPr>
        <w:tabs>
          <w:tab w:val="left" w:pos="204"/>
        </w:tabs>
        <w:spacing w:line="277" w:lineRule="exact"/>
      </w:pPr>
    </w:p>
    <w:p w:rsidR="00741371" w:rsidRPr="00645C4A" w:rsidRDefault="00741371">
      <w:pPr>
        <w:tabs>
          <w:tab w:val="left" w:pos="204"/>
        </w:tabs>
        <w:spacing w:line="277" w:lineRule="exact"/>
      </w:pPr>
    </w:p>
    <w:p w:rsidR="000E6F48" w:rsidRPr="00645C4A" w:rsidRDefault="000E6F48">
      <w:pPr>
        <w:tabs>
          <w:tab w:val="left" w:pos="204"/>
        </w:tabs>
        <w:spacing w:line="277" w:lineRule="exact"/>
      </w:pPr>
    </w:p>
    <w:p w:rsidR="00741371" w:rsidRPr="00113AE5" w:rsidRDefault="000E6F48" w:rsidP="00AE7C37">
      <w:pPr>
        <w:pStyle w:val="TxBrp20"/>
        <w:spacing w:line="240" w:lineRule="auto"/>
        <w:ind w:left="0"/>
        <w:jc w:val="center"/>
        <w:outlineLvl w:val="0"/>
      </w:pPr>
      <w:r w:rsidRPr="00113AE5">
        <w:t>SUMMARY FOR</w:t>
      </w:r>
    </w:p>
    <w:p w:rsidR="000E6F48" w:rsidRPr="00113AE5" w:rsidRDefault="000E6F48" w:rsidP="00741371">
      <w:pPr>
        <w:pStyle w:val="TxBrp20"/>
        <w:spacing w:line="240" w:lineRule="auto"/>
        <w:ind w:left="0"/>
        <w:jc w:val="center"/>
      </w:pPr>
      <w:r w:rsidRPr="00113AE5">
        <w:t>30 CFR 700</w:t>
      </w:r>
    </w:p>
    <w:p w:rsidR="000E6F48" w:rsidRPr="00113AE5" w:rsidRDefault="000E6F48">
      <w:pPr>
        <w:tabs>
          <w:tab w:val="left" w:pos="3781"/>
        </w:tabs>
      </w:pPr>
    </w:p>
    <w:tbl>
      <w:tblPr>
        <w:tblW w:w="9410" w:type="dxa"/>
        <w:tblInd w:w="96" w:type="dxa"/>
        <w:tblLayout w:type="fixed"/>
        <w:tblCellMar>
          <w:left w:w="56" w:type="dxa"/>
          <w:right w:w="56" w:type="dxa"/>
        </w:tblCellMar>
        <w:tblLook w:val="0000" w:firstRow="0" w:lastRow="0" w:firstColumn="0" w:lastColumn="0" w:noHBand="0" w:noVBand="0"/>
      </w:tblPr>
      <w:tblGrid>
        <w:gridCol w:w="1568"/>
        <w:gridCol w:w="1568"/>
        <w:gridCol w:w="1569"/>
        <w:gridCol w:w="1568"/>
        <w:gridCol w:w="1568"/>
        <w:gridCol w:w="1569"/>
      </w:tblGrid>
      <w:tr w:rsidR="003524CA" w:rsidRPr="00113AE5" w:rsidTr="003524CA">
        <w:trPr>
          <w:trHeight w:val="723"/>
        </w:trPr>
        <w:tc>
          <w:tcPr>
            <w:tcW w:w="1568" w:type="dxa"/>
            <w:tcBorders>
              <w:top w:val="single" w:sz="6" w:space="0" w:color="auto"/>
              <w:left w:val="single" w:sz="6" w:space="0" w:color="auto"/>
              <w:bottom w:val="single" w:sz="6" w:space="0" w:color="auto"/>
              <w:right w:val="single" w:sz="6" w:space="0" w:color="auto"/>
            </w:tcBorders>
          </w:tcPr>
          <w:p w:rsidR="003524CA" w:rsidRPr="00113AE5" w:rsidRDefault="003524CA">
            <w:pPr>
              <w:tabs>
                <w:tab w:val="left" w:pos="3781"/>
              </w:tabs>
              <w:jc w:val="center"/>
            </w:pPr>
            <w:r w:rsidRPr="00113AE5">
              <w:t>SECTION</w:t>
            </w:r>
          </w:p>
        </w:tc>
        <w:tc>
          <w:tcPr>
            <w:tcW w:w="1568" w:type="dxa"/>
            <w:tcBorders>
              <w:top w:val="single" w:sz="6" w:space="0" w:color="auto"/>
              <w:left w:val="single" w:sz="6" w:space="0" w:color="auto"/>
              <w:bottom w:val="single" w:sz="6" w:space="0" w:color="auto"/>
              <w:right w:val="single" w:sz="6" w:space="0" w:color="auto"/>
            </w:tcBorders>
          </w:tcPr>
          <w:p w:rsidR="003524CA" w:rsidRPr="00113AE5" w:rsidRDefault="003524CA" w:rsidP="003524CA">
            <w:pPr>
              <w:tabs>
                <w:tab w:val="left" w:pos="3781"/>
              </w:tabs>
              <w:jc w:val="center"/>
            </w:pPr>
            <w:r w:rsidRPr="00113AE5">
              <w:t>NO. OF ANNUAL</w:t>
            </w:r>
            <w:r w:rsidRPr="00113AE5">
              <w:br/>
              <w:t>RESPONSES</w:t>
            </w:r>
          </w:p>
        </w:tc>
        <w:tc>
          <w:tcPr>
            <w:tcW w:w="1569" w:type="dxa"/>
            <w:tcBorders>
              <w:top w:val="single" w:sz="6" w:space="0" w:color="auto"/>
              <w:left w:val="single" w:sz="6" w:space="0" w:color="auto"/>
              <w:bottom w:val="single" w:sz="6" w:space="0" w:color="auto"/>
              <w:right w:val="single" w:sz="6" w:space="0" w:color="auto"/>
            </w:tcBorders>
          </w:tcPr>
          <w:p w:rsidR="003524CA" w:rsidRPr="00113AE5" w:rsidRDefault="003524CA" w:rsidP="003524CA">
            <w:pPr>
              <w:tabs>
                <w:tab w:val="left" w:pos="3781"/>
              </w:tabs>
              <w:jc w:val="center"/>
            </w:pPr>
            <w:r w:rsidRPr="00113AE5">
              <w:t>HOURS PER</w:t>
            </w:r>
            <w:r w:rsidRPr="00113AE5">
              <w:br/>
              <w:t>RESPONSE</w:t>
            </w:r>
          </w:p>
        </w:tc>
        <w:tc>
          <w:tcPr>
            <w:tcW w:w="1568" w:type="dxa"/>
            <w:tcBorders>
              <w:top w:val="single" w:sz="6" w:space="0" w:color="auto"/>
              <w:left w:val="single" w:sz="6" w:space="0" w:color="auto"/>
              <w:bottom w:val="single" w:sz="6" w:space="0" w:color="auto"/>
              <w:right w:val="single" w:sz="6" w:space="0" w:color="auto"/>
            </w:tcBorders>
          </w:tcPr>
          <w:p w:rsidR="003524CA" w:rsidRPr="00113AE5" w:rsidRDefault="003524CA">
            <w:pPr>
              <w:tabs>
                <w:tab w:val="left" w:pos="3781"/>
              </w:tabs>
              <w:jc w:val="center"/>
            </w:pPr>
            <w:r w:rsidRPr="00113AE5">
              <w:t>TOTAL</w:t>
            </w:r>
            <w:r w:rsidRPr="00113AE5">
              <w:br/>
              <w:t>HOURS REQUESTED</w:t>
            </w:r>
          </w:p>
        </w:tc>
        <w:tc>
          <w:tcPr>
            <w:tcW w:w="1568" w:type="dxa"/>
            <w:tcBorders>
              <w:top w:val="single" w:sz="6" w:space="0" w:color="auto"/>
              <w:left w:val="single" w:sz="6" w:space="0" w:color="auto"/>
              <w:bottom w:val="single" w:sz="6" w:space="0" w:color="auto"/>
              <w:right w:val="single" w:sz="6" w:space="0" w:color="auto"/>
            </w:tcBorders>
          </w:tcPr>
          <w:p w:rsidR="003524CA" w:rsidRPr="00113AE5" w:rsidRDefault="003524CA">
            <w:pPr>
              <w:tabs>
                <w:tab w:val="left" w:pos="3781"/>
              </w:tabs>
              <w:jc w:val="center"/>
            </w:pPr>
            <w:r w:rsidRPr="00113AE5">
              <w:t>CURRENT ICB</w:t>
            </w:r>
            <w:r w:rsidRPr="00113AE5">
              <w:br/>
              <w:t>HOURS</w:t>
            </w:r>
          </w:p>
        </w:tc>
        <w:tc>
          <w:tcPr>
            <w:tcW w:w="1569" w:type="dxa"/>
            <w:tcBorders>
              <w:top w:val="single" w:sz="6" w:space="0" w:color="auto"/>
              <w:left w:val="single" w:sz="6" w:space="0" w:color="auto"/>
              <w:bottom w:val="single" w:sz="6" w:space="0" w:color="auto"/>
              <w:right w:val="single" w:sz="6" w:space="0" w:color="auto"/>
            </w:tcBorders>
          </w:tcPr>
          <w:p w:rsidR="003524CA" w:rsidRPr="00113AE5" w:rsidRDefault="003524CA">
            <w:pPr>
              <w:tabs>
                <w:tab w:val="left" w:pos="3781"/>
              </w:tabs>
              <w:jc w:val="center"/>
            </w:pPr>
            <w:r w:rsidRPr="00113AE5">
              <w:t>CHANGE</w:t>
            </w:r>
            <w:r w:rsidRPr="00113AE5">
              <w:br/>
              <w:t>TO ICB</w:t>
            </w:r>
          </w:p>
        </w:tc>
      </w:tr>
      <w:tr w:rsidR="003524CA" w:rsidRPr="00113AE5" w:rsidTr="003524CA">
        <w:tc>
          <w:tcPr>
            <w:tcW w:w="1568" w:type="dxa"/>
            <w:tcBorders>
              <w:top w:val="single" w:sz="6" w:space="0" w:color="auto"/>
              <w:left w:val="single" w:sz="6" w:space="0" w:color="auto"/>
              <w:bottom w:val="single" w:sz="6" w:space="0" w:color="auto"/>
              <w:right w:val="single" w:sz="6" w:space="0" w:color="auto"/>
            </w:tcBorders>
          </w:tcPr>
          <w:p w:rsidR="003524CA" w:rsidRPr="00113AE5" w:rsidRDefault="003524CA">
            <w:pPr>
              <w:tabs>
                <w:tab w:val="left" w:pos="5"/>
              </w:tabs>
              <w:rPr>
                <w:lang w:val="fr-FR"/>
              </w:rPr>
            </w:pPr>
            <w:r w:rsidRPr="00113AE5">
              <w:rPr>
                <w:lang w:val="fr-FR"/>
              </w:rPr>
              <w:t>700.11</w:t>
            </w:r>
          </w:p>
        </w:tc>
        <w:tc>
          <w:tcPr>
            <w:tcW w:w="1568" w:type="dxa"/>
            <w:tcBorders>
              <w:top w:val="single" w:sz="6" w:space="0" w:color="auto"/>
              <w:left w:val="single" w:sz="6" w:space="0" w:color="auto"/>
              <w:bottom w:val="single" w:sz="6" w:space="0" w:color="auto"/>
              <w:right w:val="single" w:sz="6" w:space="0" w:color="auto"/>
            </w:tcBorders>
          </w:tcPr>
          <w:p w:rsidR="003524CA" w:rsidRPr="00113AE5" w:rsidRDefault="003524CA">
            <w:pPr>
              <w:tabs>
                <w:tab w:val="left" w:pos="5"/>
              </w:tabs>
              <w:jc w:val="center"/>
              <w:rPr>
                <w:lang w:val="fr-FR"/>
              </w:rPr>
            </w:pPr>
            <w:r w:rsidRPr="00113AE5">
              <w:rPr>
                <w:lang w:val="fr-FR"/>
              </w:rPr>
              <w:t>14</w:t>
            </w:r>
          </w:p>
        </w:tc>
        <w:tc>
          <w:tcPr>
            <w:tcW w:w="1569" w:type="dxa"/>
            <w:tcBorders>
              <w:top w:val="single" w:sz="6" w:space="0" w:color="auto"/>
              <w:left w:val="single" w:sz="6" w:space="0" w:color="auto"/>
              <w:bottom w:val="single" w:sz="6" w:space="0" w:color="auto"/>
              <w:right w:val="single" w:sz="6" w:space="0" w:color="auto"/>
            </w:tcBorders>
          </w:tcPr>
          <w:p w:rsidR="003524CA" w:rsidRPr="00113AE5" w:rsidRDefault="003524CA" w:rsidP="003D3F74">
            <w:pPr>
              <w:tabs>
                <w:tab w:val="left" w:pos="5"/>
              </w:tabs>
              <w:jc w:val="center"/>
              <w:rPr>
                <w:lang w:val="fr-FR"/>
              </w:rPr>
            </w:pPr>
            <w:r w:rsidRPr="00113AE5">
              <w:rPr>
                <w:lang w:val="fr-FR"/>
              </w:rPr>
              <w:t>1</w:t>
            </w:r>
          </w:p>
        </w:tc>
        <w:tc>
          <w:tcPr>
            <w:tcW w:w="1568" w:type="dxa"/>
            <w:tcBorders>
              <w:top w:val="single" w:sz="6" w:space="0" w:color="auto"/>
              <w:left w:val="single" w:sz="6" w:space="0" w:color="auto"/>
              <w:bottom w:val="single" w:sz="6" w:space="0" w:color="auto"/>
              <w:right w:val="single" w:sz="6" w:space="0" w:color="auto"/>
            </w:tcBorders>
          </w:tcPr>
          <w:p w:rsidR="003524CA" w:rsidRPr="00113AE5" w:rsidRDefault="003524CA" w:rsidP="003D3F74">
            <w:pPr>
              <w:tabs>
                <w:tab w:val="left" w:pos="5"/>
              </w:tabs>
              <w:jc w:val="center"/>
              <w:rPr>
                <w:lang w:val="fr-FR"/>
              </w:rPr>
            </w:pPr>
            <w:r w:rsidRPr="00113AE5">
              <w:rPr>
                <w:lang w:val="fr-FR"/>
              </w:rPr>
              <w:t>14</w:t>
            </w:r>
          </w:p>
        </w:tc>
        <w:tc>
          <w:tcPr>
            <w:tcW w:w="1568" w:type="dxa"/>
            <w:tcBorders>
              <w:top w:val="single" w:sz="6" w:space="0" w:color="auto"/>
              <w:left w:val="single" w:sz="6" w:space="0" w:color="auto"/>
              <w:bottom w:val="single" w:sz="6" w:space="0" w:color="auto"/>
              <w:right w:val="single" w:sz="6" w:space="0" w:color="auto"/>
            </w:tcBorders>
          </w:tcPr>
          <w:p w:rsidR="003524CA" w:rsidRPr="00113AE5" w:rsidRDefault="003524CA" w:rsidP="00454E46">
            <w:pPr>
              <w:jc w:val="center"/>
            </w:pPr>
            <w:r w:rsidRPr="00113AE5">
              <w:t>1</w:t>
            </w:r>
          </w:p>
        </w:tc>
        <w:tc>
          <w:tcPr>
            <w:tcW w:w="1569" w:type="dxa"/>
            <w:tcBorders>
              <w:top w:val="single" w:sz="6" w:space="0" w:color="auto"/>
              <w:left w:val="single" w:sz="6" w:space="0" w:color="auto"/>
              <w:bottom w:val="single" w:sz="6" w:space="0" w:color="auto"/>
              <w:right w:val="single" w:sz="6" w:space="0" w:color="auto"/>
            </w:tcBorders>
          </w:tcPr>
          <w:p w:rsidR="003524CA" w:rsidRPr="00113AE5" w:rsidRDefault="003524CA" w:rsidP="00454E46">
            <w:pPr>
              <w:jc w:val="center"/>
            </w:pPr>
            <w:r w:rsidRPr="00113AE5">
              <w:t>13</w:t>
            </w:r>
          </w:p>
        </w:tc>
      </w:tr>
      <w:tr w:rsidR="003524CA" w:rsidRPr="00113AE5" w:rsidTr="003524CA">
        <w:tc>
          <w:tcPr>
            <w:tcW w:w="1568" w:type="dxa"/>
            <w:tcBorders>
              <w:top w:val="single" w:sz="6" w:space="0" w:color="auto"/>
              <w:left w:val="single" w:sz="6" w:space="0" w:color="auto"/>
              <w:bottom w:val="single" w:sz="6" w:space="0" w:color="auto"/>
              <w:right w:val="single" w:sz="6" w:space="0" w:color="auto"/>
            </w:tcBorders>
          </w:tcPr>
          <w:p w:rsidR="003524CA" w:rsidRPr="00113AE5" w:rsidRDefault="003524CA">
            <w:pPr>
              <w:tabs>
                <w:tab w:val="left" w:pos="5"/>
              </w:tabs>
            </w:pPr>
            <w:r w:rsidRPr="00113AE5">
              <w:t>700.12</w:t>
            </w:r>
          </w:p>
        </w:tc>
        <w:tc>
          <w:tcPr>
            <w:tcW w:w="1568" w:type="dxa"/>
            <w:tcBorders>
              <w:top w:val="single" w:sz="6" w:space="0" w:color="auto"/>
              <w:left w:val="single" w:sz="6" w:space="0" w:color="auto"/>
              <w:bottom w:val="single" w:sz="6" w:space="0" w:color="auto"/>
              <w:right w:val="single" w:sz="6" w:space="0" w:color="auto"/>
            </w:tcBorders>
          </w:tcPr>
          <w:p w:rsidR="003524CA" w:rsidRPr="00113AE5" w:rsidRDefault="00773597">
            <w:pPr>
              <w:tabs>
                <w:tab w:val="left" w:pos="5"/>
              </w:tabs>
              <w:jc w:val="center"/>
            </w:pPr>
            <w:r w:rsidRPr="00113AE5">
              <w:t>1</w:t>
            </w:r>
          </w:p>
        </w:tc>
        <w:tc>
          <w:tcPr>
            <w:tcW w:w="1569" w:type="dxa"/>
            <w:tcBorders>
              <w:top w:val="single" w:sz="6" w:space="0" w:color="auto"/>
              <w:left w:val="single" w:sz="6" w:space="0" w:color="auto"/>
              <w:bottom w:val="single" w:sz="6" w:space="0" w:color="auto"/>
              <w:right w:val="single" w:sz="6" w:space="0" w:color="auto"/>
            </w:tcBorders>
          </w:tcPr>
          <w:p w:rsidR="003524CA" w:rsidRPr="00113AE5" w:rsidRDefault="003524CA">
            <w:pPr>
              <w:tabs>
                <w:tab w:val="left" w:pos="5"/>
              </w:tabs>
              <w:jc w:val="center"/>
            </w:pPr>
            <w:r w:rsidRPr="00113AE5">
              <w:t>50</w:t>
            </w:r>
          </w:p>
        </w:tc>
        <w:tc>
          <w:tcPr>
            <w:tcW w:w="1568" w:type="dxa"/>
            <w:tcBorders>
              <w:top w:val="single" w:sz="6" w:space="0" w:color="auto"/>
              <w:left w:val="single" w:sz="6" w:space="0" w:color="auto"/>
              <w:bottom w:val="single" w:sz="6" w:space="0" w:color="auto"/>
              <w:right w:val="single" w:sz="6" w:space="0" w:color="auto"/>
            </w:tcBorders>
          </w:tcPr>
          <w:p w:rsidR="003524CA" w:rsidRPr="00113AE5" w:rsidRDefault="00773597">
            <w:pPr>
              <w:tabs>
                <w:tab w:val="left" w:pos="5"/>
              </w:tabs>
              <w:jc w:val="center"/>
            </w:pPr>
            <w:r w:rsidRPr="00113AE5">
              <w:t>50</w:t>
            </w:r>
          </w:p>
        </w:tc>
        <w:tc>
          <w:tcPr>
            <w:tcW w:w="1568" w:type="dxa"/>
            <w:tcBorders>
              <w:top w:val="single" w:sz="6" w:space="0" w:color="auto"/>
              <w:left w:val="single" w:sz="6" w:space="0" w:color="auto"/>
              <w:bottom w:val="single" w:sz="6" w:space="0" w:color="auto"/>
              <w:right w:val="single" w:sz="6" w:space="0" w:color="auto"/>
            </w:tcBorders>
          </w:tcPr>
          <w:p w:rsidR="003524CA" w:rsidRPr="00113AE5" w:rsidRDefault="003524CA" w:rsidP="00454E46">
            <w:pPr>
              <w:jc w:val="center"/>
            </w:pPr>
            <w:r w:rsidRPr="00113AE5">
              <w:t>4</w:t>
            </w:r>
          </w:p>
        </w:tc>
        <w:tc>
          <w:tcPr>
            <w:tcW w:w="1569" w:type="dxa"/>
            <w:tcBorders>
              <w:top w:val="single" w:sz="6" w:space="0" w:color="auto"/>
              <w:left w:val="single" w:sz="6" w:space="0" w:color="auto"/>
              <w:bottom w:val="single" w:sz="6" w:space="0" w:color="auto"/>
              <w:right w:val="single" w:sz="6" w:space="0" w:color="auto"/>
            </w:tcBorders>
          </w:tcPr>
          <w:p w:rsidR="003524CA" w:rsidRPr="00113AE5" w:rsidRDefault="003524CA" w:rsidP="003D3F74">
            <w:pPr>
              <w:tabs>
                <w:tab w:val="left" w:pos="5"/>
              </w:tabs>
              <w:jc w:val="center"/>
            </w:pPr>
            <w:r w:rsidRPr="00113AE5">
              <w:t>46</w:t>
            </w:r>
          </w:p>
        </w:tc>
      </w:tr>
      <w:tr w:rsidR="003524CA" w:rsidRPr="00113AE5" w:rsidTr="003524CA">
        <w:tc>
          <w:tcPr>
            <w:tcW w:w="1568" w:type="dxa"/>
            <w:tcBorders>
              <w:top w:val="single" w:sz="6" w:space="0" w:color="auto"/>
              <w:left w:val="single" w:sz="6" w:space="0" w:color="auto"/>
              <w:bottom w:val="single" w:sz="6" w:space="0" w:color="auto"/>
              <w:right w:val="single" w:sz="6" w:space="0" w:color="auto"/>
            </w:tcBorders>
          </w:tcPr>
          <w:p w:rsidR="003524CA" w:rsidRPr="00113AE5" w:rsidRDefault="003524CA">
            <w:pPr>
              <w:tabs>
                <w:tab w:val="left" w:pos="5"/>
              </w:tabs>
            </w:pPr>
            <w:r w:rsidRPr="00113AE5">
              <w:t>700.13</w:t>
            </w:r>
          </w:p>
        </w:tc>
        <w:tc>
          <w:tcPr>
            <w:tcW w:w="1568" w:type="dxa"/>
            <w:tcBorders>
              <w:top w:val="single" w:sz="6" w:space="0" w:color="auto"/>
              <w:left w:val="single" w:sz="6" w:space="0" w:color="auto"/>
              <w:bottom w:val="single" w:sz="6" w:space="0" w:color="auto"/>
              <w:right w:val="single" w:sz="6" w:space="0" w:color="auto"/>
            </w:tcBorders>
          </w:tcPr>
          <w:p w:rsidR="003524CA" w:rsidRPr="00113AE5" w:rsidRDefault="00773597" w:rsidP="00773597">
            <w:pPr>
              <w:tabs>
                <w:tab w:val="left" w:pos="5"/>
              </w:tabs>
              <w:jc w:val="center"/>
            </w:pPr>
            <w:r w:rsidRPr="00113AE5">
              <w:t>8</w:t>
            </w:r>
          </w:p>
        </w:tc>
        <w:tc>
          <w:tcPr>
            <w:tcW w:w="1569" w:type="dxa"/>
            <w:tcBorders>
              <w:top w:val="single" w:sz="6" w:space="0" w:color="auto"/>
              <w:left w:val="single" w:sz="6" w:space="0" w:color="auto"/>
              <w:bottom w:val="single" w:sz="6" w:space="0" w:color="auto"/>
              <w:right w:val="single" w:sz="6" w:space="0" w:color="auto"/>
            </w:tcBorders>
          </w:tcPr>
          <w:p w:rsidR="003524CA" w:rsidRPr="00113AE5" w:rsidRDefault="003524CA">
            <w:pPr>
              <w:tabs>
                <w:tab w:val="left" w:pos="5"/>
              </w:tabs>
              <w:jc w:val="center"/>
            </w:pPr>
            <w:r w:rsidRPr="00113AE5">
              <w:t>2</w:t>
            </w:r>
          </w:p>
        </w:tc>
        <w:tc>
          <w:tcPr>
            <w:tcW w:w="1568" w:type="dxa"/>
            <w:tcBorders>
              <w:top w:val="single" w:sz="6" w:space="0" w:color="auto"/>
              <w:left w:val="single" w:sz="6" w:space="0" w:color="auto"/>
              <w:bottom w:val="single" w:sz="6" w:space="0" w:color="auto"/>
              <w:right w:val="single" w:sz="6" w:space="0" w:color="auto"/>
            </w:tcBorders>
          </w:tcPr>
          <w:p w:rsidR="003524CA" w:rsidRPr="00113AE5" w:rsidRDefault="00773597">
            <w:pPr>
              <w:tabs>
                <w:tab w:val="left" w:pos="5"/>
              </w:tabs>
              <w:jc w:val="center"/>
            </w:pPr>
            <w:r w:rsidRPr="00113AE5">
              <w:t>16</w:t>
            </w:r>
          </w:p>
        </w:tc>
        <w:tc>
          <w:tcPr>
            <w:tcW w:w="1568" w:type="dxa"/>
            <w:tcBorders>
              <w:top w:val="single" w:sz="6" w:space="0" w:color="auto"/>
              <w:left w:val="single" w:sz="6" w:space="0" w:color="auto"/>
              <w:bottom w:val="single" w:sz="6" w:space="0" w:color="auto"/>
              <w:right w:val="single" w:sz="6" w:space="0" w:color="auto"/>
            </w:tcBorders>
          </w:tcPr>
          <w:p w:rsidR="003524CA" w:rsidRPr="00113AE5" w:rsidRDefault="003524CA" w:rsidP="00454E46">
            <w:pPr>
              <w:jc w:val="center"/>
            </w:pPr>
            <w:r w:rsidRPr="00113AE5">
              <w:t>45</w:t>
            </w:r>
          </w:p>
        </w:tc>
        <w:tc>
          <w:tcPr>
            <w:tcW w:w="1569" w:type="dxa"/>
            <w:tcBorders>
              <w:top w:val="single" w:sz="6" w:space="0" w:color="auto"/>
              <w:left w:val="single" w:sz="6" w:space="0" w:color="auto"/>
              <w:bottom w:val="single" w:sz="6" w:space="0" w:color="auto"/>
              <w:right w:val="single" w:sz="6" w:space="0" w:color="auto"/>
            </w:tcBorders>
          </w:tcPr>
          <w:p w:rsidR="003524CA" w:rsidRPr="00113AE5" w:rsidRDefault="00773597" w:rsidP="00773597">
            <w:pPr>
              <w:tabs>
                <w:tab w:val="left" w:pos="5"/>
              </w:tabs>
              <w:jc w:val="center"/>
            </w:pPr>
            <w:r w:rsidRPr="00113AE5">
              <w:t>-29</w:t>
            </w:r>
          </w:p>
        </w:tc>
      </w:tr>
      <w:tr w:rsidR="003524CA" w:rsidRPr="00113AE5" w:rsidTr="003524CA">
        <w:tc>
          <w:tcPr>
            <w:tcW w:w="1568" w:type="dxa"/>
            <w:tcBorders>
              <w:top w:val="single" w:sz="6" w:space="0" w:color="auto"/>
              <w:left w:val="single" w:sz="6" w:space="0" w:color="auto"/>
              <w:bottom w:val="single" w:sz="6" w:space="0" w:color="auto"/>
              <w:right w:val="single" w:sz="6" w:space="0" w:color="auto"/>
            </w:tcBorders>
          </w:tcPr>
          <w:p w:rsidR="003524CA" w:rsidRPr="00113AE5" w:rsidRDefault="003524CA">
            <w:pPr>
              <w:tabs>
                <w:tab w:val="left" w:pos="5"/>
              </w:tabs>
              <w:jc w:val="center"/>
            </w:pPr>
            <w:r w:rsidRPr="00113AE5">
              <w:t>TOTAL</w:t>
            </w:r>
          </w:p>
        </w:tc>
        <w:tc>
          <w:tcPr>
            <w:tcW w:w="1568" w:type="dxa"/>
            <w:tcBorders>
              <w:top w:val="single" w:sz="6" w:space="0" w:color="auto"/>
              <w:left w:val="single" w:sz="6" w:space="0" w:color="auto"/>
              <w:bottom w:val="single" w:sz="6" w:space="0" w:color="auto"/>
              <w:right w:val="single" w:sz="6" w:space="0" w:color="auto"/>
            </w:tcBorders>
          </w:tcPr>
          <w:p w:rsidR="003524CA" w:rsidRPr="00113AE5" w:rsidRDefault="00773597">
            <w:pPr>
              <w:tabs>
                <w:tab w:val="left" w:pos="5"/>
              </w:tabs>
              <w:jc w:val="center"/>
            </w:pPr>
            <w:r w:rsidRPr="00113AE5">
              <w:fldChar w:fldCharType="begin"/>
            </w:r>
            <w:r w:rsidRPr="00113AE5">
              <w:instrText xml:space="preserve"> =SUM(ABOVE) </w:instrText>
            </w:r>
            <w:r w:rsidRPr="00113AE5">
              <w:fldChar w:fldCharType="separate"/>
            </w:r>
            <w:r w:rsidRPr="00113AE5">
              <w:rPr>
                <w:noProof/>
              </w:rPr>
              <w:t>23</w:t>
            </w:r>
            <w:r w:rsidRPr="00113AE5">
              <w:fldChar w:fldCharType="end"/>
            </w:r>
          </w:p>
        </w:tc>
        <w:tc>
          <w:tcPr>
            <w:tcW w:w="1569" w:type="dxa"/>
            <w:tcBorders>
              <w:top w:val="single" w:sz="6" w:space="0" w:color="auto"/>
              <w:left w:val="single" w:sz="6" w:space="0" w:color="auto"/>
              <w:bottom w:val="single" w:sz="6" w:space="0" w:color="auto"/>
              <w:right w:val="single" w:sz="6" w:space="0" w:color="auto"/>
            </w:tcBorders>
          </w:tcPr>
          <w:p w:rsidR="003524CA" w:rsidRPr="00113AE5" w:rsidRDefault="003524CA">
            <w:pPr>
              <w:tabs>
                <w:tab w:val="left" w:pos="5"/>
              </w:tabs>
              <w:jc w:val="center"/>
            </w:pPr>
          </w:p>
        </w:tc>
        <w:tc>
          <w:tcPr>
            <w:tcW w:w="1568" w:type="dxa"/>
            <w:tcBorders>
              <w:top w:val="single" w:sz="6" w:space="0" w:color="auto"/>
              <w:left w:val="single" w:sz="6" w:space="0" w:color="auto"/>
              <w:bottom w:val="single" w:sz="6" w:space="0" w:color="auto"/>
              <w:right w:val="single" w:sz="6" w:space="0" w:color="auto"/>
            </w:tcBorders>
          </w:tcPr>
          <w:p w:rsidR="003524CA" w:rsidRPr="00113AE5" w:rsidRDefault="00773597" w:rsidP="003D3F74">
            <w:pPr>
              <w:tabs>
                <w:tab w:val="left" w:pos="5"/>
              </w:tabs>
              <w:jc w:val="center"/>
            </w:pPr>
            <w:r w:rsidRPr="00113AE5">
              <w:fldChar w:fldCharType="begin"/>
            </w:r>
            <w:r w:rsidRPr="00113AE5">
              <w:instrText xml:space="preserve"> =SUM(ABOVE) </w:instrText>
            </w:r>
            <w:r w:rsidRPr="00113AE5">
              <w:fldChar w:fldCharType="separate"/>
            </w:r>
            <w:r w:rsidRPr="00113AE5">
              <w:rPr>
                <w:noProof/>
              </w:rPr>
              <w:t>80</w:t>
            </w:r>
            <w:r w:rsidRPr="00113AE5">
              <w:fldChar w:fldCharType="end"/>
            </w:r>
          </w:p>
        </w:tc>
        <w:tc>
          <w:tcPr>
            <w:tcW w:w="1568" w:type="dxa"/>
            <w:tcBorders>
              <w:top w:val="single" w:sz="6" w:space="0" w:color="auto"/>
              <w:left w:val="single" w:sz="6" w:space="0" w:color="auto"/>
              <w:bottom w:val="single" w:sz="6" w:space="0" w:color="auto"/>
              <w:right w:val="single" w:sz="6" w:space="0" w:color="auto"/>
            </w:tcBorders>
          </w:tcPr>
          <w:p w:rsidR="003524CA" w:rsidRPr="00113AE5" w:rsidRDefault="003524CA" w:rsidP="00454E46">
            <w:pPr>
              <w:jc w:val="center"/>
            </w:pPr>
            <w:r w:rsidRPr="00113AE5">
              <w:t>50</w:t>
            </w:r>
          </w:p>
        </w:tc>
        <w:tc>
          <w:tcPr>
            <w:tcW w:w="1569" w:type="dxa"/>
            <w:tcBorders>
              <w:top w:val="single" w:sz="6" w:space="0" w:color="auto"/>
              <w:left w:val="single" w:sz="6" w:space="0" w:color="auto"/>
              <w:bottom w:val="single" w:sz="6" w:space="0" w:color="auto"/>
              <w:right w:val="single" w:sz="6" w:space="0" w:color="auto"/>
            </w:tcBorders>
          </w:tcPr>
          <w:p w:rsidR="003524CA" w:rsidRPr="00113AE5" w:rsidRDefault="00773597" w:rsidP="003D3F74">
            <w:pPr>
              <w:tabs>
                <w:tab w:val="left" w:pos="5"/>
              </w:tabs>
              <w:jc w:val="center"/>
            </w:pPr>
            <w:r w:rsidRPr="00113AE5">
              <w:fldChar w:fldCharType="begin"/>
            </w:r>
            <w:r w:rsidRPr="00113AE5">
              <w:instrText xml:space="preserve"> =SUM(ABOVE) </w:instrText>
            </w:r>
            <w:r w:rsidRPr="00113AE5">
              <w:fldChar w:fldCharType="separate"/>
            </w:r>
            <w:r w:rsidRPr="00113AE5">
              <w:rPr>
                <w:noProof/>
              </w:rPr>
              <w:t>30</w:t>
            </w:r>
            <w:r w:rsidRPr="00113AE5">
              <w:fldChar w:fldCharType="end"/>
            </w:r>
          </w:p>
        </w:tc>
      </w:tr>
    </w:tbl>
    <w:p w:rsidR="000E6F48" w:rsidRPr="00113AE5" w:rsidRDefault="000E6F48"/>
    <w:p w:rsidR="000E6F48" w:rsidRPr="00645C4A" w:rsidRDefault="000E6F48">
      <w:pPr>
        <w:rPr>
          <w:sz w:val="20"/>
          <w:szCs w:val="20"/>
        </w:rPr>
      </w:pPr>
    </w:p>
    <w:p w:rsidR="005D479E" w:rsidRDefault="005D479E" w:rsidP="00AE7C37">
      <w:pPr>
        <w:jc w:val="center"/>
        <w:outlineLvl w:val="0"/>
      </w:pPr>
    </w:p>
    <w:p w:rsidR="005D479E" w:rsidRDefault="005D479E" w:rsidP="00AE7C37">
      <w:pPr>
        <w:jc w:val="center"/>
        <w:outlineLvl w:val="0"/>
      </w:pPr>
    </w:p>
    <w:p w:rsidR="005D479E" w:rsidRDefault="005D479E" w:rsidP="00AE7C37">
      <w:pPr>
        <w:jc w:val="center"/>
        <w:outlineLvl w:val="0"/>
      </w:pPr>
    </w:p>
    <w:p w:rsidR="005D479E" w:rsidRDefault="005D479E" w:rsidP="00AE7C37">
      <w:pPr>
        <w:jc w:val="center"/>
        <w:outlineLvl w:val="0"/>
      </w:pPr>
    </w:p>
    <w:p w:rsidR="005D479E" w:rsidRDefault="005D479E" w:rsidP="00AE7C37">
      <w:pPr>
        <w:jc w:val="center"/>
        <w:outlineLvl w:val="0"/>
      </w:pPr>
    </w:p>
    <w:p w:rsidR="005D479E" w:rsidRDefault="005D479E" w:rsidP="00AE7C37">
      <w:pPr>
        <w:jc w:val="center"/>
        <w:outlineLvl w:val="0"/>
      </w:pPr>
    </w:p>
    <w:p w:rsidR="005D479E" w:rsidRDefault="005D479E" w:rsidP="00AE7C37">
      <w:pPr>
        <w:jc w:val="center"/>
        <w:outlineLvl w:val="0"/>
      </w:pPr>
    </w:p>
    <w:p w:rsidR="005D479E" w:rsidRDefault="005D479E" w:rsidP="00AE7C37">
      <w:pPr>
        <w:jc w:val="center"/>
        <w:outlineLvl w:val="0"/>
      </w:pPr>
    </w:p>
    <w:p w:rsidR="005D479E" w:rsidRDefault="005D479E" w:rsidP="00AE7C37">
      <w:pPr>
        <w:jc w:val="center"/>
        <w:outlineLvl w:val="0"/>
      </w:pPr>
    </w:p>
    <w:p w:rsidR="005D479E" w:rsidRDefault="005D479E" w:rsidP="00AE7C37">
      <w:pPr>
        <w:jc w:val="center"/>
        <w:outlineLvl w:val="0"/>
      </w:pPr>
    </w:p>
    <w:p w:rsidR="005D479E" w:rsidRDefault="005D479E" w:rsidP="00AE7C37">
      <w:pPr>
        <w:jc w:val="center"/>
        <w:outlineLvl w:val="0"/>
      </w:pPr>
    </w:p>
    <w:p w:rsidR="005D479E" w:rsidRDefault="005D479E" w:rsidP="00AE7C37">
      <w:pPr>
        <w:jc w:val="center"/>
        <w:outlineLvl w:val="0"/>
      </w:pPr>
    </w:p>
    <w:p w:rsidR="005D479E" w:rsidRDefault="005D479E" w:rsidP="00AE7C37">
      <w:pPr>
        <w:jc w:val="center"/>
        <w:outlineLvl w:val="0"/>
      </w:pPr>
    </w:p>
    <w:p w:rsidR="005D479E" w:rsidRDefault="005D479E" w:rsidP="00AE7C37">
      <w:pPr>
        <w:jc w:val="center"/>
        <w:outlineLvl w:val="0"/>
      </w:pPr>
    </w:p>
    <w:p w:rsidR="005D479E" w:rsidRDefault="005D479E" w:rsidP="00AE7C37">
      <w:pPr>
        <w:jc w:val="center"/>
        <w:outlineLvl w:val="0"/>
      </w:pPr>
    </w:p>
    <w:p w:rsidR="005D479E" w:rsidRDefault="005D479E" w:rsidP="00AE7C37">
      <w:pPr>
        <w:jc w:val="center"/>
        <w:outlineLvl w:val="0"/>
      </w:pPr>
    </w:p>
    <w:p w:rsidR="005D479E" w:rsidRDefault="005D479E" w:rsidP="00AE7C37">
      <w:pPr>
        <w:jc w:val="center"/>
        <w:outlineLvl w:val="0"/>
      </w:pPr>
    </w:p>
    <w:p w:rsidR="005D479E" w:rsidRDefault="005D479E" w:rsidP="00AE7C37">
      <w:pPr>
        <w:jc w:val="center"/>
        <w:outlineLvl w:val="0"/>
      </w:pPr>
    </w:p>
    <w:p w:rsidR="005D479E" w:rsidRDefault="005D479E" w:rsidP="00AE7C37">
      <w:pPr>
        <w:jc w:val="center"/>
        <w:outlineLvl w:val="0"/>
      </w:pPr>
    </w:p>
    <w:p w:rsidR="005D479E" w:rsidRDefault="005D479E" w:rsidP="00AE7C37">
      <w:pPr>
        <w:jc w:val="center"/>
        <w:outlineLvl w:val="0"/>
      </w:pPr>
    </w:p>
    <w:p w:rsidR="000E6F48" w:rsidRDefault="007943CE">
      <w:pPr>
        <w:pStyle w:val="TxBrc1"/>
        <w:tabs>
          <w:tab w:val="center" w:pos="4648"/>
        </w:tabs>
        <w:spacing w:line="240" w:lineRule="auto"/>
      </w:pPr>
      <w:r>
        <w:t>30 CFR 700.11 - Applicability</w:t>
      </w:r>
    </w:p>
    <w:p w:rsidR="000E6F48" w:rsidRDefault="000E6F48">
      <w:pPr>
        <w:tabs>
          <w:tab w:val="center" w:pos="4648"/>
        </w:tabs>
      </w:pPr>
    </w:p>
    <w:p w:rsidR="000E6F48" w:rsidRDefault="000E6F48">
      <w:pPr>
        <w:pStyle w:val="TxBrp2"/>
        <w:spacing w:line="283" w:lineRule="exact"/>
        <w:ind w:left="709"/>
      </w:pPr>
      <w:r>
        <w:rPr>
          <w:u w:val="single"/>
        </w:rPr>
        <w:t>Justification</w:t>
      </w:r>
    </w:p>
    <w:p w:rsidR="000E6F48" w:rsidRDefault="000E6F48">
      <w:pPr>
        <w:tabs>
          <w:tab w:val="left" w:pos="708"/>
        </w:tabs>
        <w:spacing w:line="283" w:lineRule="exact"/>
      </w:pPr>
    </w:p>
    <w:p w:rsidR="000E6F48" w:rsidRDefault="000E6F48">
      <w:pPr>
        <w:ind w:left="720" w:hanging="720"/>
      </w:pPr>
      <w:r>
        <w:t>1.</w:t>
      </w:r>
      <w:r>
        <w:tab/>
        <w:t xml:space="preserve">As authorized by sections </w:t>
      </w:r>
      <w:r>
        <w:rPr>
          <w:i/>
          <w:iCs/>
        </w:rPr>
        <w:t xml:space="preserve">502, 515, </w:t>
      </w:r>
      <w:r>
        <w:t xml:space="preserve">and </w:t>
      </w:r>
      <w:r>
        <w:rPr>
          <w:i/>
          <w:iCs/>
        </w:rPr>
        <w:t xml:space="preserve">516 </w:t>
      </w:r>
      <w:r>
        <w:t>of the Surface Mining Control and Reclamation Act (SMCRA), 30 CFR 700.11(d</w:t>
      </w:r>
      <w:proofErr w:type="gramStart"/>
      <w:r>
        <w:t>)(</w:t>
      </w:r>
      <w:proofErr w:type="gramEnd"/>
      <w:r>
        <w:t>1) and (2) define the criteria and procedures for determining when regulatory jurisdiction ends under SMCRA over a surface mining control and reclamation operation site.  The information required includes a written determination by the regulatory authority that all of the regulatory requirements imposed by either the initial or permanent program have been met and, therefore, there no longer exists a surface coal mining and reclamation operation on the particular site or increment thereof.  Initial program sites and permanent program sites will require a written finding by the regulatory authority that all requirements imposed under the regulatory program have been successfully completed.  Final bond release for permanent program sites will indicate that the site has met all the applicable regulatory requirements, and jurisdiction may be terminated.  This information collection submittal only reflects burden placed on State regulatory authorities under its initial programs to terminate jurisdiction since the State permanent program responsibilities are found at 30 CFR 800 and the collection authority has been approved separately.</w:t>
      </w:r>
    </w:p>
    <w:p w:rsidR="000E6F48" w:rsidRDefault="000E6F48">
      <w:pPr>
        <w:tabs>
          <w:tab w:val="left" w:pos="708"/>
        </w:tabs>
        <w:spacing w:line="283" w:lineRule="exact"/>
      </w:pPr>
    </w:p>
    <w:p w:rsidR="000E6F48" w:rsidRDefault="000E6F48">
      <w:pPr>
        <w:pStyle w:val="TxBrp2"/>
        <w:spacing w:line="283" w:lineRule="exact"/>
        <w:ind w:left="709"/>
      </w:pPr>
      <w:r>
        <w:t>2.</w:t>
      </w:r>
      <w:r>
        <w:tab/>
        <w:t xml:space="preserve">The information is used by the </w:t>
      </w:r>
      <w:r w:rsidR="0082447F">
        <w:t>OSMRE</w:t>
      </w:r>
      <w:r>
        <w:t xml:space="preserve"> and States to establish a point where a site is no longer a surface coal mining and reclamation operation and, therefore, regulatory jurisdiction ends.</w:t>
      </w:r>
    </w:p>
    <w:p w:rsidR="000E6F48" w:rsidRDefault="000E6F48">
      <w:pPr>
        <w:tabs>
          <w:tab w:val="left" w:pos="708"/>
        </w:tabs>
        <w:spacing w:line="283" w:lineRule="exact"/>
      </w:pPr>
    </w:p>
    <w:p w:rsidR="000E6F48" w:rsidRDefault="000E6F48">
      <w:pPr>
        <w:pStyle w:val="TxBrp2"/>
        <w:spacing w:line="283" w:lineRule="exact"/>
        <w:ind w:left="709"/>
      </w:pPr>
      <w:r>
        <w:t>3.</w:t>
      </w:r>
      <w:r>
        <w:tab/>
        <w:t xml:space="preserve">This information is unique to each mining operation. </w:t>
      </w:r>
      <w:r w:rsidR="007671A1">
        <w:t xml:space="preserve"> </w:t>
      </w:r>
      <w:r>
        <w:t>Respondents are State regulatory authorities that prepare documentation prior to terminating regulatory jurisdiction over a surface coal mining operation.  Form letters are prepared on computer which reduces the burden placed on State regulatory authorities each time the States prepare to terminate jurisdiction on an interim site or upon completion of reclamation activities after bond forfeiture.</w:t>
      </w:r>
      <w:r w:rsidR="00A94568">
        <w:t xml:space="preserve">  </w:t>
      </w:r>
      <w:r w:rsidR="008F1611">
        <w:t>Although electronic submission of the written findings is encouraged, s</w:t>
      </w:r>
      <w:r w:rsidR="00A94568">
        <w:t xml:space="preserve">ince </w:t>
      </w:r>
      <w:r w:rsidR="005C73C3">
        <w:t xml:space="preserve">there are so few interim sites remaining, it is not practical for </w:t>
      </w:r>
      <w:r w:rsidR="0082447F">
        <w:t>OSMRE</w:t>
      </w:r>
      <w:r w:rsidR="00A94568">
        <w:t xml:space="preserve"> </w:t>
      </w:r>
      <w:r w:rsidR="005C73C3">
        <w:t xml:space="preserve">to require State regulatory authorities to </w:t>
      </w:r>
      <w:r w:rsidR="008F1611">
        <w:t>submit</w:t>
      </w:r>
      <w:r w:rsidR="005C73C3">
        <w:t xml:space="preserve"> this information electronically</w:t>
      </w:r>
      <w:r w:rsidR="00735C2E">
        <w:t xml:space="preserve"> although they could</w:t>
      </w:r>
      <w:r w:rsidR="005C73C3">
        <w:t>.</w:t>
      </w:r>
    </w:p>
    <w:p w:rsidR="000E6F48" w:rsidRDefault="000E6F48">
      <w:pPr>
        <w:tabs>
          <w:tab w:val="left" w:pos="708"/>
        </w:tabs>
        <w:spacing w:line="283" w:lineRule="exact"/>
      </w:pPr>
    </w:p>
    <w:p w:rsidR="000E6F48" w:rsidRDefault="000E6F48">
      <w:pPr>
        <w:pStyle w:val="TxBrp2"/>
        <w:spacing w:line="283" w:lineRule="exact"/>
        <w:ind w:left="709"/>
      </w:pPr>
      <w:r>
        <w:t>4.</w:t>
      </w:r>
      <w:r>
        <w:tab/>
        <w:t>Since circumstances vary with each permit application, there is no other available source of information that can be used to satisfy the law.  No similar information pertaining to terminating jurisdiction over an interim permitted coal mining operation is required by other Federal agencies.</w:t>
      </w:r>
    </w:p>
    <w:p w:rsidR="000E6F48" w:rsidRDefault="000E6F48">
      <w:pPr>
        <w:tabs>
          <w:tab w:val="left" w:pos="708"/>
        </w:tabs>
        <w:spacing w:line="283" w:lineRule="exact"/>
      </w:pPr>
    </w:p>
    <w:p w:rsidR="000E6F48" w:rsidRDefault="000E6F48">
      <w:pPr>
        <w:pStyle w:val="TxBrp2"/>
        <w:spacing w:line="283" w:lineRule="exact"/>
        <w:ind w:left="709"/>
      </w:pPr>
      <w:r>
        <w:rPr>
          <w:i/>
          <w:iCs/>
        </w:rPr>
        <w:t>5.</w:t>
      </w:r>
      <w:r>
        <w:rPr>
          <w:i/>
          <w:iCs/>
        </w:rPr>
        <w:tab/>
      </w:r>
      <w:r>
        <w:t xml:space="preserve">There are no small entities associated with this collection.  </w:t>
      </w:r>
      <w:r w:rsidR="000E7C23">
        <w:t>Potential r</w:t>
      </w:r>
      <w:r>
        <w:t>espondents are the 24 State regulatory authorities.</w:t>
      </w:r>
    </w:p>
    <w:p w:rsidR="000E6F48" w:rsidRDefault="000E6F48">
      <w:pPr>
        <w:tabs>
          <w:tab w:val="left" w:pos="708"/>
        </w:tabs>
        <w:spacing w:line="283" w:lineRule="exact"/>
      </w:pPr>
    </w:p>
    <w:p w:rsidR="000E6F48" w:rsidRDefault="000E6F48">
      <w:pPr>
        <w:pStyle w:val="TxBrp2"/>
        <w:spacing w:line="283" w:lineRule="exact"/>
        <w:ind w:left="709"/>
      </w:pPr>
      <w:r>
        <w:t>6.</w:t>
      </w:r>
      <w:r>
        <w:tab/>
        <w:t>Termination of jurisdiction occurs when the regulatory authority determines that all requirements under the regulatory program have been completed.   Information collection will occur at these times.  Therefore, the frequency of collection does not apply here.</w:t>
      </w:r>
    </w:p>
    <w:p w:rsidR="000E6F48" w:rsidRDefault="000E6F48">
      <w:pPr>
        <w:pStyle w:val="TxBrp2"/>
        <w:spacing w:line="283" w:lineRule="exact"/>
        <w:ind w:left="709"/>
      </w:pPr>
    </w:p>
    <w:p w:rsidR="000E6F48" w:rsidRDefault="000E6F48">
      <w:pPr>
        <w:pStyle w:val="TxBrp2"/>
        <w:spacing w:line="283" w:lineRule="exact"/>
        <w:ind w:left="709"/>
        <w:rPr>
          <w:i/>
          <w:iCs/>
        </w:rPr>
      </w:pPr>
      <w:r>
        <w:t>7.</w:t>
      </w:r>
      <w:r>
        <w:tab/>
        <w:t>Not applicable. There are no special circumstances that require the collection of information to be conducted in a manner inconsistent with the guidelines in 5 CFR 1320.5(d</w:t>
      </w:r>
      <w:proofErr w:type="gramStart"/>
      <w:r>
        <w:t>)(</w:t>
      </w:r>
      <w:proofErr w:type="gramEnd"/>
      <w:r>
        <w:t>2).</w:t>
      </w:r>
    </w:p>
    <w:p w:rsidR="000E6F48" w:rsidRDefault="000E6F48">
      <w:pPr>
        <w:pStyle w:val="TxBrp5"/>
        <w:tabs>
          <w:tab w:val="clear" w:pos="204"/>
          <w:tab w:val="left" w:pos="731"/>
        </w:tabs>
        <w:spacing w:line="240" w:lineRule="auto"/>
      </w:pPr>
    </w:p>
    <w:p w:rsidR="000E6F48" w:rsidRPr="007A4E47" w:rsidRDefault="000E6F48">
      <w:pPr>
        <w:pStyle w:val="TxBrp2"/>
        <w:spacing w:line="283" w:lineRule="exact"/>
        <w:ind w:left="709"/>
      </w:pPr>
      <w:r w:rsidRPr="007A4E47">
        <w:t>8.</w:t>
      </w:r>
      <w:r w:rsidRPr="007A4E47">
        <w:tab/>
        <w:t xml:space="preserve">In </w:t>
      </w:r>
      <w:r w:rsidR="00317CD7" w:rsidRPr="007A4E47">
        <w:t>July 2015</w:t>
      </w:r>
      <w:r w:rsidRPr="007A4E47">
        <w:t xml:space="preserve">, </w:t>
      </w:r>
      <w:r w:rsidR="0082447F" w:rsidRPr="007A4E47">
        <w:t>OSMRE</w:t>
      </w:r>
      <w:r w:rsidRPr="007A4E47">
        <w:t xml:space="preserve"> contacted </w:t>
      </w:r>
      <w:r w:rsidR="0063456F" w:rsidRPr="007A4E47">
        <w:t xml:space="preserve">our Knoxville </w:t>
      </w:r>
      <w:r w:rsidR="00E530A8" w:rsidRPr="007A4E47">
        <w:t xml:space="preserve">Field Office </w:t>
      </w:r>
      <w:r w:rsidR="001A323A" w:rsidRPr="007A4E47">
        <w:t xml:space="preserve">which is the regulatory authority in the State of Tennessee </w:t>
      </w:r>
      <w:r w:rsidRPr="007A4E47">
        <w:t>to determine the information collection bur</w:t>
      </w:r>
      <w:r w:rsidR="00843E09" w:rsidRPr="007A4E47">
        <w:t>den required of section 700.11</w:t>
      </w:r>
      <w:r w:rsidR="0063456F" w:rsidRPr="007A4E47">
        <w:t xml:space="preserve"> if a termination of jurisdiction were to be undertaken on an interim program site</w:t>
      </w:r>
      <w:r w:rsidR="00843E09" w:rsidRPr="007A4E47">
        <w:t xml:space="preserve">. </w:t>
      </w:r>
      <w:r w:rsidR="00E530A8" w:rsidRPr="007A4E47">
        <w:t xml:space="preserve"> </w:t>
      </w:r>
      <w:r w:rsidR="00317CD7" w:rsidRPr="007A4E47">
        <w:t>Bill Winters</w:t>
      </w:r>
      <w:r w:rsidR="001A323A" w:rsidRPr="007A4E47">
        <w:t xml:space="preserve">, Chief, Knoxville Field Office </w:t>
      </w:r>
      <w:r w:rsidR="00317CD7" w:rsidRPr="007A4E47">
        <w:t>Techn</w:t>
      </w:r>
      <w:r w:rsidR="00286D99" w:rsidRPr="007A4E47">
        <w:t>ical</w:t>
      </w:r>
      <w:r w:rsidR="00317CD7" w:rsidRPr="007A4E47">
        <w:t xml:space="preserve"> </w:t>
      </w:r>
      <w:r w:rsidR="001A323A" w:rsidRPr="007A4E47">
        <w:t>Group, stated that it would take no more than one hour to prepare the written determination required to terminate jurisdiction of an interim program site</w:t>
      </w:r>
      <w:r w:rsidR="0087445B" w:rsidRPr="007A4E47">
        <w:t>.</w:t>
      </w:r>
      <w:r w:rsidR="001A323A" w:rsidRPr="007A4E47">
        <w:t xml:space="preserve">  He had no concerns with the reporting requirements of the subject regulations or availability of information.  The collection is conducted once, therefore, frequency of collection wasn’t a factor.  His burden estimates have been incorporated into this collection request.</w:t>
      </w:r>
    </w:p>
    <w:p w:rsidR="009F7C95" w:rsidRPr="007A4E47" w:rsidRDefault="009F7C95">
      <w:pPr>
        <w:pStyle w:val="TxBrp2"/>
        <w:spacing w:line="283" w:lineRule="exact"/>
        <w:ind w:left="709"/>
      </w:pPr>
    </w:p>
    <w:p w:rsidR="009F7C95" w:rsidRPr="006D5119" w:rsidRDefault="009F7C95" w:rsidP="009F7C95">
      <w:pPr>
        <w:ind w:left="720" w:hanging="720"/>
      </w:pPr>
      <w:r w:rsidRPr="007A4E47">
        <w:tab/>
      </w:r>
      <w:r w:rsidRPr="00177353">
        <w:t>On</w:t>
      </w:r>
      <w:r w:rsidR="00735C2E" w:rsidRPr="00177353">
        <w:t xml:space="preserve"> </w:t>
      </w:r>
      <w:r w:rsidR="00177353">
        <w:t>September 8</w:t>
      </w:r>
      <w:r w:rsidR="00443193" w:rsidRPr="00177353">
        <w:t>, 20</w:t>
      </w:r>
      <w:r w:rsidR="003443BE" w:rsidRPr="00177353">
        <w:t>1</w:t>
      </w:r>
      <w:r w:rsidR="00177353">
        <w:t>5</w:t>
      </w:r>
      <w:r w:rsidR="003443BE" w:rsidRPr="00177353">
        <w:t>,</w:t>
      </w:r>
      <w:r w:rsidRPr="00177353">
        <w:t xml:space="preserve"> </w:t>
      </w:r>
      <w:r w:rsidR="0082447F" w:rsidRPr="00177353">
        <w:t>OSMRE</w:t>
      </w:r>
      <w:r w:rsidRPr="00177353">
        <w:t xml:space="preserve"> </w:t>
      </w:r>
      <w:r w:rsidR="00836732" w:rsidRPr="00177353">
        <w:t xml:space="preserve">had </w:t>
      </w:r>
      <w:r w:rsidRPr="00177353">
        <w:t xml:space="preserve">published in the </w:t>
      </w:r>
      <w:r w:rsidRPr="00177353">
        <w:rPr>
          <w:u w:val="single"/>
        </w:rPr>
        <w:t>Federal</w:t>
      </w:r>
      <w:r w:rsidRPr="00177353">
        <w:t xml:space="preserve"> </w:t>
      </w:r>
      <w:r w:rsidRPr="00177353">
        <w:rPr>
          <w:u w:val="single"/>
        </w:rPr>
        <w:t>Register</w:t>
      </w:r>
      <w:r w:rsidRPr="00177353">
        <w:t xml:space="preserve"> (</w:t>
      </w:r>
      <w:r w:rsidR="00177353">
        <w:t>80</w:t>
      </w:r>
      <w:r w:rsidR="00443193" w:rsidRPr="00177353">
        <w:t xml:space="preserve"> </w:t>
      </w:r>
      <w:r w:rsidRPr="00177353">
        <w:t>FR</w:t>
      </w:r>
      <w:r w:rsidR="00735C2E" w:rsidRPr="00177353">
        <w:t xml:space="preserve"> </w:t>
      </w:r>
      <w:r w:rsidR="00177353">
        <w:t>53887</w:t>
      </w:r>
      <w:r w:rsidRPr="00177353">
        <w:t>) a notice</w:t>
      </w:r>
      <w:r w:rsidRPr="007A4E47">
        <w:t xml:space="preserve"> requesting comments from the public regarding the need for the collection of information, the accuracy of the burden estimate, ways to enhance the information collection, and ways to minimize the burden</w:t>
      </w:r>
      <w:r w:rsidRPr="006D5119">
        <w:t xml:space="preserve"> on respondents.  This notice gave the public 60 days in which to comment.  However, no comments were received.</w:t>
      </w:r>
    </w:p>
    <w:p w:rsidR="009F7C95" w:rsidRDefault="009F7C95">
      <w:pPr>
        <w:pStyle w:val="TxBrp2"/>
        <w:spacing w:line="283" w:lineRule="exact"/>
        <w:ind w:left="709"/>
      </w:pPr>
    </w:p>
    <w:p w:rsidR="000E6F48" w:rsidRDefault="000E6F48">
      <w:pPr>
        <w:pStyle w:val="TxBrp2"/>
        <w:spacing w:line="283" w:lineRule="exact"/>
        <w:ind w:left="709"/>
      </w:pPr>
      <w:r>
        <w:t>9.</w:t>
      </w:r>
      <w:r>
        <w:tab/>
        <w:t xml:space="preserve">Not applicable.  </w:t>
      </w:r>
      <w:r w:rsidR="0082447F">
        <w:t>OSMRE</w:t>
      </w:r>
      <w:r>
        <w:t xml:space="preserve"> provides no payments or gifts to respondents beyond grants authorized by law.</w:t>
      </w:r>
    </w:p>
    <w:p w:rsidR="000E6F48" w:rsidRDefault="000E6F48">
      <w:pPr>
        <w:tabs>
          <w:tab w:val="left" w:pos="708"/>
        </w:tabs>
        <w:spacing w:line="283" w:lineRule="exact"/>
      </w:pPr>
    </w:p>
    <w:p w:rsidR="000E6F48" w:rsidRDefault="000E6F48">
      <w:pPr>
        <w:pStyle w:val="TxBrp8"/>
        <w:spacing w:line="240" w:lineRule="auto"/>
        <w:ind w:left="706" w:hanging="706"/>
      </w:pPr>
      <w:r>
        <w:t>10.</w:t>
      </w:r>
      <w:r>
        <w:tab/>
        <w:t xml:space="preserve">There </w:t>
      </w:r>
      <w:r w:rsidR="00E21F2B">
        <w:t xml:space="preserve">are no </w:t>
      </w:r>
      <w:r>
        <w:t xml:space="preserve">confidentiality </w:t>
      </w:r>
      <w:r w:rsidR="00E21F2B">
        <w:t xml:space="preserve">provisions for this part since </w:t>
      </w:r>
      <w:r>
        <w:t xml:space="preserve">termination of liability </w:t>
      </w:r>
      <w:r w:rsidR="00E21F2B">
        <w:t xml:space="preserve">decisions are </w:t>
      </w:r>
      <w:r>
        <w:t>a matter of public record.</w:t>
      </w:r>
    </w:p>
    <w:p w:rsidR="000E6F48" w:rsidRDefault="000E6F48">
      <w:pPr>
        <w:pStyle w:val="TxBrt6"/>
        <w:tabs>
          <w:tab w:val="decimal" w:pos="158"/>
          <w:tab w:val="center" w:pos="714"/>
        </w:tabs>
        <w:spacing w:line="578" w:lineRule="exact"/>
      </w:pPr>
      <w:r>
        <w:tab/>
        <w:t>11.</w:t>
      </w:r>
      <w:r>
        <w:tab/>
      </w:r>
      <w:r>
        <w:tab/>
        <w:t>Not applicable.  Sensitive questions are not asked.</w:t>
      </w:r>
    </w:p>
    <w:p w:rsidR="000E6F48" w:rsidRDefault="000E6F48">
      <w:pPr>
        <w:pStyle w:val="TxBrt6"/>
        <w:tabs>
          <w:tab w:val="decimal" w:pos="158"/>
          <w:tab w:val="center" w:pos="714"/>
        </w:tabs>
        <w:spacing w:line="578" w:lineRule="exact"/>
      </w:pPr>
      <w:r>
        <w:t>12.       Reporting, Recordkeeping, and Reviewing Burden</w:t>
      </w:r>
    </w:p>
    <w:p w:rsidR="000E6F48" w:rsidRDefault="000E6F48">
      <w:pPr>
        <w:pStyle w:val="TxBrp4"/>
        <w:tabs>
          <w:tab w:val="left" w:pos="708"/>
        </w:tabs>
        <w:spacing w:line="283" w:lineRule="exact"/>
        <w:ind w:left="709"/>
      </w:pPr>
    </w:p>
    <w:p w:rsidR="000E6F48" w:rsidRDefault="000E6F48" w:rsidP="00AE7C37">
      <w:pPr>
        <w:pStyle w:val="TxBrp4"/>
        <w:tabs>
          <w:tab w:val="left" w:pos="708"/>
        </w:tabs>
        <w:spacing w:line="283" w:lineRule="exact"/>
        <w:ind w:left="709"/>
        <w:outlineLvl w:val="0"/>
      </w:pPr>
      <w:r>
        <w:t>a.</w:t>
      </w:r>
      <w:r>
        <w:tab/>
      </w:r>
      <w:r>
        <w:rPr>
          <w:u w:val="single"/>
        </w:rPr>
        <w:t>Estimated Reporting Burden</w:t>
      </w:r>
      <w:r>
        <w:t>:</w:t>
      </w:r>
    </w:p>
    <w:p w:rsidR="000E6F48" w:rsidRDefault="000E6F48">
      <w:pPr>
        <w:tabs>
          <w:tab w:val="left" w:pos="708"/>
        </w:tabs>
        <w:spacing w:line="283" w:lineRule="exact"/>
      </w:pPr>
    </w:p>
    <w:p w:rsidR="000E6F48" w:rsidRPr="005E7FF6" w:rsidRDefault="000E6F48">
      <w:pPr>
        <w:pStyle w:val="TxBrp4"/>
        <w:tabs>
          <w:tab w:val="left" w:pos="708"/>
        </w:tabs>
        <w:spacing w:line="283" w:lineRule="exact"/>
        <w:ind w:left="709"/>
      </w:pPr>
      <w:r>
        <w:t xml:space="preserve">Section 30 CFR 700.11(d) requires regulatory authorities to provide written documentation in support of terminating jurisdiction over initial program sites.  Based on </w:t>
      </w:r>
      <w:r w:rsidRPr="005E7FF6">
        <w:t>consultation</w:t>
      </w:r>
      <w:r w:rsidR="001A323A" w:rsidRPr="005E7FF6">
        <w:t>s</w:t>
      </w:r>
      <w:r w:rsidRPr="005E7FF6">
        <w:t xml:space="preserve"> with the </w:t>
      </w:r>
      <w:r w:rsidR="0082447F" w:rsidRPr="005E7FF6">
        <w:t>OSMRE</w:t>
      </w:r>
      <w:r w:rsidR="00E530A8" w:rsidRPr="005E7FF6">
        <w:t xml:space="preserve"> </w:t>
      </w:r>
      <w:r w:rsidR="0087699D" w:rsidRPr="005E7FF6">
        <w:t xml:space="preserve">Knoxville and Charleston </w:t>
      </w:r>
      <w:r w:rsidR="00E530A8" w:rsidRPr="005E7FF6">
        <w:t>Field Office</w:t>
      </w:r>
      <w:r w:rsidR="0087699D" w:rsidRPr="005E7FF6">
        <w:t>s</w:t>
      </w:r>
      <w:r w:rsidR="00E530A8" w:rsidRPr="005E7FF6">
        <w:t xml:space="preserve"> </w:t>
      </w:r>
      <w:r w:rsidRPr="005E7FF6">
        <w:t xml:space="preserve">there have been </w:t>
      </w:r>
      <w:r w:rsidR="00317CD7" w:rsidRPr="005E7FF6">
        <w:t>14</w:t>
      </w:r>
      <w:r w:rsidRPr="005E7FF6">
        <w:t xml:space="preserve"> written determinations regarding termination of jurisdiction</w:t>
      </w:r>
      <w:r w:rsidR="009632D2" w:rsidRPr="005E7FF6">
        <w:t xml:space="preserve"> on initial program sites over the span of the last three years</w:t>
      </w:r>
      <w:r w:rsidRPr="005E7FF6">
        <w:t xml:space="preserve">.  </w:t>
      </w:r>
    </w:p>
    <w:p w:rsidR="000E6F48" w:rsidRPr="005E7FF6" w:rsidRDefault="000E6F48">
      <w:pPr>
        <w:tabs>
          <w:tab w:val="left" w:pos="708"/>
        </w:tabs>
        <w:spacing w:line="283" w:lineRule="exact"/>
      </w:pPr>
    </w:p>
    <w:p w:rsidR="000E6F48" w:rsidRPr="005E7FF6" w:rsidRDefault="000E6F48">
      <w:pPr>
        <w:pStyle w:val="TxBrp4"/>
        <w:tabs>
          <w:tab w:val="left" w:pos="708"/>
        </w:tabs>
        <w:spacing w:line="283" w:lineRule="exact"/>
        <w:ind w:left="709"/>
      </w:pPr>
      <w:r w:rsidRPr="005E7FF6">
        <w:t>Each written determination requires approximately 1</w:t>
      </w:r>
      <w:r w:rsidR="003D3F74" w:rsidRPr="005E7FF6">
        <w:t xml:space="preserve"> hour</w:t>
      </w:r>
      <w:r w:rsidRPr="005E7FF6">
        <w:t xml:space="preserve"> </w:t>
      </w:r>
      <w:r w:rsidR="000A3796" w:rsidRPr="005E7FF6">
        <w:t>preparing</w:t>
      </w:r>
      <w:r w:rsidRPr="005E7FF6">
        <w:t xml:space="preserve"> since the written determination is standardized and easily generated.</w:t>
      </w:r>
    </w:p>
    <w:p w:rsidR="000E6F48" w:rsidRPr="005E7FF6" w:rsidRDefault="000E6F48">
      <w:pPr>
        <w:tabs>
          <w:tab w:val="left" w:pos="708"/>
        </w:tabs>
        <w:spacing w:line="283" w:lineRule="exact"/>
      </w:pPr>
    </w:p>
    <w:p w:rsidR="000E6F48" w:rsidRDefault="003D3F74" w:rsidP="003D3F74">
      <w:pPr>
        <w:pStyle w:val="TxBrc1"/>
        <w:tabs>
          <w:tab w:val="left" w:pos="708"/>
        </w:tabs>
        <w:spacing w:line="240" w:lineRule="auto"/>
        <w:jc w:val="left"/>
      </w:pPr>
      <w:r w:rsidRPr="005E7FF6">
        <w:tab/>
      </w:r>
      <w:r w:rsidR="00317CD7" w:rsidRPr="005E7FF6">
        <w:t>14</w:t>
      </w:r>
      <w:r w:rsidR="000E6F48" w:rsidRPr="005E7FF6">
        <w:t xml:space="preserve"> response</w:t>
      </w:r>
      <w:r w:rsidR="00067E83">
        <w:t>s</w:t>
      </w:r>
      <w:bookmarkStart w:id="0" w:name="_GoBack"/>
      <w:bookmarkEnd w:id="0"/>
      <w:r w:rsidR="000E6F48" w:rsidRPr="005E7FF6">
        <w:t xml:space="preserve"> x 1</w:t>
      </w:r>
      <w:r w:rsidRPr="005E7FF6">
        <w:t xml:space="preserve"> hour</w:t>
      </w:r>
      <w:r w:rsidR="000E6F48" w:rsidRPr="005E7FF6">
        <w:t xml:space="preserve"> per response </w:t>
      </w:r>
      <w:r w:rsidR="000E6F48" w:rsidRPr="005E7FF6">
        <w:rPr>
          <w:rFonts w:ascii="Arial" w:hAnsi="Arial" w:cs="Arial"/>
        </w:rPr>
        <w:t xml:space="preserve">= </w:t>
      </w:r>
      <w:r w:rsidR="00317CD7" w:rsidRPr="005E7FF6">
        <w:t xml:space="preserve">14 </w:t>
      </w:r>
      <w:r w:rsidRPr="005E7FF6">
        <w:t>hour</w:t>
      </w:r>
      <w:r w:rsidR="00317CD7" w:rsidRPr="005E7FF6">
        <w:t>s</w:t>
      </w:r>
      <w:r w:rsidR="000E6F48" w:rsidRPr="005E7FF6">
        <w:t>.</w:t>
      </w:r>
    </w:p>
    <w:p w:rsidR="000E6F48" w:rsidRDefault="000E6F48">
      <w:pPr>
        <w:tabs>
          <w:tab w:val="left" w:pos="708"/>
        </w:tabs>
      </w:pPr>
    </w:p>
    <w:p w:rsidR="000E6F48" w:rsidRDefault="000E6F48" w:rsidP="00AE7C37">
      <w:pPr>
        <w:pStyle w:val="TxBrp4"/>
        <w:tabs>
          <w:tab w:val="left" w:pos="708"/>
        </w:tabs>
        <w:spacing w:line="283" w:lineRule="exact"/>
        <w:ind w:left="709"/>
        <w:outlineLvl w:val="0"/>
      </w:pPr>
      <w:r>
        <w:t>b.</w:t>
      </w:r>
      <w:r w:rsidR="00741371">
        <w:tab/>
      </w:r>
      <w:r>
        <w:rPr>
          <w:u w:val="single"/>
        </w:rPr>
        <w:t>Estimate of wage cost to respondents</w:t>
      </w:r>
      <w:r>
        <w:t>:</w:t>
      </w:r>
    </w:p>
    <w:p w:rsidR="000E6F48" w:rsidRDefault="000E6F48">
      <w:pPr>
        <w:pStyle w:val="TxBrp5"/>
        <w:tabs>
          <w:tab w:val="clear" w:pos="204"/>
          <w:tab w:val="left" w:pos="708"/>
        </w:tabs>
        <w:spacing w:line="283" w:lineRule="exact"/>
      </w:pPr>
    </w:p>
    <w:p w:rsidR="00D029B6" w:rsidRPr="009147D4" w:rsidRDefault="003D3F74" w:rsidP="00D029B6">
      <w:pPr>
        <w:ind w:left="720"/>
      </w:pPr>
      <w:r>
        <w:t>A</w:t>
      </w:r>
      <w:r w:rsidR="00D029B6">
        <w:t xml:space="preserve"> </w:t>
      </w:r>
      <w:r w:rsidR="00D029B6" w:rsidRPr="009147D4">
        <w:t>State engineer</w:t>
      </w:r>
      <w:r w:rsidR="00D029B6">
        <w:t xml:space="preserve"> </w:t>
      </w:r>
      <w:r>
        <w:t xml:space="preserve">will require </w:t>
      </w:r>
      <w:r w:rsidR="00D029B6">
        <w:t>1</w:t>
      </w:r>
      <w:r>
        <w:t xml:space="preserve"> hour</w:t>
      </w:r>
      <w:r w:rsidR="005D479E">
        <w:t xml:space="preserve"> to </w:t>
      </w:r>
      <w:r w:rsidR="00D029B6">
        <w:t>prepare the written document</w:t>
      </w:r>
      <w:r>
        <w:t xml:space="preserve">.  We estimate his/her </w:t>
      </w:r>
      <w:r w:rsidR="00D029B6" w:rsidRPr="009147D4">
        <w:t xml:space="preserve">salary </w:t>
      </w:r>
      <w:r>
        <w:t xml:space="preserve">to be </w:t>
      </w:r>
      <w:r w:rsidR="00D029B6" w:rsidRPr="009147D4">
        <w:t>$</w:t>
      </w:r>
      <w:r w:rsidR="00AF2E26">
        <w:t>5</w:t>
      </w:r>
      <w:r w:rsidR="00B30AB0">
        <w:t>6.9</w:t>
      </w:r>
      <w:r w:rsidR="00AF2E26">
        <w:t>3</w:t>
      </w:r>
      <w:r>
        <w:t xml:space="preserve"> per hour,</w:t>
      </w:r>
      <w:r w:rsidR="00D029B6" w:rsidRPr="009147D4">
        <w:t xml:space="preserve"> derived from Bureau of Labor Statistics at </w:t>
      </w:r>
      <w:hyperlink r:id="rId8" w:anchor="17-0000" w:history="1">
        <w:r w:rsidR="00B30AB0" w:rsidRPr="00033615">
          <w:rPr>
            <w:rStyle w:val="Hyperlink"/>
          </w:rPr>
          <w:t>http://www.bls.gov/oes/current/naics4_999200.htm#17-0000</w:t>
        </w:r>
      </w:hyperlink>
      <w:r w:rsidR="00B30AB0">
        <w:t xml:space="preserve"> </w:t>
      </w:r>
      <w:r w:rsidR="00C96396">
        <w:t xml:space="preserve">, </w:t>
      </w:r>
      <w:r w:rsidR="00AF2E26">
        <w:t>which</w:t>
      </w:r>
      <w:r w:rsidR="00C96396">
        <w:t xml:space="preserve"> includes benefits.  </w:t>
      </w:r>
      <w:r w:rsidR="0082447F">
        <w:t>OSMRE</w:t>
      </w:r>
      <w:r w:rsidR="00C96396" w:rsidRPr="00307E0E">
        <w:t xml:space="preserve"> </w:t>
      </w:r>
      <w:r w:rsidR="00C96396">
        <w:t xml:space="preserve">uses a </w:t>
      </w:r>
      <w:r w:rsidR="00C96396" w:rsidRPr="00307E0E">
        <w:t>1.</w:t>
      </w:r>
      <w:r w:rsidR="00AF2E26">
        <w:t>5</w:t>
      </w:r>
      <w:r w:rsidR="00C96396">
        <w:t xml:space="preserve"> </w:t>
      </w:r>
      <w:r w:rsidR="00C96396" w:rsidRPr="00307E0E">
        <w:t xml:space="preserve">multiplier from the ratio between wages and benefits for </w:t>
      </w:r>
      <w:r w:rsidR="00AF2E26">
        <w:t>State</w:t>
      </w:r>
      <w:r w:rsidR="00C96396" w:rsidRPr="00307E0E">
        <w:t xml:space="preserve"> workers </w:t>
      </w:r>
      <w:r w:rsidR="00C96396">
        <w:t>p</w:t>
      </w:r>
      <w:r w:rsidR="00D029B6" w:rsidRPr="009147D4">
        <w:t xml:space="preserve">er BLS memorandum </w:t>
      </w:r>
      <w:r w:rsidR="0087699D">
        <w:t>USDL-1</w:t>
      </w:r>
      <w:r w:rsidR="00AF2E26">
        <w:t>5</w:t>
      </w:r>
      <w:r w:rsidR="0087699D">
        <w:t>-1</w:t>
      </w:r>
      <w:r w:rsidR="00AF2E26">
        <w:t>132</w:t>
      </w:r>
      <w:r w:rsidR="0087699D">
        <w:t xml:space="preserve"> </w:t>
      </w:r>
      <w:r w:rsidR="00D029B6" w:rsidRPr="009147D4">
        <w:t>for EMPLOYER COSTS FOR EMPLOYEE COMPENSATION—</w:t>
      </w:r>
      <w:r w:rsidR="00AF2E26">
        <w:t>MARCH</w:t>
      </w:r>
      <w:r w:rsidR="00D029B6" w:rsidRPr="009147D4">
        <w:t xml:space="preserve"> 20</w:t>
      </w:r>
      <w:r w:rsidR="003F60C9">
        <w:t>1</w:t>
      </w:r>
      <w:r w:rsidR="00AF2E26">
        <w:t>5</w:t>
      </w:r>
      <w:r w:rsidR="00D029B6" w:rsidRPr="009147D4">
        <w:t xml:space="preserve"> at - </w:t>
      </w:r>
      <w:hyperlink r:id="rId9" w:history="1">
        <w:r w:rsidR="00D029B6" w:rsidRPr="009147D4">
          <w:rPr>
            <w:rStyle w:val="Hyperlink"/>
          </w:rPr>
          <w:t>http://www.bls.gov/news.release/pdf/ecec.pdf</w:t>
        </w:r>
      </w:hyperlink>
      <w:r w:rsidR="008C13F2">
        <w:t xml:space="preserve"> </w:t>
      </w:r>
      <w:r>
        <w:t>).</w:t>
      </w:r>
    </w:p>
    <w:p w:rsidR="00D029B6" w:rsidRPr="009147D4" w:rsidRDefault="00D029B6" w:rsidP="00D029B6">
      <w:pPr>
        <w:ind w:left="720"/>
      </w:pPr>
    </w:p>
    <w:p w:rsidR="00D029B6" w:rsidRPr="00AF2E26" w:rsidRDefault="00D029B6" w:rsidP="00D029B6">
      <w:pPr>
        <w:ind w:left="720"/>
      </w:pPr>
      <w:r w:rsidRPr="009147D4">
        <w:t>At $</w:t>
      </w:r>
      <w:r w:rsidR="00AF2E26">
        <w:t>5</w:t>
      </w:r>
      <w:r w:rsidR="00633E6E">
        <w:t>6.</w:t>
      </w:r>
      <w:r w:rsidR="00BF68B1">
        <w:t>9</w:t>
      </w:r>
      <w:r w:rsidR="00AF2E26">
        <w:t>3</w:t>
      </w:r>
      <w:r w:rsidRPr="009147D4">
        <w:t xml:space="preserve"> per hour, the cost to the State respondent to review the application and prepare and send a written response would </w:t>
      </w:r>
      <w:r w:rsidRPr="00AF2E26">
        <w:t>be $</w:t>
      </w:r>
      <w:r w:rsidR="00AF2E26" w:rsidRPr="00AF2E26">
        <w:t>56</w:t>
      </w:r>
      <w:r w:rsidR="00C566DB" w:rsidRPr="00AF2E26">
        <w:t>.9</w:t>
      </w:r>
      <w:r w:rsidR="00AF2E26" w:rsidRPr="00AF2E26">
        <w:t>3</w:t>
      </w:r>
      <w:r w:rsidRPr="00AF2E26">
        <w:t xml:space="preserve"> x </w:t>
      </w:r>
      <w:r w:rsidR="003D3F74" w:rsidRPr="00AF2E26">
        <w:t>1</w:t>
      </w:r>
      <w:r w:rsidRPr="00AF2E26">
        <w:t xml:space="preserve"> hour = $</w:t>
      </w:r>
      <w:r w:rsidR="00AF2E26" w:rsidRPr="00AF2E26">
        <w:t>57 (rounded)</w:t>
      </w:r>
      <w:r w:rsidRPr="00AF2E26">
        <w:t>.</w:t>
      </w:r>
    </w:p>
    <w:p w:rsidR="00A950E3" w:rsidRPr="00A950E3" w:rsidRDefault="00A950E3" w:rsidP="00D029B6">
      <w:pPr>
        <w:ind w:left="720"/>
        <w:rPr>
          <w:sz w:val="16"/>
          <w:szCs w:val="16"/>
        </w:rPr>
      </w:pPr>
    </w:p>
    <w:p w:rsidR="000E6F48" w:rsidRDefault="000E6F48">
      <w:pPr>
        <w:pStyle w:val="TxBrp8"/>
        <w:numPr>
          <w:ilvl w:val="0"/>
          <w:numId w:val="5"/>
        </w:numPr>
        <w:spacing w:line="419" w:lineRule="exact"/>
        <w:rPr>
          <w:u w:val="single"/>
        </w:rPr>
      </w:pPr>
      <w:r>
        <w:rPr>
          <w:u w:val="single"/>
        </w:rPr>
        <w:t>Estimated Total Annual Cost</w:t>
      </w:r>
    </w:p>
    <w:p w:rsidR="000E6F48" w:rsidRDefault="000E6F48">
      <w:pPr>
        <w:pStyle w:val="TxBrp8"/>
        <w:spacing w:line="240" w:lineRule="auto"/>
        <w:ind w:left="709"/>
      </w:pPr>
    </w:p>
    <w:p w:rsidR="000E6F48" w:rsidRDefault="000E6F48">
      <w:pPr>
        <w:pStyle w:val="TxBrp8"/>
        <w:spacing w:line="240" w:lineRule="auto"/>
        <w:ind w:left="709"/>
      </w:pPr>
      <w:r>
        <w:tab/>
        <w:t xml:space="preserve">Not applicable. </w:t>
      </w:r>
      <w:r w:rsidR="00AF2E26">
        <w:t xml:space="preserve"> </w:t>
      </w:r>
      <w:r>
        <w:t xml:space="preserve">There are no costs incurred beyond the hourly wage costs. </w:t>
      </w:r>
      <w:r w:rsidR="0087699D">
        <w:t xml:space="preserve"> </w:t>
      </w:r>
      <w:r>
        <w:t>All associated inspection time is found at 30 CFR 840.11.</w:t>
      </w:r>
    </w:p>
    <w:p w:rsidR="000E6F48" w:rsidRDefault="000E6F48">
      <w:pPr>
        <w:tabs>
          <w:tab w:val="left" w:pos="708"/>
        </w:tabs>
      </w:pPr>
    </w:p>
    <w:p w:rsidR="000E6F48" w:rsidRDefault="000E6F48">
      <w:pPr>
        <w:pStyle w:val="TxBrp2"/>
        <w:spacing w:line="283" w:lineRule="exact"/>
        <w:ind w:left="709"/>
      </w:pPr>
      <w:r>
        <w:t>14.</w:t>
      </w:r>
      <w:r>
        <w:tab/>
      </w:r>
      <w:r>
        <w:rPr>
          <w:u w:val="single"/>
        </w:rPr>
        <w:t>Estimate of Cost to the Federal Government</w:t>
      </w:r>
    </w:p>
    <w:p w:rsidR="000E6F48" w:rsidRDefault="000E6F48">
      <w:pPr>
        <w:pStyle w:val="TxBrp5"/>
        <w:tabs>
          <w:tab w:val="clear" w:pos="204"/>
          <w:tab w:val="left" w:pos="708"/>
        </w:tabs>
        <w:spacing w:line="283" w:lineRule="exact"/>
      </w:pPr>
    </w:p>
    <w:p w:rsidR="00C330CD" w:rsidRPr="007045FA" w:rsidRDefault="00CF2370" w:rsidP="00C330C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Pr>
          <w:rFonts w:cs="Arial"/>
        </w:rPr>
        <w:t xml:space="preserve">There is no established frequency for conducting oversight reviews of </w:t>
      </w:r>
      <w:r w:rsidR="00AF2E26">
        <w:rPr>
          <w:rFonts w:cs="Arial"/>
        </w:rPr>
        <w:t>S</w:t>
      </w:r>
      <w:r>
        <w:rPr>
          <w:rFonts w:cs="Arial"/>
        </w:rPr>
        <w:t xml:space="preserve">tate compliance with the requirements of 30 CFR 700.11.  If we were to conduct a special study of this topic in two </w:t>
      </w:r>
      <w:r w:rsidR="00AF2E26">
        <w:rPr>
          <w:rFonts w:cs="Arial"/>
        </w:rPr>
        <w:t>S</w:t>
      </w:r>
      <w:r>
        <w:rPr>
          <w:rFonts w:cs="Arial"/>
        </w:rPr>
        <w:t xml:space="preserve">tate programs every four years, that review would require an average of 40 hours per </w:t>
      </w:r>
      <w:r w:rsidR="00AF2E26">
        <w:rPr>
          <w:rFonts w:cs="Arial"/>
        </w:rPr>
        <w:t>S</w:t>
      </w:r>
      <w:r>
        <w:rPr>
          <w:rFonts w:cs="Arial"/>
        </w:rPr>
        <w:t>tate, or 80 hours every four years</w:t>
      </w:r>
      <w:r w:rsidR="00AF2E26">
        <w:rPr>
          <w:rFonts w:cs="Arial"/>
        </w:rPr>
        <w:t>, or 20 hours annually</w:t>
      </w:r>
      <w:r>
        <w:rPr>
          <w:rFonts w:cs="Arial"/>
        </w:rPr>
        <w:t>.</w:t>
      </w:r>
      <w:r w:rsidR="00C330CD">
        <w:rPr>
          <w:rFonts w:cs="Arial"/>
        </w:rPr>
        <w:t xml:space="preserve">  We estimate that </w:t>
      </w:r>
      <w:r w:rsidR="00C330CD">
        <w:t>a GS13/1 reclamation specialist will conduct the oversight review, earning $5</w:t>
      </w:r>
      <w:r w:rsidR="00AF2E26">
        <w:t>9.99</w:t>
      </w:r>
      <w:r w:rsidR="00C330CD">
        <w:t xml:space="preserve"> per hour including benefits.  This salary is derived from the Office of Personal Management salary </w:t>
      </w:r>
      <w:proofErr w:type="gramStart"/>
      <w:r w:rsidR="00C330CD">
        <w:t>tables  (</w:t>
      </w:r>
      <w:proofErr w:type="gramEnd"/>
      <w:r w:rsidR="00691713">
        <w:fldChar w:fldCharType="begin"/>
      </w:r>
      <w:r w:rsidR="00691713">
        <w:instrText xml:space="preserve"> HYPERLINK "http://www.opm.gov/policy-data-oversight/pay-leave/salaries-wages/salary-tables/pdf/2015/RUS_h.pdf" </w:instrText>
      </w:r>
      <w:r w:rsidR="00691713">
        <w:fldChar w:fldCharType="separate"/>
      </w:r>
      <w:r w:rsidR="00AF2E26" w:rsidRPr="00685622">
        <w:rPr>
          <w:rStyle w:val="Hyperlink"/>
        </w:rPr>
        <w:t>http://www.opm.gov/policy-data-oversight/pay-leave/salaries-wages/salary-tables/pdf/2015/RUS_h.pdf</w:t>
      </w:r>
      <w:r w:rsidR="00691713">
        <w:rPr>
          <w:rStyle w:val="Hyperlink"/>
        </w:rPr>
        <w:fldChar w:fldCharType="end"/>
      </w:r>
      <w:r w:rsidR="00AF2E26">
        <w:t>)</w:t>
      </w:r>
      <w:r w:rsidR="00C330CD">
        <w:t xml:space="preserve"> and </w:t>
      </w:r>
      <w:r w:rsidR="00C330CD" w:rsidRPr="007045FA">
        <w:t>includ</w:t>
      </w:r>
      <w:r w:rsidR="00C330CD">
        <w:t xml:space="preserve">es </w:t>
      </w:r>
      <w:r w:rsidR="00AF2E26">
        <w:t xml:space="preserve">a </w:t>
      </w:r>
      <w:r w:rsidR="00AF2E26" w:rsidRPr="00307E0E">
        <w:t>1.</w:t>
      </w:r>
      <w:r w:rsidR="00AF2E26">
        <w:t xml:space="preserve">5 </w:t>
      </w:r>
      <w:r w:rsidR="00AF2E26" w:rsidRPr="00307E0E">
        <w:t xml:space="preserve">multiplier from the ratio between wages and benefits for </w:t>
      </w:r>
      <w:r w:rsidR="00AF2E26">
        <w:t xml:space="preserve">Federal </w:t>
      </w:r>
      <w:r w:rsidR="00AF2E26" w:rsidRPr="00307E0E">
        <w:t xml:space="preserve">workers </w:t>
      </w:r>
      <w:r w:rsidR="00AF2E26">
        <w:t>p</w:t>
      </w:r>
      <w:r w:rsidR="00AF2E26" w:rsidRPr="009147D4">
        <w:t xml:space="preserve">er BLS memorandum </w:t>
      </w:r>
      <w:r w:rsidR="00AF2E26">
        <w:t>USDL-15-1132</w:t>
      </w:r>
      <w:r w:rsidR="00C330CD" w:rsidRPr="00782266">
        <w:rPr>
          <w:color w:val="000000"/>
          <w:lang w:val="en"/>
        </w:rPr>
        <w:t>.</w:t>
      </w:r>
      <w:r w:rsidR="00C330CD">
        <w:rPr>
          <w:color w:val="000000"/>
          <w:lang w:val="en"/>
        </w:rPr>
        <w:t xml:space="preserve">  Therefore, </w:t>
      </w:r>
      <w:r w:rsidR="00C330CD">
        <w:t>20 hours annually x $</w:t>
      </w:r>
      <w:r w:rsidR="00AF2E26">
        <w:t>60</w:t>
      </w:r>
      <w:r w:rsidR="00C330CD">
        <w:t xml:space="preserve"> per hour</w:t>
      </w:r>
      <w:r w:rsidR="00AF2E26">
        <w:t xml:space="preserve"> (rounded)</w:t>
      </w:r>
      <w:r w:rsidR="00C330CD">
        <w:t xml:space="preserve"> = $1,</w:t>
      </w:r>
      <w:r w:rsidR="00AF2E26">
        <w:t>200</w:t>
      </w:r>
      <w:r w:rsidR="00C330CD">
        <w:t>.</w:t>
      </w:r>
    </w:p>
    <w:p w:rsidR="000E6F48" w:rsidRDefault="000E6F48">
      <w:pPr>
        <w:tabs>
          <w:tab w:val="left" w:pos="708"/>
        </w:tabs>
        <w:spacing w:line="283" w:lineRule="exact"/>
      </w:pPr>
    </w:p>
    <w:p w:rsidR="00967B10" w:rsidRDefault="000E6F48" w:rsidP="00967B10">
      <w:pPr>
        <w:pStyle w:val="TxBrp3"/>
        <w:spacing w:line="283" w:lineRule="exact"/>
        <w:ind w:left="709"/>
      </w:pPr>
      <w:r>
        <w:t>15.</w:t>
      </w:r>
      <w:r>
        <w:tab/>
      </w:r>
      <w:r w:rsidR="00967B10">
        <w:t>This information collection request will increase the approved burden from 1 hour to 14 hours, an increase of 13 hours.  This adjustment is the result of an increase in the number of respondents.  Therefore, the following applies:</w:t>
      </w:r>
    </w:p>
    <w:p w:rsidR="00967B10" w:rsidRDefault="00967B10" w:rsidP="00967B10">
      <w:pPr>
        <w:pStyle w:val="TxBrp3"/>
        <w:spacing w:line="283" w:lineRule="exact"/>
        <w:ind w:left="1080" w:hanging="360"/>
      </w:pPr>
    </w:p>
    <w:p w:rsidR="00967B10" w:rsidRDefault="00967B10" w:rsidP="00967B10">
      <w:pPr>
        <w:pStyle w:val="TxBrp11"/>
        <w:tabs>
          <w:tab w:val="clear" w:pos="1791"/>
          <w:tab w:val="left" w:pos="1800"/>
        </w:tabs>
        <w:spacing w:line="240" w:lineRule="auto"/>
        <w:ind w:left="1080" w:hanging="360"/>
      </w:pPr>
      <w:r>
        <w:tab/>
        <w:t xml:space="preserve">  1 hour currently approved</w:t>
      </w:r>
    </w:p>
    <w:p w:rsidR="00967B10" w:rsidRDefault="00967B10" w:rsidP="00967B10">
      <w:pPr>
        <w:pStyle w:val="TxBrp11"/>
        <w:tabs>
          <w:tab w:val="clear" w:pos="1791"/>
          <w:tab w:val="left" w:pos="1800"/>
        </w:tabs>
        <w:spacing w:line="240" w:lineRule="auto"/>
        <w:ind w:left="1080" w:hanging="360"/>
      </w:pPr>
      <w:r>
        <w:rPr>
          <w:u w:val="single"/>
        </w:rPr>
        <w:t>+</w:t>
      </w:r>
      <w:r>
        <w:rPr>
          <w:u w:val="single"/>
        </w:rPr>
        <w:tab/>
        <w:t>13</w:t>
      </w:r>
      <w:r>
        <w:t xml:space="preserve"> hours as an adjustment </w:t>
      </w:r>
    </w:p>
    <w:p w:rsidR="00967B10" w:rsidRDefault="00967B10" w:rsidP="00967B10">
      <w:pPr>
        <w:pStyle w:val="TxBrp11"/>
        <w:tabs>
          <w:tab w:val="clear" w:pos="1791"/>
          <w:tab w:val="left" w:pos="1800"/>
        </w:tabs>
        <w:spacing w:line="240" w:lineRule="auto"/>
        <w:ind w:left="1080" w:hanging="360"/>
      </w:pPr>
      <w:r>
        <w:tab/>
        <w:t>14 hours requested</w:t>
      </w:r>
    </w:p>
    <w:p w:rsidR="00B30AB0" w:rsidRDefault="00B30AB0">
      <w:pPr>
        <w:pStyle w:val="TxBrp2"/>
        <w:spacing w:line="283" w:lineRule="exact"/>
        <w:ind w:left="709"/>
      </w:pPr>
    </w:p>
    <w:p w:rsidR="000E6F48" w:rsidRDefault="000E6F48">
      <w:pPr>
        <w:pStyle w:val="TxBrp2"/>
        <w:spacing w:line="283" w:lineRule="exact"/>
        <w:ind w:left="709"/>
      </w:pPr>
      <w:r>
        <w:t>16.</w:t>
      </w:r>
      <w:r>
        <w:tab/>
        <w:t>There are no plans to publish this information.</w:t>
      </w:r>
    </w:p>
    <w:p w:rsidR="000E6F48" w:rsidRDefault="000E6F48">
      <w:pPr>
        <w:tabs>
          <w:tab w:val="left" w:pos="708"/>
        </w:tabs>
        <w:spacing w:line="283" w:lineRule="exact"/>
      </w:pPr>
    </w:p>
    <w:p w:rsidR="000E6F48" w:rsidRDefault="000E6F48">
      <w:pPr>
        <w:pStyle w:val="TxBrp2"/>
        <w:spacing w:line="283" w:lineRule="exact"/>
        <w:ind w:left="709"/>
      </w:pPr>
      <w:r>
        <w:t>17.</w:t>
      </w:r>
      <w:r>
        <w:tab/>
        <w:t xml:space="preserve">Not applicable. The </w:t>
      </w:r>
      <w:r w:rsidR="009632D2">
        <w:t>O</w:t>
      </w:r>
      <w:r>
        <w:t>MB control number is displayed at 30 CFR 700.10.</w:t>
      </w:r>
    </w:p>
    <w:p w:rsidR="000E6F48" w:rsidRDefault="000E6F48">
      <w:pPr>
        <w:tabs>
          <w:tab w:val="left" w:pos="708"/>
        </w:tabs>
        <w:spacing w:line="283" w:lineRule="exact"/>
      </w:pPr>
    </w:p>
    <w:p w:rsidR="000E6F48" w:rsidRDefault="000E6F48" w:rsidP="003443B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18.</w:t>
      </w:r>
      <w:r>
        <w:tab/>
        <w:t xml:space="preserve">Not applicable. There are no exemptions to </w:t>
      </w:r>
      <w:r w:rsidR="003443BE">
        <w:t xml:space="preserve">the </w:t>
      </w:r>
      <w:r w:rsidR="003443BE" w:rsidRPr="00072AA0">
        <w:rPr>
          <w:i/>
        </w:rPr>
        <w:t>"Certification for Paperwork Reduction Act Submissions."</w:t>
      </w:r>
    </w:p>
    <w:p w:rsidR="000E6F48" w:rsidRDefault="000E6F48">
      <w:pPr>
        <w:tabs>
          <w:tab w:val="left" w:pos="708"/>
        </w:tabs>
        <w:spacing w:line="283" w:lineRule="exact"/>
      </w:pPr>
    </w:p>
    <w:p w:rsidR="000E6F48" w:rsidRDefault="000E6F48" w:rsidP="003443BE">
      <w:pPr>
        <w:pStyle w:val="TxBrp4"/>
        <w:tabs>
          <w:tab w:val="left" w:pos="708"/>
        </w:tabs>
        <w:spacing w:line="283" w:lineRule="exact"/>
        <w:ind w:left="709"/>
        <w:jc w:val="center"/>
      </w:pPr>
      <w:r>
        <w:br w:type="page"/>
      </w:r>
      <w:r>
        <w:lastRenderedPageBreak/>
        <w:t>30 CFR 700.12</w:t>
      </w:r>
      <w:r w:rsidR="007943CE">
        <w:t xml:space="preserve"> – Petitions to Initiate Rulemaking</w:t>
      </w:r>
    </w:p>
    <w:p w:rsidR="000E6F48" w:rsidRDefault="000E6F48">
      <w:pPr>
        <w:tabs>
          <w:tab w:val="left" w:pos="708"/>
        </w:tabs>
      </w:pPr>
    </w:p>
    <w:p w:rsidR="000E6F48" w:rsidRDefault="000E6F48">
      <w:pPr>
        <w:pStyle w:val="TxBrp2"/>
        <w:spacing w:line="283" w:lineRule="exact"/>
        <w:ind w:left="709"/>
      </w:pPr>
      <w:r>
        <w:t>A.</w:t>
      </w:r>
      <w:r>
        <w:tab/>
      </w:r>
      <w:r>
        <w:rPr>
          <w:u w:val="single"/>
        </w:rPr>
        <w:t>Justification</w:t>
      </w:r>
    </w:p>
    <w:p w:rsidR="000E6F48" w:rsidRDefault="000E6F48">
      <w:pPr>
        <w:tabs>
          <w:tab w:val="left" w:pos="708"/>
        </w:tabs>
        <w:spacing w:line="283" w:lineRule="exact"/>
      </w:pPr>
    </w:p>
    <w:p w:rsidR="000E6F48" w:rsidRDefault="000E6F48">
      <w:pPr>
        <w:pStyle w:val="TxBrp3"/>
        <w:tabs>
          <w:tab w:val="left" w:pos="708"/>
        </w:tabs>
        <w:spacing w:line="283" w:lineRule="exact"/>
        <w:ind w:left="709"/>
      </w:pPr>
      <w:r>
        <w:t>1.</w:t>
      </w:r>
      <w:r>
        <w:tab/>
        <w:t>Section 201(g) of SMCRA provides for a process by which persons may petition the Secretary of the Interior for the “issuance, amendment or repeal of a rule under this Act.”  Subsection 201(g</w:t>
      </w:r>
      <w:proofErr w:type="gramStart"/>
      <w:r>
        <w:t>)(</w:t>
      </w:r>
      <w:proofErr w:type="gramEnd"/>
      <w:r>
        <w:t xml:space="preserve">2)-(4) sets forth the process for such petition.  These provisions were implemented as regulations at 30 CFR 700.12(b).  This provision gives any person, State or local government an opportunity to initiate rulemaking proceedings by filing a petition for rulemaking with </w:t>
      </w:r>
      <w:r w:rsidR="0082447F">
        <w:t>OSMRE</w:t>
      </w:r>
      <w:r>
        <w:t>.  The petition is required to set forth a concise statement of the facts, technical justification, and law that require the amendment or repeal of a regulation.  Petitioners are also to indicate their desire for a public hearing on the petition.  Individuals or organizations seeking changes in the regulations volunteer petitions.</w:t>
      </w:r>
    </w:p>
    <w:p w:rsidR="000E6F48" w:rsidRDefault="000E6F48">
      <w:pPr>
        <w:tabs>
          <w:tab w:val="left" w:pos="708"/>
        </w:tabs>
        <w:spacing w:line="283" w:lineRule="exact"/>
      </w:pPr>
    </w:p>
    <w:p w:rsidR="000E6F48" w:rsidRDefault="000E6F48">
      <w:pPr>
        <w:pStyle w:val="TxBrp2"/>
        <w:spacing w:line="283" w:lineRule="exact"/>
        <w:ind w:left="709"/>
      </w:pPr>
      <w:r>
        <w:t>2.</w:t>
      </w:r>
      <w:r>
        <w:tab/>
        <w:t xml:space="preserve">The information required by this regulation is to be used by the Director of </w:t>
      </w:r>
      <w:r w:rsidR="0082447F">
        <w:t>OSMRE</w:t>
      </w:r>
      <w:r>
        <w:t xml:space="preserve"> to consider the need, costs and benefits of the proposed regulatory change in order to grant or deny the petition submitted.  If the information were not submitted, there could be no petitions for rulemaking, limiting public participation in the regulatory process.</w:t>
      </w:r>
    </w:p>
    <w:p w:rsidR="000E6F48" w:rsidRDefault="000E6F48">
      <w:pPr>
        <w:tabs>
          <w:tab w:val="left" w:pos="708"/>
        </w:tabs>
        <w:spacing w:line="283" w:lineRule="exact"/>
      </w:pPr>
    </w:p>
    <w:p w:rsidR="000E6F48" w:rsidRDefault="000E6F48">
      <w:pPr>
        <w:pStyle w:val="TxBrp2"/>
        <w:spacing w:line="283" w:lineRule="exact"/>
        <w:ind w:left="709"/>
      </w:pPr>
      <w:r>
        <w:t>3.</w:t>
      </w:r>
      <w:r>
        <w:tab/>
        <w:t>This information is unique to each petitioner.  Respondents are citizens, State regulatory authorities, and individual companies or entities that request changes to the Federal regulations as needed.  Respondents may submit their petition for rulemaking electronically.</w:t>
      </w:r>
    </w:p>
    <w:p w:rsidR="000E6F48" w:rsidRDefault="000E6F48">
      <w:pPr>
        <w:tabs>
          <w:tab w:val="left" w:pos="708"/>
        </w:tabs>
        <w:spacing w:line="283" w:lineRule="exact"/>
      </w:pPr>
    </w:p>
    <w:p w:rsidR="000E6F48" w:rsidRDefault="000E6F48">
      <w:pPr>
        <w:pStyle w:val="TxBrp2"/>
        <w:spacing w:line="283" w:lineRule="exact"/>
        <w:ind w:left="709"/>
      </w:pPr>
      <w:r>
        <w:t>4.</w:t>
      </w:r>
      <w:r>
        <w:tab/>
        <w:t>No similar information pertaining to amending Chapter VII of the Code of Federal Regulations is required by other Federal agencies.</w:t>
      </w:r>
    </w:p>
    <w:p w:rsidR="000E6F48" w:rsidRDefault="000E6F48">
      <w:pPr>
        <w:tabs>
          <w:tab w:val="left" w:pos="708"/>
        </w:tabs>
        <w:spacing w:line="283" w:lineRule="exact"/>
      </w:pPr>
    </w:p>
    <w:p w:rsidR="000E6F48" w:rsidRDefault="000E6F48">
      <w:pPr>
        <w:pStyle w:val="TxBrp2"/>
        <w:spacing w:line="283" w:lineRule="exact"/>
        <w:ind w:left="709"/>
      </w:pPr>
      <w:r>
        <w:rPr>
          <w:i/>
          <w:iCs/>
        </w:rPr>
        <w:t>5.</w:t>
      </w:r>
      <w:r>
        <w:rPr>
          <w:i/>
          <w:iCs/>
        </w:rPr>
        <w:tab/>
      </w:r>
      <w:r>
        <w:t>There are no special provisions to minimize burden for small coal mining operations or other small entities.</w:t>
      </w:r>
    </w:p>
    <w:p w:rsidR="000E6F48" w:rsidRDefault="000E6F48">
      <w:pPr>
        <w:tabs>
          <w:tab w:val="left" w:pos="708"/>
        </w:tabs>
        <w:spacing w:line="283" w:lineRule="exact"/>
      </w:pPr>
    </w:p>
    <w:p w:rsidR="000E6F48" w:rsidRDefault="000E6F48">
      <w:pPr>
        <w:pStyle w:val="TxBrp2"/>
        <w:spacing w:line="283" w:lineRule="exact"/>
        <w:ind w:left="709"/>
      </w:pPr>
      <w:r>
        <w:t>6.</w:t>
      </w:r>
      <w:r>
        <w:tab/>
        <w:t>Information collection will occur at the time a petition for rulemaking is made; therefore, the frequency of collection does not apply here.</w:t>
      </w:r>
    </w:p>
    <w:p w:rsidR="000E6F48" w:rsidRDefault="000E6F48">
      <w:pPr>
        <w:tabs>
          <w:tab w:val="left" w:pos="708"/>
        </w:tabs>
        <w:spacing w:line="283" w:lineRule="exact"/>
      </w:pPr>
    </w:p>
    <w:p w:rsidR="000E6F48" w:rsidRDefault="000E6F48">
      <w:pPr>
        <w:pStyle w:val="TxBrp2"/>
        <w:spacing w:line="283" w:lineRule="exact"/>
        <w:ind w:left="709"/>
      </w:pPr>
      <w:r>
        <w:t>7.</w:t>
      </w:r>
      <w:r>
        <w:tab/>
        <w:t>Not applicable.  There are no special circumstances that require the collection of information to be conducted in a manner inconsistent with the guidelines in 5</w:t>
      </w:r>
      <w:r>
        <w:rPr>
          <w:i/>
          <w:iCs/>
        </w:rPr>
        <w:t xml:space="preserve"> </w:t>
      </w:r>
      <w:r>
        <w:t>CFR 1320.5(d</w:t>
      </w:r>
      <w:proofErr w:type="gramStart"/>
      <w:r>
        <w:t>)(</w:t>
      </w:r>
      <w:proofErr w:type="gramEnd"/>
      <w:r>
        <w:t>2).</w:t>
      </w:r>
    </w:p>
    <w:p w:rsidR="000E6F48" w:rsidRDefault="000E6F48">
      <w:pPr>
        <w:tabs>
          <w:tab w:val="left" w:pos="708"/>
        </w:tabs>
        <w:spacing w:line="283" w:lineRule="exact"/>
      </w:pPr>
    </w:p>
    <w:p w:rsidR="007A4E47" w:rsidRPr="007A4E47" w:rsidRDefault="000E6F48" w:rsidP="007A4E47">
      <w:pPr>
        <w:pStyle w:val="TxBrp3"/>
        <w:spacing w:line="283" w:lineRule="exact"/>
        <w:ind w:left="720" w:hanging="720"/>
      </w:pPr>
      <w:r w:rsidRPr="00C21DFD">
        <w:t>8.</w:t>
      </w:r>
      <w:r w:rsidRPr="00C21DFD">
        <w:tab/>
        <w:t xml:space="preserve">In </w:t>
      </w:r>
      <w:r w:rsidR="006C60A2" w:rsidRPr="00C21DFD">
        <w:t>June</w:t>
      </w:r>
      <w:r w:rsidR="009A471A" w:rsidRPr="00C21DFD">
        <w:t xml:space="preserve"> of</w:t>
      </w:r>
      <w:r w:rsidR="009C0350" w:rsidRPr="00C21DFD">
        <w:t xml:space="preserve"> </w:t>
      </w:r>
      <w:r w:rsidRPr="00C21DFD">
        <w:t>20</w:t>
      </w:r>
      <w:r w:rsidR="006C60A2" w:rsidRPr="00C21DFD">
        <w:t>1</w:t>
      </w:r>
      <w:r w:rsidR="00836732" w:rsidRPr="00C21DFD">
        <w:t>5</w:t>
      </w:r>
      <w:r w:rsidRPr="00C21DFD">
        <w:t xml:space="preserve">, </w:t>
      </w:r>
      <w:r w:rsidR="0082447F" w:rsidRPr="00C21DFD">
        <w:t>OSMRE</w:t>
      </w:r>
      <w:r w:rsidRPr="00C21DFD">
        <w:t xml:space="preserve"> contacted its</w:t>
      </w:r>
      <w:r w:rsidR="00C0159D" w:rsidRPr="00C21DFD">
        <w:t xml:space="preserve"> </w:t>
      </w:r>
      <w:r w:rsidR="008002F0" w:rsidRPr="00C21DFD">
        <w:t xml:space="preserve">regulatory </w:t>
      </w:r>
      <w:r w:rsidR="00C0159D" w:rsidRPr="00C21DFD">
        <w:t>program staff</w:t>
      </w:r>
      <w:r w:rsidRPr="00C21DFD">
        <w:t xml:space="preserve"> regarding the information collection requirements associated with filing petitions for rulemaking at 30 CFR 700.12</w:t>
      </w:r>
      <w:r w:rsidR="007A4E47">
        <w:t>.  We f</w:t>
      </w:r>
      <w:r w:rsidR="00530C3B" w:rsidRPr="007A4E47">
        <w:t xml:space="preserve">ound that </w:t>
      </w:r>
      <w:r w:rsidR="00317CD7" w:rsidRPr="007A4E47">
        <w:t>three</w:t>
      </w:r>
      <w:r w:rsidR="00530C3B" w:rsidRPr="007A4E47">
        <w:t xml:space="preserve"> petitions have been filed over the past three years</w:t>
      </w:r>
      <w:r w:rsidR="00C21DFD" w:rsidRPr="007A4E47">
        <w:t xml:space="preserve">, all by </w:t>
      </w:r>
      <w:proofErr w:type="spellStart"/>
      <w:r w:rsidR="00C21DFD" w:rsidRPr="007A4E47">
        <w:t>WildEarth</w:t>
      </w:r>
      <w:proofErr w:type="spellEnd"/>
      <w:r w:rsidR="00C21DFD" w:rsidRPr="007A4E47">
        <w:t xml:space="preserve"> Guardians</w:t>
      </w:r>
      <w:r w:rsidRPr="007A4E47">
        <w:t>.</w:t>
      </w:r>
      <w:r w:rsidR="007A4E47" w:rsidRPr="007A4E47">
        <w:t xml:space="preserve">  Therefore, we contacted:</w:t>
      </w:r>
    </w:p>
    <w:p w:rsidR="007A4E47" w:rsidRPr="007A4E47" w:rsidRDefault="007A4E47" w:rsidP="007A4E47">
      <w:pPr>
        <w:pStyle w:val="TxBrp3"/>
        <w:tabs>
          <w:tab w:val="left" w:pos="720"/>
        </w:tabs>
        <w:spacing w:line="283" w:lineRule="exact"/>
        <w:ind w:left="720" w:firstLine="0"/>
      </w:pPr>
    </w:p>
    <w:p w:rsidR="007A4E47" w:rsidRPr="007A4E47" w:rsidRDefault="007A4E47" w:rsidP="007A4E47">
      <w:pPr>
        <w:pStyle w:val="TxBrp3"/>
        <w:tabs>
          <w:tab w:val="left" w:pos="720"/>
        </w:tabs>
        <w:spacing w:line="283" w:lineRule="exact"/>
        <w:ind w:left="720" w:firstLine="0"/>
      </w:pPr>
      <w:r w:rsidRPr="007A4E47">
        <w:t xml:space="preserve">Jeremy Nichols </w:t>
      </w:r>
    </w:p>
    <w:p w:rsidR="007A4E47" w:rsidRPr="007A4E47" w:rsidRDefault="007A4E47" w:rsidP="007A4E47">
      <w:pPr>
        <w:pStyle w:val="TxBrp3"/>
        <w:tabs>
          <w:tab w:val="left" w:pos="720"/>
        </w:tabs>
        <w:spacing w:line="283" w:lineRule="exact"/>
        <w:ind w:left="720" w:firstLine="0"/>
      </w:pPr>
      <w:r w:rsidRPr="007A4E47">
        <w:t>Climate &amp;</w:t>
      </w:r>
      <w:r>
        <w:t xml:space="preserve"> </w:t>
      </w:r>
      <w:r w:rsidRPr="007A4E47">
        <w:t>Energy Program Director</w:t>
      </w:r>
    </w:p>
    <w:p w:rsidR="007A4E47" w:rsidRPr="007A4E47" w:rsidRDefault="007A4E47" w:rsidP="007A4E47">
      <w:pPr>
        <w:pStyle w:val="TxBrp3"/>
        <w:tabs>
          <w:tab w:val="left" w:pos="720"/>
        </w:tabs>
        <w:spacing w:line="283" w:lineRule="exact"/>
        <w:ind w:left="720" w:firstLine="0"/>
      </w:pPr>
      <w:proofErr w:type="spellStart"/>
      <w:r w:rsidRPr="007A4E47">
        <w:t>WildEarth</w:t>
      </w:r>
      <w:proofErr w:type="spellEnd"/>
      <w:r w:rsidRPr="007A4E47">
        <w:t xml:space="preserve"> Guardians</w:t>
      </w:r>
    </w:p>
    <w:p w:rsidR="007A4E47" w:rsidRPr="007A4E47" w:rsidRDefault="007A4E47" w:rsidP="007A4E47">
      <w:pPr>
        <w:pStyle w:val="TxBrp3"/>
        <w:tabs>
          <w:tab w:val="left" w:pos="720"/>
        </w:tabs>
        <w:spacing w:line="283" w:lineRule="exact"/>
        <w:ind w:left="720" w:firstLine="0"/>
      </w:pPr>
      <w:r w:rsidRPr="007A4E47">
        <w:lastRenderedPageBreak/>
        <w:t xml:space="preserve">1536 </w:t>
      </w:r>
      <w:proofErr w:type="spellStart"/>
      <w:r w:rsidRPr="007A4E47">
        <w:t>Wynkoop</w:t>
      </w:r>
      <w:proofErr w:type="spellEnd"/>
      <w:r w:rsidRPr="007A4E47">
        <w:t xml:space="preserve"> St. Ste. 310</w:t>
      </w:r>
    </w:p>
    <w:p w:rsidR="007A4E47" w:rsidRPr="00E25722" w:rsidRDefault="007A4E47" w:rsidP="007A4E47">
      <w:pPr>
        <w:pStyle w:val="TxBrp3"/>
        <w:tabs>
          <w:tab w:val="left" w:pos="720"/>
        </w:tabs>
        <w:spacing w:line="283" w:lineRule="exact"/>
        <w:ind w:left="720" w:firstLine="0"/>
      </w:pPr>
      <w:r w:rsidRPr="00E25722">
        <w:t>Denver, CO  80202</w:t>
      </w:r>
    </w:p>
    <w:p w:rsidR="007A4E47" w:rsidRPr="00E25722" w:rsidRDefault="007A4E47">
      <w:pPr>
        <w:pStyle w:val="TxBrp2"/>
        <w:spacing w:line="283" w:lineRule="exact"/>
        <w:ind w:left="709"/>
      </w:pPr>
    </w:p>
    <w:p w:rsidR="00E25722" w:rsidRPr="00D338BC" w:rsidRDefault="00E25722" w:rsidP="00E25722">
      <w:pPr>
        <w:widowControl/>
        <w:ind w:left="720"/>
      </w:pPr>
      <w:r w:rsidRPr="00E25722">
        <w:t>Mr. Nichols had no concerns or complaints with the reporting requirements for preparing a rulemaking petition.  Hi</w:t>
      </w:r>
      <w:r>
        <w:t>s</w:t>
      </w:r>
      <w:r w:rsidRPr="00E25722">
        <w:t xml:space="preserve"> burden estimates have been incorporated into this collection request.</w:t>
      </w:r>
    </w:p>
    <w:p w:rsidR="00317CD7" w:rsidRPr="00C21DFD" w:rsidRDefault="00317CD7">
      <w:pPr>
        <w:pStyle w:val="TxBrp2"/>
        <w:spacing w:line="283" w:lineRule="exact"/>
        <w:ind w:left="709"/>
      </w:pPr>
    </w:p>
    <w:p w:rsidR="00D752ED" w:rsidRDefault="00D752ED" w:rsidP="00317CD7">
      <w:pPr>
        <w:ind w:left="720" w:hanging="720"/>
      </w:pPr>
      <w:r w:rsidRPr="00C21DFD">
        <w:tab/>
      </w:r>
      <w:r w:rsidR="00177353" w:rsidRPr="00177353">
        <w:t xml:space="preserve">On September 8, 2015, OSMRE had published in the </w:t>
      </w:r>
      <w:r w:rsidR="00177353" w:rsidRPr="00177353">
        <w:rPr>
          <w:u w:val="single"/>
        </w:rPr>
        <w:t>Federal</w:t>
      </w:r>
      <w:r w:rsidR="00177353" w:rsidRPr="00177353">
        <w:t xml:space="preserve"> </w:t>
      </w:r>
      <w:r w:rsidR="00177353" w:rsidRPr="00177353">
        <w:rPr>
          <w:u w:val="single"/>
        </w:rPr>
        <w:t>Register</w:t>
      </w:r>
      <w:r w:rsidR="00177353" w:rsidRPr="00177353">
        <w:t xml:space="preserve"> (80 FR 53887) </w:t>
      </w:r>
      <w:r w:rsidR="00443193" w:rsidRPr="00177353">
        <w:t>a notice requesting</w:t>
      </w:r>
      <w:r w:rsidR="00443193" w:rsidRPr="00C21DFD">
        <w:t xml:space="preserve"> comments from the public regarding the need for the collection of information, the accuracy of the burden estimate, ways to enhance</w:t>
      </w:r>
      <w:r w:rsidR="00443193" w:rsidRPr="006D5119">
        <w:t xml:space="preserve"> the information collection, and ways to minimize the burden on respondents.  This notice gave the public 60 days in which to comment.  </w:t>
      </w:r>
    </w:p>
    <w:p w:rsidR="00317CD7" w:rsidRDefault="00317CD7" w:rsidP="00317CD7">
      <w:pPr>
        <w:ind w:left="720" w:hanging="720"/>
      </w:pPr>
    </w:p>
    <w:p w:rsidR="000E6F48" w:rsidRDefault="000E6F48">
      <w:pPr>
        <w:pStyle w:val="TxBrp3"/>
        <w:spacing w:line="283" w:lineRule="exact"/>
        <w:ind w:left="709"/>
      </w:pPr>
      <w:r>
        <w:t xml:space="preserve"> 9.</w:t>
      </w:r>
      <w:r>
        <w:tab/>
        <w:t>Not applicable.  No payments or gifts are provided to respondents.</w:t>
      </w:r>
    </w:p>
    <w:p w:rsidR="000E6F48" w:rsidRDefault="000E6F48">
      <w:pPr>
        <w:tabs>
          <w:tab w:val="left" w:pos="708"/>
        </w:tabs>
        <w:spacing w:line="283" w:lineRule="exact"/>
      </w:pPr>
    </w:p>
    <w:p w:rsidR="000E6F48" w:rsidRDefault="000E6F48">
      <w:pPr>
        <w:pStyle w:val="TxBrp3"/>
        <w:spacing w:line="283" w:lineRule="exact"/>
        <w:ind w:left="709"/>
      </w:pPr>
      <w:r>
        <w:t>10.</w:t>
      </w:r>
      <w:r>
        <w:tab/>
        <w:t xml:space="preserve">There </w:t>
      </w:r>
      <w:r w:rsidR="00E21F2B">
        <w:t xml:space="preserve">are </w:t>
      </w:r>
      <w:r>
        <w:t>no provision</w:t>
      </w:r>
      <w:r w:rsidR="00E21F2B">
        <w:t>s</w:t>
      </w:r>
      <w:r>
        <w:t xml:space="preserve"> for confidentiality of information </w:t>
      </w:r>
      <w:r w:rsidR="00E21F2B">
        <w:t xml:space="preserve">since </w:t>
      </w:r>
      <w:r>
        <w:t>petition</w:t>
      </w:r>
      <w:r w:rsidR="00E21F2B">
        <w:t>s</w:t>
      </w:r>
      <w:r>
        <w:t xml:space="preserve"> for rulemaking </w:t>
      </w:r>
      <w:r w:rsidR="00E21F2B">
        <w:t>are</w:t>
      </w:r>
      <w:r>
        <w:t xml:space="preserve"> a matter of public record.</w:t>
      </w:r>
    </w:p>
    <w:p w:rsidR="000E6F48" w:rsidRDefault="000E6F48">
      <w:pPr>
        <w:tabs>
          <w:tab w:val="left" w:pos="708"/>
        </w:tabs>
        <w:spacing w:line="283" w:lineRule="exact"/>
      </w:pPr>
    </w:p>
    <w:p w:rsidR="000E6F48" w:rsidRDefault="000E6F48">
      <w:pPr>
        <w:pStyle w:val="TxBrp3"/>
        <w:spacing w:line="283" w:lineRule="exact"/>
        <w:ind w:left="709"/>
      </w:pPr>
      <w:r>
        <w:t>11.</w:t>
      </w:r>
      <w:r>
        <w:tab/>
        <w:t>Not applicable.  Sensitive questions are not asked.</w:t>
      </w:r>
    </w:p>
    <w:p w:rsidR="000E6F48" w:rsidRDefault="000E6F48">
      <w:pPr>
        <w:tabs>
          <w:tab w:val="left" w:pos="708"/>
        </w:tabs>
        <w:spacing w:line="283" w:lineRule="exact"/>
      </w:pPr>
    </w:p>
    <w:p w:rsidR="000E6F48" w:rsidRDefault="000E6F48">
      <w:pPr>
        <w:pStyle w:val="TxBrp3"/>
        <w:spacing w:line="283" w:lineRule="exact"/>
        <w:ind w:left="709"/>
      </w:pPr>
      <w:r>
        <w:t>12.</w:t>
      </w:r>
      <w:r>
        <w:tab/>
      </w:r>
      <w:r>
        <w:rPr>
          <w:u w:val="single"/>
        </w:rPr>
        <w:t>Estimated Burden</w:t>
      </w:r>
    </w:p>
    <w:p w:rsidR="000E6F48" w:rsidRDefault="000E6F48">
      <w:pPr>
        <w:pStyle w:val="TxBrp4"/>
        <w:numPr>
          <w:ilvl w:val="0"/>
          <w:numId w:val="8"/>
        </w:numPr>
        <w:tabs>
          <w:tab w:val="left" w:pos="708"/>
        </w:tabs>
        <w:spacing w:line="566" w:lineRule="exact"/>
      </w:pPr>
      <w:r>
        <w:rPr>
          <w:u w:val="single"/>
        </w:rPr>
        <w:t>Estimate reporting and reviewing burden</w:t>
      </w:r>
      <w:r>
        <w:t>:</w:t>
      </w:r>
    </w:p>
    <w:p w:rsidR="000E6F48" w:rsidRDefault="000E6F48">
      <w:pPr>
        <w:pStyle w:val="BodyTextIndent"/>
      </w:pPr>
    </w:p>
    <w:p w:rsidR="000E6F48" w:rsidRPr="00274252" w:rsidRDefault="000E6F48">
      <w:pPr>
        <w:pStyle w:val="BodyTextIndent"/>
      </w:pPr>
      <w:r w:rsidRPr="00274252">
        <w:t xml:space="preserve">Based on information supplied by </w:t>
      </w:r>
      <w:r w:rsidR="0082447F" w:rsidRPr="00274252">
        <w:t>OSMRE</w:t>
      </w:r>
      <w:r w:rsidRPr="00274252">
        <w:t xml:space="preserve">’s regional coordinating center </w:t>
      </w:r>
      <w:r w:rsidR="00317CD7" w:rsidRPr="00274252">
        <w:t>three petitions for rulemaking were received in the last three year</w:t>
      </w:r>
      <w:r w:rsidR="00860318" w:rsidRPr="00274252">
        <w:t>s</w:t>
      </w:r>
      <w:r w:rsidR="00274252" w:rsidRPr="00274252">
        <w:t xml:space="preserve">.  </w:t>
      </w:r>
      <w:r w:rsidR="005078D4">
        <w:t>OSMRE</w:t>
      </w:r>
      <w:r w:rsidR="005078D4" w:rsidRPr="00307E0E">
        <w:t xml:space="preserve"> </w:t>
      </w:r>
      <w:r w:rsidR="005078D4">
        <w:t xml:space="preserve">will assume </w:t>
      </w:r>
      <w:r w:rsidR="005078D4" w:rsidRPr="00307E0E">
        <w:t xml:space="preserve">that one </w:t>
      </w:r>
      <w:r w:rsidR="005078D4">
        <w:t xml:space="preserve">petition </w:t>
      </w:r>
      <w:r w:rsidR="005078D4" w:rsidRPr="00307E0E">
        <w:t xml:space="preserve">will be received each year </w:t>
      </w:r>
      <w:r w:rsidR="005078D4">
        <w:t xml:space="preserve">requesting rulemaking.  </w:t>
      </w:r>
      <w:r w:rsidR="00274252" w:rsidRPr="00274252">
        <w:t>Based on information provided by the respondent identified in item 8,</w:t>
      </w:r>
      <w:r w:rsidR="00860318" w:rsidRPr="00274252">
        <w:t xml:space="preserve"> each</w:t>
      </w:r>
      <w:r w:rsidRPr="00274252">
        <w:t xml:space="preserve"> </w:t>
      </w:r>
      <w:r w:rsidR="00274252" w:rsidRPr="00274252">
        <w:t>petition re</w:t>
      </w:r>
      <w:r w:rsidRPr="00274252">
        <w:t>quire</w:t>
      </w:r>
      <w:r w:rsidR="00274252" w:rsidRPr="00274252">
        <w:t>d</w:t>
      </w:r>
      <w:r w:rsidRPr="00274252">
        <w:t xml:space="preserve"> about </w:t>
      </w:r>
      <w:r w:rsidR="008002F0" w:rsidRPr="00274252">
        <w:t>50</w:t>
      </w:r>
      <w:r w:rsidRPr="00274252">
        <w:t xml:space="preserve"> hours to prepare.</w:t>
      </w:r>
    </w:p>
    <w:p w:rsidR="000E6F48" w:rsidRPr="00274252" w:rsidRDefault="000E6F48">
      <w:pPr>
        <w:pStyle w:val="TxBrp5"/>
        <w:spacing w:line="566" w:lineRule="exact"/>
        <w:ind w:left="1429"/>
      </w:pPr>
      <w:r w:rsidRPr="00274252">
        <w:t xml:space="preserve">1 petition per year x </w:t>
      </w:r>
      <w:r w:rsidR="008002F0" w:rsidRPr="00274252">
        <w:t>50</w:t>
      </w:r>
      <w:r w:rsidRPr="00274252">
        <w:t xml:space="preserve"> hours per petition </w:t>
      </w:r>
      <w:r w:rsidRPr="00274252">
        <w:rPr>
          <w:rFonts w:ascii="Arial" w:hAnsi="Arial" w:cs="Arial"/>
        </w:rPr>
        <w:t xml:space="preserve">= </w:t>
      </w:r>
      <w:r w:rsidR="008002F0" w:rsidRPr="00274252">
        <w:t>50</w:t>
      </w:r>
      <w:r w:rsidRPr="00274252">
        <w:t xml:space="preserve"> hours</w:t>
      </w:r>
    </w:p>
    <w:p w:rsidR="000E6F48" w:rsidRDefault="000E6F48">
      <w:pPr>
        <w:pStyle w:val="TxBrp4"/>
        <w:tabs>
          <w:tab w:val="left" w:pos="708"/>
        </w:tabs>
        <w:spacing w:line="566" w:lineRule="exact"/>
      </w:pPr>
      <w:r w:rsidRPr="00274252">
        <w:tab/>
        <w:t>b.</w:t>
      </w:r>
      <w:r w:rsidRPr="00274252">
        <w:tab/>
      </w:r>
      <w:r w:rsidRPr="00274252">
        <w:rPr>
          <w:u w:val="single"/>
        </w:rPr>
        <w:t>Estimated wage cost to respondents</w:t>
      </w:r>
      <w:r w:rsidRPr="00274252">
        <w:t>:</w:t>
      </w:r>
    </w:p>
    <w:p w:rsidR="000E6F48" w:rsidRDefault="000E6F48">
      <w:pPr>
        <w:pStyle w:val="TxBrp2"/>
        <w:spacing w:line="283" w:lineRule="exact"/>
        <w:ind w:left="709"/>
      </w:pPr>
    </w:p>
    <w:p w:rsidR="003D3F74" w:rsidRDefault="003D3F74" w:rsidP="003D3F74">
      <w:pPr>
        <w:ind w:left="720"/>
      </w:pPr>
      <w:r>
        <w:t xml:space="preserve">The request will usually </w:t>
      </w:r>
      <w:r w:rsidRPr="00B43FDD">
        <w:t>be prepared by an attorney, with a salary of $</w:t>
      </w:r>
      <w:r w:rsidR="005201A2" w:rsidRPr="00B43FDD">
        <w:t>9</w:t>
      </w:r>
      <w:r w:rsidR="005078D4">
        <w:t>3</w:t>
      </w:r>
      <w:r w:rsidR="005201A2" w:rsidRPr="00B43FDD">
        <w:t>.</w:t>
      </w:r>
      <w:r w:rsidR="005078D4">
        <w:t>63</w:t>
      </w:r>
      <w:r w:rsidRPr="00B43FDD">
        <w:t>, which includes benefits computed at 1.</w:t>
      </w:r>
      <w:r w:rsidR="005201A2" w:rsidRPr="00B43FDD">
        <w:t>4</w:t>
      </w:r>
      <w:r w:rsidRPr="00B43FDD">
        <w:t xml:space="preserve"> of salary</w:t>
      </w:r>
      <w:r w:rsidRPr="00307E0E">
        <w:t xml:space="preserve"> and derived from Bureau of Labor Statistics (</w:t>
      </w:r>
      <w:hyperlink r:id="rId10" w:anchor="23-0000" w:history="1">
        <w:r w:rsidR="005201A2" w:rsidRPr="00033615">
          <w:rPr>
            <w:rStyle w:val="Hyperlink"/>
          </w:rPr>
          <w:t>http://www.bls.gov/oes/current/naics4_541100.htm#23-0000</w:t>
        </w:r>
      </w:hyperlink>
      <w:r w:rsidR="005201A2">
        <w:t xml:space="preserve"> </w:t>
      </w:r>
      <w:r w:rsidRPr="00307E0E">
        <w:t xml:space="preserve">).  </w:t>
      </w:r>
      <w:r w:rsidR="005078D4">
        <w:t>OSMRE</w:t>
      </w:r>
      <w:r w:rsidR="005078D4" w:rsidRPr="00307E0E">
        <w:t xml:space="preserve"> </w:t>
      </w:r>
      <w:r w:rsidR="005078D4">
        <w:t xml:space="preserve">uses a </w:t>
      </w:r>
      <w:r w:rsidR="005078D4" w:rsidRPr="00307E0E">
        <w:t>1.</w:t>
      </w:r>
      <w:r w:rsidR="005078D4">
        <w:t xml:space="preserve">4 </w:t>
      </w:r>
      <w:r w:rsidR="005078D4" w:rsidRPr="00307E0E">
        <w:t xml:space="preserve">multiplier from the ratio between wages and benefits for </w:t>
      </w:r>
      <w:r w:rsidR="005078D4">
        <w:t>private sector</w:t>
      </w:r>
      <w:r w:rsidR="005078D4" w:rsidRPr="00307E0E">
        <w:t xml:space="preserve"> workers </w:t>
      </w:r>
      <w:r w:rsidR="005078D4">
        <w:t>p</w:t>
      </w:r>
      <w:r w:rsidR="005078D4" w:rsidRPr="009147D4">
        <w:t xml:space="preserve">er BLS memorandum </w:t>
      </w:r>
      <w:r w:rsidR="005078D4">
        <w:t>USDL-15-1132.</w:t>
      </w:r>
    </w:p>
    <w:p w:rsidR="005078D4" w:rsidRPr="00307E0E" w:rsidRDefault="005078D4" w:rsidP="003D3F74">
      <w:pPr>
        <w:ind w:left="720"/>
      </w:pPr>
    </w:p>
    <w:p w:rsidR="003D3F74" w:rsidRPr="00307E0E" w:rsidRDefault="00BC02F2" w:rsidP="003D3F74">
      <w:pPr>
        <w:ind w:left="720"/>
      </w:pPr>
      <w:r>
        <w:t>At $9</w:t>
      </w:r>
      <w:r w:rsidR="005078D4">
        <w:t>3</w:t>
      </w:r>
      <w:r>
        <w:t>.</w:t>
      </w:r>
      <w:r w:rsidR="005078D4">
        <w:t>6</w:t>
      </w:r>
      <w:r>
        <w:t>3</w:t>
      </w:r>
      <w:r w:rsidR="003D3F74" w:rsidRPr="00307E0E">
        <w:t xml:space="preserve"> per hour, the cost to a respondent to prepare the request would be $</w:t>
      </w:r>
      <w:r>
        <w:t>9</w:t>
      </w:r>
      <w:r w:rsidR="005078D4">
        <w:t>3</w:t>
      </w:r>
      <w:r>
        <w:t>.</w:t>
      </w:r>
      <w:r w:rsidR="005078D4">
        <w:t>6</w:t>
      </w:r>
      <w:r>
        <w:t>3</w:t>
      </w:r>
      <w:r w:rsidR="003D3F74" w:rsidRPr="00307E0E">
        <w:t xml:space="preserve"> x </w:t>
      </w:r>
      <w:r w:rsidR="005078D4">
        <w:t>50</w:t>
      </w:r>
      <w:r w:rsidR="003D3F74" w:rsidRPr="00307E0E">
        <w:t xml:space="preserve"> hours = $</w:t>
      </w:r>
      <w:r w:rsidR="005078D4">
        <w:t>4,682</w:t>
      </w:r>
      <w:r w:rsidR="003D3F74" w:rsidRPr="00307E0E">
        <w:t>.</w:t>
      </w:r>
    </w:p>
    <w:p w:rsidR="000E6F48" w:rsidRDefault="003D3F74" w:rsidP="003D3F74">
      <w:pPr>
        <w:pStyle w:val="TxBrp2"/>
        <w:spacing w:line="283" w:lineRule="exact"/>
        <w:ind w:left="709"/>
      </w:pPr>
      <w:r>
        <w:tab/>
      </w:r>
    </w:p>
    <w:p w:rsidR="000E6F48" w:rsidRDefault="000E6F48">
      <w:pPr>
        <w:pStyle w:val="TxBrp3"/>
        <w:spacing w:line="283" w:lineRule="exact"/>
        <w:ind w:left="709"/>
      </w:pPr>
      <w:r>
        <w:t>13.</w:t>
      </w:r>
      <w:r>
        <w:tab/>
      </w:r>
      <w:r>
        <w:rPr>
          <w:u w:val="single"/>
        </w:rPr>
        <w:t>Estimated Total Annual Cost</w:t>
      </w:r>
    </w:p>
    <w:p w:rsidR="000E6F48" w:rsidRDefault="000E6F48">
      <w:pPr>
        <w:tabs>
          <w:tab w:val="left" w:pos="708"/>
        </w:tabs>
        <w:spacing w:line="283" w:lineRule="exact"/>
      </w:pPr>
    </w:p>
    <w:p w:rsidR="000E6F48" w:rsidRDefault="000E6F48">
      <w:pPr>
        <w:pStyle w:val="TxBrp2"/>
        <w:spacing w:line="283" w:lineRule="exact"/>
        <w:ind w:left="709"/>
      </w:pPr>
      <w:r>
        <w:tab/>
        <w:t xml:space="preserve">Not applicable. There are no costs incurred beyond the hourly wage costs or minimal </w:t>
      </w:r>
      <w:r>
        <w:lastRenderedPageBreak/>
        <w:t>postage costs.</w:t>
      </w:r>
    </w:p>
    <w:p w:rsidR="000E6F48" w:rsidRDefault="000E6F48">
      <w:pPr>
        <w:tabs>
          <w:tab w:val="left" w:pos="708"/>
        </w:tabs>
        <w:spacing w:line="283" w:lineRule="exact"/>
      </w:pPr>
    </w:p>
    <w:p w:rsidR="000E6F48" w:rsidRDefault="000E6F48">
      <w:pPr>
        <w:pStyle w:val="TxBrp3"/>
        <w:spacing w:line="283" w:lineRule="exact"/>
        <w:ind w:left="709"/>
      </w:pPr>
      <w:r>
        <w:t>14.</w:t>
      </w:r>
      <w:r>
        <w:tab/>
      </w:r>
      <w:r>
        <w:rPr>
          <w:u w:val="single"/>
        </w:rPr>
        <w:t>Estimate of Cost to the Federal Government</w:t>
      </w:r>
    </w:p>
    <w:p w:rsidR="000E6F48" w:rsidRDefault="000E6F48">
      <w:pPr>
        <w:tabs>
          <w:tab w:val="left" w:pos="708"/>
        </w:tabs>
        <w:spacing w:line="283" w:lineRule="exact"/>
      </w:pPr>
    </w:p>
    <w:p w:rsidR="000E6F48" w:rsidRDefault="000E6F48" w:rsidP="003B7423">
      <w:pPr>
        <w:pStyle w:val="TxBrp2"/>
        <w:spacing w:line="240" w:lineRule="auto"/>
        <w:ind w:left="709"/>
      </w:pPr>
      <w:r>
        <w:tab/>
        <w:t xml:space="preserve">It has been previously estimated that it takes </w:t>
      </w:r>
      <w:r w:rsidR="0082447F">
        <w:t>OSMRE</w:t>
      </w:r>
      <w:r>
        <w:t xml:space="preserve"> staff 80 to 120 hours to review a petition for rulemaking and to prepare a written response to accept or deny the petitioner request.</w:t>
      </w:r>
    </w:p>
    <w:p w:rsidR="003B7423" w:rsidRDefault="003B7423" w:rsidP="003B7423">
      <w:pPr>
        <w:pStyle w:val="TxBrp2"/>
        <w:spacing w:line="240" w:lineRule="auto"/>
        <w:ind w:left="709"/>
      </w:pPr>
    </w:p>
    <w:p w:rsidR="000E6F48" w:rsidRDefault="000E6F48" w:rsidP="003B7423">
      <w:pPr>
        <w:pStyle w:val="TxBrp5"/>
        <w:spacing w:line="240" w:lineRule="auto"/>
        <w:ind w:left="1429"/>
      </w:pPr>
      <w:r>
        <w:t xml:space="preserve">100 hours/petition x 1 petition/year </w:t>
      </w:r>
      <w:r>
        <w:rPr>
          <w:rFonts w:ascii="Arial" w:hAnsi="Arial" w:cs="Arial"/>
        </w:rPr>
        <w:t xml:space="preserve">= </w:t>
      </w:r>
      <w:r>
        <w:t>100 total hours</w:t>
      </w:r>
      <w:r w:rsidR="00935A78">
        <w:t>.</w:t>
      </w:r>
    </w:p>
    <w:p w:rsidR="00935A78" w:rsidRDefault="00935A78" w:rsidP="003B7423">
      <w:pPr>
        <w:ind w:left="720"/>
      </w:pPr>
    </w:p>
    <w:p w:rsidR="00A41505" w:rsidRDefault="00935A78" w:rsidP="003B7423">
      <w:pPr>
        <w:tabs>
          <w:tab w:val="left" w:pos="4104"/>
        </w:tabs>
        <w:ind w:left="720"/>
      </w:pPr>
      <w:r w:rsidRPr="00307E0E">
        <w:t xml:space="preserve">A program specialist with a GS 14 step 5 salary will review the request.  </w:t>
      </w:r>
      <w:r w:rsidR="005201A2">
        <w:t>A salary of $</w:t>
      </w:r>
      <w:r w:rsidR="003524CA">
        <w:t>87.42</w:t>
      </w:r>
      <w:r w:rsidRPr="00307E0E">
        <w:t xml:space="preserve"> per hour</w:t>
      </w:r>
      <w:r w:rsidR="005201A2">
        <w:t xml:space="preserve"> </w:t>
      </w:r>
      <w:r w:rsidR="003524CA" w:rsidRPr="007045FA">
        <w:t>includ</w:t>
      </w:r>
      <w:r w:rsidR="003524CA">
        <w:t xml:space="preserve">es a </w:t>
      </w:r>
      <w:r w:rsidR="003524CA" w:rsidRPr="00307E0E">
        <w:t>1.</w:t>
      </w:r>
      <w:r w:rsidR="003524CA">
        <w:t xml:space="preserve">5 </w:t>
      </w:r>
      <w:r w:rsidR="003524CA" w:rsidRPr="00307E0E">
        <w:t xml:space="preserve">multiplier from the ratio between wages and benefits for </w:t>
      </w:r>
      <w:r w:rsidR="003524CA">
        <w:t xml:space="preserve">Federal </w:t>
      </w:r>
      <w:r w:rsidR="003524CA" w:rsidRPr="00307E0E">
        <w:t xml:space="preserve">workers </w:t>
      </w:r>
      <w:r w:rsidR="003524CA">
        <w:t>p</w:t>
      </w:r>
      <w:r w:rsidR="003524CA" w:rsidRPr="009147D4">
        <w:t xml:space="preserve">er BLS memorandum </w:t>
      </w:r>
      <w:r w:rsidR="003524CA">
        <w:t>USDL-15-1132</w:t>
      </w:r>
      <w:r w:rsidR="006103C9">
        <w:t>.  T</w:t>
      </w:r>
      <w:r w:rsidR="003524CA">
        <w:t xml:space="preserve">his salary is derived from the Office of Personal Management salary </w:t>
      </w:r>
      <w:proofErr w:type="gramStart"/>
      <w:r w:rsidR="003524CA">
        <w:t>tables  (</w:t>
      </w:r>
      <w:proofErr w:type="gramEnd"/>
      <w:r w:rsidR="00691713">
        <w:fldChar w:fldCharType="begin"/>
      </w:r>
      <w:r w:rsidR="00691713">
        <w:instrText xml:space="preserve"> HYPERLINK "https://www.opm.gov/policy-data-oversight/pay-leave/salaries-wages/salary-tables/pdf/2015/DCB_h.pdf" </w:instrText>
      </w:r>
      <w:r w:rsidR="00691713">
        <w:fldChar w:fldCharType="separate"/>
      </w:r>
      <w:r w:rsidR="003524CA" w:rsidRPr="00020F2B">
        <w:rPr>
          <w:rStyle w:val="Hyperlink"/>
        </w:rPr>
        <w:t>https://www.opm.gov/policy-data-oversight/pay-leave/salaries-wages/salary-tables/pdf/2015/DCB_h.pdf</w:t>
      </w:r>
      <w:r w:rsidR="00691713">
        <w:rPr>
          <w:rStyle w:val="Hyperlink"/>
        </w:rPr>
        <w:fldChar w:fldCharType="end"/>
      </w:r>
      <w:r w:rsidR="003524CA">
        <w:t xml:space="preserve"> </w:t>
      </w:r>
      <w:r w:rsidR="006103C9">
        <w:t>).</w:t>
      </w:r>
    </w:p>
    <w:p w:rsidR="005201A2" w:rsidRPr="00AF16EA" w:rsidRDefault="005201A2" w:rsidP="005201A2">
      <w:pPr>
        <w:ind w:left="720"/>
      </w:pPr>
      <w:r>
        <w:t xml:space="preserve">  </w:t>
      </w:r>
    </w:p>
    <w:p w:rsidR="000E6F48" w:rsidRPr="00935A78" w:rsidRDefault="00A41505" w:rsidP="00935A78">
      <w:pPr>
        <w:ind w:left="720"/>
      </w:pPr>
      <w:r>
        <w:t>T</w:t>
      </w:r>
      <w:r w:rsidR="00935A78">
        <w:t>he cost to the Federal government would be 100 hours</w:t>
      </w:r>
      <w:r w:rsidR="000E6F48" w:rsidRPr="00935A78">
        <w:t xml:space="preserve"> x $</w:t>
      </w:r>
      <w:r w:rsidR="006103C9">
        <w:t>87</w:t>
      </w:r>
      <w:r>
        <w:t>.</w:t>
      </w:r>
      <w:r w:rsidR="006103C9">
        <w:t xml:space="preserve">42 per hour = </w:t>
      </w:r>
      <w:r w:rsidR="000E6F48" w:rsidRPr="00935A78">
        <w:t>$</w:t>
      </w:r>
      <w:r w:rsidR="006103C9">
        <w:t>8</w:t>
      </w:r>
      <w:r w:rsidR="000E6F48" w:rsidRPr="00935A78">
        <w:t>,</w:t>
      </w:r>
      <w:r w:rsidR="006103C9">
        <w:t>742</w:t>
      </w:r>
      <w:r w:rsidR="000E6F48" w:rsidRPr="00935A78">
        <w:t>.</w:t>
      </w:r>
    </w:p>
    <w:p w:rsidR="00B32C9A" w:rsidRPr="00935A78" w:rsidRDefault="00B32C9A">
      <w:pPr>
        <w:pStyle w:val="TxBrp5"/>
        <w:spacing w:line="240" w:lineRule="auto"/>
        <w:ind w:left="720" w:hanging="720"/>
      </w:pPr>
    </w:p>
    <w:p w:rsidR="00A82B2B" w:rsidRDefault="000E6F48" w:rsidP="00A82B2B">
      <w:pPr>
        <w:pStyle w:val="TxBrp3"/>
        <w:spacing w:line="283" w:lineRule="exact"/>
        <w:ind w:left="709"/>
      </w:pPr>
      <w:r w:rsidRPr="00935A78">
        <w:t>15.</w:t>
      </w:r>
      <w:r w:rsidRPr="00935A78">
        <w:tab/>
      </w:r>
      <w:r w:rsidR="00A82B2B">
        <w:t xml:space="preserve">This information collection request will increase the approved burden from </w:t>
      </w:r>
      <w:r w:rsidR="00624364">
        <w:t>4</w:t>
      </w:r>
      <w:r w:rsidR="00A82B2B">
        <w:t xml:space="preserve"> hour</w:t>
      </w:r>
      <w:r w:rsidR="00624364">
        <w:t>s</w:t>
      </w:r>
      <w:r w:rsidR="00A82B2B">
        <w:t xml:space="preserve"> to </w:t>
      </w:r>
      <w:r w:rsidR="00624364">
        <w:t>50</w:t>
      </w:r>
      <w:r w:rsidR="00A82B2B">
        <w:t xml:space="preserve"> hours, an increase of </w:t>
      </w:r>
      <w:r w:rsidR="00624364">
        <w:t>46</w:t>
      </w:r>
      <w:r w:rsidR="00A82B2B">
        <w:t xml:space="preserve"> hours</w:t>
      </w:r>
      <w:r w:rsidR="00624364">
        <w:t xml:space="preserve"> due to a </w:t>
      </w:r>
      <w:proofErr w:type="spellStart"/>
      <w:r w:rsidR="00624364">
        <w:t>reestimated</w:t>
      </w:r>
      <w:proofErr w:type="spellEnd"/>
      <w:r w:rsidR="00624364">
        <w:t xml:space="preserve"> in respondent burden</w:t>
      </w:r>
      <w:r w:rsidR="00A82B2B">
        <w:t xml:space="preserve">.  Therefore, </w:t>
      </w:r>
    </w:p>
    <w:p w:rsidR="00A82B2B" w:rsidRDefault="00A82B2B" w:rsidP="00A82B2B">
      <w:pPr>
        <w:pStyle w:val="TxBrp3"/>
        <w:spacing w:line="283" w:lineRule="exact"/>
        <w:ind w:left="1080" w:hanging="360"/>
      </w:pPr>
    </w:p>
    <w:p w:rsidR="00A82B2B" w:rsidRDefault="00A82B2B" w:rsidP="00A82B2B">
      <w:pPr>
        <w:pStyle w:val="TxBrp11"/>
        <w:tabs>
          <w:tab w:val="clear" w:pos="1791"/>
          <w:tab w:val="left" w:pos="1800"/>
        </w:tabs>
        <w:spacing w:line="240" w:lineRule="auto"/>
        <w:ind w:left="1080" w:hanging="360"/>
      </w:pPr>
      <w:r>
        <w:tab/>
      </w:r>
      <w:r w:rsidR="00624364">
        <w:t xml:space="preserve">  4</w:t>
      </w:r>
      <w:r>
        <w:t xml:space="preserve"> hour currently approved</w:t>
      </w:r>
    </w:p>
    <w:p w:rsidR="00A82B2B" w:rsidRDefault="00A82B2B" w:rsidP="00A82B2B">
      <w:pPr>
        <w:pStyle w:val="TxBrp11"/>
        <w:tabs>
          <w:tab w:val="clear" w:pos="1791"/>
          <w:tab w:val="left" w:pos="1800"/>
        </w:tabs>
        <w:spacing w:line="240" w:lineRule="auto"/>
        <w:ind w:left="1080" w:hanging="360"/>
      </w:pPr>
      <w:r>
        <w:rPr>
          <w:u w:val="single"/>
        </w:rPr>
        <w:t>+</w:t>
      </w:r>
      <w:r>
        <w:rPr>
          <w:u w:val="single"/>
        </w:rPr>
        <w:tab/>
      </w:r>
      <w:r w:rsidR="00624364">
        <w:rPr>
          <w:u w:val="single"/>
        </w:rPr>
        <w:t>46</w:t>
      </w:r>
      <w:r>
        <w:t xml:space="preserve"> hours as an adjustment </w:t>
      </w:r>
    </w:p>
    <w:p w:rsidR="00A82B2B" w:rsidRDefault="00A82B2B" w:rsidP="00A82B2B">
      <w:pPr>
        <w:pStyle w:val="TxBrp11"/>
        <w:tabs>
          <w:tab w:val="clear" w:pos="1791"/>
          <w:tab w:val="left" w:pos="1800"/>
        </w:tabs>
        <w:spacing w:line="240" w:lineRule="auto"/>
        <w:ind w:left="1080" w:hanging="360"/>
      </w:pPr>
      <w:r>
        <w:tab/>
      </w:r>
      <w:r w:rsidR="00624364">
        <w:t>50</w:t>
      </w:r>
      <w:r>
        <w:t xml:space="preserve"> hours requested</w:t>
      </w:r>
    </w:p>
    <w:p w:rsidR="000E6F48" w:rsidRDefault="000E6F48">
      <w:pPr>
        <w:tabs>
          <w:tab w:val="left" w:pos="1791"/>
        </w:tabs>
      </w:pPr>
    </w:p>
    <w:p w:rsidR="000E6F48" w:rsidRDefault="000E6F48">
      <w:pPr>
        <w:pStyle w:val="TxBrp2"/>
        <w:spacing w:line="283" w:lineRule="exact"/>
        <w:ind w:left="709"/>
      </w:pPr>
      <w:r>
        <w:t>16.</w:t>
      </w:r>
      <w:r>
        <w:tab/>
        <w:t>There are no plans for publication of this information.</w:t>
      </w:r>
    </w:p>
    <w:p w:rsidR="000E6F48" w:rsidRDefault="000E6F48">
      <w:pPr>
        <w:tabs>
          <w:tab w:val="left" w:pos="708"/>
        </w:tabs>
        <w:spacing w:line="283" w:lineRule="exact"/>
      </w:pPr>
    </w:p>
    <w:p w:rsidR="000E6F48" w:rsidRDefault="000E6F48">
      <w:pPr>
        <w:pStyle w:val="TxBrp2"/>
        <w:spacing w:line="283" w:lineRule="exact"/>
        <w:ind w:left="709"/>
      </w:pPr>
      <w:r>
        <w:t>17.</w:t>
      </w:r>
      <w:r>
        <w:tab/>
        <w:t xml:space="preserve">Not applicable. The </w:t>
      </w:r>
      <w:r w:rsidR="00411170">
        <w:t>O</w:t>
      </w:r>
      <w:r>
        <w:t>MB approval information is displayed at 30 CFR 700.10.</w:t>
      </w:r>
    </w:p>
    <w:p w:rsidR="000E6F48" w:rsidRDefault="000E6F48">
      <w:pPr>
        <w:tabs>
          <w:tab w:val="left" w:pos="708"/>
        </w:tabs>
        <w:spacing w:line="283" w:lineRule="exact"/>
      </w:pPr>
    </w:p>
    <w:p w:rsidR="00A41505" w:rsidRDefault="000E6F48" w:rsidP="00A4150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18.</w:t>
      </w:r>
      <w:r>
        <w:tab/>
      </w:r>
      <w:r w:rsidR="00A41505">
        <w:t xml:space="preserve">Not applicable. There are no exemptions to the </w:t>
      </w:r>
      <w:r w:rsidR="00A41505" w:rsidRPr="00072AA0">
        <w:rPr>
          <w:i/>
        </w:rPr>
        <w:t>"Certification for Paperwork Reduction Act Submissions."</w:t>
      </w:r>
    </w:p>
    <w:p w:rsidR="000E6F48" w:rsidRDefault="000E6F48" w:rsidP="00A41505">
      <w:pPr>
        <w:pStyle w:val="TxBrp2"/>
        <w:spacing w:line="283" w:lineRule="exact"/>
        <w:ind w:left="709"/>
      </w:pPr>
    </w:p>
    <w:p w:rsidR="000E6F48" w:rsidRDefault="000E6F48" w:rsidP="000A3796">
      <w:pPr>
        <w:pStyle w:val="TxBrp4"/>
        <w:tabs>
          <w:tab w:val="left" w:pos="708"/>
        </w:tabs>
        <w:spacing w:line="283" w:lineRule="exact"/>
        <w:ind w:left="709"/>
        <w:jc w:val="center"/>
      </w:pPr>
      <w:r>
        <w:br w:type="page"/>
      </w:r>
      <w:r>
        <w:lastRenderedPageBreak/>
        <w:t>Supporting Statement for Reporting Requirements</w:t>
      </w:r>
    </w:p>
    <w:p w:rsidR="000E6F48" w:rsidRDefault="000E6F48" w:rsidP="00AE7C37">
      <w:pPr>
        <w:pStyle w:val="TxBrc7"/>
        <w:tabs>
          <w:tab w:val="left" w:pos="708"/>
        </w:tabs>
        <w:spacing w:line="240" w:lineRule="auto"/>
        <w:outlineLvl w:val="0"/>
      </w:pPr>
      <w:r>
        <w:t>30 CFR 700.13</w:t>
      </w:r>
      <w:r w:rsidR="007943CE">
        <w:t xml:space="preserve"> – Notice of Citizen Suits</w:t>
      </w:r>
    </w:p>
    <w:p w:rsidR="000E6F48" w:rsidRDefault="000E6F48">
      <w:pPr>
        <w:tabs>
          <w:tab w:val="left" w:pos="708"/>
        </w:tabs>
      </w:pPr>
    </w:p>
    <w:p w:rsidR="000E6F48" w:rsidRDefault="000E6F48">
      <w:pPr>
        <w:pStyle w:val="TxBrp3"/>
        <w:spacing w:line="283" w:lineRule="exact"/>
        <w:ind w:left="709"/>
      </w:pPr>
      <w:r>
        <w:t>A.</w:t>
      </w:r>
      <w:r>
        <w:tab/>
      </w:r>
      <w:r>
        <w:rPr>
          <w:u w:val="single"/>
        </w:rPr>
        <w:t>Justification</w:t>
      </w:r>
    </w:p>
    <w:p w:rsidR="000E6F48" w:rsidRDefault="000E6F48">
      <w:pPr>
        <w:tabs>
          <w:tab w:val="left" w:pos="708"/>
        </w:tabs>
        <w:spacing w:line="283" w:lineRule="exact"/>
      </w:pPr>
    </w:p>
    <w:p w:rsidR="000E6F48" w:rsidRDefault="000E6F48">
      <w:pPr>
        <w:pStyle w:val="TxBrp3"/>
        <w:spacing w:line="283" w:lineRule="exact"/>
        <w:ind w:left="709"/>
      </w:pPr>
      <w:r>
        <w:t>1.</w:t>
      </w:r>
      <w:r>
        <w:tab/>
        <w:t xml:space="preserve">Section 520 of SMCRA authorizes citizens to sue </w:t>
      </w:r>
      <w:r w:rsidR="0082447F">
        <w:t>OSMRE</w:t>
      </w:r>
      <w:r>
        <w:t xml:space="preserve"> and/or State regulatory authorities to compel regulatory compliance with the SMCRA or duties under the SMCRA that are not discretionary.  In 30 CFR 700.13, those citizens intending to sue under Section 520 are required to send notice of such a suit to the Secretary of the Interior and the Director of </w:t>
      </w:r>
      <w:r w:rsidR="0082447F">
        <w:t>OSMRE</w:t>
      </w:r>
      <w:r>
        <w:t>, the head of the State regulatory authority (if the State is part of the suit)</w:t>
      </w:r>
      <w:r w:rsidR="00C762ED">
        <w:t>,</w:t>
      </w:r>
      <w:r>
        <w:t xml:space="preserve"> and the alleged violator (if part of the suit).  The person needs to provide certain information pertinent to the suit, such as the section of SMCRA or regulation violated, identification of the party responsible for the violation, identification of the person suing as well as identification of legal counsel.</w:t>
      </w:r>
    </w:p>
    <w:p w:rsidR="000E6F48" w:rsidRDefault="000E6F48">
      <w:pPr>
        <w:tabs>
          <w:tab w:val="left" w:pos="708"/>
        </w:tabs>
        <w:spacing w:line="283" w:lineRule="exact"/>
      </w:pPr>
    </w:p>
    <w:p w:rsidR="000E6F48" w:rsidRDefault="000E6F48">
      <w:pPr>
        <w:pStyle w:val="TxBrp3"/>
        <w:spacing w:line="283" w:lineRule="exact"/>
        <w:ind w:left="709"/>
      </w:pPr>
      <w:r>
        <w:t>2.</w:t>
      </w:r>
      <w:r>
        <w:tab/>
        <w:t xml:space="preserve">The information is used by </w:t>
      </w:r>
      <w:r w:rsidR="0082447F">
        <w:t>OSMRE</w:t>
      </w:r>
      <w:r>
        <w:t xml:space="preserve"> or the State to identify the person and the nature of the suit, so that </w:t>
      </w:r>
      <w:r w:rsidR="0082447F">
        <w:t>OSMRE</w:t>
      </w:r>
      <w:r>
        <w:t xml:space="preserve"> or the State can respond to it.  If this information collection were not conducted, </w:t>
      </w:r>
      <w:r w:rsidR="0082447F">
        <w:t>OSMRE</w:t>
      </w:r>
      <w:r>
        <w:t xml:space="preserve"> and the States could not properly defend </w:t>
      </w:r>
      <w:r w:rsidR="000E7C23">
        <w:t>themselves</w:t>
      </w:r>
      <w:r>
        <w:t xml:space="preserve"> under due process.</w:t>
      </w:r>
    </w:p>
    <w:p w:rsidR="000E6F48" w:rsidRDefault="000E6F48">
      <w:pPr>
        <w:tabs>
          <w:tab w:val="left" w:pos="708"/>
        </w:tabs>
        <w:spacing w:line="283" w:lineRule="exact"/>
      </w:pPr>
    </w:p>
    <w:p w:rsidR="000E6F48" w:rsidRDefault="000E6F48">
      <w:pPr>
        <w:pStyle w:val="TxBrp3"/>
        <w:spacing w:line="283" w:lineRule="exact"/>
        <w:ind w:left="709"/>
      </w:pPr>
      <w:r>
        <w:t>3.</w:t>
      </w:r>
      <w:r>
        <w:tab/>
        <w:t xml:space="preserve">This information is unique to each lawsuit and mining situation.  Respondents are citizens and individual companies who intend to sue the Federal and/or State government.  </w:t>
      </w:r>
      <w:r w:rsidR="00574848">
        <w:t xml:space="preserve">Although </w:t>
      </w:r>
      <w:r w:rsidR="0082447F">
        <w:t>OSMRE</w:t>
      </w:r>
      <w:r w:rsidR="00574848">
        <w:t xml:space="preserve"> has not received any Notices of Intent by electronic means, we are not opposed to this method, and support electronic means to communicate with citizens and industry</w:t>
      </w:r>
      <w:r>
        <w:t>.</w:t>
      </w:r>
    </w:p>
    <w:p w:rsidR="000E6F48" w:rsidRDefault="000E6F48">
      <w:pPr>
        <w:tabs>
          <w:tab w:val="left" w:pos="708"/>
        </w:tabs>
        <w:spacing w:line="283" w:lineRule="exact"/>
      </w:pPr>
    </w:p>
    <w:p w:rsidR="000E6F48" w:rsidRDefault="000E6F48">
      <w:pPr>
        <w:pStyle w:val="TxBrp3"/>
        <w:spacing w:line="283" w:lineRule="exact"/>
        <w:ind w:left="709"/>
      </w:pPr>
      <w:r>
        <w:t>4.</w:t>
      </w:r>
      <w:r>
        <w:tab/>
        <w:t>No similar information pertaining to citizen suits is required by other Federal agencies relating to the conduct of surface coal mining. Since circumstances vary with each notice of citizen suit, there is no other available source of information that can be used to satisfy the law.</w:t>
      </w:r>
    </w:p>
    <w:p w:rsidR="000E6F48" w:rsidRDefault="000E6F48">
      <w:pPr>
        <w:tabs>
          <w:tab w:val="left" w:pos="708"/>
        </w:tabs>
        <w:spacing w:line="283" w:lineRule="exact"/>
      </w:pPr>
    </w:p>
    <w:p w:rsidR="000E6F48" w:rsidRDefault="000E6F48">
      <w:pPr>
        <w:pStyle w:val="TxBrp3"/>
        <w:spacing w:line="283" w:lineRule="exact"/>
        <w:ind w:left="709"/>
      </w:pPr>
      <w:r>
        <w:t>5.</w:t>
      </w:r>
      <w:r>
        <w:tab/>
        <w:t>There are no special provisions to minimize burden for small coal mining operations or other small entities.</w:t>
      </w:r>
    </w:p>
    <w:p w:rsidR="000E6F48" w:rsidRDefault="000E6F48">
      <w:pPr>
        <w:tabs>
          <w:tab w:val="left" w:pos="708"/>
        </w:tabs>
        <w:spacing w:line="283" w:lineRule="exact"/>
      </w:pPr>
    </w:p>
    <w:p w:rsidR="000E6F48" w:rsidRDefault="000E6F48">
      <w:pPr>
        <w:pStyle w:val="TxBrp3"/>
        <w:spacing w:line="283" w:lineRule="exact"/>
        <w:ind w:left="709"/>
      </w:pPr>
      <w:r>
        <w:t>6.</w:t>
      </w:r>
      <w:r>
        <w:tab/>
        <w:t>Information collection will occur at the time a notice of intent (NOI) to sue by a citizen is made. Therefore, the frequency of collection does not apply here.</w:t>
      </w:r>
    </w:p>
    <w:p w:rsidR="000E6F48" w:rsidRDefault="000E6F48">
      <w:pPr>
        <w:tabs>
          <w:tab w:val="left" w:pos="708"/>
        </w:tabs>
        <w:spacing w:line="283" w:lineRule="exact"/>
      </w:pPr>
    </w:p>
    <w:p w:rsidR="000E6F48" w:rsidRDefault="000E6F48">
      <w:pPr>
        <w:pStyle w:val="TxBrp3"/>
        <w:spacing w:line="283" w:lineRule="exact"/>
        <w:ind w:left="709"/>
        <w:rPr>
          <w:i/>
          <w:iCs/>
        </w:rPr>
      </w:pPr>
      <w:r>
        <w:t>7.</w:t>
      </w:r>
      <w:r>
        <w:tab/>
        <w:t>Not applicable. There are no special circumstances that require the collection of information to be conducted in a manner inconsistent with the guidelines in 5 CFR 1 320.5(d</w:t>
      </w:r>
      <w:proofErr w:type="gramStart"/>
      <w:r>
        <w:t>)(</w:t>
      </w:r>
      <w:proofErr w:type="gramEnd"/>
      <w:r>
        <w:t>2).</w:t>
      </w:r>
    </w:p>
    <w:p w:rsidR="000E6F48" w:rsidRDefault="000E6F48">
      <w:pPr>
        <w:tabs>
          <w:tab w:val="left" w:pos="720"/>
        </w:tabs>
        <w:rPr>
          <w:i/>
          <w:iCs/>
        </w:rPr>
      </w:pPr>
    </w:p>
    <w:p w:rsidR="00836732" w:rsidRDefault="0082447F" w:rsidP="00C762ED">
      <w:pPr>
        <w:pStyle w:val="TxBrp3"/>
        <w:numPr>
          <w:ilvl w:val="0"/>
          <w:numId w:val="9"/>
        </w:numPr>
        <w:tabs>
          <w:tab w:val="clear" w:pos="450"/>
          <w:tab w:val="left" w:pos="720"/>
        </w:tabs>
        <w:spacing w:line="283" w:lineRule="exact"/>
        <w:ind w:left="720" w:hanging="720"/>
      </w:pPr>
      <w:r>
        <w:t>OSMRE</w:t>
      </w:r>
      <w:r w:rsidR="00235C5C">
        <w:t xml:space="preserve"> con</w:t>
      </w:r>
      <w:r w:rsidR="00286D99">
        <w:t>tacted each of the OSMRE three regional offices</w:t>
      </w:r>
      <w:r w:rsidR="00235C5C">
        <w:t xml:space="preserve"> to determine the number of citizens’ notices of intent to sue state regulatory authorities, </w:t>
      </w:r>
      <w:r>
        <w:t>OSMRE</w:t>
      </w:r>
      <w:r w:rsidR="00235C5C">
        <w:t xml:space="preserve">, and/or the Secretary of the Interior.  </w:t>
      </w:r>
    </w:p>
    <w:p w:rsidR="00836732" w:rsidRDefault="00836732" w:rsidP="00836732">
      <w:pPr>
        <w:pStyle w:val="TxBrp3"/>
        <w:tabs>
          <w:tab w:val="left" w:pos="720"/>
        </w:tabs>
        <w:spacing w:line="283" w:lineRule="exact"/>
        <w:ind w:left="720" w:firstLine="0"/>
      </w:pPr>
    </w:p>
    <w:p w:rsidR="00235C5C" w:rsidRDefault="00235C5C" w:rsidP="00235C5C">
      <w:pPr>
        <w:pStyle w:val="TxBrp3"/>
        <w:tabs>
          <w:tab w:val="left" w:pos="720"/>
        </w:tabs>
        <w:spacing w:line="283" w:lineRule="exact"/>
        <w:ind w:left="720" w:firstLine="0"/>
      </w:pPr>
    </w:p>
    <w:p w:rsidR="00235C5C" w:rsidRPr="00C762ED" w:rsidRDefault="000E6F48" w:rsidP="00C762ED">
      <w:pPr>
        <w:pStyle w:val="TxBrp3"/>
        <w:tabs>
          <w:tab w:val="left" w:pos="720"/>
        </w:tabs>
        <w:spacing w:line="283" w:lineRule="exact"/>
        <w:ind w:left="720" w:firstLine="0"/>
      </w:pPr>
      <w:r w:rsidRPr="0027337A">
        <w:t xml:space="preserve">In </w:t>
      </w:r>
      <w:r w:rsidR="007A2BC7">
        <w:t>July 2015</w:t>
      </w:r>
      <w:r w:rsidRPr="0027337A">
        <w:t xml:space="preserve">, </w:t>
      </w:r>
      <w:r w:rsidR="0082447F">
        <w:t>OSMRE</w:t>
      </w:r>
      <w:r>
        <w:t xml:space="preserve"> contacted </w:t>
      </w:r>
      <w:r w:rsidR="00235C5C">
        <w:t xml:space="preserve">two citizen groups who have filed a notice of intent to sue </w:t>
      </w:r>
      <w:r w:rsidR="00235C5C" w:rsidRPr="00C762ED">
        <w:t>recently.  They were:</w:t>
      </w:r>
    </w:p>
    <w:p w:rsidR="00235C5C" w:rsidRPr="00C762ED" w:rsidRDefault="00235C5C" w:rsidP="00235C5C">
      <w:pPr>
        <w:pStyle w:val="TxBrp3"/>
        <w:tabs>
          <w:tab w:val="left" w:pos="720"/>
        </w:tabs>
        <w:spacing w:line="283" w:lineRule="exact"/>
        <w:ind w:left="720" w:firstLine="0"/>
      </w:pPr>
    </w:p>
    <w:p w:rsidR="00235C5C" w:rsidRPr="00C762ED" w:rsidRDefault="007A2BC7" w:rsidP="00235C5C">
      <w:pPr>
        <w:pStyle w:val="TxBrp3"/>
        <w:tabs>
          <w:tab w:val="left" w:pos="720"/>
        </w:tabs>
        <w:spacing w:line="283" w:lineRule="exact"/>
        <w:ind w:left="720" w:firstLine="0"/>
      </w:pPr>
      <w:r w:rsidRPr="00C762ED">
        <w:t xml:space="preserve">Jeremy Nichols </w:t>
      </w:r>
    </w:p>
    <w:p w:rsidR="007A2BC7" w:rsidRPr="00C762ED" w:rsidRDefault="007A2BC7" w:rsidP="00235C5C">
      <w:pPr>
        <w:pStyle w:val="TxBrp3"/>
        <w:tabs>
          <w:tab w:val="left" w:pos="720"/>
        </w:tabs>
        <w:spacing w:line="283" w:lineRule="exact"/>
        <w:ind w:left="720" w:firstLine="0"/>
      </w:pPr>
      <w:r w:rsidRPr="00C762ED">
        <w:t>Climate &amp;Energy Program Director</w:t>
      </w:r>
    </w:p>
    <w:p w:rsidR="007A2BC7" w:rsidRPr="00C762ED" w:rsidRDefault="007A2BC7" w:rsidP="00235C5C">
      <w:pPr>
        <w:pStyle w:val="TxBrp3"/>
        <w:tabs>
          <w:tab w:val="left" w:pos="720"/>
        </w:tabs>
        <w:spacing w:line="283" w:lineRule="exact"/>
        <w:ind w:left="720" w:firstLine="0"/>
      </w:pPr>
      <w:proofErr w:type="spellStart"/>
      <w:r w:rsidRPr="00C762ED">
        <w:t>WildEarth</w:t>
      </w:r>
      <w:proofErr w:type="spellEnd"/>
      <w:r w:rsidRPr="00C762ED">
        <w:t xml:space="preserve"> Guardians</w:t>
      </w:r>
    </w:p>
    <w:p w:rsidR="007A2BC7" w:rsidRPr="00C762ED" w:rsidRDefault="007A2BC7" w:rsidP="00235C5C">
      <w:pPr>
        <w:pStyle w:val="TxBrp3"/>
        <w:tabs>
          <w:tab w:val="left" w:pos="720"/>
        </w:tabs>
        <w:spacing w:line="283" w:lineRule="exact"/>
        <w:ind w:left="720" w:firstLine="0"/>
      </w:pPr>
      <w:r w:rsidRPr="00C762ED">
        <w:t xml:space="preserve">1536 </w:t>
      </w:r>
      <w:proofErr w:type="spellStart"/>
      <w:r w:rsidRPr="00C762ED">
        <w:t>Wynkoop</w:t>
      </w:r>
      <w:proofErr w:type="spellEnd"/>
      <w:r w:rsidRPr="00C762ED">
        <w:t xml:space="preserve"> St. Ste. 310</w:t>
      </w:r>
    </w:p>
    <w:p w:rsidR="007A2BC7" w:rsidRPr="00C762ED" w:rsidRDefault="007A2BC7" w:rsidP="00235C5C">
      <w:pPr>
        <w:pStyle w:val="TxBrp3"/>
        <w:tabs>
          <w:tab w:val="left" w:pos="720"/>
        </w:tabs>
        <w:spacing w:line="283" w:lineRule="exact"/>
        <w:ind w:left="720" w:firstLine="0"/>
      </w:pPr>
      <w:r w:rsidRPr="00C762ED">
        <w:t>Denver, CO  80202</w:t>
      </w:r>
    </w:p>
    <w:p w:rsidR="00235C5C" w:rsidRPr="00C762ED" w:rsidRDefault="00235C5C" w:rsidP="00235C5C">
      <w:pPr>
        <w:pStyle w:val="TxBrp3"/>
        <w:tabs>
          <w:tab w:val="left" w:pos="720"/>
        </w:tabs>
        <w:spacing w:line="283" w:lineRule="exact"/>
        <w:ind w:left="720" w:firstLine="0"/>
      </w:pPr>
    </w:p>
    <w:p w:rsidR="007A2BC7" w:rsidRPr="00C762ED" w:rsidRDefault="007A2BC7" w:rsidP="00235C5C">
      <w:pPr>
        <w:pStyle w:val="TxBrp3"/>
        <w:tabs>
          <w:tab w:val="left" w:pos="720"/>
        </w:tabs>
        <w:spacing w:line="283" w:lineRule="exact"/>
        <w:ind w:left="720" w:firstLine="0"/>
      </w:pPr>
      <w:r w:rsidRPr="00C762ED">
        <w:t>Nelson Brooke</w:t>
      </w:r>
    </w:p>
    <w:p w:rsidR="007A2BC7" w:rsidRPr="00C762ED" w:rsidRDefault="007A2BC7" w:rsidP="00235C5C">
      <w:pPr>
        <w:pStyle w:val="TxBrp3"/>
        <w:tabs>
          <w:tab w:val="left" w:pos="720"/>
        </w:tabs>
        <w:spacing w:line="283" w:lineRule="exact"/>
        <w:ind w:left="720" w:firstLine="0"/>
      </w:pPr>
      <w:r w:rsidRPr="00C762ED">
        <w:t xml:space="preserve">Black Warrior </w:t>
      </w:r>
      <w:proofErr w:type="spellStart"/>
      <w:r w:rsidRPr="00C762ED">
        <w:t>Riverkeeper</w:t>
      </w:r>
      <w:proofErr w:type="spellEnd"/>
    </w:p>
    <w:p w:rsidR="007A2BC7" w:rsidRPr="00C762ED" w:rsidRDefault="007A2BC7" w:rsidP="00235C5C">
      <w:pPr>
        <w:pStyle w:val="TxBrp3"/>
        <w:tabs>
          <w:tab w:val="left" w:pos="720"/>
        </w:tabs>
        <w:spacing w:line="283" w:lineRule="exact"/>
        <w:ind w:left="720" w:firstLine="0"/>
      </w:pPr>
      <w:r w:rsidRPr="00C762ED">
        <w:t>712 37</w:t>
      </w:r>
      <w:r w:rsidRPr="00C762ED">
        <w:rPr>
          <w:vertAlign w:val="superscript"/>
        </w:rPr>
        <w:t>th</w:t>
      </w:r>
      <w:r w:rsidRPr="00C762ED">
        <w:t xml:space="preserve"> Street South</w:t>
      </w:r>
    </w:p>
    <w:p w:rsidR="007A2BC7" w:rsidRPr="00C762ED" w:rsidRDefault="007A2BC7" w:rsidP="00235C5C">
      <w:pPr>
        <w:pStyle w:val="TxBrp3"/>
        <w:tabs>
          <w:tab w:val="left" w:pos="720"/>
        </w:tabs>
        <w:spacing w:line="283" w:lineRule="exact"/>
        <w:ind w:left="720" w:firstLine="0"/>
      </w:pPr>
      <w:r w:rsidRPr="00C762ED">
        <w:t>Birmingham, AL 35222</w:t>
      </w:r>
    </w:p>
    <w:p w:rsidR="007A2BC7" w:rsidRPr="00C762ED" w:rsidRDefault="007A2BC7" w:rsidP="00235C5C">
      <w:pPr>
        <w:pStyle w:val="TxBrp3"/>
        <w:tabs>
          <w:tab w:val="left" w:pos="720"/>
        </w:tabs>
        <w:spacing w:line="283" w:lineRule="exact"/>
        <w:ind w:left="720" w:firstLine="0"/>
      </w:pPr>
    </w:p>
    <w:p w:rsidR="00235C5C" w:rsidRPr="00177353" w:rsidRDefault="00235C5C" w:rsidP="00235C5C">
      <w:pPr>
        <w:widowControl/>
        <w:ind w:left="720"/>
      </w:pPr>
      <w:r w:rsidRPr="00C762ED">
        <w:t xml:space="preserve">Mr. </w:t>
      </w:r>
      <w:r w:rsidR="00836732" w:rsidRPr="00C762ED">
        <w:t>Nichols</w:t>
      </w:r>
      <w:r w:rsidRPr="00C762ED">
        <w:t xml:space="preserve"> estimated that it would take approximately </w:t>
      </w:r>
      <w:r w:rsidR="00860318" w:rsidRPr="00C762ED">
        <w:t>2</w:t>
      </w:r>
      <w:r w:rsidRPr="00C762ED">
        <w:t xml:space="preserve"> hours to conduct the research and prepare the notice of intent to sue.  </w:t>
      </w:r>
      <w:r w:rsidR="00836732" w:rsidRPr="00C762ED">
        <w:t>Mr</w:t>
      </w:r>
      <w:r w:rsidRPr="00C762ED">
        <w:t xml:space="preserve">. </w:t>
      </w:r>
      <w:r w:rsidR="00836732" w:rsidRPr="00C762ED">
        <w:t>Brooke</w:t>
      </w:r>
      <w:r w:rsidRPr="00C762ED">
        <w:t xml:space="preserve"> estimated that it </w:t>
      </w:r>
      <w:r w:rsidR="00860318" w:rsidRPr="00C762ED">
        <w:t xml:space="preserve">also </w:t>
      </w:r>
      <w:r w:rsidR="00836732" w:rsidRPr="00C762ED">
        <w:t>took</w:t>
      </w:r>
      <w:r w:rsidRPr="00C762ED">
        <w:t xml:space="preserve"> </w:t>
      </w:r>
      <w:r w:rsidR="00836732" w:rsidRPr="00C762ED">
        <w:t xml:space="preserve">approximately </w:t>
      </w:r>
      <w:r w:rsidR="00860318" w:rsidRPr="00C762ED">
        <w:t>2</w:t>
      </w:r>
      <w:r w:rsidR="00836732" w:rsidRPr="00C762ED">
        <w:t xml:space="preserve"> </w:t>
      </w:r>
      <w:r w:rsidR="00243941" w:rsidRPr="00C762ED">
        <w:t xml:space="preserve">hours.  Neither individual </w:t>
      </w:r>
      <w:r w:rsidRPr="00C762ED">
        <w:t xml:space="preserve">had concerns or complaints with the reporting </w:t>
      </w:r>
      <w:r w:rsidRPr="00177353">
        <w:t>requirements of the subject regulations</w:t>
      </w:r>
      <w:r w:rsidR="00243941" w:rsidRPr="00177353">
        <w:t xml:space="preserve"> or the information required to be submitted.  Their estimates have been incorporated into this collection request.</w:t>
      </w:r>
    </w:p>
    <w:p w:rsidR="001452E3" w:rsidRPr="00177353" w:rsidRDefault="001452E3">
      <w:pPr>
        <w:pStyle w:val="TxBrp3"/>
        <w:tabs>
          <w:tab w:val="left" w:pos="720"/>
        </w:tabs>
        <w:spacing w:line="283" w:lineRule="exact"/>
        <w:ind w:left="0" w:firstLine="0"/>
      </w:pPr>
    </w:p>
    <w:p w:rsidR="003840D9" w:rsidRPr="006D5119" w:rsidRDefault="003840D9" w:rsidP="003840D9">
      <w:pPr>
        <w:ind w:left="720" w:hanging="720"/>
      </w:pPr>
      <w:r w:rsidRPr="00177353">
        <w:tab/>
      </w:r>
      <w:r w:rsidR="00177353" w:rsidRPr="00177353">
        <w:t xml:space="preserve">On September 8, 2015, OSMRE had published in the </w:t>
      </w:r>
      <w:r w:rsidR="00177353" w:rsidRPr="00177353">
        <w:rPr>
          <w:u w:val="single"/>
        </w:rPr>
        <w:t>Federal</w:t>
      </w:r>
      <w:r w:rsidR="00177353" w:rsidRPr="00177353">
        <w:t xml:space="preserve"> </w:t>
      </w:r>
      <w:r w:rsidR="00177353" w:rsidRPr="00177353">
        <w:rPr>
          <w:u w:val="single"/>
        </w:rPr>
        <w:t>Register</w:t>
      </w:r>
      <w:r w:rsidR="00177353" w:rsidRPr="00177353">
        <w:t xml:space="preserve"> (80 FR 53887)</w:t>
      </w:r>
      <w:r w:rsidRPr="00177353">
        <w:t xml:space="preserve"> a notice requesting comments from the public regarding the need for the collection of information</w:t>
      </w:r>
      <w:r w:rsidRPr="006D5119">
        <w:t>, the accuracy of the burden estimate, ways to enhance the information collection, and ways to minimize the burden on respondents.  This notice gave the public 60 days in which to comment.  However, no comments were received.</w:t>
      </w:r>
    </w:p>
    <w:p w:rsidR="008C1825" w:rsidRDefault="008C1825">
      <w:pPr>
        <w:pStyle w:val="TxBrp3"/>
        <w:spacing w:line="283" w:lineRule="exact"/>
        <w:ind w:left="709"/>
      </w:pPr>
    </w:p>
    <w:p w:rsidR="000E6F48" w:rsidRDefault="000E6F48">
      <w:pPr>
        <w:pStyle w:val="TxBrp3"/>
        <w:spacing w:line="283" w:lineRule="exact"/>
        <w:ind w:left="709"/>
      </w:pPr>
      <w:r>
        <w:t>9.</w:t>
      </w:r>
      <w:r>
        <w:tab/>
        <w:t>No payments or gifts are provided to respondents.</w:t>
      </w:r>
    </w:p>
    <w:p w:rsidR="006003DB" w:rsidRDefault="006003DB">
      <w:pPr>
        <w:pStyle w:val="TxBrp3"/>
        <w:spacing w:line="283" w:lineRule="exact"/>
        <w:ind w:left="709"/>
      </w:pPr>
    </w:p>
    <w:p w:rsidR="000E6F48" w:rsidRDefault="000E6F48">
      <w:pPr>
        <w:pStyle w:val="TxBrp3"/>
        <w:spacing w:line="283" w:lineRule="exact"/>
        <w:ind w:left="709"/>
      </w:pPr>
      <w:r>
        <w:t>10.</w:t>
      </w:r>
      <w:r>
        <w:tab/>
        <w:t xml:space="preserve">There </w:t>
      </w:r>
      <w:r w:rsidR="00917B53">
        <w:t xml:space="preserve">are </w:t>
      </w:r>
      <w:r>
        <w:t>no provision</w:t>
      </w:r>
      <w:r w:rsidR="00917B53">
        <w:t>s</w:t>
      </w:r>
      <w:r>
        <w:t xml:space="preserve"> for confidentiality of information s</w:t>
      </w:r>
      <w:r w:rsidR="00917B53">
        <w:t>ince</w:t>
      </w:r>
      <w:r>
        <w:t xml:space="preserve"> NOI’s are a matter of public record.</w:t>
      </w:r>
    </w:p>
    <w:p w:rsidR="000E6F48" w:rsidRDefault="000E6F48">
      <w:pPr>
        <w:pStyle w:val="TxBrt10"/>
        <w:tabs>
          <w:tab w:val="decimal" w:pos="141"/>
          <w:tab w:val="center" w:pos="708"/>
        </w:tabs>
        <w:spacing w:line="566" w:lineRule="exact"/>
      </w:pPr>
      <w:r>
        <w:tab/>
        <w:t>11.</w:t>
      </w:r>
      <w:r>
        <w:tab/>
      </w:r>
      <w:r>
        <w:tab/>
        <w:t>Not applicable. Sensitive questions are not asked.</w:t>
      </w:r>
    </w:p>
    <w:p w:rsidR="000E6F48" w:rsidRDefault="000E6F48">
      <w:pPr>
        <w:pStyle w:val="TxBrt10"/>
        <w:tabs>
          <w:tab w:val="decimal" w:pos="141"/>
          <w:tab w:val="center" w:pos="708"/>
        </w:tabs>
        <w:spacing w:line="566" w:lineRule="exact"/>
      </w:pPr>
      <w:r>
        <w:tab/>
        <w:t>12.</w:t>
      </w:r>
      <w:r>
        <w:tab/>
      </w:r>
      <w:r w:rsidRPr="000A3796">
        <w:rPr>
          <w:u w:val="single"/>
        </w:rPr>
        <w:tab/>
        <w:t>Reporting. Recordkeeping and Reviewing Burden</w:t>
      </w:r>
    </w:p>
    <w:p w:rsidR="000E6F48" w:rsidRDefault="000E6F48">
      <w:pPr>
        <w:pStyle w:val="TxBrp4"/>
        <w:tabs>
          <w:tab w:val="left" w:pos="708"/>
        </w:tabs>
        <w:spacing w:line="566" w:lineRule="exact"/>
      </w:pPr>
      <w:r>
        <w:tab/>
        <w:t>a.</w:t>
      </w:r>
      <w:r>
        <w:tab/>
      </w:r>
      <w:r>
        <w:rPr>
          <w:u w:val="single"/>
        </w:rPr>
        <w:t>Estimate Reporting Burden</w:t>
      </w:r>
      <w:r>
        <w:t>:</w:t>
      </w:r>
    </w:p>
    <w:p w:rsidR="000E6F48" w:rsidRDefault="000E6F48">
      <w:pPr>
        <w:pStyle w:val="TxBrp2"/>
        <w:spacing w:line="283" w:lineRule="exact"/>
        <w:ind w:left="709"/>
      </w:pPr>
      <w:r>
        <w:tab/>
      </w:r>
    </w:p>
    <w:p w:rsidR="00C762ED" w:rsidRDefault="002E6035" w:rsidP="00C762ED">
      <w:pPr>
        <w:pStyle w:val="TxBrp2"/>
        <w:spacing w:line="240" w:lineRule="auto"/>
        <w:ind w:left="709"/>
      </w:pPr>
      <w:r>
        <w:tab/>
      </w:r>
      <w:r w:rsidR="00C762ED" w:rsidRPr="00C762ED">
        <w:t>Based on information provided by the Regional Office, there have been 23 notices of citizen suits over the span of the last three years.  We estimate that approximately 8 notices will be received annually.</w:t>
      </w:r>
    </w:p>
    <w:p w:rsidR="00C762ED" w:rsidRDefault="00C762ED" w:rsidP="00C762ED">
      <w:pPr>
        <w:pStyle w:val="TxBrp2"/>
        <w:spacing w:line="240" w:lineRule="auto"/>
        <w:ind w:left="709"/>
      </w:pPr>
    </w:p>
    <w:p w:rsidR="00C80144" w:rsidRDefault="00C762ED" w:rsidP="00C762ED">
      <w:pPr>
        <w:pStyle w:val="TxBrp2"/>
        <w:spacing w:line="283" w:lineRule="exact"/>
        <w:ind w:left="709"/>
      </w:pPr>
      <w:r>
        <w:tab/>
      </w:r>
      <w:r w:rsidR="00976EFA">
        <w:t>Previously</w:t>
      </w:r>
      <w:r>
        <w:t>,</w:t>
      </w:r>
      <w:r w:rsidR="00976EFA">
        <w:t xml:space="preserve"> those interviewed from the</w:t>
      </w:r>
      <w:r w:rsidR="002E6035">
        <w:t xml:space="preserve"> Department of the Interior’s Regional Solicitor’s Offices </w:t>
      </w:r>
      <w:r w:rsidR="00976EFA">
        <w:t xml:space="preserve">and selected environmental groups advised that it takes </w:t>
      </w:r>
      <w:r w:rsidR="006A4F5D">
        <w:t>a</w:t>
      </w:r>
      <w:r w:rsidR="00976EFA" w:rsidRPr="00C762ED">
        <w:t xml:space="preserve">n average of </w:t>
      </w:r>
      <w:r w:rsidR="006A4F5D">
        <w:t>45</w:t>
      </w:r>
      <w:r w:rsidR="00976EFA" w:rsidRPr="00C762ED">
        <w:t xml:space="preserve"> hours to complete the information required by 30 CFR 700.13. </w:t>
      </w:r>
      <w:r w:rsidRPr="00C762ED">
        <w:t xml:space="preserve">  However, </w:t>
      </w:r>
      <w:r w:rsidR="00C80144">
        <w:t xml:space="preserve">those individuals identified in item </w:t>
      </w:r>
      <w:r w:rsidRPr="00C762ED">
        <w:t>8</w:t>
      </w:r>
      <w:r w:rsidR="00C80144">
        <w:t xml:space="preserve"> stated that the notice of intent to sue is </w:t>
      </w:r>
      <w:r w:rsidR="007820C0">
        <w:t xml:space="preserve">preparing </w:t>
      </w:r>
      <w:r w:rsidR="00C80144">
        <w:t xml:space="preserve">a letter which takes </w:t>
      </w:r>
      <w:r w:rsidR="00C80144">
        <w:lastRenderedPageBreak/>
        <w:t>only two hours</w:t>
      </w:r>
      <w:r w:rsidR="007820C0">
        <w:t>.</w:t>
      </w:r>
      <w:r w:rsidR="00C80144">
        <w:t xml:space="preserve">  Therefore, </w:t>
      </w:r>
    </w:p>
    <w:p w:rsidR="00380862" w:rsidRDefault="00C762ED" w:rsidP="00C762ED">
      <w:pPr>
        <w:pStyle w:val="TxBrp2"/>
        <w:spacing w:line="283" w:lineRule="exact"/>
        <w:ind w:left="709"/>
      </w:pPr>
      <w:r>
        <w:t xml:space="preserve">  </w:t>
      </w:r>
    </w:p>
    <w:p w:rsidR="000E6F48" w:rsidRPr="00214BB3" w:rsidRDefault="007F39F3" w:rsidP="003409F4">
      <w:pPr>
        <w:pStyle w:val="TxBrp5"/>
        <w:spacing w:line="240" w:lineRule="auto"/>
        <w:ind w:left="1429"/>
      </w:pPr>
      <w:r w:rsidRPr="00EC4E4C">
        <w:t>8</w:t>
      </w:r>
      <w:r w:rsidR="000E6F48" w:rsidRPr="00EC4E4C">
        <w:t xml:space="preserve"> notice</w:t>
      </w:r>
      <w:r w:rsidR="00252F6F" w:rsidRPr="00EC4E4C">
        <w:t>s</w:t>
      </w:r>
      <w:r w:rsidR="000E6F48" w:rsidRPr="00EC4E4C">
        <w:t xml:space="preserve"> x </w:t>
      </w:r>
      <w:r w:rsidR="00C80144">
        <w:t>2</w:t>
      </w:r>
      <w:r w:rsidR="000E6F48" w:rsidRPr="00EC4E4C">
        <w:t xml:space="preserve"> hours/notice = </w:t>
      </w:r>
      <w:r w:rsidR="00C80144">
        <w:t>16</w:t>
      </w:r>
      <w:r w:rsidR="000E6F48" w:rsidRPr="00EC4E4C">
        <w:t xml:space="preserve"> hours</w:t>
      </w:r>
      <w:r w:rsidR="00214BB3" w:rsidRPr="00214BB3">
        <w:t>.</w:t>
      </w:r>
    </w:p>
    <w:p w:rsidR="003409F4" w:rsidRPr="00214BB3" w:rsidRDefault="003409F4" w:rsidP="003409F4">
      <w:pPr>
        <w:pStyle w:val="TxBrp4"/>
        <w:tabs>
          <w:tab w:val="left" w:pos="708"/>
        </w:tabs>
        <w:spacing w:line="240" w:lineRule="auto"/>
        <w:rPr>
          <w:highlight w:val="yellow"/>
        </w:rPr>
      </w:pPr>
    </w:p>
    <w:p w:rsidR="000E6F48" w:rsidRDefault="001452E3" w:rsidP="003409F4">
      <w:pPr>
        <w:pStyle w:val="TxBrp4"/>
        <w:tabs>
          <w:tab w:val="left" w:pos="708"/>
        </w:tabs>
        <w:spacing w:line="240" w:lineRule="auto"/>
      </w:pPr>
      <w:r>
        <w:tab/>
      </w:r>
      <w:r w:rsidR="00741371">
        <w:tab/>
      </w:r>
      <w:r w:rsidR="000E6F48">
        <w:t>b.</w:t>
      </w:r>
      <w:r w:rsidR="00741371">
        <w:tab/>
      </w:r>
      <w:r w:rsidR="000E6F48">
        <w:rPr>
          <w:u w:val="single"/>
        </w:rPr>
        <w:t>Estimate of wage cost to respondents</w:t>
      </w:r>
      <w:r w:rsidR="000E6F48">
        <w:t>:</w:t>
      </w:r>
    </w:p>
    <w:p w:rsidR="000E6F48" w:rsidRDefault="000E6F48" w:rsidP="003409F4">
      <w:pPr>
        <w:pStyle w:val="TxBrp2"/>
        <w:spacing w:line="240" w:lineRule="auto"/>
        <w:ind w:left="709"/>
      </w:pPr>
    </w:p>
    <w:p w:rsidR="007820C0" w:rsidRDefault="007820C0" w:rsidP="007820C0">
      <w:pPr>
        <w:ind w:left="720"/>
      </w:pPr>
      <w:r>
        <w:t xml:space="preserve">The request will usually </w:t>
      </w:r>
      <w:r w:rsidRPr="00B43FDD">
        <w:t>be prepared by an attorney, with a salary of $9</w:t>
      </w:r>
      <w:r>
        <w:t>3</w:t>
      </w:r>
      <w:r w:rsidRPr="00B43FDD">
        <w:t>.</w:t>
      </w:r>
      <w:r>
        <w:t>63</w:t>
      </w:r>
      <w:r w:rsidRPr="00B43FDD">
        <w:t>, which includes benefits computed at 1.4 of salary</w:t>
      </w:r>
      <w:r w:rsidRPr="00307E0E">
        <w:t xml:space="preserve"> and derived from Bureau of Labor Statistics (</w:t>
      </w:r>
      <w:hyperlink r:id="rId11" w:anchor="23-0000" w:history="1">
        <w:r w:rsidRPr="00033615">
          <w:rPr>
            <w:rStyle w:val="Hyperlink"/>
          </w:rPr>
          <w:t>http://www.bls.gov/oes/current/naics4_541100.htm#23-0000</w:t>
        </w:r>
      </w:hyperlink>
      <w:r>
        <w:t xml:space="preserve"> </w:t>
      </w:r>
      <w:r w:rsidRPr="00307E0E">
        <w:t xml:space="preserve">).  </w:t>
      </w:r>
      <w:r>
        <w:t>OSMRE</w:t>
      </w:r>
      <w:r w:rsidRPr="00307E0E">
        <w:t xml:space="preserve"> </w:t>
      </w:r>
      <w:r>
        <w:t xml:space="preserve">uses a </w:t>
      </w:r>
      <w:r w:rsidRPr="00307E0E">
        <w:t>1.</w:t>
      </w:r>
      <w:r>
        <w:t xml:space="preserve">4 </w:t>
      </w:r>
      <w:r w:rsidRPr="00307E0E">
        <w:t xml:space="preserve">multiplier from the ratio between wages and benefits for </w:t>
      </w:r>
      <w:r>
        <w:t>private sector</w:t>
      </w:r>
      <w:r w:rsidRPr="00307E0E">
        <w:t xml:space="preserve"> workers </w:t>
      </w:r>
      <w:r>
        <w:t>p</w:t>
      </w:r>
      <w:r w:rsidRPr="009147D4">
        <w:t xml:space="preserve">er BLS memorandum </w:t>
      </w:r>
      <w:r>
        <w:t>USDL-15-1132.</w:t>
      </w:r>
    </w:p>
    <w:p w:rsidR="007820C0" w:rsidRPr="00307E0E" w:rsidRDefault="007820C0" w:rsidP="007820C0">
      <w:pPr>
        <w:ind w:left="720"/>
      </w:pPr>
    </w:p>
    <w:p w:rsidR="007820C0" w:rsidRPr="00307E0E" w:rsidRDefault="007820C0" w:rsidP="007820C0">
      <w:pPr>
        <w:ind w:left="720"/>
      </w:pPr>
      <w:r>
        <w:t>At $93.63</w:t>
      </w:r>
      <w:r w:rsidRPr="00307E0E">
        <w:t xml:space="preserve"> per hour, the cost to a respondent to prepare the request would be $</w:t>
      </w:r>
      <w:r>
        <w:t>93.63</w:t>
      </w:r>
      <w:r w:rsidRPr="00307E0E">
        <w:t xml:space="preserve"> x </w:t>
      </w:r>
      <w:r>
        <w:t>16</w:t>
      </w:r>
      <w:r w:rsidRPr="00307E0E">
        <w:t xml:space="preserve"> hours = $</w:t>
      </w:r>
      <w:r>
        <w:t>1,498</w:t>
      </w:r>
      <w:r w:rsidRPr="00307E0E">
        <w:t>.</w:t>
      </w:r>
    </w:p>
    <w:p w:rsidR="000E6F48" w:rsidRDefault="000E6F48" w:rsidP="003409F4">
      <w:pPr>
        <w:tabs>
          <w:tab w:val="left" w:pos="708"/>
        </w:tabs>
      </w:pPr>
    </w:p>
    <w:p w:rsidR="000E6F48" w:rsidRDefault="000E6F48">
      <w:pPr>
        <w:pStyle w:val="TxBrp3"/>
        <w:spacing w:line="283" w:lineRule="exact"/>
        <w:ind w:left="709"/>
      </w:pPr>
      <w:r>
        <w:t>13.</w:t>
      </w:r>
      <w:r>
        <w:tab/>
      </w:r>
      <w:r>
        <w:rPr>
          <w:u w:val="single"/>
        </w:rPr>
        <w:t>Estimate of Total Annual Cost</w:t>
      </w:r>
    </w:p>
    <w:p w:rsidR="000E6F48" w:rsidRDefault="000E6F48">
      <w:pPr>
        <w:pStyle w:val="TxBrp5"/>
        <w:tabs>
          <w:tab w:val="clear" w:pos="204"/>
          <w:tab w:val="left" w:pos="708"/>
        </w:tabs>
        <w:spacing w:line="283" w:lineRule="exact"/>
      </w:pPr>
    </w:p>
    <w:p w:rsidR="000E6F48" w:rsidRDefault="000E6F48" w:rsidP="00AE7C37">
      <w:pPr>
        <w:pStyle w:val="TxBrp2"/>
        <w:spacing w:line="283" w:lineRule="exact"/>
        <w:ind w:left="709"/>
        <w:outlineLvl w:val="0"/>
      </w:pPr>
      <w:r>
        <w:tab/>
        <w:t>Not applicable. There are no costs incurred beyond the hourly wage costs.</w:t>
      </w:r>
    </w:p>
    <w:p w:rsidR="000E6F48" w:rsidRDefault="000E6F48">
      <w:pPr>
        <w:tabs>
          <w:tab w:val="left" w:pos="708"/>
        </w:tabs>
        <w:spacing w:line="283" w:lineRule="exact"/>
      </w:pPr>
    </w:p>
    <w:p w:rsidR="000E6F48" w:rsidRDefault="000E6F48">
      <w:pPr>
        <w:pStyle w:val="TxBrp3"/>
        <w:spacing w:line="283" w:lineRule="exact"/>
        <w:ind w:left="709"/>
      </w:pPr>
      <w:r>
        <w:t>14.</w:t>
      </w:r>
      <w:r>
        <w:tab/>
      </w:r>
      <w:r>
        <w:rPr>
          <w:u w:val="single"/>
        </w:rPr>
        <w:t>Estimated Cost to the Federal Government</w:t>
      </w:r>
    </w:p>
    <w:p w:rsidR="000E6F48" w:rsidRDefault="000E6F48">
      <w:pPr>
        <w:tabs>
          <w:tab w:val="left" w:pos="708"/>
        </w:tabs>
        <w:spacing w:line="283" w:lineRule="exact"/>
      </w:pPr>
    </w:p>
    <w:p w:rsidR="0088344B" w:rsidRDefault="000E6F48" w:rsidP="0088344B">
      <w:pPr>
        <w:ind w:left="720" w:hanging="720"/>
      </w:pPr>
      <w:r>
        <w:tab/>
      </w:r>
      <w:r w:rsidR="00167A50">
        <w:t xml:space="preserve">Assuming that one notice of a citizen suit is filed with </w:t>
      </w:r>
      <w:r w:rsidR="0082447F">
        <w:t>OSMRE</w:t>
      </w:r>
      <w:r w:rsidR="00167A50">
        <w:t xml:space="preserve">, it would require </w:t>
      </w:r>
      <w:r w:rsidR="000E7C23">
        <w:t xml:space="preserve">an </w:t>
      </w:r>
      <w:r w:rsidR="0082447F">
        <w:t>OSMRE</w:t>
      </w:r>
      <w:r w:rsidR="00167A50">
        <w:t xml:space="preserve"> staff</w:t>
      </w:r>
      <w:r w:rsidR="000E7C23">
        <w:t xml:space="preserve"> attorney 2 hours to review the notice</w:t>
      </w:r>
      <w:r w:rsidR="0088344B">
        <w:t xml:space="preserve"> and forward it to the appropriate office</w:t>
      </w:r>
      <w:r w:rsidR="000E7C23">
        <w:t xml:space="preserve">.  </w:t>
      </w:r>
      <w:r w:rsidR="0088344B" w:rsidRPr="00307E0E">
        <w:t xml:space="preserve">A program specialist with a GS 14 step 5 salary will review the </w:t>
      </w:r>
      <w:r w:rsidR="0088344B">
        <w:t>notice</w:t>
      </w:r>
      <w:r w:rsidR="0088344B" w:rsidRPr="00307E0E">
        <w:t xml:space="preserve">.  </w:t>
      </w:r>
      <w:r w:rsidR="0088344B">
        <w:t>A salary of $87.42</w:t>
      </w:r>
      <w:r w:rsidR="0088344B" w:rsidRPr="00307E0E">
        <w:t xml:space="preserve"> per hour</w:t>
      </w:r>
      <w:r w:rsidR="0088344B">
        <w:t xml:space="preserve"> </w:t>
      </w:r>
      <w:r w:rsidR="0088344B" w:rsidRPr="007045FA">
        <w:t>includ</w:t>
      </w:r>
      <w:r w:rsidR="0088344B">
        <w:t xml:space="preserve">es a </w:t>
      </w:r>
      <w:r w:rsidR="0088344B" w:rsidRPr="00307E0E">
        <w:t>1.</w:t>
      </w:r>
      <w:r w:rsidR="0088344B">
        <w:t xml:space="preserve">5 </w:t>
      </w:r>
      <w:r w:rsidR="0088344B" w:rsidRPr="00307E0E">
        <w:t xml:space="preserve">multiplier from the ratio between wages and benefits for </w:t>
      </w:r>
      <w:r w:rsidR="0088344B">
        <w:t xml:space="preserve">Federal </w:t>
      </w:r>
      <w:r w:rsidR="0088344B" w:rsidRPr="00307E0E">
        <w:t xml:space="preserve">workers </w:t>
      </w:r>
      <w:r w:rsidR="0088344B">
        <w:t>p</w:t>
      </w:r>
      <w:r w:rsidR="0088344B" w:rsidRPr="009147D4">
        <w:t xml:space="preserve">er BLS memorandum </w:t>
      </w:r>
      <w:r w:rsidR="0088344B">
        <w:t xml:space="preserve">USDL-15-1132.  This salary is derived from the Office of Personal Management salary </w:t>
      </w:r>
      <w:proofErr w:type="gramStart"/>
      <w:r w:rsidR="0088344B">
        <w:t>tables  (</w:t>
      </w:r>
      <w:proofErr w:type="gramEnd"/>
      <w:hyperlink r:id="rId12" w:history="1">
        <w:r w:rsidR="0088344B" w:rsidRPr="00020F2B">
          <w:rPr>
            <w:rStyle w:val="Hyperlink"/>
          </w:rPr>
          <w:t>https://www.opm.gov/policy-data-oversight/pay-leave/salaries-wages/salary-tables/pdf/2015/DCB_h.pdf</w:t>
        </w:r>
      </w:hyperlink>
      <w:r w:rsidR="0088344B">
        <w:t xml:space="preserve"> ).</w:t>
      </w:r>
    </w:p>
    <w:p w:rsidR="0088344B" w:rsidRPr="00AF16EA" w:rsidRDefault="0088344B" w:rsidP="0088344B">
      <w:pPr>
        <w:ind w:left="720"/>
      </w:pPr>
      <w:r>
        <w:t xml:space="preserve">  </w:t>
      </w:r>
    </w:p>
    <w:p w:rsidR="0088344B" w:rsidRPr="00935A78" w:rsidRDefault="0088344B" w:rsidP="0088344B">
      <w:pPr>
        <w:ind w:left="720"/>
      </w:pPr>
      <w:r>
        <w:t>The cost to the Federal government would be 2 hours</w:t>
      </w:r>
      <w:r w:rsidRPr="00935A78">
        <w:t xml:space="preserve"> x $</w:t>
      </w:r>
      <w:r>
        <w:t xml:space="preserve">87.42 per hour = </w:t>
      </w:r>
      <w:r w:rsidRPr="00935A78">
        <w:t>$</w:t>
      </w:r>
      <w:r>
        <w:t>175</w:t>
      </w:r>
      <w:r w:rsidRPr="00935A78">
        <w:t>.</w:t>
      </w:r>
    </w:p>
    <w:p w:rsidR="0088344B" w:rsidRDefault="0088344B">
      <w:pPr>
        <w:tabs>
          <w:tab w:val="left" w:pos="708"/>
        </w:tabs>
        <w:spacing w:line="283" w:lineRule="exact"/>
      </w:pPr>
    </w:p>
    <w:p w:rsidR="000E6F48" w:rsidRDefault="000E6F48">
      <w:pPr>
        <w:pStyle w:val="TxBrp3"/>
        <w:spacing w:line="283" w:lineRule="exact"/>
        <w:ind w:left="709"/>
      </w:pPr>
      <w:r>
        <w:t>15.</w:t>
      </w:r>
      <w:r>
        <w:tab/>
        <w:t>This information collection request</w:t>
      </w:r>
      <w:r w:rsidR="007D646A">
        <w:t xml:space="preserve"> will </w:t>
      </w:r>
      <w:r w:rsidR="00B20B75">
        <w:t xml:space="preserve">reduce the currently approved collection burden by 29 </w:t>
      </w:r>
      <w:r w:rsidR="007D646A">
        <w:t xml:space="preserve">hours </w:t>
      </w:r>
      <w:r w:rsidR="00B20B75">
        <w:t xml:space="preserve">due to a </w:t>
      </w:r>
      <w:proofErr w:type="spellStart"/>
      <w:r w:rsidR="00B20B75">
        <w:t>reestimated</w:t>
      </w:r>
      <w:proofErr w:type="spellEnd"/>
      <w:r w:rsidR="00B20B75">
        <w:t xml:space="preserve"> </w:t>
      </w:r>
      <w:r w:rsidR="0088344B">
        <w:t xml:space="preserve">in </w:t>
      </w:r>
      <w:r w:rsidR="00B20B75">
        <w:t>respondent burden as an adjustment</w:t>
      </w:r>
      <w:r w:rsidR="00A63685">
        <w:t xml:space="preserve">.  </w:t>
      </w:r>
      <w:r>
        <w:t xml:space="preserve">Therefore, </w:t>
      </w:r>
    </w:p>
    <w:p w:rsidR="000E6F48" w:rsidRDefault="000E6F48" w:rsidP="00935A78">
      <w:pPr>
        <w:pStyle w:val="TxBrp3"/>
        <w:spacing w:line="283" w:lineRule="exact"/>
        <w:ind w:left="1440" w:firstLine="0"/>
      </w:pPr>
    </w:p>
    <w:p w:rsidR="000E6F48" w:rsidRDefault="00115C92" w:rsidP="007820C0">
      <w:pPr>
        <w:pStyle w:val="TxBrp11"/>
        <w:tabs>
          <w:tab w:val="clear" w:pos="1434"/>
          <w:tab w:val="clear" w:pos="1791"/>
          <w:tab w:val="left" w:pos="1800"/>
        </w:tabs>
        <w:spacing w:line="240" w:lineRule="auto"/>
        <w:ind w:left="1080" w:hanging="360"/>
      </w:pPr>
      <w:r>
        <w:t xml:space="preserve"> </w:t>
      </w:r>
      <w:r w:rsidR="00935A78">
        <w:tab/>
      </w:r>
      <w:r w:rsidR="007820C0">
        <w:t>45</w:t>
      </w:r>
      <w:r w:rsidR="00935A78">
        <w:t xml:space="preserve"> hours currently approved</w:t>
      </w:r>
    </w:p>
    <w:p w:rsidR="000E6F48" w:rsidRDefault="007820C0" w:rsidP="007820C0">
      <w:pPr>
        <w:pStyle w:val="TxBrp11"/>
        <w:tabs>
          <w:tab w:val="clear" w:pos="1434"/>
          <w:tab w:val="clear" w:pos="1791"/>
          <w:tab w:val="left" w:pos="1800"/>
        </w:tabs>
        <w:spacing w:line="240" w:lineRule="auto"/>
        <w:ind w:left="1080" w:hanging="360"/>
      </w:pPr>
      <w:r>
        <w:rPr>
          <w:u w:val="single"/>
        </w:rPr>
        <w:t>-</w:t>
      </w:r>
      <w:r>
        <w:rPr>
          <w:u w:val="single"/>
        </w:rPr>
        <w:tab/>
        <w:t>29</w:t>
      </w:r>
      <w:r w:rsidR="000E6F48">
        <w:t xml:space="preserve"> hours </w:t>
      </w:r>
      <w:r>
        <w:t xml:space="preserve">due to a </w:t>
      </w:r>
      <w:proofErr w:type="spellStart"/>
      <w:r>
        <w:t>reestimate</w:t>
      </w:r>
      <w:proofErr w:type="spellEnd"/>
      <w:r w:rsidR="00380862">
        <w:t xml:space="preserve"> </w:t>
      </w:r>
    </w:p>
    <w:p w:rsidR="000E6F48" w:rsidRDefault="007820C0" w:rsidP="007820C0">
      <w:pPr>
        <w:pStyle w:val="TxBrp11"/>
        <w:tabs>
          <w:tab w:val="clear" w:pos="1434"/>
          <w:tab w:val="clear" w:pos="1791"/>
          <w:tab w:val="left" w:pos="1800"/>
        </w:tabs>
        <w:spacing w:line="240" w:lineRule="auto"/>
        <w:ind w:left="1080" w:hanging="360"/>
      </w:pPr>
      <w:r>
        <w:tab/>
        <w:t>16</w:t>
      </w:r>
      <w:r w:rsidR="000E6F48">
        <w:t xml:space="preserve"> hours requested</w:t>
      </w:r>
    </w:p>
    <w:p w:rsidR="0088344B" w:rsidRDefault="0088344B" w:rsidP="007820C0">
      <w:pPr>
        <w:pStyle w:val="TxBrp11"/>
        <w:tabs>
          <w:tab w:val="clear" w:pos="1434"/>
          <w:tab w:val="clear" w:pos="1791"/>
          <w:tab w:val="left" w:pos="1800"/>
        </w:tabs>
        <w:spacing w:line="240" w:lineRule="auto"/>
        <w:ind w:left="1080" w:hanging="360"/>
      </w:pPr>
    </w:p>
    <w:p w:rsidR="000E6F48" w:rsidRDefault="000E6F48" w:rsidP="00B20B75">
      <w:pPr>
        <w:pStyle w:val="TxBrp13"/>
        <w:spacing w:line="240" w:lineRule="auto"/>
      </w:pPr>
      <w:r>
        <w:t>16.</w:t>
      </w:r>
      <w:r>
        <w:tab/>
        <w:t>There are no plans for publication of this information.</w:t>
      </w:r>
    </w:p>
    <w:p w:rsidR="00B20B75" w:rsidRDefault="00B20B75" w:rsidP="00B20B75">
      <w:pPr>
        <w:pStyle w:val="TxBrp13"/>
        <w:spacing w:line="240" w:lineRule="auto"/>
      </w:pPr>
    </w:p>
    <w:p w:rsidR="00B20B75" w:rsidRDefault="000E6F48" w:rsidP="00B20B75">
      <w:pPr>
        <w:pStyle w:val="TxBrp13"/>
        <w:spacing w:line="240" w:lineRule="auto"/>
      </w:pPr>
      <w:r>
        <w:t>17.</w:t>
      </w:r>
      <w:r>
        <w:tab/>
        <w:t xml:space="preserve">Not applicable. The </w:t>
      </w:r>
      <w:r w:rsidR="00A8462C">
        <w:t>O</w:t>
      </w:r>
      <w:r>
        <w:t>MB approval information is displayed at 30 CFR 700.10.</w:t>
      </w:r>
    </w:p>
    <w:p w:rsidR="00B20B75" w:rsidRDefault="00B20B75" w:rsidP="00B20B75">
      <w:pPr>
        <w:pStyle w:val="TxBrp13"/>
        <w:spacing w:line="240" w:lineRule="auto"/>
      </w:pPr>
    </w:p>
    <w:p w:rsidR="00B36B96" w:rsidRDefault="000E6F48" w:rsidP="00B36B9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18.</w:t>
      </w:r>
      <w:r>
        <w:tab/>
        <w:t xml:space="preserve">Not applicable. There are no exemptions to </w:t>
      </w:r>
      <w:r w:rsidR="00B36B96">
        <w:t xml:space="preserve">the </w:t>
      </w:r>
      <w:r w:rsidR="00B36B96" w:rsidRPr="00072AA0">
        <w:rPr>
          <w:i/>
        </w:rPr>
        <w:t>"Certification for Paperwork Reduction Act Submissions."</w:t>
      </w:r>
    </w:p>
    <w:sectPr w:rsidR="00B36B96" w:rsidSect="00741371">
      <w:footerReference w:type="even" r:id="rId13"/>
      <w:footerReference w:type="default" r:id="rId14"/>
      <w:type w:val="continuous"/>
      <w:pgSz w:w="12240" w:h="15840"/>
      <w:pgMar w:top="1440" w:right="1440" w:bottom="1440" w:left="1440" w:header="720" w:footer="518"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1713" w:rsidRDefault="00691713">
      <w:r>
        <w:separator/>
      </w:r>
    </w:p>
  </w:endnote>
  <w:endnote w:type="continuationSeparator" w:id="0">
    <w:p w:rsidR="00691713" w:rsidRDefault="00691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C5C" w:rsidRDefault="00235C5C" w:rsidP="003747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35C5C" w:rsidRDefault="00235C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C5C" w:rsidRDefault="00235C5C" w:rsidP="003747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67E83">
      <w:rPr>
        <w:rStyle w:val="PageNumber"/>
        <w:noProof/>
      </w:rPr>
      <w:t>14</w:t>
    </w:r>
    <w:r>
      <w:rPr>
        <w:rStyle w:val="PageNumber"/>
      </w:rPr>
      <w:fldChar w:fldCharType="end"/>
    </w:r>
  </w:p>
  <w:p w:rsidR="00235C5C" w:rsidRDefault="00235C5C" w:rsidP="003747F0">
    <w:pPr>
      <w:pStyle w:val="Footer"/>
      <w:rPr>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1713" w:rsidRDefault="00691713">
      <w:r>
        <w:separator/>
      </w:r>
    </w:p>
  </w:footnote>
  <w:footnote w:type="continuationSeparator" w:id="0">
    <w:p w:rsidR="00691713" w:rsidRDefault="006917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414DA"/>
    <w:multiLevelType w:val="hybridMultilevel"/>
    <w:tmpl w:val="A40CEE70"/>
    <w:lvl w:ilvl="0" w:tplc="0409000F">
      <w:start w:val="1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7C954D3"/>
    <w:multiLevelType w:val="multilevel"/>
    <w:tmpl w:val="CE8A3B02"/>
    <w:lvl w:ilvl="0">
      <w:numFmt w:val="decimal"/>
      <w:lvlText w:val="%1.0"/>
      <w:lvlJc w:val="left"/>
      <w:pPr>
        <w:tabs>
          <w:tab w:val="num" w:pos="2145"/>
        </w:tabs>
        <w:ind w:left="2145" w:hanging="360"/>
      </w:pPr>
      <w:rPr>
        <w:rFonts w:hint="default"/>
        <w:u w:val="single"/>
      </w:rPr>
    </w:lvl>
    <w:lvl w:ilvl="1">
      <w:start w:val="1"/>
      <w:numFmt w:val="decimal"/>
      <w:lvlText w:val="%1.%2"/>
      <w:lvlJc w:val="left"/>
      <w:pPr>
        <w:tabs>
          <w:tab w:val="num" w:pos="2865"/>
        </w:tabs>
        <w:ind w:left="2865" w:hanging="360"/>
      </w:pPr>
      <w:rPr>
        <w:rFonts w:hint="default"/>
        <w:u w:val="single"/>
      </w:rPr>
    </w:lvl>
    <w:lvl w:ilvl="2">
      <w:start w:val="1"/>
      <w:numFmt w:val="decimal"/>
      <w:lvlText w:val="%1.%2.%3"/>
      <w:lvlJc w:val="left"/>
      <w:pPr>
        <w:tabs>
          <w:tab w:val="num" w:pos="3945"/>
        </w:tabs>
        <w:ind w:left="3945" w:hanging="720"/>
      </w:pPr>
      <w:rPr>
        <w:rFonts w:hint="default"/>
        <w:u w:val="single"/>
      </w:rPr>
    </w:lvl>
    <w:lvl w:ilvl="3">
      <w:start w:val="1"/>
      <w:numFmt w:val="decimal"/>
      <w:lvlText w:val="%1.%2.%3.%4"/>
      <w:lvlJc w:val="left"/>
      <w:pPr>
        <w:tabs>
          <w:tab w:val="num" w:pos="4665"/>
        </w:tabs>
        <w:ind w:left="4665" w:hanging="720"/>
      </w:pPr>
      <w:rPr>
        <w:rFonts w:hint="default"/>
        <w:u w:val="single"/>
      </w:rPr>
    </w:lvl>
    <w:lvl w:ilvl="4">
      <w:start w:val="1"/>
      <w:numFmt w:val="decimal"/>
      <w:lvlText w:val="%1.%2.%3.%4.%5"/>
      <w:lvlJc w:val="left"/>
      <w:pPr>
        <w:tabs>
          <w:tab w:val="num" w:pos="5745"/>
        </w:tabs>
        <w:ind w:left="5745" w:hanging="1080"/>
      </w:pPr>
      <w:rPr>
        <w:rFonts w:hint="default"/>
        <w:u w:val="single"/>
      </w:rPr>
    </w:lvl>
    <w:lvl w:ilvl="5">
      <w:start w:val="1"/>
      <w:numFmt w:val="decimal"/>
      <w:lvlText w:val="%1.%2.%3.%4.%5.%6"/>
      <w:lvlJc w:val="left"/>
      <w:pPr>
        <w:tabs>
          <w:tab w:val="num" w:pos="6465"/>
        </w:tabs>
        <w:ind w:left="6465" w:hanging="1080"/>
      </w:pPr>
      <w:rPr>
        <w:rFonts w:hint="default"/>
        <w:u w:val="single"/>
      </w:rPr>
    </w:lvl>
    <w:lvl w:ilvl="6">
      <w:start w:val="1"/>
      <w:numFmt w:val="decimal"/>
      <w:lvlText w:val="%1.%2.%3.%4.%5.%6.%7"/>
      <w:lvlJc w:val="left"/>
      <w:pPr>
        <w:tabs>
          <w:tab w:val="num" w:pos="7545"/>
        </w:tabs>
        <w:ind w:left="7545" w:hanging="1440"/>
      </w:pPr>
      <w:rPr>
        <w:rFonts w:hint="default"/>
        <w:u w:val="single"/>
      </w:rPr>
    </w:lvl>
    <w:lvl w:ilvl="7">
      <w:start w:val="1"/>
      <w:numFmt w:val="decimal"/>
      <w:lvlText w:val="%1.%2.%3.%4.%5.%6.%7.%8"/>
      <w:lvlJc w:val="left"/>
      <w:pPr>
        <w:tabs>
          <w:tab w:val="num" w:pos="8265"/>
        </w:tabs>
        <w:ind w:left="8265" w:hanging="1440"/>
      </w:pPr>
      <w:rPr>
        <w:rFonts w:hint="default"/>
        <w:u w:val="single"/>
      </w:rPr>
    </w:lvl>
    <w:lvl w:ilvl="8">
      <w:start w:val="1"/>
      <w:numFmt w:val="decimal"/>
      <w:lvlText w:val="%1.%2.%3.%4.%5.%6.%7.%8.%9"/>
      <w:lvlJc w:val="left"/>
      <w:pPr>
        <w:tabs>
          <w:tab w:val="num" w:pos="9345"/>
        </w:tabs>
        <w:ind w:left="9345" w:hanging="1800"/>
      </w:pPr>
      <w:rPr>
        <w:rFonts w:hint="default"/>
        <w:u w:val="single"/>
      </w:rPr>
    </w:lvl>
  </w:abstractNum>
  <w:abstractNum w:abstractNumId="2" w15:restartNumberingAfterBreak="0">
    <w:nsid w:val="08403F64"/>
    <w:multiLevelType w:val="hybridMultilevel"/>
    <w:tmpl w:val="0002C3C2"/>
    <w:lvl w:ilvl="0" w:tplc="7F56914E">
      <w:start w:val="1"/>
      <w:numFmt w:val="lowerLetter"/>
      <w:lvlText w:val="%1."/>
      <w:lvlJc w:val="left"/>
      <w:pPr>
        <w:tabs>
          <w:tab w:val="num" w:pos="1442"/>
        </w:tabs>
        <w:ind w:left="1442" w:hanging="735"/>
      </w:pPr>
      <w:rPr>
        <w:rFonts w:hint="default"/>
      </w:rPr>
    </w:lvl>
    <w:lvl w:ilvl="1" w:tplc="04090019">
      <w:start w:val="1"/>
      <w:numFmt w:val="lowerLetter"/>
      <w:lvlText w:val="%2."/>
      <w:lvlJc w:val="left"/>
      <w:pPr>
        <w:tabs>
          <w:tab w:val="num" w:pos="1787"/>
        </w:tabs>
        <w:ind w:left="1787" w:hanging="360"/>
      </w:pPr>
    </w:lvl>
    <w:lvl w:ilvl="2" w:tplc="0409001B">
      <w:start w:val="1"/>
      <w:numFmt w:val="lowerRoman"/>
      <w:lvlText w:val="%3."/>
      <w:lvlJc w:val="right"/>
      <w:pPr>
        <w:tabs>
          <w:tab w:val="num" w:pos="2507"/>
        </w:tabs>
        <w:ind w:left="2507" w:hanging="180"/>
      </w:pPr>
    </w:lvl>
    <w:lvl w:ilvl="3" w:tplc="0409000F">
      <w:start w:val="1"/>
      <w:numFmt w:val="decimal"/>
      <w:lvlText w:val="%4."/>
      <w:lvlJc w:val="left"/>
      <w:pPr>
        <w:tabs>
          <w:tab w:val="num" w:pos="3227"/>
        </w:tabs>
        <w:ind w:left="3227" w:hanging="360"/>
      </w:pPr>
    </w:lvl>
    <w:lvl w:ilvl="4" w:tplc="04090019">
      <w:start w:val="1"/>
      <w:numFmt w:val="lowerLetter"/>
      <w:lvlText w:val="%5."/>
      <w:lvlJc w:val="left"/>
      <w:pPr>
        <w:tabs>
          <w:tab w:val="num" w:pos="3947"/>
        </w:tabs>
        <w:ind w:left="3947" w:hanging="360"/>
      </w:pPr>
    </w:lvl>
    <w:lvl w:ilvl="5" w:tplc="0409001B">
      <w:start w:val="1"/>
      <w:numFmt w:val="lowerRoman"/>
      <w:lvlText w:val="%6."/>
      <w:lvlJc w:val="right"/>
      <w:pPr>
        <w:tabs>
          <w:tab w:val="num" w:pos="4667"/>
        </w:tabs>
        <w:ind w:left="4667" w:hanging="180"/>
      </w:pPr>
    </w:lvl>
    <w:lvl w:ilvl="6" w:tplc="0409000F">
      <w:start w:val="1"/>
      <w:numFmt w:val="decimal"/>
      <w:lvlText w:val="%7."/>
      <w:lvlJc w:val="left"/>
      <w:pPr>
        <w:tabs>
          <w:tab w:val="num" w:pos="5387"/>
        </w:tabs>
        <w:ind w:left="5387" w:hanging="360"/>
      </w:pPr>
    </w:lvl>
    <w:lvl w:ilvl="7" w:tplc="04090019">
      <w:start w:val="1"/>
      <w:numFmt w:val="lowerLetter"/>
      <w:lvlText w:val="%8."/>
      <w:lvlJc w:val="left"/>
      <w:pPr>
        <w:tabs>
          <w:tab w:val="num" w:pos="6107"/>
        </w:tabs>
        <w:ind w:left="6107" w:hanging="360"/>
      </w:pPr>
    </w:lvl>
    <w:lvl w:ilvl="8" w:tplc="0409001B">
      <w:start w:val="1"/>
      <w:numFmt w:val="lowerRoman"/>
      <w:lvlText w:val="%9."/>
      <w:lvlJc w:val="right"/>
      <w:pPr>
        <w:tabs>
          <w:tab w:val="num" w:pos="6827"/>
        </w:tabs>
        <w:ind w:left="6827" w:hanging="180"/>
      </w:pPr>
    </w:lvl>
  </w:abstractNum>
  <w:abstractNum w:abstractNumId="3" w15:restartNumberingAfterBreak="0">
    <w:nsid w:val="10D6242E"/>
    <w:multiLevelType w:val="hybridMultilevel"/>
    <w:tmpl w:val="107243A2"/>
    <w:lvl w:ilvl="0" w:tplc="E3FA90EC">
      <w:start w:val="10"/>
      <w:numFmt w:val="bullet"/>
      <w:lvlText w:val="-"/>
      <w:lvlJc w:val="left"/>
      <w:pPr>
        <w:tabs>
          <w:tab w:val="num" w:pos="1795"/>
        </w:tabs>
        <w:ind w:left="1795" w:hanging="360"/>
      </w:pPr>
      <w:rPr>
        <w:rFonts w:ascii="Arial" w:eastAsia="Times New Roman" w:hAnsi="Arial" w:hint="default"/>
      </w:rPr>
    </w:lvl>
    <w:lvl w:ilvl="1" w:tplc="04090003">
      <w:start w:val="1"/>
      <w:numFmt w:val="bullet"/>
      <w:lvlText w:val="o"/>
      <w:lvlJc w:val="left"/>
      <w:pPr>
        <w:tabs>
          <w:tab w:val="num" w:pos="2515"/>
        </w:tabs>
        <w:ind w:left="2515" w:hanging="360"/>
      </w:pPr>
      <w:rPr>
        <w:rFonts w:ascii="Courier New" w:hAnsi="Courier New" w:cs="Courier New" w:hint="default"/>
      </w:rPr>
    </w:lvl>
    <w:lvl w:ilvl="2" w:tplc="04090005">
      <w:start w:val="1"/>
      <w:numFmt w:val="bullet"/>
      <w:lvlText w:val=""/>
      <w:lvlJc w:val="left"/>
      <w:pPr>
        <w:tabs>
          <w:tab w:val="num" w:pos="3235"/>
        </w:tabs>
        <w:ind w:left="3235" w:hanging="360"/>
      </w:pPr>
      <w:rPr>
        <w:rFonts w:ascii="Wingdings" w:hAnsi="Wingdings" w:cs="Times New Roman" w:hint="default"/>
      </w:rPr>
    </w:lvl>
    <w:lvl w:ilvl="3" w:tplc="04090001">
      <w:start w:val="1"/>
      <w:numFmt w:val="bullet"/>
      <w:lvlText w:val=""/>
      <w:lvlJc w:val="left"/>
      <w:pPr>
        <w:tabs>
          <w:tab w:val="num" w:pos="3955"/>
        </w:tabs>
        <w:ind w:left="3955" w:hanging="360"/>
      </w:pPr>
      <w:rPr>
        <w:rFonts w:ascii="Symbol" w:hAnsi="Symbol" w:cs="Times New Roman" w:hint="default"/>
      </w:rPr>
    </w:lvl>
    <w:lvl w:ilvl="4" w:tplc="04090003">
      <w:start w:val="1"/>
      <w:numFmt w:val="bullet"/>
      <w:lvlText w:val="o"/>
      <w:lvlJc w:val="left"/>
      <w:pPr>
        <w:tabs>
          <w:tab w:val="num" w:pos="4675"/>
        </w:tabs>
        <w:ind w:left="4675" w:hanging="360"/>
      </w:pPr>
      <w:rPr>
        <w:rFonts w:ascii="Courier New" w:hAnsi="Courier New" w:cs="Courier New" w:hint="default"/>
      </w:rPr>
    </w:lvl>
    <w:lvl w:ilvl="5" w:tplc="04090005">
      <w:start w:val="1"/>
      <w:numFmt w:val="bullet"/>
      <w:lvlText w:val=""/>
      <w:lvlJc w:val="left"/>
      <w:pPr>
        <w:tabs>
          <w:tab w:val="num" w:pos="5395"/>
        </w:tabs>
        <w:ind w:left="5395" w:hanging="360"/>
      </w:pPr>
      <w:rPr>
        <w:rFonts w:ascii="Wingdings" w:hAnsi="Wingdings" w:cs="Times New Roman" w:hint="default"/>
      </w:rPr>
    </w:lvl>
    <w:lvl w:ilvl="6" w:tplc="04090001">
      <w:start w:val="1"/>
      <w:numFmt w:val="bullet"/>
      <w:lvlText w:val=""/>
      <w:lvlJc w:val="left"/>
      <w:pPr>
        <w:tabs>
          <w:tab w:val="num" w:pos="6115"/>
        </w:tabs>
        <w:ind w:left="6115" w:hanging="360"/>
      </w:pPr>
      <w:rPr>
        <w:rFonts w:ascii="Symbol" w:hAnsi="Symbol" w:cs="Times New Roman" w:hint="default"/>
      </w:rPr>
    </w:lvl>
    <w:lvl w:ilvl="7" w:tplc="04090003">
      <w:start w:val="1"/>
      <w:numFmt w:val="bullet"/>
      <w:lvlText w:val="o"/>
      <w:lvlJc w:val="left"/>
      <w:pPr>
        <w:tabs>
          <w:tab w:val="num" w:pos="6835"/>
        </w:tabs>
        <w:ind w:left="6835" w:hanging="360"/>
      </w:pPr>
      <w:rPr>
        <w:rFonts w:ascii="Courier New" w:hAnsi="Courier New" w:cs="Courier New" w:hint="default"/>
      </w:rPr>
    </w:lvl>
    <w:lvl w:ilvl="8" w:tplc="04090005">
      <w:start w:val="1"/>
      <w:numFmt w:val="bullet"/>
      <w:lvlText w:val=""/>
      <w:lvlJc w:val="left"/>
      <w:pPr>
        <w:tabs>
          <w:tab w:val="num" w:pos="7555"/>
        </w:tabs>
        <w:ind w:left="7555" w:hanging="360"/>
      </w:pPr>
      <w:rPr>
        <w:rFonts w:ascii="Wingdings" w:hAnsi="Wingdings" w:cs="Times New Roman" w:hint="default"/>
      </w:rPr>
    </w:lvl>
  </w:abstractNum>
  <w:abstractNum w:abstractNumId="4" w15:restartNumberingAfterBreak="0">
    <w:nsid w:val="202B5BE6"/>
    <w:multiLevelType w:val="hybridMultilevel"/>
    <w:tmpl w:val="1B6AFC42"/>
    <w:lvl w:ilvl="0" w:tplc="64405F28">
      <w:start w:val="13"/>
      <w:numFmt w:val="decimal"/>
      <w:lvlText w:val="%1."/>
      <w:lvlJc w:val="left"/>
      <w:pPr>
        <w:tabs>
          <w:tab w:val="num" w:pos="706"/>
        </w:tabs>
        <w:ind w:left="706" w:hanging="705"/>
      </w:pPr>
      <w:rPr>
        <w:rFonts w:hint="default"/>
        <w:u w:val="none"/>
      </w:rPr>
    </w:lvl>
    <w:lvl w:ilvl="1" w:tplc="04090019">
      <w:start w:val="1"/>
      <w:numFmt w:val="lowerLetter"/>
      <w:lvlText w:val="%2."/>
      <w:lvlJc w:val="left"/>
      <w:pPr>
        <w:tabs>
          <w:tab w:val="num" w:pos="1081"/>
        </w:tabs>
        <w:ind w:left="1081" w:hanging="360"/>
      </w:pPr>
    </w:lvl>
    <w:lvl w:ilvl="2" w:tplc="0409001B">
      <w:start w:val="1"/>
      <w:numFmt w:val="lowerRoman"/>
      <w:lvlText w:val="%3."/>
      <w:lvlJc w:val="right"/>
      <w:pPr>
        <w:tabs>
          <w:tab w:val="num" w:pos="1801"/>
        </w:tabs>
        <w:ind w:left="1801" w:hanging="180"/>
      </w:pPr>
    </w:lvl>
    <w:lvl w:ilvl="3" w:tplc="0409000F">
      <w:start w:val="1"/>
      <w:numFmt w:val="decimal"/>
      <w:lvlText w:val="%4."/>
      <w:lvlJc w:val="left"/>
      <w:pPr>
        <w:tabs>
          <w:tab w:val="num" w:pos="2521"/>
        </w:tabs>
        <w:ind w:left="2521" w:hanging="360"/>
      </w:pPr>
    </w:lvl>
    <w:lvl w:ilvl="4" w:tplc="04090019">
      <w:start w:val="1"/>
      <w:numFmt w:val="lowerLetter"/>
      <w:lvlText w:val="%5."/>
      <w:lvlJc w:val="left"/>
      <w:pPr>
        <w:tabs>
          <w:tab w:val="num" w:pos="3241"/>
        </w:tabs>
        <w:ind w:left="3241" w:hanging="360"/>
      </w:pPr>
    </w:lvl>
    <w:lvl w:ilvl="5" w:tplc="0409001B">
      <w:start w:val="1"/>
      <w:numFmt w:val="lowerRoman"/>
      <w:lvlText w:val="%6."/>
      <w:lvlJc w:val="right"/>
      <w:pPr>
        <w:tabs>
          <w:tab w:val="num" w:pos="3961"/>
        </w:tabs>
        <w:ind w:left="3961" w:hanging="180"/>
      </w:pPr>
    </w:lvl>
    <w:lvl w:ilvl="6" w:tplc="0409000F">
      <w:start w:val="1"/>
      <w:numFmt w:val="decimal"/>
      <w:lvlText w:val="%7."/>
      <w:lvlJc w:val="left"/>
      <w:pPr>
        <w:tabs>
          <w:tab w:val="num" w:pos="4681"/>
        </w:tabs>
        <w:ind w:left="4681" w:hanging="360"/>
      </w:pPr>
    </w:lvl>
    <w:lvl w:ilvl="7" w:tplc="04090019">
      <w:start w:val="1"/>
      <w:numFmt w:val="lowerLetter"/>
      <w:lvlText w:val="%8."/>
      <w:lvlJc w:val="left"/>
      <w:pPr>
        <w:tabs>
          <w:tab w:val="num" w:pos="5401"/>
        </w:tabs>
        <w:ind w:left="5401" w:hanging="360"/>
      </w:pPr>
    </w:lvl>
    <w:lvl w:ilvl="8" w:tplc="0409001B">
      <w:start w:val="1"/>
      <w:numFmt w:val="lowerRoman"/>
      <w:lvlText w:val="%9."/>
      <w:lvlJc w:val="right"/>
      <w:pPr>
        <w:tabs>
          <w:tab w:val="num" w:pos="6121"/>
        </w:tabs>
        <w:ind w:left="6121" w:hanging="180"/>
      </w:pPr>
    </w:lvl>
  </w:abstractNum>
  <w:abstractNum w:abstractNumId="5" w15:restartNumberingAfterBreak="0">
    <w:nsid w:val="35F77D6F"/>
    <w:multiLevelType w:val="hybridMultilevel"/>
    <w:tmpl w:val="BF908A52"/>
    <w:lvl w:ilvl="0" w:tplc="25C41AC8">
      <w:start w:val="8"/>
      <w:numFmt w:val="decimal"/>
      <w:lvlText w:val="%1."/>
      <w:lvlJc w:val="left"/>
      <w:pPr>
        <w:tabs>
          <w:tab w:val="num" w:pos="450"/>
        </w:tabs>
        <w:ind w:left="450" w:hanging="360"/>
      </w:pPr>
      <w:rPr>
        <w:rFonts w:hint="default"/>
      </w:rPr>
    </w:lvl>
    <w:lvl w:ilvl="1" w:tplc="04090019">
      <w:start w:val="1"/>
      <w:numFmt w:val="lowerLetter"/>
      <w:lvlText w:val="%2."/>
      <w:lvlJc w:val="left"/>
      <w:pPr>
        <w:tabs>
          <w:tab w:val="num" w:pos="1081"/>
        </w:tabs>
        <w:ind w:left="1081" w:hanging="360"/>
      </w:pPr>
    </w:lvl>
    <w:lvl w:ilvl="2" w:tplc="0409001B">
      <w:start w:val="1"/>
      <w:numFmt w:val="lowerRoman"/>
      <w:lvlText w:val="%3."/>
      <w:lvlJc w:val="right"/>
      <w:pPr>
        <w:tabs>
          <w:tab w:val="num" w:pos="1801"/>
        </w:tabs>
        <w:ind w:left="1801" w:hanging="180"/>
      </w:pPr>
    </w:lvl>
    <w:lvl w:ilvl="3" w:tplc="0409000F">
      <w:start w:val="1"/>
      <w:numFmt w:val="decimal"/>
      <w:lvlText w:val="%4."/>
      <w:lvlJc w:val="left"/>
      <w:pPr>
        <w:tabs>
          <w:tab w:val="num" w:pos="2521"/>
        </w:tabs>
        <w:ind w:left="2521" w:hanging="360"/>
      </w:pPr>
    </w:lvl>
    <w:lvl w:ilvl="4" w:tplc="04090019">
      <w:start w:val="1"/>
      <w:numFmt w:val="lowerLetter"/>
      <w:lvlText w:val="%5."/>
      <w:lvlJc w:val="left"/>
      <w:pPr>
        <w:tabs>
          <w:tab w:val="num" w:pos="3241"/>
        </w:tabs>
        <w:ind w:left="3241" w:hanging="360"/>
      </w:pPr>
    </w:lvl>
    <w:lvl w:ilvl="5" w:tplc="0409001B">
      <w:start w:val="1"/>
      <w:numFmt w:val="lowerRoman"/>
      <w:lvlText w:val="%6."/>
      <w:lvlJc w:val="right"/>
      <w:pPr>
        <w:tabs>
          <w:tab w:val="num" w:pos="3961"/>
        </w:tabs>
        <w:ind w:left="3961" w:hanging="180"/>
      </w:pPr>
    </w:lvl>
    <w:lvl w:ilvl="6" w:tplc="0409000F">
      <w:start w:val="1"/>
      <w:numFmt w:val="decimal"/>
      <w:lvlText w:val="%7."/>
      <w:lvlJc w:val="left"/>
      <w:pPr>
        <w:tabs>
          <w:tab w:val="num" w:pos="4681"/>
        </w:tabs>
        <w:ind w:left="4681" w:hanging="360"/>
      </w:pPr>
    </w:lvl>
    <w:lvl w:ilvl="7" w:tplc="04090019">
      <w:start w:val="1"/>
      <w:numFmt w:val="lowerLetter"/>
      <w:lvlText w:val="%8."/>
      <w:lvlJc w:val="left"/>
      <w:pPr>
        <w:tabs>
          <w:tab w:val="num" w:pos="5401"/>
        </w:tabs>
        <w:ind w:left="5401" w:hanging="360"/>
      </w:pPr>
    </w:lvl>
    <w:lvl w:ilvl="8" w:tplc="0409001B">
      <w:start w:val="1"/>
      <w:numFmt w:val="lowerRoman"/>
      <w:lvlText w:val="%9."/>
      <w:lvlJc w:val="right"/>
      <w:pPr>
        <w:tabs>
          <w:tab w:val="num" w:pos="6121"/>
        </w:tabs>
        <w:ind w:left="6121" w:hanging="180"/>
      </w:pPr>
    </w:lvl>
  </w:abstractNum>
  <w:abstractNum w:abstractNumId="6" w15:restartNumberingAfterBreak="0">
    <w:nsid w:val="6C664DF5"/>
    <w:multiLevelType w:val="hybridMultilevel"/>
    <w:tmpl w:val="4B7E7C60"/>
    <w:lvl w:ilvl="0" w:tplc="0409000F">
      <w:start w:val="1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6D22768E"/>
    <w:multiLevelType w:val="hybridMultilevel"/>
    <w:tmpl w:val="A0B0FE14"/>
    <w:lvl w:ilvl="0" w:tplc="E3A6DBD2">
      <w:start w:val="2"/>
      <w:numFmt w:val="upp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7C941D8E"/>
    <w:multiLevelType w:val="hybridMultilevel"/>
    <w:tmpl w:val="64544DAA"/>
    <w:lvl w:ilvl="0" w:tplc="69568F0C">
      <w:start w:val="12"/>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7FAA01C1"/>
    <w:multiLevelType w:val="hybridMultilevel"/>
    <w:tmpl w:val="715A1228"/>
    <w:lvl w:ilvl="0" w:tplc="0409000F">
      <w:start w:val="1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8"/>
  </w:num>
  <w:num w:numId="2">
    <w:abstractNumId w:val="6"/>
  </w:num>
  <w:num w:numId="3">
    <w:abstractNumId w:val="9"/>
  </w:num>
  <w:num w:numId="4">
    <w:abstractNumId w:val="0"/>
  </w:num>
  <w:num w:numId="5">
    <w:abstractNumId w:val="4"/>
  </w:num>
  <w:num w:numId="6">
    <w:abstractNumId w:val="3"/>
  </w:num>
  <w:num w:numId="7">
    <w:abstractNumId w:val="1"/>
  </w:num>
  <w:num w:numId="8">
    <w:abstractNumId w:val="2"/>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F72"/>
    <w:rsid w:val="00001C94"/>
    <w:rsid w:val="000262BA"/>
    <w:rsid w:val="000416C6"/>
    <w:rsid w:val="00051CB0"/>
    <w:rsid w:val="00067E83"/>
    <w:rsid w:val="00076E74"/>
    <w:rsid w:val="00096C49"/>
    <w:rsid w:val="000A3796"/>
    <w:rsid w:val="000B3FD1"/>
    <w:rsid w:val="000C7F97"/>
    <w:rsid w:val="000E6F48"/>
    <w:rsid w:val="000E7C23"/>
    <w:rsid w:val="00105454"/>
    <w:rsid w:val="00113AE5"/>
    <w:rsid w:val="00115C92"/>
    <w:rsid w:val="00134B48"/>
    <w:rsid w:val="001452E3"/>
    <w:rsid w:val="0015332A"/>
    <w:rsid w:val="001550E3"/>
    <w:rsid w:val="00156716"/>
    <w:rsid w:val="00167A50"/>
    <w:rsid w:val="00177353"/>
    <w:rsid w:val="00180F32"/>
    <w:rsid w:val="00187F26"/>
    <w:rsid w:val="001A323A"/>
    <w:rsid w:val="001E603B"/>
    <w:rsid w:val="00205751"/>
    <w:rsid w:val="002135C1"/>
    <w:rsid w:val="00214BB3"/>
    <w:rsid w:val="00220A3F"/>
    <w:rsid w:val="00232498"/>
    <w:rsid w:val="00235C5C"/>
    <w:rsid w:val="00235E47"/>
    <w:rsid w:val="00243333"/>
    <w:rsid w:val="00243941"/>
    <w:rsid w:val="00252F6F"/>
    <w:rsid w:val="00253586"/>
    <w:rsid w:val="0027337A"/>
    <w:rsid w:val="00274252"/>
    <w:rsid w:val="00286D99"/>
    <w:rsid w:val="00291CF2"/>
    <w:rsid w:val="002A1F80"/>
    <w:rsid w:val="002A7DE1"/>
    <w:rsid w:val="002D4E0C"/>
    <w:rsid w:val="002E2CF0"/>
    <w:rsid w:val="002E6035"/>
    <w:rsid w:val="002E63E9"/>
    <w:rsid w:val="002F0389"/>
    <w:rsid w:val="00302B3D"/>
    <w:rsid w:val="003134D9"/>
    <w:rsid w:val="00313E05"/>
    <w:rsid w:val="00317CD7"/>
    <w:rsid w:val="003409F4"/>
    <w:rsid w:val="003443BE"/>
    <w:rsid w:val="003524CA"/>
    <w:rsid w:val="0035711F"/>
    <w:rsid w:val="003656B7"/>
    <w:rsid w:val="003747F0"/>
    <w:rsid w:val="00380862"/>
    <w:rsid w:val="003840D9"/>
    <w:rsid w:val="00395065"/>
    <w:rsid w:val="0039635C"/>
    <w:rsid w:val="00396AC7"/>
    <w:rsid w:val="003A6820"/>
    <w:rsid w:val="003A6B0D"/>
    <w:rsid w:val="003A6F74"/>
    <w:rsid w:val="003B1CF1"/>
    <w:rsid w:val="003B7423"/>
    <w:rsid w:val="003C1078"/>
    <w:rsid w:val="003D3F74"/>
    <w:rsid w:val="003D4165"/>
    <w:rsid w:val="003F0748"/>
    <w:rsid w:val="003F481C"/>
    <w:rsid w:val="003F60C9"/>
    <w:rsid w:val="00401C55"/>
    <w:rsid w:val="00402914"/>
    <w:rsid w:val="00411170"/>
    <w:rsid w:val="00422AE4"/>
    <w:rsid w:val="00433E5F"/>
    <w:rsid w:val="00443193"/>
    <w:rsid w:val="00454E46"/>
    <w:rsid w:val="00472CBC"/>
    <w:rsid w:val="00482DA6"/>
    <w:rsid w:val="00483FA3"/>
    <w:rsid w:val="0048692C"/>
    <w:rsid w:val="004A46F0"/>
    <w:rsid w:val="004B2B47"/>
    <w:rsid w:val="00501248"/>
    <w:rsid w:val="00502C88"/>
    <w:rsid w:val="005078D4"/>
    <w:rsid w:val="00512C44"/>
    <w:rsid w:val="00517357"/>
    <w:rsid w:val="00517874"/>
    <w:rsid w:val="005201A2"/>
    <w:rsid w:val="00523D76"/>
    <w:rsid w:val="00525BD9"/>
    <w:rsid w:val="00530C3B"/>
    <w:rsid w:val="005332D1"/>
    <w:rsid w:val="00537848"/>
    <w:rsid w:val="00543D82"/>
    <w:rsid w:val="00552FB9"/>
    <w:rsid w:val="00574848"/>
    <w:rsid w:val="005940A5"/>
    <w:rsid w:val="005C191F"/>
    <w:rsid w:val="005C73C3"/>
    <w:rsid w:val="005D21A6"/>
    <w:rsid w:val="005D2C04"/>
    <w:rsid w:val="005D479E"/>
    <w:rsid w:val="005E6290"/>
    <w:rsid w:val="005E7FF6"/>
    <w:rsid w:val="005F4793"/>
    <w:rsid w:val="006003DB"/>
    <w:rsid w:val="006103C9"/>
    <w:rsid w:val="00617C95"/>
    <w:rsid w:val="00624364"/>
    <w:rsid w:val="00633E6E"/>
    <w:rsid w:val="0063456F"/>
    <w:rsid w:val="00645C4A"/>
    <w:rsid w:val="00654EB3"/>
    <w:rsid w:val="00656401"/>
    <w:rsid w:val="00684A3A"/>
    <w:rsid w:val="00691713"/>
    <w:rsid w:val="006A4795"/>
    <w:rsid w:val="006A4F5D"/>
    <w:rsid w:val="006C5094"/>
    <w:rsid w:val="006C60A2"/>
    <w:rsid w:val="006E3505"/>
    <w:rsid w:val="006F7387"/>
    <w:rsid w:val="00702239"/>
    <w:rsid w:val="00702E46"/>
    <w:rsid w:val="007061D7"/>
    <w:rsid w:val="00712D9B"/>
    <w:rsid w:val="007309CE"/>
    <w:rsid w:val="00735C2E"/>
    <w:rsid w:val="0073603D"/>
    <w:rsid w:val="00741371"/>
    <w:rsid w:val="00750AA6"/>
    <w:rsid w:val="007543B9"/>
    <w:rsid w:val="007671A1"/>
    <w:rsid w:val="00771AE6"/>
    <w:rsid w:val="00773597"/>
    <w:rsid w:val="007820C0"/>
    <w:rsid w:val="00792145"/>
    <w:rsid w:val="007943CE"/>
    <w:rsid w:val="00795FE5"/>
    <w:rsid w:val="007A2BC7"/>
    <w:rsid w:val="007A4E47"/>
    <w:rsid w:val="007A6AA1"/>
    <w:rsid w:val="007B2FAE"/>
    <w:rsid w:val="007B32E1"/>
    <w:rsid w:val="007B3D37"/>
    <w:rsid w:val="007D0471"/>
    <w:rsid w:val="007D2B68"/>
    <w:rsid w:val="007D646A"/>
    <w:rsid w:val="007E37D9"/>
    <w:rsid w:val="007F39F3"/>
    <w:rsid w:val="008002F0"/>
    <w:rsid w:val="00814A81"/>
    <w:rsid w:val="0082447F"/>
    <w:rsid w:val="008262ED"/>
    <w:rsid w:val="008358EF"/>
    <w:rsid w:val="00836732"/>
    <w:rsid w:val="00840F0F"/>
    <w:rsid w:val="00843E09"/>
    <w:rsid w:val="00860318"/>
    <w:rsid w:val="0087445B"/>
    <w:rsid w:val="0087699D"/>
    <w:rsid w:val="0088344B"/>
    <w:rsid w:val="0088410E"/>
    <w:rsid w:val="00884896"/>
    <w:rsid w:val="008A25FE"/>
    <w:rsid w:val="008B2E8D"/>
    <w:rsid w:val="008C13F2"/>
    <w:rsid w:val="008C1825"/>
    <w:rsid w:val="008C7E99"/>
    <w:rsid w:val="008D34F5"/>
    <w:rsid w:val="008F1611"/>
    <w:rsid w:val="008F2713"/>
    <w:rsid w:val="008F4F1A"/>
    <w:rsid w:val="009110A8"/>
    <w:rsid w:val="0091284C"/>
    <w:rsid w:val="00917B53"/>
    <w:rsid w:val="00935A78"/>
    <w:rsid w:val="009632D2"/>
    <w:rsid w:val="00967B10"/>
    <w:rsid w:val="00976EFA"/>
    <w:rsid w:val="009806E9"/>
    <w:rsid w:val="00995218"/>
    <w:rsid w:val="00996A0C"/>
    <w:rsid w:val="009A471A"/>
    <w:rsid w:val="009B0E57"/>
    <w:rsid w:val="009C0350"/>
    <w:rsid w:val="009C4E65"/>
    <w:rsid w:val="009C6A6D"/>
    <w:rsid w:val="009D13C9"/>
    <w:rsid w:val="009D420F"/>
    <w:rsid w:val="009E0D48"/>
    <w:rsid w:val="009F7409"/>
    <w:rsid w:val="009F7C95"/>
    <w:rsid w:val="00A01F34"/>
    <w:rsid w:val="00A06BB7"/>
    <w:rsid w:val="00A160C2"/>
    <w:rsid w:val="00A16840"/>
    <w:rsid w:val="00A30D44"/>
    <w:rsid w:val="00A41505"/>
    <w:rsid w:val="00A544B0"/>
    <w:rsid w:val="00A63685"/>
    <w:rsid w:val="00A828C0"/>
    <w:rsid w:val="00A82B2B"/>
    <w:rsid w:val="00A8462C"/>
    <w:rsid w:val="00A9176F"/>
    <w:rsid w:val="00A94568"/>
    <w:rsid w:val="00A950E3"/>
    <w:rsid w:val="00A974B4"/>
    <w:rsid w:val="00AA2CAE"/>
    <w:rsid w:val="00AE7C37"/>
    <w:rsid w:val="00AF2E26"/>
    <w:rsid w:val="00AF656A"/>
    <w:rsid w:val="00B00896"/>
    <w:rsid w:val="00B119E4"/>
    <w:rsid w:val="00B20B75"/>
    <w:rsid w:val="00B20BB0"/>
    <w:rsid w:val="00B30AB0"/>
    <w:rsid w:val="00B32C9A"/>
    <w:rsid w:val="00B36B96"/>
    <w:rsid w:val="00B43FDD"/>
    <w:rsid w:val="00B60801"/>
    <w:rsid w:val="00B81716"/>
    <w:rsid w:val="00B90AC7"/>
    <w:rsid w:val="00BA5536"/>
    <w:rsid w:val="00BB3AAA"/>
    <w:rsid w:val="00BC02F2"/>
    <w:rsid w:val="00BF027F"/>
    <w:rsid w:val="00BF06EC"/>
    <w:rsid w:val="00BF1A66"/>
    <w:rsid w:val="00BF6558"/>
    <w:rsid w:val="00BF68B1"/>
    <w:rsid w:val="00C0159D"/>
    <w:rsid w:val="00C20AE7"/>
    <w:rsid w:val="00C21DFD"/>
    <w:rsid w:val="00C279A3"/>
    <w:rsid w:val="00C330CD"/>
    <w:rsid w:val="00C41703"/>
    <w:rsid w:val="00C426E3"/>
    <w:rsid w:val="00C52FDC"/>
    <w:rsid w:val="00C54F72"/>
    <w:rsid w:val="00C566DB"/>
    <w:rsid w:val="00C57212"/>
    <w:rsid w:val="00C67366"/>
    <w:rsid w:val="00C762ED"/>
    <w:rsid w:val="00C80144"/>
    <w:rsid w:val="00C84E66"/>
    <w:rsid w:val="00C96396"/>
    <w:rsid w:val="00CC21C9"/>
    <w:rsid w:val="00CC4201"/>
    <w:rsid w:val="00CD70A0"/>
    <w:rsid w:val="00CE04EE"/>
    <w:rsid w:val="00CF2370"/>
    <w:rsid w:val="00D0008E"/>
    <w:rsid w:val="00D029B6"/>
    <w:rsid w:val="00D03815"/>
    <w:rsid w:val="00D60ADB"/>
    <w:rsid w:val="00D73EFF"/>
    <w:rsid w:val="00D752ED"/>
    <w:rsid w:val="00D75A64"/>
    <w:rsid w:val="00DA4BCE"/>
    <w:rsid w:val="00DB49E4"/>
    <w:rsid w:val="00DB793E"/>
    <w:rsid w:val="00DC1857"/>
    <w:rsid w:val="00DE15FA"/>
    <w:rsid w:val="00E14F6D"/>
    <w:rsid w:val="00E21F2B"/>
    <w:rsid w:val="00E2535C"/>
    <w:rsid w:val="00E25722"/>
    <w:rsid w:val="00E530A8"/>
    <w:rsid w:val="00E66D90"/>
    <w:rsid w:val="00E75DD6"/>
    <w:rsid w:val="00E83FCE"/>
    <w:rsid w:val="00E85F79"/>
    <w:rsid w:val="00EB3105"/>
    <w:rsid w:val="00EC0E12"/>
    <w:rsid w:val="00EC4E4C"/>
    <w:rsid w:val="00EF104A"/>
    <w:rsid w:val="00F018BC"/>
    <w:rsid w:val="00F05C6A"/>
    <w:rsid w:val="00F1179B"/>
    <w:rsid w:val="00F17987"/>
    <w:rsid w:val="00F249CA"/>
    <w:rsid w:val="00F30318"/>
    <w:rsid w:val="00F34F63"/>
    <w:rsid w:val="00F371B7"/>
    <w:rsid w:val="00F64708"/>
    <w:rsid w:val="00F77D9E"/>
    <w:rsid w:val="00F77F91"/>
    <w:rsid w:val="00F96977"/>
    <w:rsid w:val="00FA3E30"/>
    <w:rsid w:val="00FD6D38"/>
    <w:rsid w:val="00FF6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515F20B-2AA1-47D5-ABC5-D0AAF301C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008E"/>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Brc1">
    <w:name w:val="TxBr_c1"/>
    <w:basedOn w:val="Normal"/>
    <w:rsid w:val="00D0008E"/>
    <w:pPr>
      <w:spacing w:line="240" w:lineRule="atLeast"/>
      <w:jc w:val="center"/>
    </w:pPr>
  </w:style>
  <w:style w:type="paragraph" w:customStyle="1" w:styleId="TxBrp2">
    <w:name w:val="TxBr_p2"/>
    <w:basedOn w:val="Normal"/>
    <w:rsid w:val="00D0008E"/>
    <w:pPr>
      <w:tabs>
        <w:tab w:val="left" w:pos="708"/>
      </w:tabs>
      <w:spacing w:line="283" w:lineRule="atLeast"/>
      <w:ind w:left="407" w:hanging="708"/>
    </w:pPr>
  </w:style>
  <w:style w:type="paragraph" w:customStyle="1" w:styleId="TxBrp3">
    <w:name w:val="TxBr_p3"/>
    <w:basedOn w:val="Normal"/>
    <w:rsid w:val="00D0008E"/>
    <w:pPr>
      <w:spacing w:line="283" w:lineRule="atLeast"/>
      <w:ind w:left="407" w:hanging="708"/>
    </w:pPr>
  </w:style>
  <w:style w:type="paragraph" w:customStyle="1" w:styleId="TxBrp4">
    <w:name w:val="TxBr_p4"/>
    <w:basedOn w:val="Normal"/>
    <w:rsid w:val="00D0008E"/>
    <w:pPr>
      <w:spacing w:line="283" w:lineRule="atLeast"/>
      <w:ind w:left="407"/>
    </w:pPr>
  </w:style>
  <w:style w:type="paragraph" w:customStyle="1" w:styleId="TxBrp5">
    <w:name w:val="TxBr_p5"/>
    <w:basedOn w:val="Normal"/>
    <w:rsid w:val="00D0008E"/>
    <w:pPr>
      <w:tabs>
        <w:tab w:val="left" w:pos="204"/>
      </w:tabs>
      <w:spacing w:line="240" w:lineRule="atLeast"/>
    </w:pPr>
  </w:style>
  <w:style w:type="paragraph" w:customStyle="1" w:styleId="TxBrt6">
    <w:name w:val="TxBr_t6"/>
    <w:basedOn w:val="Normal"/>
    <w:rsid w:val="00D0008E"/>
    <w:pPr>
      <w:spacing w:line="578" w:lineRule="atLeast"/>
    </w:pPr>
  </w:style>
  <w:style w:type="paragraph" w:customStyle="1" w:styleId="TxBrp7">
    <w:name w:val="TxBr_p7"/>
    <w:basedOn w:val="Normal"/>
    <w:rsid w:val="00D0008E"/>
    <w:pPr>
      <w:tabs>
        <w:tab w:val="left" w:pos="731"/>
      </w:tabs>
      <w:spacing w:line="240" w:lineRule="atLeast"/>
      <w:ind w:left="384"/>
    </w:pPr>
  </w:style>
  <w:style w:type="paragraph" w:customStyle="1" w:styleId="TxBrp8">
    <w:name w:val="TxBr_p8"/>
    <w:basedOn w:val="Normal"/>
    <w:rsid w:val="00D0008E"/>
    <w:pPr>
      <w:tabs>
        <w:tab w:val="left" w:pos="708"/>
      </w:tabs>
      <w:spacing w:line="419" w:lineRule="atLeast"/>
      <w:ind w:left="407" w:hanging="708"/>
    </w:pPr>
  </w:style>
  <w:style w:type="paragraph" w:customStyle="1" w:styleId="TxBrp9">
    <w:name w:val="TxBr_p9"/>
    <w:basedOn w:val="Normal"/>
    <w:rsid w:val="00D0008E"/>
    <w:pPr>
      <w:tabs>
        <w:tab w:val="left" w:pos="1434"/>
      </w:tabs>
      <w:spacing w:line="240" w:lineRule="atLeast"/>
      <w:ind w:left="1435" w:hanging="726"/>
    </w:pPr>
  </w:style>
  <w:style w:type="paragraph" w:customStyle="1" w:styleId="TxBrc10">
    <w:name w:val="TxBr_c10"/>
    <w:basedOn w:val="Normal"/>
    <w:rsid w:val="00D0008E"/>
    <w:pPr>
      <w:spacing w:line="240" w:lineRule="atLeast"/>
      <w:jc w:val="center"/>
    </w:pPr>
  </w:style>
  <w:style w:type="paragraph" w:customStyle="1" w:styleId="TxBrp11">
    <w:name w:val="TxBr_p11"/>
    <w:basedOn w:val="Normal"/>
    <w:rsid w:val="00D0008E"/>
    <w:pPr>
      <w:tabs>
        <w:tab w:val="left" w:pos="1434"/>
        <w:tab w:val="left" w:pos="1791"/>
      </w:tabs>
      <w:spacing w:line="283" w:lineRule="atLeast"/>
      <w:ind w:left="1792" w:hanging="357"/>
    </w:pPr>
  </w:style>
  <w:style w:type="paragraph" w:customStyle="1" w:styleId="TxBrp12">
    <w:name w:val="TxBr_p12"/>
    <w:basedOn w:val="Normal"/>
    <w:rsid w:val="00D0008E"/>
    <w:pPr>
      <w:tabs>
        <w:tab w:val="left" w:pos="1791"/>
      </w:tabs>
      <w:spacing w:line="240" w:lineRule="atLeast"/>
      <w:ind w:left="676"/>
    </w:pPr>
  </w:style>
  <w:style w:type="paragraph" w:customStyle="1" w:styleId="TxBrp13">
    <w:name w:val="TxBr_p13"/>
    <w:basedOn w:val="Normal"/>
    <w:rsid w:val="00D0008E"/>
    <w:pPr>
      <w:tabs>
        <w:tab w:val="left" w:pos="204"/>
      </w:tabs>
      <w:spacing w:line="240" w:lineRule="atLeast"/>
    </w:pPr>
  </w:style>
  <w:style w:type="paragraph" w:customStyle="1" w:styleId="TxBrc14">
    <w:name w:val="TxBr_c14"/>
    <w:basedOn w:val="Normal"/>
    <w:rsid w:val="00D0008E"/>
    <w:pPr>
      <w:spacing w:line="240" w:lineRule="atLeast"/>
      <w:jc w:val="center"/>
    </w:pPr>
  </w:style>
  <w:style w:type="paragraph" w:customStyle="1" w:styleId="TxBrp15">
    <w:name w:val="TxBr_p15"/>
    <w:basedOn w:val="Normal"/>
    <w:rsid w:val="00D0008E"/>
    <w:pPr>
      <w:tabs>
        <w:tab w:val="left" w:pos="685"/>
      </w:tabs>
      <w:spacing w:line="240" w:lineRule="atLeast"/>
      <w:ind w:left="430"/>
    </w:pPr>
  </w:style>
  <w:style w:type="paragraph" w:customStyle="1" w:styleId="TxBrp16">
    <w:name w:val="TxBr_p16"/>
    <w:basedOn w:val="Normal"/>
    <w:rsid w:val="00D0008E"/>
    <w:pPr>
      <w:tabs>
        <w:tab w:val="left" w:pos="884"/>
      </w:tabs>
      <w:spacing w:line="277" w:lineRule="atLeast"/>
      <w:ind w:left="231"/>
    </w:pPr>
  </w:style>
  <w:style w:type="paragraph" w:customStyle="1" w:styleId="TxBrp17">
    <w:name w:val="TxBr_p17"/>
    <w:basedOn w:val="Normal"/>
    <w:rsid w:val="00D0008E"/>
    <w:pPr>
      <w:tabs>
        <w:tab w:val="left" w:pos="294"/>
      </w:tabs>
      <w:spacing w:line="283" w:lineRule="atLeast"/>
      <w:ind w:left="821" w:hanging="294"/>
    </w:pPr>
  </w:style>
  <w:style w:type="paragraph" w:customStyle="1" w:styleId="TxBrp18">
    <w:name w:val="TxBr_p18"/>
    <w:basedOn w:val="Normal"/>
    <w:rsid w:val="00D0008E"/>
    <w:pPr>
      <w:tabs>
        <w:tab w:val="left" w:pos="1502"/>
      </w:tabs>
      <w:spacing w:line="277" w:lineRule="atLeast"/>
      <w:ind w:left="387" w:hanging="1502"/>
    </w:pPr>
  </w:style>
  <w:style w:type="paragraph" w:customStyle="1" w:styleId="TxBrp19">
    <w:name w:val="TxBr_p19"/>
    <w:basedOn w:val="Normal"/>
    <w:rsid w:val="00D0008E"/>
    <w:pPr>
      <w:spacing w:line="277" w:lineRule="atLeast"/>
    </w:pPr>
  </w:style>
  <w:style w:type="paragraph" w:customStyle="1" w:styleId="TxBrp20">
    <w:name w:val="TxBr_p20"/>
    <w:basedOn w:val="Normal"/>
    <w:rsid w:val="00D0008E"/>
    <w:pPr>
      <w:tabs>
        <w:tab w:val="left" w:pos="3781"/>
      </w:tabs>
      <w:spacing w:line="240" w:lineRule="atLeast"/>
      <w:ind w:left="2666"/>
    </w:pPr>
  </w:style>
  <w:style w:type="paragraph" w:customStyle="1" w:styleId="TxBrc21">
    <w:name w:val="TxBr_c21"/>
    <w:basedOn w:val="Normal"/>
    <w:rsid w:val="00D0008E"/>
    <w:pPr>
      <w:spacing w:line="240" w:lineRule="atLeast"/>
      <w:jc w:val="center"/>
    </w:pPr>
  </w:style>
  <w:style w:type="paragraph" w:customStyle="1" w:styleId="TxBrc22">
    <w:name w:val="TxBr_c22"/>
    <w:basedOn w:val="Normal"/>
    <w:rsid w:val="00D0008E"/>
    <w:pPr>
      <w:spacing w:line="240" w:lineRule="atLeast"/>
      <w:jc w:val="center"/>
    </w:pPr>
  </w:style>
  <w:style w:type="paragraph" w:customStyle="1" w:styleId="TxBrc23">
    <w:name w:val="TxBr_c23"/>
    <w:basedOn w:val="Normal"/>
    <w:rsid w:val="00D0008E"/>
    <w:pPr>
      <w:spacing w:line="240" w:lineRule="atLeast"/>
      <w:jc w:val="center"/>
    </w:pPr>
  </w:style>
  <w:style w:type="paragraph" w:customStyle="1" w:styleId="TxBrc24">
    <w:name w:val="TxBr_c24"/>
    <w:basedOn w:val="Normal"/>
    <w:rsid w:val="00D0008E"/>
    <w:pPr>
      <w:spacing w:line="240" w:lineRule="atLeast"/>
      <w:jc w:val="center"/>
    </w:pPr>
  </w:style>
  <w:style w:type="paragraph" w:customStyle="1" w:styleId="TxBrp25">
    <w:name w:val="TxBr_p25"/>
    <w:basedOn w:val="Normal"/>
    <w:rsid w:val="00D0008E"/>
    <w:pPr>
      <w:tabs>
        <w:tab w:val="left" w:pos="204"/>
      </w:tabs>
      <w:spacing w:line="240" w:lineRule="atLeast"/>
    </w:pPr>
  </w:style>
  <w:style w:type="paragraph" w:customStyle="1" w:styleId="TxBrc26">
    <w:name w:val="TxBr_c26"/>
    <w:basedOn w:val="Normal"/>
    <w:rsid w:val="00D0008E"/>
    <w:pPr>
      <w:spacing w:line="240" w:lineRule="atLeast"/>
      <w:jc w:val="center"/>
    </w:pPr>
  </w:style>
  <w:style w:type="paragraph" w:customStyle="1" w:styleId="TxBrc27">
    <w:name w:val="TxBr_c27"/>
    <w:basedOn w:val="Normal"/>
    <w:rsid w:val="00D0008E"/>
    <w:pPr>
      <w:spacing w:line="240" w:lineRule="atLeast"/>
      <w:jc w:val="center"/>
    </w:pPr>
  </w:style>
  <w:style w:type="paragraph" w:customStyle="1" w:styleId="TxBrc7">
    <w:name w:val="TxBr_c7"/>
    <w:basedOn w:val="Normal"/>
    <w:rsid w:val="00D0008E"/>
    <w:pPr>
      <w:spacing w:line="240" w:lineRule="atLeast"/>
      <w:jc w:val="center"/>
    </w:pPr>
  </w:style>
  <w:style w:type="paragraph" w:customStyle="1" w:styleId="TxBrt10">
    <w:name w:val="TxBr_t10"/>
    <w:basedOn w:val="Normal"/>
    <w:rsid w:val="00D0008E"/>
    <w:pPr>
      <w:spacing w:line="566" w:lineRule="atLeast"/>
    </w:pPr>
  </w:style>
  <w:style w:type="paragraph" w:styleId="BodyTextIndent">
    <w:name w:val="Body Text Indent"/>
    <w:basedOn w:val="Normal"/>
    <w:rsid w:val="00D0008E"/>
    <w:pPr>
      <w:tabs>
        <w:tab w:val="left" w:pos="708"/>
        <w:tab w:val="left" w:pos="1428"/>
      </w:tabs>
      <w:ind w:left="708"/>
    </w:pPr>
  </w:style>
  <w:style w:type="paragraph" w:styleId="BodyTextIndent2">
    <w:name w:val="Body Text Indent 2"/>
    <w:basedOn w:val="Normal"/>
    <w:rsid w:val="000E6F48"/>
    <w:pPr>
      <w:spacing w:after="120" w:line="480" w:lineRule="auto"/>
      <w:ind w:left="360"/>
    </w:pPr>
  </w:style>
  <w:style w:type="paragraph" w:styleId="Footer">
    <w:name w:val="footer"/>
    <w:basedOn w:val="Normal"/>
    <w:rsid w:val="000A3796"/>
    <w:pPr>
      <w:tabs>
        <w:tab w:val="center" w:pos="4320"/>
        <w:tab w:val="right" w:pos="8640"/>
      </w:tabs>
    </w:pPr>
  </w:style>
  <w:style w:type="character" w:styleId="PageNumber">
    <w:name w:val="page number"/>
    <w:basedOn w:val="DefaultParagraphFont"/>
    <w:rsid w:val="000A3796"/>
  </w:style>
  <w:style w:type="paragraph" w:styleId="Header">
    <w:name w:val="header"/>
    <w:basedOn w:val="Normal"/>
    <w:rsid w:val="000A3796"/>
    <w:pPr>
      <w:tabs>
        <w:tab w:val="center" w:pos="4320"/>
        <w:tab w:val="right" w:pos="8640"/>
      </w:tabs>
    </w:pPr>
  </w:style>
  <w:style w:type="paragraph" w:styleId="BalloonText">
    <w:name w:val="Balloon Text"/>
    <w:basedOn w:val="Normal"/>
    <w:semiHidden/>
    <w:rsid w:val="003747F0"/>
    <w:rPr>
      <w:rFonts w:ascii="Tahoma" w:hAnsi="Tahoma" w:cs="Tahoma"/>
      <w:sz w:val="16"/>
      <w:szCs w:val="16"/>
    </w:rPr>
  </w:style>
  <w:style w:type="paragraph" w:styleId="DocumentMap">
    <w:name w:val="Document Map"/>
    <w:basedOn w:val="Normal"/>
    <w:semiHidden/>
    <w:rsid w:val="00AE7C37"/>
    <w:pPr>
      <w:shd w:val="clear" w:color="auto" w:fill="000080"/>
    </w:pPr>
    <w:rPr>
      <w:rFonts w:ascii="Tahoma" w:hAnsi="Tahoma" w:cs="Tahoma"/>
      <w:sz w:val="20"/>
      <w:szCs w:val="20"/>
    </w:rPr>
  </w:style>
  <w:style w:type="character" w:styleId="Hyperlink">
    <w:name w:val="Hyperlink"/>
    <w:rsid w:val="00D029B6"/>
    <w:rPr>
      <w:color w:val="0000FF"/>
      <w:u w:val="single"/>
    </w:rPr>
  </w:style>
  <w:style w:type="character" w:styleId="FollowedHyperlink">
    <w:name w:val="FollowedHyperlink"/>
    <w:rsid w:val="00167A50"/>
    <w:rPr>
      <w:color w:val="800080"/>
      <w:u w:val="single"/>
    </w:rPr>
  </w:style>
  <w:style w:type="character" w:styleId="CommentReference">
    <w:name w:val="annotation reference"/>
    <w:rsid w:val="003D4165"/>
    <w:rPr>
      <w:sz w:val="16"/>
      <w:szCs w:val="16"/>
    </w:rPr>
  </w:style>
  <w:style w:type="paragraph" w:styleId="CommentText">
    <w:name w:val="annotation text"/>
    <w:basedOn w:val="Normal"/>
    <w:link w:val="CommentTextChar"/>
    <w:rsid w:val="003D4165"/>
    <w:rPr>
      <w:sz w:val="20"/>
      <w:szCs w:val="20"/>
    </w:rPr>
  </w:style>
  <w:style w:type="character" w:customStyle="1" w:styleId="CommentTextChar">
    <w:name w:val="Comment Text Char"/>
    <w:basedOn w:val="DefaultParagraphFont"/>
    <w:link w:val="CommentText"/>
    <w:rsid w:val="003D4165"/>
  </w:style>
  <w:style w:type="paragraph" w:styleId="CommentSubject">
    <w:name w:val="annotation subject"/>
    <w:basedOn w:val="CommentText"/>
    <w:next w:val="CommentText"/>
    <w:link w:val="CommentSubjectChar"/>
    <w:rsid w:val="003D4165"/>
    <w:rPr>
      <w:b/>
      <w:bCs/>
    </w:rPr>
  </w:style>
  <w:style w:type="character" w:customStyle="1" w:styleId="CommentSubjectChar">
    <w:name w:val="Comment Subject Char"/>
    <w:link w:val="CommentSubject"/>
    <w:rsid w:val="003D41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696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naics4_999200.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pm.gov/policy-data-oversight/pay-leave/salaries-wages/salary-tables/pdf/2015/DCB_h.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s.gov/oes/current/naics4_541100.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ls.gov/oes/current/naics4_541100.htm" TargetMode="External"/><Relationship Id="rId4" Type="http://schemas.openxmlformats.org/officeDocument/2006/relationships/settings" Target="settings.xml"/><Relationship Id="rId9" Type="http://schemas.openxmlformats.org/officeDocument/2006/relationships/hyperlink" Target="http://www.bls.gov/news.release/pdf/ecec.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C3555-32FA-4A26-94E1-A56AA5226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4635</Words>
  <Characters>26422</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Supporting Statement for Reporting Requirements</vt:lpstr>
    </vt:vector>
  </TitlesOfParts>
  <Company>Department Of Interior</Company>
  <LinksUpToDate>false</LinksUpToDate>
  <CharactersWithSpaces>30996</CharactersWithSpaces>
  <SharedDoc>false</SharedDoc>
  <HLinks>
    <vt:vector size="54" baseType="variant">
      <vt:variant>
        <vt:i4>2490398</vt:i4>
      </vt:variant>
      <vt:variant>
        <vt:i4>26</vt:i4>
      </vt:variant>
      <vt:variant>
        <vt:i4>0</vt:i4>
      </vt:variant>
      <vt:variant>
        <vt:i4>5</vt:i4>
      </vt:variant>
      <vt:variant>
        <vt:lpwstr>http://www.opm.gov/oca/12tables/html/gs_h.asp</vt:lpwstr>
      </vt:variant>
      <vt:variant>
        <vt:lpwstr/>
      </vt:variant>
      <vt:variant>
        <vt:i4>1900546</vt:i4>
      </vt:variant>
      <vt:variant>
        <vt:i4>23</vt:i4>
      </vt:variant>
      <vt:variant>
        <vt:i4>0</vt:i4>
      </vt:variant>
      <vt:variant>
        <vt:i4>5</vt:i4>
      </vt:variant>
      <vt:variant>
        <vt:lpwstr>http://www.bls.gov/news.release/pdf/ecec.pdf</vt:lpwstr>
      </vt:variant>
      <vt:variant>
        <vt:lpwstr/>
      </vt:variant>
      <vt:variant>
        <vt:i4>3342423</vt:i4>
      </vt:variant>
      <vt:variant>
        <vt:i4>20</vt:i4>
      </vt:variant>
      <vt:variant>
        <vt:i4>0</vt:i4>
      </vt:variant>
      <vt:variant>
        <vt:i4>5</vt:i4>
      </vt:variant>
      <vt:variant>
        <vt:lpwstr>http://www.bls.gov/oes/current/naics4_541100.htm</vt:lpwstr>
      </vt:variant>
      <vt:variant>
        <vt:lpwstr>b23-0000</vt:lpwstr>
      </vt:variant>
      <vt:variant>
        <vt:i4>2490398</vt:i4>
      </vt:variant>
      <vt:variant>
        <vt:i4>17</vt:i4>
      </vt:variant>
      <vt:variant>
        <vt:i4>0</vt:i4>
      </vt:variant>
      <vt:variant>
        <vt:i4>5</vt:i4>
      </vt:variant>
      <vt:variant>
        <vt:lpwstr>http://www.opm.gov/oca/12tables/html/gs_h.asp</vt:lpwstr>
      </vt:variant>
      <vt:variant>
        <vt:lpwstr/>
      </vt:variant>
      <vt:variant>
        <vt:i4>1900546</vt:i4>
      </vt:variant>
      <vt:variant>
        <vt:i4>14</vt:i4>
      </vt:variant>
      <vt:variant>
        <vt:i4>0</vt:i4>
      </vt:variant>
      <vt:variant>
        <vt:i4>5</vt:i4>
      </vt:variant>
      <vt:variant>
        <vt:lpwstr>http://www.bls.gov/news.release/pdf/ecec.pdf</vt:lpwstr>
      </vt:variant>
      <vt:variant>
        <vt:lpwstr/>
      </vt:variant>
      <vt:variant>
        <vt:i4>2031657</vt:i4>
      </vt:variant>
      <vt:variant>
        <vt:i4>11</vt:i4>
      </vt:variant>
      <vt:variant>
        <vt:i4>0</vt:i4>
      </vt:variant>
      <vt:variant>
        <vt:i4>5</vt:i4>
      </vt:variant>
      <vt:variant>
        <vt:lpwstr>http://www.bls.gov/oes/current/naics4_541100.htm</vt:lpwstr>
      </vt:variant>
      <vt:variant>
        <vt:lpwstr>23-0000</vt:lpwstr>
      </vt:variant>
      <vt:variant>
        <vt:i4>3866643</vt:i4>
      </vt:variant>
      <vt:variant>
        <vt:i4>8</vt:i4>
      </vt:variant>
      <vt:variant>
        <vt:i4>0</vt:i4>
      </vt:variant>
      <vt:variant>
        <vt:i4>5</vt:i4>
      </vt:variant>
      <vt:variant>
        <vt:lpwstr>http://www.opm.gov/oca/12tables/html/RUS_h.asp</vt:lpwstr>
      </vt:variant>
      <vt:variant>
        <vt:lpwstr/>
      </vt:variant>
      <vt:variant>
        <vt:i4>1900546</vt:i4>
      </vt:variant>
      <vt:variant>
        <vt:i4>5</vt:i4>
      </vt:variant>
      <vt:variant>
        <vt:i4>0</vt:i4>
      </vt:variant>
      <vt:variant>
        <vt:i4>5</vt:i4>
      </vt:variant>
      <vt:variant>
        <vt:lpwstr>http://www.bls.gov/news.release/pdf/ecec.pdf</vt:lpwstr>
      </vt:variant>
      <vt:variant>
        <vt:lpwstr/>
      </vt:variant>
      <vt:variant>
        <vt:i4>1376302</vt:i4>
      </vt:variant>
      <vt:variant>
        <vt:i4>2</vt:i4>
      </vt:variant>
      <vt:variant>
        <vt:i4>0</vt:i4>
      </vt:variant>
      <vt:variant>
        <vt:i4>5</vt:i4>
      </vt:variant>
      <vt:variant>
        <vt:lpwstr>http://www.bls.gov/oes/current/naics4_999200.htm</vt:lpwstr>
      </vt:variant>
      <vt:variant>
        <vt:lpwstr>17-0000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Reporting Requirements</dc:title>
  <dc:creator>Office of Surface Mining</dc:creator>
  <cp:lastModifiedBy>John Trelease</cp:lastModifiedBy>
  <cp:revision>3</cp:revision>
  <cp:lastPrinted>2015-09-14T12:33:00Z</cp:lastPrinted>
  <dcterms:created xsi:type="dcterms:W3CDTF">2015-11-25T12:42:00Z</dcterms:created>
  <dcterms:modified xsi:type="dcterms:W3CDTF">2015-11-25T12:43:00Z</dcterms:modified>
</cp:coreProperties>
</file>