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3EB3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7EA27AEF" w14:textId="7A0CFA26" w:rsidR="00337894" w:rsidRPr="00DA5228"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DA5228">
        <w:rPr>
          <w:b/>
          <w:bCs/>
          <w:sz w:val="32"/>
          <w:szCs w:val="32"/>
        </w:rPr>
        <w:t>National Spatial Data Infrastructure –</w:t>
      </w:r>
    </w:p>
    <w:p w14:paraId="1C2C8A4F" w14:textId="3A532C3E" w:rsidR="009B359F" w:rsidRPr="00DA5228"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DA5228">
        <w:rPr>
          <w:b/>
          <w:bCs/>
          <w:sz w:val="32"/>
          <w:szCs w:val="32"/>
        </w:rPr>
        <w:t>Cooperative Agreements Program (NSDI CAP)</w:t>
      </w:r>
    </w:p>
    <w:p w14:paraId="73C2B9CF" w14:textId="77777777" w:rsidR="00295103" w:rsidRPr="00DA52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6CF332CC" w:rsidR="00295103" w:rsidRPr="00DA5228"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DA5228">
        <w:rPr>
          <w:b/>
          <w:bCs/>
          <w:sz w:val="32"/>
          <w:szCs w:val="32"/>
        </w:rPr>
        <w:t>OMB Control Number 10</w:t>
      </w:r>
      <w:r w:rsidR="00ED16B4" w:rsidRPr="00DA5228">
        <w:rPr>
          <w:b/>
          <w:bCs/>
          <w:sz w:val="32"/>
          <w:szCs w:val="32"/>
        </w:rPr>
        <w:t>28</w:t>
      </w:r>
      <w:r w:rsidRPr="00DA5228">
        <w:rPr>
          <w:b/>
          <w:bCs/>
          <w:sz w:val="32"/>
          <w:szCs w:val="32"/>
        </w:rPr>
        <w:t>-</w:t>
      </w:r>
      <w:r w:rsidR="00337894" w:rsidRPr="00DA5228">
        <w:rPr>
          <w:b/>
          <w:bCs/>
          <w:sz w:val="32"/>
          <w:szCs w:val="32"/>
        </w:rPr>
        <w:t>NEW</w:t>
      </w:r>
    </w:p>
    <w:p w14:paraId="2F6D3D4F" w14:textId="77777777" w:rsidR="009B359F" w:rsidRPr="00DA5228"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061BDE45"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00337894" w:rsidRPr="00337894">
        <w:rPr>
          <w:sz w:val="24"/>
          <w:szCs w:val="24"/>
        </w:rPr>
        <w:t>None</w:t>
      </w:r>
      <w:r w:rsidR="00097475" w:rsidRPr="00337894">
        <w:rPr>
          <w:sz w:val="24"/>
          <w:szCs w:val="24"/>
        </w:rPr>
        <w:t xml:space="preserve">  </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359046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3E7DC6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F970D5E" w14:textId="77777777" w:rsidR="00337894" w:rsidRPr="00337894"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37894">
        <w:rPr>
          <w:sz w:val="24"/>
          <w:szCs w:val="24"/>
        </w:rPr>
        <w:t>The Office of Management and Budget (OMB) established the Federal Geographic Data Committee (FGDC) in 1990 and rechartered the committee in its August 2002 revision of Circular A-16, “Coordination of Geographic Information and Related Spatial Data Activities.” The FGDC is a 19 member interagency committee composed of representatives from the Executive Office of the President, and Cabinet level and independent Federal agencies. The Assistant Secretary for Water and Science at the Department of the Interior chairs the FGDC, with the Deputy Director for the Office of E-Government and Information Technology at the Office of Management and Budget (OMB) as Vice-Chair. Numerous stakeholder organizations participate in FGDC activities representing the interests of state and local government, industry, and professional organizations.</w:t>
      </w:r>
    </w:p>
    <w:p w14:paraId="30E8888B" w14:textId="77777777" w:rsidR="00337894" w:rsidRPr="00337894"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CB1B94" w14:textId="2533AD9D" w:rsidR="00337894"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37894">
        <w:rPr>
          <w:sz w:val="24"/>
          <w:szCs w:val="24"/>
        </w:rPr>
        <w:t>The National Spatial Data Infrastructure Cooperative Agreements Program (NSDI CAP) is an annual program sponsored by the FGDC via the U.S. Geological Survey (USGS) to assist the geospatial data community through funding and other resources in implementing the components of the NSDI. The program is open to State, local and Tribal governments, academia, commercial, and non-profit organizations and provides small seed grants</w:t>
      </w:r>
      <w:r w:rsidR="00043C00" w:rsidRPr="00043C00">
        <w:t xml:space="preserve"> </w:t>
      </w:r>
      <w:r w:rsidR="00043C00">
        <w:rPr>
          <w:sz w:val="24"/>
          <w:szCs w:val="24"/>
        </w:rPr>
        <w:t>v</w:t>
      </w:r>
      <w:r w:rsidR="00043C00" w:rsidRPr="00043C00">
        <w:rPr>
          <w:sz w:val="24"/>
          <w:szCs w:val="24"/>
        </w:rPr>
        <w:t>ia cooperative agreements</w:t>
      </w:r>
      <w:r w:rsidRPr="00337894">
        <w:rPr>
          <w:sz w:val="24"/>
          <w:szCs w:val="24"/>
        </w:rPr>
        <w:t xml:space="preserve"> to initiate sustainable on-going NSDI implementations. </w:t>
      </w:r>
      <w:r w:rsidR="00043C00">
        <w:rPr>
          <w:sz w:val="24"/>
          <w:szCs w:val="24"/>
        </w:rPr>
        <w:t xml:space="preserve">The grants are considered cooperative agreements since they </w:t>
      </w:r>
      <w:r w:rsidRPr="00337894">
        <w:rPr>
          <w:sz w:val="24"/>
          <w:szCs w:val="24"/>
        </w:rPr>
        <w:t>emphasizes partnerships, collaboration and the leveraging of geospatial resources in achieving its goals. Since the funding level is limited, organizations must compete to be awarded funds. The objective is to develop a model incentives program that will encourage other Federal programs to take advantage of partnerships, leverage resources and provide a more efficient process for applicants.</w:t>
      </w:r>
    </w:p>
    <w:p w14:paraId="38A38E5F" w14:textId="77777777" w:rsidR="00337894" w:rsidRPr="00337894"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EDE9DE" w14:textId="77777777" w:rsidR="00337894"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37894">
        <w:rPr>
          <w:sz w:val="24"/>
          <w:szCs w:val="24"/>
        </w:rPr>
        <w:t>The authority for the program is listed in Section 6 of Executive Order 12906 of April 11, 1994.</w:t>
      </w:r>
    </w:p>
    <w:p w14:paraId="32CC215B" w14:textId="77777777" w:rsidR="00337894" w:rsidRPr="00337894"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999DE3" w14:textId="0E6645DA" w:rsidR="00337894"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37894">
        <w:rPr>
          <w:sz w:val="24"/>
          <w:szCs w:val="24"/>
        </w:rPr>
        <w:lastRenderedPageBreak/>
        <w:t>Sec. 6. Partnerships for Data Acquisition. The Secretary, under the auspices of the FGDC, and within 9 months of the date of this order, shall develop ,to the extent permitted by law, strategies for maximizing cooperative participatory efforts with State, local, and tribal governments, the private sector, and other nonfederal organizations to share costs and improve efficiencies of acquiring geospatial data consistent with this order.</w:t>
      </w:r>
    </w:p>
    <w:p w14:paraId="04927BAA" w14:textId="77777777" w:rsidR="00337894" w:rsidRPr="00337894"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029ED678" w14:textId="0C3E127F" w:rsidR="00337894"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37894">
        <w:rPr>
          <w:sz w:val="24"/>
          <w:szCs w:val="24"/>
        </w:rPr>
        <w:t xml:space="preserve">Circular A-16 - </w:t>
      </w:r>
      <w:r w:rsidRPr="00D631D4">
        <w:rPr>
          <w:sz w:val="24"/>
          <w:szCs w:val="24"/>
          <w:u w:val="single"/>
        </w:rPr>
        <w:t>http://www.whitehouse.gov/omb/circulars/a016/a016_rev.html</w:t>
      </w:r>
    </w:p>
    <w:p w14:paraId="7A3E8E2F" w14:textId="0A8FFCE8" w:rsidR="00082C1C"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37894">
        <w:rPr>
          <w:sz w:val="24"/>
          <w:szCs w:val="24"/>
        </w:rPr>
        <w:t xml:space="preserve">Executive Order 12906 - </w:t>
      </w:r>
      <w:r w:rsidRPr="00D631D4">
        <w:rPr>
          <w:sz w:val="24"/>
          <w:szCs w:val="24"/>
          <w:u w:val="single"/>
        </w:rPr>
        <w:t>http://govinfo.library.unt.edu/npr/library/direct/orders/20fa.html</w:t>
      </w: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23BCF6" w14:textId="1FB647B9" w:rsidR="00337894" w:rsidRPr="00337894" w:rsidRDefault="00337894" w:rsidP="00043C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From 1994 to 2013 </w:t>
      </w:r>
      <w:r w:rsidRPr="00337894">
        <w:rPr>
          <w:sz w:val="24"/>
          <w:szCs w:val="24"/>
        </w:rPr>
        <w:t>CAP grants play</w:t>
      </w:r>
      <w:r>
        <w:rPr>
          <w:sz w:val="24"/>
          <w:szCs w:val="24"/>
        </w:rPr>
        <w:t>ed</w:t>
      </w:r>
      <w:r w:rsidRPr="00337894">
        <w:rPr>
          <w:sz w:val="24"/>
          <w:szCs w:val="24"/>
        </w:rPr>
        <w:t xml:space="preserve"> a substantial role in promoting and disseminating the tenets of the NSDI to thousands of SDI advocates and practitioners. </w:t>
      </w:r>
      <w:r w:rsidR="00043C00">
        <w:rPr>
          <w:sz w:val="24"/>
          <w:szCs w:val="24"/>
        </w:rPr>
        <w:t>The program was cancelled and the collection ended in 2013 due to</w:t>
      </w:r>
      <w:r w:rsidR="00043C00" w:rsidRPr="00043C00">
        <w:rPr>
          <w:sz w:val="24"/>
          <w:szCs w:val="24"/>
        </w:rPr>
        <w:t xml:space="preserve"> sequestration budget impacts</w:t>
      </w:r>
      <w:r w:rsidR="00043C00">
        <w:rPr>
          <w:sz w:val="24"/>
          <w:szCs w:val="24"/>
        </w:rPr>
        <w:t xml:space="preserve"> when t</w:t>
      </w:r>
      <w:r w:rsidR="00043C00" w:rsidRPr="00043C00">
        <w:rPr>
          <w:sz w:val="24"/>
          <w:szCs w:val="24"/>
        </w:rPr>
        <w:t>he Federal funding porti</w:t>
      </w:r>
      <w:r w:rsidR="00043C00">
        <w:rPr>
          <w:sz w:val="24"/>
          <w:szCs w:val="24"/>
        </w:rPr>
        <w:t xml:space="preserve">on of this cost-share program was </w:t>
      </w:r>
      <w:r w:rsidR="00043C00" w:rsidRPr="00043C00">
        <w:rPr>
          <w:sz w:val="24"/>
          <w:szCs w:val="24"/>
        </w:rPr>
        <w:t xml:space="preserve">no longer available. </w:t>
      </w:r>
      <w:r w:rsidR="00043C00">
        <w:rPr>
          <w:sz w:val="24"/>
          <w:szCs w:val="24"/>
        </w:rPr>
        <w:t>T</w:t>
      </w:r>
      <w:r w:rsidRPr="00337894">
        <w:rPr>
          <w:sz w:val="24"/>
          <w:szCs w:val="24"/>
        </w:rPr>
        <w:t>he NSDI CAP awards created collaborations at all levels of government, developed an understanding of geospatial information in organizations and disciplines new to the NSDI, provided seed money to enable geospatial organizations to participate in the national effort to implement the NSDI, promoted the development of standardized metadata and importance of geospatial data standards in hundreds of organizations, and greatly expanded implementation of geospatial services on the Internet.</w:t>
      </w:r>
    </w:p>
    <w:p w14:paraId="2214FBDE" w14:textId="77777777" w:rsidR="00337894" w:rsidRPr="00337894"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0F269A" w14:textId="77777777" w:rsidR="00337894" w:rsidRPr="00337894"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37894">
        <w:rPr>
          <w:sz w:val="24"/>
          <w:szCs w:val="24"/>
        </w:rPr>
        <w:t xml:space="preserve">The NSDI CAP will use Standard Forms: 424 Application for Federal Assistance; 424A Budget Information Non-Construction Programs; and 424B Assurances Non-Construction Programs. Applicants will submit proposals for funding in response to Notices of Funding Availability (NOFA) that we publish on Grants.gov and our program web pages.  Applicants submit a proposal through Grants.gov.  We collect the following information under each (NOFA):   </w:t>
      </w:r>
    </w:p>
    <w:p w14:paraId="5248A934" w14:textId="77777777" w:rsidR="00337894" w:rsidRPr="00337894"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8FFFC4" w14:textId="77777777" w:rsidR="00337894" w:rsidRPr="00337894"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37894">
        <w:rPr>
          <w:sz w:val="24"/>
          <w:szCs w:val="24"/>
        </w:rPr>
        <w:t>(1) The project narrative including the primary investigator’s contact information, applicant organization, collaborating organizations, a short description of the project, the project scope, the technical approach, the skills and capabilities of the applicant, the commitment to the effort, and the organizational and managerial capacity.</w:t>
      </w:r>
    </w:p>
    <w:p w14:paraId="5753CDCE" w14:textId="77777777" w:rsidR="00337894" w:rsidRPr="00337894"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0B3C3D" w14:textId="77777777" w:rsidR="00337894" w:rsidRPr="00337894"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37894">
        <w:rPr>
          <w:sz w:val="24"/>
          <w:szCs w:val="24"/>
        </w:rPr>
        <w:t>(2) Proposed budget breakdown that provides detailed information about how the funds will be utilized.</w:t>
      </w:r>
    </w:p>
    <w:p w14:paraId="5B12D949" w14:textId="77777777" w:rsidR="00337894" w:rsidRPr="00337894"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269949" w14:textId="77777777" w:rsidR="00337894" w:rsidRPr="00337894"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37894">
        <w:rPr>
          <w:sz w:val="24"/>
          <w:szCs w:val="24"/>
        </w:rPr>
        <w:t xml:space="preserve">(3) Letters of support and/or commitment that are used to demonstrate the project’s viability. </w:t>
      </w:r>
    </w:p>
    <w:p w14:paraId="4CD38892" w14:textId="77777777" w:rsidR="00337894" w:rsidRPr="00337894"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2B170A" w14:textId="77777777" w:rsidR="00337894" w:rsidRPr="00337894"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37894">
        <w:rPr>
          <w:sz w:val="24"/>
          <w:szCs w:val="24"/>
        </w:rPr>
        <w:t xml:space="preserve">(4) Complete Standard Forms 424, 424a, and 424b </w:t>
      </w:r>
    </w:p>
    <w:p w14:paraId="121FB7D9" w14:textId="77777777" w:rsidR="00337894" w:rsidRPr="00337894"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5DCB1CF" w14:textId="77777777" w:rsidR="00337894" w:rsidRPr="00337894"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37894">
        <w:rPr>
          <w:sz w:val="24"/>
          <w:szCs w:val="24"/>
        </w:rPr>
        <w:t xml:space="preserve">The information collected above ensures that sufficient and relevant information is available to </w:t>
      </w:r>
      <w:r w:rsidRPr="00337894">
        <w:rPr>
          <w:sz w:val="24"/>
          <w:szCs w:val="24"/>
        </w:rPr>
        <w:lastRenderedPageBreak/>
        <w:t xml:space="preserve">evaluate and select proposals for funding.  A panel of technical experts will review each proposal to assess how well the proposed project addresses the requirements and priorities identified in the program’s authorizing legislation. The technical experts include the members from the FGDC, USGS geospatial liaisons, previous NSDI CAP recipients, and experts from the geospatial community. </w:t>
      </w:r>
    </w:p>
    <w:p w14:paraId="5E9E31F5" w14:textId="77777777" w:rsidR="00337894" w:rsidRPr="00337894"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5136B5" w14:textId="75EF6316" w:rsidR="00082C1C" w:rsidRDefault="00337894" w:rsidP="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37894">
        <w:rPr>
          <w:sz w:val="24"/>
          <w:szCs w:val="24"/>
        </w:rPr>
        <w:t>All awards granted under this program have a maximum reporting requirement of a final technical report (performance report and copies of all deliverables) and final financial statements due at the end of the performance period which is one year in length.</w:t>
      </w: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53748" w14:textId="619E0D29" w:rsidR="00082C1C" w:rsidRDefault="00337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37894">
        <w:rPr>
          <w:sz w:val="24"/>
          <w:szCs w:val="24"/>
        </w:rPr>
        <w:t>All application instructions and forms are available on the Internet for completion and printing of forms by the public.  Applicants submit a proposal electronically through Grants.gov.</w:t>
      </w:r>
      <w:r w:rsidR="00043C00">
        <w:rPr>
          <w:sz w:val="24"/>
          <w:szCs w:val="24"/>
        </w:rPr>
        <w:t xml:space="preserve"> Recipients of the awards w</w:t>
      </w:r>
      <w:r w:rsidR="00B321D5">
        <w:rPr>
          <w:sz w:val="24"/>
          <w:szCs w:val="24"/>
        </w:rPr>
        <w:t>ill</w:t>
      </w:r>
      <w:r w:rsidR="00043C00">
        <w:rPr>
          <w:sz w:val="24"/>
          <w:szCs w:val="24"/>
        </w:rPr>
        <w:t xml:space="preserve"> submit</w:t>
      </w:r>
      <w:r w:rsidR="000E1964">
        <w:rPr>
          <w:sz w:val="24"/>
          <w:szCs w:val="24"/>
        </w:rPr>
        <w:t xml:space="preserve"> via email</w:t>
      </w:r>
      <w:r w:rsidR="00043C00">
        <w:rPr>
          <w:sz w:val="24"/>
          <w:szCs w:val="24"/>
        </w:rPr>
        <w:t xml:space="preserve"> an interim and final report</w:t>
      </w:r>
      <w:r w:rsidR="000E1964">
        <w:rPr>
          <w:sz w:val="24"/>
          <w:szCs w:val="24"/>
        </w:rPr>
        <w:t xml:space="preserve"> that describes the results of their work.</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5971D8" w14:textId="0F4DC21F" w:rsidR="00082C1C" w:rsidRDefault="000259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5901">
        <w:rPr>
          <w:sz w:val="24"/>
          <w:szCs w:val="24"/>
        </w:rPr>
        <w:t>Due to the unique nature of this program and authorizing legislation no other Federal agency collects this information. No duplication will occur.</w:t>
      </w: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7C37721D" w:rsidR="00082C1C" w:rsidRDefault="000259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5901">
        <w:rPr>
          <w:sz w:val="24"/>
          <w:szCs w:val="24"/>
        </w:rPr>
        <w:t>We have made efforts to keep the amount of information requested to a minimum for all of our applicants.  The information has to be sufficient to fulfill the requirements of the authorizing statutes, as well as sufficient to make a competitive funding decision.  We do not believe the amount of information requested will have a significant impact on small entities, as they will be providing the minimum amount of information needed to compete for financial assistance under these programs.</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2635C1" w14:textId="48848238" w:rsidR="00082C1C" w:rsidRDefault="000259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5901">
        <w:rPr>
          <w:sz w:val="24"/>
          <w:szCs w:val="24"/>
        </w:rPr>
        <w:lastRenderedPageBreak/>
        <w:t>Failure to collect the information or collecting it or less frequently would prevent the Federal Geographic Data Committee (FGDC) from fulfilling responsibilities of this program as required by Section 6 of Executive Order 12906.</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2900F" w14:textId="66FC5EB1" w:rsidR="00082C1C" w:rsidRDefault="000259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5901">
        <w:rPr>
          <w:sz w:val="24"/>
          <w:szCs w:val="24"/>
        </w:rPr>
        <w:t>There are no circumstances that require us to collect the information in a manner inconsistent with OMB guidelines.</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w:t>
      </w:r>
      <w:r w:rsidRPr="00082C1C">
        <w:rPr>
          <w:b/>
          <w:sz w:val="24"/>
          <w:szCs w:val="24"/>
        </w:rPr>
        <w:lastRenderedPageBreak/>
        <w:t xml:space="preserve">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2DA868" w14:textId="076BBC62" w:rsidR="00025901" w:rsidRDefault="00DC30E5" w:rsidP="000259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W</w:t>
      </w:r>
      <w:r w:rsidR="00025901" w:rsidRPr="00025901">
        <w:rPr>
          <w:sz w:val="24"/>
          <w:szCs w:val="24"/>
        </w:rPr>
        <w:t xml:space="preserve">e solicited comments from several potential applicants about the clarity of instruction, the annual hour burden for the application materials and the interim and final reports. The respondents said that the application was clearly written, well organized, that the instructions were useful, and help was readily available. One respondent noted that the process was cumbersome but </w:t>
      </w:r>
      <w:r w:rsidR="000E1964">
        <w:rPr>
          <w:sz w:val="24"/>
          <w:szCs w:val="24"/>
        </w:rPr>
        <w:t>concluded that help will be available to applicants</w:t>
      </w:r>
      <w:r w:rsidR="00025901" w:rsidRPr="00025901">
        <w:rPr>
          <w:sz w:val="24"/>
          <w:szCs w:val="24"/>
        </w:rPr>
        <w:t>. The respondents estimated the hour burden for the application to be about 35-37 hours. We believe that this variance results from the time it took them to gather the information they need to prepare the narrative, write the narrative, and the time that it takes to receive supporting feedback (i.e.</w:t>
      </w:r>
      <w:r w:rsidR="00CB3EDF">
        <w:rPr>
          <w:sz w:val="24"/>
          <w:szCs w:val="24"/>
        </w:rPr>
        <w:t>,</w:t>
      </w:r>
      <w:r w:rsidR="00025901" w:rsidRPr="00025901">
        <w:rPr>
          <w:sz w:val="24"/>
          <w:szCs w:val="24"/>
        </w:rPr>
        <w:t xml:space="preserve"> peer-reviews and letters of support). Based on these results we adjusted our estimated burden time by averaging the times reported by the reviewers. The estimated burden to complete the proposal process is now approximately 35 hours</w:t>
      </w:r>
      <w:r w:rsidR="00763EDE">
        <w:rPr>
          <w:sz w:val="24"/>
          <w:szCs w:val="24"/>
        </w:rPr>
        <w:t xml:space="preserve"> and 10 </w:t>
      </w:r>
      <w:r w:rsidR="000E1964">
        <w:rPr>
          <w:sz w:val="24"/>
          <w:szCs w:val="24"/>
        </w:rPr>
        <w:t>hours to complete the interim and final reports</w:t>
      </w:r>
      <w:r w:rsidR="00025901" w:rsidRPr="00025901">
        <w:rPr>
          <w:sz w:val="24"/>
          <w:szCs w:val="24"/>
        </w:rPr>
        <w:t xml:space="preserve">. </w:t>
      </w:r>
      <w:bookmarkStart w:id="0" w:name="_GoBack"/>
      <w:bookmarkEnd w:id="0"/>
      <w:r w:rsidR="00025901" w:rsidRPr="00025901">
        <w:rPr>
          <w:sz w:val="24"/>
          <w:szCs w:val="24"/>
        </w:rPr>
        <w:t xml:space="preserve">The names and address of the people we contacted are listed in Table 1 below.   </w:t>
      </w:r>
    </w:p>
    <w:p w14:paraId="7907C7BB" w14:textId="3DA27FB7" w:rsidR="00453654" w:rsidRDefault="00025901" w:rsidP="000259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5901">
        <w:rPr>
          <w:sz w:val="24"/>
          <w:szCs w:val="24"/>
        </w:rPr>
        <w:t xml:space="preserve"> </w:t>
      </w:r>
    </w:p>
    <w:p w14:paraId="253343BE" w14:textId="0D0A249F" w:rsidR="00D631D4" w:rsidRPr="00AB56F4" w:rsidRDefault="000E1964" w:rsidP="00AB56F4">
      <w:pPr>
        <w:widowControl/>
        <w:autoSpaceDE/>
        <w:autoSpaceDN/>
        <w:adjustRightInd/>
        <w:ind w:left="360"/>
        <w:rPr>
          <w:sz w:val="24"/>
          <w:szCs w:val="24"/>
        </w:rPr>
      </w:pPr>
      <w:r w:rsidRPr="00AB56F4">
        <w:rPr>
          <w:sz w:val="24"/>
          <w:szCs w:val="24"/>
        </w:rPr>
        <w:t xml:space="preserve">The 60-day FRN was published 8/7/2015 at Volume 80 FR 47512. </w:t>
      </w:r>
      <w:r>
        <w:rPr>
          <w:sz w:val="24"/>
          <w:szCs w:val="24"/>
        </w:rPr>
        <w:t>No comments were received.</w:t>
      </w:r>
      <w:r w:rsidR="00D631D4" w:rsidRPr="00AB56F4">
        <w:rPr>
          <w:sz w:val="24"/>
          <w:szCs w:val="24"/>
        </w:rPr>
        <w:br w:type="page"/>
      </w:r>
    </w:p>
    <w:p w14:paraId="2A74AD99" w14:textId="50E61151" w:rsidR="00025901" w:rsidRPr="00025901" w:rsidRDefault="00025901" w:rsidP="00025901">
      <w:pPr>
        <w:rPr>
          <w:b/>
          <w:sz w:val="24"/>
          <w:szCs w:val="24"/>
        </w:rPr>
      </w:pPr>
      <w:r w:rsidRPr="00025901">
        <w:rPr>
          <w:b/>
          <w:sz w:val="24"/>
          <w:szCs w:val="24"/>
        </w:rPr>
        <w:lastRenderedPageBreak/>
        <w:t>Table 1. Individuals Contacted Outside the Agency</w:t>
      </w:r>
    </w:p>
    <w:p w14:paraId="593486A5" w14:textId="77777777" w:rsidR="00025901" w:rsidRPr="00025901" w:rsidRDefault="00025901" w:rsidP="00025901">
      <w:pPr>
        <w:rPr>
          <w:sz w:val="24"/>
          <w:szCs w:val="24"/>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4230"/>
      </w:tblGrid>
      <w:tr w:rsidR="00025901" w:rsidRPr="00025901" w14:paraId="2CBB9FE9" w14:textId="77777777" w:rsidTr="003A65B5">
        <w:tc>
          <w:tcPr>
            <w:tcW w:w="4410" w:type="dxa"/>
            <w:shd w:val="clear" w:color="auto" w:fill="auto"/>
            <w:vAlign w:val="center"/>
          </w:tcPr>
          <w:p w14:paraId="4F1E4D65" w14:textId="77777777" w:rsidR="00025901" w:rsidRPr="00025901" w:rsidRDefault="00025901" w:rsidP="00025901">
            <w:pPr>
              <w:widowControl/>
              <w:rPr>
                <w:color w:val="000000"/>
                <w:sz w:val="24"/>
                <w:szCs w:val="24"/>
              </w:rPr>
            </w:pPr>
            <w:r w:rsidRPr="00025901">
              <w:rPr>
                <w:color w:val="000000"/>
                <w:sz w:val="24"/>
                <w:szCs w:val="24"/>
              </w:rPr>
              <w:t xml:space="preserve">Dr. Diana Long </w:t>
            </w:r>
          </w:p>
          <w:p w14:paraId="588BF348" w14:textId="77777777" w:rsidR="00025901" w:rsidRPr="00025901" w:rsidRDefault="00025901" w:rsidP="00025901">
            <w:pPr>
              <w:widowControl/>
              <w:rPr>
                <w:color w:val="000000"/>
                <w:sz w:val="24"/>
                <w:szCs w:val="24"/>
              </w:rPr>
            </w:pPr>
            <w:r w:rsidRPr="00025901">
              <w:rPr>
                <w:color w:val="000000"/>
                <w:sz w:val="24"/>
                <w:szCs w:val="24"/>
              </w:rPr>
              <w:t>Director of Workforce Development</w:t>
            </w:r>
          </w:p>
          <w:p w14:paraId="0C00F7F6" w14:textId="77777777" w:rsidR="00025901" w:rsidRPr="00025901" w:rsidRDefault="00025901" w:rsidP="00025901">
            <w:pPr>
              <w:widowControl/>
              <w:rPr>
                <w:color w:val="000000"/>
                <w:sz w:val="24"/>
                <w:szCs w:val="24"/>
              </w:rPr>
            </w:pPr>
            <w:r w:rsidRPr="00025901">
              <w:rPr>
                <w:color w:val="000000"/>
                <w:sz w:val="24"/>
                <w:szCs w:val="24"/>
              </w:rPr>
              <w:t>Rahall Transportation Institute</w:t>
            </w:r>
          </w:p>
          <w:p w14:paraId="1C3553F0" w14:textId="77777777" w:rsidR="00025901" w:rsidRPr="00025901" w:rsidRDefault="00025901" w:rsidP="00025901">
            <w:pPr>
              <w:widowControl/>
              <w:rPr>
                <w:color w:val="000000"/>
                <w:sz w:val="24"/>
                <w:szCs w:val="24"/>
              </w:rPr>
            </w:pPr>
            <w:r w:rsidRPr="00025901">
              <w:rPr>
                <w:color w:val="000000"/>
                <w:sz w:val="24"/>
                <w:szCs w:val="24"/>
              </w:rPr>
              <w:t>P.O. Box 5425</w:t>
            </w:r>
          </w:p>
          <w:p w14:paraId="44E1E12C" w14:textId="77777777" w:rsidR="00025901" w:rsidRPr="00025901" w:rsidRDefault="00025901" w:rsidP="00025901">
            <w:pPr>
              <w:widowControl/>
              <w:rPr>
                <w:color w:val="000000"/>
                <w:sz w:val="24"/>
                <w:szCs w:val="24"/>
              </w:rPr>
            </w:pPr>
            <w:r w:rsidRPr="00025901">
              <w:rPr>
                <w:color w:val="000000"/>
                <w:sz w:val="24"/>
                <w:szCs w:val="24"/>
              </w:rPr>
              <w:t>Huntington, WV 25703-0425</w:t>
            </w:r>
          </w:p>
          <w:p w14:paraId="28883DA9" w14:textId="77777777" w:rsidR="00025901" w:rsidRPr="00025901" w:rsidRDefault="00025901" w:rsidP="00025901">
            <w:pPr>
              <w:widowControl/>
              <w:rPr>
                <w:color w:val="000000"/>
                <w:sz w:val="24"/>
                <w:szCs w:val="24"/>
              </w:rPr>
            </w:pPr>
            <w:r w:rsidRPr="00025901">
              <w:rPr>
                <w:color w:val="000000"/>
                <w:sz w:val="24"/>
                <w:szCs w:val="24"/>
              </w:rPr>
              <w:t xml:space="preserve">Phone: 304.542.3303  </w:t>
            </w:r>
          </w:p>
          <w:p w14:paraId="3ABA9868" w14:textId="2CDDF3AF" w:rsidR="00025901" w:rsidRDefault="00025901" w:rsidP="00025901">
            <w:pPr>
              <w:widowControl/>
              <w:rPr>
                <w:color w:val="000000"/>
                <w:sz w:val="24"/>
                <w:szCs w:val="24"/>
              </w:rPr>
            </w:pPr>
            <w:r w:rsidRPr="00025901">
              <w:rPr>
                <w:color w:val="000000"/>
                <w:sz w:val="24"/>
                <w:szCs w:val="24"/>
              </w:rPr>
              <w:t xml:space="preserve">Email </w:t>
            </w:r>
            <w:r w:rsidR="00D631D4" w:rsidRPr="00D631D4">
              <w:rPr>
                <w:color w:val="000000"/>
                <w:sz w:val="24"/>
                <w:szCs w:val="24"/>
              </w:rPr>
              <w:t>dlong@njrati.org</w:t>
            </w:r>
          </w:p>
          <w:p w14:paraId="0DB24CB9" w14:textId="77777777" w:rsidR="00D631D4" w:rsidRPr="00025901" w:rsidRDefault="00D631D4" w:rsidP="00025901">
            <w:pPr>
              <w:widowControl/>
              <w:rPr>
                <w:color w:val="000000"/>
                <w:sz w:val="24"/>
                <w:szCs w:val="24"/>
              </w:rPr>
            </w:pPr>
          </w:p>
        </w:tc>
        <w:tc>
          <w:tcPr>
            <w:tcW w:w="4230" w:type="dxa"/>
            <w:shd w:val="clear" w:color="auto" w:fill="auto"/>
          </w:tcPr>
          <w:p w14:paraId="0C35FDE6" w14:textId="77777777" w:rsidR="00025901" w:rsidRPr="00025901" w:rsidRDefault="00025901" w:rsidP="00025901">
            <w:pPr>
              <w:widowControl/>
              <w:ind w:left="342"/>
              <w:rPr>
                <w:color w:val="000000"/>
                <w:sz w:val="24"/>
                <w:szCs w:val="24"/>
              </w:rPr>
            </w:pPr>
            <w:r w:rsidRPr="00025901">
              <w:rPr>
                <w:color w:val="000000"/>
                <w:sz w:val="24"/>
                <w:szCs w:val="24"/>
              </w:rPr>
              <w:t>Mr. Keith T. Weber</w:t>
            </w:r>
          </w:p>
          <w:p w14:paraId="0E5A05DF" w14:textId="77777777" w:rsidR="00025901" w:rsidRPr="00025901" w:rsidRDefault="00025901" w:rsidP="00025901">
            <w:pPr>
              <w:widowControl/>
              <w:ind w:left="342"/>
              <w:rPr>
                <w:color w:val="000000"/>
                <w:sz w:val="24"/>
                <w:szCs w:val="24"/>
              </w:rPr>
            </w:pPr>
            <w:r w:rsidRPr="00025901">
              <w:rPr>
                <w:color w:val="000000"/>
                <w:sz w:val="24"/>
                <w:szCs w:val="24"/>
              </w:rPr>
              <w:t>GIS Center</w:t>
            </w:r>
          </w:p>
          <w:p w14:paraId="2EA00106" w14:textId="77777777" w:rsidR="00025901" w:rsidRPr="00025901" w:rsidRDefault="00025901" w:rsidP="00025901">
            <w:pPr>
              <w:widowControl/>
              <w:ind w:left="342"/>
              <w:rPr>
                <w:color w:val="000000"/>
                <w:sz w:val="24"/>
                <w:szCs w:val="24"/>
              </w:rPr>
            </w:pPr>
            <w:r w:rsidRPr="00025901">
              <w:rPr>
                <w:color w:val="000000"/>
                <w:sz w:val="24"/>
                <w:szCs w:val="24"/>
              </w:rPr>
              <w:t>Idaho State University</w:t>
            </w:r>
          </w:p>
          <w:p w14:paraId="4B5401D2" w14:textId="77777777" w:rsidR="00025901" w:rsidRPr="00025901" w:rsidRDefault="00025901" w:rsidP="00025901">
            <w:pPr>
              <w:widowControl/>
              <w:ind w:left="342"/>
              <w:rPr>
                <w:color w:val="000000"/>
                <w:sz w:val="24"/>
                <w:szCs w:val="24"/>
              </w:rPr>
            </w:pPr>
            <w:r w:rsidRPr="00025901">
              <w:rPr>
                <w:color w:val="000000"/>
                <w:sz w:val="24"/>
                <w:szCs w:val="24"/>
              </w:rPr>
              <w:t>921 South 8th Ave., Stop 8104</w:t>
            </w:r>
          </w:p>
          <w:p w14:paraId="70D6A96E" w14:textId="77777777" w:rsidR="00025901" w:rsidRPr="00025901" w:rsidRDefault="00025901" w:rsidP="00025901">
            <w:pPr>
              <w:widowControl/>
              <w:ind w:left="342"/>
              <w:rPr>
                <w:color w:val="000000"/>
                <w:sz w:val="24"/>
                <w:szCs w:val="24"/>
              </w:rPr>
            </w:pPr>
            <w:r w:rsidRPr="00025901">
              <w:rPr>
                <w:color w:val="000000"/>
                <w:sz w:val="24"/>
                <w:szCs w:val="24"/>
              </w:rPr>
              <w:t>Pocatello ID 83209-8104</w:t>
            </w:r>
          </w:p>
          <w:p w14:paraId="762EE07C" w14:textId="77777777" w:rsidR="00025901" w:rsidRPr="00025901" w:rsidRDefault="00025901" w:rsidP="00025901">
            <w:pPr>
              <w:widowControl/>
              <w:ind w:left="342"/>
              <w:rPr>
                <w:color w:val="000000"/>
                <w:sz w:val="24"/>
                <w:szCs w:val="24"/>
              </w:rPr>
            </w:pPr>
            <w:r w:rsidRPr="00025901">
              <w:rPr>
                <w:color w:val="000000"/>
                <w:sz w:val="24"/>
                <w:szCs w:val="24"/>
              </w:rPr>
              <w:t>Phone: 208-282-2757</w:t>
            </w:r>
          </w:p>
          <w:p w14:paraId="7F66FB17" w14:textId="44116DEB" w:rsidR="00025901" w:rsidRPr="00025901" w:rsidRDefault="00025901" w:rsidP="00025901">
            <w:pPr>
              <w:widowControl/>
              <w:ind w:left="342"/>
              <w:rPr>
                <w:color w:val="000000"/>
                <w:sz w:val="24"/>
                <w:szCs w:val="24"/>
              </w:rPr>
            </w:pPr>
            <w:r w:rsidRPr="00025901">
              <w:rPr>
                <w:color w:val="000000"/>
                <w:sz w:val="24"/>
                <w:szCs w:val="24"/>
              </w:rPr>
              <w:t xml:space="preserve">Email: </w:t>
            </w:r>
            <w:r w:rsidR="00D631D4" w:rsidRPr="00D631D4">
              <w:rPr>
                <w:color w:val="000000"/>
                <w:sz w:val="24"/>
                <w:szCs w:val="24"/>
              </w:rPr>
              <w:t>webekeit@isu.edu</w:t>
            </w:r>
            <w:r w:rsidR="00D631D4">
              <w:rPr>
                <w:color w:val="000000"/>
                <w:sz w:val="24"/>
                <w:szCs w:val="24"/>
              </w:rPr>
              <w:t xml:space="preserve"> </w:t>
            </w:r>
          </w:p>
        </w:tc>
      </w:tr>
      <w:tr w:rsidR="00025901" w:rsidRPr="00025901" w14:paraId="561A2CEE" w14:textId="77777777" w:rsidTr="003A65B5">
        <w:trPr>
          <w:trHeight w:val="1718"/>
        </w:trPr>
        <w:tc>
          <w:tcPr>
            <w:tcW w:w="4410" w:type="dxa"/>
            <w:shd w:val="clear" w:color="auto" w:fill="auto"/>
            <w:vAlign w:val="center"/>
          </w:tcPr>
          <w:p w14:paraId="34F27F8B" w14:textId="77777777" w:rsidR="00025901" w:rsidRPr="00025901" w:rsidRDefault="00025901" w:rsidP="00025901">
            <w:pPr>
              <w:rPr>
                <w:sz w:val="24"/>
                <w:szCs w:val="24"/>
              </w:rPr>
            </w:pPr>
            <w:r w:rsidRPr="00025901">
              <w:rPr>
                <w:sz w:val="24"/>
                <w:szCs w:val="24"/>
              </w:rPr>
              <w:t>Ms Amy Esnard</w:t>
            </w:r>
          </w:p>
          <w:p w14:paraId="5613BF6D" w14:textId="77777777" w:rsidR="00025901" w:rsidRPr="00025901" w:rsidRDefault="00025901" w:rsidP="00025901">
            <w:pPr>
              <w:rPr>
                <w:sz w:val="24"/>
                <w:szCs w:val="24"/>
              </w:rPr>
            </w:pPr>
            <w:r w:rsidRPr="00025901">
              <w:rPr>
                <w:sz w:val="24"/>
                <w:szCs w:val="24"/>
              </w:rPr>
              <w:t>GIS Manager - Multnomah County IT</w:t>
            </w:r>
          </w:p>
          <w:p w14:paraId="4EA3A0D3" w14:textId="77777777" w:rsidR="00025901" w:rsidRPr="00025901" w:rsidRDefault="00025901" w:rsidP="00025901">
            <w:pPr>
              <w:rPr>
                <w:sz w:val="24"/>
                <w:szCs w:val="24"/>
              </w:rPr>
            </w:pPr>
            <w:r w:rsidRPr="00025901">
              <w:rPr>
                <w:sz w:val="24"/>
                <w:szCs w:val="24"/>
              </w:rPr>
              <w:t>501 SE Hawthorne, suite 400</w:t>
            </w:r>
          </w:p>
          <w:p w14:paraId="765D8B87" w14:textId="77777777" w:rsidR="00025901" w:rsidRPr="00025901" w:rsidRDefault="00025901" w:rsidP="00025901">
            <w:pPr>
              <w:rPr>
                <w:sz w:val="24"/>
                <w:szCs w:val="24"/>
              </w:rPr>
            </w:pPr>
            <w:r w:rsidRPr="00025901">
              <w:rPr>
                <w:sz w:val="24"/>
                <w:szCs w:val="24"/>
              </w:rPr>
              <w:t>Portland, Oregon 97214</w:t>
            </w:r>
          </w:p>
          <w:p w14:paraId="7DBEA1D1" w14:textId="77777777" w:rsidR="00025901" w:rsidRPr="00025901" w:rsidRDefault="00025901" w:rsidP="00025901">
            <w:pPr>
              <w:rPr>
                <w:sz w:val="24"/>
                <w:szCs w:val="24"/>
              </w:rPr>
            </w:pPr>
            <w:r w:rsidRPr="00025901">
              <w:rPr>
                <w:sz w:val="24"/>
                <w:szCs w:val="24"/>
              </w:rPr>
              <w:t>Phone: 503-752-5601</w:t>
            </w:r>
          </w:p>
          <w:p w14:paraId="7FB6A768" w14:textId="59DA449C" w:rsidR="00025901" w:rsidRDefault="00025901" w:rsidP="00025901">
            <w:pPr>
              <w:rPr>
                <w:sz w:val="24"/>
                <w:szCs w:val="24"/>
              </w:rPr>
            </w:pPr>
            <w:r w:rsidRPr="00025901">
              <w:rPr>
                <w:sz w:val="24"/>
                <w:szCs w:val="24"/>
              </w:rPr>
              <w:t>Email:</w:t>
            </w:r>
            <w:r w:rsidR="00D631D4">
              <w:rPr>
                <w:sz w:val="24"/>
                <w:szCs w:val="24"/>
              </w:rPr>
              <w:t xml:space="preserve"> </w:t>
            </w:r>
            <w:r w:rsidRPr="00025901">
              <w:rPr>
                <w:sz w:val="24"/>
                <w:szCs w:val="24"/>
              </w:rPr>
              <w:t>amy.esnard@multco.us</w:t>
            </w:r>
            <w:r w:rsidR="00D631D4">
              <w:rPr>
                <w:sz w:val="24"/>
                <w:szCs w:val="24"/>
              </w:rPr>
              <w:t xml:space="preserve"> </w:t>
            </w:r>
          </w:p>
          <w:p w14:paraId="1552BECC" w14:textId="77777777" w:rsidR="00D631D4" w:rsidRPr="00025901" w:rsidRDefault="00D631D4" w:rsidP="00025901">
            <w:pPr>
              <w:rPr>
                <w:sz w:val="24"/>
                <w:szCs w:val="24"/>
              </w:rPr>
            </w:pPr>
          </w:p>
        </w:tc>
        <w:tc>
          <w:tcPr>
            <w:tcW w:w="4230" w:type="dxa"/>
            <w:shd w:val="clear" w:color="auto" w:fill="auto"/>
          </w:tcPr>
          <w:p w14:paraId="226E52EE" w14:textId="77777777" w:rsidR="00025901" w:rsidRPr="00025901" w:rsidRDefault="00025901" w:rsidP="00025901">
            <w:pPr>
              <w:ind w:left="342" w:hanging="18"/>
              <w:rPr>
                <w:sz w:val="24"/>
                <w:szCs w:val="24"/>
              </w:rPr>
            </w:pPr>
          </w:p>
          <w:p w14:paraId="7D703E7D" w14:textId="77777777" w:rsidR="00025901" w:rsidRPr="00025901" w:rsidRDefault="00025901" w:rsidP="00025901">
            <w:pPr>
              <w:ind w:left="342" w:hanging="18"/>
              <w:rPr>
                <w:sz w:val="24"/>
                <w:szCs w:val="24"/>
              </w:rPr>
            </w:pPr>
          </w:p>
        </w:tc>
      </w:tr>
    </w:tbl>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7007CF" w14:textId="265F40B5" w:rsidR="00082C1C" w:rsidRDefault="000259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5901">
        <w:rPr>
          <w:sz w:val="24"/>
          <w:szCs w:val="24"/>
        </w:rPr>
        <w:t xml:space="preserve">We </w:t>
      </w:r>
      <w:r w:rsidR="000E1964">
        <w:rPr>
          <w:sz w:val="24"/>
          <w:szCs w:val="24"/>
        </w:rPr>
        <w:t>will</w:t>
      </w:r>
      <w:r w:rsidR="000E1964" w:rsidRPr="00025901">
        <w:rPr>
          <w:sz w:val="24"/>
          <w:szCs w:val="24"/>
        </w:rPr>
        <w:t xml:space="preserve"> </w:t>
      </w:r>
      <w:r w:rsidRPr="00025901">
        <w:rPr>
          <w:sz w:val="24"/>
          <w:szCs w:val="24"/>
        </w:rPr>
        <w:t xml:space="preserve">not provide any payments or gifts other than the remuneration of grantees.  The grantees </w:t>
      </w:r>
      <w:r w:rsidR="00CB3EDF">
        <w:rPr>
          <w:sz w:val="24"/>
          <w:szCs w:val="24"/>
        </w:rPr>
        <w:t xml:space="preserve">will </w:t>
      </w:r>
      <w:r w:rsidRPr="00025901">
        <w:rPr>
          <w:sz w:val="24"/>
          <w:szCs w:val="24"/>
        </w:rPr>
        <w:t>receive on average $38,000 per award.</w:t>
      </w: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AA533BF" w14:textId="77F0ACB5" w:rsidR="00082C1C" w:rsidRDefault="000259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25901">
        <w:rPr>
          <w:sz w:val="24"/>
          <w:szCs w:val="24"/>
        </w:rPr>
        <w:t>No assurance of confidentiality is given to respondents.</w:t>
      </w: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6CBACB" w14:textId="1BD33816" w:rsidR="00082C1C" w:rsidRDefault="000259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5901">
        <w:rPr>
          <w:sz w:val="24"/>
          <w:szCs w:val="24"/>
        </w:rPr>
        <w:t>NSDI CAP proposal does not ask information of a sensitive nature.</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w:t>
      </w:r>
      <w:r w:rsidRPr="00082C1C">
        <w:rPr>
          <w:b/>
          <w:sz w:val="24"/>
          <w:szCs w:val="24"/>
        </w:rPr>
        <w:lastRenderedPageBreak/>
        <w:t>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56D0C729"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92FE23" w14:textId="2F73D7FD" w:rsidR="00082C1C" w:rsidRDefault="000259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5901">
        <w:rPr>
          <w:sz w:val="24"/>
          <w:szCs w:val="24"/>
        </w:rPr>
        <w:t xml:space="preserve">Our estimates are based on our own knowledge plus the outreach described in item 8. We expect to receive approximately 60 applications, taking each applicant approximately 35 hours to complete, totaling 2,100 annual burden hours. We anticipate awarding an average of 25 grants per year. The 25 award recipients are required to submit 2 reports: an interim 6 months after the start of the project and a final report on or before 90 working days after the expiration of the agreement. We estimate that it will take approximately 5 hours to complete a report.  Therefore, the annual burden for report preparation is 250 hours. We estimate that the total annual burden for this collection will be 2,350 hours.   </w:t>
      </w:r>
    </w:p>
    <w:p w14:paraId="0A31C9EC" w14:textId="77777777" w:rsidR="00025901" w:rsidRDefault="000259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98B4EA" w14:textId="77777777" w:rsidR="00025901" w:rsidRPr="00025901" w:rsidRDefault="00025901" w:rsidP="00025901">
      <w:pPr>
        <w:tabs>
          <w:tab w:val="left" w:pos="1230"/>
        </w:tabs>
        <w:spacing w:after="120"/>
        <w:rPr>
          <w:sz w:val="24"/>
          <w:szCs w:val="24"/>
        </w:rPr>
      </w:pPr>
      <w:r w:rsidRPr="00025901">
        <w:rPr>
          <w:b/>
          <w:sz w:val="24"/>
          <w:szCs w:val="24"/>
        </w:rPr>
        <w:t>Table 2.  Estimated annual hour burden of the collection of information</w:t>
      </w:r>
    </w:p>
    <w:tbl>
      <w:tblPr>
        <w:tblpPr w:leftFromText="180" w:rightFromText="180" w:vertAnchor="text" w:horzAnchor="margin" w:tblpY="1"/>
        <w:tblOverlap w:val="neve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0"/>
        <w:gridCol w:w="2430"/>
        <w:gridCol w:w="1980"/>
        <w:gridCol w:w="2340"/>
      </w:tblGrid>
      <w:tr w:rsidR="00025901" w:rsidRPr="00025901" w14:paraId="78BE2D7C" w14:textId="77777777" w:rsidTr="007D01DB">
        <w:trPr>
          <w:trHeight w:val="953"/>
        </w:trPr>
        <w:tc>
          <w:tcPr>
            <w:tcW w:w="2520" w:type="dxa"/>
            <w:tcBorders>
              <w:bottom w:val="single" w:sz="8" w:space="0" w:color="auto"/>
            </w:tcBorders>
            <w:shd w:val="clear" w:color="auto" w:fill="E0E0E0"/>
            <w:vAlign w:val="center"/>
          </w:tcPr>
          <w:p w14:paraId="1E6140C3" w14:textId="77777777" w:rsidR="00025901" w:rsidRPr="00025901" w:rsidRDefault="00025901" w:rsidP="001034AF">
            <w:pPr>
              <w:widowControl/>
              <w:jc w:val="center"/>
              <w:rPr>
                <w:b/>
                <w:bCs/>
                <w:sz w:val="24"/>
                <w:szCs w:val="24"/>
                <w:lang w:val="en-CA"/>
              </w:rPr>
            </w:pPr>
            <w:r w:rsidRPr="00025901">
              <w:rPr>
                <w:b/>
                <w:bCs/>
                <w:sz w:val="24"/>
                <w:szCs w:val="24"/>
                <w:lang w:val="en-CA"/>
              </w:rPr>
              <w:t>Activity</w:t>
            </w:r>
          </w:p>
        </w:tc>
        <w:tc>
          <w:tcPr>
            <w:tcW w:w="2430" w:type="dxa"/>
            <w:tcBorders>
              <w:bottom w:val="single" w:sz="8" w:space="0" w:color="auto"/>
            </w:tcBorders>
            <w:shd w:val="clear" w:color="auto" w:fill="E0E0E0"/>
            <w:vAlign w:val="center"/>
          </w:tcPr>
          <w:p w14:paraId="13FE44D2" w14:textId="77777777" w:rsidR="00025901" w:rsidRPr="00025901" w:rsidRDefault="00025901" w:rsidP="001034AF">
            <w:pPr>
              <w:widowControl/>
              <w:jc w:val="center"/>
              <w:rPr>
                <w:b/>
                <w:bCs/>
                <w:sz w:val="24"/>
                <w:szCs w:val="24"/>
                <w:lang w:val="en-CA"/>
              </w:rPr>
            </w:pPr>
            <w:r w:rsidRPr="00025901">
              <w:rPr>
                <w:b/>
                <w:bCs/>
                <w:sz w:val="24"/>
                <w:szCs w:val="24"/>
                <w:lang w:val="en-CA"/>
              </w:rPr>
              <w:t xml:space="preserve">Number of Annual </w:t>
            </w:r>
          </w:p>
          <w:p w14:paraId="1CA2E6CF" w14:textId="77777777" w:rsidR="00025901" w:rsidRPr="00025901" w:rsidRDefault="00025901" w:rsidP="001034AF">
            <w:pPr>
              <w:widowControl/>
              <w:jc w:val="center"/>
              <w:rPr>
                <w:b/>
                <w:bCs/>
                <w:sz w:val="24"/>
                <w:szCs w:val="24"/>
                <w:lang w:val="en-CA"/>
              </w:rPr>
            </w:pPr>
            <w:r w:rsidRPr="00025901">
              <w:rPr>
                <w:b/>
                <w:bCs/>
                <w:sz w:val="24"/>
                <w:szCs w:val="24"/>
                <w:lang w:val="en-CA"/>
              </w:rPr>
              <w:t>Applications/Reports</w:t>
            </w:r>
          </w:p>
        </w:tc>
        <w:tc>
          <w:tcPr>
            <w:tcW w:w="1980" w:type="dxa"/>
            <w:tcBorders>
              <w:bottom w:val="single" w:sz="8" w:space="0" w:color="auto"/>
            </w:tcBorders>
            <w:shd w:val="clear" w:color="auto" w:fill="E0E0E0"/>
            <w:vAlign w:val="center"/>
          </w:tcPr>
          <w:p w14:paraId="307D67B8" w14:textId="77777777" w:rsidR="00025901" w:rsidRPr="00025901" w:rsidRDefault="00025901" w:rsidP="001034AF">
            <w:pPr>
              <w:widowControl/>
              <w:jc w:val="center"/>
              <w:rPr>
                <w:b/>
                <w:bCs/>
                <w:sz w:val="24"/>
                <w:szCs w:val="24"/>
                <w:lang w:val="en-CA"/>
              </w:rPr>
            </w:pPr>
            <w:r w:rsidRPr="00025901">
              <w:rPr>
                <w:b/>
                <w:bCs/>
                <w:sz w:val="24"/>
                <w:szCs w:val="24"/>
                <w:lang w:val="en-CA"/>
              </w:rPr>
              <w:t>Estimated Completion Time per Applicant</w:t>
            </w:r>
          </w:p>
        </w:tc>
        <w:tc>
          <w:tcPr>
            <w:tcW w:w="2340" w:type="dxa"/>
            <w:tcBorders>
              <w:bottom w:val="single" w:sz="8" w:space="0" w:color="auto"/>
            </w:tcBorders>
            <w:shd w:val="clear" w:color="auto" w:fill="E0E0E0"/>
            <w:vAlign w:val="center"/>
          </w:tcPr>
          <w:p w14:paraId="5600D37C" w14:textId="77777777" w:rsidR="00025901" w:rsidRPr="00025901" w:rsidRDefault="00025901" w:rsidP="001034AF">
            <w:pPr>
              <w:widowControl/>
              <w:jc w:val="center"/>
              <w:rPr>
                <w:b/>
                <w:bCs/>
                <w:sz w:val="24"/>
                <w:szCs w:val="24"/>
                <w:lang w:val="en-CA"/>
              </w:rPr>
            </w:pPr>
            <w:r w:rsidRPr="00025901">
              <w:rPr>
                <w:b/>
                <w:bCs/>
                <w:sz w:val="24"/>
                <w:szCs w:val="24"/>
                <w:lang w:val="en-CA"/>
              </w:rPr>
              <w:t>Total Annual Burden Hours</w:t>
            </w:r>
          </w:p>
        </w:tc>
      </w:tr>
      <w:tr w:rsidR="00025901" w:rsidRPr="00025901" w14:paraId="59D38FF6" w14:textId="77777777" w:rsidTr="007D01DB">
        <w:trPr>
          <w:trHeight w:val="357"/>
        </w:trPr>
        <w:tc>
          <w:tcPr>
            <w:tcW w:w="2520" w:type="dxa"/>
            <w:tcBorders>
              <w:top w:val="single" w:sz="8" w:space="0" w:color="auto"/>
              <w:left w:val="single" w:sz="8" w:space="0" w:color="auto"/>
              <w:bottom w:val="single" w:sz="8" w:space="0" w:color="auto"/>
              <w:right w:val="single" w:sz="8" w:space="0" w:color="auto"/>
            </w:tcBorders>
            <w:shd w:val="clear" w:color="000000" w:fill="auto"/>
            <w:vAlign w:val="center"/>
          </w:tcPr>
          <w:p w14:paraId="32E3EE66" w14:textId="77777777" w:rsidR="00025901" w:rsidRPr="00025901" w:rsidRDefault="00025901" w:rsidP="001034AF">
            <w:pPr>
              <w:widowControl/>
              <w:rPr>
                <w:sz w:val="24"/>
                <w:szCs w:val="24"/>
                <w:lang w:val="en-CA"/>
              </w:rPr>
            </w:pPr>
            <w:r w:rsidRPr="00025901">
              <w:rPr>
                <w:sz w:val="24"/>
                <w:szCs w:val="24"/>
                <w:lang w:val="en-CA"/>
              </w:rPr>
              <w:t>Narrative Preparation</w:t>
            </w:r>
          </w:p>
        </w:tc>
        <w:tc>
          <w:tcPr>
            <w:tcW w:w="2430" w:type="dxa"/>
            <w:tcBorders>
              <w:top w:val="single" w:sz="8" w:space="0" w:color="auto"/>
              <w:left w:val="single" w:sz="8" w:space="0" w:color="auto"/>
              <w:bottom w:val="single" w:sz="8" w:space="0" w:color="auto"/>
              <w:right w:val="single" w:sz="8" w:space="0" w:color="auto"/>
            </w:tcBorders>
            <w:shd w:val="clear" w:color="000000" w:fill="auto"/>
            <w:vAlign w:val="center"/>
          </w:tcPr>
          <w:p w14:paraId="6D3D9EBC" w14:textId="77777777" w:rsidR="00025901" w:rsidRPr="00025901" w:rsidRDefault="00025901" w:rsidP="001034AF">
            <w:pPr>
              <w:widowControl/>
              <w:jc w:val="center"/>
              <w:rPr>
                <w:sz w:val="24"/>
                <w:szCs w:val="24"/>
                <w:lang w:val="en-CA"/>
              </w:rPr>
            </w:pPr>
            <w:r w:rsidRPr="00025901">
              <w:rPr>
                <w:sz w:val="24"/>
                <w:szCs w:val="24"/>
                <w:lang w:val="en-CA"/>
              </w:rPr>
              <w:t>60</w:t>
            </w:r>
          </w:p>
        </w:tc>
        <w:tc>
          <w:tcPr>
            <w:tcW w:w="1980" w:type="dxa"/>
            <w:tcBorders>
              <w:top w:val="single" w:sz="8" w:space="0" w:color="auto"/>
              <w:left w:val="single" w:sz="8" w:space="0" w:color="auto"/>
              <w:bottom w:val="single" w:sz="8" w:space="0" w:color="auto"/>
              <w:right w:val="single" w:sz="8" w:space="0" w:color="auto"/>
            </w:tcBorders>
            <w:shd w:val="clear" w:color="000000" w:fill="auto"/>
            <w:vAlign w:val="center"/>
          </w:tcPr>
          <w:p w14:paraId="6FFF90C6" w14:textId="77777777" w:rsidR="00025901" w:rsidRPr="00025901" w:rsidRDefault="00025901" w:rsidP="001034AF">
            <w:pPr>
              <w:widowControl/>
              <w:jc w:val="center"/>
              <w:rPr>
                <w:sz w:val="24"/>
                <w:szCs w:val="24"/>
                <w:lang w:val="en-CA"/>
              </w:rPr>
            </w:pPr>
            <w:r w:rsidRPr="00025901">
              <w:rPr>
                <w:sz w:val="24"/>
                <w:szCs w:val="24"/>
                <w:lang w:val="en-CA"/>
              </w:rPr>
              <w:t>35</w:t>
            </w:r>
            <w:r w:rsidRPr="00025901">
              <w:rPr>
                <w:b/>
                <w:bCs/>
                <w:sz w:val="24"/>
                <w:szCs w:val="24"/>
                <w:lang w:val="en-CA"/>
              </w:rPr>
              <w:t xml:space="preserve"> </w:t>
            </w:r>
            <w:r w:rsidRPr="00025901">
              <w:rPr>
                <w:bCs/>
                <w:sz w:val="24"/>
                <w:szCs w:val="24"/>
                <w:lang w:val="en-CA"/>
              </w:rPr>
              <w:t>hours</w:t>
            </w:r>
          </w:p>
        </w:tc>
        <w:tc>
          <w:tcPr>
            <w:tcW w:w="2340" w:type="dxa"/>
            <w:tcBorders>
              <w:top w:val="single" w:sz="8" w:space="0" w:color="auto"/>
              <w:left w:val="single" w:sz="8" w:space="0" w:color="auto"/>
              <w:bottom w:val="single" w:sz="8" w:space="0" w:color="auto"/>
              <w:right w:val="single" w:sz="8" w:space="0" w:color="auto"/>
            </w:tcBorders>
            <w:shd w:val="clear" w:color="000000" w:fill="auto"/>
            <w:vAlign w:val="center"/>
          </w:tcPr>
          <w:p w14:paraId="3A61ED26" w14:textId="77777777" w:rsidR="00025901" w:rsidRPr="00025901" w:rsidRDefault="00025901" w:rsidP="001034AF">
            <w:pPr>
              <w:widowControl/>
              <w:jc w:val="center"/>
              <w:rPr>
                <w:sz w:val="24"/>
                <w:szCs w:val="24"/>
                <w:lang w:val="en-CA"/>
              </w:rPr>
            </w:pPr>
            <w:r w:rsidRPr="00025901">
              <w:rPr>
                <w:sz w:val="24"/>
                <w:szCs w:val="24"/>
                <w:lang w:val="en-CA"/>
              </w:rPr>
              <w:t>2,100</w:t>
            </w:r>
          </w:p>
        </w:tc>
      </w:tr>
      <w:tr w:rsidR="00025901" w:rsidRPr="00025901" w14:paraId="3A9E01BB" w14:textId="77777777" w:rsidTr="007D01DB">
        <w:trPr>
          <w:trHeight w:val="520"/>
        </w:trPr>
        <w:tc>
          <w:tcPr>
            <w:tcW w:w="2520" w:type="dxa"/>
            <w:tcBorders>
              <w:top w:val="single" w:sz="8" w:space="0" w:color="auto"/>
              <w:left w:val="single" w:sz="8" w:space="0" w:color="auto"/>
              <w:bottom w:val="single" w:sz="8" w:space="0" w:color="auto"/>
              <w:right w:val="single" w:sz="8" w:space="0" w:color="auto"/>
            </w:tcBorders>
            <w:shd w:val="clear" w:color="000000" w:fill="auto"/>
            <w:vAlign w:val="center"/>
          </w:tcPr>
          <w:p w14:paraId="49BF799A" w14:textId="7F21575B" w:rsidR="00025901" w:rsidRPr="00025901" w:rsidRDefault="00025901" w:rsidP="001034AF">
            <w:pPr>
              <w:widowControl/>
              <w:rPr>
                <w:sz w:val="24"/>
                <w:szCs w:val="24"/>
                <w:lang w:val="en-CA"/>
              </w:rPr>
            </w:pPr>
            <w:r w:rsidRPr="00025901">
              <w:rPr>
                <w:sz w:val="24"/>
                <w:szCs w:val="24"/>
                <w:lang w:val="en-CA"/>
              </w:rPr>
              <w:t>Interim Reports</w:t>
            </w:r>
          </w:p>
        </w:tc>
        <w:tc>
          <w:tcPr>
            <w:tcW w:w="2430" w:type="dxa"/>
            <w:tcBorders>
              <w:top w:val="single" w:sz="8" w:space="0" w:color="auto"/>
              <w:left w:val="single" w:sz="8" w:space="0" w:color="auto"/>
              <w:bottom w:val="single" w:sz="8" w:space="0" w:color="auto"/>
              <w:right w:val="single" w:sz="8" w:space="0" w:color="auto"/>
            </w:tcBorders>
            <w:shd w:val="clear" w:color="000000" w:fill="auto"/>
            <w:vAlign w:val="center"/>
          </w:tcPr>
          <w:p w14:paraId="51A8E2DC" w14:textId="3D213A4A" w:rsidR="00025901" w:rsidRPr="00025901" w:rsidRDefault="0002338D" w:rsidP="001034AF">
            <w:pPr>
              <w:widowControl/>
              <w:jc w:val="center"/>
              <w:rPr>
                <w:sz w:val="24"/>
                <w:szCs w:val="24"/>
                <w:lang w:val="en-CA"/>
              </w:rPr>
            </w:pPr>
            <w:r>
              <w:rPr>
                <w:sz w:val="24"/>
                <w:szCs w:val="24"/>
                <w:lang w:val="en-CA"/>
              </w:rPr>
              <w:t>2</w:t>
            </w:r>
            <w:r w:rsidR="00025901" w:rsidRPr="00025901">
              <w:rPr>
                <w:sz w:val="24"/>
                <w:szCs w:val="24"/>
                <w:lang w:val="en-CA"/>
              </w:rPr>
              <w:t>5</w:t>
            </w:r>
          </w:p>
        </w:tc>
        <w:tc>
          <w:tcPr>
            <w:tcW w:w="1980" w:type="dxa"/>
            <w:tcBorders>
              <w:top w:val="single" w:sz="8" w:space="0" w:color="auto"/>
              <w:left w:val="single" w:sz="8" w:space="0" w:color="auto"/>
              <w:bottom w:val="single" w:sz="8" w:space="0" w:color="auto"/>
              <w:right w:val="single" w:sz="8" w:space="0" w:color="auto"/>
            </w:tcBorders>
            <w:shd w:val="clear" w:color="000000" w:fill="auto"/>
            <w:vAlign w:val="center"/>
          </w:tcPr>
          <w:p w14:paraId="5713EA90" w14:textId="77777777" w:rsidR="00025901" w:rsidRPr="00025901" w:rsidRDefault="00025901" w:rsidP="001034AF">
            <w:pPr>
              <w:widowControl/>
              <w:jc w:val="center"/>
              <w:rPr>
                <w:sz w:val="24"/>
                <w:szCs w:val="24"/>
                <w:lang w:val="en-CA"/>
              </w:rPr>
            </w:pPr>
            <w:r w:rsidRPr="00025901">
              <w:rPr>
                <w:sz w:val="24"/>
                <w:szCs w:val="24"/>
                <w:lang w:val="en-CA"/>
              </w:rPr>
              <w:t>5</w:t>
            </w:r>
            <w:r w:rsidRPr="00025901">
              <w:rPr>
                <w:b/>
                <w:bCs/>
                <w:sz w:val="24"/>
                <w:szCs w:val="24"/>
                <w:lang w:val="en-CA"/>
              </w:rPr>
              <w:t xml:space="preserve"> </w:t>
            </w:r>
            <w:r w:rsidRPr="00025901">
              <w:rPr>
                <w:bCs/>
                <w:sz w:val="24"/>
                <w:szCs w:val="24"/>
                <w:lang w:val="en-CA"/>
              </w:rPr>
              <w:t>hours</w:t>
            </w:r>
          </w:p>
        </w:tc>
        <w:tc>
          <w:tcPr>
            <w:tcW w:w="2340" w:type="dxa"/>
            <w:tcBorders>
              <w:top w:val="single" w:sz="8" w:space="0" w:color="auto"/>
              <w:left w:val="single" w:sz="8" w:space="0" w:color="auto"/>
              <w:bottom w:val="single" w:sz="8" w:space="0" w:color="auto"/>
              <w:right w:val="single" w:sz="8" w:space="0" w:color="auto"/>
            </w:tcBorders>
            <w:shd w:val="clear" w:color="000000" w:fill="auto"/>
            <w:vAlign w:val="center"/>
          </w:tcPr>
          <w:p w14:paraId="321A6B95" w14:textId="3EC608DE" w:rsidR="00025901" w:rsidRPr="00025901" w:rsidRDefault="00E202F9" w:rsidP="001034AF">
            <w:pPr>
              <w:widowControl/>
              <w:jc w:val="center"/>
              <w:rPr>
                <w:sz w:val="24"/>
                <w:szCs w:val="24"/>
                <w:lang w:val="en-CA"/>
              </w:rPr>
            </w:pPr>
            <w:r>
              <w:rPr>
                <w:sz w:val="24"/>
                <w:szCs w:val="24"/>
                <w:lang w:val="en-CA"/>
              </w:rPr>
              <w:t>1</w:t>
            </w:r>
            <w:r w:rsidR="00025901" w:rsidRPr="00025901">
              <w:rPr>
                <w:sz w:val="24"/>
                <w:szCs w:val="24"/>
                <w:lang w:val="en-CA"/>
              </w:rPr>
              <w:t>25</w:t>
            </w:r>
          </w:p>
        </w:tc>
      </w:tr>
      <w:tr w:rsidR="0002338D" w:rsidRPr="00025901" w14:paraId="3493B17A" w14:textId="77777777" w:rsidTr="007D01DB">
        <w:trPr>
          <w:trHeight w:val="520"/>
        </w:trPr>
        <w:tc>
          <w:tcPr>
            <w:tcW w:w="2520" w:type="dxa"/>
            <w:tcBorders>
              <w:top w:val="single" w:sz="8" w:space="0" w:color="auto"/>
              <w:left w:val="single" w:sz="8" w:space="0" w:color="auto"/>
              <w:bottom w:val="single" w:sz="8" w:space="0" w:color="auto"/>
              <w:right w:val="single" w:sz="8" w:space="0" w:color="auto"/>
            </w:tcBorders>
            <w:shd w:val="clear" w:color="000000" w:fill="auto"/>
            <w:vAlign w:val="center"/>
          </w:tcPr>
          <w:p w14:paraId="72B8108B" w14:textId="210C6DBD" w:rsidR="0002338D" w:rsidRPr="00025901" w:rsidRDefault="0002338D" w:rsidP="001034AF">
            <w:pPr>
              <w:widowControl/>
              <w:rPr>
                <w:sz w:val="24"/>
                <w:szCs w:val="24"/>
                <w:lang w:val="en-CA"/>
              </w:rPr>
            </w:pPr>
            <w:r>
              <w:rPr>
                <w:sz w:val="24"/>
                <w:szCs w:val="24"/>
                <w:lang w:val="en-CA"/>
              </w:rPr>
              <w:t>Final Reports</w:t>
            </w:r>
          </w:p>
        </w:tc>
        <w:tc>
          <w:tcPr>
            <w:tcW w:w="2430" w:type="dxa"/>
            <w:tcBorders>
              <w:top w:val="single" w:sz="8" w:space="0" w:color="auto"/>
              <w:left w:val="single" w:sz="8" w:space="0" w:color="auto"/>
              <w:bottom w:val="single" w:sz="8" w:space="0" w:color="auto"/>
              <w:right w:val="single" w:sz="8" w:space="0" w:color="auto"/>
            </w:tcBorders>
            <w:shd w:val="clear" w:color="000000" w:fill="auto"/>
            <w:vAlign w:val="center"/>
          </w:tcPr>
          <w:p w14:paraId="1A5F99D6" w14:textId="74DAAC05" w:rsidR="0002338D" w:rsidRPr="00025901" w:rsidRDefault="0002338D" w:rsidP="001034AF">
            <w:pPr>
              <w:widowControl/>
              <w:jc w:val="center"/>
              <w:rPr>
                <w:sz w:val="24"/>
                <w:szCs w:val="24"/>
                <w:lang w:val="en-CA"/>
              </w:rPr>
            </w:pPr>
            <w:r>
              <w:rPr>
                <w:sz w:val="24"/>
                <w:szCs w:val="24"/>
                <w:lang w:val="en-CA"/>
              </w:rPr>
              <w:t>25</w:t>
            </w:r>
          </w:p>
        </w:tc>
        <w:tc>
          <w:tcPr>
            <w:tcW w:w="1980" w:type="dxa"/>
            <w:tcBorders>
              <w:top w:val="single" w:sz="8" w:space="0" w:color="auto"/>
              <w:left w:val="single" w:sz="8" w:space="0" w:color="auto"/>
              <w:bottom w:val="single" w:sz="8" w:space="0" w:color="auto"/>
              <w:right w:val="single" w:sz="8" w:space="0" w:color="auto"/>
            </w:tcBorders>
            <w:shd w:val="clear" w:color="000000" w:fill="auto"/>
            <w:vAlign w:val="center"/>
          </w:tcPr>
          <w:p w14:paraId="609D6B9A" w14:textId="07AEC72A" w:rsidR="0002338D" w:rsidRPr="00025901" w:rsidRDefault="0002338D" w:rsidP="001034AF">
            <w:pPr>
              <w:widowControl/>
              <w:jc w:val="center"/>
              <w:rPr>
                <w:sz w:val="24"/>
                <w:szCs w:val="24"/>
                <w:lang w:val="en-CA"/>
              </w:rPr>
            </w:pPr>
            <w:r>
              <w:rPr>
                <w:sz w:val="24"/>
                <w:szCs w:val="24"/>
                <w:lang w:val="en-CA"/>
              </w:rPr>
              <w:t>5 hours</w:t>
            </w:r>
          </w:p>
        </w:tc>
        <w:tc>
          <w:tcPr>
            <w:tcW w:w="2340" w:type="dxa"/>
            <w:tcBorders>
              <w:top w:val="single" w:sz="8" w:space="0" w:color="auto"/>
              <w:left w:val="single" w:sz="8" w:space="0" w:color="auto"/>
              <w:bottom w:val="single" w:sz="8" w:space="0" w:color="auto"/>
              <w:right w:val="single" w:sz="8" w:space="0" w:color="auto"/>
            </w:tcBorders>
            <w:shd w:val="clear" w:color="000000" w:fill="auto"/>
            <w:vAlign w:val="center"/>
          </w:tcPr>
          <w:p w14:paraId="1235CA04" w14:textId="571B45E9" w:rsidR="0002338D" w:rsidRPr="00025901" w:rsidRDefault="0002338D" w:rsidP="001034AF">
            <w:pPr>
              <w:widowControl/>
              <w:jc w:val="center"/>
              <w:rPr>
                <w:sz w:val="24"/>
                <w:szCs w:val="24"/>
                <w:lang w:val="en-CA"/>
              </w:rPr>
            </w:pPr>
            <w:r>
              <w:rPr>
                <w:sz w:val="24"/>
                <w:szCs w:val="24"/>
                <w:lang w:val="en-CA"/>
              </w:rPr>
              <w:t>125</w:t>
            </w:r>
          </w:p>
        </w:tc>
      </w:tr>
      <w:tr w:rsidR="00025901" w:rsidRPr="00025901" w14:paraId="0FD8E2A3" w14:textId="77777777" w:rsidTr="007D01DB">
        <w:trPr>
          <w:trHeight w:val="438"/>
        </w:trPr>
        <w:tc>
          <w:tcPr>
            <w:tcW w:w="2520" w:type="dxa"/>
            <w:tcBorders>
              <w:top w:val="single" w:sz="8" w:space="0" w:color="auto"/>
              <w:left w:val="single" w:sz="8" w:space="0" w:color="auto"/>
              <w:bottom w:val="single" w:sz="8" w:space="0" w:color="auto"/>
              <w:right w:val="single" w:sz="8" w:space="0" w:color="auto"/>
            </w:tcBorders>
            <w:shd w:val="clear" w:color="000000" w:fill="auto"/>
            <w:vAlign w:val="center"/>
          </w:tcPr>
          <w:p w14:paraId="5AB52B2A" w14:textId="77777777" w:rsidR="00025901" w:rsidRPr="00025901" w:rsidRDefault="00025901" w:rsidP="001034AF">
            <w:pPr>
              <w:widowControl/>
              <w:rPr>
                <w:b/>
                <w:sz w:val="24"/>
                <w:szCs w:val="24"/>
                <w:lang w:val="en-CA"/>
              </w:rPr>
            </w:pPr>
            <w:r w:rsidRPr="00025901">
              <w:rPr>
                <w:b/>
                <w:sz w:val="24"/>
                <w:szCs w:val="24"/>
                <w:lang w:val="en-CA"/>
              </w:rPr>
              <w:t>TOTAL</w:t>
            </w:r>
          </w:p>
        </w:tc>
        <w:tc>
          <w:tcPr>
            <w:tcW w:w="2430" w:type="dxa"/>
            <w:tcBorders>
              <w:top w:val="single" w:sz="8" w:space="0" w:color="auto"/>
              <w:left w:val="single" w:sz="8" w:space="0" w:color="auto"/>
              <w:bottom w:val="single" w:sz="8" w:space="0" w:color="auto"/>
              <w:right w:val="single" w:sz="8" w:space="0" w:color="auto"/>
            </w:tcBorders>
            <w:shd w:val="clear" w:color="000000" w:fill="auto"/>
            <w:vAlign w:val="center"/>
          </w:tcPr>
          <w:p w14:paraId="7345C7FE" w14:textId="77777777" w:rsidR="00025901" w:rsidRPr="00025901" w:rsidRDefault="00025901" w:rsidP="001034AF">
            <w:pPr>
              <w:widowControl/>
              <w:jc w:val="center"/>
              <w:rPr>
                <w:b/>
                <w:sz w:val="24"/>
                <w:szCs w:val="24"/>
                <w:lang w:val="en-CA"/>
              </w:rPr>
            </w:pPr>
            <w:r w:rsidRPr="00025901">
              <w:rPr>
                <w:b/>
                <w:sz w:val="24"/>
                <w:szCs w:val="24"/>
                <w:lang w:val="en-CA"/>
              </w:rPr>
              <w:t>110</w:t>
            </w:r>
          </w:p>
        </w:tc>
        <w:tc>
          <w:tcPr>
            <w:tcW w:w="1980" w:type="dxa"/>
            <w:tcBorders>
              <w:top w:val="single" w:sz="8" w:space="0" w:color="auto"/>
              <w:left w:val="single" w:sz="8" w:space="0" w:color="auto"/>
              <w:bottom w:val="single" w:sz="8" w:space="0" w:color="auto"/>
              <w:right w:val="single" w:sz="8" w:space="0" w:color="auto"/>
            </w:tcBorders>
            <w:shd w:val="clear" w:color="000000" w:fill="auto"/>
            <w:vAlign w:val="center"/>
          </w:tcPr>
          <w:p w14:paraId="57163E07" w14:textId="77777777" w:rsidR="00025901" w:rsidRPr="00025901" w:rsidRDefault="00025901" w:rsidP="001034AF">
            <w:pPr>
              <w:widowControl/>
              <w:jc w:val="center"/>
              <w:rPr>
                <w:b/>
                <w:sz w:val="24"/>
                <w:szCs w:val="24"/>
                <w:lang w:val="en-CA"/>
              </w:rPr>
            </w:pPr>
          </w:p>
        </w:tc>
        <w:tc>
          <w:tcPr>
            <w:tcW w:w="2340" w:type="dxa"/>
            <w:tcBorders>
              <w:top w:val="single" w:sz="8" w:space="0" w:color="auto"/>
              <w:left w:val="single" w:sz="8" w:space="0" w:color="auto"/>
              <w:bottom w:val="single" w:sz="8" w:space="0" w:color="auto"/>
              <w:right w:val="single" w:sz="8" w:space="0" w:color="auto"/>
            </w:tcBorders>
            <w:shd w:val="clear" w:color="000000" w:fill="auto"/>
            <w:vAlign w:val="center"/>
          </w:tcPr>
          <w:p w14:paraId="0B567BD2" w14:textId="77777777" w:rsidR="00025901" w:rsidRPr="00025901" w:rsidRDefault="00025901" w:rsidP="001034AF">
            <w:pPr>
              <w:widowControl/>
              <w:jc w:val="center"/>
              <w:rPr>
                <w:b/>
                <w:sz w:val="24"/>
                <w:szCs w:val="24"/>
                <w:lang w:val="en-CA"/>
              </w:rPr>
            </w:pPr>
            <w:r w:rsidRPr="00025901">
              <w:rPr>
                <w:b/>
                <w:sz w:val="24"/>
                <w:szCs w:val="24"/>
                <w:lang w:val="en-CA"/>
              </w:rPr>
              <w:t>2,350</w:t>
            </w:r>
            <w:r w:rsidRPr="00025901">
              <w:rPr>
                <w:b/>
                <w:sz w:val="24"/>
                <w:szCs w:val="24"/>
                <w:lang w:val="en-CA"/>
              </w:rPr>
              <w:fldChar w:fldCharType="begin"/>
            </w:r>
            <w:r w:rsidRPr="00025901">
              <w:rPr>
                <w:b/>
                <w:sz w:val="24"/>
                <w:szCs w:val="24"/>
                <w:lang w:val="en-CA"/>
              </w:rPr>
              <w:instrText xml:space="preserve">  </w:instrText>
            </w:r>
            <w:r w:rsidRPr="00025901">
              <w:rPr>
                <w:b/>
                <w:sz w:val="24"/>
                <w:szCs w:val="24"/>
                <w:lang w:val="en-CA"/>
              </w:rPr>
              <w:fldChar w:fldCharType="end"/>
            </w:r>
            <w:r w:rsidRPr="00025901">
              <w:rPr>
                <w:b/>
                <w:sz w:val="24"/>
                <w:szCs w:val="24"/>
                <w:lang w:val="en-CA"/>
              </w:rPr>
              <w:fldChar w:fldCharType="begin"/>
            </w:r>
            <w:r w:rsidRPr="00025901">
              <w:rPr>
                <w:b/>
                <w:sz w:val="24"/>
                <w:szCs w:val="24"/>
                <w:lang w:val="en-CA"/>
              </w:rPr>
              <w:instrText xml:space="preserve">  </w:instrText>
            </w:r>
            <w:r w:rsidRPr="00025901">
              <w:rPr>
                <w:b/>
                <w:sz w:val="24"/>
                <w:szCs w:val="24"/>
                <w:lang w:val="en-CA"/>
              </w:rPr>
              <w:fldChar w:fldCharType="end"/>
            </w:r>
            <w:r w:rsidRPr="00025901">
              <w:rPr>
                <w:b/>
                <w:sz w:val="24"/>
                <w:szCs w:val="24"/>
                <w:lang w:val="en-CA"/>
              </w:rPr>
              <w:fldChar w:fldCharType="begin"/>
            </w:r>
            <w:r w:rsidRPr="00025901">
              <w:rPr>
                <w:b/>
                <w:sz w:val="24"/>
                <w:szCs w:val="24"/>
                <w:lang w:val="en-CA"/>
              </w:rPr>
              <w:instrText xml:space="preserve">  </w:instrText>
            </w:r>
            <w:r w:rsidRPr="00025901">
              <w:rPr>
                <w:b/>
                <w:sz w:val="24"/>
                <w:szCs w:val="24"/>
                <w:lang w:val="en-CA"/>
              </w:rPr>
              <w:fldChar w:fldCharType="end"/>
            </w:r>
          </w:p>
        </w:tc>
      </w:tr>
    </w:tbl>
    <w:p w14:paraId="5D2EB97A" w14:textId="77777777" w:rsidR="00025901" w:rsidRDefault="000259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2F28308" w14:textId="519D77EE" w:rsidR="00B438F2" w:rsidRPr="00B438F2" w:rsidRDefault="00B438F2" w:rsidP="00B438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438F2">
        <w:rPr>
          <w:sz w:val="24"/>
          <w:szCs w:val="24"/>
        </w:rPr>
        <w:t>We estimate the dollar value of the annual burden hours to be $</w:t>
      </w:r>
      <w:r w:rsidR="00250F56" w:rsidRPr="00250F56">
        <w:rPr>
          <w:sz w:val="24"/>
          <w:szCs w:val="24"/>
        </w:rPr>
        <w:t>94,5</w:t>
      </w:r>
      <w:r w:rsidR="00A655FB">
        <w:rPr>
          <w:sz w:val="24"/>
          <w:szCs w:val="24"/>
        </w:rPr>
        <w:t>5</w:t>
      </w:r>
      <w:r w:rsidR="004527A1">
        <w:rPr>
          <w:sz w:val="24"/>
          <w:szCs w:val="24"/>
        </w:rPr>
        <w:t>4</w:t>
      </w:r>
      <w:r w:rsidR="00250F56" w:rsidRPr="00250F56" w:rsidDel="00250F56">
        <w:rPr>
          <w:sz w:val="24"/>
          <w:szCs w:val="24"/>
        </w:rPr>
        <w:t xml:space="preserve"> </w:t>
      </w:r>
      <w:r w:rsidRPr="00B438F2">
        <w:rPr>
          <w:sz w:val="24"/>
          <w:szCs w:val="24"/>
        </w:rPr>
        <w:t xml:space="preserve">(see Table 3) based on the </w:t>
      </w:r>
      <w:r w:rsidR="000E2C92">
        <w:rPr>
          <w:sz w:val="24"/>
          <w:szCs w:val="24"/>
        </w:rPr>
        <w:t>Employer Costs f</w:t>
      </w:r>
      <w:r w:rsidR="000E2C92" w:rsidRPr="000E2C92">
        <w:rPr>
          <w:sz w:val="24"/>
          <w:szCs w:val="24"/>
        </w:rPr>
        <w:t>or Employee Compensation –</w:t>
      </w:r>
      <w:r w:rsidR="00250F56">
        <w:rPr>
          <w:sz w:val="24"/>
          <w:szCs w:val="24"/>
        </w:rPr>
        <w:t xml:space="preserve"> </w:t>
      </w:r>
      <w:r w:rsidR="000E2C92" w:rsidRPr="000E2C92">
        <w:rPr>
          <w:sz w:val="24"/>
          <w:szCs w:val="24"/>
        </w:rPr>
        <w:t>March 2015</w:t>
      </w:r>
      <w:r w:rsidR="000E2C92">
        <w:rPr>
          <w:sz w:val="24"/>
          <w:szCs w:val="24"/>
        </w:rPr>
        <w:t xml:space="preserve"> </w:t>
      </w:r>
      <w:r w:rsidRPr="00B438F2">
        <w:rPr>
          <w:sz w:val="24"/>
          <w:szCs w:val="24"/>
        </w:rPr>
        <w:t>p</w:t>
      </w:r>
      <w:r w:rsidR="0041545E">
        <w:rPr>
          <w:sz w:val="24"/>
          <w:szCs w:val="24"/>
        </w:rPr>
        <w:t xml:space="preserve">ublished by the Bureau of Labor </w:t>
      </w:r>
      <w:r w:rsidRPr="00B438F2">
        <w:rPr>
          <w:sz w:val="24"/>
          <w:szCs w:val="24"/>
        </w:rPr>
        <w:t>(</w:t>
      </w:r>
      <w:r w:rsidR="000E2C92" w:rsidRPr="000E2C92">
        <w:rPr>
          <w:sz w:val="24"/>
          <w:szCs w:val="24"/>
        </w:rPr>
        <w:t>http://www.bls.gov/news.release/pdf/ecec.pdf</w:t>
      </w:r>
      <w:r w:rsidRPr="00B438F2">
        <w:rPr>
          <w:sz w:val="24"/>
          <w:szCs w:val="24"/>
        </w:rPr>
        <w:t xml:space="preserve">).  </w:t>
      </w:r>
    </w:p>
    <w:p w14:paraId="1614758F" w14:textId="77777777" w:rsidR="00B438F2" w:rsidRDefault="00B438F2" w:rsidP="00B438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7BE36E" w14:textId="77777777" w:rsidR="00B438F2" w:rsidRPr="00B438F2" w:rsidRDefault="00B438F2" w:rsidP="00B438F2">
      <w:pPr>
        <w:keepNext/>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B438F2">
        <w:rPr>
          <w:b/>
          <w:sz w:val="24"/>
          <w:szCs w:val="24"/>
        </w:rPr>
        <w:lastRenderedPageBreak/>
        <w:t>Table 3. Estimated Dollar Value of Annual Burden Hours</w:t>
      </w:r>
    </w:p>
    <w:tbl>
      <w:tblPr>
        <w:tblStyle w:val="LightList"/>
        <w:tblW w:w="9540" w:type="dxa"/>
        <w:tblLayout w:type="fixed"/>
        <w:tblLook w:val="01E0" w:firstRow="1" w:lastRow="1" w:firstColumn="1" w:lastColumn="1" w:noHBand="0" w:noVBand="0"/>
      </w:tblPr>
      <w:tblGrid>
        <w:gridCol w:w="2178"/>
        <w:gridCol w:w="1332"/>
        <w:gridCol w:w="1350"/>
        <w:gridCol w:w="1440"/>
        <w:gridCol w:w="1620"/>
        <w:gridCol w:w="1620"/>
      </w:tblGrid>
      <w:tr w:rsidR="00B438F2" w:rsidRPr="002A73A1" w14:paraId="615DC1DE" w14:textId="77777777" w:rsidTr="007D01DB">
        <w:trPr>
          <w:cnfStyle w:val="100000000000" w:firstRow="1" w:lastRow="0"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2178" w:type="dxa"/>
            <w:shd w:val="clear" w:color="auto" w:fill="D9D9D9" w:themeFill="background1" w:themeFillShade="D9"/>
          </w:tcPr>
          <w:p w14:paraId="47D0C1EF" w14:textId="77777777" w:rsidR="00B438F2" w:rsidRPr="007D01DB" w:rsidRDefault="00B438F2" w:rsidP="00B438F2">
            <w:pPr>
              <w:widowControl/>
              <w:jc w:val="center"/>
              <w:rPr>
                <w:b w:val="0"/>
                <w:bCs w:val="0"/>
                <w:color w:val="000000" w:themeColor="text1"/>
                <w:sz w:val="24"/>
                <w:szCs w:val="24"/>
                <w:lang w:val="en-CA"/>
              </w:rPr>
            </w:pPr>
            <w:r w:rsidRPr="007D01DB">
              <w:rPr>
                <w:color w:val="000000" w:themeColor="text1"/>
                <w:sz w:val="24"/>
                <w:szCs w:val="24"/>
                <w:lang w:val="en-CA"/>
              </w:rPr>
              <w:t>Activity</w:t>
            </w:r>
          </w:p>
        </w:tc>
        <w:tc>
          <w:tcPr>
            <w:cnfStyle w:val="000010000000" w:firstRow="0" w:lastRow="0" w:firstColumn="0" w:lastColumn="0" w:oddVBand="1" w:evenVBand="0" w:oddHBand="0" w:evenHBand="0" w:firstRowFirstColumn="0" w:firstRowLastColumn="0" w:lastRowFirstColumn="0" w:lastRowLastColumn="0"/>
            <w:tcW w:w="1332" w:type="dxa"/>
            <w:shd w:val="clear" w:color="auto" w:fill="D9D9D9" w:themeFill="background1" w:themeFillShade="D9"/>
          </w:tcPr>
          <w:p w14:paraId="2EACD8E6" w14:textId="77777777" w:rsidR="00B438F2" w:rsidRPr="007D01DB" w:rsidRDefault="00B438F2" w:rsidP="00B438F2">
            <w:pPr>
              <w:widowControl/>
              <w:jc w:val="center"/>
              <w:rPr>
                <w:b w:val="0"/>
                <w:bCs w:val="0"/>
                <w:color w:val="000000" w:themeColor="text1"/>
                <w:sz w:val="24"/>
                <w:szCs w:val="24"/>
                <w:lang w:val="en-CA"/>
              </w:rPr>
            </w:pPr>
            <w:r w:rsidRPr="007D01DB">
              <w:rPr>
                <w:color w:val="000000" w:themeColor="text1"/>
                <w:sz w:val="24"/>
                <w:szCs w:val="24"/>
                <w:lang w:val="en-CA"/>
              </w:rPr>
              <w:t>Annual Number of Applicants</w:t>
            </w:r>
          </w:p>
        </w:tc>
        <w:tc>
          <w:tcPr>
            <w:tcW w:w="1350" w:type="dxa"/>
            <w:shd w:val="clear" w:color="auto" w:fill="D9D9D9" w:themeFill="background1" w:themeFillShade="D9"/>
          </w:tcPr>
          <w:p w14:paraId="3809B8AF" w14:textId="77777777" w:rsidR="00B438F2" w:rsidRPr="007D01DB" w:rsidRDefault="00B438F2" w:rsidP="00B438F2">
            <w:pPr>
              <w:widowControl/>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4"/>
                <w:szCs w:val="24"/>
                <w:lang w:val="en-CA"/>
              </w:rPr>
            </w:pPr>
            <w:r w:rsidRPr="007D01DB">
              <w:rPr>
                <w:color w:val="000000" w:themeColor="text1"/>
                <w:sz w:val="24"/>
                <w:szCs w:val="24"/>
                <w:lang w:val="en-CA"/>
              </w:rPr>
              <w:t>Estimated Completion Time per Applicant</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D9D9D9" w:themeFill="background1" w:themeFillShade="D9"/>
          </w:tcPr>
          <w:p w14:paraId="67FEF633" w14:textId="77777777" w:rsidR="00B438F2" w:rsidRPr="007D01DB" w:rsidRDefault="00B438F2" w:rsidP="00B438F2">
            <w:pPr>
              <w:widowControl/>
              <w:jc w:val="center"/>
              <w:rPr>
                <w:b w:val="0"/>
                <w:bCs w:val="0"/>
                <w:color w:val="000000" w:themeColor="text1"/>
                <w:sz w:val="24"/>
                <w:szCs w:val="24"/>
                <w:lang w:val="en-CA"/>
              </w:rPr>
            </w:pPr>
            <w:r w:rsidRPr="007D01DB">
              <w:rPr>
                <w:color w:val="000000" w:themeColor="text1"/>
                <w:sz w:val="24"/>
                <w:szCs w:val="24"/>
                <w:lang w:val="en-CA"/>
              </w:rPr>
              <w:t>Total Annual Burden Hours</w:t>
            </w:r>
          </w:p>
        </w:tc>
        <w:tc>
          <w:tcPr>
            <w:tcW w:w="1620" w:type="dxa"/>
            <w:tcBorders>
              <w:right w:val="single" w:sz="4" w:space="0" w:color="auto"/>
            </w:tcBorders>
            <w:shd w:val="clear" w:color="auto" w:fill="D9D9D9" w:themeFill="background1" w:themeFillShade="D9"/>
          </w:tcPr>
          <w:p w14:paraId="3B38008F" w14:textId="77777777" w:rsidR="00B438F2" w:rsidRPr="007D01DB" w:rsidRDefault="00B438F2" w:rsidP="00B438F2">
            <w:pPr>
              <w:widowControl/>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4"/>
                <w:szCs w:val="24"/>
                <w:lang w:val="en-CA"/>
              </w:rPr>
            </w:pPr>
            <w:r w:rsidRPr="007D01DB">
              <w:rPr>
                <w:color w:val="000000" w:themeColor="text1"/>
                <w:sz w:val="24"/>
                <w:szCs w:val="24"/>
                <w:lang w:val="en-CA"/>
              </w:rPr>
              <w:t>Dollar Value of Burden Hour  Including Benefits</w:t>
            </w:r>
          </w:p>
        </w:tc>
        <w:tc>
          <w:tcPr>
            <w:cnfStyle w:val="000100000000" w:firstRow="0" w:lastRow="0" w:firstColumn="0" w:lastColumn="1" w:oddVBand="0" w:evenVBand="0" w:oddHBand="0" w:evenHBand="0" w:firstRowFirstColumn="0" w:firstRowLastColumn="0" w:lastRowFirstColumn="0" w:lastRowLastColumn="0"/>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A355A" w14:textId="77777777" w:rsidR="00B438F2" w:rsidRPr="007D01DB" w:rsidRDefault="00B438F2" w:rsidP="00B438F2">
            <w:pPr>
              <w:widowControl/>
              <w:jc w:val="center"/>
              <w:rPr>
                <w:b w:val="0"/>
                <w:bCs w:val="0"/>
                <w:color w:val="000000" w:themeColor="text1"/>
                <w:sz w:val="24"/>
                <w:szCs w:val="24"/>
                <w:lang w:val="en-CA"/>
              </w:rPr>
            </w:pPr>
            <w:r w:rsidRPr="007D01DB">
              <w:rPr>
                <w:color w:val="000000" w:themeColor="text1"/>
                <w:sz w:val="24"/>
                <w:szCs w:val="24"/>
                <w:lang w:val="en-CA"/>
              </w:rPr>
              <w:t>Total Dollar Value of Annual Burden Hours</w:t>
            </w:r>
          </w:p>
        </w:tc>
      </w:tr>
      <w:tr w:rsidR="00B438F2" w:rsidRPr="002A73A1" w14:paraId="090F222A" w14:textId="77777777" w:rsidTr="007D01D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178" w:type="dxa"/>
            <w:shd w:val="clear" w:color="auto" w:fill="F2F2F2" w:themeFill="background1" w:themeFillShade="F2"/>
          </w:tcPr>
          <w:p w14:paraId="64E34B5F" w14:textId="77777777" w:rsidR="00B438F2" w:rsidRPr="007D01DB" w:rsidRDefault="00B438F2" w:rsidP="00B438F2">
            <w:pPr>
              <w:widowControl/>
              <w:rPr>
                <w:b w:val="0"/>
                <w:sz w:val="24"/>
                <w:szCs w:val="24"/>
                <w:lang w:val="en-CA"/>
              </w:rPr>
            </w:pPr>
            <w:r w:rsidRPr="002A73A1">
              <w:rPr>
                <w:sz w:val="24"/>
                <w:szCs w:val="24"/>
                <w:lang w:val="en-CA"/>
              </w:rPr>
              <w:t>Narrative Preparation</w:t>
            </w:r>
          </w:p>
        </w:tc>
        <w:tc>
          <w:tcPr>
            <w:cnfStyle w:val="000010000000" w:firstRow="0" w:lastRow="0" w:firstColumn="0" w:lastColumn="0" w:oddVBand="1" w:evenVBand="0" w:oddHBand="0" w:evenHBand="0" w:firstRowFirstColumn="0" w:firstRowLastColumn="0" w:lastRowFirstColumn="0" w:lastRowLastColumn="0"/>
            <w:tcW w:w="1332" w:type="dxa"/>
            <w:shd w:val="clear" w:color="auto" w:fill="F2F2F2" w:themeFill="background1" w:themeFillShade="F2"/>
          </w:tcPr>
          <w:p w14:paraId="7ECF60A9" w14:textId="77777777" w:rsidR="00B438F2" w:rsidRPr="002A73A1" w:rsidRDefault="00B438F2" w:rsidP="00B438F2">
            <w:pPr>
              <w:widowControl/>
              <w:jc w:val="center"/>
              <w:rPr>
                <w:sz w:val="24"/>
                <w:szCs w:val="24"/>
                <w:lang w:val="en-CA"/>
              </w:rPr>
            </w:pPr>
          </w:p>
        </w:tc>
        <w:tc>
          <w:tcPr>
            <w:tcW w:w="1350" w:type="dxa"/>
            <w:shd w:val="clear" w:color="auto" w:fill="F2F2F2" w:themeFill="background1" w:themeFillShade="F2"/>
          </w:tcPr>
          <w:p w14:paraId="74BC3BD6" w14:textId="77777777" w:rsidR="00B438F2" w:rsidRPr="002A73A1" w:rsidRDefault="00B438F2" w:rsidP="00B438F2">
            <w:pPr>
              <w:widowControl/>
              <w:jc w:val="center"/>
              <w:cnfStyle w:val="000000100000" w:firstRow="0" w:lastRow="0" w:firstColumn="0" w:lastColumn="0" w:oddVBand="0" w:evenVBand="0" w:oddHBand="1" w:evenHBand="0" w:firstRowFirstColumn="0" w:firstRowLastColumn="0" w:lastRowFirstColumn="0" w:lastRowLastColumn="0"/>
              <w:rPr>
                <w:sz w:val="24"/>
                <w:szCs w:val="24"/>
                <w:lang w:val="en-CA"/>
              </w:rPr>
            </w:pPr>
          </w:p>
        </w:tc>
        <w:tc>
          <w:tcPr>
            <w:cnfStyle w:val="000010000000" w:firstRow="0" w:lastRow="0" w:firstColumn="0" w:lastColumn="0" w:oddVBand="1" w:evenVBand="0" w:oddHBand="0" w:evenHBand="0" w:firstRowFirstColumn="0" w:firstRowLastColumn="0" w:lastRowFirstColumn="0" w:lastRowLastColumn="0"/>
            <w:tcW w:w="1440" w:type="dxa"/>
            <w:shd w:val="clear" w:color="auto" w:fill="F2F2F2" w:themeFill="background1" w:themeFillShade="F2"/>
          </w:tcPr>
          <w:p w14:paraId="7450781A" w14:textId="77777777" w:rsidR="00B438F2" w:rsidRPr="002A73A1" w:rsidRDefault="00B438F2" w:rsidP="00B438F2">
            <w:pPr>
              <w:widowControl/>
              <w:jc w:val="center"/>
              <w:rPr>
                <w:sz w:val="24"/>
                <w:szCs w:val="24"/>
                <w:lang w:val="en-CA"/>
              </w:rPr>
            </w:pPr>
          </w:p>
        </w:tc>
        <w:tc>
          <w:tcPr>
            <w:tcW w:w="1620" w:type="dxa"/>
            <w:tcBorders>
              <w:right w:val="single" w:sz="4" w:space="0" w:color="auto"/>
            </w:tcBorders>
            <w:shd w:val="clear" w:color="auto" w:fill="F2F2F2" w:themeFill="background1" w:themeFillShade="F2"/>
          </w:tcPr>
          <w:p w14:paraId="4E1C64EC" w14:textId="77777777" w:rsidR="00B438F2" w:rsidRPr="002A73A1" w:rsidRDefault="00B438F2" w:rsidP="00B438F2">
            <w:pPr>
              <w:widowControl/>
              <w:jc w:val="center"/>
              <w:cnfStyle w:val="000000100000" w:firstRow="0" w:lastRow="0" w:firstColumn="0" w:lastColumn="0" w:oddVBand="0" w:evenVBand="0" w:oddHBand="1" w:evenHBand="0" w:firstRowFirstColumn="0" w:firstRowLastColumn="0" w:lastRowFirstColumn="0" w:lastRowLastColumn="0"/>
              <w:rPr>
                <w:sz w:val="24"/>
                <w:szCs w:val="24"/>
                <w:lang w:val="en-CA"/>
              </w:rPr>
            </w:pPr>
          </w:p>
        </w:tc>
        <w:tc>
          <w:tcPr>
            <w:cnfStyle w:val="000100000000" w:firstRow="0" w:lastRow="0" w:firstColumn="0" w:lastColumn="1" w:oddVBand="0" w:evenVBand="0" w:oddHBand="0" w:evenHBand="0" w:firstRowFirstColumn="0" w:firstRowLastColumn="0" w:lastRowFirstColumn="0" w:lastRowLastColumn="0"/>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5885BB" w14:textId="77777777" w:rsidR="00B438F2" w:rsidRPr="002A73A1" w:rsidRDefault="00B438F2" w:rsidP="00B438F2">
            <w:pPr>
              <w:widowControl/>
              <w:jc w:val="center"/>
              <w:rPr>
                <w:sz w:val="24"/>
                <w:szCs w:val="24"/>
                <w:lang w:val="en-CA"/>
              </w:rPr>
            </w:pPr>
          </w:p>
        </w:tc>
      </w:tr>
      <w:tr w:rsidR="00B438F2" w:rsidRPr="002A73A1" w14:paraId="3797DFD9" w14:textId="77777777" w:rsidTr="007D01DB">
        <w:trPr>
          <w:trHeight w:val="259"/>
        </w:trPr>
        <w:tc>
          <w:tcPr>
            <w:cnfStyle w:val="001000000000" w:firstRow="0" w:lastRow="0" w:firstColumn="1" w:lastColumn="0" w:oddVBand="0" w:evenVBand="0" w:oddHBand="0" w:evenHBand="0" w:firstRowFirstColumn="0" w:firstRowLastColumn="0" w:lastRowFirstColumn="0" w:lastRowLastColumn="0"/>
            <w:tcW w:w="2178" w:type="dxa"/>
          </w:tcPr>
          <w:p w14:paraId="249E66D2" w14:textId="3B1881D7" w:rsidR="00B438F2" w:rsidRPr="007D01DB" w:rsidRDefault="00B438F2" w:rsidP="00B438F2">
            <w:pPr>
              <w:widowControl/>
              <w:ind w:left="245"/>
              <w:rPr>
                <w:b w:val="0"/>
                <w:sz w:val="24"/>
                <w:szCs w:val="24"/>
                <w:lang w:val="en-CA"/>
              </w:rPr>
            </w:pPr>
            <w:r w:rsidRPr="002A73A1">
              <w:rPr>
                <w:sz w:val="24"/>
                <w:szCs w:val="24"/>
                <w:lang w:val="en-CA"/>
              </w:rPr>
              <w:t>Colleges, Universities, Professional Schools</w:t>
            </w:r>
            <w:r w:rsidR="00A57D38">
              <w:rPr>
                <w:sz w:val="24"/>
                <w:szCs w:val="24"/>
                <w:lang w:val="en-CA"/>
              </w:rPr>
              <w:t xml:space="preserve">, </w:t>
            </w:r>
            <w:r w:rsidR="00A57D38" w:rsidRPr="00A57D38">
              <w:rPr>
                <w:sz w:val="24"/>
                <w:szCs w:val="24"/>
                <w:lang w:val="en-CA"/>
              </w:rPr>
              <w:t>Management, Scientific, and Technical Consulting Services</w:t>
            </w:r>
          </w:p>
        </w:tc>
        <w:tc>
          <w:tcPr>
            <w:cnfStyle w:val="000010000000" w:firstRow="0" w:lastRow="0" w:firstColumn="0" w:lastColumn="0" w:oddVBand="1" w:evenVBand="0" w:oddHBand="0" w:evenHBand="0" w:firstRowFirstColumn="0" w:firstRowLastColumn="0" w:lastRowFirstColumn="0" w:lastRowLastColumn="0"/>
            <w:tcW w:w="1332" w:type="dxa"/>
            <w:vAlign w:val="center"/>
          </w:tcPr>
          <w:p w14:paraId="6BDB5DA7" w14:textId="3639F2FE" w:rsidR="00B438F2" w:rsidRPr="002A73A1" w:rsidRDefault="00A57D38">
            <w:pPr>
              <w:widowControl/>
              <w:jc w:val="center"/>
              <w:rPr>
                <w:sz w:val="24"/>
                <w:szCs w:val="24"/>
                <w:lang w:val="en-CA"/>
              </w:rPr>
            </w:pPr>
            <w:r>
              <w:rPr>
                <w:sz w:val="24"/>
                <w:szCs w:val="24"/>
                <w:lang w:val="en-CA"/>
              </w:rPr>
              <w:t>18</w:t>
            </w:r>
          </w:p>
        </w:tc>
        <w:tc>
          <w:tcPr>
            <w:tcW w:w="1350" w:type="dxa"/>
            <w:vAlign w:val="center"/>
          </w:tcPr>
          <w:p w14:paraId="59A4C7ED" w14:textId="77777777" w:rsidR="00B438F2" w:rsidRPr="002A73A1" w:rsidRDefault="00B438F2">
            <w:pPr>
              <w:widowControl/>
              <w:jc w:val="center"/>
              <w:cnfStyle w:val="000000000000" w:firstRow="0" w:lastRow="0" w:firstColumn="0" w:lastColumn="0" w:oddVBand="0" w:evenVBand="0" w:oddHBand="0" w:evenHBand="0" w:firstRowFirstColumn="0" w:firstRowLastColumn="0" w:lastRowFirstColumn="0" w:lastRowLastColumn="0"/>
              <w:rPr>
                <w:sz w:val="24"/>
                <w:szCs w:val="24"/>
                <w:lang w:val="en-CA"/>
              </w:rPr>
            </w:pPr>
            <w:r w:rsidRPr="002A73A1">
              <w:rPr>
                <w:sz w:val="24"/>
                <w:szCs w:val="24"/>
                <w:lang w:val="en-CA"/>
              </w:rPr>
              <w:t>35</w:t>
            </w:r>
            <w:r w:rsidRPr="002A73A1">
              <w:rPr>
                <w:b/>
                <w:bCs/>
                <w:sz w:val="24"/>
                <w:szCs w:val="24"/>
                <w:lang w:val="en-CA"/>
              </w:rPr>
              <w:t xml:space="preserve"> </w:t>
            </w:r>
            <w:r w:rsidRPr="002A73A1">
              <w:rPr>
                <w:bCs/>
                <w:sz w:val="24"/>
                <w:szCs w:val="24"/>
                <w:lang w:val="en-CA"/>
              </w:rPr>
              <w:t>hours</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2196BD78" w14:textId="682BC49A" w:rsidR="00B438F2" w:rsidRPr="002A73A1" w:rsidRDefault="00A57D38">
            <w:pPr>
              <w:widowControl/>
              <w:jc w:val="center"/>
              <w:rPr>
                <w:sz w:val="24"/>
                <w:szCs w:val="24"/>
                <w:lang w:val="en-CA"/>
              </w:rPr>
            </w:pPr>
            <w:r>
              <w:rPr>
                <w:sz w:val="24"/>
                <w:szCs w:val="24"/>
                <w:lang w:val="en-CA"/>
              </w:rPr>
              <w:t>630</w:t>
            </w:r>
          </w:p>
        </w:tc>
        <w:tc>
          <w:tcPr>
            <w:tcW w:w="1620" w:type="dxa"/>
            <w:tcBorders>
              <w:right w:val="single" w:sz="4" w:space="0" w:color="auto"/>
            </w:tcBorders>
            <w:vAlign w:val="center"/>
          </w:tcPr>
          <w:p w14:paraId="2EEF6D6D" w14:textId="75CB4672" w:rsidR="00B438F2" w:rsidRPr="002A73A1" w:rsidRDefault="00821E4F">
            <w:pPr>
              <w:widowControl/>
              <w:jc w:val="center"/>
              <w:cnfStyle w:val="000000000000" w:firstRow="0" w:lastRow="0" w:firstColumn="0" w:lastColumn="0" w:oddVBand="0" w:evenVBand="0" w:oddHBand="0" w:evenHBand="0" w:firstRowFirstColumn="0" w:firstRowLastColumn="0" w:lastRowFirstColumn="0" w:lastRowLastColumn="0"/>
              <w:rPr>
                <w:sz w:val="24"/>
                <w:szCs w:val="24"/>
                <w:lang w:val="en-CA"/>
              </w:rPr>
            </w:pPr>
            <w:r w:rsidRPr="002A73A1">
              <w:rPr>
                <w:sz w:val="24"/>
                <w:szCs w:val="24"/>
                <w:lang w:val="en-CA"/>
              </w:rPr>
              <w:t>$31.3</w:t>
            </w:r>
            <w:r w:rsidR="00A655FB">
              <w:rPr>
                <w:sz w:val="24"/>
                <w:szCs w:val="24"/>
                <w:lang w:val="en-CA"/>
              </w:rPr>
              <w:t>9</w:t>
            </w:r>
          </w:p>
        </w:tc>
        <w:tc>
          <w:tcPr>
            <w:cnfStyle w:val="000100000000" w:firstRow="0" w:lastRow="0" w:firstColumn="0" w:lastColumn="1" w:oddVBand="0" w:evenVBand="0" w:oddHBand="0" w:evenHBand="0" w:firstRowFirstColumn="0" w:firstRowLastColumn="0" w:lastRowFirstColumn="0" w:lastRowLastColumn="0"/>
            <w:tcW w:w="1620" w:type="dxa"/>
            <w:tcBorders>
              <w:top w:val="single" w:sz="4" w:space="0" w:color="auto"/>
              <w:left w:val="single" w:sz="4" w:space="0" w:color="auto"/>
              <w:bottom w:val="single" w:sz="4" w:space="0" w:color="auto"/>
              <w:right w:val="single" w:sz="4" w:space="0" w:color="auto"/>
            </w:tcBorders>
            <w:vAlign w:val="center"/>
          </w:tcPr>
          <w:p w14:paraId="3245B75B" w14:textId="4EF7E20B" w:rsidR="00B438F2" w:rsidRPr="007D01DB" w:rsidRDefault="00B438F2" w:rsidP="00A655FB">
            <w:pPr>
              <w:widowControl/>
              <w:jc w:val="center"/>
              <w:rPr>
                <w:b w:val="0"/>
                <w:sz w:val="24"/>
                <w:szCs w:val="24"/>
                <w:lang w:val="en-CA"/>
              </w:rPr>
            </w:pPr>
            <w:r w:rsidRPr="00B5470D">
              <w:rPr>
                <w:sz w:val="24"/>
                <w:szCs w:val="24"/>
                <w:lang w:val="en-CA"/>
              </w:rPr>
              <w:t>$</w:t>
            </w:r>
            <w:r w:rsidR="00A57D38" w:rsidRPr="00B5470D">
              <w:rPr>
                <w:sz w:val="24"/>
                <w:szCs w:val="24"/>
                <w:lang w:val="en-CA"/>
              </w:rPr>
              <w:t>19,7</w:t>
            </w:r>
            <w:r w:rsidR="00A655FB">
              <w:rPr>
                <w:sz w:val="24"/>
                <w:szCs w:val="24"/>
                <w:lang w:val="en-CA"/>
              </w:rPr>
              <w:t>76</w:t>
            </w:r>
          </w:p>
        </w:tc>
      </w:tr>
      <w:tr w:rsidR="00B438F2" w:rsidRPr="002A73A1" w14:paraId="6EF47C0C" w14:textId="77777777" w:rsidTr="007D01DB">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178" w:type="dxa"/>
            <w:vAlign w:val="center"/>
          </w:tcPr>
          <w:p w14:paraId="1A4196F9" w14:textId="5D2FC25C" w:rsidR="00B438F2" w:rsidRPr="007D01DB" w:rsidRDefault="00B438F2">
            <w:pPr>
              <w:widowControl/>
              <w:ind w:left="245"/>
              <w:jc w:val="center"/>
              <w:rPr>
                <w:b w:val="0"/>
                <w:sz w:val="24"/>
                <w:szCs w:val="24"/>
                <w:lang w:val="en-CA"/>
              </w:rPr>
            </w:pPr>
            <w:r w:rsidRPr="002A73A1">
              <w:rPr>
                <w:sz w:val="24"/>
                <w:szCs w:val="24"/>
                <w:lang w:val="en-CA"/>
              </w:rPr>
              <w:t>State/Local Gov.</w:t>
            </w:r>
          </w:p>
        </w:tc>
        <w:tc>
          <w:tcPr>
            <w:cnfStyle w:val="000010000000" w:firstRow="0" w:lastRow="0" w:firstColumn="0" w:lastColumn="0" w:oddVBand="1" w:evenVBand="0" w:oddHBand="0" w:evenHBand="0" w:firstRowFirstColumn="0" w:firstRowLastColumn="0" w:lastRowFirstColumn="0" w:lastRowLastColumn="0"/>
            <w:tcW w:w="1332" w:type="dxa"/>
            <w:vAlign w:val="center"/>
          </w:tcPr>
          <w:p w14:paraId="61498B5F" w14:textId="77777777" w:rsidR="00B438F2" w:rsidRPr="002A73A1" w:rsidRDefault="00B438F2">
            <w:pPr>
              <w:widowControl/>
              <w:jc w:val="center"/>
              <w:rPr>
                <w:sz w:val="24"/>
                <w:szCs w:val="24"/>
                <w:lang w:val="en-CA"/>
              </w:rPr>
            </w:pPr>
            <w:r w:rsidRPr="002A73A1">
              <w:rPr>
                <w:sz w:val="24"/>
                <w:szCs w:val="24"/>
                <w:lang w:val="en-CA"/>
              </w:rPr>
              <w:t>42</w:t>
            </w:r>
          </w:p>
        </w:tc>
        <w:tc>
          <w:tcPr>
            <w:tcW w:w="1350" w:type="dxa"/>
            <w:vAlign w:val="center"/>
          </w:tcPr>
          <w:p w14:paraId="5D74AF33" w14:textId="77777777" w:rsidR="00B438F2" w:rsidRPr="002A73A1" w:rsidRDefault="00B438F2">
            <w:pPr>
              <w:widowControl/>
              <w:jc w:val="center"/>
              <w:cnfStyle w:val="000000100000" w:firstRow="0" w:lastRow="0" w:firstColumn="0" w:lastColumn="0" w:oddVBand="0" w:evenVBand="0" w:oddHBand="1" w:evenHBand="0" w:firstRowFirstColumn="0" w:firstRowLastColumn="0" w:lastRowFirstColumn="0" w:lastRowLastColumn="0"/>
              <w:rPr>
                <w:sz w:val="24"/>
                <w:szCs w:val="24"/>
                <w:lang w:val="en-CA"/>
              </w:rPr>
            </w:pPr>
            <w:r w:rsidRPr="002A73A1">
              <w:rPr>
                <w:sz w:val="24"/>
                <w:szCs w:val="24"/>
                <w:lang w:val="en-CA"/>
              </w:rPr>
              <w:t>35 hours</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607222C0" w14:textId="77777777" w:rsidR="00B438F2" w:rsidRPr="002A73A1" w:rsidRDefault="00B438F2">
            <w:pPr>
              <w:widowControl/>
              <w:jc w:val="center"/>
              <w:rPr>
                <w:sz w:val="24"/>
                <w:szCs w:val="24"/>
                <w:lang w:val="en-CA"/>
              </w:rPr>
            </w:pPr>
            <w:r w:rsidRPr="002A73A1">
              <w:rPr>
                <w:sz w:val="24"/>
                <w:szCs w:val="24"/>
                <w:lang w:val="en-CA"/>
              </w:rPr>
              <w:t>1,470</w:t>
            </w:r>
          </w:p>
        </w:tc>
        <w:tc>
          <w:tcPr>
            <w:tcW w:w="1620" w:type="dxa"/>
            <w:tcBorders>
              <w:right w:val="single" w:sz="4" w:space="0" w:color="auto"/>
            </w:tcBorders>
            <w:vAlign w:val="center"/>
          </w:tcPr>
          <w:p w14:paraId="15ABF6D2" w14:textId="1A4131FC" w:rsidR="00B438F2" w:rsidRPr="002A73A1" w:rsidRDefault="00B438F2" w:rsidP="00A655FB">
            <w:pPr>
              <w:widowControl/>
              <w:jc w:val="center"/>
              <w:cnfStyle w:val="000000100000" w:firstRow="0" w:lastRow="0" w:firstColumn="0" w:lastColumn="0" w:oddVBand="0" w:evenVBand="0" w:oddHBand="1" w:evenHBand="0" w:firstRowFirstColumn="0" w:firstRowLastColumn="0" w:lastRowFirstColumn="0" w:lastRowLastColumn="0"/>
              <w:rPr>
                <w:sz w:val="24"/>
                <w:szCs w:val="24"/>
                <w:lang w:val="en-CA"/>
              </w:rPr>
            </w:pPr>
            <w:r w:rsidRPr="002A73A1">
              <w:rPr>
                <w:sz w:val="24"/>
                <w:szCs w:val="24"/>
                <w:lang w:val="en-CA"/>
              </w:rPr>
              <w:t>$</w:t>
            </w:r>
            <w:r w:rsidR="00A655FB">
              <w:rPr>
                <w:sz w:val="24"/>
                <w:szCs w:val="24"/>
                <w:lang w:val="en-CA"/>
              </w:rPr>
              <w:t>44.22</w:t>
            </w:r>
          </w:p>
        </w:tc>
        <w:tc>
          <w:tcPr>
            <w:cnfStyle w:val="000100000000" w:firstRow="0" w:lastRow="0" w:firstColumn="0" w:lastColumn="1" w:oddVBand="0" w:evenVBand="0" w:oddHBand="0" w:evenHBand="0" w:firstRowFirstColumn="0" w:firstRowLastColumn="0" w:lastRowFirstColumn="0" w:lastRowLastColumn="0"/>
            <w:tcW w:w="1620" w:type="dxa"/>
            <w:tcBorders>
              <w:top w:val="single" w:sz="4" w:space="0" w:color="auto"/>
              <w:left w:val="single" w:sz="4" w:space="0" w:color="auto"/>
              <w:bottom w:val="single" w:sz="4" w:space="0" w:color="auto"/>
              <w:right w:val="single" w:sz="4" w:space="0" w:color="auto"/>
            </w:tcBorders>
            <w:vAlign w:val="center"/>
          </w:tcPr>
          <w:p w14:paraId="0B9BB17B" w14:textId="09473989" w:rsidR="00B438F2" w:rsidRPr="007D01DB" w:rsidRDefault="00B438F2" w:rsidP="00A655FB">
            <w:pPr>
              <w:widowControl/>
              <w:jc w:val="center"/>
              <w:rPr>
                <w:b w:val="0"/>
                <w:sz w:val="24"/>
                <w:szCs w:val="24"/>
                <w:lang w:val="en-CA"/>
              </w:rPr>
            </w:pPr>
            <w:r w:rsidRPr="00B5470D">
              <w:rPr>
                <w:sz w:val="24"/>
                <w:szCs w:val="24"/>
                <w:lang w:val="en-CA"/>
              </w:rPr>
              <w:t>$</w:t>
            </w:r>
            <w:r w:rsidR="00A655FB">
              <w:rPr>
                <w:sz w:val="24"/>
                <w:szCs w:val="24"/>
                <w:lang w:val="en-CA"/>
              </w:rPr>
              <w:t>65,004</w:t>
            </w:r>
          </w:p>
        </w:tc>
      </w:tr>
      <w:tr w:rsidR="00B438F2" w:rsidRPr="002A73A1" w14:paraId="67777AC7" w14:textId="77777777" w:rsidTr="007D01DB">
        <w:trPr>
          <w:trHeight w:val="387"/>
        </w:trPr>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left w:val="single" w:sz="8" w:space="0" w:color="000000" w:themeColor="text1"/>
              <w:bottom w:val="single" w:sz="8" w:space="0" w:color="000000" w:themeColor="text1"/>
            </w:tcBorders>
            <w:vAlign w:val="center"/>
          </w:tcPr>
          <w:p w14:paraId="3447BED3" w14:textId="77777777" w:rsidR="00B438F2" w:rsidRPr="002A73A1" w:rsidRDefault="00B438F2" w:rsidP="007D01DB">
            <w:pPr>
              <w:widowControl/>
              <w:jc w:val="center"/>
              <w:rPr>
                <w:sz w:val="24"/>
                <w:szCs w:val="24"/>
                <w:lang w:val="en-CA"/>
              </w:rPr>
            </w:pPr>
            <w:r w:rsidRPr="002A73A1">
              <w:rPr>
                <w:sz w:val="24"/>
                <w:szCs w:val="24"/>
                <w:lang w:val="en-CA"/>
              </w:rPr>
              <w:t>SUBTOTAL</w:t>
            </w:r>
          </w:p>
        </w:tc>
        <w:tc>
          <w:tcPr>
            <w:cnfStyle w:val="000010000000" w:firstRow="0" w:lastRow="0" w:firstColumn="0" w:lastColumn="0" w:oddVBand="1" w:evenVBand="0" w:oddHBand="0" w:evenHBand="0" w:firstRowFirstColumn="0" w:firstRowLastColumn="0" w:lastRowFirstColumn="0" w:lastRowLastColumn="0"/>
            <w:tcW w:w="1332" w:type="dxa"/>
            <w:tcBorders>
              <w:top w:val="single" w:sz="8" w:space="0" w:color="000000" w:themeColor="text1"/>
              <w:bottom w:val="single" w:sz="8" w:space="0" w:color="000000" w:themeColor="text1"/>
            </w:tcBorders>
            <w:vAlign w:val="center"/>
          </w:tcPr>
          <w:p w14:paraId="3F707A72" w14:textId="77777777" w:rsidR="00B438F2" w:rsidRPr="002A73A1" w:rsidRDefault="00B438F2">
            <w:pPr>
              <w:widowControl/>
              <w:jc w:val="center"/>
              <w:rPr>
                <w:b/>
                <w:sz w:val="24"/>
                <w:szCs w:val="24"/>
                <w:lang w:val="en-CA"/>
              </w:rPr>
            </w:pPr>
            <w:r w:rsidRPr="002A73A1">
              <w:rPr>
                <w:b/>
                <w:sz w:val="24"/>
                <w:szCs w:val="24"/>
                <w:lang w:val="en-CA"/>
              </w:rPr>
              <w:t>60</w:t>
            </w:r>
          </w:p>
        </w:tc>
        <w:tc>
          <w:tcPr>
            <w:tcW w:w="1350" w:type="dxa"/>
            <w:tcBorders>
              <w:top w:val="single" w:sz="8" w:space="0" w:color="000000" w:themeColor="text1"/>
              <w:bottom w:val="single" w:sz="8" w:space="0" w:color="000000" w:themeColor="text1"/>
            </w:tcBorders>
            <w:vAlign w:val="center"/>
          </w:tcPr>
          <w:p w14:paraId="5916406D" w14:textId="77777777" w:rsidR="00B438F2" w:rsidRPr="002A73A1" w:rsidRDefault="00B438F2" w:rsidP="007D01DB">
            <w:pPr>
              <w:widowControl/>
              <w:jc w:val="center"/>
              <w:cnfStyle w:val="000000000000" w:firstRow="0" w:lastRow="0" w:firstColumn="0" w:lastColumn="0" w:oddVBand="0" w:evenVBand="0" w:oddHBand="0" w:evenHBand="0" w:firstRowFirstColumn="0" w:firstRowLastColumn="0" w:lastRowFirstColumn="0" w:lastRowLastColumn="0"/>
              <w:rPr>
                <w:sz w:val="24"/>
                <w:szCs w:val="24"/>
                <w:lang w:val="en-CA"/>
              </w:rPr>
            </w:pPr>
          </w:p>
        </w:tc>
        <w:tc>
          <w:tcPr>
            <w:cnfStyle w:val="000010000000" w:firstRow="0" w:lastRow="0" w:firstColumn="0" w:lastColumn="0" w:oddVBand="1" w:evenVBand="0" w:oddHBand="0" w:evenHBand="0" w:firstRowFirstColumn="0" w:firstRowLastColumn="0" w:lastRowFirstColumn="0" w:lastRowLastColumn="0"/>
            <w:tcW w:w="1440" w:type="dxa"/>
            <w:tcBorders>
              <w:top w:val="single" w:sz="8" w:space="0" w:color="000000" w:themeColor="text1"/>
              <w:bottom w:val="single" w:sz="8" w:space="0" w:color="000000" w:themeColor="text1"/>
            </w:tcBorders>
            <w:vAlign w:val="center"/>
          </w:tcPr>
          <w:p w14:paraId="45B28DB5" w14:textId="77777777" w:rsidR="00B438F2" w:rsidRPr="002A73A1" w:rsidRDefault="00B438F2">
            <w:pPr>
              <w:widowControl/>
              <w:jc w:val="center"/>
              <w:rPr>
                <w:b/>
                <w:sz w:val="24"/>
                <w:szCs w:val="24"/>
                <w:lang w:val="en-CA"/>
              </w:rPr>
            </w:pPr>
            <w:r w:rsidRPr="002A73A1">
              <w:rPr>
                <w:b/>
                <w:sz w:val="24"/>
                <w:szCs w:val="24"/>
                <w:lang w:val="en-CA"/>
              </w:rPr>
              <w:t>2,100</w:t>
            </w:r>
            <w:r w:rsidRPr="007D01DB">
              <w:rPr>
                <w:b/>
                <w:sz w:val="24"/>
                <w:szCs w:val="24"/>
                <w:lang w:val="en-CA"/>
              </w:rPr>
              <w:fldChar w:fldCharType="begin"/>
            </w:r>
            <w:r w:rsidRPr="002A73A1">
              <w:rPr>
                <w:b/>
                <w:sz w:val="24"/>
                <w:szCs w:val="24"/>
                <w:lang w:val="en-CA"/>
              </w:rPr>
              <w:instrText xml:space="preserve">  </w:instrText>
            </w:r>
            <w:r w:rsidRPr="007D01DB">
              <w:rPr>
                <w:b/>
                <w:sz w:val="24"/>
                <w:szCs w:val="24"/>
                <w:lang w:val="en-CA"/>
              </w:rPr>
              <w:fldChar w:fldCharType="end"/>
            </w:r>
            <w:r w:rsidRPr="007D01DB">
              <w:rPr>
                <w:b/>
                <w:sz w:val="24"/>
                <w:szCs w:val="24"/>
                <w:lang w:val="en-CA"/>
              </w:rPr>
              <w:fldChar w:fldCharType="begin"/>
            </w:r>
            <w:r w:rsidRPr="002A73A1">
              <w:rPr>
                <w:b/>
                <w:sz w:val="24"/>
                <w:szCs w:val="24"/>
                <w:lang w:val="en-CA"/>
              </w:rPr>
              <w:instrText xml:space="preserve">  </w:instrText>
            </w:r>
            <w:r w:rsidRPr="007D01DB">
              <w:rPr>
                <w:b/>
                <w:sz w:val="24"/>
                <w:szCs w:val="24"/>
                <w:lang w:val="en-CA"/>
              </w:rPr>
              <w:fldChar w:fldCharType="end"/>
            </w:r>
          </w:p>
        </w:tc>
        <w:tc>
          <w:tcPr>
            <w:tcW w:w="1620" w:type="dxa"/>
            <w:tcBorders>
              <w:top w:val="single" w:sz="8" w:space="0" w:color="000000" w:themeColor="text1"/>
              <w:bottom w:val="single" w:sz="8" w:space="0" w:color="000000" w:themeColor="text1"/>
              <w:right w:val="single" w:sz="4" w:space="0" w:color="auto"/>
            </w:tcBorders>
            <w:vAlign w:val="center"/>
          </w:tcPr>
          <w:p w14:paraId="6DF3391C" w14:textId="77777777" w:rsidR="00B438F2" w:rsidRPr="002A73A1" w:rsidRDefault="00B438F2" w:rsidP="007D01DB">
            <w:pPr>
              <w:widowControl/>
              <w:jc w:val="center"/>
              <w:cnfStyle w:val="000000000000" w:firstRow="0" w:lastRow="0" w:firstColumn="0" w:lastColumn="0" w:oddVBand="0" w:evenVBand="0" w:oddHBand="0" w:evenHBand="0" w:firstRowFirstColumn="0" w:firstRowLastColumn="0" w:lastRowFirstColumn="0" w:lastRowLastColumn="0"/>
              <w:rPr>
                <w:b/>
                <w:sz w:val="24"/>
                <w:szCs w:val="24"/>
                <w:lang w:val="en-CA"/>
              </w:rPr>
            </w:pPr>
          </w:p>
        </w:tc>
        <w:tc>
          <w:tcPr>
            <w:cnfStyle w:val="000100000000" w:firstRow="0" w:lastRow="0" w:firstColumn="0" w:lastColumn="1" w:oddVBand="0" w:evenVBand="0" w:oddHBand="0" w:evenHBand="0" w:firstRowFirstColumn="0" w:firstRowLastColumn="0" w:lastRowFirstColumn="0" w:lastRowLastColumn="0"/>
            <w:tcW w:w="1620" w:type="dxa"/>
            <w:tcBorders>
              <w:top w:val="single" w:sz="4" w:space="0" w:color="auto"/>
              <w:left w:val="single" w:sz="4" w:space="0" w:color="auto"/>
              <w:bottom w:val="single" w:sz="4" w:space="0" w:color="auto"/>
              <w:right w:val="single" w:sz="4" w:space="0" w:color="auto"/>
            </w:tcBorders>
            <w:vAlign w:val="center"/>
          </w:tcPr>
          <w:p w14:paraId="26E2D7A4" w14:textId="75BE75A7" w:rsidR="00B438F2" w:rsidRPr="007D01DB" w:rsidRDefault="00A57D38" w:rsidP="0076613C">
            <w:pPr>
              <w:widowControl/>
              <w:jc w:val="center"/>
              <w:rPr>
                <w:sz w:val="24"/>
                <w:szCs w:val="24"/>
                <w:lang w:val="en-CA"/>
              </w:rPr>
            </w:pPr>
            <w:r w:rsidRPr="007D01DB">
              <w:rPr>
                <w:bCs w:val="0"/>
                <w:sz w:val="24"/>
                <w:szCs w:val="24"/>
                <w:lang w:val="en-CA"/>
              </w:rPr>
              <w:t>$</w:t>
            </w:r>
            <w:r w:rsidR="00A460C4" w:rsidRPr="007D01DB">
              <w:rPr>
                <w:bCs w:val="0"/>
                <w:sz w:val="24"/>
                <w:szCs w:val="24"/>
                <w:lang w:val="en-CA"/>
              </w:rPr>
              <w:t>84,</w:t>
            </w:r>
            <w:r w:rsidR="00A655FB">
              <w:rPr>
                <w:bCs w:val="0"/>
                <w:sz w:val="24"/>
                <w:szCs w:val="24"/>
                <w:lang w:val="en-CA"/>
              </w:rPr>
              <w:t>7</w:t>
            </w:r>
            <w:r w:rsidR="0076613C">
              <w:rPr>
                <w:bCs w:val="0"/>
                <w:sz w:val="24"/>
                <w:szCs w:val="24"/>
                <w:lang w:val="en-CA"/>
              </w:rPr>
              <w:t>80</w:t>
            </w:r>
            <w:r w:rsidR="00B438F2" w:rsidRPr="007D01DB">
              <w:rPr>
                <w:sz w:val="24"/>
                <w:szCs w:val="24"/>
                <w:lang w:val="en-CA"/>
              </w:rPr>
              <w:fldChar w:fldCharType="begin"/>
            </w:r>
            <w:r w:rsidR="00B438F2" w:rsidRPr="007D01DB">
              <w:rPr>
                <w:bCs w:val="0"/>
                <w:sz w:val="24"/>
                <w:szCs w:val="24"/>
                <w:lang w:val="en-CA"/>
              </w:rPr>
              <w:instrText xml:space="preserve">  </w:instrText>
            </w:r>
            <w:r w:rsidR="00B438F2" w:rsidRPr="007D01DB">
              <w:rPr>
                <w:sz w:val="24"/>
                <w:szCs w:val="24"/>
                <w:lang w:val="en-CA"/>
              </w:rPr>
              <w:fldChar w:fldCharType="end"/>
            </w:r>
            <w:r w:rsidR="00B438F2" w:rsidRPr="007D01DB">
              <w:rPr>
                <w:sz w:val="24"/>
                <w:szCs w:val="24"/>
                <w:lang w:val="en-CA"/>
              </w:rPr>
              <w:fldChar w:fldCharType="begin"/>
            </w:r>
            <w:r w:rsidR="00B438F2" w:rsidRPr="007D01DB">
              <w:rPr>
                <w:bCs w:val="0"/>
                <w:sz w:val="24"/>
                <w:szCs w:val="24"/>
                <w:lang w:val="en-CA"/>
              </w:rPr>
              <w:instrText xml:space="preserve">  </w:instrText>
            </w:r>
            <w:r w:rsidR="00B438F2" w:rsidRPr="007D01DB">
              <w:rPr>
                <w:sz w:val="24"/>
                <w:szCs w:val="24"/>
                <w:lang w:val="en-CA"/>
              </w:rPr>
              <w:fldChar w:fldCharType="end"/>
            </w:r>
          </w:p>
        </w:tc>
      </w:tr>
      <w:tr w:rsidR="00B438F2" w:rsidRPr="002A73A1" w14:paraId="3BD34A8C" w14:textId="77777777" w:rsidTr="007D01DB">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178" w:type="dxa"/>
            <w:shd w:val="clear" w:color="auto" w:fill="F2F2F2" w:themeFill="background1" w:themeFillShade="F2"/>
          </w:tcPr>
          <w:p w14:paraId="6DAE1A14" w14:textId="58B9F661" w:rsidR="00B438F2" w:rsidRPr="007D01DB" w:rsidRDefault="00B438F2" w:rsidP="007D01DB">
            <w:pPr>
              <w:widowControl/>
              <w:rPr>
                <w:b w:val="0"/>
                <w:sz w:val="24"/>
                <w:szCs w:val="24"/>
                <w:lang w:val="en-CA"/>
              </w:rPr>
            </w:pPr>
            <w:r w:rsidRPr="002A73A1">
              <w:rPr>
                <w:sz w:val="24"/>
                <w:szCs w:val="24"/>
                <w:lang w:val="en-CA"/>
              </w:rPr>
              <w:t xml:space="preserve">Interim and Final Reports </w:t>
            </w:r>
          </w:p>
        </w:tc>
        <w:tc>
          <w:tcPr>
            <w:cnfStyle w:val="000010000000" w:firstRow="0" w:lastRow="0" w:firstColumn="0" w:lastColumn="0" w:oddVBand="1" w:evenVBand="0" w:oddHBand="0" w:evenHBand="0" w:firstRowFirstColumn="0" w:firstRowLastColumn="0" w:lastRowFirstColumn="0" w:lastRowLastColumn="0"/>
            <w:tcW w:w="1332" w:type="dxa"/>
            <w:shd w:val="clear" w:color="auto" w:fill="F2F2F2" w:themeFill="background1" w:themeFillShade="F2"/>
          </w:tcPr>
          <w:p w14:paraId="4B2B5FC9" w14:textId="77777777" w:rsidR="00B438F2" w:rsidRPr="002A73A1" w:rsidRDefault="00B438F2" w:rsidP="00B438F2">
            <w:pPr>
              <w:widowControl/>
              <w:jc w:val="center"/>
              <w:rPr>
                <w:sz w:val="24"/>
                <w:szCs w:val="24"/>
                <w:lang w:val="en-CA"/>
              </w:rPr>
            </w:pPr>
          </w:p>
        </w:tc>
        <w:tc>
          <w:tcPr>
            <w:tcW w:w="1350" w:type="dxa"/>
            <w:shd w:val="clear" w:color="auto" w:fill="F2F2F2" w:themeFill="background1" w:themeFillShade="F2"/>
          </w:tcPr>
          <w:p w14:paraId="5A0678DC" w14:textId="77777777" w:rsidR="00B438F2" w:rsidRPr="002A73A1" w:rsidRDefault="00B438F2" w:rsidP="00B438F2">
            <w:pPr>
              <w:widowControl/>
              <w:jc w:val="center"/>
              <w:cnfStyle w:val="000000100000" w:firstRow="0" w:lastRow="0" w:firstColumn="0" w:lastColumn="0" w:oddVBand="0" w:evenVBand="0" w:oddHBand="1" w:evenHBand="0" w:firstRowFirstColumn="0" w:firstRowLastColumn="0" w:lastRowFirstColumn="0" w:lastRowLastColumn="0"/>
              <w:rPr>
                <w:sz w:val="24"/>
                <w:szCs w:val="24"/>
                <w:lang w:val="en-CA"/>
              </w:rPr>
            </w:pPr>
          </w:p>
        </w:tc>
        <w:tc>
          <w:tcPr>
            <w:cnfStyle w:val="000010000000" w:firstRow="0" w:lastRow="0" w:firstColumn="0" w:lastColumn="0" w:oddVBand="1" w:evenVBand="0" w:oddHBand="0" w:evenHBand="0" w:firstRowFirstColumn="0" w:firstRowLastColumn="0" w:lastRowFirstColumn="0" w:lastRowLastColumn="0"/>
            <w:tcW w:w="1440" w:type="dxa"/>
            <w:shd w:val="clear" w:color="auto" w:fill="F2F2F2" w:themeFill="background1" w:themeFillShade="F2"/>
          </w:tcPr>
          <w:p w14:paraId="45577DC4" w14:textId="77777777" w:rsidR="00B438F2" w:rsidRPr="002A73A1" w:rsidRDefault="00B438F2" w:rsidP="00B438F2">
            <w:pPr>
              <w:widowControl/>
              <w:jc w:val="center"/>
              <w:rPr>
                <w:sz w:val="24"/>
                <w:szCs w:val="24"/>
                <w:lang w:val="en-CA"/>
              </w:rPr>
            </w:pPr>
          </w:p>
        </w:tc>
        <w:tc>
          <w:tcPr>
            <w:tcW w:w="1620" w:type="dxa"/>
            <w:tcBorders>
              <w:right w:val="single" w:sz="4" w:space="0" w:color="auto"/>
            </w:tcBorders>
            <w:shd w:val="clear" w:color="auto" w:fill="F2F2F2" w:themeFill="background1" w:themeFillShade="F2"/>
          </w:tcPr>
          <w:p w14:paraId="4880ACFB" w14:textId="77777777" w:rsidR="00B438F2" w:rsidRPr="002A73A1" w:rsidRDefault="00B438F2" w:rsidP="00B438F2">
            <w:pPr>
              <w:widowControl/>
              <w:jc w:val="center"/>
              <w:cnfStyle w:val="000000100000" w:firstRow="0" w:lastRow="0" w:firstColumn="0" w:lastColumn="0" w:oddVBand="0" w:evenVBand="0" w:oddHBand="1" w:evenHBand="0" w:firstRowFirstColumn="0" w:firstRowLastColumn="0" w:lastRowFirstColumn="0" w:lastRowLastColumn="0"/>
              <w:rPr>
                <w:sz w:val="24"/>
                <w:szCs w:val="24"/>
                <w:lang w:val="en-CA"/>
              </w:rPr>
            </w:pPr>
          </w:p>
        </w:tc>
        <w:tc>
          <w:tcPr>
            <w:cnfStyle w:val="000100000000" w:firstRow="0" w:lastRow="0" w:firstColumn="0" w:lastColumn="1" w:oddVBand="0" w:evenVBand="0" w:oddHBand="0" w:evenHBand="0" w:firstRowFirstColumn="0" w:firstRowLastColumn="0" w:lastRowFirstColumn="0" w:lastRowLastColumn="0"/>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8FECA" w14:textId="77777777" w:rsidR="00B438F2" w:rsidRPr="002A73A1" w:rsidRDefault="00B438F2" w:rsidP="00B438F2">
            <w:pPr>
              <w:widowControl/>
              <w:jc w:val="center"/>
              <w:rPr>
                <w:sz w:val="24"/>
                <w:szCs w:val="24"/>
                <w:lang w:val="en-CA"/>
              </w:rPr>
            </w:pPr>
          </w:p>
        </w:tc>
      </w:tr>
      <w:tr w:rsidR="00B438F2" w:rsidRPr="002A73A1" w14:paraId="5A379975" w14:textId="77777777" w:rsidTr="007D01DB">
        <w:trPr>
          <w:trHeight w:val="259"/>
        </w:trPr>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left w:val="single" w:sz="8" w:space="0" w:color="000000" w:themeColor="text1"/>
              <w:bottom w:val="single" w:sz="8" w:space="0" w:color="000000" w:themeColor="text1"/>
            </w:tcBorders>
            <w:vAlign w:val="center"/>
          </w:tcPr>
          <w:p w14:paraId="33DFBB6C" w14:textId="22EAB4B7" w:rsidR="00B438F2" w:rsidRPr="007D01DB" w:rsidRDefault="00B438F2">
            <w:pPr>
              <w:widowControl/>
              <w:ind w:left="245"/>
              <w:rPr>
                <w:b w:val="0"/>
                <w:sz w:val="24"/>
                <w:szCs w:val="24"/>
                <w:lang w:val="en-CA"/>
              </w:rPr>
            </w:pPr>
            <w:r w:rsidRPr="002A73A1">
              <w:rPr>
                <w:sz w:val="24"/>
                <w:szCs w:val="24"/>
                <w:lang w:val="en-CA"/>
              </w:rPr>
              <w:t>Colleges, Universities, and Professional Schools</w:t>
            </w:r>
            <w:r w:rsidR="00A57D38">
              <w:rPr>
                <w:sz w:val="24"/>
                <w:szCs w:val="24"/>
                <w:lang w:val="en-CA"/>
              </w:rPr>
              <w:t>,</w:t>
            </w:r>
            <w:r w:rsidR="00A57D38">
              <w:t xml:space="preserve"> </w:t>
            </w:r>
            <w:r w:rsidR="00A57D38" w:rsidRPr="00A57D38">
              <w:rPr>
                <w:sz w:val="24"/>
                <w:szCs w:val="24"/>
                <w:lang w:val="en-CA"/>
              </w:rPr>
              <w:t>Management, Scientific, and Technical Consulting Services</w:t>
            </w:r>
          </w:p>
        </w:tc>
        <w:tc>
          <w:tcPr>
            <w:cnfStyle w:val="000010000000" w:firstRow="0" w:lastRow="0" w:firstColumn="0" w:lastColumn="0" w:oddVBand="1" w:evenVBand="0" w:oddHBand="0" w:evenHBand="0" w:firstRowFirstColumn="0" w:firstRowLastColumn="0" w:lastRowFirstColumn="0" w:lastRowLastColumn="0"/>
            <w:tcW w:w="1332" w:type="dxa"/>
            <w:tcBorders>
              <w:top w:val="single" w:sz="8" w:space="0" w:color="000000" w:themeColor="text1"/>
              <w:bottom w:val="single" w:sz="8" w:space="0" w:color="000000" w:themeColor="text1"/>
            </w:tcBorders>
            <w:vAlign w:val="center"/>
          </w:tcPr>
          <w:p w14:paraId="2925DA8E" w14:textId="712DBD54" w:rsidR="00B438F2" w:rsidRPr="002A73A1" w:rsidRDefault="00A57D38">
            <w:pPr>
              <w:widowControl/>
              <w:jc w:val="center"/>
              <w:rPr>
                <w:sz w:val="24"/>
                <w:szCs w:val="24"/>
                <w:lang w:val="en-CA"/>
              </w:rPr>
            </w:pPr>
            <w:r>
              <w:rPr>
                <w:sz w:val="24"/>
                <w:szCs w:val="24"/>
                <w:lang w:val="en-CA"/>
              </w:rPr>
              <w:t>20</w:t>
            </w:r>
          </w:p>
        </w:tc>
        <w:tc>
          <w:tcPr>
            <w:tcW w:w="1350" w:type="dxa"/>
            <w:tcBorders>
              <w:top w:val="single" w:sz="8" w:space="0" w:color="000000" w:themeColor="text1"/>
              <w:bottom w:val="single" w:sz="8" w:space="0" w:color="000000" w:themeColor="text1"/>
            </w:tcBorders>
            <w:vAlign w:val="center"/>
          </w:tcPr>
          <w:p w14:paraId="2C3E3588" w14:textId="77777777" w:rsidR="00B438F2" w:rsidRPr="002A73A1" w:rsidRDefault="00B438F2">
            <w:pPr>
              <w:widowControl/>
              <w:jc w:val="center"/>
              <w:cnfStyle w:val="000000000000" w:firstRow="0" w:lastRow="0" w:firstColumn="0" w:lastColumn="0" w:oddVBand="0" w:evenVBand="0" w:oddHBand="0" w:evenHBand="0" w:firstRowFirstColumn="0" w:firstRowLastColumn="0" w:lastRowFirstColumn="0" w:lastRowLastColumn="0"/>
              <w:rPr>
                <w:sz w:val="24"/>
                <w:szCs w:val="24"/>
                <w:lang w:val="en-CA"/>
              </w:rPr>
            </w:pPr>
            <w:r w:rsidRPr="002A73A1">
              <w:rPr>
                <w:sz w:val="24"/>
                <w:szCs w:val="24"/>
                <w:lang w:val="en-CA"/>
              </w:rPr>
              <w:t>5 hours</w:t>
            </w:r>
          </w:p>
        </w:tc>
        <w:tc>
          <w:tcPr>
            <w:cnfStyle w:val="000010000000" w:firstRow="0" w:lastRow="0" w:firstColumn="0" w:lastColumn="0" w:oddVBand="1" w:evenVBand="0" w:oddHBand="0" w:evenHBand="0" w:firstRowFirstColumn="0" w:firstRowLastColumn="0" w:lastRowFirstColumn="0" w:lastRowLastColumn="0"/>
            <w:tcW w:w="1440" w:type="dxa"/>
            <w:tcBorders>
              <w:top w:val="single" w:sz="8" w:space="0" w:color="000000" w:themeColor="text1"/>
              <w:bottom w:val="single" w:sz="8" w:space="0" w:color="000000" w:themeColor="text1"/>
            </w:tcBorders>
            <w:vAlign w:val="center"/>
          </w:tcPr>
          <w:p w14:paraId="699861DE" w14:textId="02C53468" w:rsidR="00B438F2" w:rsidRPr="002A73A1" w:rsidRDefault="00A57D38">
            <w:pPr>
              <w:widowControl/>
              <w:jc w:val="center"/>
              <w:rPr>
                <w:sz w:val="24"/>
                <w:szCs w:val="24"/>
                <w:lang w:val="en-CA"/>
              </w:rPr>
            </w:pPr>
            <w:r>
              <w:rPr>
                <w:sz w:val="24"/>
                <w:szCs w:val="24"/>
                <w:lang w:val="en-CA"/>
              </w:rPr>
              <w:t>100</w:t>
            </w:r>
          </w:p>
        </w:tc>
        <w:tc>
          <w:tcPr>
            <w:tcW w:w="1620" w:type="dxa"/>
            <w:tcBorders>
              <w:top w:val="single" w:sz="8" w:space="0" w:color="000000" w:themeColor="text1"/>
              <w:bottom w:val="single" w:sz="8" w:space="0" w:color="000000" w:themeColor="text1"/>
              <w:right w:val="single" w:sz="4" w:space="0" w:color="auto"/>
            </w:tcBorders>
            <w:vAlign w:val="center"/>
          </w:tcPr>
          <w:p w14:paraId="15EF7C16" w14:textId="483E2248" w:rsidR="00B438F2" w:rsidRPr="002A73A1" w:rsidRDefault="00B438F2" w:rsidP="00A655FB">
            <w:pPr>
              <w:widowControl/>
              <w:jc w:val="center"/>
              <w:cnfStyle w:val="000000000000" w:firstRow="0" w:lastRow="0" w:firstColumn="0" w:lastColumn="0" w:oddVBand="0" w:evenVBand="0" w:oddHBand="0" w:evenHBand="0" w:firstRowFirstColumn="0" w:firstRowLastColumn="0" w:lastRowFirstColumn="0" w:lastRowLastColumn="0"/>
              <w:rPr>
                <w:sz w:val="24"/>
                <w:szCs w:val="24"/>
                <w:lang w:val="en-CA"/>
              </w:rPr>
            </w:pPr>
            <w:r w:rsidRPr="002A73A1">
              <w:rPr>
                <w:sz w:val="24"/>
                <w:szCs w:val="24"/>
                <w:lang w:val="en-CA"/>
              </w:rPr>
              <w:t>$</w:t>
            </w:r>
            <w:r w:rsidR="00A57D38">
              <w:rPr>
                <w:sz w:val="24"/>
                <w:szCs w:val="24"/>
                <w:lang w:val="en-CA"/>
              </w:rPr>
              <w:t>31.3</w:t>
            </w:r>
            <w:r w:rsidR="00A655FB">
              <w:rPr>
                <w:sz w:val="24"/>
                <w:szCs w:val="24"/>
                <w:lang w:val="en-CA"/>
              </w:rPr>
              <w:t>9</w:t>
            </w:r>
          </w:p>
        </w:tc>
        <w:tc>
          <w:tcPr>
            <w:cnfStyle w:val="000100000000" w:firstRow="0" w:lastRow="0" w:firstColumn="0" w:lastColumn="1" w:oddVBand="0" w:evenVBand="0" w:oddHBand="0" w:evenHBand="0" w:firstRowFirstColumn="0" w:firstRowLastColumn="0" w:lastRowFirstColumn="0" w:lastRowLastColumn="0"/>
            <w:tcW w:w="1620" w:type="dxa"/>
            <w:tcBorders>
              <w:top w:val="single" w:sz="4" w:space="0" w:color="auto"/>
              <w:left w:val="single" w:sz="4" w:space="0" w:color="auto"/>
              <w:bottom w:val="single" w:sz="4" w:space="0" w:color="auto"/>
              <w:right w:val="single" w:sz="4" w:space="0" w:color="auto"/>
            </w:tcBorders>
            <w:vAlign w:val="center"/>
          </w:tcPr>
          <w:p w14:paraId="1F7803D4" w14:textId="45D053BC" w:rsidR="00B438F2" w:rsidRPr="007D01DB" w:rsidRDefault="00B438F2" w:rsidP="00A655FB">
            <w:pPr>
              <w:widowControl/>
              <w:jc w:val="center"/>
              <w:rPr>
                <w:b w:val="0"/>
                <w:sz w:val="24"/>
                <w:szCs w:val="24"/>
                <w:lang w:val="en-CA"/>
              </w:rPr>
            </w:pPr>
            <w:r w:rsidRPr="00B5470D">
              <w:rPr>
                <w:sz w:val="24"/>
                <w:szCs w:val="24"/>
                <w:lang w:val="en-CA"/>
              </w:rPr>
              <w:t>$</w:t>
            </w:r>
            <w:r w:rsidR="00A57D38" w:rsidRPr="00B5470D">
              <w:rPr>
                <w:sz w:val="24"/>
                <w:szCs w:val="24"/>
                <w:lang w:val="en-CA"/>
              </w:rPr>
              <w:t>3</w:t>
            </w:r>
            <w:r w:rsidR="00B5470D">
              <w:rPr>
                <w:b w:val="0"/>
                <w:sz w:val="24"/>
                <w:szCs w:val="24"/>
                <w:lang w:val="en-CA"/>
              </w:rPr>
              <w:t>,</w:t>
            </w:r>
            <w:r w:rsidR="00A57D38" w:rsidRPr="00B5470D">
              <w:rPr>
                <w:sz w:val="24"/>
                <w:szCs w:val="24"/>
                <w:lang w:val="en-CA"/>
              </w:rPr>
              <w:t>13</w:t>
            </w:r>
            <w:r w:rsidR="00A655FB">
              <w:rPr>
                <w:sz w:val="24"/>
                <w:szCs w:val="24"/>
                <w:lang w:val="en-CA"/>
              </w:rPr>
              <w:t>9</w:t>
            </w:r>
          </w:p>
        </w:tc>
      </w:tr>
      <w:tr w:rsidR="00B438F2" w:rsidRPr="002A73A1" w14:paraId="179E1EA7" w14:textId="77777777" w:rsidTr="007D01DB">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178" w:type="dxa"/>
            <w:vAlign w:val="center"/>
          </w:tcPr>
          <w:p w14:paraId="5FC08D25" w14:textId="77777777" w:rsidR="00B438F2" w:rsidRPr="002A73A1" w:rsidRDefault="00B438F2">
            <w:pPr>
              <w:widowControl/>
              <w:ind w:left="245"/>
              <w:rPr>
                <w:b w:val="0"/>
                <w:sz w:val="24"/>
                <w:szCs w:val="24"/>
                <w:lang w:val="en-CA"/>
              </w:rPr>
            </w:pPr>
            <w:r w:rsidRPr="002A73A1">
              <w:rPr>
                <w:sz w:val="24"/>
                <w:szCs w:val="24"/>
                <w:lang w:val="en-CA"/>
              </w:rPr>
              <w:t>State/Local Gov.</w:t>
            </w:r>
          </w:p>
        </w:tc>
        <w:tc>
          <w:tcPr>
            <w:cnfStyle w:val="000010000000" w:firstRow="0" w:lastRow="0" w:firstColumn="0" w:lastColumn="0" w:oddVBand="1" w:evenVBand="0" w:oddHBand="0" w:evenHBand="0" w:firstRowFirstColumn="0" w:firstRowLastColumn="0" w:lastRowFirstColumn="0" w:lastRowLastColumn="0"/>
            <w:tcW w:w="1332" w:type="dxa"/>
            <w:vAlign w:val="center"/>
          </w:tcPr>
          <w:p w14:paraId="78F3B355" w14:textId="77777777" w:rsidR="00B438F2" w:rsidRPr="002A73A1" w:rsidRDefault="00B438F2">
            <w:pPr>
              <w:widowControl/>
              <w:jc w:val="center"/>
              <w:rPr>
                <w:sz w:val="24"/>
                <w:szCs w:val="24"/>
                <w:lang w:val="en-CA"/>
              </w:rPr>
            </w:pPr>
            <w:r w:rsidRPr="002A73A1">
              <w:rPr>
                <w:sz w:val="24"/>
                <w:szCs w:val="24"/>
                <w:lang w:val="en-CA"/>
              </w:rPr>
              <w:t>30</w:t>
            </w:r>
          </w:p>
        </w:tc>
        <w:tc>
          <w:tcPr>
            <w:tcW w:w="1350" w:type="dxa"/>
            <w:vAlign w:val="center"/>
          </w:tcPr>
          <w:p w14:paraId="3833BD7D" w14:textId="77777777" w:rsidR="00B438F2" w:rsidRPr="002A73A1" w:rsidRDefault="00B438F2">
            <w:pPr>
              <w:widowControl/>
              <w:jc w:val="center"/>
              <w:cnfStyle w:val="000000100000" w:firstRow="0" w:lastRow="0" w:firstColumn="0" w:lastColumn="0" w:oddVBand="0" w:evenVBand="0" w:oddHBand="1" w:evenHBand="0" w:firstRowFirstColumn="0" w:firstRowLastColumn="0" w:lastRowFirstColumn="0" w:lastRowLastColumn="0"/>
              <w:rPr>
                <w:sz w:val="24"/>
                <w:szCs w:val="24"/>
                <w:lang w:val="en-CA"/>
              </w:rPr>
            </w:pPr>
            <w:r w:rsidRPr="002A73A1">
              <w:rPr>
                <w:sz w:val="24"/>
                <w:szCs w:val="24"/>
                <w:lang w:val="en-CA"/>
              </w:rPr>
              <w:t>5 hours</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33F936C2" w14:textId="77777777" w:rsidR="00B438F2" w:rsidRPr="002A73A1" w:rsidRDefault="00B438F2">
            <w:pPr>
              <w:widowControl/>
              <w:jc w:val="center"/>
              <w:rPr>
                <w:sz w:val="24"/>
                <w:szCs w:val="24"/>
                <w:lang w:val="en-CA"/>
              </w:rPr>
            </w:pPr>
            <w:r w:rsidRPr="002A73A1">
              <w:rPr>
                <w:sz w:val="24"/>
                <w:szCs w:val="24"/>
                <w:lang w:val="en-CA"/>
              </w:rPr>
              <w:t>150</w:t>
            </w:r>
          </w:p>
        </w:tc>
        <w:tc>
          <w:tcPr>
            <w:tcW w:w="1620" w:type="dxa"/>
            <w:tcBorders>
              <w:right w:val="single" w:sz="4" w:space="0" w:color="auto"/>
            </w:tcBorders>
            <w:vAlign w:val="center"/>
          </w:tcPr>
          <w:p w14:paraId="7AB67BDA" w14:textId="7CFF82E6" w:rsidR="00B438F2" w:rsidRPr="002A73A1" w:rsidRDefault="00B438F2" w:rsidP="00A655FB">
            <w:pPr>
              <w:widowControl/>
              <w:jc w:val="center"/>
              <w:cnfStyle w:val="000000100000" w:firstRow="0" w:lastRow="0" w:firstColumn="0" w:lastColumn="0" w:oddVBand="0" w:evenVBand="0" w:oddHBand="1" w:evenHBand="0" w:firstRowFirstColumn="0" w:firstRowLastColumn="0" w:lastRowFirstColumn="0" w:lastRowLastColumn="0"/>
              <w:rPr>
                <w:sz w:val="24"/>
                <w:szCs w:val="24"/>
                <w:lang w:val="en-CA"/>
              </w:rPr>
            </w:pPr>
            <w:r w:rsidRPr="002A73A1">
              <w:rPr>
                <w:sz w:val="24"/>
                <w:szCs w:val="24"/>
                <w:lang w:val="en-CA"/>
              </w:rPr>
              <w:t>$</w:t>
            </w:r>
            <w:r w:rsidR="00A655FB">
              <w:rPr>
                <w:sz w:val="24"/>
                <w:szCs w:val="24"/>
                <w:lang w:val="en-CA"/>
              </w:rPr>
              <w:t>44.22</w:t>
            </w:r>
          </w:p>
        </w:tc>
        <w:tc>
          <w:tcPr>
            <w:cnfStyle w:val="000100000000" w:firstRow="0" w:lastRow="0" w:firstColumn="0" w:lastColumn="1" w:oddVBand="0" w:evenVBand="0" w:oddHBand="0" w:evenHBand="0" w:firstRowFirstColumn="0" w:firstRowLastColumn="0" w:lastRowFirstColumn="0" w:lastRowLastColumn="0"/>
            <w:tcW w:w="1620" w:type="dxa"/>
            <w:tcBorders>
              <w:top w:val="single" w:sz="4" w:space="0" w:color="auto"/>
              <w:left w:val="single" w:sz="4" w:space="0" w:color="auto"/>
              <w:bottom w:val="single" w:sz="4" w:space="0" w:color="auto"/>
              <w:right w:val="single" w:sz="4" w:space="0" w:color="auto"/>
            </w:tcBorders>
            <w:vAlign w:val="center"/>
          </w:tcPr>
          <w:p w14:paraId="45BA500F" w14:textId="37724AB2" w:rsidR="00B438F2" w:rsidRPr="007D01DB" w:rsidRDefault="00B438F2" w:rsidP="00A655FB">
            <w:pPr>
              <w:widowControl/>
              <w:jc w:val="center"/>
              <w:rPr>
                <w:b w:val="0"/>
                <w:sz w:val="24"/>
                <w:szCs w:val="24"/>
                <w:lang w:val="en-CA"/>
              </w:rPr>
            </w:pPr>
            <w:r w:rsidRPr="00B5470D">
              <w:rPr>
                <w:sz w:val="24"/>
                <w:szCs w:val="24"/>
                <w:lang w:val="en-CA"/>
              </w:rPr>
              <w:t>$</w:t>
            </w:r>
            <w:r w:rsidR="0041545E" w:rsidRPr="00B5470D">
              <w:rPr>
                <w:sz w:val="24"/>
                <w:szCs w:val="24"/>
                <w:lang w:val="en-CA"/>
              </w:rPr>
              <w:t>6,</w:t>
            </w:r>
            <w:r w:rsidR="00A655FB">
              <w:rPr>
                <w:sz w:val="24"/>
                <w:szCs w:val="24"/>
                <w:lang w:val="en-CA"/>
              </w:rPr>
              <w:t>6</w:t>
            </w:r>
            <w:r w:rsidR="004527A1">
              <w:rPr>
                <w:sz w:val="24"/>
                <w:szCs w:val="24"/>
                <w:lang w:val="en-CA"/>
              </w:rPr>
              <w:t>34</w:t>
            </w:r>
          </w:p>
        </w:tc>
      </w:tr>
      <w:tr w:rsidR="00B438F2" w:rsidRPr="002A73A1" w14:paraId="74F57B64" w14:textId="77777777" w:rsidTr="007D01DB">
        <w:trPr>
          <w:trHeight w:val="387"/>
        </w:trPr>
        <w:tc>
          <w:tcPr>
            <w:cnfStyle w:val="001000000000" w:firstRow="0" w:lastRow="0" w:firstColumn="1" w:lastColumn="0" w:oddVBand="0" w:evenVBand="0" w:oddHBand="0" w:evenHBand="0" w:firstRowFirstColumn="0" w:firstRowLastColumn="0" w:lastRowFirstColumn="0" w:lastRowLastColumn="0"/>
            <w:tcW w:w="2178" w:type="dxa"/>
            <w:vAlign w:val="center"/>
          </w:tcPr>
          <w:p w14:paraId="280A9FEC" w14:textId="77777777" w:rsidR="00B438F2" w:rsidRPr="002A73A1" w:rsidRDefault="00B438F2" w:rsidP="007D01DB">
            <w:pPr>
              <w:widowControl/>
              <w:jc w:val="center"/>
              <w:rPr>
                <w:sz w:val="24"/>
                <w:szCs w:val="24"/>
                <w:lang w:val="en-CA"/>
              </w:rPr>
            </w:pPr>
            <w:r w:rsidRPr="002A73A1">
              <w:rPr>
                <w:sz w:val="24"/>
                <w:szCs w:val="24"/>
                <w:lang w:val="en-CA"/>
              </w:rPr>
              <w:t>SUBTOTAL</w:t>
            </w:r>
          </w:p>
        </w:tc>
        <w:tc>
          <w:tcPr>
            <w:cnfStyle w:val="000010000000" w:firstRow="0" w:lastRow="0" w:firstColumn="0" w:lastColumn="0" w:oddVBand="1" w:evenVBand="0" w:oddHBand="0" w:evenHBand="0" w:firstRowFirstColumn="0" w:firstRowLastColumn="0" w:lastRowFirstColumn="0" w:lastRowLastColumn="0"/>
            <w:tcW w:w="1332" w:type="dxa"/>
            <w:vAlign w:val="center"/>
          </w:tcPr>
          <w:p w14:paraId="3AA5DD80" w14:textId="77777777" w:rsidR="00B438F2" w:rsidRPr="002A73A1" w:rsidRDefault="00B438F2">
            <w:pPr>
              <w:widowControl/>
              <w:jc w:val="center"/>
              <w:rPr>
                <w:b/>
                <w:sz w:val="24"/>
                <w:szCs w:val="24"/>
                <w:lang w:val="en-CA"/>
              </w:rPr>
            </w:pPr>
            <w:r w:rsidRPr="002A73A1">
              <w:rPr>
                <w:b/>
                <w:sz w:val="24"/>
                <w:szCs w:val="24"/>
                <w:lang w:val="en-CA"/>
              </w:rPr>
              <w:fldChar w:fldCharType="begin"/>
            </w:r>
            <w:r w:rsidRPr="002A73A1">
              <w:rPr>
                <w:b/>
                <w:sz w:val="24"/>
                <w:szCs w:val="24"/>
                <w:lang w:val="en-CA"/>
              </w:rPr>
              <w:instrText xml:space="preserve"> =SUM(ABOVE) </w:instrText>
            </w:r>
            <w:r w:rsidRPr="002A73A1">
              <w:rPr>
                <w:b/>
                <w:sz w:val="24"/>
                <w:szCs w:val="24"/>
                <w:lang w:val="en-CA"/>
              </w:rPr>
              <w:fldChar w:fldCharType="separate"/>
            </w:r>
            <w:r w:rsidR="00E202F9">
              <w:rPr>
                <w:b/>
                <w:noProof/>
                <w:sz w:val="24"/>
                <w:szCs w:val="24"/>
                <w:lang w:val="en-CA"/>
              </w:rPr>
              <w:t>50</w:t>
            </w:r>
            <w:r w:rsidRPr="002A73A1">
              <w:rPr>
                <w:b/>
                <w:sz w:val="24"/>
                <w:szCs w:val="24"/>
                <w:lang w:val="en-CA"/>
              </w:rPr>
              <w:fldChar w:fldCharType="end"/>
            </w:r>
          </w:p>
        </w:tc>
        <w:tc>
          <w:tcPr>
            <w:tcW w:w="1350" w:type="dxa"/>
            <w:vAlign w:val="center"/>
          </w:tcPr>
          <w:p w14:paraId="082F5D42" w14:textId="77777777" w:rsidR="00B438F2" w:rsidRPr="002A73A1" w:rsidRDefault="00B438F2" w:rsidP="007D01DB">
            <w:pPr>
              <w:widowControl/>
              <w:jc w:val="center"/>
              <w:cnfStyle w:val="000000000000" w:firstRow="0" w:lastRow="0" w:firstColumn="0" w:lastColumn="0" w:oddVBand="0" w:evenVBand="0" w:oddHBand="0" w:evenHBand="0" w:firstRowFirstColumn="0" w:firstRowLastColumn="0" w:lastRowFirstColumn="0" w:lastRowLastColumn="0"/>
              <w:rPr>
                <w:sz w:val="24"/>
                <w:szCs w:val="24"/>
                <w:lang w:val="en-CA"/>
              </w:rPr>
            </w:pP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1C1953B8" w14:textId="77777777" w:rsidR="00B438F2" w:rsidRPr="002A73A1" w:rsidRDefault="00B438F2">
            <w:pPr>
              <w:widowControl/>
              <w:jc w:val="center"/>
              <w:rPr>
                <w:b/>
                <w:sz w:val="24"/>
                <w:szCs w:val="24"/>
                <w:lang w:val="en-CA"/>
              </w:rPr>
            </w:pPr>
            <w:r w:rsidRPr="002A73A1">
              <w:rPr>
                <w:b/>
                <w:sz w:val="24"/>
                <w:szCs w:val="24"/>
                <w:lang w:val="en-CA"/>
              </w:rPr>
              <w:fldChar w:fldCharType="begin"/>
            </w:r>
            <w:r w:rsidRPr="002A73A1">
              <w:rPr>
                <w:b/>
                <w:sz w:val="24"/>
                <w:szCs w:val="24"/>
                <w:lang w:val="en-CA"/>
              </w:rPr>
              <w:instrText xml:space="preserve"> =SUM(ABOVE) </w:instrText>
            </w:r>
            <w:r w:rsidRPr="002A73A1">
              <w:rPr>
                <w:b/>
                <w:sz w:val="24"/>
                <w:szCs w:val="24"/>
                <w:lang w:val="en-CA"/>
              </w:rPr>
              <w:fldChar w:fldCharType="separate"/>
            </w:r>
            <w:r w:rsidR="00E202F9">
              <w:rPr>
                <w:b/>
                <w:noProof/>
                <w:sz w:val="24"/>
                <w:szCs w:val="24"/>
                <w:lang w:val="en-CA"/>
              </w:rPr>
              <w:t>250</w:t>
            </w:r>
            <w:r w:rsidRPr="002A73A1">
              <w:rPr>
                <w:b/>
                <w:sz w:val="24"/>
                <w:szCs w:val="24"/>
                <w:lang w:val="en-CA"/>
              </w:rPr>
              <w:fldChar w:fldCharType="end"/>
            </w:r>
          </w:p>
        </w:tc>
        <w:tc>
          <w:tcPr>
            <w:tcW w:w="1620" w:type="dxa"/>
            <w:tcBorders>
              <w:right w:val="single" w:sz="4" w:space="0" w:color="auto"/>
            </w:tcBorders>
            <w:vAlign w:val="center"/>
          </w:tcPr>
          <w:p w14:paraId="12AD69CD" w14:textId="77777777" w:rsidR="00B438F2" w:rsidRPr="002A73A1" w:rsidRDefault="00B438F2">
            <w:pPr>
              <w:widowControl/>
              <w:jc w:val="center"/>
              <w:cnfStyle w:val="000000000000" w:firstRow="0" w:lastRow="0" w:firstColumn="0" w:lastColumn="0" w:oddVBand="0" w:evenVBand="0" w:oddHBand="0" w:evenHBand="0" w:firstRowFirstColumn="0" w:firstRowLastColumn="0" w:lastRowFirstColumn="0" w:lastRowLastColumn="0"/>
              <w:rPr>
                <w:sz w:val="24"/>
                <w:szCs w:val="24"/>
                <w:lang w:val="en-CA"/>
              </w:rPr>
            </w:pPr>
          </w:p>
        </w:tc>
        <w:tc>
          <w:tcPr>
            <w:cnfStyle w:val="000100000000" w:firstRow="0" w:lastRow="0" w:firstColumn="0" w:lastColumn="1" w:oddVBand="0" w:evenVBand="0" w:oddHBand="0" w:evenHBand="0" w:firstRowFirstColumn="0" w:firstRowLastColumn="0" w:lastRowFirstColumn="0" w:lastRowLastColumn="0"/>
            <w:tcW w:w="1620" w:type="dxa"/>
            <w:tcBorders>
              <w:top w:val="single" w:sz="4" w:space="0" w:color="auto"/>
              <w:left w:val="single" w:sz="4" w:space="0" w:color="auto"/>
              <w:bottom w:val="double" w:sz="4" w:space="0" w:color="auto"/>
              <w:right w:val="single" w:sz="4" w:space="0" w:color="auto"/>
            </w:tcBorders>
            <w:vAlign w:val="center"/>
          </w:tcPr>
          <w:p w14:paraId="21C09A8B" w14:textId="66E4729E" w:rsidR="00B438F2" w:rsidRPr="002A73A1" w:rsidRDefault="00A57D38" w:rsidP="004527A1">
            <w:pPr>
              <w:widowControl/>
              <w:jc w:val="center"/>
              <w:rPr>
                <w:b w:val="0"/>
                <w:sz w:val="24"/>
                <w:szCs w:val="24"/>
                <w:lang w:val="en-CA"/>
              </w:rPr>
            </w:pPr>
            <w:r>
              <w:rPr>
                <w:sz w:val="24"/>
                <w:szCs w:val="24"/>
                <w:lang w:val="en-CA"/>
              </w:rPr>
              <w:t>$9,</w:t>
            </w:r>
            <w:r w:rsidR="00A655FB">
              <w:rPr>
                <w:sz w:val="24"/>
                <w:szCs w:val="24"/>
                <w:lang w:val="en-CA"/>
              </w:rPr>
              <w:t>77</w:t>
            </w:r>
            <w:r w:rsidR="004527A1">
              <w:rPr>
                <w:sz w:val="24"/>
                <w:szCs w:val="24"/>
                <w:lang w:val="en-CA"/>
              </w:rPr>
              <w:t>3</w:t>
            </w:r>
            <w:r w:rsidR="00B438F2" w:rsidRPr="007D01DB">
              <w:rPr>
                <w:sz w:val="24"/>
                <w:szCs w:val="24"/>
                <w:lang w:val="en-CA"/>
              </w:rPr>
              <w:fldChar w:fldCharType="begin"/>
            </w:r>
            <w:r w:rsidR="00B438F2" w:rsidRPr="002A73A1">
              <w:rPr>
                <w:b w:val="0"/>
                <w:bCs w:val="0"/>
                <w:sz w:val="24"/>
                <w:szCs w:val="24"/>
                <w:lang w:val="en-CA"/>
              </w:rPr>
              <w:instrText xml:space="preserve">  </w:instrText>
            </w:r>
            <w:r w:rsidR="00B438F2" w:rsidRPr="007D01DB">
              <w:rPr>
                <w:sz w:val="24"/>
                <w:szCs w:val="24"/>
                <w:lang w:val="en-CA"/>
              </w:rPr>
              <w:fldChar w:fldCharType="end"/>
            </w:r>
            <w:r w:rsidR="00B438F2" w:rsidRPr="007D01DB">
              <w:rPr>
                <w:sz w:val="24"/>
                <w:szCs w:val="24"/>
                <w:lang w:val="en-CA"/>
              </w:rPr>
              <w:fldChar w:fldCharType="begin"/>
            </w:r>
            <w:r w:rsidR="00B438F2" w:rsidRPr="002A73A1">
              <w:rPr>
                <w:sz w:val="24"/>
                <w:szCs w:val="24"/>
                <w:lang w:val="en-CA"/>
              </w:rPr>
              <w:instrText xml:space="preserve">  </w:instrText>
            </w:r>
            <w:r w:rsidR="00B438F2" w:rsidRPr="007D01DB">
              <w:rPr>
                <w:sz w:val="24"/>
                <w:szCs w:val="24"/>
                <w:lang w:val="en-CA"/>
              </w:rPr>
              <w:fldChar w:fldCharType="end"/>
            </w:r>
          </w:p>
        </w:tc>
      </w:tr>
      <w:tr w:rsidR="00B438F2" w:rsidRPr="002A73A1" w14:paraId="6AC71E5A" w14:textId="77777777" w:rsidTr="007D01DB">
        <w:trPr>
          <w:cnfStyle w:val="010000000000" w:firstRow="0" w:lastRow="1"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178" w:type="dxa"/>
            <w:vAlign w:val="center"/>
          </w:tcPr>
          <w:p w14:paraId="088BB4AD" w14:textId="77777777" w:rsidR="00B438F2" w:rsidRPr="002A73A1" w:rsidRDefault="00B438F2" w:rsidP="007D01DB">
            <w:pPr>
              <w:widowControl/>
              <w:jc w:val="center"/>
              <w:rPr>
                <w:b w:val="0"/>
                <w:sz w:val="24"/>
                <w:szCs w:val="24"/>
                <w:lang w:val="en-CA"/>
              </w:rPr>
            </w:pPr>
            <w:r w:rsidRPr="002A73A1">
              <w:rPr>
                <w:sz w:val="24"/>
                <w:szCs w:val="24"/>
                <w:lang w:val="en-CA"/>
              </w:rPr>
              <w:t>TOTAL</w:t>
            </w:r>
          </w:p>
        </w:tc>
        <w:tc>
          <w:tcPr>
            <w:cnfStyle w:val="000010000000" w:firstRow="0" w:lastRow="0" w:firstColumn="0" w:lastColumn="0" w:oddVBand="1" w:evenVBand="0" w:oddHBand="0" w:evenHBand="0" w:firstRowFirstColumn="0" w:firstRowLastColumn="0" w:lastRowFirstColumn="0" w:lastRowLastColumn="0"/>
            <w:tcW w:w="1332" w:type="dxa"/>
            <w:vAlign w:val="center"/>
          </w:tcPr>
          <w:p w14:paraId="729F025F" w14:textId="77777777" w:rsidR="00B438F2" w:rsidRPr="002A73A1" w:rsidRDefault="00B438F2">
            <w:pPr>
              <w:widowControl/>
              <w:jc w:val="center"/>
              <w:rPr>
                <w:b w:val="0"/>
                <w:sz w:val="24"/>
                <w:szCs w:val="24"/>
                <w:lang w:val="en-CA"/>
              </w:rPr>
            </w:pPr>
            <w:r w:rsidRPr="002A73A1">
              <w:rPr>
                <w:sz w:val="24"/>
                <w:szCs w:val="24"/>
                <w:lang w:val="en-CA"/>
              </w:rPr>
              <w:t>110</w:t>
            </w:r>
          </w:p>
        </w:tc>
        <w:tc>
          <w:tcPr>
            <w:tcW w:w="1350" w:type="dxa"/>
            <w:vAlign w:val="center"/>
          </w:tcPr>
          <w:p w14:paraId="592AF92F" w14:textId="77777777" w:rsidR="00B438F2" w:rsidRPr="002A73A1" w:rsidRDefault="00B438F2" w:rsidP="007D01DB">
            <w:pPr>
              <w:widowControl/>
              <w:jc w:val="center"/>
              <w:cnfStyle w:val="010000000000" w:firstRow="0" w:lastRow="1" w:firstColumn="0" w:lastColumn="0" w:oddVBand="0" w:evenVBand="0" w:oddHBand="0" w:evenHBand="0" w:firstRowFirstColumn="0" w:firstRowLastColumn="0" w:lastRowFirstColumn="0" w:lastRowLastColumn="0"/>
              <w:rPr>
                <w:b w:val="0"/>
                <w:sz w:val="24"/>
                <w:szCs w:val="24"/>
                <w:lang w:val="en-CA"/>
              </w:rPr>
            </w:pP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60A677E2" w14:textId="77777777" w:rsidR="00B438F2" w:rsidRPr="002A73A1" w:rsidRDefault="00B438F2">
            <w:pPr>
              <w:widowControl/>
              <w:jc w:val="center"/>
              <w:rPr>
                <w:b w:val="0"/>
                <w:sz w:val="24"/>
                <w:szCs w:val="24"/>
                <w:lang w:val="en-CA"/>
              </w:rPr>
            </w:pPr>
            <w:r w:rsidRPr="002A73A1">
              <w:rPr>
                <w:sz w:val="24"/>
                <w:szCs w:val="24"/>
                <w:lang w:val="en-CA"/>
              </w:rPr>
              <w:t>2,350</w:t>
            </w:r>
          </w:p>
        </w:tc>
        <w:tc>
          <w:tcPr>
            <w:tcW w:w="1620" w:type="dxa"/>
            <w:tcBorders>
              <w:right w:val="single" w:sz="4" w:space="0" w:color="auto"/>
            </w:tcBorders>
            <w:vAlign w:val="center"/>
          </w:tcPr>
          <w:p w14:paraId="6D5203F2" w14:textId="77777777" w:rsidR="00B438F2" w:rsidRPr="002A73A1" w:rsidRDefault="00B438F2">
            <w:pPr>
              <w:widowControl/>
              <w:jc w:val="center"/>
              <w:cnfStyle w:val="010000000000" w:firstRow="0" w:lastRow="1" w:firstColumn="0" w:lastColumn="0" w:oddVBand="0" w:evenVBand="0" w:oddHBand="0" w:evenHBand="0" w:firstRowFirstColumn="0" w:firstRowLastColumn="0" w:lastRowFirstColumn="0" w:lastRowLastColumn="0"/>
              <w:rPr>
                <w:b w:val="0"/>
                <w:sz w:val="24"/>
                <w:szCs w:val="24"/>
                <w:lang w:val="en-CA"/>
              </w:rPr>
            </w:pPr>
          </w:p>
        </w:tc>
        <w:tc>
          <w:tcPr>
            <w:cnfStyle w:val="000100000000" w:firstRow="0" w:lastRow="0" w:firstColumn="0" w:lastColumn="1" w:oddVBand="0" w:evenVBand="0" w:oddHBand="0" w:evenHBand="0" w:firstRowFirstColumn="0" w:firstRowLastColumn="0" w:lastRowFirstColumn="0" w:lastRowLastColumn="0"/>
            <w:tcW w:w="1620" w:type="dxa"/>
            <w:tcBorders>
              <w:top w:val="double" w:sz="4" w:space="0" w:color="auto"/>
              <w:left w:val="single" w:sz="4" w:space="0" w:color="auto"/>
              <w:bottom w:val="single" w:sz="4" w:space="0" w:color="auto"/>
              <w:right w:val="single" w:sz="4" w:space="0" w:color="auto"/>
            </w:tcBorders>
            <w:vAlign w:val="center"/>
          </w:tcPr>
          <w:p w14:paraId="7E6E5BDD" w14:textId="4D522434" w:rsidR="00B438F2" w:rsidRPr="002A73A1" w:rsidRDefault="00B438F2" w:rsidP="004527A1">
            <w:pPr>
              <w:widowControl/>
              <w:jc w:val="center"/>
              <w:rPr>
                <w:b w:val="0"/>
                <w:sz w:val="24"/>
                <w:szCs w:val="24"/>
                <w:lang w:val="en-CA"/>
              </w:rPr>
            </w:pPr>
            <w:r w:rsidRPr="002A73A1">
              <w:rPr>
                <w:sz w:val="24"/>
                <w:szCs w:val="24"/>
                <w:lang w:val="en-CA"/>
              </w:rPr>
              <w:t>$</w:t>
            </w:r>
            <w:r w:rsidR="0033532E">
              <w:rPr>
                <w:sz w:val="24"/>
                <w:szCs w:val="24"/>
                <w:lang w:val="en-CA"/>
              </w:rPr>
              <w:t>94,</w:t>
            </w:r>
            <w:r w:rsidR="00A655FB">
              <w:rPr>
                <w:sz w:val="24"/>
                <w:szCs w:val="24"/>
                <w:lang w:val="en-CA"/>
              </w:rPr>
              <w:t>55</w:t>
            </w:r>
            <w:r w:rsidR="004527A1">
              <w:rPr>
                <w:sz w:val="24"/>
                <w:szCs w:val="24"/>
                <w:lang w:val="en-CA"/>
              </w:rPr>
              <w:t>4</w:t>
            </w:r>
          </w:p>
        </w:tc>
      </w:tr>
    </w:tbl>
    <w:p w14:paraId="29EE9949" w14:textId="77777777" w:rsidR="00B438F2" w:rsidRPr="0041545E" w:rsidRDefault="00B438F2" w:rsidP="00B438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lastRenderedPageBreak/>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4680E6" w14:textId="7DDC5359" w:rsidR="00082C1C" w:rsidRDefault="004154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545E">
        <w:rPr>
          <w:sz w:val="24"/>
          <w:szCs w:val="24"/>
        </w:rPr>
        <w:t>There is no non-hour cost burden to applicants under this collection.  There is no fee for application, nor any fees associated with application requirements.</w:t>
      </w: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7CF064F1" w14:textId="77777777" w:rsidR="0041545E" w:rsidRDefault="0041545E" w:rsidP="004154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E34BC0E" w14:textId="6B844925" w:rsidR="0041545E" w:rsidRPr="0041545E" w:rsidRDefault="0041545E" w:rsidP="0041545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545E">
        <w:rPr>
          <w:sz w:val="24"/>
          <w:szCs w:val="24"/>
        </w:rPr>
        <w:t>The total estimated cost to the Federal Government for processing and reviewing proposals and reviewing reports as a result of this collection of information is $</w:t>
      </w:r>
      <w:r w:rsidR="00A62A67">
        <w:rPr>
          <w:sz w:val="24"/>
          <w:szCs w:val="24"/>
        </w:rPr>
        <w:t>33,270</w:t>
      </w:r>
      <w:r w:rsidRPr="0041545E">
        <w:rPr>
          <w:sz w:val="24"/>
          <w:szCs w:val="24"/>
        </w:rPr>
        <w:t xml:space="preserve">. This includes hourly wages and benefits.  Table 4 below shows Federal staff and grade levels performing various tasks associated with this information collection. </w:t>
      </w:r>
      <w:r w:rsidR="00DD7E53" w:rsidRPr="00DD7E53">
        <w:rPr>
          <w:sz w:val="24"/>
          <w:szCs w:val="24"/>
        </w:rPr>
        <w:t>We used the Office of Personnel Management Salary Table 2015-GS (http://www.opm.gov/policy-data-oversight/pay-leave/salaries-wages/salary-tables/pdf/2015/GS_h.pdf) to determine the hourly wages. We multiplied the hourly wage by 1.5 to account for benefits.</w:t>
      </w:r>
    </w:p>
    <w:p w14:paraId="481F6E21" w14:textId="77777777" w:rsidR="0041545E" w:rsidRPr="0041545E" w:rsidRDefault="0041545E" w:rsidP="004154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1545E">
        <w:rPr>
          <w:sz w:val="24"/>
          <w:szCs w:val="24"/>
        </w:rPr>
        <w:t xml:space="preserve"> </w:t>
      </w:r>
    </w:p>
    <w:p w14:paraId="453F870C" w14:textId="78D0CA5E" w:rsidR="00740AF4" w:rsidRDefault="0041545E" w:rsidP="0041545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545E">
        <w:rPr>
          <w:sz w:val="24"/>
          <w:szCs w:val="24"/>
        </w:rPr>
        <w:t xml:space="preserve">Grants Specialist will provide assistance applicants when help is requested, download the applications, and provide the applications to the NSDI CAP Coordinator.  The NSDI CAP </w:t>
      </w:r>
      <w:r w:rsidRPr="0041545E">
        <w:rPr>
          <w:sz w:val="24"/>
          <w:szCs w:val="24"/>
        </w:rPr>
        <w:lastRenderedPageBreak/>
        <w:t>Coordinator will complete the application initial review process to consider the completeness of documentation, basic eligibility. Six subject matter specialists will evaluate the remaining proposals. Each proposal is evaluated and scored using narrative evaluation factors. Finally, the slate of selected proposals will be submitted to the senior leadership for final approval. Each of the 25 award recipients are required to submit an interim report and a final report which are reviewed by the six subject matter specialist.</w:t>
      </w:r>
    </w:p>
    <w:p w14:paraId="2D5D67DD" w14:textId="77777777" w:rsidR="0041545E" w:rsidRDefault="0041545E" w:rsidP="0041545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FDD262" w14:textId="77777777" w:rsidR="00DD7E53" w:rsidRDefault="00DD7E53" w:rsidP="00DD7E53">
      <w:pPr>
        <w:rPr>
          <w:b/>
          <w:sz w:val="24"/>
          <w:szCs w:val="24"/>
        </w:rPr>
      </w:pPr>
      <w:r w:rsidRPr="003A65B5">
        <w:rPr>
          <w:b/>
          <w:sz w:val="24"/>
          <w:szCs w:val="24"/>
        </w:rPr>
        <w:t>Table 4. Annual Cost to the Federal Government</w:t>
      </w:r>
    </w:p>
    <w:p w14:paraId="7DCEA378" w14:textId="000F702E" w:rsidR="00DE11D1" w:rsidRDefault="00DE11D1">
      <w:pPr>
        <w:widowControl/>
        <w:autoSpaceDE/>
        <w:autoSpaceDN/>
        <w:adjustRightInd/>
        <w:rPr>
          <w:b/>
          <w:sz w:val="24"/>
          <w:szCs w:val="24"/>
        </w:rPr>
      </w:pPr>
    </w:p>
    <w:tbl>
      <w:tblPr>
        <w:tblW w:w="9060" w:type="dxa"/>
        <w:tblInd w:w="93" w:type="dxa"/>
        <w:tblLook w:val="04A0" w:firstRow="1" w:lastRow="0" w:firstColumn="1" w:lastColumn="0" w:noHBand="0" w:noVBand="1"/>
      </w:tblPr>
      <w:tblGrid>
        <w:gridCol w:w="1840"/>
        <w:gridCol w:w="1420"/>
        <w:gridCol w:w="1180"/>
        <w:gridCol w:w="1540"/>
        <w:gridCol w:w="1480"/>
        <w:gridCol w:w="1600"/>
      </w:tblGrid>
      <w:tr w:rsidR="00756AE8" w:rsidRPr="00756AE8" w14:paraId="5E6B2E9F" w14:textId="77777777" w:rsidTr="00756AE8">
        <w:trPr>
          <w:trHeight w:val="315"/>
        </w:trPr>
        <w:tc>
          <w:tcPr>
            <w:tcW w:w="326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82DCF46" w14:textId="77777777" w:rsidR="00756AE8" w:rsidRPr="00756AE8" w:rsidRDefault="00756AE8" w:rsidP="00756AE8">
            <w:pPr>
              <w:widowControl/>
              <w:autoSpaceDE/>
              <w:autoSpaceDN/>
              <w:adjustRightInd/>
              <w:rPr>
                <w:b/>
                <w:bCs/>
                <w:color w:val="000000"/>
                <w:sz w:val="24"/>
                <w:szCs w:val="24"/>
              </w:rPr>
            </w:pPr>
            <w:r w:rsidRPr="00756AE8">
              <w:rPr>
                <w:b/>
                <w:bCs/>
                <w:color w:val="000000"/>
                <w:sz w:val="24"/>
                <w:szCs w:val="24"/>
              </w:rPr>
              <w:t>Action: Review Proposals</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7075A398" w14:textId="77777777" w:rsidR="00756AE8" w:rsidRPr="00756AE8" w:rsidRDefault="00756AE8" w:rsidP="00756AE8">
            <w:pPr>
              <w:widowControl/>
              <w:autoSpaceDE/>
              <w:autoSpaceDN/>
              <w:adjustRightInd/>
              <w:rPr>
                <w:rFonts w:ascii="Calibri" w:hAnsi="Calibri"/>
                <w:color w:val="000000"/>
                <w:sz w:val="22"/>
                <w:szCs w:val="22"/>
              </w:rPr>
            </w:pPr>
            <w:r w:rsidRPr="00756AE8">
              <w:rPr>
                <w:rFonts w:ascii="Calibri" w:hAnsi="Calibri"/>
                <w:color w:val="000000"/>
                <w:sz w:val="22"/>
                <w:szCs w:val="22"/>
              </w:rPr>
              <w:t> </w:t>
            </w:r>
          </w:p>
        </w:tc>
        <w:tc>
          <w:tcPr>
            <w:tcW w:w="1540" w:type="dxa"/>
            <w:tcBorders>
              <w:top w:val="nil"/>
              <w:left w:val="nil"/>
              <w:bottom w:val="nil"/>
              <w:right w:val="nil"/>
            </w:tcBorders>
            <w:shd w:val="clear" w:color="auto" w:fill="auto"/>
            <w:noWrap/>
            <w:vAlign w:val="bottom"/>
            <w:hideMark/>
          </w:tcPr>
          <w:p w14:paraId="6C11DF06" w14:textId="77777777" w:rsidR="00756AE8" w:rsidRPr="00756AE8" w:rsidRDefault="00756AE8" w:rsidP="00756AE8">
            <w:pPr>
              <w:widowControl/>
              <w:autoSpaceDE/>
              <w:autoSpaceDN/>
              <w:adjustRightInd/>
              <w:rPr>
                <w:rFonts w:ascii="Calibri" w:hAnsi="Calibri"/>
                <w:color w:val="000000"/>
                <w:sz w:val="22"/>
                <w:szCs w:val="22"/>
              </w:rPr>
            </w:pPr>
          </w:p>
        </w:tc>
        <w:tc>
          <w:tcPr>
            <w:tcW w:w="1480" w:type="dxa"/>
            <w:tcBorders>
              <w:top w:val="nil"/>
              <w:left w:val="nil"/>
              <w:bottom w:val="nil"/>
              <w:right w:val="nil"/>
            </w:tcBorders>
            <w:shd w:val="clear" w:color="auto" w:fill="auto"/>
            <w:noWrap/>
            <w:vAlign w:val="bottom"/>
            <w:hideMark/>
          </w:tcPr>
          <w:p w14:paraId="04A5DD19" w14:textId="77777777" w:rsidR="00756AE8" w:rsidRPr="00756AE8" w:rsidRDefault="00756AE8" w:rsidP="00756AE8">
            <w:pPr>
              <w:widowControl/>
              <w:autoSpaceDE/>
              <w:autoSpaceDN/>
              <w:adjustRightInd/>
              <w:rPr>
                <w:rFonts w:ascii="Calibri" w:hAnsi="Calibri"/>
                <w:color w:val="000000"/>
                <w:sz w:val="22"/>
                <w:szCs w:val="22"/>
              </w:rPr>
            </w:pPr>
          </w:p>
        </w:tc>
        <w:tc>
          <w:tcPr>
            <w:tcW w:w="1600" w:type="dxa"/>
            <w:tcBorders>
              <w:top w:val="nil"/>
              <w:left w:val="nil"/>
              <w:bottom w:val="nil"/>
              <w:right w:val="nil"/>
            </w:tcBorders>
            <w:shd w:val="clear" w:color="auto" w:fill="auto"/>
            <w:noWrap/>
            <w:vAlign w:val="bottom"/>
            <w:hideMark/>
          </w:tcPr>
          <w:p w14:paraId="6A1FBB8E" w14:textId="77777777" w:rsidR="00756AE8" w:rsidRPr="00756AE8" w:rsidRDefault="00756AE8" w:rsidP="00756AE8">
            <w:pPr>
              <w:widowControl/>
              <w:autoSpaceDE/>
              <w:autoSpaceDN/>
              <w:adjustRightInd/>
              <w:rPr>
                <w:rFonts w:ascii="Calibri" w:hAnsi="Calibri"/>
                <w:color w:val="000000"/>
                <w:sz w:val="22"/>
                <w:szCs w:val="22"/>
              </w:rPr>
            </w:pPr>
          </w:p>
        </w:tc>
      </w:tr>
      <w:tr w:rsidR="00756AE8" w:rsidRPr="00756AE8" w14:paraId="7B43B18F" w14:textId="77777777" w:rsidTr="00756AE8">
        <w:trPr>
          <w:trHeight w:val="126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50E86327" w14:textId="77777777" w:rsidR="00756AE8" w:rsidRPr="00756AE8" w:rsidRDefault="00756AE8" w:rsidP="00756AE8">
            <w:pPr>
              <w:widowControl/>
              <w:autoSpaceDE/>
              <w:autoSpaceDN/>
              <w:adjustRightInd/>
              <w:rPr>
                <w:b/>
                <w:bCs/>
                <w:color w:val="000000"/>
                <w:sz w:val="24"/>
                <w:szCs w:val="24"/>
              </w:rPr>
            </w:pPr>
            <w:r w:rsidRPr="00756AE8">
              <w:rPr>
                <w:b/>
                <w:bCs/>
                <w:color w:val="000000"/>
                <w:sz w:val="24"/>
                <w:szCs w:val="24"/>
              </w:rPr>
              <w:t>Title Position</w:t>
            </w:r>
          </w:p>
        </w:tc>
        <w:tc>
          <w:tcPr>
            <w:tcW w:w="1420" w:type="dxa"/>
            <w:tcBorders>
              <w:top w:val="nil"/>
              <w:left w:val="nil"/>
              <w:bottom w:val="single" w:sz="4" w:space="0" w:color="auto"/>
              <w:right w:val="single" w:sz="4" w:space="0" w:color="auto"/>
            </w:tcBorders>
            <w:shd w:val="clear" w:color="000000" w:fill="D9D9D9"/>
            <w:vAlign w:val="center"/>
            <w:hideMark/>
          </w:tcPr>
          <w:p w14:paraId="7E309D64" w14:textId="77777777" w:rsidR="00756AE8" w:rsidRPr="00756AE8" w:rsidRDefault="00756AE8" w:rsidP="00756AE8">
            <w:pPr>
              <w:widowControl/>
              <w:autoSpaceDE/>
              <w:autoSpaceDN/>
              <w:adjustRightInd/>
              <w:jc w:val="center"/>
              <w:rPr>
                <w:b/>
                <w:bCs/>
                <w:color w:val="000000"/>
                <w:sz w:val="24"/>
                <w:szCs w:val="24"/>
              </w:rPr>
            </w:pPr>
            <w:r w:rsidRPr="00756AE8">
              <w:rPr>
                <w:b/>
                <w:bCs/>
                <w:color w:val="000000"/>
                <w:sz w:val="24"/>
                <w:szCs w:val="24"/>
              </w:rPr>
              <w:t>Grade/ Step</w:t>
            </w:r>
          </w:p>
        </w:tc>
        <w:tc>
          <w:tcPr>
            <w:tcW w:w="1180" w:type="dxa"/>
            <w:tcBorders>
              <w:top w:val="nil"/>
              <w:left w:val="nil"/>
              <w:bottom w:val="single" w:sz="4" w:space="0" w:color="auto"/>
              <w:right w:val="single" w:sz="4" w:space="0" w:color="auto"/>
            </w:tcBorders>
            <w:shd w:val="clear" w:color="000000" w:fill="D9D9D9"/>
            <w:vAlign w:val="center"/>
            <w:hideMark/>
          </w:tcPr>
          <w:p w14:paraId="2A12F772" w14:textId="77777777" w:rsidR="00756AE8" w:rsidRPr="00756AE8" w:rsidRDefault="00756AE8" w:rsidP="00756AE8">
            <w:pPr>
              <w:widowControl/>
              <w:autoSpaceDE/>
              <w:autoSpaceDN/>
              <w:adjustRightInd/>
              <w:jc w:val="center"/>
              <w:rPr>
                <w:b/>
                <w:bCs/>
                <w:color w:val="000000"/>
                <w:sz w:val="24"/>
                <w:szCs w:val="24"/>
              </w:rPr>
            </w:pPr>
            <w:r w:rsidRPr="00756AE8">
              <w:rPr>
                <w:b/>
                <w:bCs/>
                <w:color w:val="000000"/>
                <w:sz w:val="24"/>
                <w:szCs w:val="24"/>
              </w:rPr>
              <w:t>Hourly Rate</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14:paraId="34AB9C78" w14:textId="77777777" w:rsidR="00756AE8" w:rsidRPr="00756AE8" w:rsidRDefault="00756AE8" w:rsidP="00756AE8">
            <w:pPr>
              <w:widowControl/>
              <w:autoSpaceDE/>
              <w:autoSpaceDN/>
              <w:adjustRightInd/>
              <w:jc w:val="center"/>
              <w:rPr>
                <w:b/>
                <w:bCs/>
                <w:color w:val="000000"/>
                <w:sz w:val="24"/>
                <w:szCs w:val="24"/>
              </w:rPr>
            </w:pPr>
            <w:r w:rsidRPr="00756AE8">
              <w:rPr>
                <w:b/>
                <w:bCs/>
                <w:color w:val="000000"/>
                <w:sz w:val="24"/>
                <w:szCs w:val="24"/>
              </w:rPr>
              <w:t>Hourly Rate incl. benefits (1.5 x hourly pay rate)</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14:paraId="369E6915" w14:textId="77777777" w:rsidR="00756AE8" w:rsidRPr="00756AE8" w:rsidRDefault="00756AE8" w:rsidP="00756AE8">
            <w:pPr>
              <w:widowControl/>
              <w:autoSpaceDE/>
              <w:autoSpaceDN/>
              <w:adjustRightInd/>
              <w:jc w:val="center"/>
              <w:rPr>
                <w:b/>
                <w:bCs/>
                <w:color w:val="000000"/>
                <w:sz w:val="24"/>
                <w:szCs w:val="24"/>
              </w:rPr>
            </w:pPr>
            <w:r w:rsidRPr="00756AE8">
              <w:rPr>
                <w:b/>
                <w:bCs/>
                <w:color w:val="000000"/>
                <w:sz w:val="24"/>
                <w:szCs w:val="24"/>
              </w:rPr>
              <w:t>Hours on Project</w:t>
            </w:r>
          </w:p>
        </w:tc>
        <w:tc>
          <w:tcPr>
            <w:tcW w:w="1600" w:type="dxa"/>
            <w:tcBorders>
              <w:top w:val="single" w:sz="4" w:space="0" w:color="auto"/>
              <w:left w:val="nil"/>
              <w:bottom w:val="single" w:sz="4" w:space="0" w:color="auto"/>
              <w:right w:val="single" w:sz="4" w:space="0" w:color="auto"/>
            </w:tcBorders>
            <w:shd w:val="clear" w:color="000000" w:fill="D9D9D9"/>
            <w:vAlign w:val="center"/>
            <w:hideMark/>
          </w:tcPr>
          <w:p w14:paraId="76321B06" w14:textId="77777777" w:rsidR="00756AE8" w:rsidRPr="00756AE8" w:rsidRDefault="00756AE8" w:rsidP="00756AE8">
            <w:pPr>
              <w:widowControl/>
              <w:autoSpaceDE/>
              <w:autoSpaceDN/>
              <w:adjustRightInd/>
              <w:jc w:val="center"/>
              <w:rPr>
                <w:b/>
                <w:bCs/>
                <w:color w:val="000000"/>
                <w:sz w:val="24"/>
                <w:szCs w:val="24"/>
              </w:rPr>
            </w:pPr>
            <w:r w:rsidRPr="00756AE8">
              <w:rPr>
                <w:b/>
                <w:bCs/>
                <w:color w:val="000000"/>
                <w:sz w:val="24"/>
                <w:szCs w:val="24"/>
              </w:rPr>
              <w:t>Annual Cost</w:t>
            </w:r>
          </w:p>
        </w:tc>
      </w:tr>
      <w:tr w:rsidR="00756AE8" w:rsidRPr="00756AE8" w14:paraId="195EF3A5" w14:textId="77777777" w:rsidTr="00756AE8">
        <w:trPr>
          <w:trHeight w:val="315"/>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EFFA8DE" w14:textId="77777777" w:rsidR="00756AE8" w:rsidRPr="00756AE8" w:rsidRDefault="00756AE8" w:rsidP="00756AE8">
            <w:pPr>
              <w:widowControl/>
              <w:autoSpaceDE/>
              <w:autoSpaceDN/>
              <w:adjustRightInd/>
              <w:rPr>
                <w:color w:val="000000"/>
                <w:sz w:val="24"/>
                <w:szCs w:val="24"/>
              </w:rPr>
            </w:pPr>
            <w:r w:rsidRPr="00756AE8">
              <w:rPr>
                <w:color w:val="000000"/>
                <w:sz w:val="24"/>
                <w:szCs w:val="24"/>
              </w:rPr>
              <w:t>Grants Specialist</w:t>
            </w:r>
          </w:p>
        </w:tc>
        <w:tc>
          <w:tcPr>
            <w:tcW w:w="1420" w:type="dxa"/>
            <w:tcBorders>
              <w:top w:val="nil"/>
              <w:left w:val="nil"/>
              <w:bottom w:val="single" w:sz="4" w:space="0" w:color="auto"/>
              <w:right w:val="single" w:sz="4" w:space="0" w:color="auto"/>
            </w:tcBorders>
            <w:shd w:val="clear" w:color="auto" w:fill="auto"/>
            <w:vAlign w:val="center"/>
            <w:hideMark/>
          </w:tcPr>
          <w:p w14:paraId="60FE3878"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GS-12/9</w:t>
            </w:r>
          </w:p>
        </w:tc>
        <w:tc>
          <w:tcPr>
            <w:tcW w:w="1180" w:type="dxa"/>
            <w:tcBorders>
              <w:top w:val="nil"/>
              <w:left w:val="nil"/>
              <w:bottom w:val="single" w:sz="4" w:space="0" w:color="auto"/>
              <w:right w:val="single" w:sz="4" w:space="0" w:color="auto"/>
            </w:tcBorders>
            <w:shd w:val="clear" w:color="auto" w:fill="auto"/>
            <w:noWrap/>
            <w:vAlign w:val="center"/>
            <w:hideMark/>
          </w:tcPr>
          <w:p w14:paraId="13C93C1F"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$37.32 </w:t>
            </w:r>
          </w:p>
        </w:tc>
        <w:tc>
          <w:tcPr>
            <w:tcW w:w="1540" w:type="dxa"/>
            <w:tcBorders>
              <w:top w:val="nil"/>
              <w:left w:val="nil"/>
              <w:bottom w:val="single" w:sz="4" w:space="0" w:color="auto"/>
              <w:right w:val="single" w:sz="4" w:space="0" w:color="auto"/>
            </w:tcBorders>
            <w:shd w:val="clear" w:color="auto" w:fill="auto"/>
            <w:noWrap/>
            <w:vAlign w:val="center"/>
            <w:hideMark/>
          </w:tcPr>
          <w:p w14:paraId="2A1433A6"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$55.98 </w:t>
            </w:r>
          </w:p>
        </w:tc>
        <w:tc>
          <w:tcPr>
            <w:tcW w:w="1480" w:type="dxa"/>
            <w:tcBorders>
              <w:top w:val="nil"/>
              <w:left w:val="nil"/>
              <w:bottom w:val="single" w:sz="4" w:space="0" w:color="auto"/>
              <w:right w:val="single" w:sz="4" w:space="0" w:color="auto"/>
            </w:tcBorders>
            <w:shd w:val="clear" w:color="auto" w:fill="auto"/>
            <w:vAlign w:val="center"/>
            <w:hideMark/>
          </w:tcPr>
          <w:p w14:paraId="640E3E98"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23</w:t>
            </w:r>
          </w:p>
        </w:tc>
        <w:tc>
          <w:tcPr>
            <w:tcW w:w="1600" w:type="dxa"/>
            <w:tcBorders>
              <w:top w:val="nil"/>
              <w:left w:val="nil"/>
              <w:bottom w:val="single" w:sz="4" w:space="0" w:color="auto"/>
              <w:right w:val="single" w:sz="4" w:space="0" w:color="auto"/>
            </w:tcBorders>
            <w:shd w:val="clear" w:color="auto" w:fill="auto"/>
            <w:vAlign w:val="center"/>
            <w:hideMark/>
          </w:tcPr>
          <w:p w14:paraId="11843E83" w14:textId="2991A563" w:rsidR="00756AE8" w:rsidRPr="00756AE8" w:rsidRDefault="00A14F84" w:rsidP="00756AE8">
            <w:pPr>
              <w:widowControl/>
              <w:autoSpaceDE/>
              <w:autoSpaceDN/>
              <w:adjustRightInd/>
              <w:jc w:val="center"/>
              <w:rPr>
                <w:color w:val="000000"/>
                <w:sz w:val="24"/>
                <w:szCs w:val="24"/>
              </w:rPr>
            </w:pPr>
            <w:r>
              <w:rPr>
                <w:color w:val="000000"/>
                <w:sz w:val="24"/>
                <w:szCs w:val="24"/>
              </w:rPr>
              <w:t>$1,288</w:t>
            </w:r>
          </w:p>
        </w:tc>
      </w:tr>
      <w:tr w:rsidR="00756AE8" w:rsidRPr="00756AE8" w14:paraId="21E7FF0B" w14:textId="77777777" w:rsidTr="00756AE8">
        <w:trPr>
          <w:trHeight w:val="6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AB5C26D" w14:textId="77777777" w:rsidR="00756AE8" w:rsidRPr="00756AE8" w:rsidRDefault="00756AE8" w:rsidP="00756AE8">
            <w:pPr>
              <w:widowControl/>
              <w:autoSpaceDE/>
              <w:autoSpaceDN/>
              <w:adjustRightInd/>
              <w:rPr>
                <w:color w:val="000000"/>
                <w:sz w:val="24"/>
                <w:szCs w:val="24"/>
              </w:rPr>
            </w:pPr>
            <w:r w:rsidRPr="00756AE8">
              <w:rPr>
                <w:color w:val="000000"/>
                <w:sz w:val="24"/>
                <w:szCs w:val="24"/>
              </w:rPr>
              <w:t>NSDI CAP Coordinator</w:t>
            </w:r>
          </w:p>
        </w:tc>
        <w:tc>
          <w:tcPr>
            <w:tcW w:w="1420" w:type="dxa"/>
            <w:tcBorders>
              <w:top w:val="nil"/>
              <w:left w:val="nil"/>
              <w:bottom w:val="single" w:sz="4" w:space="0" w:color="auto"/>
              <w:right w:val="single" w:sz="4" w:space="0" w:color="auto"/>
            </w:tcBorders>
            <w:shd w:val="clear" w:color="auto" w:fill="auto"/>
            <w:vAlign w:val="center"/>
            <w:hideMark/>
          </w:tcPr>
          <w:p w14:paraId="59F0C65C"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GS-13/10</w:t>
            </w:r>
          </w:p>
        </w:tc>
        <w:tc>
          <w:tcPr>
            <w:tcW w:w="1180" w:type="dxa"/>
            <w:tcBorders>
              <w:top w:val="nil"/>
              <w:left w:val="nil"/>
              <w:bottom w:val="single" w:sz="4" w:space="0" w:color="auto"/>
              <w:right w:val="single" w:sz="4" w:space="0" w:color="auto"/>
            </w:tcBorders>
            <w:shd w:val="clear" w:color="auto" w:fill="auto"/>
            <w:vAlign w:val="center"/>
            <w:hideMark/>
          </w:tcPr>
          <w:p w14:paraId="04F68D72"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$45.54 </w:t>
            </w:r>
          </w:p>
        </w:tc>
        <w:tc>
          <w:tcPr>
            <w:tcW w:w="1540" w:type="dxa"/>
            <w:tcBorders>
              <w:top w:val="nil"/>
              <w:left w:val="nil"/>
              <w:bottom w:val="single" w:sz="4" w:space="0" w:color="auto"/>
              <w:right w:val="single" w:sz="4" w:space="0" w:color="auto"/>
            </w:tcBorders>
            <w:shd w:val="clear" w:color="auto" w:fill="auto"/>
            <w:noWrap/>
            <w:vAlign w:val="center"/>
            <w:hideMark/>
          </w:tcPr>
          <w:p w14:paraId="019CEF9D"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$68.31 </w:t>
            </w:r>
          </w:p>
        </w:tc>
        <w:tc>
          <w:tcPr>
            <w:tcW w:w="1480" w:type="dxa"/>
            <w:tcBorders>
              <w:top w:val="nil"/>
              <w:left w:val="nil"/>
              <w:bottom w:val="single" w:sz="4" w:space="0" w:color="auto"/>
              <w:right w:val="single" w:sz="4" w:space="0" w:color="auto"/>
            </w:tcBorders>
            <w:shd w:val="clear" w:color="auto" w:fill="auto"/>
            <w:vAlign w:val="center"/>
            <w:hideMark/>
          </w:tcPr>
          <w:p w14:paraId="7CA0F90D"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184</w:t>
            </w:r>
          </w:p>
        </w:tc>
        <w:tc>
          <w:tcPr>
            <w:tcW w:w="1600" w:type="dxa"/>
            <w:tcBorders>
              <w:top w:val="nil"/>
              <w:left w:val="nil"/>
              <w:bottom w:val="single" w:sz="4" w:space="0" w:color="auto"/>
              <w:right w:val="single" w:sz="4" w:space="0" w:color="auto"/>
            </w:tcBorders>
            <w:shd w:val="clear" w:color="auto" w:fill="auto"/>
            <w:vAlign w:val="center"/>
            <w:hideMark/>
          </w:tcPr>
          <w:p w14:paraId="467F6F92" w14:textId="287230A8" w:rsidR="00756AE8" w:rsidRPr="00756AE8" w:rsidRDefault="00A14F84" w:rsidP="00A62A67">
            <w:pPr>
              <w:widowControl/>
              <w:autoSpaceDE/>
              <w:autoSpaceDN/>
              <w:adjustRightInd/>
              <w:jc w:val="center"/>
              <w:rPr>
                <w:color w:val="000000"/>
                <w:sz w:val="24"/>
                <w:szCs w:val="24"/>
              </w:rPr>
            </w:pPr>
            <w:r>
              <w:rPr>
                <w:color w:val="000000"/>
                <w:sz w:val="24"/>
                <w:szCs w:val="24"/>
              </w:rPr>
              <w:t>$12,5</w:t>
            </w:r>
            <w:r w:rsidR="00A62A67">
              <w:rPr>
                <w:color w:val="000000"/>
                <w:sz w:val="24"/>
                <w:szCs w:val="24"/>
              </w:rPr>
              <w:t>70</w:t>
            </w:r>
          </w:p>
        </w:tc>
      </w:tr>
      <w:tr w:rsidR="00756AE8" w:rsidRPr="00756AE8" w14:paraId="29A20117" w14:textId="77777777" w:rsidTr="00756AE8">
        <w:trPr>
          <w:trHeight w:val="6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C301C04" w14:textId="77777777" w:rsidR="00756AE8" w:rsidRPr="00756AE8" w:rsidRDefault="00756AE8" w:rsidP="00756AE8">
            <w:pPr>
              <w:widowControl/>
              <w:autoSpaceDE/>
              <w:autoSpaceDN/>
              <w:adjustRightInd/>
              <w:rPr>
                <w:color w:val="000000"/>
                <w:sz w:val="24"/>
                <w:szCs w:val="24"/>
              </w:rPr>
            </w:pPr>
            <w:r w:rsidRPr="00756AE8">
              <w:rPr>
                <w:color w:val="000000"/>
                <w:sz w:val="24"/>
                <w:szCs w:val="24"/>
              </w:rPr>
              <w:t>Subject Matter Specialist #1</w:t>
            </w:r>
          </w:p>
        </w:tc>
        <w:tc>
          <w:tcPr>
            <w:tcW w:w="1420" w:type="dxa"/>
            <w:tcBorders>
              <w:top w:val="nil"/>
              <w:left w:val="nil"/>
              <w:bottom w:val="single" w:sz="4" w:space="0" w:color="auto"/>
              <w:right w:val="single" w:sz="4" w:space="0" w:color="auto"/>
            </w:tcBorders>
            <w:shd w:val="clear" w:color="auto" w:fill="auto"/>
            <w:vAlign w:val="center"/>
            <w:hideMark/>
          </w:tcPr>
          <w:p w14:paraId="3CAFA92F"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GS-13/10</w:t>
            </w:r>
          </w:p>
        </w:tc>
        <w:tc>
          <w:tcPr>
            <w:tcW w:w="1180" w:type="dxa"/>
            <w:tcBorders>
              <w:top w:val="nil"/>
              <w:left w:val="nil"/>
              <w:bottom w:val="single" w:sz="4" w:space="0" w:color="auto"/>
              <w:right w:val="single" w:sz="4" w:space="0" w:color="auto"/>
            </w:tcBorders>
            <w:shd w:val="clear" w:color="auto" w:fill="auto"/>
            <w:vAlign w:val="center"/>
            <w:hideMark/>
          </w:tcPr>
          <w:p w14:paraId="39FA40D9"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$45.54 </w:t>
            </w:r>
          </w:p>
        </w:tc>
        <w:tc>
          <w:tcPr>
            <w:tcW w:w="1540" w:type="dxa"/>
            <w:tcBorders>
              <w:top w:val="nil"/>
              <w:left w:val="nil"/>
              <w:bottom w:val="single" w:sz="4" w:space="0" w:color="auto"/>
              <w:right w:val="single" w:sz="4" w:space="0" w:color="auto"/>
            </w:tcBorders>
            <w:shd w:val="clear" w:color="auto" w:fill="auto"/>
            <w:noWrap/>
            <w:vAlign w:val="center"/>
            <w:hideMark/>
          </w:tcPr>
          <w:p w14:paraId="50969754"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$68.31 </w:t>
            </w:r>
          </w:p>
        </w:tc>
        <w:tc>
          <w:tcPr>
            <w:tcW w:w="1480" w:type="dxa"/>
            <w:tcBorders>
              <w:top w:val="nil"/>
              <w:left w:val="nil"/>
              <w:bottom w:val="single" w:sz="4" w:space="0" w:color="auto"/>
              <w:right w:val="single" w:sz="4" w:space="0" w:color="auto"/>
            </w:tcBorders>
            <w:shd w:val="clear" w:color="auto" w:fill="auto"/>
            <w:vAlign w:val="center"/>
            <w:hideMark/>
          </w:tcPr>
          <w:p w14:paraId="3C384AD5"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21</w:t>
            </w:r>
          </w:p>
        </w:tc>
        <w:tc>
          <w:tcPr>
            <w:tcW w:w="1600" w:type="dxa"/>
            <w:tcBorders>
              <w:top w:val="nil"/>
              <w:left w:val="nil"/>
              <w:bottom w:val="single" w:sz="4" w:space="0" w:color="auto"/>
              <w:right w:val="single" w:sz="4" w:space="0" w:color="auto"/>
            </w:tcBorders>
            <w:shd w:val="clear" w:color="auto" w:fill="auto"/>
            <w:vAlign w:val="center"/>
            <w:hideMark/>
          </w:tcPr>
          <w:p w14:paraId="569B94A2" w14:textId="43B46A11" w:rsidR="00756AE8" w:rsidRPr="00756AE8" w:rsidRDefault="00A14F84" w:rsidP="00756AE8">
            <w:pPr>
              <w:widowControl/>
              <w:autoSpaceDE/>
              <w:autoSpaceDN/>
              <w:adjustRightInd/>
              <w:jc w:val="center"/>
              <w:rPr>
                <w:color w:val="000000"/>
                <w:sz w:val="24"/>
                <w:szCs w:val="24"/>
              </w:rPr>
            </w:pPr>
            <w:r>
              <w:rPr>
                <w:color w:val="000000"/>
                <w:sz w:val="24"/>
                <w:szCs w:val="24"/>
              </w:rPr>
              <w:t>$1,435</w:t>
            </w:r>
          </w:p>
        </w:tc>
      </w:tr>
      <w:tr w:rsidR="00756AE8" w:rsidRPr="00756AE8" w14:paraId="0B7F90C9" w14:textId="77777777" w:rsidTr="00756AE8">
        <w:trPr>
          <w:trHeight w:val="6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7109AF5" w14:textId="77777777" w:rsidR="00756AE8" w:rsidRPr="00756AE8" w:rsidRDefault="00756AE8" w:rsidP="00756AE8">
            <w:pPr>
              <w:widowControl/>
              <w:autoSpaceDE/>
              <w:autoSpaceDN/>
              <w:adjustRightInd/>
              <w:rPr>
                <w:color w:val="000000"/>
                <w:sz w:val="24"/>
                <w:szCs w:val="24"/>
              </w:rPr>
            </w:pPr>
            <w:r w:rsidRPr="00756AE8">
              <w:rPr>
                <w:color w:val="000000"/>
                <w:sz w:val="24"/>
                <w:szCs w:val="24"/>
              </w:rPr>
              <w:t>Subject Matter Specialist #2</w:t>
            </w:r>
          </w:p>
        </w:tc>
        <w:tc>
          <w:tcPr>
            <w:tcW w:w="1420" w:type="dxa"/>
            <w:tcBorders>
              <w:top w:val="nil"/>
              <w:left w:val="nil"/>
              <w:bottom w:val="single" w:sz="4" w:space="0" w:color="auto"/>
              <w:right w:val="single" w:sz="4" w:space="0" w:color="auto"/>
            </w:tcBorders>
            <w:shd w:val="clear" w:color="auto" w:fill="auto"/>
            <w:vAlign w:val="center"/>
            <w:hideMark/>
          </w:tcPr>
          <w:p w14:paraId="63158D68"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GS-14/7</w:t>
            </w:r>
          </w:p>
        </w:tc>
        <w:tc>
          <w:tcPr>
            <w:tcW w:w="1180" w:type="dxa"/>
            <w:tcBorders>
              <w:top w:val="nil"/>
              <w:left w:val="nil"/>
              <w:bottom w:val="single" w:sz="4" w:space="0" w:color="auto"/>
              <w:right w:val="single" w:sz="4" w:space="0" w:color="auto"/>
            </w:tcBorders>
            <w:shd w:val="clear" w:color="auto" w:fill="auto"/>
            <w:vAlign w:val="center"/>
            <w:hideMark/>
          </w:tcPr>
          <w:p w14:paraId="4CDEB7E8"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$49.68 </w:t>
            </w:r>
          </w:p>
        </w:tc>
        <w:tc>
          <w:tcPr>
            <w:tcW w:w="1540" w:type="dxa"/>
            <w:tcBorders>
              <w:top w:val="nil"/>
              <w:left w:val="nil"/>
              <w:bottom w:val="single" w:sz="4" w:space="0" w:color="auto"/>
              <w:right w:val="single" w:sz="4" w:space="0" w:color="auto"/>
            </w:tcBorders>
            <w:shd w:val="clear" w:color="auto" w:fill="auto"/>
            <w:noWrap/>
            <w:vAlign w:val="center"/>
            <w:hideMark/>
          </w:tcPr>
          <w:p w14:paraId="1742130E"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$74.52 </w:t>
            </w:r>
          </w:p>
        </w:tc>
        <w:tc>
          <w:tcPr>
            <w:tcW w:w="1480" w:type="dxa"/>
            <w:tcBorders>
              <w:top w:val="nil"/>
              <w:left w:val="nil"/>
              <w:bottom w:val="single" w:sz="4" w:space="0" w:color="auto"/>
              <w:right w:val="single" w:sz="4" w:space="0" w:color="auto"/>
            </w:tcBorders>
            <w:shd w:val="clear" w:color="auto" w:fill="auto"/>
            <w:vAlign w:val="center"/>
            <w:hideMark/>
          </w:tcPr>
          <w:p w14:paraId="5CE1B668"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18</w:t>
            </w:r>
          </w:p>
        </w:tc>
        <w:tc>
          <w:tcPr>
            <w:tcW w:w="1600" w:type="dxa"/>
            <w:tcBorders>
              <w:top w:val="nil"/>
              <w:left w:val="nil"/>
              <w:bottom w:val="single" w:sz="4" w:space="0" w:color="auto"/>
              <w:right w:val="single" w:sz="4" w:space="0" w:color="auto"/>
            </w:tcBorders>
            <w:shd w:val="clear" w:color="auto" w:fill="auto"/>
            <w:vAlign w:val="center"/>
            <w:hideMark/>
          </w:tcPr>
          <w:p w14:paraId="5A1FA812" w14:textId="77768EAB" w:rsidR="00756AE8" w:rsidRPr="00756AE8" w:rsidRDefault="00A14F84" w:rsidP="00A62A67">
            <w:pPr>
              <w:widowControl/>
              <w:autoSpaceDE/>
              <w:autoSpaceDN/>
              <w:adjustRightInd/>
              <w:jc w:val="center"/>
              <w:rPr>
                <w:color w:val="000000"/>
                <w:sz w:val="24"/>
                <w:szCs w:val="24"/>
              </w:rPr>
            </w:pPr>
            <w:r>
              <w:rPr>
                <w:color w:val="000000"/>
                <w:sz w:val="24"/>
                <w:szCs w:val="24"/>
              </w:rPr>
              <w:t>$1,34</w:t>
            </w:r>
            <w:r w:rsidR="00A62A67">
              <w:rPr>
                <w:color w:val="000000"/>
                <w:sz w:val="24"/>
                <w:szCs w:val="24"/>
              </w:rPr>
              <w:t>2</w:t>
            </w:r>
          </w:p>
        </w:tc>
      </w:tr>
      <w:tr w:rsidR="00756AE8" w:rsidRPr="00756AE8" w14:paraId="3F0A25D1" w14:textId="77777777" w:rsidTr="00756AE8">
        <w:trPr>
          <w:trHeight w:val="6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7E2251E" w14:textId="77777777" w:rsidR="00756AE8" w:rsidRPr="00756AE8" w:rsidRDefault="00756AE8" w:rsidP="00756AE8">
            <w:pPr>
              <w:widowControl/>
              <w:autoSpaceDE/>
              <w:autoSpaceDN/>
              <w:adjustRightInd/>
              <w:rPr>
                <w:color w:val="000000"/>
                <w:sz w:val="24"/>
                <w:szCs w:val="24"/>
              </w:rPr>
            </w:pPr>
            <w:r w:rsidRPr="00756AE8">
              <w:rPr>
                <w:color w:val="000000"/>
                <w:sz w:val="24"/>
                <w:szCs w:val="24"/>
              </w:rPr>
              <w:t>Subject Matter Specialist #3</w:t>
            </w:r>
          </w:p>
        </w:tc>
        <w:tc>
          <w:tcPr>
            <w:tcW w:w="1420" w:type="dxa"/>
            <w:tcBorders>
              <w:top w:val="nil"/>
              <w:left w:val="nil"/>
              <w:bottom w:val="single" w:sz="4" w:space="0" w:color="auto"/>
              <w:right w:val="single" w:sz="4" w:space="0" w:color="auto"/>
            </w:tcBorders>
            <w:shd w:val="clear" w:color="auto" w:fill="auto"/>
            <w:vAlign w:val="center"/>
            <w:hideMark/>
          </w:tcPr>
          <w:p w14:paraId="79B6CF47"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GS-13/10</w:t>
            </w:r>
          </w:p>
        </w:tc>
        <w:tc>
          <w:tcPr>
            <w:tcW w:w="1180" w:type="dxa"/>
            <w:tcBorders>
              <w:top w:val="nil"/>
              <w:left w:val="nil"/>
              <w:bottom w:val="single" w:sz="4" w:space="0" w:color="auto"/>
              <w:right w:val="single" w:sz="4" w:space="0" w:color="auto"/>
            </w:tcBorders>
            <w:shd w:val="clear" w:color="auto" w:fill="auto"/>
            <w:vAlign w:val="center"/>
            <w:hideMark/>
          </w:tcPr>
          <w:p w14:paraId="753ADFC2"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$45.54 </w:t>
            </w:r>
          </w:p>
        </w:tc>
        <w:tc>
          <w:tcPr>
            <w:tcW w:w="1540" w:type="dxa"/>
            <w:tcBorders>
              <w:top w:val="nil"/>
              <w:left w:val="nil"/>
              <w:bottom w:val="single" w:sz="4" w:space="0" w:color="auto"/>
              <w:right w:val="single" w:sz="4" w:space="0" w:color="auto"/>
            </w:tcBorders>
            <w:shd w:val="clear" w:color="auto" w:fill="auto"/>
            <w:noWrap/>
            <w:vAlign w:val="center"/>
            <w:hideMark/>
          </w:tcPr>
          <w:p w14:paraId="6EA7172D"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$68.31 </w:t>
            </w:r>
          </w:p>
        </w:tc>
        <w:tc>
          <w:tcPr>
            <w:tcW w:w="1480" w:type="dxa"/>
            <w:tcBorders>
              <w:top w:val="nil"/>
              <w:left w:val="nil"/>
              <w:bottom w:val="single" w:sz="4" w:space="0" w:color="auto"/>
              <w:right w:val="single" w:sz="4" w:space="0" w:color="auto"/>
            </w:tcBorders>
            <w:shd w:val="clear" w:color="auto" w:fill="auto"/>
            <w:vAlign w:val="center"/>
            <w:hideMark/>
          </w:tcPr>
          <w:p w14:paraId="1B310360"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18</w:t>
            </w:r>
          </w:p>
        </w:tc>
        <w:tc>
          <w:tcPr>
            <w:tcW w:w="1600" w:type="dxa"/>
            <w:tcBorders>
              <w:top w:val="nil"/>
              <w:left w:val="nil"/>
              <w:bottom w:val="single" w:sz="4" w:space="0" w:color="auto"/>
              <w:right w:val="single" w:sz="4" w:space="0" w:color="auto"/>
            </w:tcBorders>
            <w:shd w:val="clear" w:color="auto" w:fill="auto"/>
            <w:vAlign w:val="center"/>
            <w:hideMark/>
          </w:tcPr>
          <w:p w14:paraId="425B2E40" w14:textId="5E8667E4" w:rsidR="00756AE8" w:rsidRPr="00756AE8" w:rsidRDefault="00A14F84" w:rsidP="00756AE8">
            <w:pPr>
              <w:widowControl/>
              <w:autoSpaceDE/>
              <w:autoSpaceDN/>
              <w:adjustRightInd/>
              <w:jc w:val="center"/>
              <w:rPr>
                <w:color w:val="000000"/>
                <w:sz w:val="24"/>
                <w:szCs w:val="24"/>
              </w:rPr>
            </w:pPr>
            <w:r>
              <w:rPr>
                <w:color w:val="000000"/>
                <w:sz w:val="24"/>
                <w:szCs w:val="24"/>
              </w:rPr>
              <w:t>$1,230</w:t>
            </w:r>
          </w:p>
        </w:tc>
      </w:tr>
      <w:tr w:rsidR="00756AE8" w:rsidRPr="00756AE8" w14:paraId="664AFF99" w14:textId="77777777" w:rsidTr="00756AE8">
        <w:trPr>
          <w:trHeight w:val="6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0359913B" w14:textId="77777777" w:rsidR="00756AE8" w:rsidRPr="00756AE8" w:rsidRDefault="00756AE8" w:rsidP="00756AE8">
            <w:pPr>
              <w:widowControl/>
              <w:autoSpaceDE/>
              <w:autoSpaceDN/>
              <w:adjustRightInd/>
              <w:rPr>
                <w:color w:val="000000"/>
                <w:sz w:val="24"/>
                <w:szCs w:val="24"/>
              </w:rPr>
            </w:pPr>
            <w:r w:rsidRPr="00756AE8">
              <w:rPr>
                <w:color w:val="000000"/>
                <w:sz w:val="24"/>
                <w:szCs w:val="24"/>
              </w:rPr>
              <w:t>Subject Matter Specialist #4</w:t>
            </w:r>
          </w:p>
        </w:tc>
        <w:tc>
          <w:tcPr>
            <w:tcW w:w="1420" w:type="dxa"/>
            <w:tcBorders>
              <w:top w:val="nil"/>
              <w:left w:val="nil"/>
              <w:bottom w:val="single" w:sz="4" w:space="0" w:color="auto"/>
              <w:right w:val="single" w:sz="4" w:space="0" w:color="auto"/>
            </w:tcBorders>
            <w:shd w:val="clear" w:color="auto" w:fill="auto"/>
            <w:vAlign w:val="center"/>
            <w:hideMark/>
          </w:tcPr>
          <w:p w14:paraId="1E2530CB"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GS-13/10</w:t>
            </w:r>
          </w:p>
        </w:tc>
        <w:tc>
          <w:tcPr>
            <w:tcW w:w="1180" w:type="dxa"/>
            <w:tcBorders>
              <w:top w:val="nil"/>
              <w:left w:val="nil"/>
              <w:bottom w:val="single" w:sz="4" w:space="0" w:color="auto"/>
              <w:right w:val="single" w:sz="4" w:space="0" w:color="auto"/>
            </w:tcBorders>
            <w:shd w:val="clear" w:color="auto" w:fill="auto"/>
            <w:vAlign w:val="center"/>
            <w:hideMark/>
          </w:tcPr>
          <w:p w14:paraId="13CDA39B"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$45.54 </w:t>
            </w:r>
          </w:p>
        </w:tc>
        <w:tc>
          <w:tcPr>
            <w:tcW w:w="1540" w:type="dxa"/>
            <w:tcBorders>
              <w:top w:val="nil"/>
              <w:left w:val="nil"/>
              <w:bottom w:val="single" w:sz="4" w:space="0" w:color="auto"/>
              <w:right w:val="single" w:sz="4" w:space="0" w:color="auto"/>
            </w:tcBorders>
            <w:shd w:val="clear" w:color="auto" w:fill="auto"/>
            <w:noWrap/>
            <w:vAlign w:val="center"/>
            <w:hideMark/>
          </w:tcPr>
          <w:p w14:paraId="530A2C34"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$68.31 </w:t>
            </w:r>
          </w:p>
        </w:tc>
        <w:tc>
          <w:tcPr>
            <w:tcW w:w="1480" w:type="dxa"/>
            <w:tcBorders>
              <w:top w:val="nil"/>
              <w:left w:val="nil"/>
              <w:bottom w:val="single" w:sz="4" w:space="0" w:color="auto"/>
              <w:right w:val="single" w:sz="4" w:space="0" w:color="auto"/>
            </w:tcBorders>
            <w:shd w:val="clear" w:color="auto" w:fill="auto"/>
            <w:vAlign w:val="center"/>
            <w:hideMark/>
          </w:tcPr>
          <w:p w14:paraId="484E97E3"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48</w:t>
            </w:r>
          </w:p>
        </w:tc>
        <w:tc>
          <w:tcPr>
            <w:tcW w:w="1600" w:type="dxa"/>
            <w:tcBorders>
              <w:top w:val="nil"/>
              <w:left w:val="nil"/>
              <w:bottom w:val="single" w:sz="4" w:space="0" w:color="auto"/>
              <w:right w:val="single" w:sz="4" w:space="0" w:color="auto"/>
            </w:tcBorders>
            <w:shd w:val="clear" w:color="auto" w:fill="auto"/>
            <w:vAlign w:val="center"/>
            <w:hideMark/>
          </w:tcPr>
          <w:p w14:paraId="0A25C6DF" w14:textId="1D8CB3C2" w:rsidR="00756AE8" w:rsidRPr="00756AE8" w:rsidRDefault="00A14F84" w:rsidP="00756AE8">
            <w:pPr>
              <w:widowControl/>
              <w:autoSpaceDE/>
              <w:autoSpaceDN/>
              <w:adjustRightInd/>
              <w:jc w:val="center"/>
              <w:rPr>
                <w:color w:val="000000"/>
                <w:sz w:val="24"/>
                <w:szCs w:val="24"/>
              </w:rPr>
            </w:pPr>
            <w:r>
              <w:rPr>
                <w:color w:val="000000"/>
                <w:sz w:val="24"/>
                <w:szCs w:val="24"/>
              </w:rPr>
              <w:t>$3,279</w:t>
            </w:r>
          </w:p>
        </w:tc>
      </w:tr>
      <w:tr w:rsidR="00756AE8" w:rsidRPr="00756AE8" w14:paraId="5A1AE16B" w14:textId="77777777" w:rsidTr="00756AE8">
        <w:trPr>
          <w:trHeight w:val="315"/>
        </w:trPr>
        <w:tc>
          <w:tcPr>
            <w:tcW w:w="59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33E691" w14:textId="77777777" w:rsidR="00756AE8" w:rsidRPr="00756AE8" w:rsidRDefault="00756AE8" w:rsidP="00756AE8">
            <w:pPr>
              <w:widowControl/>
              <w:autoSpaceDE/>
              <w:autoSpaceDN/>
              <w:adjustRightInd/>
              <w:rPr>
                <w:rFonts w:ascii="Calibri" w:hAnsi="Calibri"/>
                <w:color w:val="000000"/>
                <w:sz w:val="22"/>
                <w:szCs w:val="22"/>
              </w:rPr>
            </w:pPr>
            <w:r w:rsidRPr="00756AE8">
              <w:rPr>
                <w:rFonts w:ascii="Calibri" w:hAnsi="Calibri"/>
                <w:color w:val="000000"/>
                <w:sz w:val="22"/>
                <w:szCs w:val="22"/>
              </w:rPr>
              <w:t> </w:t>
            </w:r>
          </w:p>
        </w:tc>
        <w:tc>
          <w:tcPr>
            <w:tcW w:w="1480" w:type="dxa"/>
            <w:tcBorders>
              <w:top w:val="nil"/>
              <w:left w:val="nil"/>
              <w:bottom w:val="single" w:sz="4" w:space="0" w:color="auto"/>
              <w:right w:val="single" w:sz="4" w:space="0" w:color="auto"/>
            </w:tcBorders>
            <w:shd w:val="clear" w:color="auto" w:fill="auto"/>
            <w:vAlign w:val="center"/>
            <w:hideMark/>
          </w:tcPr>
          <w:p w14:paraId="11213A92" w14:textId="77777777" w:rsidR="00756AE8" w:rsidRPr="00756AE8" w:rsidRDefault="00756AE8" w:rsidP="00756AE8">
            <w:pPr>
              <w:widowControl/>
              <w:autoSpaceDE/>
              <w:autoSpaceDN/>
              <w:adjustRightInd/>
              <w:jc w:val="center"/>
              <w:rPr>
                <w:b/>
                <w:bCs/>
                <w:color w:val="000000"/>
                <w:sz w:val="24"/>
                <w:szCs w:val="24"/>
              </w:rPr>
            </w:pPr>
            <w:r w:rsidRPr="00756AE8">
              <w:rPr>
                <w:b/>
                <w:bCs/>
                <w:color w:val="000000"/>
                <w:sz w:val="24"/>
                <w:szCs w:val="24"/>
              </w:rPr>
              <w:t>Subtotal</w:t>
            </w:r>
          </w:p>
        </w:tc>
        <w:tc>
          <w:tcPr>
            <w:tcW w:w="1600" w:type="dxa"/>
            <w:tcBorders>
              <w:top w:val="nil"/>
              <w:left w:val="nil"/>
              <w:bottom w:val="single" w:sz="4" w:space="0" w:color="auto"/>
              <w:right w:val="single" w:sz="4" w:space="0" w:color="auto"/>
            </w:tcBorders>
            <w:shd w:val="clear" w:color="auto" w:fill="auto"/>
            <w:vAlign w:val="center"/>
            <w:hideMark/>
          </w:tcPr>
          <w:p w14:paraId="42D0AA1D" w14:textId="1F061EF5" w:rsidR="00756AE8" w:rsidRPr="00756AE8" w:rsidRDefault="00756AE8" w:rsidP="00A62A67">
            <w:pPr>
              <w:widowControl/>
              <w:autoSpaceDE/>
              <w:autoSpaceDN/>
              <w:adjustRightInd/>
              <w:jc w:val="center"/>
              <w:rPr>
                <w:b/>
                <w:bCs/>
                <w:color w:val="000000"/>
                <w:sz w:val="24"/>
                <w:szCs w:val="24"/>
              </w:rPr>
            </w:pPr>
            <w:r w:rsidRPr="00756AE8">
              <w:rPr>
                <w:b/>
                <w:bCs/>
                <w:color w:val="000000"/>
                <w:sz w:val="24"/>
                <w:szCs w:val="24"/>
              </w:rPr>
              <w:t>$</w:t>
            </w:r>
            <w:r w:rsidR="00A14F84">
              <w:rPr>
                <w:b/>
                <w:bCs/>
                <w:color w:val="000000"/>
                <w:sz w:val="24"/>
                <w:szCs w:val="24"/>
              </w:rPr>
              <w:t>21,14</w:t>
            </w:r>
            <w:r w:rsidR="00A62A67">
              <w:rPr>
                <w:b/>
                <w:bCs/>
                <w:color w:val="000000"/>
                <w:sz w:val="24"/>
                <w:szCs w:val="24"/>
              </w:rPr>
              <w:t>4</w:t>
            </w:r>
          </w:p>
        </w:tc>
      </w:tr>
      <w:tr w:rsidR="00756AE8" w:rsidRPr="00756AE8" w14:paraId="7FF6928C" w14:textId="77777777" w:rsidTr="00756AE8">
        <w:trPr>
          <w:trHeight w:val="315"/>
        </w:trPr>
        <w:tc>
          <w:tcPr>
            <w:tcW w:w="4440" w:type="dxa"/>
            <w:gridSpan w:val="3"/>
            <w:tcBorders>
              <w:top w:val="nil"/>
              <w:left w:val="nil"/>
              <w:bottom w:val="nil"/>
              <w:right w:val="nil"/>
            </w:tcBorders>
            <w:shd w:val="clear" w:color="auto" w:fill="auto"/>
            <w:noWrap/>
            <w:vAlign w:val="bottom"/>
            <w:hideMark/>
          </w:tcPr>
          <w:p w14:paraId="54469944" w14:textId="77777777" w:rsidR="00756AE8" w:rsidRPr="00756AE8" w:rsidRDefault="00756AE8" w:rsidP="007D01DB">
            <w:pPr>
              <w:widowControl/>
              <w:autoSpaceDE/>
              <w:autoSpaceDN/>
              <w:adjustRightInd/>
              <w:rPr>
                <w:b/>
                <w:bCs/>
                <w:color w:val="000000"/>
                <w:sz w:val="24"/>
                <w:szCs w:val="24"/>
              </w:rPr>
            </w:pPr>
            <w:r w:rsidRPr="00756AE8">
              <w:rPr>
                <w:b/>
                <w:bCs/>
                <w:color w:val="000000"/>
                <w:sz w:val="24"/>
                <w:szCs w:val="24"/>
              </w:rPr>
              <w:t>Action: Review Interim Reports</w:t>
            </w:r>
          </w:p>
        </w:tc>
        <w:tc>
          <w:tcPr>
            <w:tcW w:w="1540" w:type="dxa"/>
            <w:tcBorders>
              <w:top w:val="nil"/>
              <w:left w:val="nil"/>
              <w:bottom w:val="nil"/>
              <w:right w:val="nil"/>
            </w:tcBorders>
            <w:shd w:val="clear" w:color="auto" w:fill="auto"/>
            <w:noWrap/>
            <w:vAlign w:val="bottom"/>
            <w:hideMark/>
          </w:tcPr>
          <w:p w14:paraId="3372A5EA" w14:textId="77777777" w:rsidR="00756AE8" w:rsidRPr="00756AE8" w:rsidRDefault="00756AE8" w:rsidP="00756AE8">
            <w:pPr>
              <w:widowControl/>
              <w:autoSpaceDE/>
              <w:autoSpaceDN/>
              <w:adjustRightInd/>
              <w:rPr>
                <w:rFonts w:ascii="Calibri" w:hAnsi="Calibri"/>
                <w:color w:val="000000"/>
                <w:sz w:val="22"/>
                <w:szCs w:val="22"/>
              </w:rPr>
            </w:pPr>
          </w:p>
        </w:tc>
        <w:tc>
          <w:tcPr>
            <w:tcW w:w="1480" w:type="dxa"/>
            <w:tcBorders>
              <w:top w:val="nil"/>
              <w:left w:val="nil"/>
              <w:bottom w:val="nil"/>
              <w:right w:val="nil"/>
            </w:tcBorders>
            <w:shd w:val="clear" w:color="auto" w:fill="auto"/>
            <w:noWrap/>
            <w:vAlign w:val="bottom"/>
            <w:hideMark/>
          </w:tcPr>
          <w:p w14:paraId="5053BE2D" w14:textId="77777777" w:rsidR="00756AE8" w:rsidRPr="00756AE8" w:rsidRDefault="00756AE8" w:rsidP="00756AE8">
            <w:pPr>
              <w:widowControl/>
              <w:autoSpaceDE/>
              <w:autoSpaceDN/>
              <w:adjustRightInd/>
              <w:rPr>
                <w:rFonts w:ascii="Calibri" w:hAnsi="Calibri"/>
                <w:color w:val="000000"/>
                <w:sz w:val="22"/>
                <w:szCs w:val="22"/>
              </w:rPr>
            </w:pPr>
          </w:p>
        </w:tc>
        <w:tc>
          <w:tcPr>
            <w:tcW w:w="1600" w:type="dxa"/>
            <w:tcBorders>
              <w:top w:val="nil"/>
              <w:left w:val="nil"/>
              <w:bottom w:val="nil"/>
              <w:right w:val="nil"/>
            </w:tcBorders>
            <w:shd w:val="clear" w:color="auto" w:fill="auto"/>
            <w:noWrap/>
            <w:vAlign w:val="bottom"/>
            <w:hideMark/>
          </w:tcPr>
          <w:p w14:paraId="37B398B8" w14:textId="77777777" w:rsidR="00756AE8" w:rsidRPr="00756AE8" w:rsidRDefault="00756AE8" w:rsidP="00756AE8">
            <w:pPr>
              <w:widowControl/>
              <w:autoSpaceDE/>
              <w:autoSpaceDN/>
              <w:adjustRightInd/>
              <w:rPr>
                <w:rFonts w:ascii="Calibri" w:hAnsi="Calibri"/>
                <w:color w:val="000000"/>
                <w:sz w:val="22"/>
                <w:szCs w:val="22"/>
              </w:rPr>
            </w:pPr>
          </w:p>
        </w:tc>
      </w:tr>
      <w:tr w:rsidR="00756AE8" w:rsidRPr="00756AE8" w14:paraId="5FAC395E" w14:textId="77777777" w:rsidTr="00756AE8">
        <w:trPr>
          <w:trHeight w:val="1260"/>
        </w:trPr>
        <w:tc>
          <w:tcPr>
            <w:tcW w:w="1840"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3160FE8B" w14:textId="77777777" w:rsidR="00756AE8" w:rsidRPr="00756AE8" w:rsidRDefault="00756AE8" w:rsidP="00756AE8">
            <w:pPr>
              <w:widowControl/>
              <w:autoSpaceDE/>
              <w:autoSpaceDN/>
              <w:adjustRightInd/>
              <w:jc w:val="center"/>
              <w:rPr>
                <w:b/>
                <w:bCs/>
                <w:color w:val="000000"/>
                <w:sz w:val="24"/>
                <w:szCs w:val="24"/>
              </w:rPr>
            </w:pPr>
            <w:r w:rsidRPr="00756AE8">
              <w:rPr>
                <w:b/>
                <w:bCs/>
                <w:color w:val="000000"/>
                <w:sz w:val="24"/>
                <w:szCs w:val="24"/>
              </w:rPr>
              <w:t>Position</w:t>
            </w:r>
          </w:p>
        </w:tc>
        <w:tc>
          <w:tcPr>
            <w:tcW w:w="1420" w:type="dxa"/>
            <w:tcBorders>
              <w:top w:val="single" w:sz="4" w:space="0" w:color="auto"/>
              <w:left w:val="nil"/>
              <w:bottom w:val="nil"/>
              <w:right w:val="single" w:sz="4" w:space="0" w:color="auto"/>
            </w:tcBorders>
            <w:shd w:val="clear" w:color="000000" w:fill="E0E0E0"/>
            <w:vAlign w:val="center"/>
            <w:hideMark/>
          </w:tcPr>
          <w:p w14:paraId="7111F3BC" w14:textId="77777777" w:rsidR="00756AE8" w:rsidRPr="00756AE8" w:rsidRDefault="00756AE8" w:rsidP="00756AE8">
            <w:pPr>
              <w:widowControl/>
              <w:autoSpaceDE/>
              <w:autoSpaceDN/>
              <w:adjustRightInd/>
              <w:jc w:val="center"/>
              <w:rPr>
                <w:b/>
                <w:bCs/>
                <w:color w:val="000000"/>
                <w:sz w:val="24"/>
                <w:szCs w:val="24"/>
              </w:rPr>
            </w:pPr>
            <w:r w:rsidRPr="00756AE8">
              <w:rPr>
                <w:b/>
                <w:bCs/>
                <w:color w:val="000000"/>
                <w:sz w:val="24"/>
                <w:szCs w:val="24"/>
              </w:rPr>
              <w:t>Grade/Step</w:t>
            </w:r>
          </w:p>
        </w:tc>
        <w:tc>
          <w:tcPr>
            <w:tcW w:w="1180" w:type="dxa"/>
            <w:tcBorders>
              <w:top w:val="single" w:sz="4" w:space="0" w:color="auto"/>
              <w:left w:val="nil"/>
              <w:bottom w:val="single" w:sz="4" w:space="0" w:color="auto"/>
              <w:right w:val="single" w:sz="4" w:space="0" w:color="auto"/>
            </w:tcBorders>
            <w:shd w:val="clear" w:color="000000" w:fill="E0E0E0"/>
            <w:vAlign w:val="center"/>
            <w:hideMark/>
          </w:tcPr>
          <w:p w14:paraId="58C059F3" w14:textId="77777777" w:rsidR="00756AE8" w:rsidRPr="00756AE8" w:rsidRDefault="00756AE8" w:rsidP="00756AE8">
            <w:pPr>
              <w:widowControl/>
              <w:autoSpaceDE/>
              <w:autoSpaceDN/>
              <w:adjustRightInd/>
              <w:jc w:val="center"/>
              <w:rPr>
                <w:b/>
                <w:bCs/>
                <w:color w:val="000000"/>
                <w:sz w:val="24"/>
                <w:szCs w:val="24"/>
              </w:rPr>
            </w:pPr>
            <w:r w:rsidRPr="00756AE8">
              <w:rPr>
                <w:b/>
                <w:bCs/>
                <w:color w:val="000000"/>
                <w:sz w:val="24"/>
                <w:szCs w:val="24"/>
              </w:rPr>
              <w:t>Hourly Rate</w:t>
            </w:r>
          </w:p>
        </w:tc>
        <w:tc>
          <w:tcPr>
            <w:tcW w:w="1540" w:type="dxa"/>
            <w:tcBorders>
              <w:top w:val="single" w:sz="4" w:space="0" w:color="auto"/>
              <w:left w:val="nil"/>
              <w:bottom w:val="nil"/>
              <w:right w:val="single" w:sz="4" w:space="0" w:color="auto"/>
            </w:tcBorders>
            <w:shd w:val="clear" w:color="000000" w:fill="E0E0E0"/>
            <w:vAlign w:val="center"/>
            <w:hideMark/>
          </w:tcPr>
          <w:p w14:paraId="66479345" w14:textId="77777777" w:rsidR="00756AE8" w:rsidRPr="00756AE8" w:rsidRDefault="00756AE8" w:rsidP="00756AE8">
            <w:pPr>
              <w:widowControl/>
              <w:autoSpaceDE/>
              <w:autoSpaceDN/>
              <w:adjustRightInd/>
              <w:jc w:val="center"/>
              <w:rPr>
                <w:b/>
                <w:bCs/>
                <w:color w:val="000000"/>
                <w:sz w:val="24"/>
                <w:szCs w:val="24"/>
              </w:rPr>
            </w:pPr>
            <w:r w:rsidRPr="00756AE8">
              <w:rPr>
                <w:b/>
                <w:bCs/>
                <w:color w:val="000000"/>
                <w:sz w:val="24"/>
                <w:szCs w:val="24"/>
              </w:rPr>
              <w:t>Hourly Rate incl. benefits (1.5 x hourly pay rate)</w:t>
            </w:r>
          </w:p>
        </w:tc>
        <w:tc>
          <w:tcPr>
            <w:tcW w:w="1480" w:type="dxa"/>
            <w:tcBorders>
              <w:top w:val="single" w:sz="4" w:space="0" w:color="auto"/>
              <w:left w:val="nil"/>
              <w:bottom w:val="nil"/>
              <w:right w:val="single" w:sz="4" w:space="0" w:color="auto"/>
            </w:tcBorders>
            <w:shd w:val="clear" w:color="000000" w:fill="E0E0E0"/>
            <w:vAlign w:val="center"/>
            <w:hideMark/>
          </w:tcPr>
          <w:p w14:paraId="62E9AFA8" w14:textId="77777777" w:rsidR="00756AE8" w:rsidRPr="00756AE8" w:rsidRDefault="00756AE8" w:rsidP="00756AE8">
            <w:pPr>
              <w:widowControl/>
              <w:autoSpaceDE/>
              <w:autoSpaceDN/>
              <w:adjustRightInd/>
              <w:jc w:val="center"/>
              <w:rPr>
                <w:b/>
                <w:bCs/>
                <w:color w:val="000000"/>
                <w:sz w:val="24"/>
                <w:szCs w:val="24"/>
              </w:rPr>
            </w:pPr>
            <w:r w:rsidRPr="00756AE8">
              <w:rPr>
                <w:b/>
                <w:bCs/>
                <w:color w:val="000000"/>
                <w:sz w:val="24"/>
                <w:szCs w:val="24"/>
              </w:rPr>
              <w:t>Hours on Project</w:t>
            </w:r>
          </w:p>
        </w:tc>
        <w:tc>
          <w:tcPr>
            <w:tcW w:w="1600" w:type="dxa"/>
            <w:tcBorders>
              <w:top w:val="single" w:sz="4" w:space="0" w:color="auto"/>
              <w:left w:val="nil"/>
              <w:bottom w:val="single" w:sz="4" w:space="0" w:color="auto"/>
              <w:right w:val="single" w:sz="4" w:space="0" w:color="auto"/>
            </w:tcBorders>
            <w:shd w:val="clear" w:color="000000" w:fill="E0E0E0"/>
            <w:vAlign w:val="center"/>
            <w:hideMark/>
          </w:tcPr>
          <w:p w14:paraId="3A04A7F5" w14:textId="77777777" w:rsidR="00756AE8" w:rsidRPr="00756AE8" w:rsidRDefault="00756AE8" w:rsidP="00756AE8">
            <w:pPr>
              <w:widowControl/>
              <w:autoSpaceDE/>
              <w:autoSpaceDN/>
              <w:adjustRightInd/>
              <w:jc w:val="center"/>
              <w:rPr>
                <w:b/>
                <w:bCs/>
                <w:color w:val="000000"/>
                <w:sz w:val="24"/>
                <w:szCs w:val="24"/>
              </w:rPr>
            </w:pPr>
            <w:r w:rsidRPr="00756AE8">
              <w:rPr>
                <w:b/>
                <w:bCs/>
                <w:color w:val="000000"/>
                <w:sz w:val="24"/>
                <w:szCs w:val="24"/>
              </w:rPr>
              <w:t>Annual Cost</w:t>
            </w:r>
          </w:p>
        </w:tc>
      </w:tr>
      <w:tr w:rsidR="00756AE8" w:rsidRPr="00756AE8" w14:paraId="308373AA" w14:textId="77777777" w:rsidTr="00756AE8">
        <w:trPr>
          <w:trHeight w:val="6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D21C368"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NSDI CAP Coordinator</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3525B13"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GS-13/10</w:t>
            </w:r>
          </w:p>
        </w:tc>
        <w:tc>
          <w:tcPr>
            <w:tcW w:w="1180" w:type="dxa"/>
            <w:tcBorders>
              <w:top w:val="nil"/>
              <w:left w:val="nil"/>
              <w:bottom w:val="single" w:sz="4" w:space="0" w:color="auto"/>
              <w:right w:val="single" w:sz="4" w:space="0" w:color="auto"/>
            </w:tcBorders>
            <w:shd w:val="clear" w:color="auto" w:fill="auto"/>
            <w:vAlign w:val="center"/>
            <w:hideMark/>
          </w:tcPr>
          <w:p w14:paraId="497CD021"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$45.54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4494EDD"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$68.31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B635C10" w14:textId="77777777" w:rsidR="00756AE8" w:rsidRPr="00756AE8" w:rsidRDefault="00756AE8" w:rsidP="00756AE8">
            <w:pPr>
              <w:widowControl/>
              <w:autoSpaceDE/>
              <w:autoSpaceDN/>
              <w:adjustRightInd/>
              <w:jc w:val="right"/>
              <w:rPr>
                <w:color w:val="000000"/>
                <w:sz w:val="24"/>
                <w:szCs w:val="24"/>
              </w:rPr>
            </w:pPr>
            <w:r w:rsidRPr="00756AE8">
              <w:rPr>
                <w:color w:val="000000"/>
                <w:sz w:val="24"/>
                <w:szCs w:val="24"/>
              </w:rPr>
              <w:t>50</w:t>
            </w:r>
          </w:p>
        </w:tc>
        <w:tc>
          <w:tcPr>
            <w:tcW w:w="1600" w:type="dxa"/>
            <w:tcBorders>
              <w:top w:val="nil"/>
              <w:left w:val="nil"/>
              <w:bottom w:val="single" w:sz="4" w:space="0" w:color="auto"/>
              <w:right w:val="single" w:sz="4" w:space="0" w:color="auto"/>
            </w:tcBorders>
            <w:shd w:val="clear" w:color="auto" w:fill="auto"/>
            <w:vAlign w:val="center"/>
            <w:hideMark/>
          </w:tcPr>
          <w:p w14:paraId="4DCF9B3E" w14:textId="5C719DAA" w:rsidR="00756AE8" w:rsidRPr="00756AE8" w:rsidRDefault="00756AE8">
            <w:pPr>
              <w:widowControl/>
              <w:autoSpaceDE/>
              <w:autoSpaceDN/>
              <w:adjustRightInd/>
              <w:jc w:val="center"/>
              <w:rPr>
                <w:color w:val="000000"/>
                <w:sz w:val="24"/>
                <w:szCs w:val="24"/>
              </w:rPr>
            </w:pPr>
            <w:r w:rsidRPr="00756AE8">
              <w:rPr>
                <w:color w:val="000000"/>
                <w:sz w:val="24"/>
                <w:szCs w:val="24"/>
              </w:rPr>
              <w:t>$3,41</w:t>
            </w:r>
            <w:r w:rsidR="00A14F84">
              <w:rPr>
                <w:color w:val="000000"/>
                <w:sz w:val="24"/>
                <w:szCs w:val="24"/>
              </w:rPr>
              <w:t>6</w:t>
            </w:r>
          </w:p>
        </w:tc>
      </w:tr>
      <w:tr w:rsidR="00756AE8" w:rsidRPr="00756AE8" w14:paraId="1357749F" w14:textId="77777777" w:rsidTr="00756AE8">
        <w:trPr>
          <w:trHeight w:val="6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DF907F1"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Subject Matter Specialist #1</w:t>
            </w:r>
          </w:p>
        </w:tc>
        <w:tc>
          <w:tcPr>
            <w:tcW w:w="1420" w:type="dxa"/>
            <w:tcBorders>
              <w:top w:val="nil"/>
              <w:left w:val="nil"/>
              <w:bottom w:val="single" w:sz="4" w:space="0" w:color="auto"/>
              <w:right w:val="single" w:sz="4" w:space="0" w:color="auto"/>
            </w:tcBorders>
            <w:shd w:val="clear" w:color="auto" w:fill="auto"/>
            <w:vAlign w:val="center"/>
            <w:hideMark/>
          </w:tcPr>
          <w:p w14:paraId="15B27175"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GS-13/10</w:t>
            </w:r>
          </w:p>
        </w:tc>
        <w:tc>
          <w:tcPr>
            <w:tcW w:w="1180" w:type="dxa"/>
            <w:tcBorders>
              <w:top w:val="nil"/>
              <w:left w:val="nil"/>
              <w:bottom w:val="single" w:sz="4" w:space="0" w:color="auto"/>
              <w:right w:val="single" w:sz="4" w:space="0" w:color="auto"/>
            </w:tcBorders>
            <w:shd w:val="clear" w:color="auto" w:fill="auto"/>
            <w:vAlign w:val="center"/>
            <w:hideMark/>
          </w:tcPr>
          <w:p w14:paraId="79B76539"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$45.54 </w:t>
            </w:r>
          </w:p>
        </w:tc>
        <w:tc>
          <w:tcPr>
            <w:tcW w:w="1540" w:type="dxa"/>
            <w:tcBorders>
              <w:top w:val="nil"/>
              <w:left w:val="nil"/>
              <w:bottom w:val="single" w:sz="4" w:space="0" w:color="auto"/>
              <w:right w:val="single" w:sz="4" w:space="0" w:color="auto"/>
            </w:tcBorders>
            <w:shd w:val="clear" w:color="auto" w:fill="auto"/>
            <w:vAlign w:val="center"/>
            <w:hideMark/>
          </w:tcPr>
          <w:p w14:paraId="0BB3461A"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$68.31 </w:t>
            </w:r>
          </w:p>
        </w:tc>
        <w:tc>
          <w:tcPr>
            <w:tcW w:w="1480" w:type="dxa"/>
            <w:tcBorders>
              <w:top w:val="nil"/>
              <w:left w:val="nil"/>
              <w:bottom w:val="single" w:sz="4" w:space="0" w:color="auto"/>
              <w:right w:val="single" w:sz="4" w:space="0" w:color="auto"/>
            </w:tcBorders>
            <w:shd w:val="clear" w:color="auto" w:fill="auto"/>
            <w:vAlign w:val="center"/>
            <w:hideMark/>
          </w:tcPr>
          <w:p w14:paraId="779519CD" w14:textId="77777777" w:rsidR="00756AE8" w:rsidRPr="00756AE8" w:rsidRDefault="00756AE8" w:rsidP="00756AE8">
            <w:pPr>
              <w:widowControl/>
              <w:autoSpaceDE/>
              <w:autoSpaceDN/>
              <w:adjustRightInd/>
              <w:jc w:val="right"/>
              <w:rPr>
                <w:color w:val="000000"/>
                <w:sz w:val="24"/>
                <w:szCs w:val="24"/>
              </w:rPr>
            </w:pPr>
            <w:r w:rsidRPr="00756AE8">
              <w:rPr>
                <w:color w:val="000000"/>
                <w:sz w:val="24"/>
                <w:szCs w:val="24"/>
              </w:rPr>
              <w:t>6</w:t>
            </w:r>
          </w:p>
        </w:tc>
        <w:tc>
          <w:tcPr>
            <w:tcW w:w="1600" w:type="dxa"/>
            <w:tcBorders>
              <w:top w:val="nil"/>
              <w:left w:val="nil"/>
              <w:bottom w:val="single" w:sz="4" w:space="0" w:color="auto"/>
              <w:right w:val="single" w:sz="4" w:space="0" w:color="auto"/>
            </w:tcBorders>
            <w:shd w:val="clear" w:color="auto" w:fill="auto"/>
            <w:vAlign w:val="center"/>
            <w:hideMark/>
          </w:tcPr>
          <w:p w14:paraId="2E0BBCD1" w14:textId="440F1930" w:rsidR="00756AE8" w:rsidRPr="00756AE8" w:rsidRDefault="00A14F84" w:rsidP="00756AE8">
            <w:pPr>
              <w:widowControl/>
              <w:autoSpaceDE/>
              <w:autoSpaceDN/>
              <w:adjustRightInd/>
              <w:jc w:val="center"/>
              <w:rPr>
                <w:color w:val="000000"/>
                <w:sz w:val="24"/>
                <w:szCs w:val="24"/>
              </w:rPr>
            </w:pPr>
            <w:r>
              <w:rPr>
                <w:color w:val="000000"/>
                <w:sz w:val="24"/>
                <w:szCs w:val="24"/>
              </w:rPr>
              <w:t>$410</w:t>
            </w:r>
          </w:p>
        </w:tc>
      </w:tr>
      <w:tr w:rsidR="00756AE8" w:rsidRPr="00756AE8" w14:paraId="63801DB6" w14:textId="77777777" w:rsidTr="00756AE8">
        <w:trPr>
          <w:trHeight w:val="6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1D21B14F"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Subject Matter Specialist #2</w:t>
            </w:r>
          </w:p>
        </w:tc>
        <w:tc>
          <w:tcPr>
            <w:tcW w:w="1420" w:type="dxa"/>
            <w:tcBorders>
              <w:top w:val="nil"/>
              <w:left w:val="nil"/>
              <w:bottom w:val="single" w:sz="4" w:space="0" w:color="auto"/>
              <w:right w:val="single" w:sz="4" w:space="0" w:color="auto"/>
            </w:tcBorders>
            <w:shd w:val="clear" w:color="auto" w:fill="auto"/>
            <w:vAlign w:val="center"/>
            <w:hideMark/>
          </w:tcPr>
          <w:p w14:paraId="309BEA5C"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GS-14/7</w:t>
            </w:r>
          </w:p>
        </w:tc>
        <w:tc>
          <w:tcPr>
            <w:tcW w:w="1180" w:type="dxa"/>
            <w:tcBorders>
              <w:top w:val="nil"/>
              <w:left w:val="nil"/>
              <w:bottom w:val="single" w:sz="4" w:space="0" w:color="auto"/>
              <w:right w:val="single" w:sz="4" w:space="0" w:color="auto"/>
            </w:tcBorders>
            <w:shd w:val="clear" w:color="auto" w:fill="auto"/>
            <w:vAlign w:val="center"/>
            <w:hideMark/>
          </w:tcPr>
          <w:p w14:paraId="687A89E9"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$49.68 </w:t>
            </w:r>
          </w:p>
        </w:tc>
        <w:tc>
          <w:tcPr>
            <w:tcW w:w="1540" w:type="dxa"/>
            <w:tcBorders>
              <w:top w:val="nil"/>
              <w:left w:val="nil"/>
              <w:bottom w:val="single" w:sz="4" w:space="0" w:color="auto"/>
              <w:right w:val="single" w:sz="4" w:space="0" w:color="auto"/>
            </w:tcBorders>
            <w:shd w:val="clear" w:color="auto" w:fill="auto"/>
            <w:vAlign w:val="center"/>
            <w:hideMark/>
          </w:tcPr>
          <w:p w14:paraId="40099C37"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$74.52 </w:t>
            </w:r>
          </w:p>
        </w:tc>
        <w:tc>
          <w:tcPr>
            <w:tcW w:w="1480" w:type="dxa"/>
            <w:tcBorders>
              <w:top w:val="nil"/>
              <w:left w:val="nil"/>
              <w:bottom w:val="single" w:sz="4" w:space="0" w:color="auto"/>
              <w:right w:val="single" w:sz="4" w:space="0" w:color="auto"/>
            </w:tcBorders>
            <w:shd w:val="clear" w:color="auto" w:fill="auto"/>
            <w:vAlign w:val="center"/>
            <w:hideMark/>
          </w:tcPr>
          <w:p w14:paraId="4BBACB63" w14:textId="77777777" w:rsidR="00756AE8" w:rsidRPr="00756AE8" w:rsidRDefault="00756AE8" w:rsidP="00756AE8">
            <w:pPr>
              <w:widowControl/>
              <w:autoSpaceDE/>
              <w:autoSpaceDN/>
              <w:adjustRightInd/>
              <w:jc w:val="right"/>
              <w:rPr>
                <w:color w:val="000000"/>
                <w:sz w:val="24"/>
                <w:szCs w:val="24"/>
              </w:rPr>
            </w:pPr>
            <w:r w:rsidRPr="00756AE8">
              <w:rPr>
                <w:color w:val="000000"/>
                <w:sz w:val="24"/>
                <w:szCs w:val="24"/>
              </w:rPr>
              <w:t>8</w:t>
            </w:r>
          </w:p>
        </w:tc>
        <w:tc>
          <w:tcPr>
            <w:tcW w:w="1600" w:type="dxa"/>
            <w:tcBorders>
              <w:top w:val="nil"/>
              <w:left w:val="nil"/>
              <w:bottom w:val="single" w:sz="4" w:space="0" w:color="auto"/>
              <w:right w:val="single" w:sz="4" w:space="0" w:color="auto"/>
            </w:tcBorders>
            <w:shd w:val="clear" w:color="auto" w:fill="auto"/>
            <w:vAlign w:val="center"/>
            <w:hideMark/>
          </w:tcPr>
          <w:p w14:paraId="581973E6" w14:textId="17010AFC" w:rsidR="00756AE8" w:rsidRPr="00756AE8" w:rsidRDefault="00A14F84" w:rsidP="00A62A67">
            <w:pPr>
              <w:widowControl/>
              <w:autoSpaceDE/>
              <w:autoSpaceDN/>
              <w:adjustRightInd/>
              <w:jc w:val="center"/>
              <w:rPr>
                <w:color w:val="000000"/>
                <w:sz w:val="24"/>
                <w:szCs w:val="24"/>
              </w:rPr>
            </w:pPr>
            <w:r>
              <w:rPr>
                <w:color w:val="000000"/>
                <w:sz w:val="24"/>
                <w:szCs w:val="24"/>
              </w:rPr>
              <w:t>$59</w:t>
            </w:r>
            <w:r w:rsidR="00A62A67">
              <w:rPr>
                <w:color w:val="000000"/>
                <w:sz w:val="24"/>
                <w:szCs w:val="24"/>
              </w:rPr>
              <w:t>7</w:t>
            </w:r>
          </w:p>
        </w:tc>
      </w:tr>
      <w:tr w:rsidR="00756AE8" w:rsidRPr="00756AE8" w14:paraId="3BD52E1A" w14:textId="77777777" w:rsidTr="00756AE8">
        <w:trPr>
          <w:trHeight w:val="6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500C32E"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lastRenderedPageBreak/>
              <w:t>Subject Matter Specialist #3</w:t>
            </w:r>
          </w:p>
        </w:tc>
        <w:tc>
          <w:tcPr>
            <w:tcW w:w="1420" w:type="dxa"/>
            <w:tcBorders>
              <w:top w:val="nil"/>
              <w:left w:val="nil"/>
              <w:bottom w:val="single" w:sz="4" w:space="0" w:color="auto"/>
              <w:right w:val="single" w:sz="4" w:space="0" w:color="auto"/>
            </w:tcBorders>
            <w:shd w:val="clear" w:color="auto" w:fill="auto"/>
            <w:vAlign w:val="center"/>
            <w:hideMark/>
          </w:tcPr>
          <w:p w14:paraId="494CA369"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GS-13/10</w:t>
            </w:r>
          </w:p>
        </w:tc>
        <w:tc>
          <w:tcPr>
            <w:tcW w:w="1180" w:type="dxa"/>
            <w:tcBorders>
              <w:top w:val="nil"/>
              <w:left w:val="nil"/>
              <w:bottom w:val="single" w:sz="4" w:space="0" w:color="auto"/>
              <w:right w:val="single" w:sz="4" w:space="0" w:color="auto"/>
            </w:tcBorders>
            <w:shd w:val="clear" w:color="auto" w:fill="auto"/>
            <w:vAlign w:val="center"/>
            <w:hideMark/>
          </w:tcPr>
          <w:p w14:paraId="1C25DBF9"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$45.54 </w:t>
            </w:r>
          </w:p>
        </w:tc>
        <w:tc>
          <w:tcPr>
            <w:tcW w:w="1540" w:type="dxa"/>
            <w:tcBorders>
              <w:top w:val="nil"/>
              <w:left w:val="nil"/>
              <w:bottom w:val="single" w:sz="4" w:space="0" w:color="auto"/>
              <w:right w:val="single" w:sz="4" w:space="0" w:color="auto"/>
            </w:tcBorders>
            <w:shd w:val="clear" w:color="auto" w:fill="auto"/>
            <w:vAlign w:val="center"/>
            <w:hideMark/>
          </w:tcPr>
          <w:p w14:paraId="7374975A"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$68.31 </w:t>
            </w:r>
          </w:p>
        </w:tc>
        <w:tc>
          <w:tcPr>
            <w:tcW w:w="1480" w:type="dxa"/>
            <w:tcBorders>
              <w:top w:val="nil"/>
              <w:left w:val="nil"/>
              <w:bottom w:val="single" w:sz="4" w:space="0" w:color="auto"/>
              <w:right w:val="single" w:sz="4" w:space="0" w:color="auto"/>
            </w:tcBorders>
            <w:shd w:val="clear" w:color="auto" w:fill="auto"/>
            <w:vAlign w:val="center"/>
            <w:hideMark/>
          </w:tcPr>
          <w:p w14:paraId="5ADF44DD" w14:textId="77777777" w:rsidR="00756AE8" w:rsidRPr="00756AE8" w:rsidRDefault="00756AE8" w:rsidP="00756AE8">
            <w:pPr>
              <w:widowControl/>
              <w:autoSpaceDE/>
              <w:autoSpaceDN/>
              <w:adjustRightInd/>
              <w:jc w:val="right"/>
              <w:rPr>
                <w:color w:val="000000"/>
                <w:sz w:val="24"/>
                <w:szCs w:val="24"/>
              </w:rPr>
            </w:pPr>
            <w:r w:rsidRPr="00756AE8">
              <w:rPr>
                <w:color w:val="000000"/>
                <w:sz w:val="24"/>
                <w:szCs w:val="24"/>
              </w:rPr>
              <w:t>8</w:t>
            </w:r>
          </w:p>
        </w:tc>
        <w:tc>
          <w:tcPr>
            <w:tcW w:w="1600" w:type="dxa"/>
            <w:tcBorders>
              <w:top w:val="nil"/>
              <w:left w:val="nil"/>
              <w:bottom w:val="single" w:sz="4" w:space="0" w:color="auto"/>
              <w:right w:val="single" w:sz="4" w:space="0" w:color="auto"/>
            </w:tcBorders>
            <w:shd w:val="clear" w:color="auto" w:fill="auto"/>
            <w:vAlign w:val="center"/>
            <w:hideMark/>
          </w:tcPr>
          <w:p w14:paraId="4261C527" w14:textId="43EC709A" w:rsidR="00756AE8" w:rsidRPr="00756AE8" w:rsidRDefault="00A14F84" w:rsidP="00A62A67">
            <w:pPr>
              <w:widowControl/>
              <w:autoSpaceDE/>
              <w:autoSpaceDN/>
              <w:adjustRightInd/>
              <w:jc w:val="center"/>
              <w:rPr>
                <w:color w:val="000000"/>
                <w:sz w:val="24"/>
                <w:szCs w:val="24"/>
              </w:rPr>
            </w:pPr>
            <w:r>
              <w:rPr>
                <w:color w:val="000000"/>
                <w:sz w:val="24"/>
                <w:szCs w:val="24"/>
              </w:rPr>
              <w:t>$54</w:t>
            </w:r>
            <w:r w:rsidR="00A62A67">
              <w:rPr>
                <w:color w:val="000000"/>
                <w:sz w:val="24"/>
                <w:szCs w:val="24"/>
              </w:rPr>
              <w:t>7</w:t>
            </w:r>
          </w:p>
        </w:tc>
      </w:tr>
      <w:tr w:rsidR="00756AE8" w:rsidRPr="00756AE8" w14:paraId="1706D507" w14:textId="77777777" w:rsidTr="00756AE8">
        <w:trPr>
          <w:trHeight w:val="6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7C56797A"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Subject Matter Specialist #4</w:t>
            </w:r>
          </w:p>
        </w:tc>
        <w:tc>
          <w:tcPr>
            <w:tcW w:w="1420" w:type="dxa"/>
            <w:tcBorders>
              <w:top w:val="nil"/>
              <w:left w:val="nil"/>
              <w:bottom w:val="single" w:sz="4" w:space="0" w:color="auto"/>
              <w:right w:val="single" w:sz="4" w:space="0" w:color="auto"/>
            </w:tcBorders>
            <w:shd w:val="clear" w:color="auto" w:fill="auto"/>
            <w:vAlign w:val="center"/>
            <w:hideMark/>
          </w:tcPr>
          <w:p w14:paraId="1C7F3BF4"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GS-13/10</w:t>
            </w:r>
          </w:p>
        </w:tc>
        <w:tc>
          <w:tcPr>
            <w:tcW w:w="1180" w:type="dxa"/>
            <w:tcBorders>
              <w:top w:val="nil"/>
              <w:left w:val="nil"/>
              <w:bottom w:val="single" w:sz="4" w:space="0" w:color="auto"/>
              <w:right w:val="single" w:sz="4" w:space="0" w:color="auto"/>
            </w:tcBorders>
            <w:shd w:val="clear" w:color="auto" w:fill="auto"/>
            <w:vAlign w:val="center"/>
            <w:hideMark/>
          </w:tcPr>
          <w:p w14:paraId="582BB211"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$45.54 </w:t>
            </w:r>
          </w:p>
        </w:tc>
        <w:tc>
          <w:tcPr>
            <w:tcW w:w="1540" w:type="dxa"/>
            <w:tcBorders>
              <w:top w:val="nil"/>
              <w:left w:val="nil"/>
              <w:bottom w:val="single" w:sz="4" w:space="0" w:color="auto"/>
              <w:right w:val="single" w:sz="4" w:space="0" w:color="auto"/>
            </w:tcBorders>
            <w:shd w:val="clear" w:color="auto" w:fill="auto"/>
            <w:vAlign w:val="center"/>
            <w:hideMark/>
          </w:tcPr>
          <w:p w14:paraId="1F5B1962"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$68.31 </w:t>
            </w:r>
          </w:p>
        </w:tc>
        <w:tc>
          <w:tcPr>
            <w:tcW w:w="1480" w:type="dxa"/>
            <w:tcBorders>
              <w:top w:val="nil"/>
              <w:left w:val="nil"/>
              <w:bottom w:val="single" w:sz="4" w:space="0" w:color="auto"/>
              <w:right w:val="single" w:sz="4" w:space="0" w:color="auto"/>
            </w:tcBorders>
            <w:shd w:val="clear" w:color="auto" w:fill="auto"/>
            <w:vAlign w:val="center"/>
            <w:hideMark/>
          </w:tcPr>
          <w:p w14:paraId="04E98AF7" w14:textId="77777777" w:rsidR="00756AE8" w:rsidRPr="00756AE8" w:rsidRDefault="00756AE8" w:rsidP="00756AE8">
            <w:pPr>
              <w:widowControl/>
              <w:autoSpaceDE/>
              <w:autoSpaceDN/>
              <w:adjustRightInd/>
              <w:jc w:val="right"/>
              <w:rPr>
                <w:color w:val="000000"/>
                <w:sz w:val="24"/>
                <w:szCs w:val="24"/>
              </w:rPr>
            </w:pPr>
            <w:r w:rsidRPr="00756AE8">
              <w:rPr>
                <w:color w:val="000000"/>
                <w:sz w:val="24"/>
                <w:szCs w:val="24"/>
              </w:rPr>
              <w:t>16</w:t>
            </w:r>
          </w:p>
        </w:tc>
        <w:tc>
          <w:tcPr>
            <w:tcW w:w="1600" w:type="dxa"/>
            <w:tcBorders>
              <w:top w:val="nil"/>
              <w:left w:val="nil"/>
              <w:bottom w:val="single" w:sz="4" w:space="0" w:color="auto"/>
              <w:right w:val="single" w:sz="4" w:space="0" w:color="auto"/>
            </w:tcBorders>
            <w:shd w:val="clear" w:color="auto" w:fill="auto"/>
            <w:vAlign w:val="center"/>
            <w:hideMark/>
          </w:tcPr>
          <w:p w14:paraId="0E84C85A" w14:textId="20105A76" w:rsidR="00756AE8" w:rsidRPr="00756AE8" w:rsidRDefault="00A14F84" w:rsidP="00756AE8">
            <w:pPr>
              <w:widowControl/>
              <w:autoSpaceDE/>
              <w:autoSpaceDN/>
              <w:adjustRightInd/>
              <w:jc w:val="center"/>
              <w:rPr>
                <w:color w:val="000000"/>
                <w:sz w:val="24"/>
                <w:szCs w:val="24"/>
              </w:rPr>
            </w:pPr>
            <w:r>
              <w:rPr>
                <w:color w:val="000000"/>
                <w:sz w:val="24"/>
                <w:szCs w:val="24"/>
              </w:rPr>
              <w:t>$1,093</w:t>
            </w:r>
            <w:r w:rsidR="00756AE8" w:rsidRPr="00756AE8">
              <w:rPr>
                <w:color w:val="000000"/>
                <w:sz w:val="24"/>
                <w:szCs w:val="24"/>
              </w:rPr>
              <w:t xml:space="preserve"> </w:t>
            </w:r>
          </w:p>
        </w:tc>
      </w:tr>
      <w:tr w:rsidR="00756AE8" w:rsidRPr="00756AE8" w14:paraId="1DE9B3A2" w14:textId="77777777" w:rsidTr="007D01DB">
        <w:trPr>
          <w:trHeight w:val="315"/>
        </w:trPr>
        <w:tc>
          <w:tcPr>
            <w:tcW w:w="74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440ED" w14:textId="05014E3C" w:rsidR="00756AE8" w:rsidRPr="00756AE8" w:rsidRDefault="00A14F84" w:rsidP="00756AE8">
            <w:pPr>
              <w:widowControl/>
              <w:autoSpaceDE/>
              <w:autoSpaceDN/>
              <w:adjustRightInd/>
              <w:jc w:val="right"/>
              <w:rPr>
                <w:b/>
                <w:bCs/>
                <w:color w:val="000000"/>
                <w:sz w:val="24"/>
                <w:szCs w:val="24"/>
              </w:rPr>
            </w:pPr>
            <w:r>
              <w:rPr>
                <w:b/>
                <w:bCs/>
                <w:color w:val="000000"/>
                <w:sz w:val="24"/>
                <w:szCs w:val="24"/>
              </w:rPr>
              <w:t>Subtotal</w:t>
            </w:r>
            <w:r w:rsidR="00756AE8" w:rsidRPr="00756AE8">
              <w:rPr>
                <w:b/>
                <w:bCs/>
                <w:color w:val="000000"/>
                <w:sz w:val="24"/>
                <w:szCs w:val="24"/>
              </w:rPr>
              <w:t> </w:t>
            </w:r>
          </w:p>
        </w:tc>
        <w:tc>
          <w:tcPr>
            <w:tcW w:w="1600" w:type="dxa"/>
            <w:tcBorders>
              <w:top w:val="nil"/>
              <w:left w:val="nil"/>
              <w:bottom w:val="single" w:sz="4" w:space="0" w:color="auto"/>
              <w:right w:val="single" w:sz="4" w:space="0" w:color="auto"/>
            </w:tcBorders>
            <w:shd w:val="clear" w:color="auto" w:fill="auto"/>
            <w:noWrap/>
            <w:vAlign w:val="center"/>
            <w:hideMark/>
          </w:tcPr>
          <w:p w14:paraId="497B654A" w14:textId="405252D6" w:rsidR="00756AE8" w:rsidRPr="00756AE8" w:rsidRDefault="00A14F84" w:rsidP="00A62A67">
            <w:pPr>
              <w:widowControl/>
              <w:autoSpaceDE/>
              <w:autoSpaceDN/>
              <w:adjustRightInd/>
              <w:jc w:val="center"/>
              <w:rPr>
                <w:b/>
                <w:bCs/>
                <w:color w:val="000000"/>
                <w:sz w:val="24"/>
                <w:szCs w:val="24"/>
              </w:rPr>
            </w:pPr>
            <w:r>
              <w:rPr>
                <w:b/>
                <w:bCs/>
                <w:color w:val="000000"/>
                <w:sz w:val="24"/>
                <w:szCs w:val="24"/>
              </w:rPr>
              <w:t>$6,06</w:t>
            </w:r>
            <w:r w:rsidR="00A62A67">
              <w:rPr>
                <w:b/>
                <w:bCs/>
                <w:color w:val="000000"/>
                <w:sz w:val="24"/>
                <w:szCs w:val="24"/>
              </w:rPr>
              <w:t>3</w:t>
            </w:r>
          </w:p>
        </w:tc>
      </w:tr>
      <w:tr w:rsidR="00756AE8" w:rsidRPr="00756AE8" w14:paraId="1DA0FFEA" w14:textId="77777777" w:rsidTr="007D01DB">
        <w:trPr>
          <w:trHeight w:val="315"/>
        </w:trPr>
        <w:tc>
          <w:tcPr>
            <w:tcW w:w="4440" w:type="dxa"/>
            <w:gridSpan w:val="3"/>
            <w:tcBorders>
              <w:top w:val="nil"/>
              <w:left w:val="nil"/>
              <w:bottom w:val="nil"/>
              <w:right w:val="nil"/>
            </w:tcBorders>
            <w:shd w:val="clear" w:color="auto" w:fill="auto"/>
            <w:noWrap/>
            <w:vAlign w:val="bottom"/>
            <w:hideMark/>
          </w:tcPr>
          <w:p w14:paraId="299D08F9" w14:textId="77777777" w:rsidR="00756AE8" w:rsidRPr="00756AE8" w:rsidRDefault="00756AE8" w:rsidP="007D01DB">
            <w:pPr>
              <w:widowControl/>
              <w:autoSpaceDE/>
              <w:autoSpaceDN/>
              <w:adjustRightInd/>
              <w:rPr>
                <w:b/>
                <w:bCs/>
                <w:color w:val="000000"/>
                <w:sz w:val="24"/>
                <w:szCs w:val="24"/>
              </w:rPr>
            </w:pPr>
            <w:r w:rsidRPr="00756AE8">
              <w:rPr>
                <w:b/>
                <w:bCs/>
                <w:color w:val="000000"/>
                <w:sz w:val="24"/>
                <w:szCs w:val="24"/>
              </w:rPr>
              <w:t>Action: Review Final Reports</w:t>
            </w:r>
          </w:p>
        </w:tc>
        <w:tc>
          <w:tcPr>
            <w:tcW w:w="1540" w:type="dxa"/>
            <w:tcBorders>
              <w:top w:val="nil"/>
              <w:left w:val="nil"/>
              <w:bottom w:val="nil"/>
              <w:right w:val="nil"/>
            </w:tcBorders>
            <w:shd w:val="clear" w:color="auto" w:fill="auto"/>
            <w:noWrap/>
            <w:vAlign w:val="bottom"/>
            <w:hideMark/>
          </w:tcPr>
          <w:p w14:paraId="086DF800" w14:textId="77777777" w:rsidR="00756AE8" w:rsidRPr="00756AE8" w:rsidRDefault="00756AE8" w:rsidP="00756AE8">
            <w:pPr>
              <w:widowControl/>
              <w:autoSpaceDE/>
              <w:autoSpaceDN/>
              <w:adjustRightInd/>
              <w:rPr>
                <w:rFonts w:ascii="Calibri" w:hAnsi="Calibri"/>
                <w:color w:val="000000"/>
                <w:sz w:val="22"/>
                <w:szCs w:val="22"/>
              </w:rPr>
            </w:pPr>
          </w:p>
        </w:tc>
        <w:tc>
          <w:tcPr>
            <w:tcW w:w="1480" w:type="dxa"/>
            <w:tcBorders>
              <w:top w:val="nil"/>
              <w:left w:val="nil"/>
              <w:bottom w:val="nil"/>
              <w:right w:val="nil"/>
            </w:tcBorders>
            <w:shd w:val="clear" w:color="auto" w:fill="auto"/>
            <w:noWrap/>
            <w:vAlign w:val="bottom"/>
            <w:hideMark/>
          </w:tcPr>
          <w:p w14:paraId="7DCFCCAC" w14:textId="77777777" w:rsidR="00756AE8" w:rsidRPr="00756AE8" w:rsidRDefault="00756AE8" w:rsidP="00756AE8">
            <w:pPr>
              <w:widowControl/>
              <w:autoSpaceDE/>
              <w:autoSpaceDN/>
              <w:adjustRightInd/>
              <w:rPr>
                <w:rFonts w:ascii="Calibri" w:hAnsi="Calibri"/>
                <w:color w:val="000000"/>
                <w:sz w:val="22"/>
                <w:szCs w:val="22"/>
              </w:rPr>
            </w:pPr>
          </w:p>
        </w:tc>
        <w:tc>
          <w:tcPr>
            <w:tcW w:w="1600" w:type="dxa"/>
            <w:tcBorders>
              <w:top w:val="nil"/>
              <w:left w:val="nil"/>
              <w:bottom w:val="nil"/>
              <w:right w:val="nil"/>
            </w:tcBorders>
            <w:shd w:val="clear" w:color="auto" w:fill="auto"/>
            <w:noWrap/>
            <w:vAlign w:val="bottom"/>
            <w:hideMark/>
          </w:tcPr>
          <w:p w14:paraId="27EBD6ED" w14:textId="77777777" w:rsidR="00756AE8" w:rsidRPr="00756AE8" w:rsidRDefault="00756AE8" w:rsidP="00756AE8">
            <w:pPr>
              <w:widowControl/>
              <w:autoSpaceDE/>
              <w:autoSpaceDN/>
              <w:adjustRightInd/>
              <w:rPr>
                <w:rFonts w:ascii="Calibri" w:hAnsi="Calibri"/>
                <w:color w:val="000000"/>
                <w:sz w:val="22"/>
                <w:szCs w:val="22"/>
              </w:rPr>
            </w:pPr>
          </w:p>
        </w:tc>
      </w:tr>
      <w:tr w:rsidR="00756AE8" w:rsidRPr="00756AE8" w14:paraId="3EDFE6DA" w14:textId="77777777" w:rsidTr="00756AE8">
        <w:trPr>
          <w:trHeight w:val="1260"/>
        </w:trPr>
        <w:tc>
          <w:tcPr>
            <w:tcW w:w="1840"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4486883A" w14:textId="77777777" w:rsidR="00756AE8" w:rsidRPr="00756AE8" w:rsidRDefault="00756AE8" w:rsidP="00756AE8">
            <w:pPr>
              <w:widowControl/>
              <w:autoSpaceDE/>
              <w:autoSpaceDN/>
              <w:adjustRightInd/>
              <w:jc w:val="center"/>
              <w:rPr>
                <w:b/>
                <w:bCs/>
                <w:color w:val="000000"/>
                <w:sz w:val="24"/>
                <w:szCs w:val="24"/>
              </w:rPr>
            </w:pPr>
            <w:r w:rsidRPr="00756AE8">
              <w:rPr>
                <w:b/>
                <w:bCs/>
                <w:color w:val="000000"/>
                <w:sz w:val="24"/>
                <w:szCs w:val="24"/>
              </w:rPr>
              <w:t>Position</w:t>
            </w:r>
          </w:p>
        </w:tc>
        <w:tc>
          <w:tcPr>
            <w:tcW w:w="1420" w:type="dxa"/>
            <w:tcBorders>
              <w:top w:val="single" w:sz="4" w:space="0" w:color="auto"/>
              <w:left w:val="nil"/>
              <w:bottom w:val="nil"/>
              <w:right w:val="single" w:sz="4" w:space="0" w:color="auto"/>
            </w:tcBorders>
            <w:shd w:val="clear" w:color="000000" w:fill="E0E0E0"/>
            <w:vAlign w:val="center"/>
            <w:hideMark/>
          </w:tcPr>
          <w:p w14:paraId="7824F933" w14:textId="77777777" w:rsidR="00756AE8" w:rsidRPr="00756AE8" w:rsidRDefault="00756AE8" w:rsidP="00756AE8">
            <w:pPr>
              <w:widowControl/>
              <w:autoSpaceDE/>
              <w:autoSpaceDN/>
              <w:adjustRightInd/>
              <w:jc w:val="center"/>
              <w:rPr>
                <w:b/>
                <w:bCs/>
                <w:color w:val="000000"/>
                <w:sz w:val="24"/>
                <w:szCs w:val="24"/>
              </w:rPr>
            </w:pPr>
            <w:r w:rsidRPr="00756AE8">
              <w:rPr>
                <w:b/>
                <w:bCs/>
                <w:color w:val="000000"/>
                <w:sz w:val="24"/>
                <w:szCs w:val="24"/>
              </w:rPr>
              <w:t>Grade/Step</w:t>
            </w:r>
          </w:p>
        </w:tc>
        <w:tc>
          <w:tcPr>
            <w:tcW w:w="1180" w:type="dxa"/>
            <w:tcBorders>
              <w:top w:val="single" w:sz="4" w:space="0" w:color="auto"/>
              <w:left w:val="nil"/>
              <w:bottom w:val="single" w:sz="4" w:space="0" w:color="auto"/>
              <w:right w:val="single" w:sz="4" w:space="0" w:color="auto"/>
            </w:tcBorders>
            <w:shd w:val="clear" w:color="000000" w:fill="E0E0E0"/>
            <w:vAlign w:val="center"/>
            <w:hideMark/>
          </w:tcPr>
          <w:p w14:paraId="3D791B74" w14:textId="77777777" w:rsidR="00756AE8" w:rsidRPr="00756AE8" w:rsidRDefault="00756AE8" w:rsidP="00756AE8">
            <w:pPr>
              <w:widowControl/>
              <w:autoSpaceDE/>
              <w:autoSpaceDN/>
              <w:adjustRightInd/>
              <w:jc w:val="center"/>
              <w:rPr>
                <w:b/>
                <w:bCs/>
                <w:color w:val="000000"/>
                <w:sz w:val="24"/>
                <w:szCs w:val="24"/>
              </w:rPr>
            </w:pPr>
            <w:r w:rsidRPr="00756AE8">
              <w:rPr>
                <w:b/>
                <w:bCs/>
                <w:color w:val="000000"/>
                <w:sz w:val="24"/>
                <w:szCs w:val="24"/>
              </w:rPr>
              <w:t>Hourly Rate</w:t>
            </w:r>
          </w:p>
        </w:tc>
        <w:tc>
          <w:tcPr>
            <w:tcW w:w="1540" w:type="dxa"/>
            <w:tcBorders>
              <w:top w:val="single" w:sz="4" w:space="0" w:color="auto"/>
              <w:left w:val="nil"/>
              <w:bottom w:val="nil"/>
              <w:right w:val="single" w:sz="4" w:space="0" w:color="auto"/>
            </w:tcBorders>
            <w:shd w:val="clear" w:color="000000" w:fill="E0E0E0"/>
            <w:vAlign w:val="center"/>
            <w:hideMark/>
          </w:tcPr>
          <w:p w14:paraId="6A1F09A1" w14:textId="77777777" w:rsidR="00756AE8" w:rsidRPr="00756AE8" w:rsidRDefault="00756AE8" w:rsidP="00756AE8">
            <w:pPr>
              <w:widowControl/>
              <w:autoSpaceDE/>
              <w:autoSpaceDN/>
              <w:adjustRightInd/>
              <w:jc w:val="center"/>
              <w:rPr>
                <w:b/>
                <w:bCs/>
                <w:color w:val="000000"/>
                <w:sz w:val="24"/>
                <w:szCs w:val="24"/>
              </w:rPr>
            </w:pPr>
            <w:r w:rsidRPr="00756AE8">
              <w:rPr>
                <w:b/>
                <w:bCs/>
                <w:color w:val="000000"/>
                <w:sz w:val="24"/>
                <w:szCs w:val="24"/>
              </w:rPr>
              <w:t>Hourly Rate incl. benefits (1.5 x hourly pay rate)</w:t>
            </w:r>
          </w:p>
        </w:tc>
        <w:tc>
          <w:tcPr>
            <w:tcW w:w="1480" w:type="dxa"/>
            <w:tcBorders>
              <w:top w:val="single" w:sz="4" w:space="0" w:color="auto"/>
              <w:left w:val="nil"/>
              <w:bottom w:val="nil"/>
              <w:right w:val="single" w:sz="4" w:space="0" w:color="auto"/>
            </w:tcBorders>
            <w:shd w:val="clear" w:color="000000" w:fill="E0E0E0"/>
            <w:vAlign w:val="center"/>
            <w:hideMark/>
          </w:tcPr>
          <w:p w14:paraId="43C1532F" w14:textId="77777777" w:rsidR="00756AE8" w:rsidRPr="00756AE8" w:rsidRDefault="00756AE8" w:rsidP="00756AE8">
            <w:pPr>
              <w:widowControl/>
              <w:autoSpaceDE/>
              <w:autoSpaceDN/>
              <w:adjustRightInd/>
              <w:jc w:val="center"/>
              <w:rPr>
                <w:b/>
                <w:bCs/>
                <w:color w:val="000000"/>
                <w:sz w:val="24"/>
                <w:szCs w:val="24"/>
              </w:rPr>
            </w:pPr>
            <w:r w:rsidRPr="00756AE8">
              <w:rPr>
                <w:b/>
                <w:bCs/>
                <w:color w:val="000000"/>
                <w:sz w:val="24"/>
                <w:szCs w:val="24"/>
              </w:rPr>
              <w:t>Hours on Project</w:t>
            </w:r>
          </w:p>
        </w:tc>
        <w:tc>
          <w:tcPr>
            <w:tcW w:w="1600" w:type="dxa"/>
            <w:tcBorders>
              <w:top w:val="single" w:sz="4" w:space="0" w:color="auto"/>
              <w:left w:val="nil"/>
              <w:bottom w:val="single" w:sz="4" w:space="0" w:color="auto"/>
              <w:right w:val="single" w:sz="4" w:space="0" w:color="auto"/>
            </w:tcBorders>
            <w:shd w:val="clear" w:color="000000" w:fill="E0E0E0"/>
            <w:vAlign w:val="center"/>
            <w:hideMark/>
          </w:tcPr>
          <w:p w14:paraId="6AA108EA" w14:textId="77777777" w:rsidR="00756AE8" w:rsidRPr="00756AE8" w:rsidRDefault="00756AE8" w:rsidP="00756AE8">
            <w:pPr>
              <w:widowControl/>
              <w:autoSpaceDE/>
              <w:autoSpaceDN/>
              <w:adjustRightInd/>
              <w:jc w:val="center"/>
              <w:rPr>
                <w:b/>
                <w:bCs/>
                <w:color w:val="000000"/>
                <w:sz w:val="24"/>
                <w:szCs w:val="24"/>
              </w:rPr>
            </w:pPr>
            <w:r w:rsidRPr="00756AE8">
              <w:rPr>
                <w:b/>
                <w:bCs/>
                <w:color w:val="000000"/>
                <w:sz w:val="24"/>
                <w:szCs w:val="24"/>
              </w:rPr>
              <w:t>Annual Cost</w:t>
            </w:r>
          </w:p>
        </w:tc>
      </w:tr>
      <w:tr w:rsidR="00756AE8" w:rsidRPr="00756AE8" w14:paraId="49A7C71C" w14:textId="77777777" w:rsidTr="00756AE8">
        <w:trPr>
          <w:trHeight w:val="6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2EA81DFA"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NSDI CAP Coordinator</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0292BF10"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GS-13/10</w:t>
            </w:r>
          </w:p>
        </w:tc>
        <w:tc>
          <w:tcPr>
            <w:tcW w:w="1180" w:type="dxa"/>
            <w:tcBorders>
              <w:top w:val="nil"/>
              <w:left w:val="nil"/>
              <w:bottom w:val="single" w:sz="4" w:space="0" w:color="auto"/>
              <w:right w:val="single" w:sz="4" w:space="0" w:color="auto"/>
            </w:tcBorders>
            <w:shd w:val="clear" w:color="auto" w:fill="auto"/>
            <w:vAlign w:val="center"/>
            <w:hideMark/>
          </w:tcPr>
          <w:p w14:paraId="52B887FA"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$45.54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0C456063"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$68.31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C8F62EC" w14:textId="77777777" w:rsidR="00756AE8" w:rsidRPr="00756AE8" w:rsidRDefault="00756AE8" w:rsidP="00756AE8">
            <w:pPr>
              <w:widowControl/>
              <w:autoSpaceDE/>
              <w:autoSpaceDN/>
              <w:adjustRightInd/>
              <w:jc w:val="right"/>
              <w:rPr>
                <w:color w:val="000000"/>
                <w:sz w:val="24"/>
                <w:szCs w:val="24"/>
              </w:rPr>
            </w:pPr>
            <w:r w:rsidRPr="00756AE8">
              <w:rPr>
                <w:color w:val="000000"/>
                <w:sz w:val="24"/>
                <w:szCs w:val="24"/>
              </w:rPr>
              <w:t>50</w:t>
            </w:r>
          </w:p>
        </w:tc>
        <w:tc>
          <w:tcPr>
            <w:tcW w:w="1600" w:type="dxa"/>
            <w:tcBorders>
              <w:top w:val="nil"/>
              <w:left w:val="nil"/>
              <w:bottom w:val="single" w:sz="4" w:space="0" w:color="auto"/>
              <w:right w:val="single" w:sz="4" w:space="0" w:color="auto"/>
            </w:tcBorders>
            <w:shd w:val="clear" w:color="auto" w:fill="auto"/>
            <w:vAlign w:val="center"/>
            <w:hideMark/>
          </w:tcPr>
          <w:p w14:paraId="03D2D0FA" w14:textId="529AAF5D" w:rsidR="00756AE8" w:rsidRPr="00756AE8" w:rsidRDefault="00A14F84" w:rsidP="00756AE8">
            <w:pPr>
              <w:widowControl/>
              <w:autoSpaceDE/>
              <w:autoSpaceDN/>
              <w:adjustRightInd/>
              <w:jc w:val="center"/>
              <w:rPr>
                <w:color w:val="000000"/>
                <w:sz w:val="24"/>
                <w:szCs w:val="24"/>
              </w:rPr>
            </w:pPr>
            <w:r>
              <w:rPr>
                <w:color w:val="000000"/>
                <w:sz w:val="24"/>
                <w:szCs w:val="24"/>
              </w:rPr>
              <w:t>$3,416</w:t>
            </w:r>
            <w:r w:rsidR="00756AE8" w:rsidRPr="00756AE8">
              <w:rPr>
                <w:color w:val="000000"/>
                <w:sz w:val="24"/>
                <w:szCs w:val="24"/>
              </w:rPr>
              <w:t xml:space="preserve"> </w:t>
            </w:r>
          </w:p>
        </w:tc>
      </w:tr>
      <w:tr w:rsidR="00756AE8" w:rsidRPr="00756AE8" w14:paraId="1CA86B7F" w14:textId="77777777" w:rsidTr="00756AE8">
        <w:trPr>
          <w:trHeight w:val="6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48E512B"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Subject Matter Specialist #1</w:t>
            </w:r>
          </w:p>
        </w:tc>
        <w:tc>
          <w:tcPr>
            <w:tcW w:w="1420" w:type="dxa"/>
            <w:tcBorders>
              <w:top w:val="nil"/>
              <w:left w:val="nil"/>
              <w:bottom w:val="single" w:sz="4" w:space="0" w:color="auto"/>
              <w:right w:val="single" w:sz="4" w:space="0" w:color="auto"/>
            </w:tcBorders>
            <w:shd w:val="clear" w:color="auto" w:fill="auto"/>
            <w:vAlign w:val="center"/>
            <w:hideMark/>
          </w:tcPr>
          <w:p w14:paraId="22CCA9DA"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GS-13/10</w:t>
            </w:r>
          </w:p>
        </w:tc>
        <w:tc>
          <w:tcPr>
            <w:tcW w:w="1180" w:type="dxa"/>
            <w:tcBorders>
              <w:top w:val="nil"/>
              <w:left w:val="nil"/>
              <w:bottom w:val="single" w:sz="4" w:space="0" w:color="auto"/>
              <w:right w:val="single" w:sz="4" w:space="0" w:color="auto"/>
            </w:tcBorders>
            <w:shd w:val="clear" w:color="auto" w:fill="auto"/>
            <w:vAlign w:val="center"/>
            <w:hideMark/>
          </w:tcPr>
          <w:p w14:paraId="209CD1C3"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$45.54 </w:t>
            </w:r>
          </w:p>
        </w:tc>
        <w:tc>
          <w:tcPr>
            <w:tcW w:w="1540" w:type="dxa"/>
            <w:tcBorders>
              <w:top w:val="nil"/>
              <w:left w:val="nil"/>
              <w:bottom w:val="single" w:sz="4" w:space="0" w:color="auto"/>
              <w:right w:val="single" w:sz="4" w:space="0" w:color="auto"/>
            </w:tcBorders>
            <w:shd w:val="clear" w:color="auto" w:fill="auto"/>
            <w:vAlign w:val="center"/>
            <w:hideMark/>
          </w:tcPr>
          <w:p w14:paraId="3B27D6D8"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$68.31 </w:t>
            </w:r>
          </w:p>
        </w:tc>
        <w:tc>
          <w:tcPr>
            <w:tcW w:w="1480" w:type="dxa"/>
            <w:tcBorders>
              <w:top w:val="nil"/>
              <w:left w:val="nil"/>
              <w:bottom w:val="single" w:sz="4" w:space="0" w:color="auto"/>
              <w:right w:val="single" w:sz="4" w:space="0" w:color="auto"/>
            </w:tcBorders>
            <w:shd w:val="clear" w:color="auto" w:fill="auto"/>
            <w:vAlign w:val="center"/>
            <w:hideMark/>
          </w:tcPr>
          <w:p w14:paraId="0269EE5F" w14:textId="77777777" w:rsidR="00756AE8" w:rsidRPr="00756AE8" w:rsidRDefault="00756AE8" w:rsidP="00756AE8">
            <w:pPr>
              <w:widowControl/>
              <w:autoSpaceDE/>
              <w:autoSpaceDN/>
              <w:adjustRightInd/>
              <w:jc w:val="right"/>
              <w:rPr>
                <w:color w:val="000000"/>
                <w:sz w:val="24"/>
                <w:szCs w:val="24"/>
              </w:rPr>
            </w:pPr>
            <w:r w:rsidRPr="00756AE8">
              <w:rPr>
                <w:color w:val="000000"/>
                <w:sz w:val="24"/>
                <w:szCs w:val="24"/>
              </w:rPr>
              <w:t>6</w:t>
            </w:r>
          </w:p>
        </w:tc>
        <w:tc>
          <w:tcPr>
            <w:tcW w:w="1600" w:type="dxa"/>
            <w:tcBorders>
              <w:top w:val="nil"/>
              <w:left w:val="nil"/>
              <w:bottom w:val="single" w:sz="4" w:space="0" w:color="auto"/>
              <w:right w:val="single" w:sz="4" w:space="0" w:color="auto"/>
            </w:tcBorders>
            <w:shd w:val="clear" w:color="auto" w:fill="auto"/>
            <w:vAlign w:val="center"/>
            <w:hideMark/>
          </w:tcPr>
          <w:p w14:paraId="34EA5415" w14:textId="359013FF" w:rsidR="00756AE8" w:rsidRPr="00756AE8" w:rsidRDefault="00A14F84" w:rsidP="00756AE8">
            <w:pPr>
              <w:widowControl/>
              <w:autoSpaceDE/>
              <w:autoSpaceDN/>
              <w:adjustRightInd/>
              <w:jc w:val="center"/>
              <w:rPr>
                <w:color w:val="000000"/>
                <w:sz w:val="24"/>
                <w:szCs w:val="24"/>
              </w:rPr>
            </w:pPr>
            <w:r>
              <w:rPr>
                <w:color w:val="000000"/>
                <w:sz w:val="24"/>
                <w:szCs w:val="24"/>
              </w:rPr>
              <w:t>$410</w:t>
            </w:r>
            <w:r w:rsidR="00756AE8" w:rsidRPr="00756AE8">
              <w:rPr>
                <w:color w:val="000000"/>
                <w:sz w:val="24"/>
                <w:szCs w:val="24"/>
              </w:rPr>
              <w:t xml:space="preserve"> </w:t>
            </w:r>
          </w:p>
        </w:tc>
      </w:tr>
      <w:tr w:rsidR="00756AE8" w:rsidRPr="00756AE8" w14:paraId="6E9F4646" w14:textId="77777777" w:rsidTr="00756AE8">
        <w:trPr>
          <w:trHeight w:val="6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0430A4A8"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Subject Matter Specialist #2</w:t>
            </w:r>
          </w:p>
        </w:tc>
        <w:tc>
          <w:tcPr>
            <w:tcW w:w="1420" w:type="dxa"/>
            <w:tcBorders>
              <w:top w:val="nil"/>
              <w:left w:val="nil"/>
              <w:bottom w:val="single" w:sz="4" w:space="0" w:color="auto"/>
              <w:right w:val="single" w:sz="4" w:space="0" w:color="auto"/>
            </w:tcBorders>
            <w:shd w:val="clear" w:color="auto" w:fill="auto"/>
            <w:vAlign w:val="center"/>
            <w:hideMark/>
          </w:tcPr>
          <w:p w14:paraId="59297960"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GS-14/7</w:t>
            </w:r>
          </w:p>
        </w:tc>
        <w:tc>
          <w:tcPr>
            <w:tcW w:w="1180" w:type="dxa"/>
            <w:tcBorders>
              <w:top w:val="nil"/>
              <w:left w:val="nil"/>
              <w:bottom w:val="single" w:sz="4" w:space="0" w:color="auto"/>
              <w:right w:val="single" w:sz="4" w:space="0" w:color="auto"/>
            </w:tcBorders>
            <w:shd w:val="clear" w:color="auto" w:fill="auto"/>
            <w:vAlign w:val="center"/>
            <w:hideMark/>
          </w:tcPr>
          <w:p w14:paraId="2722487E"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$49.68 </w:t>
            </w:r>
          </w:p>
        </w:tc>
        <w:tc>
          <w:tcPr>
            <w:tcW w:w="1540" w:type="dxa"/>
            <w:tcBorders>
              <w:top w:val="nil"/>
              <w:left w:val="nil"/>
              <w:bottom w:val="single" w:sz="4" w:space="0" w:color="auto"/>
              <w:right w:val="single" w:sz="4" w:space="0" w:color="auto"/>
            </w:tcBorders>
            <w:shd w:val="clear" w:color="auto" w:fill="auto"/>
            <w:vAlign w:val="center"/>
            <w:hideMark/>
          </w:tcPr>
          <w:p w14:paraId="6943E3D6"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$74.52 </w:t>
            </w:r>
          </w:p>
        </w:tc>
        <w:tc>
          <w:tcPr>
            <w:tcW w:w="1480" w:type="dxa"/>
            <w:tcBorders>
              <w:top w:val="nil"/>
              <w:left w:val="nil"/>
              <w:bottom w:val="single" w:sz="4" w:space="0" w:color="auto"/>
              <w:right w:val="single" w:sz="4" w:space="0" w:color="auto"/>
            </w:tcBorders>
            <w:shd w:val="clear" w:color="auto" w:fill="auto"/>
            <w:vAlign w:val="center"/>
            <w:hideMark/>
          </w:tcPr>
          <w:p w14:paraId="6C886F51" w14:textId="77777777" w:rsidR="00756AE8" w:rsidRPr="00756AE8" w:rsidRDefault="00756AE8" w:rsidP="00756AE8">
            <w:pPr>
              <w:widowControl/>
              <w:autoSpaceDE/>
              <w:autoSpaceDN/>
              <w:adjustRightInd/>
              <w:jc w:val="right"/>
              <w:rPr>
                <w:color w:val="000000"/>
                <w:sz w:val="24"/>
                <w:szCs w:val="24"/>
              </w:rPr>
            </w:pPr>
            <w:r w:rsidRPr="00756AE8">
              <w:rPr>
                <w:color w:val="000000"/>
                <w:sz w:val="24"/>
                <w:szCs w:val="24"/>
              </w:rPr>
              <w:t>8</w:t>
            </w:r>
          </w:p>
        </w:tc>
        <w:tc>
          <w:tcPr>
            <w:tcW w:w="1600" w:type="dxa"/>
            <w:tcBorders>
              <w:top w:val="nil"/>
              <w:left w:val="nil"/>
              <w:bottom w:val="single" w:sz="4" w:space="0" w:color="auto"/>
              <w:right w:val="single" w:sz="4" w:space="0" w:color="auto"/>
            </w:tcBorders>
            <w:shd w:val="clear" w:color="auto" w:fill="auto"/>
            <w:vAlign w:val="center"/>
            <w:hideMark/>
          </w:tcPr>
          <w:p w14:paraId="492369D1" w14:textId="1C34F346" w:rsidR="00756AE8" w:rsidRPr="00756AE8" w:rsidRDefault="00A14F84" w:rsidP="00A62A67">
            <w:pPr>
              <w:widowControl/>
              <w:autoSpaceDE/>
              <w:autoSpaceDN/>
              <w:adjustRightInd/>
              <w:jc w:val="center"/>
              <w:rPr>
                <w:color w:val="000000"/>
                <w:sz w:val="24"/>
                <w:szCs w:val="24"/>
              </w:rPr>
            </w:pPr>
            <w:r>
              <w:rPr>
                <w:color w:val="000000"/>
                <w:sz w:val="24"/>
                <w:szCs w:val="24"/>
              </w:rPr>
              <w:t>$59</w:t>
            </w:r>
            <w:r w:rsidR="00A62A67">
              <w:rPr>
                <w:color w:val="000000"/>
                <w:sz w:val="24"/>
                <w:szCs w:val="24"/>
              </w:rPr>
              <w:t>7</w:t>
            </w:r>
            <w:r w:rsidR="00756AE8" w:rsidRPr="00756AE8">
              <w:rPr>
                <w:color w:val="000000"/>
                <w:sz w:val="24"/>
                <w:szCs w:val="24"/>
              </w:rPr>
              <w:t xml:space="preserve"> </w:t>
            </w:r>
          </w:p>
        </w:tc>
      </w:tr>
      <w:tr w:rsidR="00756AE8" w:rsidRPr="00756AE8" w14:paraId="56FC8F9E" w14:textId="77777777" w:rsidTr="00756AE8">
        <w:trPr>
          <w:trHeight w:val="6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F57D2FA"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Subject Matter Specialist #3</w:t>
            </w:r>
          </w:p>
        </w:tc>
        <w:tc>
          <w:tcPr>
            <w:tcW w:w="1420" w:type="dxa"/>
            <w:tcBorders>
              <w:top w:val="nil"/>
              <w:left w:val="nil"/>
              <w:bottom w:val="single" w:sz="4" w:space="0" w:color="auto"/>
              <w:right w:val="single" w:sz="4" w:space="0" w:color="auto"/>
            </w:tcBorders>
            <w:shd w:val="clear" w:color="auto" w:fill="auto"/>
            <w:vAlign w:val="center"/>
            <w:hideMark/>
          </w:tcPr>
          <w:p w14:paraId="1745C213"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GS-13/10</w:t>
            </w:r>
          </w:p>
        </w:tc>
        <w:tc>
          <w:tcPr>
            <w:tcW w:w="1180" w:type="dxa"/>
            <w:tcBorders>
              <w:top w:val="nil"/>
              <w:left w:val="nil"/>
              <w:bottom w:val="single" w:sz="4" w:space="0" w:color="auto"/>
              <w:right w:val="single" w:sz="4" w:space="0" w:color="auto"/>
            </w:tcBorders>
            <w:shd w:val="clear" w:color="auto" w:fill="auto"/>
            <w:vAlign w:val="center"/>
            <w:hideMark/>
          </w:tcPr>
          <w:p w14:paraId="6A33131D"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$45.54 </w:t>
            </w:r>
          </w:p>
        </w:tc>
        <w:tc>
          <w:tcPr>
            <w:tcW w:w="1540" w:type="dxa"/>
            <w:tcBorders>
              <w:top w:val="nil"/>
              <w:left w:val="nil"/>
              <w:bottom w:val="single" w:sz="4" w:space="0" w:color="auto"/>
              <w:right w:val="single" w:sz="4" w:space="0" w:color="auto"/>
            </w:tcBorders>
            <w:shd w:val="clear" w:color="auto" w:fill="auto"/>
            <w:vAlign w:val="center"/>
            <w:hideMark/>
          </w:tcPr>
          <w:p w14:paraId="447132ED"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$68.31 </w:t>
            </w:r>
          </w:p>
        </w:tc>
        <w:tc>
          <w:tcPr>
            <w:tcW w:w="1480" w:type="dxa"/>
            <w:tcBorders>
              <w:top w:val="nil"/>
              <w:left w:val="nil"/>
              <w:bottom w:val="single" w:sz="4" w:space="0" w:color="auto"/>
              <w:right w:val="single" w:sz="4" w:space="0" w:color="auto"/>
            </w:tcBorders>
            <w:shd w:val="clear" w:color="auto" w:fill="auto"/>
            <w:vAlign w:val="center"/>
            <w:hideMark/>
          </w:tcPr>
          <w:p w14:paraId="45BB7D72" w14:textId="77777777" w:rsidR="00756AE8" w:rsidRPr="00756AE8" w:rsidRDefault="00756AE8" w:rsidP="00756AE8">
            <w:pPr>
              <w:widowControl/>
              <w:autoSpaceDE/>
              <w:autoSpaceDN/>
              <w:adjustRightInd/>
              <w:jc w:val="right"/>
              <w:rPr>
                <w:color w:val="000000"/>
                <w:sz w:val="24"/>
                <w:szCs w:val="24"/>
              </w:rPr>
            </w:pPr>
            <w:r w:rsidRPr="00756AE8">
              <w:rPr>
                <w:color w:val="000000"/>
                <w:sz w:val="24"/>
                <w:szCs w:val="24"/>
              </w:rPr>
              <w:t>8</w:t>
            </w:r>
          </w:p>
        </w:tc>
        <w:tc>
          <w:tcPr>
            <w:tcW w:w="1600" w:type="dxa"/>
            <w:tcBorders>
              <w:top w:val="nil"/>
              <w:left w:val="nil"/>
              <w:bottom w:val="single" w:sz="4" w:space="0" w:color="auto"/>
              <w:right w:val="single" w:sz="4" w:space="0" w:color="auto"/>
            </w:tcBorders>
            <w:shd w:val="clear" w:color="auto" w:fill="auto"/>
            <w:vAlign w:val="center"/>
            <w:hideMark/>
          </w:tcPr>
          <w:p w14:paraId="44C865F7" w14:textId="721F7E20" w:rsidR="00756AE8" w:rsidRPr="00756AE8" w:rsidRDefault="00A14F84" w:rsidP="00A62A67">
            <w:pPr>
              <w:widowControl/>
              <w:autoSpaceDE/>
              <w:autoSpaceDN/>
              <w:adjustRightInd/>
              <w:jc w:val="center"/>
              <w:rPr>
                <w:color w:val="000000"/>
                <w:sz w:val="24"/>
                <w:szCs w:val="24"/>
              </w:rPr>
            </w:pPr>
            <w:r>
              <w:rPr>
                <w:color w:val="000000"/>
                <w:sz w:val="24"/>
                <w:szCs w:val="24"/>
              </w:rPr>
              <w:t>$54</w:t>
            </w:r>
            <w:r w:rsidR="00A62A67">
              <w:rPr>
                <w:color w:val="000000"/>
                <w:sz w:val="24"/>
                <w:szCs w:val="24"/>
              </w:rPr>
              <w:t>7</w:t>
            </w:r>
          </w:p>
        </w:tc>
      </w:tr>
      <w:tr w:rsidR="00756AE8" w:rsidRPr="00756AE8" w14:paraId="3282624F" w14:textId="77777777" w:rsidTr="00756AE8">
        <w:trPr>
          <w:trHeight w:val="6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21E86E7"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Subject Matter Specialist #4</w:t>
            </w:r>
          </w:p>
        </w:tc>
        <w:tc>
          <w:tcPr>
            <w:tcW w:w="1420" w:type="dxa"/>
            <w:tcBorders>
              <w:top w:val="nil"/>
              <w:left w:val="nil"/>
              <w:bottom w:val="single" w:sz="4" w:space="0" w:color="auto"/>
              <w:right w:val="single" w:sz="4" w:space="0" w:color="auto"/>
            </w:tcBorders>
            <w:shd w:val="clear" w:color="auto" w:fill="auto"/>
            <w:vAlign w:val="center"/>
            <w:hideMark/>
          </w:tcPr>
          <w:p w14:paraId="582A11FA"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GS-13/10</w:t>
            </w:r>
          </w:p>
        </w:tc>
        <w:tc>
          <w:tcPr>
            <w:tcW w:w="1180" w:type="dxa"/>
            <w:tcBorders>
              <w:top w:val="nil"/>
              <w:left w:val="nil"/>
              <w:bottom w:val="single" w:sz="4" w:space="0" w:color="auto"/>
              <w:right w:val="single" w:sz="4" w:space="0" w:color="auto"/>
            </w:tcBorders>
            <w:shd w:val="clear" w:color="auto" w:fill="auto"/>
            <w:vAlign w:val="center"/>
            <w:hideMark/>
          </w:tcPr>
          <w:p w14:paraId="6100774A"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$45.54 </w:t>
            </w:r>
          </w:p>
        </w:tc>
        <w:tc>
          <w:tcPr>
            <w:tcW w:w="1540" w:type="dxa"/>
            <w:tcBorders>
              <w:top w:val="nil"/>
              <w:left w:val="nil"/>
              <w:bottom w:val="single" w:sz="4" w:space="0" w:color="auto"/>
              <w:right w:val="single" w:sz="4" w:space="0" w:color="auto"/>
            </w:tcBorders>
            <w:shd w:val="clear" w:color="auto" w:fill="auto"/>
            <w:vAlign w:val="center"/>
            <w:hideMark/>
          </w:tcPr>
          <w:p w14:paraId="69ED390F" w14:textId="77777777" w:rsidR="00756AE8" w:rsidRPr="00756AE8" w:rsidRDefault="00756AE8" w:rsidP="00756AE8">
            <w:pPr>
              <w:widowControl/>
              <w:autoSpaceDE/>
              <w:autoSpaceDN/>
              <w:adjustRightInd/>
              <w:jc w:val="center"/>
              <w:rPr>
                <w:color w:val="000000"/>
                <w:sz w:val="24"/>
                <w:szCs w:val="24"/>
              </w:rPr>
            </w:pPr>
            <w:r w:rsidRPr="00756AE8">
              <w:rPr>
                <w:color w:val="000000"/>
                <w:sz w:val="24"/>
                <w:szCs w:val="24"/>
              </w:rPr>
              <w:t xml:space="preserve">$68.31 </w:t>
            </w:r>
          </w:p>
        </w:tc>
        <w:tc>
          <w:tcPr>
            <w:tcW w:w="1480" w:type="dxa"/>
            <w:tcBorders>
              <w:top w:val="nil"/>
              <w:left w:val="nil"/>
              <w:bottom w:val="single" w:sz="4" w:space="0" w:color="auto"/>
              <w:right w:val="single" w:sz="4" w:space="0" w:color="auto"/>
            </w:tcBorders>
            <w:shd w:val="clear" w:color="auto" w:fill="auto"/>
            <w:vAlign w:val="center"/>
            <w:hideMark/>
          </w:tcPr>
          <w:p w14:paraId="4CB2D2DC" w14:textId="77777777" w:rsidR="00756AE8" w:rsidRPr="00756AE8" w:rsidRDefault="00756AE8" w:rsidP="00756AE8">
            <w:pPr>
              <w:widowControl/>
              <w:autoSpaceDE/>
              <w:autoSpaceDN/>
              <w:adjustRightInd/>
              <w:jc w:val="right"/>
              <w:rPr>
                <w:color w:val="000000"/>
                <w:sz w:val="24"/>
                <w:szCs w:val="24"/>
              </w:rPr>
            </w:pPr>
            <w:r w:rsidRPr="00756AE8">
              <w:rPr>
                <w:color w:val="000000"/>
                <w:sz w:val="24"/>
                <w:szCs w:val="24"/>
              </w:rPr>
              <w:t>16</w:t>
            </w:r>
          </w:p>
        </w:tc>
        <w:tc>
          <w:tcPr>
            <w:tcW w:w="1600" w:type="dxa"/>
            <w:tcBorders>
              <w:top w:val="nil"/>
              <w:left w:val="nil"/>
              <w:bottom w:val="single" w:sz="4" w:space="0" w:color="auto"/>
              <w:right w:val="single" w:sz="4" w:space="0" w:color="auto"/>
            </w:tcBorders>
            <w:shd w:val="clear" w:color="auto" w:fill="auto"/>
            <w:vAlign w:val="center"/>
            <w:hideMark/>
          </w:tcPr>
          <w:p w14:paraId="035016AB" w14:textId="71A8BF91" w:rsidR="00756AE8" w:rsidRPr="00756AE8" w:rsidRDefault="00A14F84" w:rsidP="00756AE8">
            <w:pPr>
              <w:widowControl/>
              <w:autoSpaceDE/>
              <w:autoSpaceDN/>
              <w:adjustRightInd/>
              <w:jc w:val="center"/>
              <w:rPr>
                <w:color w:val="000000"/>
                <w:sz w:val="24"/>
                <w:szCs w:val="24"/>
              </w:rPr>
            </w:pPr>
            <w:r>
              <w:rPr>
                <w:color w:val="000000"/>
                <w:sz w:val="24"/>
                <w:szCs w:val="24"/>
              </w:rPr>
              <w:t>$1,093</w:t>
            </w:r>
          </w:p>
        </w:tc>
      </w:tr>
      <w:tr w:rsidR="00756AE8" w:rsidRPr="00756AE8" w14:paraId="3A599800" w14:textId="77777777" w:rsidTr="007D01DB">
        <w:trPr>
          <w:trHeight w:val="315"/>
        </w:trPr>
        <w:tc>
          <w:tcPr>
            <w:tcW w:w="74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3D6A8" w14:textId="02635FAE" w:rsidR="00756AE8" w:rsidRPr="00756AE8" w:rsidRDefault="00A14F84" w:rsidP="00756AE8">
            <w:pPr>
              <w:widowControl/>
              <w:autoSpaceDE/>
              <w:autoSpaceDN/>
              <w:adjustRightInd/>
              <w:jc w:val="right"/>
              <w:rPr>
                <w:b/>
                <w:bCs/>
                <w:color w:val="000000"/>
                <w:sz w:val="24"/>
                <w:szCs w:val="24"/>
              </w:rPr>
            </w:pPr>
            <w:r w:rsidRPr="00A14F84">
              <w:rPr>
                <w:b/>
                <w:bCs/>
                <w:color w:val="000000"/>
                <w:sz w:val="24"/>
                <w:szCs w:val="24"/>
              </w:rPr>
              <w:t>Subtotal</w:t>
            </w:r>
            <w:r w:rsidR="00756AE8" w:rsidRPr="00756AE8">
              <w:rPr>
                <w:b/>
                <w:bCs/>
                <w:color w:val="000000"/>
                <w:sz w:val="24"/>
                <w:szCs w:val="24"/>
              </w:rPr>
              <w:t> </w:t>
            </w:r>
          </w:p>
        </w:tc>
        <w:tc>
          <w:tcPr>
            <w:tcW w:w="1600" w:type="dxa"/>
            <w:tcBorders>
              <w:top w:val="nil"/>
              <w:left w:val="nil"/>
              <w:bottom w:val="single" w:sz="4" w:space="0" w:color="auto"/>
              <w:right w:val="single" w:sz="4" w:space="0" w:color="auto"/>
            </w:tcBorders>
            <w:shd w:val="clear" w:color="auto" w:fill="auto"/>
            <w:noWrap/>
            <w:vAlign w:val="center"/>
            <w:hideMark/>
          </w:tcPr>
          <w:p w14:paraId="1AAEAE18" w14:textId="7034F2D1" w:rsidR="00756AE8" w:rsidRPr="00756AE8" w:rsidRDefault="00756AE8" w:rsidP="00A62A67">
            <w:pPr>
              <w:widowControl/>
              <w:autoSpaceDE/>
              <w:autoSpaceDN/>
              <w:adjustRightInd/>
              <w:jc w:val="center"/>
              <w:rPr>
                <w:b/>
                <w:bCs/>
                <w:color w:val="000000"/>
                <w:sz w:val="24"/>
                <w:szCs w:val="24"/>
              </w:rPr>
            </w:pPr>
            <w:r w:rsidRPr="00756AE8">
              <w:rPr>
                <w:b/>
                <w:bCs/>
                <w:color w:val="000000"/>
                <w:sz w:val="24"/>
                <w:szCs w:val="24"/>
              </w:rPr>
              <w:t>$</w:t>
            </w:r>
            <w:r w:rsidR="00A14F84">
              <w:rPr>
                <w:b/>
                <w:bCs/>
                <w:color w:val="000000"/>
                <w:sz w:val="24"/>
                <w:szCs w:val="24"/>
              </w:rPr>
              <w:t>6,06</w:t>
            </w:r>
            <w:r w:rsidR="00A62A67">
              <w:rPr>
                <w:b/>
                <w:bCs/>
                <w:color w:val="000000"/>
                <w:sz w:val="24"/>
                <w:szCs w:val="24"/>
              </w:rPr>
              <w:t>3</w:t>
            </w:r>
          </w:p>
        </w:tc>
      </w:tr>
      <w:tr w:rsidR="00756AE8" w:rsidRPr="00756AE8" w14:paraId="4E990195" w14:textId="77777777" w:rsidTr="007D01DB">
        <w:trPr>
          <w:trHeight w:val="315"/>
        </w:trPr>
        <w:tc>
          <w:tcPr>
            <w:tcW w:w="74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90434" w14:textId="77777777" w:rsidR="00756AE8" w:rsidRPr="00756AE8" w:rsidRDefault="00756AE8" w:rsidP="00756AE8">
            <w:pPr>
              <w:widowControl/>
              <w:autoSpaceDE/>
              <w:autoSpaceDN/>
              <w:adjustRightInd/>
              <w:jc w:val="right"/>
              <w:rPr>
                <w:b/>
                <w:bCs/>
                <w:color w:val="000000"/>
                <w:sz w:val="24"/>
                <w:szCs w:val="24"/>
              </w:rPr>
            </w:pPr>
            <w:r w:rsidRPr="00756AE8">
              <w:rPr>
                <w:b/>
                <w:bCs/>
                <w:color w:val="000000"/>
                <w:sz w:val="24"/>
                <w:szCs w:val="24"/>
              </w:rPr>
              <w:t>Total Annual Estimated Cost to the Federal Government</w:t>
            </w:r>
          </w:p>
        </w:tc>
        <w:tc>
          <w:tcPr>
            <w:tcW w:w="1600" w:type="dxa"/>
            <w:tcBorders>
              <w:top w:val="nil"/>
              <w:left w:val="nil"/>
              <w:bottom w:val="single" w:sz="4" w:space="0" w:color="auto"/>
              <w:right w:val="single" w:sz="4" w:space="0" w:color="auto"/>
            </w:tcBorders>
            <w:shd w:val="clear" w:color="auto" w:fill="auto"/>
            <w:noWrap/>
            <w:vAlign w:val="center"/>
            <w:hideMark/>
          </w:tcPr>
          <w:p w14:paraId="32930E51" w14:textId="6F4BB3E0" w:rsidR="00756AE8" w:rsidRPr="00756AE8" w:rsidRDefault="00A62A67" w:rsidP="007D01DB">
            <w:pPr>
              <w:widowControl/>
              <w:autoSpaceDE/>
              <w:autoSpaceDN/>
              <w:adjustRightInd/>
              <w:jc w:val="center"/>
              <w:rPr>
                <w:b/>
                <w:bCs/>
                <w:color w:val="000000"/>
                <w:sz w:val="24"/>
                <w:szCs w:val="24"/>
              </w:rPr>
            </w:pPr>
            <w:r>
              <w:rPr>
                <w:b/>
                <w:bCs/>
                <w:color w:val="000000"/>
                <w:sz w:val="24"/>
                <w:szCs w:val="24"/>
              </w:rPr>
              <w:t>$33,270</w:t>
            </w:r>
          </w:p>
        </w:tc>
      </w:tr>
    </w:tbl>
    <w:p w14:paraId="7AA2199A" w14:textId="77777777" w:rsidR="00DE11D1" w:rsidRPr="003A65B5" w:rsidRDefault="00DE11D1" w:rsidP="00DD7E53">
      <w:pPr>
        <w:rPr>
          <w:b/>
          <w:sz w:val="24"/>
          <w:szCs w:val="24"/>
        </w:rPr>
      </w:pPr>
    </w:p>
    <w:p w14:paraId="7C0CC310" w14:textId="77777777" w:rsidR="00DD7E53" w:rsidRPr="003A65B5" w:rsidRDefault="00DD7E53" w:rsidP="00DD7E53">
      <w:pPr>
        <w:rPr>
          <w:sz w:val="24"/>
          <w:szCs w:val="24"/>
        </w:rPr>
      </w:pPr>
    </w:p>
    <w:p w14:paraId="5966BB9C" w14:textId="77777777" w:rsidR="00082C1C" w:rsidRPr="003A65B5"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7BFB75" w14:textId="6682466A" w:rsidR="00FC54F1" w:rsidRDefault="00FC54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is a new program with new funding that encourages partnership and collaboration between State and Local governments, universities and non-profit organizations, and FGDC. This is </w:t>
      </w:r>
      <w:r w:rsidR="0076613C">
        <w:rPr>
          <w:sz w:val="24"/>
          <w:szCs w:val="24"/>
        </w:rPr>
        <w:t xml:space="preserve">will be </w:t>
      </w:r>
      <w:r>
        <w:rPr>
          <w:sz w:val="24"/>
          <w:szCs w:val="24"/>
        </w:rPr>
        <w:t xml:space="preserve">an annual program sponsored by FGDC to assist the geospatial data community in implementing the components of NSDI. </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00CC01B" w14:textId="77777777" w:rsidR="0076613C" w:rsidRDefault="0076613C">
      <w:pPr>
        <w:widowControl/>
        <w:autoSpaceDE/>
        <w:autoSpaceDN/>
        <w:adjustRightInd/>
        <w:rPr>
          <w:b/>
          <w:sz w:val="24"/>
          <w:szCs w:val="24"/>
        </w:rPr>
      </w:pPr>
      <w:r>
        <w:rPr>
          <w:b/>
          <w:sz w:val="24"/>
          <w:szCs w:val="24"/>
        </w:rPr>
        <w:br w:type="page"/>
      </w:r>
    </w:p>
    <w:p w14:paraId="6FF35291" w14:textId="2ED442A0"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707850" w14:textId="13C3A5D0" w:rsidR="00082C1C" w:rsidRDefault="00DD1B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D1B27">
        <w:rPr>
          <w:sz w:val="24"/>
          <w:szCs w:val="24"/>
        </w:rPr>
        <w:t>We will maintain data on proposals and resulti</w:t>
      </w:r>
      <w:r>
        <w:rPr>
          <w:sz w:val="24"/>
          <w:szCs w:val="24"/>
        </w:rPr>
        <w:t xml:space="preserve">ng grant awards in a database. </w:t>
      </w:r>
      <w:r w:rsidRPr="00DD1B27">
        <w:rPr>
          <w:sz w:val="24"/>
          <w:szCs w:val="24"/>
        </w:rPr>
        <w:t xml:space="preserve">We will publish a list of selected projects, the amount of funding, and a description of each project on the FGDC website at http://www.fgdc.gov/grants.  </w:t>
      </w:r>
      <w:r>
        <w:rPr>
          <w:sz w:val="24"/>
          <w:szCs w:val="24"/>
        </w:rPr>
        <w:t>The expected timeline is:</w:t>
      </w:r>
    </w:p>
    <w:p w14:paraId="219E2DF5" w14:textId="5DADA0AC" w:rsidR="00DD1B27" w:rsidRPr="00DD1B27" w:rsidRDefault="00DD1B27" w:rsidP="00DD1B2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D1B27">
        <w:rPr>
          <w:sz w:val="24"/>
          <w:szCs w:val="24"/>
        </w:rPr>
        <w:t>Announcement posted on-line at Grants.gov – October 15</w:t>
      </w:r>
    </w:p>
    <w:p w14:paraId="4C55CE6B" w14:textId="01E9BFE9" w:rsidR="00DD1B27" w:rsidRPr="00DD1B27" w:rsidRDefault="00DD1B27" w:rsidP="00DD1B2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D1B27">
        <w:rPr>
          <w:sz w:val="24"/>
          <w:szCs w:val="24"/>
        </w:rPr>
        <w:t>Announcement closes – mid January</w:t>
      </w:r>
    </w:p>
    <w:p w14:paraId="12DCC47A" w14:textId="7FB69B66" w:rsidR="00DD1B27" w:rsidRPr="00DD1B27" w:rsidRDefault="00DD1B27" w:rsidP="00DD1B2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D1B27">
        <w:rPr>
          <w:sz w:val="24"/>
          <w:szCs w:val="24"/>
        </w:rPr>
        <w:t>Proposal reviews and award selections – February to March</w:t>
      </w:r>
    </w:p>
    <w:p w14:paraId="3A6A3B7C" w14:textId="58938ABD" w:rsidR="00DD1B27" w:rsidRPr="00DD1B27" w:rsidRDefault="00DD1B27" w:rsidP="00DD1B2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D1B27">
        <w:rPr>
          <w:sz w:val="24"/>
          <w:szCs w:val="24"/>
        </w:rPr>
        <w:t xml:space="preserve">Award recipients are notified - March </w:t>
      </w:r>
    </w:p>
    <w:p w14:paraId="1878E29C" w14:textId="2A81FDAB" w:rsidR="00DD1B27" w:rsidRPr="00DD1B27" w:rsidRDefault="00DD1B27" w:rsidP="00DD1B2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D1B27">
        <w:rPr>
          <w:sz w:val="24"/>
          <w:szCs w:val="24"/>
        </w:rPr>
        <w:t>Award paperwork is processed by USGS Grants Office – April</w:t>
      </w:r>
    </w:p>
    <w:p w14:paraId="709A36FD" w14:textId="6D5B6848" w:rsidR="00DD1B27" w:rsidRPr="00DD1B27" w:rsidRDefault="00DD1B27" w:rsidP="00DD1B2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D1B27">
        <w:rPr>
          <w:sz w:val="24"/>
          <w:szCs w:val="24"/>
        </w:rPr>
        <w:t>Interim technical report due date for each award – Six months after the award</w:t>
      </w:r>
    </w:p>
    <w:p w14:paraId="70D387B6" w14:textId="532F4C5B" w:rsidR="00DD1B27" w:rsidRPr="00DD1B27" w:rsidRDefault="00DD1B27" w:rsidP="00DD1B2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D1B27">
        <w:rPr>
          <w:sz w:val="24"/>
          <w:szCs w:val="24"/>
        </w:rPr>
        <w:t>Final technical and financial report due for each award – One year after the award</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66902D0E" w:rsidR="00082C1C" w:rsidRDefault="00DD1B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D1B27">
        <w:rPr>
          <w:sz w:val="24"/>
          <w:szCs w:val="24"/>
        </w:rPr>
        <w:t>Not applicable. We will display the expiration date.</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4DE029DF" w14:textId="77777777" w:rsidR="00DD1B27" w:rsidRDefault="00DD1B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BB3352B" w14:textId="46CF7C96" w:rsidR="00DD1B27" w:rsidRPr="00DD1B27" w:rsidRDefault="00DD1B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D1B27">
        <w:rPr>
          <w:sz w:val="24"/>
          <w:szCs w:val="24"/>
        </w:rPr>
        <w:t>There are no exceptions to the certification statement.</w:t>
      </w:r>
    </w:p>
    <w:p w14:paraId="45DBC2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A75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footerReference w:type="even" r:id="rId8"/>
      <w:footerReference w:type="default" r:id="rId9"/>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E7FF0" w14:textId="77777777" w:rsidR="004406AE" w:rsidRDefault="004406AE" w:rsidP="00082C1C">
      <w:r>
        <w:separator/>
      </w:r>
    </w:p>
  </w:endnote>
  <w:endnote w:type="continuationSeparator" w:id="0">
    <w:p w14:paraId="4CDC847D" w14:textId="77777777" w:rsidR="004406AE" w:rsidRDefault="004406AE"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DD20" w14:textId="77777777" w:rsidR="00A460C4" w:rsidRDefault="00A460C4"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7310D9EE" w14:textId="77777777" w:rsidR="00A460C4" w:rsidRDefault="00A460C4">
    <w:pPr>
      <w:pStyle w:val="Footer"/>
    </w:pPr>
  </w:p>
  <w:p w14:paraId="32E65F69" w14:textId="77777777" w:rsidR="00A460C4" w:rsidRDefault="00A460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A460C4" w:rsidRPr="004513E4" w14:paraId="015A4A27" w14:textId="77777777" w:rsidTr="00DD7E53">
          <w:tc>
            <w:tcPr>
              <w:tcW w:w="6750" w:type="dxa"/>
            </w:tcPr>
            <w:p w14:paraId="6E8F3B04" w14:textId="169A90C5" w:rsidR="00A460C4" w:rsidRPr="004513E4" w:rsidRDefault="004406AE" w:rsidP="00DD1B27">
              <w:pPr>
                <w:pStyle w:val="Footer"/>
              </w:pPr>
              <w:r>
                <w:fldChar w:fldCharType="begin"/>
              </w:r>
              <w:r>
                <w:instrText xml:space="preserve"> FILENAME   \* MERGEFORMAT </w:instrText>
              </w:r>
              <w:r>
                <w:fldChar w:fldCharType="separate"/>
              </w:r>
              <w:r w:rsidR="006363D6">
                <w:rPr>
                  <w:noProof/>
                </w:rPr>
                <w:t>1028-New SS-A NSDI CAP 2015-11-05.docx</w:t>
              </w:r>
              <w:r>
                <w:rPr>
                  <w:noProof/>
                </w:rPr>
                <w:fldChar w:fldCharType="end"/>
              </w:r>
            </w:p>
          </w:tc>
          <w:tc>
            <w:tcPr>
              <w:tcW w:w="2600" w:type="dxa"/>
            </w:tcPr>
            <w:p w14:paraId="07D7EAE0" w14:textId="77777777" w:rsidR="00A460C4" w:rsidRPr="004513E4" w:rsidRDefault="00A460C4" w:rsidP="00DD7E53">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AB56F4">
                <w:rPr>
                  <w:rFonts w:cs="Arial"/>
                  <w:noProof/>
                </w:rPr>
                <w:t>5</w:t>
              </w:r>
              <w:r w:rsidRPr="004513E4">
                <w:rPr>
                  <w:rFonts w:cs="Arial"/>
                </w:rPr>
                <w:fldChar w:fldCharType="end"/>
              </w:r>
            </w:p>
          </w:tc>
        </w:tr>
      </w:tbl>
      <w:p w14:paraId="7FDB652C" w14:textId="77777777" w:rsidR="00A460C4" w:rsidRPr="004513E4" w:rsidRDefault="00A460C4">
        <w:pPr>
          <w:pStyle w:val="Footer"/>
        </w:pPr>
      </w:p>
      <w:p w14:paraId="6836045D" w14:textId="1549CEA9" w:rsidR="00A460C4" w:rsidRDefault="004406AE">
        <w:pPr>
          <w:pStyle w:val="Footer"/>
        </w:pPr>
      </w:p>
    </w:sdtContent>
  </w:sdt>
  <w:p w14:paraId="2336CA4C" w14:textId="77777777" w:rsidR="00A460C4" w:rsidRDefault="00A460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77AB5" w14:textId="77777777" w:rsidR="004406AE" w:rsidRDefault="004406AE" w:rsidP="00082C1C">
      <w:r>
        <w:separator/>
      </w:r>
    </w:p>
  </w:footnote>
  <w:footnote w:type="continuationSeparator" w:id="0">
    <w:p w14:paraId="0581EED8" w14:textId="77777777" w:rsidR="004406AE" w:rsidRDefault="004406AE"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905097"/>
    <w:multiLevelType w:val="hybridMultilevel"/>
    <w:tmpl w:val="CB1C7826"/>
    <w:lvl w:ilvl="0" w:tplc="587883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701541"/>
    <w:multiLevelType w:val="hybridMultilevel"/>
    <w:tmpl w:val="D6B09FAA"/>
    <w:lvl w:ilvl="0" w:tplc="587883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421DF5"/>
    <w:multiLevelType w:val="hybridMultilevel"/>
    <w:tmpl w:val="F5AC8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2338D"/>
    <w:rsid w:val="000257C8"/>
    <w:rsid w:val="00025901"/>
    <w:rsid w:val="00026233"/>
    <w:rsid w:val="00043C00"/>
    <w:rsid w:val="00082C1C"/>
    <w:rsid w:val="00097475"/>
    <w:rsid w:val="000E1964"/>
    <w:rsid w:val="000E2C92"/>
    <w:rsid w:val="000F1C17"/>
    <w:rsid w:val="000F3AF1"/>
    <w:rsid w:val="001034AF"/>
    <w:rsid w:val="001300B1"/>
    <w:rsid w:val="00162B02"/>
    <w:rsid w:val="001940BF"/>
    <w:rsid w:val="001F7585"/>
    <w:rsid w:val="00207893"/>
    <w:rsid w:val="00227600"/>
    <w:rsid w:val="00250F56"/>
    <w:rsid w:val="00265C98"/>
    <w:rsid w:val="00295103"/>
    <w:rsid w:val="002A73A1"/>
    <w:rsid w:val="002B7AAC"/>
    <w:rsid w:val="0033532E"/>
    <w:rsid w:val="00337894"/>
    <w:rsid w:val="00352210"/>
    <w:rsid w:val="003A65B5"/>
    <w:rsid w:val="003B6011"/>
    <w:rsid w:val="003C3292"/>
    <w:rsid w:val="0041545E"/>
    <w:rsid w:val="00415807"/>
    <w:rsid w:val="004406AE"/>
    <w:rsid w:val="004527A1"/>
    <w:rsid w:val="00453654"/>
    <w:rsid w:val="004A6DFA"/>
    <w:rsid w:val="004C5EAF"/>
    <w:rsid w:val="00525467"/>
    <w:rsid w:val="005525EA"/>
    <w:rsid w:val="005809EC"/>
    <w:rsid w:val="005D39A7"/>
    <w:rsid w:val="005E0031"/>
    <w:rsid w:val="006069D3"/>
    <w:rsid w:val="0060758B"/>
    <w:rsid w:val="006363D6"/>
    <w:rsid w:val="00661045"/>
    <w:rsid w:val="00690689"/>
    <w:rsid w:val="0069546D"/>
    <w:rsid w:val="006A449B"/>
    <w:rsid w:val="006D6F35"/>
    <w:rsid w:val="006E339F"/>
    <w:rsid w:val="00701C0C"/>
    <w:rsid w:val="00732896"/>
    <w:rsid w:val="007343F8"/>
    <w:rsid w:val="00737CB7"/>
    <w:rsid w:val="00740AF4"/>
    <w:rsid w:val="00756AE8"/>
    <w:rsid w:val="00763EDE"/>
    <w:rsid w:val="0076613C"/>
    <w:rsid w:val="007851E9"/>
    <w:rsid w:val="007B5287"/>
    <w:rsid w:val="007B7DCF"/>
    <w:rsid w:val="007D01DB"/>
    <w:rsid w:val="007D38CA"/>
    <w:rsid w:val="007D55F9"/>
    <w:rsid w:val="007E21B5"/>
    <w:rsid w:val="0081259F"/>
    <w:rsid w:val="008139D5"/>
    <w:rsid w:val="00821E4F"/>
    <w:rsid w:val="008A3A11"/>
    <w:rsid w:val="008D6497"/>
    <w:rsid w:val="00901CDF"/>
    <w:rsid w:val="00944C21"/>
    <w:rsid w:val="009B359F"/>
    <w:rsid w:val="00A11128"/>
    <w:rsid w:val="00A14F84"/>
    <w:rsid w:val="00A25D39"/>
    <w:rsid w:val="00A460C4"/>
    <w:rsid w:val="00A57D38"/>
    <w:rsid w:val="00A62A67"/>
    <w:rsid w:val="00A655FB"/>
    <w:rsid w:val="00A9089C"/>
    <w:rsid w:val="00A94C72"/>
    <w:rsid w:val="00AA5AC0"/>
    <w:rsid w:val="00AB56F4"/>
    <w:rsid w:val="00B321D5"/>
    <w:rsid w:val="00B438F2"/>
    <w:rsid w:val="00B5470D"/>
    <w:rsid w:val="00B9425D"/>
    <w:rsid w:val="00BE0F05"/>
    <w:rsid w:val="00C06B0E"/>
    <w:rsid w:val="00CB3EDF"/>
    <w:rsid w:val="00CD6020"/>
    <w:rsid w:val="00CE3CC9"/>
    <w:rsid w:val="00D55D8F"/>
    <w:rsid w:val="00D631D4"/>
    <w:rsid w:val="00D65265"/>
    <w:rsid w:val="00D75ED8"/>
    <w:rsid w:val="00D9756F"/>
    <w:rsid w:val="00DA5228"/>
    <w:rsid w:val="00DC30E5"/>
    <w:rsid w:val="00DD1B27"/>
    <w:rsid w:val="00DD7E53"/>
    <w:rsid w:val="00DE11D1"/>
    <w:rsid w:val="00DE1FFE"/>
    <w:rsid w:val="00DE6290"/>
    <w:rsid w:val="00DE7630"/>
    <w:rsid w:val="00E202F9"/>
    <w:rsid w:val="00E23D4A"/>
    <w:rsid w:val="00E6013B"/>
    <w:rsid w:val="00E60D69"/>
    <w:rsid w:val="00E961D9"/>
    <w:rsid w:val="00EC3DCB"/>
    <w:rsid w:val="00ED16B4"/>
    <w:rsid w:val="00F4083C"/>
    <w:rsid w:val="00F45D4E"/>
    <w:rsid w:val="00F73931"/>
    <w:rsid w:val="00FC54F1"/>
    <w:rsid w:val="00FF2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55A4A"/>
  <w14:defaultImageDpi w14:val="300"/>
  <w15:docId w15:val="{FB0F7AF0-1565-4DF3-99E0-424B33EC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rsid w:val="00C06B0E"/>
  </w:style>
  <w:style w:type="character" w:customStyle="1" w:styleId="CommentTextChar">
    <w:name w:val="Comment Text Char"/>
    <w:basedOn w:val="DefaultParagraphFont"/>
    <w:link w:val="CommentText"/>
    <w:uiPriority w:val="99"/>
    <w:semiHidden/>
    <w:rsid w:val="00C06B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character" w:styleId="FollowedHyperlink">
    <w:name w:val="FollowedHyperlink"/>
    <w:basedOn w:val="DefaultParagraphFont"/>
    <w:uiPriority w:val="99"/>
    <w:semiHidden/>
    <w:unhideWhenUsed/>
    <w:rsid w:val="00337894"/>
    <w:rPr>
      <w:color w:val="800080" w:themeColor="followedHyperlink"/>
      <w:u w:val="single"/>
    </w:rPr>
  </w:style>
  <w:style w:type="paragraph" w:styleId="ListParagraph">
    <w:name w:val="List Paragraph"/>
    <w:basedOn w:val="Normal"/>
    <w:uiPriority w:val="34"/>
    <w:qFormat/>
    <w:rsid w:val="00B438F2"/>
    <w:pPr>
      <w:ind w:left="720"/>
      <w:contextualSpacing/>
    </w:pPr>
  </w:style>
  <w:style w:type="table" w:styleId="LightList">
    <w:name w:val="Light List"/>
    <w:basedOn w:val="TableNormal"/>
    <w:uiPriority w:val="61"/>
    <w:rsid w:val="00821E4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91251">
      <w:bodyDiv w:val="1"/>
      <w:marLeft w:val="0"/>
      <w:marRight w:val="0"/>
      <w:marTop w:val="0"/>
      <w:marBottom w:val="0"/>
      <w:divBdr>
        <w:top w:val="none" w:sz="0" w:space="0" w:color="auto"/>
        <w:left w:val="none" w:sz="0" w:space="0" w:color="auto"/>
        <w:bottom w:val="none" w:sz="0" w:space="0" w:color="auto"/>
        <w:right w:val="none" w:sz="0" w:space="0" w:color="auto"/>
      </w:divBdr>
    </w:div>
    <w:div w:id="385763454">
      <w:bodyDiv w:val="1"/>
      <w:marLeft w:val="0"/>
      <w:marRight w:val="0"/>
      <w:marTop w:val="0"/>
      <w:marBottom w:val="0"/>
      <w:divBdr>
        <w:top w:val="none" w:sz="0" w:space="0" w:color="auto"/>
        <w:left w:val="none" w:sz="0" w:space="0" w:color="auto"/>
        <w:bottom w:val="none" w:sz="0" w:space="0" w:color="auto"/>
        <w:right w:val="none" w:sz="0" w:space="0" w:color="auto"/>
      </w:divBdr>
    </w:div>
    <w:div w:id="841625747">
      <w:bodyDiv w:val="1"/>
      <w:marLeft w:val="0"/>
      <w:marRight w:val="0"/>
      <w:marTop w:val="0"/>
      <w:marBottom w:val="0"/>
      <w:divBdr>
        <w:top w:val="none" w:sz="0" w:space="0" w:color="auto"/>
        <w:left w:val="none" w:sz="0" w:space="0" w:color="auto"/>
        <w:bottom w:val="none" w:sz="0" w:space="0" w:color="auto"/>
        <w:right w:val="none" w:sz="0" w:space="0" w:color="auto"/>
      </w:divBdr>
    </w:div>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4149618">
      <w:bodyDiv w:val="1"/>
      <w:marLeft w:val="0"/>
      <w:marRight w:val="0"/>
      <w:marTop w:val="0"/>
      <w:marBottom w:val="0"/>
      <w:divBdr>
        <w:top w:val="none" w:sz="0" w:space="0" w:color="auto"/>
        <w:left w:val="none" w:sz="0" w:space="0" w:color="auto"/>
        <w:bottom w:val="none" w:sz="0" w:space="0" w:color="auto"/>
        <w:right w:val="none" w:sz="0" w:space="0" w:color="auto"/>
      </w:divBdr>
    </w:div>
    <w:div w:id="959409806">
      <w:bodyDiv w:val="1"/>
      <w:marLeft w:val="0"/>
      <w:marRight w:val="0"/>
      <w:marTop w:val="0"/>
      <w:marBottom w:val="0"/>
      <w:divBdr>
        <w:top w:val="none" w:sz="0" w:space="0" w:color="auto"/>
        <w:left w:val="none" w:sz="0" w:space="0" w:color="auto"/>
        <w:bottom w:val="none" w:sz="0" w:space="0" w:color="auto"/>
        <w:right w:val="none" w:sz="0" w:space="0" w:color="auto"/>
      </w:divBdr>
    </w:div>
    <w:div w:id="1006976460">
      <w:bodyDiv w:val="1"/>
      <w:marLeft w:val="0"/>
      <w:marRight w:val="0"/>
      <w:marTop w:val="0"/>
      <w:marBottom w:val="0"/>
      <w:divBdr>
        <w:top w:val="none" w:sz="0" w:space="0" w:color="auto"/>
        <w:left w:val="none" w:sz="0" w:space="0" w:color="auto"/>
        <w:bottom w:val="none" w:sz="0" w:space="0" w:color="auto"/>
        <w:right w:val="none" w:sz="0" w:space="0" w:color="auto"/>
      </w:divBdr>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 w:id="1573009297">
      <w:bodyDiv w:val="1"/>
      <w:marLeft w:val="0"/>
      <w:marRight w:val="0"/>
      <w:marTop w:val="0"/>
      <w:marBottom w:val="0"/>
      <w:divBdr>
        <w:top w:val="none" w:sz="0" w:space="0" w:color="auto"/>
        <w:left w:val="none" w:sz="0" w:space="0" w:color="auto"/>
        <w:bottom w:val="none" w:sz="0" w:space="0" w:color="auto"/>
        <w:right w:val="none" w:sz="0" w:space="0" w:color="auto"/>
      </w:divBdr>
    </w:div>
    <w:div w:id="1708526551">
      <w:bodyDiv w:val="1"/>
      <w:marLeft w:val="0"/>
      <w:marRight w:val="0"/>
      <w:marTop w:val="0"/>
      <w:marBottom w:val="0"/>
      <w:divBdr>
        <w:top w:val="none" w:sz="0" w:space="0" w:color="auto"/>
        <w:left w:val="none" w:sz="0" w:space="0" w:color="auto"/>
        <w:bottom w:val="none" w:sz="0" w:space="0" w:color="auto"/>
        <w:right w:val="none" w:sz="0" w:space="0" w:color="auto"/>
      </w:divBdr>
    </w:div>
    <w:div w:id="188849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1F7195"/>
    <w:rsid w:val="002540CF"/>
    <w:rsid w:val="00705ED0"/>
    <w:rsid w:val="0073168D"/>
    <w:rsid w:val="007763F7"/>
    <w:rsid w:val="007E2620"/>
    <w:rsid w:val="00842E5F"/>
    <w:rsid w:val="008B5D40"/>
    <w:rsid w:val="009B3C3E"/>
    <w:rsid w:val="00A91DED"/>
    <w:rsid w:val="00AB7D64"/>
    <w:rsid w:val="00AD25D4"/>
    <w:rsid w:val="00B13ADB"/>
    <w:rsid w:val="00B40B8B"/>
    <w:rsid w:val="00BB0C57"/>
    <w:rsid w:val="00C61807"/>
    <w:rsid w:val="00D34B5D"/>
    <w:rsid w:val="00E83E9F"/>
    <w:rsid w:val="00FD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D0515-228D-41A7-B876-BD8B8D4C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3579</Words>
  <Characters>20403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23935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Sayer, James W.</cp:lastModifiedBy>
  <cp:revision>4</cp:revision>
  <cp:lastPrinted>2015-09-03T21:22:00Z</cp:lastPrinted>
  <dcterms:created xsi:type="dcterms:W3CDTF">2016-01-25T22:25:00Z</dcterms:created>
  <dcterms:modified xsi:type="dcterms:W3CDTF">2016-01-25T22:32:00Z</dcterms:modified>
</cp:coreProperties>
</file>