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B748E" w14:textId="77777777" w:rsidR="001C3791" w:rsidRDefault="001C3791" w:rsidP="00C73442">
      <w:pPr>
        <w:spacing w:line="276" w:lineRule="auto"/>
        <w:rPr>
          <w:b/>
        </w:rPr>
      </w:pPr>
      <w:bookmarkStart w:id="0" w:name="_GoBack"/>
      <w:bookmarkEnd w:id="0"/>
    </w:p>
    <w:p w14:paraId="6E83480C" w14:textId="77777777" w:rsidR="001C3791" w:rsidRDefault="001C3791" w:rsidP="00C73442">
      <w:pPr>
        <w:spacing w:line="276" w:lineRule="auto"/>
        <w:rPr>
          <w:b/>
        </w:rPr>
      </w:pPr>
    </w:p>
    <w:p w14:paraId="3D6FD3BE" w14:textId="77777777" w:rsidR="001C3791" w:rsidRDefault="001C3791" w:rsidP="00C73442">
      <w:pPr>
        <w:spacing w:line="276" w:lineRule="auto"/>
        <w:rPr>
          <w:b/>
        </w:rPr>
      </w:pPr>
    </w:p>
    <w:p w14:paraId="061B02B5" w14:textId="77777777" w:rsidR="001C3791" w:rsidRDefault="001C3791" w:rsidP="00C73442">
      <w:pPr>
        <w:spacing w:line="276" w:lineRule="auto"/>
        <w:rPr>
          <w:b/>
        </w:rPr>
      </w:pPr>
    </w:p>
    <w:p w14:paraId="554395B2" w14:textId="6B1D6FA3" w:rsidR="001C3791" w:rsidRPr="007B391A" w:rsidRDefault="008B25ED" w:rsidP="007B391A">
      <w:pPr>
        <w:spacing w:line="276" w:lineRule="auto"/>
        <w:jc w:val="center"/>
        <w:rPr>
          <w:bCs/>
          <w:sz w:val="40"/>
          <w:szCs w:val="40"/>
        </w:rPr>
      </w:pPr>
      <w:r w:rsidRPr="007B391A">
        <w:rPr>
          <w:bCs/>
          <w:sz w:val="40"/>
          <w:szCs w:val="40"/>
        </w:rPr>
        <w:t>P</w:t>
      </w:r>
      <w:r w:rsidR="0055731F" w:rsidRPr="007B391A">
        <w:rPr>
          <w:bCs/>
          <w:sz w:val="40"/>
          <w:szCs w:val="40"/>
        </w:rPr>
        <w:t>romoting Patient Engagement in Clinical Preventive Services</w:t>
      </w:r>
      <w:r w:rsidRPr="007B391A">
        <w:rPr>
          <w:bCs/>
          <w:sz w:val="40"/>
          <w:szCs w:val="40"/>
        </w:rPr>
        <w:t>:</w:t>
      </w:r>
      <w:r w:rsidR="007B391A">
        <w:rPr>
          <w:bCs/>
          <w:sz w:val="40"/>
          <w:szCs w:val="40"/>
        </w:rPr>
        <w:t xml:space="preserve"> </w:t>
      </w:r>
      <w:r w:rsidRPr="007B391A">
        <w:rPr>
          <w:sz w:val="40"/>
          <w:szCs w:val="36"/>
        </w:rPr>
        <w:t>Evaluating the Use of healthfinder</w:t>
      </w:r>
    </w:p>
    <w:p w14:paraId="1CD2B37E" w14:textId="77777777" w:rsidR="001C3791" w:rsidRDefault="001C3791" w:rsidP="00C73442">
      <w:pPr>
        <w:spacing w:line="276" w:lineRule="auto"/>
        <w:rPr>
          <w:b/>
        </w:rPr>
      </w:pPr>
    </w:p>
    <w:p w14:paraId="5A3CBCD7" w14:textId="77777777" w:rsidR="001C3791" w:rsidRDefault="001C3791" w:rsidP="00C73442">
      <w:pPr>
        <w:spacing w:line="276" w:lineRule="auto"/>
        <w:rPr>
          <w:b/>
        </w:rPr>
      </w:pPr>
    </w:p>
    <w:p w14:paraId="6C81EEA9" w14:textId="77777777" w:rsidR="001C3791" w:rsidRDefault="001C3791" w:rsidP="00C73442">
      <w:pPr>
        <w:spacing w:line="276" w:lineRule="auto"/>
        <w:rPr>
          <w:b/>
        </w:rPr>
      </w:pPr>
    </w:p>
    <w:p w14:paraId="0C51E5E1" w14:textId="75E76315" w:rsidR="001C3791" w:rsidRPr="008B2D4B" w:rsidRDefault="006075AD" w:rsidP="008B2D4B">
      <w:pPr>
        <w:spacing w:line="276" w:lineRule="auto"/>
        <w:jc w:val="center"/>
        <w:rPr>
          <w:sz w:val="28"/>
          <w:szCs w:val="28"/>
        </w:rPr>
      </w:pPr>
      <w:r w:rsidRPr="00114712">
        <w:rPr>
          <w:sz w:val="28"/>
          <w:szCs w:val="28"/>
        </w:rPr>
        <w:t xml:space="preserve">ODPHP </w:t>
      </w:r>
      <w:r w:rsidR="001C3791" w:rsidRPr="00114712">
        <w:rPr>
          <w:sz w:val="28"/>
          <w:szCs w:val="28"/>
        </w:rPr>
        <w:t>Generic Information Collection Request</w:t>
      </w:r>
    </w:p>
    <w:p w14:paraId="4FADA81A" w14:textId="5416DE10" w:rsidR="001C3791" w:rsidRPr="008B2D4B" w:rsidRDefault="001C3791" w:rsidP="008B2D4B">
      <w:pPr>
        <w:spacing w:line="276" w:lineRule="auto"/>
        <w:jc w:val="center"/>
        <w:rPr>
          <w:sz w:val="28"/>
          <w:szCs w:val="28"/>
        </w:rPr>
      </w:pPr>
      <w:r w:rsidRPr="00114712">
        <w:rPr>
          <w:sz w:val="28"/>
          <w:szCs w:val="28"/>
        </w:rPr>
        <w:t>OMB No. 0990-0281</w:t>
      </w:r>
    </w:p>
    <w:p w14:paraId="35BB2079" w14:textId="77777777" w:rsidR="001C3791" w:rsidRPr="001C3791" w:rsidRDefault="001C3791" w:rsidP="001C3791">
      <w:pPr>
        <w:spacing w:line="276" w:lineRule="auto"/>
        <w:rPr>
          <w:sz w:val="28"/>
        </w:rPr>
      </w:pPr>
    </w:p>
    <w:p w14:paraId="66D98325" w14:textId="77777777" w:rsidR="001C3791" w:rsidRPr="001C3791" w:rsidRDefault="001C3791" w:rsidP="001C3791">
      <w:pPr>
        <w:spacing w:line="276" w:lineRule="auto"/>
        <w:jc w:val="center"/>
        <w:rPr>
          <w:sz w:val="28"/>
        </w:rPr>
      </w:pPr>
    </w:p>
    <w:p w14:paraId="4188FD54" w14:textId="163593E1" w:rsidR="001C3791" w:rsidRPr="008B2D4B" w:rsidRDefault="001C3791" w:rsidP="008B2D4B">
      <w:pPr>
        <w:spacing w:line="276" w:lineRule="auto"/>
        <w:jc w:val="center"/>
        <w:rPr>
          <w:b/>
          <w:bCs/>
          <w:sz w:val="28"/>
          <w:szCs w:val="28"/>
        </w:rPr>
      </w:pPr>
      <w:r w:rsidRPr="00114712">
        <w:rPr>
          <w:b/>
          <w:bCs/>
          <w:sz w:val="28"/>
          <w:szCs w:val="28"/>
        </w:rPr>
        <w:t>Supporting Statement — Section A</w:t>
      </w:r>
    </w:p>
    <w:p w14:paraId="3F6B6605" w14:textId="77777777" w:rsidR="001C3791" w:rsidRPr="001C3791" w:rsidRDefault="001C3791" w:rsidP="001C3791">
      <w:pPr>
        <w:spacing w:line="276" w:lineRule="auto"/>
        <w:jc w:val="center"/>
        <w:rPr>
          <w:b/>
          <w:sz w:val="28"/>
        </w:rPr>
      </w:pPr>
    </w:p>
    <w:p w14:paraId="2076CBD9" w14:textId="77777777" w:rsidR="001C3791" w:rsidRPr="001C3791" w:rsidRDefault="001C3791" w:rsidP="001C3791">
      <w:pPr>
        <w:spacing w:line="276" w:lineRule="auto"/>
        <w:jc w:val="center"/>
        <w:rPr>
          <w:b/>
          <w:sz w:val="28"/>
        </w:rPr>
      </w:pPr>
    </w:p>
    <w:p w14:paraId="087704A6" w14:textId="4B4A8C82" w:rsidR="001C3791" w:rsidRPr="0054089A" w:rsidRDefault="001C3791" w:rsidP="0054089A">
      <w:pPr>
        <w:spacing w:line="276" w:lineRule="auto"/>
        <w:jc w:val="center"/>
        <w:rPr>
          <w:sz w:val="28"/>
          <w:szCs w:val="28"/>
        </w:rPr>
      </w:pPr>
      <w:r w:rsidRPr="00114712">
        <w:rPr>
          <w:sz w:val="28"/>
          <w:szCs w:val="28"/>
        </w:rPr>
        <w:t xml:space="preserve">Submitted </w:t>
      </w:r>
      <w:r w:rsidR="00145895">
        <w:rPr>
          <w:sz w:val="28"/>
          <w:szCs w:val="28"/>
        </w:rPr>
        <w:t>Febr</w:t>
      </w:r>
      <w:r w:rsidR="007E21ED">
        <w:rPr>
          <w:sz w:val="28"/>
          <w:szCs w:val="28"/>
        </w:rPr>
        <w:t>uary</w:t>
      </w:r>
      <w:r w:rsidR="00AE1EE9">
        <w:rPr>
          <w:sz w:val="28"/>
          <w:szCs w:val="28"/>
        </w:rPr>
        <w:t xml:space="preserve"> </w:t>
      </w:r>
      <w:r w:rsidR="00200749">
        <w:rPr>
          <w:sz w:val="28"/>
          <w:szCs w:val="28"/>
        </w:rPr>
        <w:t>2</w:t>
      </w:r>
      <w:r w:rsidR="00AE1EE9">
        <w:rPr>
          <w:sz w:val="28"/>
          <w:szCs w:val="28"/>
        </w:rPr>
        <w:t xml:space="preserve"> 2018</w:t>
      </w:r>
    </w:p>
    <w:p w14:paraId="58FA0C5A" w14:textId="77777777" w:rsidR="001C3791" w:rsidRDefault="001C3791" w:rsidP="001C3791">
      <w:pPr>
        <w:spacing w:line="276" w:lineRule="auto"/>
        <w:jc w:val="center"/>
      </w:pPr>
    </w:p>
    <w:p w14:paraId="46E28C3C" w14:textId="77777777" w:rsidR="001C3791" w:rsidRDefault="001C3791" w:rsidP="001C3791">
      <w:pPr>
        <w:spacing w:line="276" w:lineRule="auto"/>
      </w:pPr>
    </w:p>
    <w:p w14:paraId="0F3DAC15" w14:textId="77777777" w:rsidR="001C3791" w:rsidRDefault="001C3791" w:rsidP="001C3791">
      <w:pPr>
        <w:spacing w:line="276" w:lineRule="auto"/>
      </w:pPr>
    </w:p>
    <w:p w14:paraId="46345F60" w14:textId="77777777" w:rsidR="008B25ED" w:rsidRDefault="008B25ED" w:rsidP="001C3791">
      <w:pPr>
        <w:spacing w:line="276" w:lineRule="auto"/>
      </w:pPr>
    </w:p>
    <w:p w14:paraId="2A44D4FF" w14:textId="77777777" w:rsidR="008B25ED" w:rsidRDefault="008B25ED" w:rsidP="001C3791">
      <w:pPr>
        <w:spacing w:line="276" w:lineRule="auto"/>
      </w:pPr>
    </w:p>
    <w:p w14:paraId="611C1FA8" w14:textId="77777777" w:rsidR="008B25ED" w:rsidRDefault="008B25ED" w:rsidP="001C3791">
      <w:pPr>
        <w:spacing w:line="276" w:lineRule="auto"/>
      </w:pPr>
    </w:p>
    <w:p w14:paraId="0EF76D77" w14:textId="77777777" w:rsidR="008B25ED" w:rsidRDefault="008B25ED" w:rsidP="001C3791">
      <w:pPr>
        <w:spacing w:line="276" w:lineRule="auto"/>
      </w:pPr>
    </w:p>
    <w:p w14:paraId="53D30478" w14:textId="7ACE9C42" w:rsidR="001C3791" w:rsidRPr="0054089A" w:rsidRDefault="001C3791" w:rsidP="0054089A">
      <w:pPr>
        <w:spacing w:line="276" w:lineRule="auto"/>
        <w:rPr>
          <w:b/>
          <w:bCs/>
        </w:rPr>
      </w:pPr>
      <w:r w:rsidRPr="00114712">
        <w:rPr>
          <w:b/>
          <w:bCs/>
        </w:rPr>
        <w:t xml:space="preserve">Submitted to: </w:t>
      </w:r>
    </w:p>
    <w:p w14:paraId="567712F1" w14:textId="77777777" w:rsidR="001C3791" w:rsidRDefault="001C3791" w:rsidP="001C3791">
      <w:pPr>
        <w:spacing w:line="276" w:lineRule="auto"/>
      </w:pPr>
      <w:r>
        <w:t>Sherrette Funn</w:t>
      </w:r>
    </w:p>
    <w:p w14:paraId="32F66F1B" w14:textId="77777777" w:rsidR="001C3791" w:rsidRDefault="001C3791" w:rsidP="001C3791">
      <w:pPr>
        <w:spacing w:line="276" w:lineRule="auto"/>
      </w:pPr>
      <w:r>
        <w:t>Office of the Chief Information Officer</w:t>
      </w:r>
    </w:p>
    <w:p w14:paraId="615F411D" w14:textId="353B9B0C" w:rsidR="001C3791" w:rsidRDefault="001C3791" w:rsidP="001C3791">
      <w:pPr>
        <w:spacing w:line="276" w:lineRule="auto"/>
      </w:pPr>
      <w:r>
        <w:t>U.S. Department of Health and Human Services</w:t>
      </w:r>
    </w:p>
    <w:p w14:paraId="1E51E75B" w14:textId="77777777" w:rsidR="001C3791" w:rsidRDefault="001C3791" w:rsidP="001C3791">
      <w:pPr>
        <w:spacing w:line="276" w:lineRule="auto"/>
      </w:pPr>
    </w:p>
    <w:p w14:paraId="7C2ABEDF" w14:textId="2CD9FA75" w:rsidR="001C3791" w:rsidRPr="0054089A" w:rsidRDefault="001C3791" w:rsidP="0054089A">
      <w:pPr>
        <w:spacing w:line="276" w:lineRule="auto"/>
        <w:rPr>
          <w:b/>
          <w:bCs/>
        </w:rPr>
      </w:pPr>
      <w:r w:rsidRPr="00114712">
        <w:rPr>
          <w:b/>
          <w:bCs/>
        </w:rPr>
        <w:t>Submitted by:</w:t>
      </w:r>
    </w:p>
    <w:p w14:paraId="4C1BE309" w14:textId="54DE0DD3" w:rsidR="001C3791" w:rsidRDefault="00B123F2" w:rsidP="001C3791">
      <w:pPr>
        <w:spacing w:line="276" w:lineRule="auto"/>
      </w:pPr>
      <w:r>
        <w:t>Linda</w:t>
      </w:r>
      <w:r w:rsidR="007A67BB">
        <w:t xml:space="preserve"> M. Harris, PhD</w:t>
      </w:r>
    </w:p>
    <w:p w14:paraId="42C5E922" w14:textId="65C53649" w:rsidR="001C3791" w:rsidRDefault="007A67BB" w:rsidP="001C3791">
      <w:pPr>
        <w:spacing w:line="276" w:lineRule="auto"/>
      </w:pPr>
      <w:r>
        <w:t>Director, Division of Health Communication and eHealth</w:t>
      </w:r>
    </w:p>
    <w:p w14:paraId="0EE9727E" w14:textId="64E1BABE" w:rsidR="001C3791" w:rsidRDefault="001C3791" w:rsidP="001C3791">
      <w:pPr>
        <w:spacing w:line="276" w:lineRule="auto"/>
      </w:pPr>
      <w:r>
        <w:t>Office of Disease Prevention and Health Promotion</w:t>
      </w:r>
    </w:p>
    <w:p w14:paraId="0390EB9D" w14:textId="34EAD880" w:rsidR="001C3791" w:rsidRDefault="001C3791" w:rsidP="001C3791">
      <w:pPr>
        <w:spacing w:line="276" w:lineRule="auto"/>
      </w:pPr>
      <w:r>
        <w:t>U.S. Department of Health and Human Services</w:t>
      </w:r>
    </w:p>
    <w:p w14:paraId="1C00CF09" w14:textId="2DAC1048" w:rsidR="001C3791" w:rsidRDefault="001C3791" w:rsidP="001C3791">
      <w:pPr>
        <w:pStyle w:val="Heading1"/>
      </w:pPr>
      <w:r>
        <w:lastRenderedPageBreak/>
        <w:t>Section A — Justification</w:t>
      </w:r>
    </w:p>
    <w:p w14:paraId="66135C11" w14:textId="77777777" w:rsidR="001C3791" w:rsidRDefault="001C3791" w:rsidP="0040083B">
      <w:pPr>
        <w:spacing w:after="120"/>
        <w:rPr>
          <w:b/>
          <w:sz w:val="28"/>
          <w:szCs w:val="28"/>
        </w:rPr>
      </w:pPr>
    </w:p>
    <w:p w14:paraId="39CF0777" w14:textId="2E67156D" w:rsidR="001C3791" w:rsidRDefault="001C3791" w:rsidP="00906AA4">
      <w:pPr>
        <w:pStyle w:val="Heading2"/>
        <w:numPr>
          <w:ilvl w:val="0"/>
          <w:numId w:val="1"/>
        </w:numPr>
      </w:pPr>
      <w:r>
        <w:t>Circumstances Making the Collection of Information Necessary</w:t>
      </w:r>
    </w:p>
    <w:p w14:paraId="39F187C9" w14:textId="77777777" w:rsidR="001C3791" w:rsidRDefault="001C3791" w:rsidP="001C3791"/>
    <w:p w14:paraId="79CE671F" w14:textId="29070AB4" w:rsidR="001117DA" w:rsidRDefault="001117DA" w:rsidP="001117DA">
      <w:r>
        <w:t xml:space="preserve">Clinical preventive services (CPS) </w:t>
      </w:r>
      <w:r w:rsidR="007878CC">
        <w:t xml:space="preserve">can provide many benefits to individual patients and </w:t>
      </w:r>
      <w:r>
        <w:t xml:space="preserve">are fundamental to early disease detection, effective primary care intervention, and improving health outcomes. </w:t>
      </w:r>
      <w:r w:rsidR="007878CC">
        <w:t>In addition, the i</w:t>
      </w:r>
      <w:r>
        <w:t>ncreased use of CPS could contribute to billions in health care savings and avert the loss of millions of life years annually.</w:t>
      </w:r>
      <w:r w:rsidR="007878CC">
        <w:rPr>
          <w:rStyle w:val="FootnoteReference"/>
        </w:rPr>
        <w:footnoteReference w:id="1"/>
      </w:r>
      <w:r>
        <w:t xml:space="preserve"> Yet </w:t>
      </w:r>
      <w:r w:rsidR="007878CC">
        <w:t xml:space="preserve">it is often difficult for </w:t>
      </w:r>
      <w:r>
        <w:t xml:space="preserve">patients </w:t>
      </w:r>
      <w:r w:rsidR="007878CC">
        <w:t>to understand and obtain</w:t>
      </w:r>
      <w:r>
        <w:t xml:space="preserve"> CPS</w:t>
      </w:r>
      <w:r w:rsidR="007878CC">
        <w:rPr>
          <w:rStyle w:val="FootnoteReference"/>
        </w:rPr>
        <w:footnoteReference w:id="2"/>
      </w:r>
      <w:r>
        <w:t xml:space="preserve"> — </w:t>
      </w:r>
      <w:r w:rsidR="007878CC">
        <w:t xml:space="preserve">this </w:t>
      </w:r>
      <w:r>
        <w:t>underscor</w:t>
      </w:r>
      <w:r w:rsidR="007878CC">
        <w:t>es</w:t>
      </w:r>
      <w:r>
        <w:t xml:space="preserve"> the need for personalized, plain language guidance on when and how to get preventive services.</w:t>
      </w:r>
    </w:p>
    <w:p w14:paraId="6953E2B0" w14:textId="77777777" w:rsidR="001117DA" w:rsidRDefault="001117DA" w:rsidP="001117DA"/>
    <w:p w14:paraId="7E56F723" w14:textId="216622CF" w:rsidR="001117DA" w:rsidRDefault="007878CC" w:rsidP="001117DA">
      <w:r>
        <w:t>In line with the health literate care m</w:t>
      </w:r>
      <w:r w:rsidR="001117DA">
        <w:t xml:space="preserve">odel, </w:t>
      </w:r>
      <w:r>
        <w:t>the Office of Disease Prevention and Health Promotion (ODPHP) is</w:t>
      </w:r>
      <w:r w:rsidR="001117DA">
        <w:t xml:space="preserve"> interested in assessing how </w:t>
      </w:r>
      <w:r w:rsidR="00945E3C">
        <w:t>its</w:t>
      </w:r>
      <w:r w:rsidR="001117DA">
        <w:t xml:space="preserve"> myhealthfinder tool</w:t>
      </w:r>
      <w:r w:rsidR="000F02B3">
        <w:rPr>
          <w:rStyle w:val="FootnoteReference"/>
        </w:rPr>
        <w:footnoteReference w:id="3"/>
      </w:r>
      <w:r w:rsidR="001117DA">
        <w:t xml:space="preserve"> and healthfinder content</w:t>
      </w:r>
      <w:r w:rsidR="000F02B3">
        <w:rPr>
          <w:rStyle w:val="FootnoteReference"/>
        </w:rPr>
        <w:footnoteReference w:id="4"/>
      </w:r>
      <w:r w:rsidR="001117DA">
        <w:t xml:space="preserve"> could be used in primary care settings to facilitate productive patient-provider conversations and ultimately increase uptake of preventive services.</w:t>
      </w:r>
      <w:r w:rsidR="005C088F">
        <w:t xml:space="preserve"> </w:t>
      </w:r>
      <w:r w:rsidR="00945E3C">
        <w:t xml:space="preserve">ODPHP is continuing its efforts to better understand how its myhealthfinder tool and </w:t>
      </w:r>
      <w:r w:rsidR="00E74F41">
        <w:t>healthfinder</w:t>
      </w:r>
      <w:r w:rsidR="00945E3C">
        <w:t xml:space="preserve"> content could be used to increase the use of CPS. </w:t>
      </w:r>
    </w:p>
    <w:p w14:paraId="1A7BF6B3" w14:textId="7B57D868" w:rsidR="002F0E80" w:rsidRPr="0054089A" w:rsidRDefault="002F0E80">
      <w:pPr>
        <w:rPr>
          <w:rFonts w:eastAsiaTheme="majorEastAsia" w:cstheme="majorBidi"/>
          <w:b/>
          <w:bCs/>
          <w:color w:val="2E74B5" w:themeColor="accent1" w:themeShade="BF"/>
          <w:sz w:val="28"/>
          <w:szCs w:val="28"/>
        </w:rPr>
      </w:pPr>
    </w:p>
    <w:p w14:paraId="24595405" w14:textId="30A08E33" w:rsidR="001C3791" w:rsidRDefault="001C3791" w:rsidP="00906AA4">
      <w:pPr>
        <w:pStyle w:val="Heading2"/>
        <w:numPr>
          <w:ilvl w:val="0"/>
          <w:numId w:val="1"/>
        </w:numPr>
      </w:pPr>
      <w:r>
        <w:t>Purpose and Use of the Information Collection</w:t>
      </w:r>
    </w:p>
    <w:p w14:paraId="11F905FB" w14:textId="77777777" w:rsidR="001C3791" w:rsidRDefault="001C3791" w:rsidP="00C73442"/>
    <w:p w14:paraId="7E8F4D61" w14:textId="60F33B84" w:rsidR="003829D7" w:rsidRPr="00B24F92" w:rsidRDefault="008666D4" w:rsidP="00464059">
      <w:r>
        <w:t>To support these</w:t>
      </w:r>
      <w:r w:rsidR="00951F8E">
        <w:t xml:space="preserve"> effort</w:t>
      </w:r>
      <w:r>
        <w:t>s</w:t>
      </w:r>
      <w:r w:rsidR="00DB09CB">
        <w:t xml:space="preserve"> and better understand how myhealthfinder might increase the use of CPS</w:t>
      </w:r>
      <w:r w:rsidR="00951F8E">
        <w:t>,</w:t>
      </w:r>
      <w:r w:rsidR="00D943F5" w:rsidRPr="00D943F5">
        <w:t xml:space="preserve"> ODPHP </w:t>
      </w:r>
      <w:r>
        <w:t>wants</w:t>
      </w:r>
      <w:r w:rsidR="00951F8E">
        <w:t xml:space="preserve"> </w:t>
      </w:r>
      <w:r w:rsidR="00D943F5" w:rsidRPr="00D943F5">
        <w:t>to</w:t>
      </w:r>
      <w:r w:rsidR="00B21BD1">
        <w:t xml:space="preserve"> </w:t>
      </w:r>
      <w:r w:rsidR="0091276A">
        <w:t xml:space="preserve">evaluate </w:t>
      </w:r>
      <w:r w:rsidR="00B34D55">
        <w:t>the use and any</w:t>
      </w:r>
      <w:r w:rsidR="0091276A">
        <w:t xml:space="preserve"> impact</w:t>
      </w:r>
      <w:r w:rsidR="00B34D55">
        <w:t xml:space="preserve"> of a</w:t>
      </w:r>
      <w:r w:rsidR="00DB09CB">
        <w:t xml:space="preserve"> </w:t>
      </w:r>
      <w:r w:rsidR="00B21BD1">
        <w:t>“prescription for myhealthfinder”</w:t>
      </w:r>
      <w:r w:rsidR="0091276A">
        <w:t xml:space="preserve"> on </w:t>
      </w:r>
      <w:r w:rsidR="00DB09CB">
        <w:t xml:space="preserve">how patients and clinicians </w:t>
      </w:r>
      <w:r w:rsidR="0091276A">
        <w:t>prepare for a clinical encounter or the encounter itself</w:t>
      </w:r>
      <w:r w:rsidR="00B21BD1">
        <w:t>.</w:t>
      </w:r>
      <w:r w:rsidR="00ED41F4">
        <w:t xml:space="preserve"> </w:t>
      </w:r>
      <w:r w:rsidR="006224F9">
        <w:t>Specifically</w:t>
      </w:r>
      <w:r w:rsidR="00D00B23" w:rsidRPr="00D00B23">
        <w:t xml:space="preserve">, </w:t>
      </w:r>
      <w:r w:rsidR="008A7B00">
        <w:t>ODPHP</w:t>
      </w:r>
      <w:r w:rsidR="000A6E30" w:rsidRPr="000A6E30">
        <w:t xml:space="preserve"> </w:t>
      </w:r>
      <w:r w:rsidR="00464059">
        <w:t>proposes</w:t>
      </w:r>
      <w:r w:rsidR="006224F9">
        <w:t xml:space="preserve"> conducting surveys with patients</w:t>
      </w:r>
      <w:r w:rsidR="00200749">
        <w:t>, following clinical visits</w:t>
      </w:r>
      <w:r w:rsidR="0091276A">
        <w:t>, as well as</w:t>
      </w:r>
      <w:r w:rsidR="006224F9">
        <w:t xml:space="preserve"> </w:t>
      </w:r>
      <w:r w:rsidR="003E2917">
        <w:t xml:space="preserve">brief </w:t>
      </w:r>
      <w:r w:rsidR="006224F9">
        <w:t xml:space="preserve">interviews with clinicians. </w:t>
      </w:r>
    </w:p>
    <w:p w14:paraId="3F454F05" w14:textId="4830F987" w:rsidR="001C3791" w:rsidRPr="001C3791" w:rsidRDefault="00B24F92" w:rsidP="00B840CE">
      <w:pPr>
        <w:pStyle w:val="Heading3"/>
      </w:pPr>
      <w:r>
        <w:t>Patient Surveys</w:t>
      </w:r>
    </w:p>
    <w:p w14:paraId="4DF15817" w14:textId="6E3F12AA" w:rsidR="009A22A2" w:rsidRDefault="007C7582" w:rsidP="009A22A2">
      <w:r>
        <w:rPr>
          <w:rFonts w:cs="Arial"/>
        </w:rPr>
        <w:t>ODPHP is seeking approval to</w:t>
      </w:r>
      <w:r w:rsidR="007E21ED">
        <w:rPr>
          <w:rFonts w:cs="Arial"/>
        </w:rPr>
        <w:t xml:space="preserve"> conduct 8</w:t>
      </w:r>
      <w:r w:rsidR="009A22A2">
        <w:rPr>
          <w:rFonts w:cs="Arial"/>
        </w:rPr>
        <w:t>00</w:t>
      </w:r>
      <w:r w:rsidR="006F152F">
        <w:rPr>
          <w:rFonts w:cs="Arial"/>
        </w:rPr>
        <w:t xml:space="preserve">, </w:t>
      </w:r>
      <w:r w:rsidR="004D0686">
        <w:rPr>
          <w:rFonts w:cs="Arial"/>
        </w:rPr>
        <w:t>8</w:t>
      </w:r>
      <w:r w:rsidR="006F152F">
        <w:rPr>
          <w:rFonts w:cs="Arial"/>
        </w:rPr>
        <w:t>-minute</w:t>
      </w:r>
      <w:r w:rsidR="009A22A2">
        <w:rPr>
          <w:rFonts w:cs="Arial"/>
        </w:rPr>
        <w:t xml:space="preserve"> surveys with patients who received a “prescription for myhealthfinder.” </w:t>
      </w:r>
      <w:r w:rsidR="009A22A2">
        <w:t xml:space="preserve">Surveys are the most efficient way to collect information on patient attitudes and experiences related to the use of myhealthfinder, clinician-patient communication, and use of CPS. </w:t>
      </w:r>
    </w:p>
    <w:p w14:paraId="3ECD3B0E" w14:textId="77777777" w:rsidR="009A22A2" w:rsidRDefault="009A22A2" w:rsidP="009A22A2">
      <w:pPr>
        <w:rPr>
          <w:rFonts w:cs="Arial"/>
        </w:rPr>
      </w:pPr>
    </w:p>
    <w:p w14:paraId="60D167F0" w14:textId="72B46858" w:rsidR="009A22A2" w:rsidRDefault="009A22A2" w:rsidP="009A22A2">
      <w:pPr>
        <w:rPr>
          <w:rFonts w:cs="Arial"/>
        </w:rPr>
      </w:pPr>
      <w:r>
        <w:rPr>
          <w:rFonts w:cs="Arial"/>
        </w:rPr>
        <w:t>In these surveys, ODPHP seeks insight into the following research questions:</w:t>
      </w:r>
    </w:p>
    <w:p w14:paraId="6FD25283" w14:textId="2136D1A8" w:rsidR="009A22A2" w:rsidRDefault="009A22A2" w:rsidP="00906AA4">
      <w:pPr>
        <w:pStyle w:val="ListParagraph"/>
        <w:numPr>
          <w:ilvl w:val="0"/>
          <w:numId w:val="6"/>
        </w:numPr>
        <w:rPr>
          <w:rFonts w:cs="Arial"/>
        </w:rPr>
      </w:pPr>
      <w:r>
        <w:rPr>
          <w:rFonts w:cs="Arial"/>
        </w:rPr>
        <w:t>To what extent did patients use healthfinder?</w:t>
      </w:r>
    </w:p>
    <w:p w14:paraId="797BE616" w14:textId="289F683F" w:rsidR="009A22A2" w:rsidRDefault="009A22A2" w:rsidP="00906AA4">
      <w:pPr>
        <w:pStyle w:val="ListParagraph"/>
        <w:numPr>
          <w:ilvl w:val="0"/>
          <w:numId w:val="6"/>
        </w:numPr>
        <w:rPr>
          <w:rFonts w:cs="Arial"/>
        </w:rPr>
      </w:pPr>
      <w:r>
        <w:rPr>
          <w:rFonts w:cs="Arial"/>
        </w:rPr>
        <w:lastRenderedPageBreak/>
        <w:t>What were patient understandings of recommended clinical preventive services?</w:t>
      </w:r>
    </w:p>
    <w:p w14:paraId="2C30D5DC" w14:textId="2CFBFE78" w:rsidR="009A22A2" w:rsidRPr="009A22A2" w:rsidRDefault="009A22A2" w:rsidP="00906AA4">
      <w:pPr>
        <w:pStyle w:val="ListParagraph"/>
        <w:numPr>
          <w:ilvl w:val="0"/>
          <w:numId w:val="6"/>
        </w:numPr>
        <w:rPr>
          <w:rFonts w:cs="Arial"/>
        </w:rPr>
      </w:pPr>
      <w:r>
        <w:rPr>
          <w:rFonts w:cs="Arial"/>
        </w:rPr>
        <w:t>What were patient experiences of the clinical encounter?</w:t>
      </w:r>
    </w:p>
    <w:p w14:paraId="68892160" w14:textId="77777777" w:rsidR="009A22A2" w:rsidRDefault="009A22A2" w:rsidP="009A22A2">
      <w:pPr>
        <w:rPr>
          <w:rFonts w:cs="Arial"/>
        </w:rPr>
      </w:pPr>
    </w:p>
    <w:p w14:paraId="33DA2A5F" w14:textId="5C8D428B" w:rsidR="004A6F9A" w:rsidRPr="0055731F" w:rsidRDefault="009A22A2" w:rsidP="009A22A2">
      <w:pPr>
        <w:rPr>
          <w:rFonts w:cs="Arial"/>
          <w:highlight w:val="green"/>
        </w:rPr>
      </w:pPr>
      <w:r>
        <w:rPr>
          <w:rFonts w:cs="Arial"/>
        </w:rPr>
        <w:t>All patient participation is strictly voluntary.</w:t>
      </w:r>
      <w:r w:rsidR="007C7582">
        <w:rPr>
          <w:rFonts w:cs="Arial"/>
        </w:rPr>
        <w:t xml:space="preserve"> </w:t>
      </w:r>
    </w:p>
    <w:p w14:paraId="24F57A5E" w14:textId="322C0EC3" w:rsidR="00A65C3C" w:rsidRDefault="00A65C3C" w:rsidP="0040083B"/>
    <w:p w14:paraId="19E17A13" w14:textId="10AD6262" w:rsidR="00B24F92" w:rsidRPr="00B24F92" w:rsidRDefault="00B24F92" w:rsidP="0040083B">
      <w:pPr>
        <w:rPr>
          <w:b/>
        </w:rPr>
      </w:pPr>
      <w:r w:rsidRPr="00B24F92">
        <w:rPr>
          <w:b/>
        </w:rPr>
        <w:t>Clinician Interviews</w:t>
      </w:r>
    </w:p>
    <w:p w14:paraId="104A6264" w14:textId="1C6E238C" w:rsidR="00B24F92" w:rsidRDefault="009A22A2" w:rsidP="00B24F92">
      <w:r>
        <w:t xml:space="preserve">ODPHP also seeks approval to conduct </w:t>
      </w:r>
      <w:r w:rsidR="006F152F">
        <w:t xml:space="preserve">20, 30-minute </w:t>
      </w:r>
      <w:r w:rsidR="007B391A">
        <w:t>debriefing</w:t>
      </w:r>
      <w:r w:rsidR="006F152F">
        <w:t xml:space="preserve"> interviews with clinicians. These</w:t>
      </w:r>
      <w:r w:rsidR="003E2917">
        <w:t xml:space="preserve"> brief</w:t>
      </w:r>
      <w:r w:rsidR="006F152F">
        <w:t xml:space="preserve"> i</w:t>
      </w:r>
      <w:r w:rsidR="00B24F92">
        <w:t xml:space="preserve">nterviews with clinicians are an </w:t>
      </w:r>
      <w:r w:rsidR="00037B3E">
        <w:t>efficient</w:t>
      </w:r>
      <w:r w:rsidR="00B24F92">
        <w:t xml:space="preserve"> way to collect in-depth feedback on their experiences and preferences, as well as their perceptions of patient experiences.</w:t>
      </w:r>
      <w:r w:rsidR="00B24F92" w:rsidRPr="000A6E30">
        <w:t xml:space="preserve"> </w:t>
      </w:r>
    </w:p>
    <w:p w14:paraId="7A14F00F" w14:textId="77777777" w:rsidR="00B24F92" w:rsidRDefault="00B24F92" w:rsidP="0040083B"/>
    <w:p w14:paraId="42B35A0D" w14:textId="58C0453C" w:rsidR="00037B3E" w:rsidRDefault="00037B3E" w:rsidP="0040083B">
      <w:r>
        <w:t>Through these interviews, ODPHP seeks insight into the following research questions:</w:t>
      </w:r>
    </w:p>
    <w:p w14:paraId="3D509DBE" w14:textId="7B4531D9" w:rsidR="00037B3E" w:rsidRDefault="00037B3E" w:rsidP="00906AA4">
      <w:pPr>
        <w:pStyle w:val="ListParagraph"/>
        <w:numPr>
          <w:ilvl w:val="0"/>
          <w:numId w:val="7"/>
        </w:numPr>
      </w:pPr>
      <w:r>
        <w:t>How did the use of healthfinder impact clinician-patient conversations around CPS?</w:t>
      </w:r>
    </w:p>
    <w:p w14:paraId="25AD0FD5" w14:textId="4328EA71" w:rsidR="00037B3E" w:rsidRDefault="00037B3E" w:rsidP="00906AA4">
      <w:pPr>
        <w:pStyle w:val="ListParagraph"/>
        <w:numPr>
          <w:ilvl w:val="0"/>
          <w:numId w:val="7"/>
        </w:numPr>
      </w:pPr>
      <w:r>
        <w:t>What impact did the use of healthfinder have on clinic workflow?</w:t>
      </w:r>
    </w:p>
    <w:p w14:paraId="71180FF4" w14:textId="13B6D2FC" w:rsidR="00037B3E" w:rsidRDefault="00037B3E" w:rsidP="00906AA4">
      <w:pPr>
        <w:pStyle w:val="ListParagraph"/>
        <w:numPr>
          <w:ilvl w:val="0"/>
          <w:numId w:val="7"/>
        </w:numPr>
      </w:pPr>
      <w:r>
        <w:t>How did the use of healthfinder impact patient perceptions about CPS?</w:t>
      </w:r>
    </w:p>
    <w:p w14:paraId="555F27F3" w14:textId="77777777" w:rsidR="00037B3E" w:rsidRDefault="00037B3E" w:rsidP="00037B3E"/>
    <w:p w14:paraId="1E5D095A" w14:textId="6D58543D" w:rsidR="00037B3E" w:rsidRPr="00037B3E" w:rsidRDefault="00037B3E" w:rsidP="00037B3E">
      <w:pPr>
        <w:rPr>
          <w:rFonts w:cs="Arial"/>
          <w:highlight w:val="green"/>
        </w:rPr>
      </w:pPr>
      <w:r>
        <w:rPr>
          <w:rFonts w:cs="Arial"/>
        </w:rPr>
        <w:t xml:space="preserve">All clinician participation is strictly voluntary. </w:t>
      </w:r>
    </w:p>
    <w:p w14:paraId="3E2DF74F" w14:textId="27B0E193" w:rsidR="00B840CE" w:rsidRPr="0040083B" w:rsidRDefault="00B840CE" w:rsidP="00B840CE">
      <w:pPr>
        <w:pStyle w:val="Heading3"/>
      </w:pPr>
      <w:r>
        <w:t>Information Use</w:t>
      </w:r>
    </w:p>
    <w:p w14:paraId="3CF3EE88" w14:textId="48566DE0" w:rsidR="00951F8E" w:rsidRDefault="00951F8E" w:rsidP="000A6E30">
      <w:r>
        <w:t xml:space="preserve">Following the </w:t>
      </w:r>
      <w:r w:rsidR="00DB09CB">
        <w:t>data collection</w:t>
      </w:r>
      <w:r>
        <w:t xml:space="preserve">, ODPHP will </w:t>
      </w:r>
      <w:r w:rsidR="00037B3E">
        <w:t>develop a summary report that details key findings. ODPHP will present findings in aggregate and will not collect or report information that identifies individual participants.</w:t>
      </w:r>
    </w:p>
    <w:p w14:paraId="6E587380" w14:textId="77777777" w:rsidR="00037B3E" w:rsidRDefault="00037B3E" w:rsidP="000A6E30"/>
    <w:p w14:paraId="6BE0E451" w14:textId="4B028BF9" w:rsidR="00620CA8" w:rsidRDefault="00037B3E" w:rsidP="007C4D99">
      <w:r>
        <w:t xml:space="preserve">Surveys with patients and interviews with clinicians will both provide </w:t>
      </w:r>
      <w:r w:rsidR="007C4D99">
        <w:t xml:space="preserve">ODPHP with </w:t>
      </w:r>
      <w:r>
        <w:t xml:space="preserve">critical insights </w:t>
      </w:r>
      <w:r w:rsidR="007C4D99">
        <w:t xml:space="preserve">regarding “prescriptions of myhealthfinder” as </w:t>
      </w:r>
      <w:r w:rsidR="007B391A">
        <w:t xml:space="preserve">a </w:t>
      </w:r>
      <w:r w:rsidR="003E2917">
        <w:t xml:space="preserve">tool to help patients and providers </w:t>
      </w:r>
      <w:r w:rsidR="0091276A">
        <w:t>prepare for clinical encounters</w:t>
      </w:r>
      <w:r w:rsidR="007C4D99">
        <w:t xml:space="preserve">. ODPHP </w:t>
      </w:r>
      <w:r w:rsidR="00FE5E99">
        <w:t>is continuing its efforts to better understand how the myhealthfinder tool and healthfinder content could be used to increase the use of CPS</w:t>
      </w:r>
      <w:r>
        <w:t xml:space="preserve">. </w:t>
      </w:r>
    </w:p>
    <w:p w14:paraId="1FCFB99E" w14:textId="7D005F5D" w:rsidR="0034245B" w:rsidRDefault="0034245B">
      <w:pPr>
        <w:rPr>
          <w:b/>
          <w:color w:val="000000"/>
          <w:sz w:val="28"/>
        </w:rPr>
      </w:pPr>
    </w:p>
    <w:p w14:paraId="4CDE2774" w14:textId="2FD69CB9" w:rsidR="00B15921" w:rsidRPr="00910DA6" w:rsidRDefault="00B15921" w:rsidP="00906AA4">
      <w:pPr>
        <w:pStyle w:val="Heading2"/>
        <w:numPr>
          <w:ilvl w:val="0"/>
          <w:numId w:val="1"/>
        </w:numPr>
      </w:pPr>
      <w:r w:rsidRPr="00910DA6">
        <w:t>Use of</w:t>
      </w:r>
      <w:r w:rsidR="00B87C86">
        <w:t xml:space="preserve"> Improved</w:t>
      </w:r>
      <w:r w:rsidRPr="00910DA6">
        <w:t xml:space="preserve"> Information Technology </w:t>
      </w:r>
      <w:r w:rsidR="00B87C86">
        <w:t>and</w:t>
      </w:r>
      <w:r w:rsidRPr="00910DA6">
        <w:t xml:space="preserve"> Burden</w:t>
      </w:r>
      <w:r w:rsidR="00B87C86">
        <w:t xml:space="preserve"> Reduction</w:t>
      </w:r>
    </w:p>
    <w:p w14:paraId="3E34BB19" w14:textId="77777777" w:rsidR="00B840CE" w:rsidRDefault="00B840CE" w:rsidP="00852D57">
      <w:pPr>
        <w:rPr>
          <w:rFonts w:cs="Arial"/>
        </w:rPr>
      </w:pPr>
    </w:p>
    <w:p w14:paraId="6C309CFA" w14:textId="5EDA77ED" w:rsidR="007C4D99" w:rsidRDefault="00B07AE0" w:rsidP="00852D57">
      <w:pPr>
        <w:rPr>
          <w:rFonts w:cs="Arial"/>
        </w:rPr>
      </w:pPr>
      <w:r>
        <w:rPr>
          <w:rFonts w:cs="Arial"/>
        </w:rPr>
        <w:t xml:space="preserve">Participating clinicians </w:t>
      </w:r>
      <w:r w:rsidRPr="009C3005">
        <w:rPr>
          <w:rFonts w:cs="Arial"/>
        </w:rPr>
        <w:t xml:space="preserve">will be </w:t>
      </w:r>
      <w:r>
        <w:rPr>
          <w:rFonts w:cs="Arial"/>
        </w:rPr>
        <w:t xml:space="preserve">recruited using purposive sampling to include clinicians in a variety of practice models and working in rural, suburban, and urban settings. In addition to being methodologically sound, this method for sampling reduces participant burden because no screening process will be necessary. </w:t>
      </w:r>
      <w:r w:rsidR="009B7F53">
        <w:rPr>
          <w:rFonts w:cs="Arial"/>
        </w:rPr>
        <w:t xml:space="preserve">To reduce participant burden, </w:t>
      </w:r>
      <w:r w:rsidR="0073348D">
        <w:rPr>
          <w:rFonts w:cs="Arial"/>
        </w:rPr>
        <w:t>all</w:t>
      </w:r>
      <w:r w:rsidR="00821F3B">
        <w:rPr>
          <w:rFonts w:cs="Arial"/>
        </w:rPr>
        <w:t xml:space="preserve"> of </w:t>
      </w:r>
      <w:r w:rsidR="009B7F53">
        <w:rPr>
          <w:rFonts w:cs="Arial"/>
        </w:rPr>
        <w:t>the clinician interviews will be conducted remotely at times convenient for participating clinicians</w:t>
      </w:r>
      <w:r w:rsidR="001D7D13">
        <w:rPr>
          <w:rFonts w:cs="Arial"/>
        </w:rPr>
        <w:t xml:space="preserve"> via telephone or an internet-based platform</w:t>
      </w:r>
      <w:r w:rsidR="009B7F53">
        <w:rPr>
          <w:rFonts w:cs="Arial"/>
        </w:rPr>
        <w:t xml:space="preserve">. ODPHP will use a laptop to take notes to save transcription time. To ensure that key themes and quotations are captured accurately, ODPHP will also </w:t>
      </w:r>
      <w:r w:rsidR="0073348D">
        <w:rPr>
          <w:rFonts w:cs="Arial"/>
        </w:rPr>
        <w:t xml:space="preserve">use digital recording </w:t>
      </w:r>
      <w:r w:rsidR="004939D2">
        <w:rPr>
          <w:rFonts w:cs="Arial"/>
        </w:rPr>
        <w:t>tools</w:t>
      </w:r>
      <w:r w:rsidR="00821F3B">
        <w:rPr>
          <w:rFonts w:cs="Arial"/>
        </w:rPr>
        <w:t xml:space="preserve"> to </w:t>
      </w:r>
      <w:r w:rsidR="009B7F53">
        <w:rPr>
          <w:rFonts w:cs="Arial"/>
        </w:rPr>
        <w:t>audiotape all clinician interviews.</w:t>
      </w:r>
    </w:p>
    <w:p w14:paraId="0A92EB91" w14:textId="77777777" w:rsidR="00B07AE0" w:rsidRDefault="00B07AE0" w:rsidP="00852D57">
      <w:pPr>
        <w:rPr>
          <w:rFonts w:cs="Arial"/>
        </w:rPr>
      </w:pPr>
    </w:p>
    <w:p w14:paraId="4163C18A" w14:textId="7CCDC922" w:rsidR="00B07AE0" w:rsidRDefault="00B07AE0" w:rsidP="00852D57">
      <w:pPr>
        <w:rPr>
          <w:rFonts w:cs="Arial"/>
        </w:rPr>
      </w:pPr>
      <w:r>
        <w:rPr>
          <w:rFonts w:cs="Arial"/>
        </w:rPr>
        <w:t>Patients will be chosen at random from among patients scheduled for upcoming wellness visits with participating clinicians. The participant burden is lessened because there will be no need for screening. The patient surveys will be conducted in person following patient wellness encounters with their clinicians. To reduce participant burden</w:t>
      </w:r>
      <w:r w:rsidR="001D7D13">
        <w:rPr>
          <w:rFonts w:cs="Arial"/>
        </w:rPr>
        <w:t xml:space="preserve"> for patients of a variety of ages and different comfort levels with technology</w:t>
      </w:r>
      <w:r>
        <w:rPr>
          <w:rFonts w:cs="Arial"/>
        </w:rPr>
        <w:t xml:space="preserve">, </w:t>
      </w:r>
      <w:r w:rsidR="0073348D">
        <w:rPr>
          <w:rFonts w:cs="Arial"/>
        </w:rPr>
        <w:t xml:space="preserve">all </w:t>
      </w:r>
      <w:r>
        <w:rPr>
          <w:rFonts w:cs="Arial"/>
        </w:rPr>
        <w:t xml:space="preserve">patients will complete the </w:t>
      </w:r>
      <w:r w:rsidR="0073348D">
        <w:rPr>
          <w:rFonts w:cs="Arial"/>
        </w:rPr>
        <w:t xml:space="preserve">brief </w:t>
      </w:r>
      <w:r w:rsidR="00821F3B">
        <w:rPr>
          <w:rFonts w:cs="Arial"/>
        </w:rPr>
        <w:t xml:space="preserve">paper-based </w:t>
      </w:r>
      <w:r>
        <w:rPr>
          <w:rFonts w:cs="Arial"/>
        </w:rPr>
        <w:t xml:space="preserve">surveys while they are still in their clinician’s office. </w:t>
      </w:r>
    </w:p>
    <w:p w14:paraId="2053B6F4" w14:textId="77777777" w:rsidR="006075AD" w:rsidRPr="004818C6" w:rsidRDefault="006075AD" w:rsidP="00852D57">
      <w:pPr>
        <w:rPr>
          <w:rFonts w:cs="Arial"/>
        </w:rPr>
      </w:pPr>
    </w:p>
    <w:p w14:paraId="17799573" w14:textId="1D855D29" w:rsidR="006075AD" w:rsidRDefault="006075AD" w:rsidP="00906AA4">
      <w:pPr>
        <w:pStyle w:val="Heading2"/>
        <w:numPr>
          <w:ilvl w:val="0"/>
          <w:numId w:val="1"/>
        </w:numPr>
      </w:pPr>
      <w:r>
        <w:t>Efforts to Identify Duplication and Use of Similar Information</w:t>
      </w:r>
    </w:p>
    <w:p w14:paraId="1BEE3C20" w14:textId="77777777" w:rsidR="006075AD" w:rsidRPr="006075AD" w:rsidRDefault="006075AD" w:rsidP="006075AD"/>
    <w:p w14:paraId="5E56AFCA" w14:textId="6B845F40" w:rsidR="006F590A" w:rsidRDefault="006075AD" w:rsidP="00046CCD">
      <w:pPr>
        <w:rPr>
          <w:rFonts w:cs="Arial"/>
        </w:rPr>
      </w:pPr>
      <w:r w:rsidRPr="003829D7">
        <w:rPr>
          <w:rFonts w:cs="Arial"/>
        </w:rPr>
        <w:t xml:space="preserve">To our knowledge, there is no information of </w:t>
      </w:r>
      <w:r w:rsidR="003829D7">
        <w:rPr>
          <w:rFonts w:cs="Arial"/>
        </w:rPr>
        <w:t xml:space="preserve">a </w:t>
      </w:r>
      <w:r w:rsidRPr="003829D7">
        <w:rPr>
          <w:rFonts w:cs="Arial"/>
        </w:rPr>
        <w:t xml:space="preserve">similar nature that has been or is currently being collected. This </w:t>
      </w:r>
      <w:r w:rsidR="00DB09CB">
        <w:rPr>
          <w:rFonts w:cs="Arial"/>
        </w:rPr>
        <w:t>study</w:t>
      </w:r>
      <w:r w:rsidR="004E335D" w:rsidRPr="003829D7">
        <w:rPr>
          <w:rFonts w:cs="Arial"/>
        </w:rPr>
        <w:t xml:space="preserve"> </w:t>
      </w:r>
      <w:r w:rsidR="006F590A">
        <w:rPr>
          <w:rFonts w:cs="Arial"/>
        </w:rPr>
        <w:t xml:space="preserve">builds upon prior research ODPHP conducted to develop the myhealthfinder tool and healthfinder content. ODPHP is continuing its efforts to better understand </w:t>
      </w:r>
      <w:r w:rsidR="006F590A">
        <w:t xml:space="preserve">how the myhealthfinder tool and healthfinder content could be used to increase the use of CPS.  </w:t>
      </w:r>
    </w:p>
    <w:p w14:paraId="117A34DF" w14:textId="77777777" w:rsidR="00C00321" w:rsidRDefault="00C00321" w:rsidP="00046CCD"/>
    <w:p w14:paraId="352963F2" w14:textId="1B2CAF07" w:rsidR="004E335D" w:rsidRDefault="004E335D" w:rsidP="00906AA4">
      <w:pPr>
        <w:pStyle w:val="Heading2"/>
        <w:numPr>
          <w:ilvl w:val="0"/>
          <w:numId w:val="1"/>
        </w:numPr>
      </w:pPr>
      <w:r>
        <w:t>Impact on Small Businesses or Other Small Entities</w:t>
      </w:r>
    </w:p>
    <w:p w14:paraId="6B9701CB" w14:textId="77777777" w:rsidR="004E335D" w:rsidRDefault="004E335D" w:rsidP="004E335D"/>
    <w:p w14:paraId="1C4350C6" w14:textId="58760414" w:rsidR="004E335D" w:rsidRDefault="004E335D" w:rsidP="004E335D">
      <w:r w:rsidRPr="004E335D">
        <w:t>No small businesses will be impacted or involved in this data collection.</w:t>
      </w:r>
    </w:p>
    <w:p w14:paraId="750A5F8D" w14:textId="77777777" w:rsidR="00115304" w:rsidRPr="004E335D" w:rsidRDefault="00115304" w:rsidP="004E335D"/>
    <w:p w14:paraId="2966A979" w14:textId="71450CD5" w:rsidR="00115304" w:rsidRDefault="00115304" w:rsidP="00906AA4">
      <w:pPr>
        <w:pStyle w:val="Heading2"/>
        <w:numPr>
          <w:ilvl w:val="0"/>
          <w:numId w:val="1"/>
        </w:numPr>
      </w:pPr>
      <w:r>
        <w:t>Consequences of Collecting the Information Less Frequently</w:t>
      </w:r>
    </w:p>
    <w:p w14:paraId="010A34B4" w14:textId="77777777" w:rsidR="00115304" w:rsidRDefault="00115304" w:rsidP="00115304"/>
    <w:p w14:paraId="7F949176" w14:textId="019D654A" w:rsidR="00115304" w:rsidRDefault="00115304" w:rsidP="00115304">
      <w:r w:rsidRPr="00115304">
        <w:t>This request is for one-time data collection. These data have not previously been collected elsewhere.</w:t>
      </w:r>
    </w:p>
    <w:p w14:paraId="0E438BD9" w14:textId="77777777" w:rsidR="00115304" w:rsidRDefault="00115304" w:rsidP="00115304"/>
    <w:p w14:paraId="5058ADA4" w14:textId="4C5D419A" w:rsidR="00115304" w:rsidRDefault="00115304" w:rsidP="00906AA4">
      <w:pPr>
        <w:pStyle w:val="Heading2"/>
        <w:numPr>
          <w:ilvl w:val="0"/>
          <w:numId w:val="1"/>
        </w:numPr>
      </w:pPr>
      <w:r>
        <w:t>Special Circumstances Relating to the Guidelines of 5 CFR 1320.5</w:t>
      </w:r>
    </w:p>
    <w:p w14:paraId="7E3B84A9" w14:textId="77777777" w:rsidR="00115304" w:rsidRDefault="00115304" w:rsidP="00115304"/>
    <w:p w14:paraId="30AA94AD" w14:textId="79F58880" w:rsidR="00115304" w:rsidRDefault="00115304" w:rsidP="00115304">
      <w:r>
        <w:t>There are no special circumstances with this information collection package. This request fully complies with the regulation 5 CFR 1320.5 and will be voluntary.</w:t>
      </w:r>
    </w:p>
    <w:p w14:paraId="503F5F70" w14:textId="77777777" w:rsidR="003829D7" w:rsidRPr="00115304" w:rsidRDefault="003829D7" w:rsidP="00115304"/>
    <w:p w14:paraId="0E6695D4" w14:textId="5190EA2E" w:rsidR="00115304" w:rsidRDefault="00115304" w:rsidP="00906AA4">
      <w:pPr>
        <w:pStyle w:val="Heading2"/>
        <w:numPr>
          <w:ilvl w:val="0"/>
          <w:numId w:val="1"/>
        </w:numPr>
      </w:pPr>
      <w:r>
        <w:t>Comments in Response to the Federal Register Notice and Efforts to Consult Outside the Agency</w:t>
      </w:r>
    </w:p>
    <w:p w14:paraId="6B2A51CC" w14:textId="77777777" w:rsidR="00115304" w:rsidRDefault="00115304" w:rsidP="00115304"/>
    <w:p w14:paraId="3F74D648" w14:textId="7A724434" w:rsidR="00115304" w:rsidRDefault="00115304" w:rsidP="00115304">
      <w:r>
        <w:t xml:space="preserve">This data collection is being conducted using the Generic Information Collection mechanism through ODPHP — OMB No. </w:t>
      </w:r>
      <w:r w:rsidRPr="00115304">
        <w:t>0990-0281</w:t>
      </w:r>
      <w:r>
        <w:t>.</w:t>
      </w:r>
    </w:p>
    <w:p w14:paraId="568D0128" w14:textId="77777777" w:rsidR="00115304" w:rsidRPr="00115304" w:rsidRDefault="00115304" w:rsidP="00115304"/>
    <w:p w14:paraId="0CAF7595" w14:textId="7CF2E180" w:rsidR="00115304" w:rsidRDefault="00115304" w:rsidP="00906AA4">
      <w:pPr>
        <w:pStyle w:val="Heading2"/>
        <w:numPr>
          <w:ilvl w:val="0"/>
          <w:numId w:val="1"/>
        </w:numPr>
      </w:pPr>
      <w:r>
        <w:t>Explanation of Any Payment or Gift to Respondents</w:t>
      </w:r>
    </w:p>
    <w:p w14:paraId="6ED1AD51" w14:textId="77777777" w:rsidR="00115304" w:rsidRDefault="00115304" w:rsidP="00115304"/>
    <w:p w14:paraId="0EF3E8F8" w14:textId="1FC38431" w:rsidR="00B07AE0" w:rsidRDefault="007B391A" w:rsidP="00B07AE0">
      <w:pPr>
        <w:rPr>
          <w:color w:val="000000"/>
        </w:rPr>
      </w:pPr>
      <w:r>
        <w:rPr>
          <w:color w:val="000000"/>
        </w:rPr>
        <w:t>P</w:t>
      </w:r>
      <w:r w:rsidR="009B7F53">
        <w:rPr>
          <w:color w:val="000000"/>
        </w:rPr>
        <w:t xml:space="preserve">atients will not be offered an incentive to participate in the </w:t>
      </w:r>
      <w:r w:rsidR="004D0686">
        <w:rPr>
          <w:color w:val="000000"/>
        </w:rPr>
        <w:t>8</w:t>
      </w:r>
      <w:r w:rsidR="009B7F53">
        <w:rPr>
          <w:color w:val="000000"/>
        </w:rPr>
        <w:t>-minute survey.</w:t>
      </w:r>
      <w:r w:rsidR="00B07AE0">
        <w:rPr>
          <w:color w:val="000000"/>
        </w:rPr>
        <w:t xml:space="preserve"> </w:t>
      </w:r>
      <w:r>
        <w:rPr>
          <w:color w:val="000000"/>
        </w:rPr>
        <w:t>Likewise, c</w:t>
      </w:r>
      <w:r w:rsidR="006F590A">
        <w:rPr>
          <w:color w:val="000000"/>
        </w:rPr>
        <w:t>linicians will</w:t>
      </w:r>
      <w:r>
        <w:rPr>
          <w:color w:val="000000"/>
        </w:rPr>
        <w:t xml:space="preserve"> not</w:t>
      </w:r>
      <w:r w:rsidR="006F590A">
        <w:rPr>
          <w:color w:val="000000"/>
        </w:rPr>
        <w:t xml:space="preserve"> be offered an incentive</w:t>
      </w:r>
      <w:r w:rsidR="00AD6AA1">
        <w:rPr>
          <w:color w:val="000000"/>
        </w:rPr>
        <w:t xml:space="preserve"> </w:t>
      </w:r>
      <w:r>
        <w:rPr>
          <w:color w:val="000000"/>
        </w:rPr>
        <w:t>for</w:t>
      </w:r>
      <w:r w:rsidR="006F590A">
        <w:rPr>
          <w:color w:val="000000"/>
        </w:rPr>
        <w:t xml:space="preserve"> </w:t>
      </w:r>
      <w:r>
        <w:rPr>
          <w:color w:val="000000"/>
        </w:rPr>
        <w:t xml:space="preserve">participating in </w:t>
      </w:r>
      <w:r w:rsidR="006F590A">
        <w:rPr>
          <w:color w:val="000000"/>
        </w:rPr>
        <w:t xml:space="preserve">the </w:t>
      </w:r>
      <w:r w:rsidR="00271D75">
        <w:rPr>
          <w:color w:val="000000"/>
        </w:rPr>
        <w:t xml:space="preserve">30-minute </w:t>
      </w:r>
      <w:r>
        <w:rPr>
          <w:color w:val="000000"/>
        </w:rPr>
        <w:t>debriefing</w:t>
      </w:r>
      <w:r w:rsidR="006F590A">
        <w:rPr>
          <w:color w:val="000000"/>
        </w:rPr>
        <w:t xml:space="preserve"> interview.  </w:t>
      </w:r>
    </w:p>
    <w:p w14:paraId="06A6E8EC" w14:textId="77777777" w:rsidR="00B07AE0" w:rsidRPr="00B07AE0" w:rsidRDefault="00B07AE0" w:rsidP="00B07AE0">
      <w:pPr>
        <w:rPr>
          <w:color w:val="000000"/>
        </w:rPr>
      </w:pPr>
    </w:p>
    <w:p w14:paraId="515B94DD" w14:textId="3EC46217" w:rsidR="00DA29DC" w:rsidRDefault="00DA29DC" w:rsidP="00906AA4">
      <w:pPr>
        <w:pStyle w:val="Heading2"/>
        <w:numPr>
          <w:ilvl w:val="0"/>
          <w:numId w:val="1"/>
        </w:numPr>
      </w:pPr>
      <w:r>
        <w:t xml:space="preserve">Assurance of </w:t>
      </w:r>
      <w:r w:rsidR="00726F9B">
        <w:t xml:space="preserve">Privacy </w:t>
      </w:r>
      <w:r>
        <w:t>Provided to Respondents</w:t>
      </w:r>
    </w:p>
    <w:p w14:paraId="5757243F" w14:textId="77777777" w:rsidR="00DA29DC" w:rsidRDefault="00DA29DC" w:rsidP="00DA29DC"/>
    <w:p w14:paraId="08657C0A" w14:textId="7B316079" w:rsidR="001D05A8" w:rsidRPr="0055731F" w:rsidRDefault="00DA29DC" w:rsidP="00DA29DC">
      <w:pPr>
        <w:tabs>
          <w:tab w:val="left" w:pos="9360"/>
        </w:tabs>
        <w:autoSpaceDE w:val="0"/>
        <w:autoSpaceDN w:val="0"/>
        <w:adjustRightInd w:val="0"/>
        <w:rPr>
          <w:highlight w:val="green"/>
        </w:rPr>
      </w:pPr>
      <w:r w:rsidRPr="00DA29DC">
        <w:t>The Privacy Act does not apply to this data collection.</w:t>
      </w:r>
      <w:r w:rsidR="008D167E">
        <w:t xml:space="preserve"> ODPHP is taking a variety of steps to ensure we are protecting the rights of all participants. An Institutional Review Board has reviewed and approved this study, including the patient</w:t>
      </w:r>
      <w:r w:rsidR="00C548AC">
        <w:t xml:space="preserve"> survey [see </w:t>
      </w:r>
      <w:r w:rsidR="00C548AC" w:rsidRPr="00CD4283">
        <w:rPr>
          <w:b/>
        </w:rPr>
        <w:t>Attachment A</w:t>
      </w:r>
      <w:r w:rsidR="008D167E">
        <w:t>]</w:t>
      </w:r>
      <w:r w:rsidR="009B7F53">
        <w:t xml:space="preserve"> and the interview guide for the clinician interviews [see </w:t>
      </w:r>
      <w:r w:rsidR="009B7F53" w:rsidRPr="00CD4283">
        <w:rPr>
          <w:b/>
        </w:rPr>
        <w:t>Attachment B</w:t>
      </w:r>
      <w:r w:rsidR="009B7F53">
        <w:t>]</w:t>
      </w:r>
      <w:r w:rsidR="00457B8E">
        <w:t>.</w:t>
      </w:r>
      <w:r w:rsidRPr="00DA29DC">
        <w:t xml:space="preserve"> </w:t>
      </w:r>
    </w:p>
    <w:p w14:paraId="140B7B14" w14:textId="77777777" w:rsidR="001D05A8" w:rsidRPr="00C548AC" w:rsidRDefault="001D05A8" w:rsidP="00DA29DC">
      <w:pPr>
        <w:tabs>
          <w:tab w:val="left" w:pos="9360"/>
        </w:tabs>
        <w:autoSpaceDE w:val="0"/>
        <w:autoSpaceDN w:val="0"/>
        <w:adjustRightInd w:val="0"/>
      </w:pPr>
    </w:p>
    <w:p w14:paraId="0CC49845" w14:textId="44942034" w:rsidR="005574F8" w:rsidRDefault="0026630B" w:rsidP="00DA29DC">
      <w:pPr>
        <w:tabs>
          <w:tab w:val="left" w:pos="9360"/>
        </w:tabs>
        <w:autoSpaceDE w:val="0"/>
        <w:autoSpaceDN w:val="0"/>
        <w:adjustRightInd w:val="0"/>
        <w:rPr>
          <w:color w:val="000000"/>
        </w:rPr>
      </w:pPr>
      <w:r w:rsidRPr="00C548AC">
        <w:rPr>
          <w:color w:val="000000"/>
        </w:rPr>
        <w:t>ODPHP will not collect any personally identifiable information from participants</w:t>
      </w:r>
      <w:r w:rsidR="0066224D">
        <w:rPr>
          <w:color w:val="000000"/>
        </w:rPr>
        <w:t xml:space="preserve"> in either the patient survey</w:t>
      </w:r>
      <w:r w:rsidR="00CD4283">
        <w:rPr>
          <w:color w:val="000000"/>
        </w:rPr>
        <w:t>s</w:t>
      </w:r>
      <w:r w:rsidR="0066224D">
        <w:rPr>
          <w:color w:val="000000"/>
        </w:rPr>
        <w:t xml:space="preserve"> or clinician debriefing interview</w:t>
      </w:r>
      <w:r w:rsidR="00CD4283">
        <w:rPr>
          <w:color w:val="000000"/>
        </w:rPr>
        <w:t>s</w:t>
      </w:r>
      <w:r w:rsidRPr="00C548AC">
        <w:rPr>
          <w:color w:val="000000"/>
        </w:rPr>
        <w:t xml:space="preserve">. </w:t>
      </w:r>
      <w:r w:rsidR="005574F8">
        <w:rPr>
          <w:color w:val="000000"/>
        </w:rPr>
        <w:t>All audio recordings of clinician interviews will be destroyed once the interviews are transcribed, and transcripts will be de-identified if clinicians inadvertently provide any identifying information.</w:t>
      </w:r>
    </w:p>
    <w:p w14:paraId="6F9E2B07" w14:textId="77777777" w:rsidR="005574F8" w:rsidRDefault="005574F8" w:rsidP="00DA29DC">
      <w:pPr>
        <w:tabs>
          <w:tab w:val="left" w:pos="9360"/>
        </w:tabs>
        <w:autoSpaceDE w:val="0"/>
        <w:autoSpaceDN w:val="0"/>
        <w:adjustRightInd w:val="0"/>
        <w:rPr>
          <w:color w:val="000000"/>
        </w:rPr>
      </w:pPr>
    </w:p>
    <w:p w14:paraId="1BD41A46" w14:textId="00EECC3B" w:rsidR="003A20AC" w:rsidRPr="00C548AC" w:rsidRDefault="0026630B" w:rsidP="00DA29DC">
      <w:pPr>
        <w:tabs>
          <w:tab w:val="left" w:pos="9360"/>
        </w:tabs>
        <w:autoSpaceDE w:val="0"/>
        <w:autoSpaceDN w:val="0"/>
        <w:adjustRightInd w:val="0"/>
        <w:rPr>
          <w:color w:val="000000"/>
        </w:rPr>
      </w:pPr>
      <w:r w:rsidRPr="00C548AC">
        <w:rPr>
          <w:color w:val="000000"/>
        </w:rPr>
        <w:t>The</w:t>
      </w:r>
      <w:r w:rsidR="00C548AC" w:rsidRPr="00C548AC">
        <w:rPr>
          <w:color w:val="000000"/>
        </w:rPr>
        <w:t xml:space="preserve"> survey</w:t>
      </w:r>
      <w:r w:rsidR="007B391A">
        <w:rPr>
          <w:color w:val="000000"/>
        </w:rPr>
        <w:t xml:space="preserve"> </w:t>
      </w:r>
      <w:r w:rsidR="00C548AC" w:rsidRPr="00C548AC">
        <w:rPr>
          <w:color w:val="000000"/>
        </w:rPr>
        <w:t xml:space="preserve">and the interview </w:t>
      </w:r>
      <w:r w:rsidRPr="00C548AC">
        <w:rPr>
          <w:color w:val="000000"/>
        </w:rPr>
        <w:t>mode</w:t>
      </w:r>
      <w:r w:rsidR="00C548AC" w:rsidRPr="00C548AC">
        <w:rPr>
          <w:color w:val="000000"/>
        </w:rPr>
        <w:t xml:space="preserve">rator’s </w:t>
      </w:r>
      <w:r w:rsidR="00C548AC" w:rsidRPr="003516EA">
        <w:rPr>
          <w:color w:val="000000"/>
        </w:rPr>
        <w:t>guide all</w:t>
      </w:r>
      <w:r w:rsidRPr="003516EA">
        <w:rPr>
          <w:color w:val="000000"/>
        </w:rPr>
        <w:t xml:space="preserve"> include information for participants</w:t>
      </w:r>
      <w:r w:rsidR="0066224D">
        <w:rPr>
          <w:color w:val="000000"/>
        </w:rPr>
        <w:t xml:space="preserve"> about measures the researchers will take to keep data</w:t>
      </w:r>
      <w:r w:rsidR="00726F9B" w:rsidRPr="00C548AC">
        <w:rPr>
          <w:color w:val="000000"/>
        </w:rPr>
        <w:t xml:space="preserve"> private to the extent allowable by law.</w:t>
      </w:r>
      <w:r w:rsidRPr="00C548AC">
        <w:rPr>
          <w:color w:val="000000"/>
        </w:rPr>
        <w:t xml:space="preserve"> </w:t>
      </w:r>
      <w:r w:rsidR="00533EC6" w:rsidRPr="00C548AC">
        <w:t xml:space="preserve">Before participating, </w:t>
      </w:r>
      <w:r w:rsidR="00C548AC" w:rsidRPr="00C548AC">
        <w:t>all</w:t>
      </w:r>
      <w:r w:rsidR="003E173D" w:rsidRPr="00C548AC">
        <w:t xml:space="preserve"> participants will </w:t>
      </w:r>
      <w:r w:rsidR="00C548AC" w:rsidRPr="00C548AC">
        <w:t>review the relevant consent language</w:t>
      </w:r>
      <w:r w:rsidR="00945E3C">
        <w:t xml:space="preserve"> and sign consent forms indicating that they understand their rights and agree to participate</w:t>
      </w:r>
      <w:r w:rsidR="00FE5E99">
        <w:t xml:space="preserve">. They will be </w:t>
      </w:r>
      <w:r w:rsidR="00457B8E">
        <w:t>t</w:t>
      </w:r>
      <w:r w:rsidR="00FE5E99">
        <w:t>old that they can stop participating at any time without penalty</w:t>
      </w:r>
      <w:r w:rsidR="00C548AC" w:rsidRPr="00C548AC">
        <w:t xml:space="preserve">. </w:t>
      </w:r>
    </w:p>
    <w:p w14:paraId="3DB24AB5" w14:textId="77777777" w:rsidR="003A20AC" w:rsidRPr="0055731F" w:rsidRDefault="003A20AC" w:rsidP="00DA29DC">
      <w:pPr>
        <w:tabs>
          <w:tab w:val="left" w:pos="9360"/>
        </w:tabs>
        <w:autoSpaceDE w:val="0"/>
        <w:autoSpaceDN w:val="0"/>
        <w:adjustRightInd w:val="0"/>
        <w:rPr>
          <w:highlight w:val="green"/>
        </w:rPr>
      </w:pPr>
    </w:p>
    <w:p w14:paraId="0FEF3AC9" w14:textId="1CDC72BA" w:rsidR="00DA29DC" w:rsidRDefault="00DA29DC" w:rsidP="00906AA4">
      <w:pPr>
        <w:pStyle w:val="Heading2"/>
        <w:numPr>
          <w:ilvl w:val="0"/>
          <w:numId w:val="1"/>
        </w:numPr>
        <w:ind w:left="900" w:hanging="540"/>
      </w:pPr>
      <w:r>
        <w:t>Justification for Sensitive Questions</w:t>
      </w:r>
    </w:p>
    <w:p w14:paraId="272CA3CC" w14:textId="77777777" w:rsidR="00DA29DC" w:rsidRDefault="00DA29DC" w:rsidP="00DA29DC"/>
    <w:p w14:paraId="3AB889F0" w14:textId="62DCB52C" w:rsidR="00DA29DC" w:rsidRDefault="00772F0E" w:rsidP="00DA29DC">
      <w:r>
        <w:t xml:space="preserve">ODPHP does not anticipate that research participants will perceive questions as sensitive in nature. ODPHP will focus on collecting information </w:t>
      </w:r>
      <w:r w:rsidR="00C548AC">
        <w:t xml:space="preserve">needed to </w:t>
      </w:r>
      <w:r w:rsidR="003E2917">
        <w:t xml:space="preserve">see how patients and clinicians use the </w:t>
      </w:r>
      <w:r w:rsidR="00C548AC">
        <w:t xml:space="preserve">“prescriptions for myhealthfinder” and healthfinder content in primary care settings to </w:t>
      </w:r>
      <w:r w:rsidR="003E2917">
        <w:t xml:space="preserve">prepare for visits and </w:t>
      </w:r>
      <w:r w:rsidR="00457B8E">
        <w:t xml:space="preserve">to see </w:t>
      </w:r>
      <w:r w:rsidR="003E2917">
        <w:t xml:space="preserve">if the tool </w:t>
      </w:r>
      <w:r w:rsidR="00C548AC">
        <w:t>facilitate</w:t>
      </w:r>
      <w:r w:rsidR="003E2917">
        <w:t>s</w:t>
      </w:r>
      <w:r w:rsidR="00C548AC">
        <w:t xml:space="preserve"> productive patient-provider conversations</w:t>
      </w:r>
      <w:r w:rsidR="00C548AC" w:rsidRPr="006E28FF">
        <w:t>.</w:t>
      </w:r>
      <w:r w:rsidRPr="006E28FF">
        <w:t xml:space="preserve"> </w:t>
      </w:r>
      <w:r w:rsidR="00CF105A" w:rsidRPr="006E28FF">
        <w:t xml:space="preserve">Prior </w:t>
      </w:r>
      <w:r w:rsidR="006E28FF" w:rsidRPr="006E28FF">
        <w:t>to participating in the research activities</w:t>
      </w:r>
      <w:r w:rsidR="00CF105A" w:rsidRPr="006E28FF">
        <w:t xml:space="preserve">, </w:t>
      </w:r>
      <w:r w:rsidR="006E28FF" w:rsidRPr="006E28FF">
        <w:t>ODPHP</w:t>
      </w:r>
      <w:r w:rsidR="00CF105A" w:rsidRPr="006E28FF">
        <w:t xml:space="preserve"> will inform participants that they may decline to respond </w:t>
      </w:r>
      <w:r w:rsidR="006E28FF" w:rsidRPr="006E28FF">
        <w:t xml:space="preserve">to any questions </w:t>
      </w:r>
      <w:r w:rsidR="006E28FF">
        <w:t>they would rather not answer</w:t>
      </w:r>
      <w:r w:rsidR="00CF105A" w:rsidRPr="006E28FF">
        <w:t>.</w:t>
      </w:r>
      <w:r w:rsidR="00CF105A">
        <w:t xml:space="preserve"> </w:t>
      </w:r>
    </w:p>
    <w:p w14:paraId="5DBBC11D" w14:textId="77777777" w:rsidR="00C00321" w:rsidRPr="00DA29DC" w:rsidRDefault="00C00321" w:rsidP="00DA29DC"/>
    <w:p w14:paraId="0C3448EB" w14:textId="3C1906F4" w:rsidR="00B15921" w:rsidRDefault="00DA29DC" w:rsidP="00906AA4">
      <w:pPr>
        <w:pStyle w:val="Heading2"/>
        <w:numPr>
          <w:ilvl w:val="0"/>
          <w:numId w:val="1"/>
        </w:numPr>
      </w:pPr>
      <w:r>
        <w:t xml:space="preserve">  </w:t>
      </w:r>
      <w:r w:rsidR="006075AD">
        <w:t>Estimates of Annualized Burden Hours and Costs</w:t>
      </w:r>
    </w:p>
    <w:p w14:paraId="302A08D2" w14:textId="77777777" w:rsidR="004E335D" w:rsidRDefault="004E335D" w:rsidP="004457F3">
      <w:pPr>
        <w:autoSpaceDE w:val="0"/>
        <w:autoSpaceDN w:val="0"/>
        <w:adjustRightInd w:val="0"/>
        <w:spacing w:line="276" w:lineRule="auto"/>
        <w:rPr>
          <w:rFonts w:cs="FHPPPP+TimesNewRoman"/>
          <w:b/>
          <w:color w:val="000000"/>
        </w:rPr>
      </w:pPr>
    </w:p>
    <w:p w14:paraId="559D6831" w14:textId="77B55386" w:rsidR="00CF105A" w:rsidRDefault="00CF105A" w:rsidP="004457F3">
      <w:pPr>
        <w:autoSpaceDE w:val="0"/>
        <w:autoSpaceDN w:val="0"/>
        <w:adjustRightInd w:val="0"/>
        <w:spacing w:line="276" w:lineRule="auto"/>
        <w:rPr>
          <w:rFonts w:cs="FHPPPP+TimesNewRoman"/>
          <w:color w:val="000000"/>
        </w:rPr>
      </w:pPr>
      <w:r>
        <w:rPr>
          <w:rFonts w:cs="FHPPPP+TimesNewRoman"/>
          <w:color w:val="000000"/>
        </w:rPr>
        <w:t>The estimate for burden hours is based on:</w:t>
      </w:r>
    </w:p>
    <w:p w14:paraId="34C3FD7E" w14:textId="481F499A" w:rsidR="009B7F53" w:rsidRPr="00864EDD" w:rsidRDefault="004D0686" w:rsidP="00906AA4">
      <w:pPr>
        <w:pStyle w:val="ListParagraph"/>
        <w:numPr>
          <w:ilvl w:val="0"/>
          <w:numId w:val="2"/>
        </w:numPr>
        <w:autoSpaceDE w:val="0"/>
        <w:autoSpaceDN w:val="0"/>
        <w:adjustRightInd w:val="0"/>
        <w:spacing w:line="276" w:lineRule="auto"/>
        <w:rPr>
          <w:rFonts w:cs="FHPPPP+TimesNewRoman"/>
          <w:color w:val="000000"/>
        </w:rPr>
      </w:pPr>
      <w:r>
        <w:rPr>
          <w:rFonts w:cs="FHPPPP+TimesNewRoman"/>
          <w:color w:val="000000"/>
        </w:rPr>
        <w:t>8</w:t>
      </w:r>
      <w:r w:rsidR="009B7F53" w:rsidRPr="00864EDD">
        <w:rPr>
          <w:rFonts w:cs="FHPPPP+TimesNewRoman"/>
          <w:color w:val="000000"/>
        </w:rPr>
        <w:t>-</w:t>
      </w:r>
      <w:r w:rsidR="0008157F">
        <w:rPr>
          <w:rFonts w:cs="FHPPPP+TimesNewRoman"/>
          <w:color w:val="000000"/>
        </w:rPr>
        <w:t>minute surveys with a total of 8</w:t>
      </w:r>
      <w:r w:rsidR="009B7F53" w:rsidRPr="00864EDD">
        <w:rPr>
          <w:rFonts w:cs="FHPPPP+TimesNewRoman"/>
          <w:color w:val="000000"/>
        </w:rPr>
        <w:t xml:space="preserve">00 patients [see </w:t>
      </w:r>
      <w:r w:rsidR="009B7F53" w:rsidRPr="003516EA">
        <w:rPr>
          <w:rFonts w:cs="FHPPPP+TimesNewRoman"/>
          <w:b/>
          <w:color w:val="000000"/>
        </w:rPr>
        <w:t>Attachment A</w:t>
      </w:r>
      <w:r w:rsidR="009B7F53" w:rsidRPr="00864EDD">
        <w:rPr>
          <w:rFonts w:cs="FHPPPP+TimesNewRoman"/>
          <w:color w:val="000000"/>
        </w:rPr>
        <w:t>]</w:t>
      </w:r>
    </w:p>
    <w:p w14:paraId="154E2661" w14:textId="1A1EA806" w:rsidR="00864EDD" w:rsidRPr="00864EDD" w:rsidRDefault="00864EDD" w:rsidP="00906AA4">
      <w:pPr>
        <w:pStyle w:val="ListParagraph"/>
        <w:numPr>
          <w:ilvl w:val="0"/>
          <w:numId w:val="2"/>
        </w:numPr>
        <w:autoSpaceDE w:val="0"/>
        <w:autoSpaceDN w:val="0"/>
        <w:adjustRightInd w:val="0"/>
        <w:spacing w:line="276" w:lineRule="auto"/>
        <w:rPr>
          <w:rFonts w:cs="FHPPPP+TimesNewRoman"/>
          <w:color w:val="000000"/>
        </w:rPr>
      </w:pPr>
      <w:r w:rsidRPr="00864EDD">
        <w:rPr>
          <w:rFonts w:cs="FHPPPP+TimesNewRoman"/>
          <w:color w:val="000000"/>
        </w:rPr>
        <w:t>30-minute interviews with a total of</w:t>
      </w:r>
      <w:r w:rsidR="009B7F53">
        <w:rPr>
          <w:rFonts w:cs="FHPPPP+TimesNewRoman"/>
          <w:color w:val="000000"/>
        </w:rPr>
        <w:t xml:space="preserve"> 20 clinicians [see </w:t>
      </w:r>
      <w:r w:rsidR="009B7F53" w:rsidRPr="003516EA">
        <w:rPr>
          <w:rFonts w:cs="FHPPPP+TimesNewRoman"/>
          <w:b/>
          <w:color w:val="000000"/>
        </w:rPr>
        <w:t>Attachment B</w:t>
      </w:r>
      <w:r w:rsidRPr="00864EDD">
        <w:rPr>
          <w:rFonts w:cs="FHPPPP+TimesNewRoman"/>
          <w:color w:val="000000"/>
        </w:rPr>
        <w:t>]</w:t>
      </w:r>
    </w:p>
    <w:p w14:paraId="7B4BF143" w14:textId="4A2EB169" w:rsidR="00B95F50" w:rsidRDefault="00B95F50">
      <w:pPr>
        <w:rPr>
          <w:b/>
          <w:szCs w:val="28"/>
        </w:rPr>
      </w:pPr>
    </w:p>
    <w:p w14:paraId="2CA1FA4D" w14:textId="06EC66E8" w:rsidR="00AD43F1" w:rsidRPr="00AD43F1" w:rsidRDefault="00AD43F1" w:rsidP="00AD43F1">
      <w:pPr>
        <w:rPr>
          <w:color w:val="000000"/>
        </w:rPr>
      </w:pPr>
      <w:r w:rsidRPr="00114712">
        <w:rPr>
          <w:b/>
          <w:bCs/>
          <w:color w:val="000000"/>
        </w:rPr>
        <w:t>Table A-12: Estimated Annualized Burden Hours and Costs to P</w:t>
      </w:r>
      <w:r w:rsidRPr="007E4786">
        <w:rPr>
          <w:b/>
          <w:bCs/>
          <w:color w:val="000000"/>
        </w:rPr>
        <w:t>articipants</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6"/>
        <w:gridCol w:w="1440"/>
        <w:gridCol w:w="1419"/>
        <w:gridCol w:w="1549"/>
        <w:gridCol w:w="1549"/>
        <w:gridCol w:w="1549"/>
      </w:tblGrid>
      <w:tr w:rsidR="00F4527A" w:rsidRPr="00B52EE4" w14:paraId="511BB4A2" w14:textId="27D34B80" w:rsidTr="0054089A">
        <w:trPr>
          <w:trHeight w:val="274"/>
          <w:jc w:val="center"/>
        </w:trPr>
        <w:tc>
          <w:tcPr>
            <w:tcW w:w="2106" w:type="dxa"/>
            <w:shd w:val="clear" w:color="auto" w:fill="7F7F7F" w:themeFill="background1" w:themeFillShade="7F"/>
            <w:vAlign w:val="center"/>
          </w:tcPr>
          <w:p w14:paraId="3AF977B4" w14:textId="72591555" w:rsidR="00B76B0C" w:rsidRPr="0054089A" w:rsidRDefault="00B76B0C">
            <w:pPr>
              <w:rPr>
                <w:b/>
                <w:bCs/>
                <w:color w:val="FFFFFF" w:themeColor="background1"/>
              </w:rPr>
            </w:pPr>
            <w:r>
              <w:rPr>
                <w:b/>
                <w:bCs/>
                <w:color w:val="FFFFFF" w:themeColor="background1"/>
              </w:rPr>
              <w:t>Research Instrument</w:t>
            </w:r>
          </w:p>
        </w:tc>
        <w:tc>
          <w:tcPr>
            <w:tcW w:w="1440" w:type="dxa"/>
            <w:shd w:val="clear" w:color="auto" w:fill="7F7F7F" w:themeFill="background1" w:themeFillShade="7F"/>
            <w:vAlign w:val="center"/>
          </w:tcPr>
          <w:p w14:paraId="0F720025" w14:textId="77777777" w:rsidR="00E43F2E" w:rsidRPr="0054089A" w:rsidRDefault="00E43F2E">
            <w:pPr>
              <w:rPr>
                <w:b/>
                <w:bCs/>
                <w:color w:val="FFFFFF" w:themeColor="background1"/>
              </w:rPr>
            </w:pPr>
            <w:r w:rsidRPr="00114712">
              <w:rPr>
                <w:b/>
                <w:bCs/>
                <w:color w:val="FFFFFF" w:themeColor="background1"/>
              </w:rPr>
              <w:t>No. of Participants</w:t>
            </w:r>
          </w:p>
        </w:tc>
        <w:tc>
          <w:tcPr>
            <w:tcW w:w="1419" w:type="dxa"/>
            <w:shd w:val="clear" w:color="auto" w:fill="7F7F7F" w:themeFill="background1" w:themeFillShade="7F"/>
            <w:vAlign w:val="center"/>
          </w:tcPr>
          <w:p w14:paraId="237C576C" w14:textId="0E29668F" w:rsidR="00E43F2E" w:rsidRPr="0054089A" w:rsidRDefault="00E43F2E">
            <w:pPr>
              <w:rPr>
                <w:b/>
                <w:bCs/>
                <w:color w:val="FFFFFF" w:themeColor="background1"/>
              </w:rPr>
            </w:pPr>
            <w:r w:rsidRPr="00114712">
              <w:rPr>
                <w:b/>
                <w:bCs/>
                <w:color w:val="FFFFFF" w:themeColor="background1"/>
              </w:rPr>
              <w:t xml:space="preserve">Average Burden per Response </w:t>
            </w:r>
          </w:p>
        </w:tc>
        <w:tc>
          <w:tcPr>
            <w:tcW w:w="1549" w:type="dxa"/>
            <w:shd w:val="clear" w:color="auto" w:fill="7F7F7F" w:themeFill="background1" w:themeFillShade="7F"/>
            <w:vAlign w:val="center"/>
          </w:tcPr>
          <w:p w14:paraId="743284C0" w14:textId="3C9F154D" w:rsidR="00E43F2E" w:rsidRPr="0054089A" w:rsidRDefault="00E43F2E">
            <w:pPr>
              <w:rPr>
                <w:b/>
                <w:bCs/>
                <w:color w:val="FFFFFF" w:themeColor="background1"/>
              </w:rPr>
            </w:pPr>
            <w:r w:rsidRPr="00114712">
              <w:rPr>
                <w:b/>
                <w:bCs/>
                <w:color w:val="FFFFFF" w:themeColor="background1"/>
              </w:rPr>
              <w:t>Total Burden Hours</w:t>
            </w:r>
          </w:p>
        </w:tc>
        <w:tc>
          <w:tcPr>
            <w:tcW w:w="1549" w:type="dxa"/>
            <w:shd w:val="clear" w:color="auto" w:fill="7F7F7F" w:themeFill="background1" w:themeFillShade="7F"/>
            <w:vAlign w:val="center"/>
          </w:tcPr>
          <w:p w14:paraId="28177D34" w14:textId="1696407F" w:rsidR="00E43F2E" w:rsidRPr="0054089A" w:rsidRDefault="00E43F2E">
            <w:pPr>
              <w:rPr>
                <w:b/>
                <w:bCs/>
                <w:color w:val="FFFFFF" w:themeColor="background1"/>
              </w:rPr>
            </w:pPr>
            <w:r w:rsidRPr="00114712">
              <w:rPr>
                <w:b/>
                <w:bCs/>
                <w:color w:val="FFFFFF" w:themeColor="background1"/>
              </w:rPr>
              <w:t>Hourly Wage Rate</w:t>
            </w:r>
          </w:p>
        </w:tc>
        <w:tc>
          <w:tcPr>
            <w:tcW w:w="1549" w:type="dxa"/>
            <w:shd w:val="clear" w:color="auto" w:fill="7F7F7F" w:themeFill="background1" w:themeFillShade="7F"/>
            <w:vAlign w:val="center"/>
          </w:tcPr>
          <w:p w14:paraId="70042FCF" w14:textId="4D7BE2EF" w:rsidR="00E43F2E" w:rsidRPr="0054089A" w:rsidRDefault="00E43F2E">
            <w:pPr>
              <w:rPr>
                <w:b/>
                <w:bCs/>
                <w:color w:val="FFFFFF" w:themeColor="background1"/>
              </w:rPr>
            </w:pPr>
            <w:r w:rsidRPr="00114712">
              <w:rPr>
                <w:b/>
                <w:bCs/>
                <w:color w:val="FFFFFF" w:themeColor="background1"/>
              </w:rPr>
              <w:t>Total Participant Costs</w:t>
            </w:r>
          </w:p>
        </w:tc>
      </w:tr>
      <w:tr w:rsidR="009B7F53" w:rsidRPr="00B52EE4" w14:paraId="763D334D" w14:textId="77777777" w:rsidTr="00875213">
        <w:trPr>
          <w:trHeight w:val="512"/>
          <w:jc w:val="center"/>
        </w:trPr>
        <w:tc>
          <w:tcPr>
            <w:tcW w:w="2106" w:type="dxa"/>
            <w:shd w:val="clear" w:color="auto" w:fill="auto"/>
            <w:vAlign w:val="center"/>
          </w:tcPr>
          <w:p w14:paraId="1B4D8ADB" w14:textId="279B4F34" w:rsidR="009B7F53" w:rsidRPr="00864EDD" w:rsidRDefault="009B7F53" w:rsidP="00875213">
            <w:pPr>
              <w:jc w:val="right"/>
            </w:pPr>
            <w:r w:rsidRPr="00864EDD">
              <w:t xml:space="preserve">Attachment </w:t>
            </w:r>
            <w:r>
              <w:t>A</w:t>
            </w:r>
            <w:r w:rsidRPr="00864EDD">
              <w:t xml:space="preserve">: Patient Survey </w:t>
            </w:r>
          </w:p>
        </w:tc>
        <w:tc>
          <w:tcPr>
            <w:tcW w:w="1440" w:type="dxa"/>
            <w:shd w:val="clear" w:color="auto" w:fill="auto"/>
            <w:vAlign w:val="center"/>
          </w:tcPr>
          <w:p w14:paraId="08D4C097" w14:textId="20655E40" w:rsidR="009B7F53" w:rsidRPr="00864EDD" w:rsidRDefault="0082049B" w:rsidP="00875213">
            <w:pPr>
              <w:jc w:val="center"/>
            </w:pPr>
            <w:r>
              <w:t>8</w:t>
            </w:r>
            <w:r w:rsidR="009B7F53" w:rsidRPr="00864EDD">
              <w:t>00</w:t>
            </w:r>
          </w:p>
        </w:tc>
        <w:tc>
          <w:tcPr>
            <w:tcW w:w="1419" w:type="dxa"/>
            <w:shd w:val="clear" w:color="auto" w:fill="auto"/>
            <w:vAlign w:val="center"/>
          </w:tcPr>
          <w:p w14:paraId="64ED09D7" w14:textId="027F4CDF" w:rsidR="009B7F53" w:rsidRPr="00864EDD" w:rsidRDefault="004D0686" w:rsidP="00875213">
            <w:pPr>
              <w:jc w:val="center"/>
            </w:pPr>
            <w:r>
              <w:t>8</w:t>
            </w:r>
            <w:r w:rsidR="009B7F53" w:rsidRPr="00864EDD">
              <w:t>/60</w:t>
            </w:r>
          </w:p>
        </w:tc>
        <w:tc>
          <w:tcPr>
            <w:tcW w:w="1549" w:type="dxa"/>
            <w:shd w:val="clear" w:color="auto" w:fill="auto"/>
            <w:vAlign w:val="center"/>
          </w:tcPr>
          <w:p w14:paraId="749F64A7" w14:textId="6817A49F" w:rsidR="009B7F53" w:rsidRPr="00864EDD" w:rsidRDefault="004D0686" w:rsidP="00875213">
            <w:pPr>
              <w:jc w:val="center"/>
            </w:pPr>
            <w:r>
              <w:t>10</w:t>
            </w:r>
            <w:r w:rsidR="00486FC5">
              <w:t>7</w:t>
            </w:r>
            <w:r w:rsidR="009B7F53" w:rsidRPr="00864EDD">
              <w:t xml:space="preserve"> </w:t>
            </w:r>
          </w:p>
        </w:tc>
        <w:tc>
          <w:tcPr>
            <w:tcW w:w="1549" w:type="dxa"/>
            <w:vAlign w:val="center"/>
          </w:tcPr>
          <w:p w14:paraId="21E55BEC" w14:textId="77777777" w:rsidR="009B7F53" w:rsidRPr="00864EDD" w:rsidRDefault="009B7F53" w:rsidP="00875213">
            <w:pPr>
              <w:jc w:val="center"/>
            </w:pPr>
            <w:r w:rsidRPr="00864EDD">
              <w:t>$23.86</w:t>
            </w:r>
          </w:p>
        </w:tc>
        <w:tc>
          <w:tcPr>
            <w:tcW w:w="1549" w:type="dxa"/>
            <w:vAlign w:val="center"/>
          </w:tcPr>
          <w:p w14:paraId="77042CF2" w14:textId="6D8D1225" w:rsidR="009B7F53" w:rsidRPr="00864EDD" w:rsidRDefault="005E79F6" w:rsidP="00875213">
            <w:pPr>
              <w:jc w:val="center"/>
            </w:pPr>
            <w:r>
              <w:t>$</w:t>
            </w:r>
            <w:r w:rsidR="004D0686">
              <w:t>25</w:t>
            </w:r>
            <w:r w:rsidR="00486FC5">
              <w:t>53</w:t>
            </w:r>
            <w:r w:rsidR="009C0D6A">
              <w:t>.</w:t>
            </w:r>
            <w:r w:rsidR="004D0686">
              <w:t>0</w:t>
            </w:r>
            <w:r w:rsidR="00486FC5">
              <w:t>2</w:t>
            </w:r>
          </w:p>
        </w:tc>
      </w:tr>
      <w:tr w:rsidR="00C840FC" w:rsidRPr="00B52EE4" w14:paraId="63A14B9D" w14:textId="77777777" w:rsidTr="0054089A">
        <w:trPr>
          <w:trHeight w:val="512"/>
          <w:jc w:val="center"/>
        </w:trPr>
        <w:tc>
          <w:tcPr>
            <w:tcW w:w="2106" w:type="dxa"/>
            <w:shd w:val="clear" w:color="auto" w:fill="auto"/>
            <w:vAlign w:val="center"/>
          </w:tcPr>
          <w:p w14:paraId="31B49B9B" w14:textId="30B846FC" w:rsidR="00C840FC" w:rsidRPr="00864EDD" w:rsidRDefault="006E28FF" w:rsidP="006E28FF">
            <w:pPr>
              <w:jc w:val="right"/>
            </w:pPr>
            <w:r w:rsidRPr="00864EDD">
              <w:t>Atta</w:t>
            </w:r>
            <w:r w:rsidR="009B7F53">
              <w:t>chment B</w:t>
            </w:r>
            <w:r w:rsidR="002B52D5" w:rsidRPr="00864EDD">
              <w:t>: Moderator’s Guide</w:t>
            </w:r>
            <w:r w:rsidR="00FA55B9" w:rsidRPr="00864EDD">
              <w:t xml:space="preserve"> for </w:t>
            </w:r>
            <w:r w:rsidRPr="00864EDD">
              <w:t>Clinician Interviews</w:t>
            </w:r>
          </w:p>
        </w:tc>
        <w:tc>
          <w:tcPr>
            <w:tcW w:w="1440" w:type="dxa"/>
            <w:shd w:val="clear" w:color="auto" w:fill="auto"/>
            <w:vAlign w:val="center"/>
          </w:tcPr>
          <w:p w14:paraId="78C266F7" w14:textId="5BD163FC" w:rsidR="00C840FC" w:rsidRPr="00864EDD" w:rsidRDefault="007C2A74" w:rsidP="004E335D">
            <w:pPr>
              <w:jc w:val="center"/>
            </w:pPr>
            <w:r w:rsidRPr="00864EDD">
              <w:t>2</w:t>
            </w:r>
            <w:r w:rsidR="00A611DE" w:rsidRPr="00864EDD">
              <w:t>0</w:t>
            </w:r>
          </w:p>
        </w:tc>
        <w:tc>
          <w:tcPr>
            <w:tcW w:w="1419" w:type="dxa"/>
            <w:shd w:val="clear" w:color="auto" w:fill="auto"/>
            <w:vAlign w:val="center"/>
          </w:tcPr>
          <w:p w14:paraId="54F513E1" w14:textId="7560E868" w:rsidR="00C840FC" w:rsidRPr="00864EDD" w:rsidRDefault="009C0D6A" w:rsidP="00CB0A18">
            <w:pPr>
              <w:jc w:val="center"/>
            </w:pPr>
            <w:r>
              <w:t>30/60</w:t>
            </w:r>
          </w:p>
        </w:tc>
        <w:tc>
          <w:tcPr>
            <w:tcW w:w="1549" w:type="dxa"/>
            <w:shd w:val="clear" w:color="auto" w:fill="auto"/>
            <w:vAlign w:val="center"/>
          </w:tcPr>
          <w:p w14:paraId="59088C35" w14:textId="7C9E3A7C" w:rsidR="00C840FC" w:rsidRPr="00864EDD" w:rsidRDefault="009C0D6A" w:rsidP="00CB0A18">
            <w:pPr>
              <w:jc w:val="center"/>
            </w:pPr>
            <w:r>
              <w:t>10</w:t>
            </w:r>
          </w:p>
        </w:tc>
        <w:tc>
          <w:tcPr>
            <w:tcW w:w="1549" w:type="dxa"/>
            <w:vAlign w:val="center"/>
          </w:tcPr>
          <w:p w14:paraId="37F7B58E" w14:textId="6C8203B6" w:rsidR="00C840FC" w:rsidRPr="00864EDD" w:rsidRDefault="00AD6AA1" w:rsidP="00E43F2E">
            <w:pPr>
              <w:jc w:val="center"/>
            </w:pPr>
            <w:r w:rsidRPr="00864EDD">
              <w:t>$96.54</w:t>
            </w:r>
          </w:p>
        </w:tc>
        <w:tc>
          <w:tcPr>
            <w:tcW w:w="1549" w:type="dxa"/>
            <w:vAlign w:val="center"/>
          </w:tcPr>
          <w:p w14:paraId="34FCDC6F" w14:textId="48AC1717" w:rsidR="00C840FC" w:rsidRPr="00864EDD" w:rsidRDefault="009C0D6A" w:rsidP="003B5493">
            <w:pPr>
              <w:jc w:val="center"/>
            </w:pPr>
            <w:r>
              <w:t>$965.</w:t>
            </w:r>
            <w:r w:rsidR="007C2A74" w:rsidRPr="00864EDD">
              <w:t>4</w:t>
            </w:r>
            <w:r>
              <w:t>0</w:t>
            </w:r>
          </w:p>
        </w:tc>
      </w:tr>
      <w:tr w:rsidR="00F4527A" w:rsidRPr="00B52EE4" w14:paraId="56A25420" w14:textId="394856AF" w:rsidTr="0054089A">
        <w:trPr>
          <w:trHeight w:val="512"/>
          <w:jc w:val="center"/>
        </w:trPr>
        <w:tc>
          <w:tcPr>
            <w:tcW w:w="2106" w:type="dxa"/>
            <w:vAlign w:val="center"/>
          </w:tcPr>
          <w:p w14:paraId="0528D247" w14:textId="77777777" w:rsidR="00301459" w:rsidRPr="00864EDD" w:rsidRDefault="00301459">
            <w:pPr>
              <w:rPr>
                <w:b/>
                <w:bCs/>
              </w:rPr>
            </w:pPr>
            <w:r w:rsidRPr="00864EDD">
              <w:rPr>
                <w:b/>
                <w:bCs/>
              </w:rPr>
              <w:t>Totals</w:t>
            </w:r>
          </w:p>
        </w:tc>
        <w:tc>
          <w:tcPr>
            <w:tcW w:w="1440" w:type="dxa"/>
            <w:vAlign w:val="center"/>
          </w:tcPr>
          <w:p w14:paraId="0A17A7A3" w14:textId="5EFB65DE" w:rsidR="00301459" w:rsidRPr="00864EDD" w:rsidRDefault="0082049B" w:rsidP="003B5493">
            <w:pPr>
              <w:jc w:val="center"/>
              <w:rPr>
                <w:b/>
                <w:bCs/>
              </w:rPr>
            </w:pPr>
            <w:r>
              <w:rPr>
                <w:b/>
                <w:bCs/>
              </w:rPr>
              <w:t>8</w:t>
            </w:r>
            <w:r w:rsidR="00864EDD">
              <w:rPr>
                <w:b/>
                <w:bCs/>
              </w:rPr>
              <w:t>2</w:t>
            </w:r>
            <w:r w:rsidR="00864EDD" w:rsidRPr="00864EDD">
              <w:rPr>
                <w:b/>
                <w:bCs/>
              </w:rPr>
              <w:t>0</w:t>
            </w:r>
          </w:p>
        </w:tc>
        <w:tc>
          <w:tcPr>
            <w:tcW w:w="1419" w:type="dxa"/>
            <w:vAlign w:val="center"/>
          </w:tcPr>
          <w:p w14:paraId="4886CCC1" w14:textId="273004CB" w:rsidR="00301459" w:rsidRPr="00864EDD" w:rsidRDefault="00301459" w:rsidP="004E335D">
            <w:pPr>
              <w:widowControl w:val="0"/>
              <w:tabs>
                <w:tab w:val="center" w:pos="4320"/>
                <w:tab w:val="right" w:pos="8640"/>
              </w:tabs>
              <w:jc w:val="center"/>
              <w:rPr>
                <w:b/>
              </w:rPr>
            </w:pPr>
          </w:p>
        </w:tc>
        <w:tc>
          <w:tcPr>
            <w:tcW w:w="1549" w:type="dxa"/>
            <w:vAlign w:val="center"/>
          </w:tcPr>
          <w:p w14:paraId="7669DF24" w14:textId="46BCCD47" w:rsidR="00301459" w:rsidRPr="00864EDD" w:rsidRDefault="004D0686" w:rsidP="003B5493">
            <w:pPr>
              <w:jc w:val="center"/>
              <w:rPr>
                <w:b/>
                <w:bCs/>
              </w:rPr>
            </w:pPr>
            <w:r>
              <w:rPr>
                <w:b/>
                <w:bCs/>
              </w:rPr>
              <w:t>11</w:t>
            </w:r>
            <w:r w:rsidR="00486FC5">
              <w:rPr>
                <w:b/>
                <w:bCs/>
              </w:rPr>
              <w:t>7</w:t>
            </w:r>
          </w:p>
        </w:tc>
        <w:tc>
          <w:tcPr>
            <w:tcW w:w="1549" w:type="dxa"/>
          </w:tcPr>
          <w:p w14:paraId="40BC65B2" w14:textId="77777777" w:rsidR="00301459" w:rsidRPr="00864EDD" w:rsidRDefault="00301459" w:rsidP="004E335D">
            <w:pPr>
              <w:jc w:val="center"/>
              <w:rPr>
                <w:b/>
              </w:rPr>
            </w:pPr>
          </w:p>
        </w:tc>
        <w:tc>
          <w:tcPr>
            <w:tcW w:w="1549" w:type="dxa"/>
            <w:vAlign w:val="center"/>
          </w:tcPr>
          <w:p w14:paraId="27323DDC" w14:textId="5133069E" w:rsidR="00301459" w:rsidRPr="00864EDD" w:rsidRDefault="00CD233F" w:rsidP="00864EDD">
            <w:pPr>
              <w:jc w:val="center"/>
              <w:rPr>
                <w:b/>
                <w:bCs/>
              </w:rPr>
            </w:pPr>
            <w:r w:rsidRPr="00864EDD">
              <w:rPr>
                <w:b/>
                <w:bCs/>
              </w:rPr>
              <w:t>$</w:t>
            </w:r>
            <w:r w:rsidR="004D0686">
              <w:rPr>
                <w:b/>
                <w:bCs/>
              </w:rPr>
              <w:t>351</w:t>
            </w:r>
            <w:r w:rsidR="00486FC5">
              <w:rPr>
                <w:b/>
                <w:bCs/>
              </w:rPr>
              <w:t>8</w:t>
            </w:r>
            <w:r w:rsidR="00100AE5">
              <w:rPr>
                <w:b/>
                <w:bCs/>
              </w:rPr>
              <w:t>.</w:t>
            </w:r>
            <w:r w:rsidR="004D0686">
              <w:rPr>
                <w:b/>
                <w:bCs/>
              </w:rPr>
              <w:t>4</w:t>
            </w:r>
            <w:r w:rsidR="00486FC5">
              <w:rPr>
                <w:b/>
                <w:bCs/>
              </w:rPr>
              <w:t>2</w:t>
            </w:r>
          </w:p>
        </w:tc>
      </w:tr>
    </w:tbl>
    <w:p w14:paraId="2C8226C5" w14:textId="24A76398" w:rsidR="004E335D" w:rsidRDefault="004E335D" w:rsidP="004E335D"/>
    <w:p w14:paraId="706F9251" w14:textId="47686C25" w:rsidR="00AD6AA1" w:rsidRDefault="00AD6AA1" w:rsidP="004E335D">
      <w:r>
        <w:rPr>
          <w:color w:val="000000"/>
        </w:rPr>
        <w:t xml:space="preserve">The estimates for clinicians for hourly burden are calculated using the mean hourly wage for family and general practitioners ($96.54), with whom patients </w:t>
      </w:r>
      <w:r w:rsidR="00C12D1C">
        <w:rPr>
          <w:color w:val="000000"/>
        </w:rPr>
        <w:t>are scheduling the</w:t>
      </w:r>
      <w:r>
        <w:rPr>
          <w:color w:val="000000"/>
        </w:rPr>
        <w:t xml:space="preserve"> wellness visits.</w:t>
      </w:r>
      <w:r w:rsidRPr="00AD43F1">
        <w:rPr>
          <w:color w:val="000000"/>
          <w:vertAlign w:val="superscript"/>
        </w:rPr>
        <w:footnoteReference w:id="5"/>
      </w:r>
      <w:r>
        <w:rPr>
          <w:color w:val="000000"/>
        </w:rPr>
        <w:t xml:space="preserve"> </w:t>
      </w:r>
      <w:r w:rsidRPr="00AD43F1">
        <w:rPr>
          <w:color w:val="000000"/>
        </w:rPr>
        <w:t xml:space="preserve">For </w:t>
      </w:r>
      <w:r>
        <w:rPr>
          <w:color w:val="000000"/>
        </w:rPr>
        <w:t>patients</w:t>
      </w:r>
      <w:r w:rsidRPr="00AD43F1">
        <w:rPr>
          <w:color w:val="000000"/>
        </w:rPr>
        <w:t>, estimates for hourly burden are calculated using the mean hourly wage for all occupations ($23.</w:t>
      </w:r>
      <w:r>
        <w:rPr>
          <w:color w:val="000000"/>
        </w:rPr>
        <w:t>86</w:t>
      </w:r>
      <w:r w:rsidRPr="00AD43F1">
        <w:rPr>
          <w:color w:val="000000"/>
        </w:rPr>
        <w:t xml:space="preserve">), because ODPHP </w:t>
      </w:r>
      <w:r>
        <w:rPr>
          <w:color w:val="000000"/>
        </w:rPr>
        <w:t>anticipates patients will come from</w:t>
      </w:r>
      <w:r w:rsidRPr="00AD43F1">
        <w:rPr>
          <w:color w:val="000000"/>
        </w:rPr>
        <w:t xml:space="preserve"> diverse </w:t>
      </w:r>
      <w:r>
        <w:rPr>
          <w:color w:val="000000"/>
        </w:rPr>
        <w:t>occupations</w:t>
      </w:r>
      <w:r w:rsidRPr="00AD43F1">
        <w:rPr>
          <w:color w:val="000000"/>
        </w:rPr>
        <w:t>.</w:t>
      </w:r>
      <w:r>
        <w:t xml:space="preserve"> </w:t>
      </w:r>
    </w:p>
    <w:p w14:paraId="034D1056" w14:textId="77777777" w:rsidR="00AD6AA1" w:rsidRDefault="00AD6AA1" w:rsidP="004E335D"/>
    <w:p w14:paraId="5D61EB27" w14:textId="6C30E441" w:rsidR="00AD43F1" w:rsidRDefault="003A20AC" w:rsidP="00906AA4">
      <w:pPr>
        <w:pStyle w:val="Heading2"/>
        <w:numPr>
          <w:ilvl w:val="0"/>
          <w:numId w:val="1"/>
        </w:numPr>
      </w:pPr>
      <w:r>
        <w:t xml:space="preserve">  </w:t>
      </w:r>
      <w:r w:rsidR="00AD43F1">
        <w:t>Estimates of Annualized Burden Hours and Costs</w:t>
      </w:r>
    </w:p>
    <w:p w14:paraId="7F9D8B09" w14:textId="77777777" w:rsidR="00AD43F1" w:rsidRDefault="00AD43F1" w:rsidP="0040083B">
      <w:pPr>
        <w:pStyle w:val="Heading2"/>
        <w:spacing w:before="0"/>
        <w:rPr>
          <w:rFonts w:eastAsia="SimSun" w:cs="Arial"/>
          <w:color w:val="808080" w:themeColor="background1" w:themeShade="80"/>
          <w:szCs w:val="24"/>
        </w:rPr>
      </w:pPr>
    </w:p>
    <w:p w14:paraId="19D0917A" w14:textId="3DCFCBBF" w:rsidR="00AD43F1" w:rsidRDefault="009B7F53" w:rsidP="00AD43F1">
      <w:pPr>
        <w:rPr>
          <w:rFonts w:eastAsia="SimSun"/>
        </w:rPr>
      </w:pPr>
      <w:r>
        <w:rPr>
          <w:rFonts w:eastAsia="SimSun"/>
        </w:rPr>
        <w:t>ODPHP</w:t>
      </w:r>
      <w:r w:rsidR="00864EDD">
        <w:rPr>
          <w:rFonts w:eastAsia="SimSun"/>
        </w:rPr>
        <w:t xml:space="preserve"> do</w:t>
      </w:r>
      <w:r>
        <w:rPr>
          <w:rFonts w:eastAsia="SimSun"/>
        </w:rPr>
        <w:t>es</w:t>
      </w:r>
      <w:r w:rsidR="00864EDD">
        <w:rPr>
          <w:rFonts w:eastAsia="SimSun"/>
        </w:rPr>
        <w:t xml:space="preserve"> not anticipate that clinicians </w:t>
      </w:r>
      <w:r>
        <w:rPr>
          <w:rFonts w:eastAsia="SimSun"/>
        </w:rPr>
        <w:t xml:space="preserve">will incur costs as a result of participating in the in-depth interviews. Likewise, we do not anticipate participating patients </w:t>
      </w:r>
      <w:r w:rsidR="00864EDD">
        <w:rPr>
          <w:rFonts w:eastAsia="SimSun"/>
        </w:rPr>
        <w:t xml:space="preserve">will </w:t>
      </w:r>
      <w:r w:rsidR="00772F0E" w:rsidRPr="00864EDD">
        <w:rPr>
          <w:rFonts w:eastAsia="SimSun"/>
        </w:rPr>
        <w:t xml:space="preserve">incur costs related to </w:t>
      </w:r>
      <w:r>
        <w:rPr>
          <w:rFonts w:eastAsia="SimSun"/>
        </w:rPr>
        <w:t>completing the survey</w:t>
      </w:r>
      <w:r w:rsidR="00772F0E" w:rsidRPr="00864EDD">
        <w:rPr>
          <w:rFonts w:eastAsia="SimSun"/>
        </w:rPr>
        <w:t>.</w:t>
      </w:r>
    </w:p>
    <w:p w14:paraId="16F6A0EB" w14:textId="77777777" w:rsidR="00C00321" w:rsidRPr="00AD43F1" w:rsidRDefault="00C00321" w:rsidP="00AD43F1">
      <w:pPr>
        <w:rPr>
          <w:rFonts w:eastAsia="SimSun"/>
        </w:rPr>
      </w:pPr>
    </w:p>
    <w:p w14:paraId="20CC3F14" w14:textId="2AB1799E" w:rsidR="00AD43F1" w:rsidRDefault="003A20AC" w:rsidP="00906AA4">
      <w:pPr>
        <w:pStyle w:val="Heading2"/>
        <w:numPr>
          <w:ilvl w:val="0"/>
          <w:numId w:val="1"/>
        </w:numPr>
      </w:pPr>
      <w:r>
        <w:rPr>
          <w:rFonts w:eastAsia="SimSun" w:cs="Arial"/>
          <w:color w:val="808080" w:themeColor="background1" w:themeShade="80"/>
          <w:szCs w:val="24"/>
        </w:rPr>
        <w:t xml:space="preserve">  </w:t>
      </w:r>
      <w:r w:rsidR="00AD43F1">
        <w:t>Annualized Cost to the Government</w:t>
      </w:r>
    </w:p>
    <w:p w14:paraId="37A91DA5" w14:textId="77777777" w:rsidR="00AD43F1" w:rsidRDefault="00AD43F1" w:rsidP="00AD43F1">
      <w:pPr>
        <w:rPr>
          <w:rFonts w:eastAsia="SimSun"/>
        </w:rPr>
      </w:pPr>
    </w:p>
    <w:p w14:paraId="27E6022B" w14:textId="3D437C4B" w:rsidR="00F548C9" w:rsidRDefault="00F548C9" w:rsidP="00AD43F1">
      <w:pPr>
        <w:rPr>
          <w:rFonts w:eastAsia="SimSun"/>
        </w:rPr>
      </w:pPr>
      <w:r w:rsidRPr="00114712">
        <w:rPr>
          <w:b/>
          <w:bCs/>
          <w:color w:val="000000"/>
        </w:rPr>
        <w:t>Table A-14: Estimated Annualized Cost to the Federal Government</w:t>
      </w: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5"/>
        <w:gridCol w:w="1440"/>
        <w:gridCol w:w="1549"/>
        <w:gridCol w:w="1549"/>
      </w:tblGrid>
      <w:tr w:rsidR="00F548C9" w:rsidRPr="00B52EE4" w14:paraId="3DEF2A82" w14:textId="77777777" w:rsidTr="0054089A">
        <w:trPr>
          <w:trHeight w:val="274"/>
        </w:trPr>
        <w:tc>
          <w:tcPr>
            <w:tcW w:w="4295" w:type="dxa"/>
            <w:shd w:val="clear" w:color="auto" w:fill="7F7F7F" w:themeFill="background1" w:themeFillShade="7F"/>
            <w:vAlign w:val="center"/>
          </w:tcPr>
          <w:p w14:paraId="0799F901" w14:textId="4E5A7DD8" w:rsidR="00F548C9" w:rsidRPr="0054089A" w:rsidRDefault="00F548C9">
            <w:pPr>
              <w:rPr>
                <w:b/>
                <w:bCs/>
                <w:color w:val="FFFFFF" w:themeColor="background1"/>
              </w:rPr>
            </w:pPr>
            <w:r w:rsidRPr="00114712">
              <w:rPr>
                <w:b/>
                <w:bCs/>
                <w:color w:val="FFFFFF" w:themeColor="background1"/>
              </w:rPr>
              <w:t xml:space="preserve">Expense </w:t>
            </w:r>
          </w:p>
        </w:tc>
        <w:tc>
          <w:tcPr>
            <w:tcW w:w="1440" w:type="dxa"/>
            <w:shd w:val="clear" w:color="auto" w:fill="7F7F7F" w:themeFill="background1" w:themeFillShade="7F"/>
            <w:vAlign w:val="center"/>
          </w:tcPr>
          <w:p w14:paraId="38F24C11" w14:textId="058EDDBC" w:rsidR="00F548C9" w:rsidRPr="0054089A" w:rsidRDefault="00402CC4">
            <w:pPr>
              <w:rPr>
                <w:b/>
                <w:bCs/>
                <w:color w:val="FFFFFF" w:themeColor="background1"/>
              </w:rPr>
            </w:pPr>
            <w:r w:rsidRPr="00114712">
              <w:rPr>
                <w:b/>
                <w:bCs/>
                <w:color w:val="FFFFFF" w:themeColor="background1"/>
              </w:rPr>
              <w:t>Number/ Amount</w:t>
            </w:r>
          </w:p>
        </w:tc>
        <w:tc>
          <w:tcPr>
            <w:tcW w:w="1549" w:type="dxa"/>
            <w:shd w:val="clear" w:color="auto" w:fill="7F7F7F" w:themeFill="background1" w:themeFillShade="7F"/>
            <w:vAlign w:val="center"/>
          </w:tcPr>
          <w:p w14:paraId="55AE264C" w14:textId="62B0B86A" w:rsidR="00F548C9" w:rsidRPr="0054089A" w:rsidRDefault="00402CC4">
            <w:pPr>
              <w:rPr>
                <w:b/>
                <w:bCs/>
                <w:color w:val="FFFFFF" w:themeColor="background1"/>
              </w:rPr>
            </w:pPr>
            <w:r w:rsidRPr="00114712">
              <w:rPr>
                <w:b/>
                <w:bCs/>
                <w:color w:val="FFFFFF" w:themeColor="background1"/>
              </w:rPr>
              <w:t>Cost/</w:t>
            </w:r>
            <w:r w:rsidR="00F548C9" w:rsidRPr="007E4786">
              <w:rPr>
                <w:b/>
                <w:bCs/>
                <w:color w:val="FFFFFF" w:themeColor="background1"/>
              </w:rPr>
              <w:t>Hourly Wage Rate</w:t>
            </w:r>
          </w:p>
        </w:tc>
        <w:tc>
          <w:tcPr>
            <w:tcW w:w="1549" w:type="dxa"/>
            <w:shd w:val="clear" w:color="auto" w:fill="7F7F7F" w:themeFill="background1" w:themeFillShade="7F"/>
            <w:vAlign w:val="center"/>
          </w:tcPr>
          <w:p w14:paraId="15000C93" w14:textId="4B6B3D29" w:rsidR="00F548C9" w:rsidRPr="0054089A" w:rsidRDefault="00F548C9">
            <w:pPr>
              <w:rPr>
                <w:b/>
                <w:bCs/>
                <w:color w:val="FFFFFF" w:themeColor="background1"/>
              </w:rPr>
            </w:pPr>
            <w:r w:rsidRPr="00114712">
              <w:rPr>
                <w:b/>
                <w:bCs/>
                <w:color w:val="FFFFFF" w:themeColor="background1"/>
              </w:rPr>
              <w:t>Average Cost</w:t>
            </w:r>
          </w:p>
        </w:tc>
      </w:tr>
      <w:tr w:rsidR="00F548C9" w:rsidRPr="009B7F53" w14:paraId="7F8A1077" w14:textId="77777777" w:rsidTr="0054089A">
        <w:trPr>
          <w:trHeight w:val="422"/>
        </w:trPr>
        <w:tc>
          <w:tcPr>
            <w:tcW w:w="4295" w:type="dxa"/>
            <w:shd w:val="clear" w:color="auto" w:fill="auto"/>
            <w:vAlign w:val="center"/>
          </w:tcPr>
          <w:p w14:paraId="3F022EF6" w14:textId="249F53F6" w:rsidR="00F548C9" w:rsidRPr="009B7F53" w:rsidRDefault="00F548C9" w:rsidP="00F548C9">
            <w:r w:rsidRPr="009B7F53">
              <w:t>Researchers</w:t>
            </w:r>
          </w:p>
        </w:tc>
        <w:tc>
          <w:tcPr>
            <w:tcW w:w="1440" w:type="dxa"/>
            <w:shd w:val="clear" w:color="auto" w:fill="auto"/>
            <w:vAlign w:val="center"/>
          </w:tcPr>
          <w:p w14:paraId="51D05D19" w14:textId="6D136C00" w:rsidR="00F548C9" w:rsidRPr="009B7F53" w:rsidRDefault="00C532E9" w:rsidP="003525E0">
            <w:pPr>
              <w:jc w:val="center"/>
            </w:pPr>
            <w:r>
              <w:t>12</w:t>
            </w:r>
            <w:r w:rsidR="009A3DAF">
              <w:t>0</w:t>
            </w:r>
          </w:p>
        </w:tc>
        <w:tc>
          <w:tcPr>
            <w:tcW w:w="1549" w:type="dxa"/>
            <w:shd w:val="clear" w:color="auto" w:fill="auto"/>
            <w:vAlign w:val="center"/>
          </w:tcPr>
          <w:p w14:paraId="3C99667A" w14:textId="2579DF88" w:rsidR="00F548C9" w:rsidRPr="009B7F53" w:rsidRDefault="00402CC4" w:rsidP="00F548C9">
            <w:pPr>
              <w:jc w:val="center"/>
            </w:pPr>
            <w:r w:rsidRPr="009B7F53">
              <w:t>$123.64</w:t>
            </w:r>
          </w:p>
        </w:tc>
        <w:tc>
          <w:tcPr>
            <w:tcW w:w="1549" w:type="dxa"/>
            <w:vAlign w:val="center"/>
          </w:tcPr>
          <w:p w14:paraId="63FD17E1" w14:textId="75F98B9B" w:rsidR="00F548C9" w:rsidRPr="009B7F53" w:rsidRDefault="00402CC4" w:rsidP="009B7F53">
            <w:pPr>
              <w:jc w:val="center"/>
            </w:pPr>
            <w:r w:rsidRPr="009B7F53">
              <w:t>$</w:t>
            </w:r>
            <w:r w:rsidR="003E2917">
              <w:t>14,836.80</w:t>
            </w:r>
          </w:p>
        </w:tc>
      </w:tr>
      <w:tr w:rsidR="00F548C9" w:rsidRPr="009B7F53" w14:paraId="312FB68E" w14:textId="77777777" w:rsidTr="0054089A">
        <w:trPr>
          <w:trHeight w:val="422"/>
        </w:trPr>
        <w:tc>
          <w:tcPr>
            <w:tcW w:w="4295" w:type="dxa"/>
            <w:shd w:val="clear" w:color="auto" w:fill="auto"/>
            <w:vAlign w:val="center"/>
          </w:tcPr>
          <w:p w14:paraId="414B764F" w14:textId="28D349C7" w:rsidR="00F548C9" w:rsidRPr="009B7F53" w:rsidRDefault="00966BA5" w:rsidP="00F548C9">
            <w:r>
              <w:t xml:space="preserve">Research </w:t>
            </w:r>
            <w:r w:rsidR="00402CC4" w:rsidRPr="009B7F53">
              <w:t>Support</w:t>
            </w:r>
          </w:p>
        </w:tc>
        <w:tc>
          <w:tcPr>
            <w:tcW w:w="1440" w:type="dxa"/>
            <w:shd w:val="clear" w:color="auto" w:fill="auto"/>
            <w:vAlign w:val="center"/>
          </w:tcPr>
          <w:p w14:paraId="07069EBA" w14:textId="65901515" w:rsidR="00F548C9" w:rsidRPr="009B7F53" w:rsidRDefault="00C532E9" w:rsidP="00F548C9">
            <w:pPr>
              <w:jc w:val="center"/>
            </w:pPr>
            <w:r>
              <w:t>3</w:t>
            </w:r>
            <w:r w:rsidR="00966BA5">
              <w:t>0</w:t>
            </w:r>
            <w:r>
              <w:t>0</w:t>
            </w:r>
          </w:p>
        </w:tc>
        <w:tc>
          <w:tcPr>
            <w:tcW w:w="1549" w:type="dxa"/>
            <w:shd w:val="clear" w:color="auto" w:fill="auto"/>
            <w:vAlign w:val="center"/>
          </w:tcPr>
          <w:p w14:paraId="54CB8018" w14:textId="282D3760" w:rsidR="00F548C9" w:rsidRPr="009B7F53" w:rsidRDefault="00402CC4" w:rsidP="00F548C9">
            <w:pPr>
              <w:jc w:val="center"/>
            </w:pPr>
            <w:r w:rsidRPr="009B7F53">
              <w:t>$66.52</w:t>
            </w:r>
          </w:p>
        </w:tc>
        <w:tc>
          <w:tcPr>
            <w:tcW w:w="1549" w:type="dxa"/>
            <w:vAlign w:val="center"/>
          </w:tcPr>
          <w:p w14:paraId="1DFDEB11" w14:textId="1A5B425C" w:rsidR="00F548C9" w:rsidRPr="009B7F53" w:rsidRDefault="00402CC4" w:rsidP="009B7F53">
            <w:pPr>
              <w:jc w:val="center"/>
            </w:pPr>
            <w:r w:rsidRPr="009B7F53">
              <w:t>$</w:t>
            </w:r>
            <w:r w:rsidR="009A3DAF">
              <w:t>1</w:t>
            </w:r>
            <w:r w:rsidR="003E2917">
              <w:t>9,956.00</w:t>
            </w:r>
          </w:p>
        </w:tc>
      </w:tr>
      <w:tr w:rsidR="009A3DAF" w:rsidRPr="009B7F53" w14:paraId="542B8430" w14:textId="77777777" w:rsidTr="004543EF">
        <w:trPr>
          <w:trHeight w:val="512"/>
        </w:trPr>
        <w:tc>
          <w:tcPr>
            <w:tcW w:w="4295" w:type="dxa"/>
            <w:vAlign w:val="center"/>
          </w:tcPr>
          <w:p w14:paraId="2011858F" w14:textId="14192B50" w:rsidR="009A3DAF" w:rsidRPr="009B7F53" w:rsidRDefault="009A3DAF" w:rsidP="009A3DAF">
            <w:pPr>
              <w:rPr>
                <w:b/>
                <w:bCs/>
              </w:rPr>
            </w:pPr>
            <w:r>
              <w:t xml:space="preserve">Facility and </w:t>
            </w:r>
            <w:r w:rsidR="00966BA5">
              <w:t>Coordination</w:t>
            </w:r>
            <w:r>
              <w:t xml:space="preserve"> Fee</w:t>
            </w:r>
          </w:p>
        </w:tc>
        <w:tc>
          <w:tcPr>
            <w:tcW w:w="1440" w:type="dxa"/>
            <w:vAlign w:val="center"/>
          </w:tcPr>
          <w:p w14:paraId="5B3D7412" w14:textId="6CFB9FFC" w:rsidR="009A3DAF" w:rsidRPr="009B7F53" w:rsidRDefault="009A3DAF" w:rsidP="009A3DAF">
            <w:pPr>
              <w:jc w:val="center"/>
              <w:rPr>
                <w:b/>
              </w:rPr>
            </w:pPr>
            <w:r>
              <w:t>20</w:t>
            </w:r>
          </w:p>
        </w:tc>
        <w:tc>
          <w:tcPr>
            <w:tcW w:w="1549" w:type="dxa"/>
            <w:vAlign w:val="center"/>
          </w:tcPr>
          <w:p w14:paraId="5F9ACE6C" w14:textId="43167FA1" w:rsidR="009A3DAF" w:rsidRPr="009B7F53" w:rsidRDefault="009A3DAF" w:rsidP="009A3DAF">
            <w:pPr>
              <w:jc w:val="center"/>
              <w:rPr>
                <w:b/>
              </w:rPr>
            </w:pPr>
            <w:r>
              <w:t>$1000</w:t>
            </w:r>
            <w:r w:rsidRPr="009B7F53">
              <w:t>.</w:t>
            </w:r>
            <w:r>
              <w:t>00</w:t>
            </w:r>
          </w:p>
        </w:tc>
        <w:tc>
          <w:tcPr>
            <w:tcW w:w="1549" w:type="dxa"/>
            <w:vAlign w:val="center"/>
          </w:tcPr>
          <w:p w14:paraId="50EDF70D" w14:textId="0F27EF66" w:rsidR="009A3DAF" w:rsidRPr="009B7F53" w:rsidRDefault="009A3DAF" w:rsidP="009A3DAF">
            <w:pPr>
              <w:jc w:val="center"/>
              <w:rPr>
                <w:b/>
                <w:bCs/>
              </w:rPr>
            </w:pPr>
            <w:r w:rsidRPr="009B7F53">
              <w:t>$</w:t>
            </w:r>
            <w:r>
              <w:t>20,000</w:t>
            </w:r>
            <w:r w:rsidRPr="009B7F53">
              <w:t>.</w:t>
            </w:r>
            <w:r>
              <w:t>00</w:t>
            </w:r>
          </w:p>
        </w:tc>
      </w:tr>
      <w:tr w:rsidR="00F548C9" w:rsidRPr="009B7F53" w14:paraId="4E658682" w14:textId="77777777" w:rsidTr="0054089A">
        <w:trPr>
          <w:trHeight w:val="512"/>
        </w:trPr>
        <w:tc>
          <w:tcPr>
            <w:tcW w:w="4295" w:type="dxa"/>
            <w:vAlign w:val="center"/>
          </w:tcPr>
          <w:p w14:paraId="07C87916" w14:textId="3D7523B4" w:rsidR="00F548C9" w:rsidRPr="009B7F53" w:rsidRDefault="00F548C9">
            <w:pPr>
              <w:rPr>
                <w:b/>
                <w:bCs/>
              </w:rPr>
            </w:pPr>
            <w:r w:rsidRPr="009B7F53">
              <w:rPr>
                <w:b/>
                <w:bCs/>
              </w:rPr>
              <w:t xml:space="preserve">Estimated Total Cost of </w:t>
            </w:r>
            <w:r w:rsidR="00402CC4" w:rsidRPr="009B7F53">
              <w:rPr>
                <w:b/>
                <w:bCs/>
              </w:rPr>
              <w:t>Data</w:t>
            </w:r>
            <w:r w:rsidRPr="009B7F53">
              <w:rPr>
                <w:b/>
                <w:bCs/>
              </w:rPr>
              <w:t xml:space="preserve"> Collection</w:t>
            </w:r>
          </w:p>
        </w:tc>
        <w:tc>
          <w:tcPr>
            <w:tcW w:w="1440" w:type="dxa"/>
            <w:vAlign w:val="center"/>
          </w:tcPr>
          <w:p w14:paraId="30D9F961" w14:textId="4A4C2D52" w:rsidR="00F548C9" w:rsidRPr="009B7F53" w:rsidRDefault="00F548C9" w:rsidP="00F548C9">
            <w:pPr>
              <w:jc w:val="center"/>
              <w:rPr>
                <w:b/>
              </w:rPr>
            </w:pPr>
          </w:p>
        </w:tc>
        <w:tc>
          <w:tcPr>
            <w:tcW w:w="1549" w:type="dxa"/>
          </w:tcPr>
          <w:p w14:paraId="485B473A" w14:textId="77777777" w:rsidR="00F548C9" w:rsidRPr="009B7F53" w:rsidRDefault="00F548C9" w:rsidP="00F548C9">
            <w:pPr>
              <w:jc w:val="center"/>
              <w:rPr>
                <w:b/>
              </w:rPr>
            </w:pPr>
          </w:p>
        </w:tc>
        <w:tc>
          <w:tcPr>
            <w:tcW w:w="1549" w:type="dxa"/>
            <w:vAlign w:val="center"/>
          </w:tcPr>
          <w:p w14:paraId="70C84755" w14:textId="3A0D7E64" w:rsidR="00F548C9" w:rsidRPr="009B7F53" w:rsidRDefault="00F548C9" w:rsidP="009B7F53">
            <w:pPr>
              <w:jc w:val="center"/>
              <w:rPr>
                <w:b/>
                <w:bCs/>
              </w:rPr>
            </w:pPr>
            <w:r w:rsidRPr="009B7F53">
              <w:rPr>
                <w:b/>
                <w:bCs/>
              </w:rPr>
              <w:t>$</w:t>
            </w:r>
            <w:r w:rsidR="003E2917">
              <w:rPr>
                <w:b/>
                <w:bCs/>
              </w:rPr>
              <w:t>54,792</w:t>
            </w:r>
            <w:r w:rsidR="009B7F53" w:rsidRPr="009B7F53">
              <w:rPr>
                <w:b/>
                <w:bCs/>
              </w:rPr>
              <w:t>.</w:t>
            </w:r>
            <w:r w:rsidR="00966BA5">
              <w:rPr>
                <w:b/>
                <w:bCs/>
              </w:rPr>
              <w:t>80</w:t>
            </w:r>
          </w:p>
        </w:tc>
      </w:tr>
    </w:tbl>
    <w:p w14:paraId="6CD7430F" w14:textId="32B69A4C" w:rsidR="00AD43F1" w:rsidRPr="0090542C" w:rsidRDefault="00AD43F1" w:rsidP="00AD43F1">
      <w:pPr>
        <w:rPr>
          <w:u w:val="single"/>
        </w:rPr>
      </w:pPr>
      <w:r w:rsidRPr="009B7F53">
        <w:t xml:space="preserve">The estimated annual cost to the Federal government is </w:t>
      </w:r>
      <w:r w:rsidRPr="009B7F53">
        <w:rPr>
          <w:u w:val="single"/>
        </w:rPr>
        <w:t>$</w:t>
      </w:r>
      <w:r w:rsidR="0091276A">
        <w:rPr>
          <w:u w:val="single"/>
        </w:rPr>
        <w:t>54,792</w:t>
      </w:r>
      <w:r w:rsidR="00966BA5">
        <w:rPr>
          <w:u w:val="single"/>
        </w:rPr>
        <w:t>.80</w:t>
      </w:r>
      <w:r w:rsidR="00BB0139" w:rsidRPr="009B7F53">
        <w:rPr>
          <w:u w:val="single"/>
        </w:rPr>
        <w:t>.</w:t>
      </w:r>
    </w:p>
    <w:p w14:paraId="22941B05" w14:textId="77777777" w:rsidR="00101E6E" w:rsidRPr="00101E6E" w:rsidRDefault="00101E6E" w:rsidP="00101E6E">
      <w:pPr>
        <w:rPr>
          <w:rFonts w:eastAsia="SimSun"/>
        </w:rPr>
      </w:pPr>
    </w:p>
    <w:p w14:paraId="01901059" w14:textId="505AA4DF" w:rsidR="00690F59" w:rsidRDefault="00690F59" w:rsidP="00906AA4">
      <w:pPr>
        <w:pStyle w:val="Heading2"/>
        <w:numPr>
          <w:ilvl w:val="0"/>
          <w:numId w:val="1"/>
        </w:numPr>
      </w:pPr>
      <w:r>
        <w:t xml:space="preserve">  Explanation for Program Changes or Adjustments</w:t>
      </w:r>
    </w:p>
    <w:p w14:paraId="26060781" w14:textId="77777777" w:rsidR="00690F59" w:rsidRDefault="00690F59" w:rsidP="00690F59">
      <w:pPr>
        <w:rPr>
          <w:rFonts w:eastAsia="SimSun"/>
        </w:rPr>
      </w:pPr>
    </w:p>
    <w:p w14:paraId="4073E404" w14:textId="338463BF" w:rsidR="00690F59" w:rsidRDefault="00690F59" w:rsidP="00690F59">
      <w:pPr>
        <w:rPr>
          <w:rFonts w:eastAsia="SimSun"/>
        </w:rPr>
      </w:pPr>
      <w:r>
        <w:rPr>
          <w:rFonts w:eastAsia="SimSun"/>
        </w:rPr>
        <w:t>This is new data collection.</w:t>
      </w:r>
    </w:p>
    <w:p w14:paraId="38FF4199" w14:textId="77777777" w:rsidR="00690F59" w:rsidRDefault="00690F59" w:rsidP="00690F59">
      <w:pPr>
        <w:rPr>
          <w:rFonts w:eastAsia="SimSun"/>
        </w:rPr>
      </w:pPr>
    </w:p>
    <w:p w14:paraId="78F37611" w14:textId="6A7BE2FB" w:rsidR="00690F59" w:rsidRDefault="00690F59" w:rsidP="00906AA4">
      <w:pPr>
        <w:pStyle w:val="Heading2"/>
        <w:numPr>
          <w:ilvl w:val="0"/>
          <w:numId w:val="1"/>
        </w:numPr>
      </w:pPr>
      <w:r>
        <w:t xml:space="preserve">  Plans for Tabulation and Publication and Project Time Schedule</w:t>
      </w:r>
    </w:p>
    <w:p w14:paraId="2520A1F5" w14:textId="77777777" w:rsidR="009B7F53" w:rsidRDefault="009B7F53" w:rsidP="008E2D61">
      <w:pPr>
        <w:rPr>
          <w:rFonts w:eastAsia="SimSun"/>
          <w:highlight w:val="green"/>
        </w:rPr>
      </w:pPr>
    </w:p>
    <w:p w14:paraId="724820CC" w14:textId="65F9AC77" w:rsidR="00A20B48" w:rsidRDefault="00A20B48" w:rsidP="008E2D61">
      <w:pPr>
        <w:rPr>
          <w:rFonts w:eastAsia="SimSun"/>
        </w:rPr>
      </w:pPr>
      <w:r>
        <w:rPr>
          <w:rFonts w:eastAsia="SimSun"/>
        </w:rPr>
        <w:t>Patients will complete paper surveys</w:t>
      </w:r>
      <w:r w:rsidR="00942F7B">
        <w:rPr>
          <w:rFonts w:eastAsia="SimSun"/>
        </w:rPr>
        <w:t xml:space="preserve">. </w:t>
      </w:r>
      <w:r>
        <w:rPr>
          <w:rFonts w:eastAsia="SimSun"/>
        </w:rPr>
        <w:t xml:space="preserve">Contractor staff will enter the survey data into computer files for analysis with statistical software. Contractor staff will analyze the data to look for </w:t>
      </w:r>
      <w:r w:rsidR="003E2917">
        <w:rPr>
          <w:rFonts w:eastAsia="SimSun"/>
        </w:rPr>
        <w:t xml:space="preserve">key themes and </w:t>
      </w:r>
      <w:r>
        <w:rPr>
          <w:rFonts w:eastAsia="SimSun"/>
        </w:rPr>
        <w:t>findings in relation to the research questions. These findings will be summarized. No names or other personal information will be reported in the summaries.</w:t>
      </w:r>
    </w:p>
    <w:p w14:paraId="48678070" w14:textId="77777777" w:rsidR="00A20B48" w:rsidRDefault="00A20B48" w:rsidP="008E2D61">
      <w:pPr>
        <w:rPr>
          <w:rFonts w:eastAsia="SimSun"/>
        </w:rPr>
      </w:pPr>
    </w:p>
    <w:p w14:paraId="5BF187CA" w14:textId="365A35B6" w:rsidR="003A20AC" w:rsidRDefault="008E2D61" w:rsidP="008E2D61">
      <w:pPr>
        <w:rPr>
          <w:rFonts w:eastAsia="SimSun"/>
        </w:rPr>
      </w:pPr>
      <w:r w:rsidRPr="00A20B48">
        <w:rPr>
          <w:rFonts w:eastAsia="SimSun"/>
        </w:rPr>
        <w:t>The qu</w:t>
      </w:r>
      <w:r w:rsidR="00A20B48" w:rsidRPr="00A20B48">
        <w:rPr>
          <w:rFonts w:eastAsia="SimSun"/>
        </w:rPr>
        <w:t>alitative information shared during clinician interviews</w:t>
      </w:r>
      <w:r w:rsidRPr="00A20B48">
        <w:rPr>
          <w:rFonts w:eastAsia="SimSun"/>
        </w:rPr>
        <w:t xml:space="preserve"> will be collected via typed notes and audio recording. After each </w:t>
      </w:r>
      <w:r w:rsidR="00A20B48" w:rsidRPr="00A20B48">
        <w:rPr>
          <w:rFonts w:eastAsia="SimSun"/>
        </w:rPr>
        <w:t>interview</w:t>
      </w:r>
      <w:r w:rsidRPr="00A20B48">
        <w:rPr>
          <w:rFonts w:eastAsia="SimSun"/>
        </w:rPr>
        <w:t xml:space="preserve"> is complete, contractor staff will review the written notes within 24 hours. Contractor staff will analyze the data by reviewing the session notes and pulling out the main themes from each set of discussions. These themes will be summarized. No names or other personal information will be reported in the summaries.</w:t>
      </w:r>
      <w:r w:rsidRPr="008E2D61">
        <w:rPr>
          <w:rFonts w:eastAsia="SimSun"/>
        </w:rPr>
        <w:t xml:space="preserve"> </w:t>
      </w:r>
    </w:p>
    <w:p w14:paraId="1D6FA4D5" w14:textId="77777777" w:rsidR="00065D3C" w:rsidRDefault="00065D3C" w:rsidP="00690F59">
      <w:pPr>
        <w:rPr>
          <w:rFonts w:eastAsia="SimSun"/>
          <w:b/>
        </w:rPr>
      </w:pPr>
    </w:p>
    <w:p w14:paraId="59EBF02F" w14:textId="0819FF47" w:rsidR="008E2D61" w:rsidRPr="003032BF" w:rsidRDefault="008934C9">
      <w:pPr>
        <w:rPr>
          <w:rFonts w:eastAsia="SimSun"/>
          <w:b/>
          <w:bCs/>
        </w:rPr>
      </w:pPr>
      <w:r w:rsidRPr="00114712">
        <w:rPr>
          <w:rFonts w:eastAsia="SimSun"/>
          <w:b/>
          <w:bCs/>
        </w:rPr>
        <w:t xml:space="preserve">Proposed </w:t>
      </w:r>
      <w:r w:rsidR="008E2D61" w:rsidRPr="007E4786">
        <w:rPr>
          <w:rFonts w:eastAsia="SimSun"/>
          <w:b/>
          <w:bCs/>
        </w:rPr>
        <w:t>Timeline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7200"/>
      </w:tblGrid>
      <w:tr w:rsidR="008E2D61" w:rsidRPr="00B52EE4" w14:paraId="4F5F2D03" w14:textId="77777777" w:rsidTr="003032BF">
        <w:trPr>
          <w:trHeight w:val="274"/>
        </w:trPr>
        <w:tc>
          <w:tcPr>
            <w:tcW w:w="2070" w:type="dxa"/>
            <w:shd w:val="clear" w:color="auto" w:fill="7F7F7F" w:themeFill="background1" w:themeFillShade="7F"/>
            <w:vAlign w:val="center"/>
          </w:tcPr>
          <w:p w14:paraId="76B8A58E" w14:textId="4F59E0CD" w:rsidR="008E2D61" w:rsidRPr="003032BF" w:rsidRDefault="008E2D61">
            <w:pPr>
              <w:rPr>
                <w:b/>
                <w:bCs/>
                <w:color w:val="FFFFFF" w:themeColor="background1"/>
              </w:rPr>
            </w:pPr>
            <w:r w:rsidRPr="00114712">
              <w:rPr>
                <w:b/>
                <w:bCs/>
                <w:color w:val="FFFFFF" w:themeColor="background1"/>
              </w:rPr>
              <w:t xml:space="preserve">Completion </w:t>
            </w:r>
            <w:r w:rsidRPr="007E4786">
              <w:rPr>
                <w:b/>
                <w:bCs/>
                <w:color w:val="FFFFFF" w:themeColor="background1"/>
              </w:rPr>
              <w:t xml:space="preserve">Date </w:t>
            </w:r>
          </w:p>
        </w:tc>
        <w:tc>
          <w:tcPr>
            <w:tcW w:w="7200" w:type="dxa"/>
            <w:shd w:val="clear" w:color="auto" w:fill="7F7F7F" w:themeFill="background1" w:themeFillShade="7F"/>
            <w:vAlign w:val="center"/>
          </w:tcPr>
          <w:p w14:paraId="24B442FB" w14:textId="12A5202A" w:rsidR="008E2D61" w:rsidRPr="003032BF" w:rsidRDefault="008E2D61">
            <w:pPr>
              <w:rPr>
                <w:b/>
                <w:bCs/>
                <w:color w:val="FFFFFF" w:themeColor="background1"/>
              </w:rPr>
            </w:pPr>
            <w:r w:rsidRPr="00114712">
              <w:rPr>
                <w:b/>
                <w:bCs/>
                <w:color w:val="FFFFFF" w:themeColor="background1"/>
              </w:rPr>
              <w:t>Major Tasks/Milestones</w:t>
            </w:r>
          </w:p>
        </w:tc>
      </w:tr>
      <w:tr w:rsidR="008934C9" w:rsidRPr="00B52EE4" w14:paraId="5E7DAB27" w14:textId="77777777" w:rsidTr="003032BF">
        <w:trPr>
          <w:trHeight w:val="422"/>
        </w:trPr>
        <w:tc>
          <w:tcPr>
            <w:tcW w:w="2070" w:type="dxa"/>
            <w:shd w:val="clear" w:color="auto" w:fill="auto"/>
            <w:vAlign w:val="center"/>
          </w:tcPr>
          <w:p w14:paraId="39F18A91" w14:textId="5C092907" w:rsidR="008934C9" w:rsidRPr="00875213" w:rsidRDefault="00222622" w:rsidP="008E2D61">
            <w:r>
              <w:t xml:space="preserve">October - </w:t>
            </w:r>
            <w:r w:rsidR="00FE5E99">
              <w:t>January</w:t>
            </w:r>
            <w:r w:rsidR="008934C9" w:rsidRPr="00875213">
              <w:t xml:space="preserve"> 201</w:t>
            </w:r>
            <w:r w:rsidR="00D27A15" w:rsidRPr="00875213">
              <w:t>7</w:t>
            </w:r>
          </w:p>
        </w:tc>
        <w:tc>
          <w:tcPr>
            <w:tcW w:w="7200" w:type="dxa"/>
            <w:shd w:val="clear" w:color="auto" w:fill="auto"/>
            <w:vAlign w:val="center"/>
          </w:tcPr>
          <w:p w14:paraId="025F4FF4" w14:textId="77777777" w:rsidR="008934C9" w:rsidRDefault="008934C9" w:rsidP="00906AA4">
            <w:pPr>
              <w:pStyle w:val="ListParagraph"/>
              <w:numPr>
                <w:ilvl w:val="0"/>
                <w:numId w:val="3"/>
              </w:numPr>
              <w:ind w:left="339" w:hanging="332"/>
            </w:pPr>
            <w:r w:rsidRPr="00875213">
              <w:t xml:space="preserve">Develop </w:t>
            </w:r>
            <w:r w:rsidR="00A20B48" w:rsidRPr="00875213">
              <w:t>study design and materials</w:t>
            </w:r>
          </w:p>
          <w:p w14:paraId="025DAB34" w14:textId="1D8AEDAE" w:rsidR="00222622" w:rsidRPr="00875213" w:rsidRDefault="00222622" w:rsidP="00906AA4">
            <w:pPr>
              <w:pStyle w:val="ListParagraph"/>
              <w:numPr>
                <w:ilvl w:val="0"/>
                <w:numId w:val="3"/>
              </w:numPr>
              <w:ind w:left="339" w:hanging="332"/>
            </w:pPr>
            <w:r w:rsidRPr="00875213">
              <w:t>Submit request for IRB approval</w:t>
            </w:r>
          </w:p>
        </w:tc>
      </w:tr>
      <w:tr w:rsidR="008E2D61" w:rsidRPr="00B52EE4" w14:paraId="3E505C65" w14:textId="77777777" w:rsidTr="008C4156">
        <w:trPr>
          <w:trHeight w:val="422"/>
        </w:trPr>
        <w:tc>
          <w:tcPr>
            <w:tcW w:w="2070" w:type="dxa"/>
            <w:shd w:val="clear" w:color="auto" w:fill="auto"/>
            <w:vAlign w:val="center"/>
          </w:tcPr>
          <w:p w14:paraId="3F78911A" w14:textId="1E57A50B" w:rsidR="00A20B48" w:rsidRPr="00875213" w:rsidRDefault="00FE5E99" w:rsidP="008934C9">
            <w:r>
              <w:t>February</w:t>
            </w:r>
            <w:r w:rsidR="00A20B48" w:rsidRPr="00875213">
              <w:t xml:space="preserve"> – </w:t>
            </w:r>
          </w:p>
          <w:p w14:paraId="432585C3" w14:textId="5535A908" w:rsidR="008E2D61" w:rsidRPr="00875213" w:rsidRDefault="00222622" w:rsidP="008934C9">
            <w:r>
              <w:t>March</w:t>
            </w:r>
            <w:r w:rsidR="008934C9" w:rsidRPr="00875213">
              <w:t xml:space="preserve"> 201</w:t>
            </w:r>
            <w:r w:rsidR="00D27A15" w:rsidRPr="00875213">
              <w:t>8</w:t>
            </w:r>
          </w:p>
        </w:tc>
        <w:tc>
          <w:tcPr>
            <w:tcW w:w="7200" w:type="dxa"/>
            <w:shd w:val="clear" w:color="auto" w:fill="auto"/>
            <w:vAlign w:val="center"/>
          </w:tcPr>
          <w:p w14:paraId="3389CC20" w14:textId="3BE9647B" w:rsidR="008934C9" w:rsidRPr="00875213" w:rsidRDefault="00A20B48" w:rsidP="003E2917">
            <w:pPr>
              <w:pStyle w:val="ListParagraph"/>
              <w:numPr>
                <w:ilvl w:val="0"/>
                <w:numId w:val="4"/>
              </w:numPr>
              <w:ind w:left="339" w:hanging="339"/>
            </w:pPr>
            <w:r w:rsidRPr="00875213">
              <w:t xml:space="preserve">Submit request for OMB approval under existing generic clearance </w:t>
            </w:r>
          </w:p>
          <w:p w14:paraId="11896900" w14:textId="18961C27" w:rsidR="00875213" w:rsidRPr="00875213" w:rsidRDefault="00A20B48" w:rsidP="00906AA4">
            <w:pPr>
              <w:pStyle w:val="ListParagraph"/>
              <w:numPr>
                <w:ilvl w:val="0"/>
                <w:numId w:val="4"/>
              </w:numPr>
              <w:ind w:left="339" w:hanging="339"/>
            </w:pPr>
            <w:r w:rsidRPr="00875213">
              <w:t xml:space="preserve">Plan for </w:t>
            </w:r>
            <w:r w:rsidR="00875213" w:rsidRPr="00875213">
              <w:t xml:space="preserve">data collection – patient </w:t>
            </w:r>
            <w:r w:rsidRPr="00875213">
              <w:t>surveys</w:t>
            </w:r>
            <w:r w:rsidR="00875213" w:rsidRPr="00875213">
              <w:t xml:space="preserve"> and clinician interviews</w:t>
            </w:r>
          </w:p>
        </w:tc>
      </w:tr>
      <w:tr w:rsidR="008934C9" w:rsidRPr="00B52EE4" w14:paraId="4F645195" w14:textId="77777777" w:rsidTr="008C4156">
        <w:trPr>
          <w:trHeight w:val="422"/>
        </w:trPr>
        <w:tc>
          <w:tcPr>
            <w:tcW w:w="2070" w:type="dxa"/>
            <w:shd w:val="clear" w:color="auto" w:fill="auto"/>
            <w:vAlign w:val="center"/>
          </w:tcPr>
          <w:p w14:paraId="6C39B53B" w14:textId="4F1BB235" w:rsidR="008934C9" w:rsidRPr="00875213" w:rsidRDefault="00222622" w:rsidP="00222622">
            <w:r>
              <w:t>April</w:t>
            </w:r>
            <w:r w:rsidR="00A20B48" w:rsidRPr="00875213">
              <w:t xml:space="preserve"> - </w:t>
            </w:r>
            <w:r>
              <w:t>June</w:t>
            </w:r>
            <w:r w:rsidR="008934C9" w:rsidRPr="00875213">
              <w:t xml:space="preserve"> 201</w:t>
            </w:r>
            <w:r w:rsidR="00D27A15" w:rsidRPr="00875213">
              <w:t>8</w:t>
            </w:r>
          </w:p>
        </w:tc>
        <w:tc>
          <w:tcPr>
            <w:tcW w:w="7200" w:type="dxa"/>
            <w:shd w:val="clear" w:color="auto" w:fill="auto"/>
            <w:vAlign w:val="center"/>
          </w:tcPr>
          <w:p w14:paraId="527791C4" w14:textId="74907E15" w:rsidR="00875213" w:rsidRPr="00875213" w:rsidRDefault="00875213">
            <w:pPr>
              <w:pStyle w:val="ListParagraph"/>
              <w:numPr>
                <w:ilvl w:val="0"/>
                <w:numId w:val="4"/>
              </w:numPr>
              <w:ind w:left="339" w:hanging="339"/>
            </w:pPr>
            <w:r w:rsidRPr="00875213">
              <w:t xml:space="preserve">Collect data – patient surveys </w:t>
            </w:r>
          </w:p>
          <w:p w14:paraId="7CEA9BB4" w14:textId="6641DBDF" w:rsidR="008934C9" w:rsidRPr="00875213" w:rsidRDefault="008934C9" w:rsidP="00906AA4">
            <w:pPr>
              <w:pStyle w:val="ListParagraph"/>
              <w:numPr>
                <w:ilvl w:val="0"/>
                <w:numId w:val="4"/>
              </w:numPr>
              <w:ind w:left="339" w:hanging="339"/>
            </w:pPr>
            <w:r w:rsidRPr="00875213">
              <w:t>Begin analyzing data</w:t>
            </w:r>
            <w:r w:rsidR="00875213" w:rsidRPr="00875213">
              <w:t xml:space="preserve"> – patient surveys </w:t>
            </w:r>
          </w:p>
        </w:tc>
      </w:tr>
      <w:tr w:rsidR="008934C9" w:rsidRPr="00B52EE4" w14:paraId="35737300" w14:textId="77777777" w:rsidTr="008C4156">
        <w:trPr>
          <w:trHeight w:val="422"/>
        </w:trPr>
        <w:tc>
          <w:tcPr>
            <w:tcW w:w="2070" w:type="dxa"/>
            <w:shd w:val="clear" w:color="auto" w:fill="auto"/>
            <w:vAlign w:val="center"/>
          </w:tcPr>
          <w:p w14:paraId="10D61114" w14:textId="01EDF968" w:rsidR="008934C9" w:rsidRPr="00875213" w:rsidRDefault="00875213" w:rsidP="00222622">
            <w:r w:rsidRPr="00875213">
              <w:t>Ju</w:t>
            </w:r>
            <w:r w:rsidR="00222622">
              <w:t>ly</w:t>
            </w:r>
            <w:r w:rsidR="008934C9" w:rsidRPr="00875213">
              <w:t xml:space="preserve"> </w:t>
            </w:r>
            <w:r w:rsidR="00A20B48" w:rsidRPr="00875213">
              <w:t xml:space="preserve">– </w:t>
            </w:r>
            <w:r w:rsidR="00222622">
              <w:t>Sept</w:t>
            </w:r>
            <w:r w:rsidR="00A20B48" w:rsidRPr="00875213">
              <w:t xml:space="preserve"> </w:t>
            </w:r>
            <w:r w:rsidR="008934C9" w:rsidRPr="00875213">
              <w:t>201</w:t>
            </w:r>
            <w:r w:rsidR="00D27A15" w:rsidRPr="00875213">
              <w:t>8</w:t>
            </w:r>
          </w:p>
        </w:tc>
        <w:tc>
          <w:tcPr>
            <w:tcW w:w="7200" w:type="dxa"/>
            <w:shd w:val="clear" w:color="auto" w:fill="auto"/>
            <w:vAlign w:val="center"/>
          </w:tcPr>
          <w:p w14:paraId="3FCF95DC" w14:textId="3A271580" w:rsidR="00222622" w:rsidRDefault="00222622" w:rsidP="00906AA4">
            <w:pPr>
              <w:pStyle w:val="ListParagraph"/>
              <w:numPr>
                <w:ilvl w:val="0"/>
                <w:numId w:val="4"/>
              </w:numPr>
              <w:ind w:left="339" w:hanging="332"/>
            </w:pPr>
            <w:r>
              <w:t>Collect data – clinician interviews</w:t>
            </w:r>
          </w:p>
          <w:p w14:paraId="2185B8DD" w14:textId="4B79C8C8" w:rsidR="00222622" w:rsidRDefault="00222622" w:rsidP="00906AA4">
            <w:pPr>
              <w:pStyle w:val="ListParagraph"/>
              <w:numPr>
                <w:ilvl w:val="0"/>
                <w:numId w:val="4"/>
              </w:numPr>
              <w:ind w:left="339" w:hanging="332"/>
            </w:pPr>
            <w:r>
              <w:t>Analyze</w:t>
            </w:r>
            <w:r w:rsidR="008934C9" w:rsidRPr="00875213">
              <w:t xml:space="preserve"> data</w:t>
            </w:r>
            <w:r>
              <w:t xml:space="preserve"> – patient surveys</w:t>
            </w:r>
          </w:p>
          <w:p w14:paraId="7F59DCAA" w14:textId="7F5C2344" w:rsidR="008934C9" w:rsidRPr="00875213" w:rsidRDefault="008934C9" w:rsidP="00906AA4">
            <w:pPr>
              <w:pStyle w:val="ListParagraph"/>
              <w:numPr>
                <w:ilvl w:val="0"/>
                <w:numId w:val="4"/>
              </w:numPr>
              <w:ind w:left="339" w:hanging="332"/>
            </w:pPr>
            <w:r w:rsidRPr="00875213">
              <w:t xml:space="preserve">Draft </w:t>
            </w:r>
            <w:r w:rsidR="00222622">
              <w:t>summary report with preliminary findings</w:t>
            </w:r>
          </w:p>
        </w:tc>
      </w:tr>
      <w:tr w:rsidR="00222622" w:rsidRPr="00B52EE4" w14:paraId="56A84FE2" w14:textId="77777777" w:rsidTr="00311C43">
        <w:trPr>
          <w:trHeight w:val="422"/>
        </w:trPr>
        <w:tc>
          <w:tcPr>
            <w:tcW w:w="2070" w:type="dxa"/>
            <w:shd w:val="clear" w:color="auto" w:fill="auto"/>
            <w:vAlign w:val="center"/>
          </w:tcPr>
          <w:p w14:paraId="74035115" w14:textId="6E733777" w:rsidR="00222622" w:rsidRPr="00875213" w:rsidRDefault="00222622" w:rsidP="00222622">
            <w:r>
              <w:t>October</w:t>
            </w:r>
            <w:r w:rsidRPr="00875213">
              <w:t xml:space="preserve"> – </w:t>
            </w:r>
            <w:r>
              <w:t>December</w:t>
            </w:r>
            <w:r w:rsidRPr="00875213">
              <w:t xml:space="preserve"> 2018</w:t>
            </w:r>
          </w:p>
        </w:tc>
        <w:tc>
          <w:tcPr>
            <w:tcW w:w="7200" w:type="dxa"/>
            <w:shd w:val="clear" w:color="auto" w:fill="auto"/>
            <w:vAlign w:val="center"/>
          </w:tcPr>
          <w:p w14:paraId="3E4A96A7" w14:textId="6A564F81" w:rsidR="00222622" w:rsidRDefault="00222622" w:rsidP="00906AA4">
            <w:pPr>
              <w:pStyle w:val="ListParagraph"/>
              <w:numPr>
                <w:ilvl w:val="0"/>
                <w:numId w:val="4"/>
              </w:numPr>
              <w:ind w:left="339" w:hanging="332"/>
            </w:pPr>
            <w:r>
              <w:t>Analyze data – clinician interviews</w:t>
            </w:r>
          </w:p>
          <w:p w14:paraId="7AC0EF46" w14:textId="0751D0CB" w:rsidR="00222622" w:rsidRPr="00875213" w:rsidRDefault="00222622" w:rsidP="00906AA4">
            <w:pPr>
              <w:pStyle w:val="ListParagraph"/>
              <w:numPr>
                <w:ilvl w:val="0"/>
                <w:numId w:val="4"/>
              </w:numPr>
              <w:ind w:left="339" w:hanging="332"/>
            </w:pPr>
            <w:r w:rsidRPr="00875213">
              <w:t xml:space="preserve">Draft summary report </w:t>
            </w:r>
            <w:r>
              <w:t>with</w:t>
            </w:r>
            <w:r w:rsidRPr="00875213">
              <w:t xml:space="preserve"> </w:t>
            </w:r>
            <w:r>
              <w:t xml:space="preserve">full </w:t>
            </w:r>
            <w:r w:rsidRPr="00875213">
              <w:t>findings</w:t>
            </w:r>
          </w:p>
        </w:tc>
      </w:tr>
    </w:tbl>
    <w:p w14:paraId="0ECFD65D" w14:textId="399D9D3B" w:rsidR="00690F59" w:rsidRDefault="00690F59" w:rsidP="00690F59">
      <w:pPr>
        <w:rPr>
          <w:rFonts w:eastAsia="SimSun"/>
        </w:rPr>
      </w:pPr>
    </w:p>
    <w:p w14:paraId="0A9E92C5" w14:textId="590A22EC" w:rsidR="008934C9" w:rsidRDefault="008934C9" w:rsidP="00906AA4">
      <w:pPr>
        <w:pStyle w:val="Heading2"/>
        <w:numPr>
          <w:ilvl w:val="0"/>
          <w:numId w:val="1"/>
        </w:numPr>
      </w:pPr>
      <w:r>
        <w:t xml:space="preserve">  Reason(s) Display of OMB Expiration Data is Inappropriate</w:t>
      </w:r>
    </w:p>
    <w:p w14:paraId="5A99CAE9" w14:textId="77777777" w:rsidR="008934C9" w:rsidRDefault="008934C9" w:rsidP="008934C9">
      <w:pPr>
        <w:rPr>
          <w:rFonts w:eastAsia="SimSun"/>
        </w:rPr>
      </w:pPr>
    </w:p>
    <w:p w14:paraId="74EAAAD2" w14:textId="75D8C584" w:rsidR="008934C9" w:rsidRDefault="008934C9" w:rsidP="008934C9">
      <w:pPr>
        <w:rPr>
          <w:rFonts w:eastAsia="SimSun"/>
        </w:rPr>
      </w:pPr>
      <w:r>
        <w:rPr>
          <w:rFonts w:eastAsia="SimSun"/>
        </w:rPr>
        <w:t>We are requesting no exemption.</w:t>
      </w:r>
    </w:p>
    <w:p w14:paraId="69A83A7D" w14:textId="77777777" w:rsidR="008934C9" w:rsidRDefault="008934C9" w:rsidP="008934C9">
      <w:pPr>
        <w:rPr>
          <w:rFonts w:eastAsia="SimSun"/>
        </w:rPr>
      </w:pPr>
    </w:p>
    <w:p w14:paraId="181E5FAD" w14:textId="473C01F0" w:rsidR="008934C9" w:rsidRDefault="008934C9" w:rsidP="00906AA4">
      <w:pPr>
        <w:pStyle w:val="Heading2"/>
        <w:numPr>
          <w:ilvl w:val="0"/>
          <w:numId w:val="1"/>
        </w:numPr>
      </w:pPr>
      <w:r>
        <w:t xml:space="preserve">  Exceptions to Certification for Paperwork Reduction Act Submissions</w:t>
      </w:r>
    </w:p>
    <w:p w14:paraId="5BE04ECD" w14:textId="77777777" w:rsidR="008934C9" w:rsidRDefault="008934C9" w:rsidP="008934C9">
      <w:pPr>
        <w:rPr>
          <w:rFonts w:eastAsia="SimSun"/>
        </w:rPr>
      </w:pPr>
    </w:p>
    <w:p w14:paraId="64232A81" w14:textId="3D6A2912" w:rsidR="008934C9" w:rsidRPr="008934C9" w:rsidRDefault="008934C9" w:rsidP="008934C9">
      <w:pPr>
        <w:rPr>
          <w:rFonts w:eastAsia="SimSun"/>
        </w:rPr>
      </w:pPr>
      <w:r>
        <w:rPr>
          <w:rFonts w:eastAsia="SimSun"/>
        </w:rPr>
        <w:t xml:space="preserve">There are no exceptions to the certification. These activities comply with the requirements in </w:t>
      </w:r>
      <w:r w:rsidRPr="00772F0E">
        <w:rPr>
          <w:rFonts w:eastAsia="SimSun"/>
        </w:rPr>
        <w:t>5 CFR 1320.9.</w:t>
      </w:r>
    </w:p>
    <w:p w14:paraId="67215E83" w14:textId="77777777" w:rsidR="008934C9" w:rsidRDefault="008934C9" w:rsidP="008934C9">
      <w:pPr>
        <w:rPr>
          <w:rFonts w:eastAsia="SimSun"/>
        </w:rPr>
      </w:pPr>
    </w:p>
    <w:p w14:paraId="3E49428B" w14:textId="7F1F84A6" w:rsidR="00C73442" w:rsidRPr="00C73C51" w:rsidRDefault="008934C9" w:rsidP="008934C9">
      <w:pPr>
        <w:pStyle w:val="Heading1"/>
      </w:pPr>
      <w:r>
        <w:t xml:space="preserve">Section A — List of </w:t>
      </w:r>
      <w:r w:rsidR="00C73442" w:rsidRPr="00C73C51">
        <w:t>Attachments</w:t>
      </w:r>
    </w:p>
    <w:p w14:paraId="1B8AB321" w14:textId="77777777" w:rsidR="00C73442" w:rsidRDefault="00C73442" w:rsidP="00C73442">
      <w:pPr>
        <w:spacing w:line="276" w:lineRule="auto"/>
      </w:pPr>
      <w:r w:rsidRPr="00910DA6">
        <w:t>[IN SEPARATE FILES]</w:t>
      </w:r>
    </w:p>
    <w:p w14:paraId="13A5CEEA" w14:textId="77777777" w:rsidR="00C73442" w:rsidRPr="00AB2E85" w:rsidRDefault="00C73442" w:rsidP="00C73442">
      <w:pPr>
        <w:rPr>
          <w:color w:val="000000"/>
        </w:rPr>
      </w:pPr>
    </w:p>
    <w:p w14:paraId="3132E865" w14:textId="6AC46ACE" w:rsidR="00A554EA" w:rsidRPr="00875213" w:rsidRDefault="00875213" w:rsidP="00906AA4">
      <w:pPr>
        <w:widowControl w:val="0"/>
        <w:numPr>
          <w:ilvl w:val="0"/>
          <w:numId w:val="5"/>
        </w:numPr>
        <w:tabs>
          <w:tab w:val="left" w:pos="220"/>
          <w:tab w:val="left" w:pos="720"/>
        </w:tabs>
        <w:autoSpaceDE w:val="0"/>
        <w:autoSpaceDN w:val="0"/>
        <w:adjustRightInd w:val="0"/>
        <w:spacing w:line="360" w:lineRule="atLeast"/>
        <w:ind w:hanging="720"/>
        <w:rPr>
          <w:rFonts w:eastAsiaTheme="minorHAnsi" w:cs="Calibri"/>
          <w:color w:val="000000"/>
        </w:rPr>
      </w:pPr>
      <w:r w:rsidRPr="00875213">
        <w:rPr>
          <w:rFonts w:eastAsiaTheme="minorHAnsi" w:cs="Calibri"/>
          <w:b/>
          <w:bCs/>
          <w:color w:val="000000"/>
        </w:rPr>
        <w:t>Attachment A</w:t>
      </w:r>
      <w:r w:rsidR="00A554EA" w:rsidRPr="00875213">
        <w:rPr>
          <w:rFonts w:eastAsiaTheme="minorHAnsi" w:cs="Calibri"/>
          <w:b/>
          <w:bCs/>
          <w:color w:val="000000"/>
        </w:rPr>
        <w:t>:</w:t>
      </w:r>
      <w:r w:rsidR="00A554EA" w:rsidRPr="00875213">
        <w:rPr>
          <w:rFonts w:eastAsiaTheme="minorHAnsi" w:cs="Calibri"/>
          <w:color w:val="000000"/>
        </w:rPr>
        <w:t xml:space="preserve"> </w:t>
      </w:r>
      <w:r w:rsidRPr="00875213">
        <w:rPr>
          <w:rFonts w:eastAsiaTheme="minorHAnsi" w:cs="Calibri"/>
          <w:color w:val="000000"/>
        </w:rPr>
        <w:t>Patient Survey</w:t>
      </w:r>
      <w:r w:rsidR="00A554EA" w:rsidRPr="00875213">
        <w:rPr>
          <w:rFonts w:eastAsiaTheme="minorHAnsi" w:cs="Calibri"/>
          <w:color w:val="000000"/>
        </w:rPr>
        <w:t xml:space="preserve"> (Research Instrument)</w:t>
      </w:r>
    </w:p>
    <w:p w14:paraId="01DAB473" w14:textId="79E0B2E3" w:rsidR="00C73442" w:rsidRPr="00305E4D" w:rsidRDefault="00875213" w:rsidP="00305E4D">
      <w:pPr>
        <w:widowControl w:val="0"/>
        <w:numPr>
          <w:ilvl w:val="0"/>
          <w:numId w:val="5"/>
        </w:numPr>
        <w:tabs>
          <w:tab w:val="left" w:pos="220"/>
          <w:tab w:val="left" w:pos="720"/>
        </w:tabs>
        <w:autoSpaceDE w:val="0"/>
        <w:autoSpaceDN w:val="0"/>
        <w:adjustRightInd w:val="0"/>
        <w:spacing w:line="360" w:lineRule="atLeast"/>
        <w:ind w:hanging="720"/>
        <w:rPr>
          <w:rFonts w:eastAsiaTheme="minorHAnsi" w:cs="Calibri"/>
          <w:color w:val="000000"/>
        </w:rPr>
      </w:pPr>
      <w:r w:rsidRPr="00875213">
        <w:rPr>
          <w:rFonts w:eastAsiaTheme="minorHAnsi" w:cs="Calibri"/>
          <w:b/>
          <w:bCs/>
          <w:color w:val="000000"/>
        </w:rPr>
        <w:t>Attachment B</w:t>
      </w:r>
      <w:r w:rsidR="00A554EA" w:rsidRPr="00875213">
        <w:rPr>
          <w:rFonts w:eastAsiaTheme="minorHAnsi" w:cs="Calibri"/>
          <w:b/>
          <w:bCs/>
          <w:color w:val="000000"/>
        </w:rPr>
        <w:t>:</w:t>
      </w:r>
      <w:r w:rsidR="00A554EA" w:rsidRPr="00875213">
        <w:rPr>
          <w:rFonts w:eastAsiaTheme="minorHAnsi" w:cs="Calibri"/>
          <w:color w:val="000000"/>
        </w:rPr>
        <w:t xml:space="preserve"> </w:t>
      </w:r>
      <w:r w:rsidRPr="00875213">
        <w:rPr>
          <w:rFonts w:eastAsiaTheme="minorHAnsi" w:cs="Calibri"/>
          <w:color w:val="000000"/>
        </w:rPr>
        <w:t xml:space="preserve">Moderator’s Guide for Clinician Interviews </w:t>
      </w:r>
      <w:r w:rsidR="00A554EA" w:rsidRPr="00875213">
        <w:rPr>
          <w:rFonts w:eastAsiaTheme="minorHAnsi" w:cs="Calibri"/>
          <w:color w:val="000000"/>
        </w:rPr>
        <w:t>(</w:t>
      </w:r>
      <w:r w:rsidRPr="00875213">
        <w:rPr>
          <w:rFonts w:eastAsiaTheme="minorHAnsi" w:cs="Calibri"/>
          <w:color w:val="000000"/>
        </w:rPr>
        <w:t>Research Instrument</w:t>
      </w:r>
      <w:r w:rsidR="00A554EA" w:rsidRPr="00875213">
        <w:rPr>
          <w:rFonts w:eastAsiaTheme="minorHAnsi" w:cs="Calibri"/>
          <w:color w:val="000000"/>
        </w:rPr>
        <w:t>)</w:t>
      </w:r>
    </w:p>
    <w:sectPr w:rsidR="00C73442" w:rsidRPr="00305E4D" w:rsidSect="00753A1C">
      <w:headerReference w:type="default" r:id="rId9"/>
      <w:footerReference w:type="even"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362B9" w14:textId="77777777" w:rsidR="009F1AB6" w:rsidRDefault="009F1AB6" w:rsidP="00951F8E">
      <w:r>
        <w:separator/>
      </w:r>
    </w:p>
  </w:endnote>
  <w:endnote w:type="continuationSeparator" w:id="0">
    <w:p w14:paraId="7F0963E3" w14:textId="77777777" w:rsidR="009F1AB6" w:rsidRDefault="009F1AB6" w:rsidP="0095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FHPPPP+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2D015" w14:textId="77777777" w:rsidR="00875213" w:rsidRDefault="00875213" w:rsidP="006274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D99696" w14:textId="77777777" w:rsidR="00875213" w:rsidRDefault="00875213" w:rsidP="00445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B592E" w14:textId="39921B5E" w:rsidR="00875213" w:rsidRPr="004457F3" w:rsidRDefault="00875213" w:rsidP="006274AB">
    <w:pPr>
      <w:pStyle w:val="Footer"/>
      <w:framePr w:wrap="around" w:vAnchor="text" w:hAnchor="margin" w:xAlign="right" w:y="1"/>
      <w:rPr>
        <w:rStyle w:val="PageNumber"/>
      </w:rPr>
    </w:pPr>
    <w:r w:rsidRPr="004457F3">
      <w:rPr>
        <w:rStyle w:val="PageNumber"/>
      </w:rPr>
      <w:fldChar w:fldCharType="begin"/>
    </w:r>
    <w:r w:rsidRPr="004457F3">
      <w:rPr>
        <w:rStyle w:val="PageNumber"/>
      </w:rPr>
      <w:instrText xml:space="preserve">PAGE  </w:instrText>
    </w:r>
    <w:r w:rsidRPr="004457F3">
      <w:rPr>
        <w:rStyle w:val="PageNumber"/>
      </w:rPr>
      <w:fldChar w:fldCharType="separate"/>
    </w:r>
    <w:r w:rsidR="00F62892">
      <w:rPr>
        <w:rStyle w:val="PageNumber"/>
        <w:noProof/>
      </w:rPr>
      <w:t>1</w:t>
    </w:r>
    <w:r w:rsidRPr="004457F3">
      <w:rPr>
        <w:rStyle w:val="PageNumber"/>
      </w:rPr>
      <w:fldChar w:fldCharType="end"/>
    </w:r>
  </w:p>
  <w:p w14:paraId="016F09E5" w14:textId="77777777" w:rsidR="00875213" w:rsidRDefault="00875213" w:rsidP="004457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AF170" w14:textId="77777777" w:rsidR="009F1AB6" w:rsidRDefault="009F1AB6" w:rsidP="00951F8E">
      <w:r>
        <w:separator/>
      </w:r>
    </w:p>
  </w:footnote>
  <w:footnote w:type="continuationSeparator" w:id="0">
    <w:p w14:paraId="009EE7ED" w14:textId="77777777" w:rsidR="009F1AB6" w:rsidRDefault="009F1AB6" w:rsidP="00951F8E">
      <w:r>
        <w:continuationSeparator/>
      </w:r>
    </w:p>
  </w:footnote>
  <w:footnote w:id="1">
    <w:p w14:paraId="6DA38E89" w14:textId="649952DA" w:rsidR="00875213" w:rsidRPr="007878CC" w:rsidRDefault="00875213">
      <w:pPr>
        <w:pStyle w:val="FootnoteText"/>
        <w:rPr>
          <w:rFonts w:asciiTheme="minorHAnsi" w:hAnsiTheme="minorHAnsi"/>
          <w:sz w:val="20"/>
          <w:szCs w:val="20"/>
        </w:rPr>
      </w:pPr>
      <w:r w:rsidRPr="007878CC">
        <w:rPr>
          <w:rStyle w:val="FootnoteReference"/>
          <w:rFonts w:asciiTheme="minorHAnsi" w:hAnsiTheme="minorHAnsi"/>
          <w:sz w:val="20"/>
          <w:szCs w:val="20"/>
        </w:rPr>
        <w:footnoteRef/>
      </w:r>
      <w:r w:rsidRPr="007878CC">
        <w:rPr>
          <w:rFonts w:asciiTheme="minorHAnsi" w:hAnsiTheme="minorHAnsi"/>
          <w:sz w:val="20"/>
          <w:szCs w:val="20"/>
        </w:rPr>
        <w:t xml:space="preserve"> Maciosek, M. V., Coffield, A. B., Flottemesch, T. J., Edwards, N. M., &amp; Solberg, L. I. (2010). Greater us of preventive services in U.S. health care could save lives at little or no cost. </w:t>
      </w:r>
      <w:r w:rsidRPr="007878CC">
        <w:rPr>
          <w:rFonts w:asciiTheme="minorHAnsi" w:hAnsiTheme="minorHAnsi"/>
          <w:i/>
          <w:sz w:val="20"/>
          <w:szCs w:val="20"/>
        </w:rPr>
        <w:t>Health Affairs</w:t>
      </w:r>
      <w:r w:rsidRPr="007878CC">
        <w:rPr>
          <w:rFonts w:asciiTheme="minorHAnsi" w:hAnsiTheme="minorHAnsi"/>
          <w:sz w:val="20"/>
          <w:szCs w:val="20"/>
        </w:rPr>
        <w:t>, 29, 1656 -1660.</w:t>
      </w:r>
    </w:p>
  </w:footnote>
  <w:footnote w:id="2">
    <w:p w14:paraId="199F8E2B" w14:textId="4A0CF14C" w:rsidR="00875213" w:rsidRPr="007878CC" w:rsidRDefault="00875213">
      <w:pPr>
        <w:pStyle w:val="FootnoteText"/>
        <w:rPr>
          <w:rFonts w:asciiTheme="minorHAnsi" w:hAnsiTheme="minorHAnsi"/>
          <w:sz w:val="20"/>
          <w:szCs w:val="20"/>
        </w:rPr>
      </w:pPr>
      <w:r w:rsidRPr="007878CC">
        <w:rPr>
          <w:rStyle w:val="FootnoteReference"/>
          <w:rFonts w:asciiTheme="minorHAnsi" w:hAnsiTheme="minorHAnsi"/>
          <w:sz w:val="20"/>
          <w:szCs w:val="20"/>
        </w:rPr>
        <w:footnoteRef/>
      </w:r>
      <w:r w:rsidRPr="007878CC">
        <w:rPr>
          <w:rFonts w:asciiTheme="minorHAnsi" w:hAnsiTheme="minorHAnsi"/>
          <w:sz w:val="20"/>
          <w:szCs w:val="20"/>
        </w:rPr>
        <w:t xml:space="preserve"> Ogden, L. L, Richards, C. L., &amp; Shenson, D. (2012). Clinical preventive services for older adults: The interface between personal health car and public health services. American Journal of Public Health, 102, 419-425.</w:t>
      </w:r>
    </w:p>
  </w:footnote>
  <w:footnote w:id="3">
    <w:p w14:paraId="7507F09D" w14:textId="3C4E8E4F" w:rsidR="000F02B3" w:rsidRPr="000F02B3" w:rsidRDefault="000F02B3">
      <w:pPr>
        <w:pStyle w:val="FootnoteText"/>
        <w:rPr>
          <w:rFonts w:asciiTheme="minorHAnsi" w:hAnsiTheme="minorHAnsi"/>
          <w:sz w:val="20"/>
          <w:szCs w:val="20"/>
        </w:rPr>
      </w:pPr>
      <w:r w:rsidRPr="000F02B3">
        <w:rPr>
          <w:rStyle w:val="FootnoteReference"/>
          <w:rFonts w:asciiTheme="minorHAnsi" w:hAnsiTheme="minorHAnsi"/>
          <w:sz w:val="20"/>
          <w:szCs w:val="20"/>
        </w:rPr>
        <w:footnoteRef/>
      </w:r>
      <w:r w:rsidRPr="000F02B3">
        <w:rPr>
          <w:rFonts w:asciiTheme="minorHAnsi" w:hAnsiTheme="minorHAnsi"/>
          <w:sz w:val="20"/>
          <w:szCs w:val="20"/>
        </w:rPr>
        <w:t xml:space="preserve"> </w:t>
      </w:r>
      <w:hyperlink r:id="rId1" w:history="1">
        <w:r w:rsidRPr="00551765">
          <w:rPr>
            <w:rStyle w:val="Hyperlink"/>
            <w:rFonts w:asciiTheme="minorHAnsi" w:hAnsiTheme="minorHAnsi"/>
            <w:sz w:val="20"/>
            <w:szCs w:val="20"/>
          </w:rPr>
          <w:t>https://healthfinder.gov/myhealthfinder/default.aspx</w:t>
        </w:r>
      </w:hyperlink>
      <w:r>
        <w:rPr>
          <w:rFonts w:asciiTheme="minorHAnsi" w:hAnsiTheme="minorHAnsi"/>
          <w:sz w:val="20"/>
          <w:szCs w:val="20"/>
        </w:rPr>
        <w:t xml:space="preserve"> </w:t>
      </w:r>
    </w:p>
  </w:footnote>
  <w:footnote w:id="4">
    <w:p w14:paraId="69B6D70B" w14:textId="751BFF7C" w:rsidR="000F02B3" w:rsidRPr="000F02B3" w:rsidRDefault="000F02B3">
      <w:pPr>
        <w:pStyle w:val="FootnoteText"/>
        <w:rPr>
          <w:rFonts w:asciiTheme="minorHAnsi" w:hAnsiTheme="minorHAnsi"/>
          <w:sz w:val="20"/>
          <w:szCs w:val="20"/>
        </w:rPr>
      </w:pPr>
      <w:r w:rsidRPr="000F02B3">
        <w:rPr>
          <w:rStyle w:val="FootnoteReference"/>
          <w:rFonts w:asciiTheme="minorHAnsi" w:hAnsiTheme="minorHAnsi"/>
          <w:sz w:val="20"/>
          <w:szCs w:val="20"/>
        </w:rPr>
        <w:footnoteRef/>
      </w:r>
      <w:r w:rsidRPr="000F02B3">
        <w:rPr>
          <w:rFonts w:asciiTheme="minorHAnsi" w:hAnsiTheme="minorHAnsi"/>
          <w:sz w:val="20"/>
          <w:szCs w:val="20"/>
        </w:rPr>
        <w:t xml:space="preserve"> </w:t>
      </w:r>
      <w:hyperlink r:id="rId2" w:history="1">
        <w:r w:rsidRPr="000F02B3">
          <w:rPr>
            <w:rStyle w:val="Hyperlink"/>
            <w:rFonts w:asciiTheme="minorHAnsi" w:hAnsiTheme="minorHAnsi"/>
            <w:sz w:val="20"/>
            <w:szCs w:val="20"/>
          </w:rPr>
          <w:t>https://healthfinder.gov/</w:t>
        </w:r>
      </w:hyperlink>
      <w:r w:rsidRPr="000F02B3">
        <w:rPr>
          <w:rFonts w:asciiTheme="minorHAnsi" w:hAnsiTheme="minorHAnsi"/>
          <w:sz w:val="20"/>
          <w:szCs w:val="20"/>
        </w:rPr>
        <w:t xml:space="preserve"> </w:t>
      </w:r>
    </w:p>
  </w:footnote>
  <w:footnote w:id="5">
    <w:p w14:paraId="603698E8" w14:textId="4B96CB89" w:rsidR="00875213" w:rsidRPr="009B7F53" w:rsidRDefault="00875213" w:rsidP="00AD6AA1">
      <w:pPr>
        <w:pStyle w:val="FootnoteText"/>
        <w:rPr>
          <w:rFonts w:asciiTheme="minorHAnsi" w:hAnsiTheme="minorHAnsi"/>
          <w:sz w:val="20"/>
          <w:szCs w:val="20"/>
        </w:rPr>
      </w:pPr>
      <w:r w:rsidRPr="009B7F53">
        <w:rPr>
          <w:rStyle w:val="FootnoteReference"/>
          <w:rFonts w:asciiTheme="minorHAnsi" w:hAnsiTheme="minorHAnsi"/>
          <w:sz w:val="20"/>
          <w:szCs w:val="20"/>
        </w:rPr>
        <w:footnoteRef/>
      </w:r>
      <w:r w:rsidR="00981DAE">
        <w:rPr>
          <w:rFonts w:asciiTheme="minorHAnsi" w:hAnsiTheme="minorHAnsi"/>
          <w:sz w:val="20"/>
          <w:szCs w:val="20"/>
        </w:rPr>
        <w:t xml:space="preserve"> May 2017</w:t>
      </w:r>
      <w:r w:rsidRPr="009B7F53">
        <w:rPr>
          <w:rFonts w:asciiTheme="minorHAnsi" w:hAnsiTheme="minorHAnsi"/>
          <w:sz w:val="20"/>
          <w:szCs w:val="20"/>
        </w:rPr>
        <w:t xml:space="preserve"> National Occupational Employment and Wage Estimates, United States. Bureau of Labor Statistics. United States Department of Labor. Retrieved at </w:t>
      </w:r>
      <w:hyperlink r:id="rId3" w:history="1">
        <w:r w:rsidRPr="009B7F53">
          <w:rPr>
            <w:rStyle w:val="Hyperlink"/>
            <w:rFonts w:asciiTheme="minorHAnsi" w:hAnsiTheme="minorHAnsi"/>
            <w:sz w:val="20"/>
            <w:szCs w:val="20"/>
          </w:rPr>
          <w:t>http://www.bls.gov/oes/current/oes_nat.htm</w:t>
        </w:r>
      </w:hyperlink>
      <w:r w:rsidRPr="009B7F53">
        <w:rPr>
          <w:rFonts w:asciiTheme="minorHAnsi" w:hAnsiTheme="minorHAnsi"/>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DF77" w14:textId="735DDB5C" w:rsidR="00875213" w:rsidRPr="008E3646" w:rsidRDefault="00875213" w:rsidP="009576E8">
    <w:pPr>
      <w:tabs>
        <w:tab w:val="right" w:pos="9360"/>
      </w:tabs>
      <w:ind w:right="360"/>
    </w:pPr>
    <w:r>
      <w:t>Supporting Statement — Section A</w:t>
    </w:r>
    <w:r w:rsidRPr="008E3646">
      <w:tab/>
      <w:t>Form Approved</w:t>
    </w:r>
    <w:r w:rsidRPr="008E3646">
      <w:tab/>
    </w:r>
  </w:p>
  <w:p w14:paraId="2E608052" w14:textId="2EFC5062" w:rsidR="00875213" w:rsidRPr="008E3646" w:rsidRDefault="00875213" w:rsidP="009576E8">
    <w:pPr>
      <w:tabs>
        <w:tab w:val="right" w:pos="9360"/>
      </w:tabs>
      <w:ind w:left="-1080" w:right="360" w:firstLine="1080"/>
      <w:rPr>
        <w:rFonts w:cs="Arial"/>
      </w:rPr>
    </w:pPr>
    <w:r w:rsidRPr="008E3646">
      <w:tab/>
    </w:r>
    <w:r w:rsidRPr="008E3646">
      <w:rPr>
        <w:rFonts w:cs="Arial"/>
      </w:rPr>
      <w:t>OMB No. 0990-0281</w:t>
    </w:r>
  </w:p>
  <w:p w14:paraId="47278415" w14:textId="77777777" w:rsidR="00875213" w:rsidRPr="00AC3427" w:rsidRDefault="00875213" w:rsidP="009576E8">
    <w:pPr>
      <w:tabs>
        <w:tab w:val="right" w:pos="9360"/>
      </w:tabs>
      <w:ind w:left="-1080" w:right="360" w:firstLine="1080"/>
    </w:pPr>
    <w:r w:rsidRPr="008E3646">
      <w:rPr>
        <w:rFonts w:cs="Arial"/>
      </w:rPr>
      <w:tab/>
    </w:r>
    <w:r w:rsidRPr="00047177">
      <w:rPr>
        <w:rFonts w:cs="Arial"/>
      </w:rPr>
      <w:t xml:space="preserve">Exp. Date </w:t>
    </w:r>
    <w:r>
      <w:rPr>
        <w:rFonts w:cs="Arial"/>
      </w:rPr>
      <w:t>03/31/2019</w:t>
    </w:r>
  </w:p>
  <w:p w14:paraId="3508E33B" w14:textId="77777777" w:rsidR="00875213" w:rsidRDefault="00875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6251D0"/>
    <w:multiLevelType w:val="hybridMultilevel"/>
    <w:tmpl w:val="A17A393A"/>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B1F0F"/>
    <w:multiLevelType w:val="hybridMultilevel"/>
    <w:tmpl w:val="51FA6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32BE2"/>
    <w:multiLevelType w:val="hybridMultilevel"/>
    <w:tmpl w:val="759A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F66A5"/>
    <w:multiLevelType w:val="hybridMultilevel"/>
    <w:tmpl w:val="0F4C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FA3D1E"/>
    <w:multiLevelType w:val="hybridMultilevel"/>
    <w:tmpl w:val="ECA2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AA2D41"/>
    <w:multiLevelType w:val="hybridMultilevel"/>
    <w:tmpl w:val="A0E0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492F76"/>
    <w:multiLevelType w:val="hybridMultilevel"/>
    <w:tmpl w:val="D690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637481"/>
    <w:multiLevelType w:val="hybridMultilevel"/>
    <w:tmpl w:val="8F1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AD7A38"/>
    <w:multiLevelType w:val="hybridMultilevel"/>
    <w:tmpl w:val="C090E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3D0350"/>
    <w:multiLevelType w:val="hybridMultilevel"/>
    <w:tmpl w:val="851A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481496"/>
    <w:multiLevelType w:val="hybridMultilevel"/>
    <w:tmpl w:val="0BC4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FB5517"/>
    <w:multiLevelType w:val="hybridMultilevel"/>
    <w:tmpl w:val="872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2C4C80"/>
    <w:multiLevelType w:val="hybridMultilevel"/>
    <w:tmpl w:val="11A8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974A45"/>
    <w:multiLevelType w:val="hybridMultilevel"/>
    <w:tmpl w:val="F6CE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2"/>
  </w:num>
  <w:num w:numId="4">
    <w:abstractNumId w:val="6"/>
  </w:num>
  <w:num w:numId="5">
    <w:abstractNumId w:val="0"/>
  </w:num>
  <w:num w:numId="6">
    <w:abstractNumId w:val="3"/>
  </w:num>
  <w:num w:numId="7">
    <w:abstractNumId w:val="13"/>
  </w:num>
  <w:num w:numId="8">
    <w:abstractNumId w:val="14"/>
  </w:num>
  <w:num w:numId="9">
    <w:abstractNumId w:val="7"/>
  </w:num>
  <w:num w:numId="10">
    <w:abstractNumId w:val="5"/>
  </w:num>
  <w:num w:numId="11">
    <w:abstractNumId w:val="10"/>
  </w:num>
  <w:num w:numId="12">
    <w:abstractNumId w:val="11"/>
  </w:num>
  <w:num w:numId="13">
    <w:abstractNumId w:val="2"/>
  </w:num>
  <w:num w:numId="14">
    <w:abstractNumId w:val="4"/>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08B"/>
    <w:rsid w:val="000062CA"/>
    <w:rsid w:val="00006E70"/>
    <w:rsid w:val="00015003"/>
    <w:rsid w:val="000161CD"/>
    <w:rsid w:val="00024121"/>
    <w:rsid w:val="00031C3D"/>
    <w:rsid w:val="00037B28"/>
    <w:rsid w:val="00037B3E"/>
    <w:rsid w:val="00043B4F"/>
    <w:rsid w:val="00046CCD"/>
    <w:rsid w:val="00051C86"/>
    <w:rsid w:val="00055973"/>
    <w:rsid w:val="00065D3C"/>
    <w:rsid w:val="000809FE"/>
    <w:rsid w:val="0008157F"/>
    <w:rsid w:val="000839F7"/>
    <w:rsid w:val="00093236"/>
    <w:rsid w:val="000A109B"/>
    <w:rsid w:val="000A314C"/>
    <w:rsid w:val="000A6E30"/>
    <w:rsid w:val="000C2A87"/>
    <w:rsid w:val="000C54FC"/>
    <w:rsid w:val="000C6FFA"/>
    <w:rsid w:val="000D5F0E"/>
    <w:rsid w:val="000D729F"/>
    <w:rsid w:val="000E75A6"/>
    <w:rsid w:val="000F02B3"/>
    <w:rsid w:val="000F0D2D"/>
    <w:rsid w:val="000F355B"/>
    <w:rsid w:val="00100AE5"/>
    <w:rsid w:val="00101E6E"/>
    <w:rsid w:val="0011090C"/>
    <w:rsid w:val="001117DA"/>
    <w:rsid w:val="00114712"/>
    <w:rsid w:val="00115304"/>
    <w:rsid w:val="0012089B"/>
    <w:rsid w:val="001212BF"/>
    <w:rsid w:val="00124E88"/>
    <w:rsid w:val="00140A42"/>
    <w:rsid w:val="0014484F"/>
    <w:rsid w:val="00145895"/>
    <w:rsid w:val="00150319"/>
    <w:rsid w:val="0015648D"/>
    <w:rsid w:val="00160DFF"/>
    <w:rsid w:val="00163D77"/>
    <w:rsid w:val="00171DF7"/>
    <w:rsid w:val="00174E2B"/>
    <w:rsid w:val="001777F5"/>
    <w:rsid w:val="001818D4"/>
    <w:rsid w:val="001830FD"/>
    <w:rsid w:val="0019170C"/>
    <w:rsid w:val="00194429"/>
    <w:rsid w:val="001A7294"/>
    <w:rsid w:val="001B6F24"/>
    <w:rsid w:val="001C25FA"/>
    <w:rsid w:val="001C2643"/>
    <w:rsid w:val="001C2A65"/>
    <w:rsid w:val="001C3791"/>
    <w:rsid w:val="001D05A8"/>
    <w:rsid w:val="001D06FD"/>
    <w:rsid w:val="001D5952"/>
    <w:rsid w:val="001D6C97"/>
    <w:rsid w:val="001D7D13"/>
    <w:rsid w:val="001E2CCE"/>
    <w:rsid w:val="00200749"/>
    <w:rsid w:val="002018AC"/>
    <w:rsid w:val="00205226"/>
    <w:rsid w:val="002119BD"/>
    <w:rsid w:val="00222622"/>
    <w:rsid w:val="002427E9"/>
    <w:rsid w:val="00244854"/>
    <w:rsid w:val="00251285"/>
    <w:rsid w:val="002576A3"/>
    <w:rsid w:val="002657A5"/>
    <w:rsid w:val="0026630B"/>
    <w:rsid w:val="00266429"/>
    <w:rsid w:val="00266B6E"/>
    <w:rsid w:val="00271D75"/>
    <w:rsid w:val="002748AA"/>
    <w:rsid w:val="00275AA6"/>
    <w:rsid w:val="002827C6"/>
    <w:rsid w:val="0028383D"/>
    <w:rsid w:val="00294D14"/>
    <w:rsid w:val="00296498"/>
    <w:rsid w:val="0029662D"/>
    <w:rsid w:val="002A21C6"/>
    <w:rsid w:val="002A31AF"/>
    <w:rsid w:val="002A3428"/>
    <w:rsid w:val="002A4CAA"/>
    <w:rsid w:val="002A73E4"/>
    <w:rsid w:val="002A7D6E"/>
    <w:rsid w:val="002B203E"/>
    <w:rsid w:val="002B32EB"/>
    <w:rsid w:val="002B52D5"/>
    <w:rsid w:val="002D2FC3"/>
    <w:rsid w:val="002E1C39"/>
    <w:rsid w:val="002E254F"/>
    <w:rsid w:val="002E40D7"/>
    <w:rsid w:val="002F0E80"/>
    <w:rsid w:val="002F1286"/>
    <w:rsid w:val="002F3B5F"/>
    <w:rsid w:val="002F6D5C"/>
    <w:rsid w:val="00301459"/>
    <w:rsid w:val="003032BF"/>
    <w:rsid w:val="00305227"/>
    <w:rsid w:val="00305E4D"/>
    <w:rsid w:val="00310E1C"/>
    <w:rsid w:val="00311841"/>
    <w:rsid w:val="00315F26"/>
    <w:rsid w:val="0032071C"/>
    <w:rsid w:val="003250A2"/>
    <w:rsid w:val="0032538F"/>
    <w:rsid w:val="00325FF1"/>
    <w:rsid w:val="003349E7"/>
    <w:rsid w:val="00335EB2"/>
    <w:rsid w:val="00337719"/>
    <w:rsid w:val="0034245B"/>
    <w:rsid w:val="003516EA"/>
    <w:rsid w:val="003525E0"/>
    <w:rsid w:val="00352882"/>
    <w:rsid w:val="003570C6"/>
    <w:rsid w:val="0036322E"/>
    <w:rsid w:val="00365B06"/>
    <w:rsid w:val="00373437"/>
    <w:rsid w:val="003829D7"/>
    <w:rsid w:val="003851F2"/>
    <w:rsid w:val="00386FEC"/>
    <w:rsid w:val="00391F76"/>
    <w:rsid w:val="00397F1E"/>
    <w:rsid w:val="003A20AC"/>
    <w:rsid w:val="003A6E21"/>
    <w:rsid w:val="003B1A42"/>
    <w:rsid w:val="003B2ED0"/>
    <w:rsid w:val="003B5493"/>
    <w:rsid w:val="003B6EF3"/>
    <w:rsid w:val="003D2F3C"/>
    <w:rsid w:val="003D3503"/>
    <w:rsid w:val="003E173D"/>
    <w:rsid w:val="003E22FE"/>
    <w:rsid w:val="003E2917"/>
    <w:rsid w:val="003E73A3"/>
    <w:rsid w:val="003F33E2"/>
    <w:rsid w:val="003F4ACD"/>
    <w:rsid w:val="003F6BBD"/>
    <w:rsid w:val="0040083B"/>
    <w:rsid w:val="0040192A"/>
    <w:rsid w:val="00401A2F"/>
    <w:rsid w:val="00402CC4"/>
    <w:rsid w:val="00405609"/>
    <w:rsid w:val="00410813"/>
    <w:rsid w:val="00411402"/>
    <w:rsid w:val="004131D9"/>
    <w:rsid w:val="00424633"/>
    <w:rsid w:val="00424847"/>
    <w:rsid w:val="00426D0A"/>
    <w:rsid w:val="00434B7F"/>
    <w:rsid w:val="004369A6"/>
    <w:rsid w:val="0044074D"/>
    <w:rsid w:val="00441F56"/>
    <w:rsid w:val="0044241C"/>
    <w:rsid w:val="004457F3"/>
    <w:rsid w:val="00446D57"/>
    <w:rsid w:val="004475EF"/>
    <w:rsid w:val="004536CF"/>
    <w:rsid w:val="00454A8E"/>
    <w:rsid w:val="00455D83"/>
    <w:rsid w:val="00457B8E"/>
    <w:rsid w:val="00460C0D"/>
    <w:rsid w:val="0046147D"/>
    <w:rsid w:val="00462153"/>
    <w:rsid w:val="00464059"/>
    <w:rsid w:val="00470991"/>
    <w:rsid w:val="004778CB"/>
    <w:rsid w:val="004818C6"/>
    <w:rsid w:val="00486FC5"/>
    <w:rsid w:val="004939D2"/>
    <w:rsid w:val="00494DC6"/>
    <w:rsid w:val="004A09AF"/>
    <w:rsid w:val="004A6F9A"/>
    <w:rsid w:val="004D0686"/>
    <w:rsid w:val="004D0C79"/>
    <w:rsid w:val="004D380C"/>
    <w:rsid w:val="004E335D"/>
    <w:rsid w:val="00503D4E"/>
    <w:rsid w:val="00516FDE"/>
    <w:rsid w:val="00517CEE"/>
    <w:rsid w:val="00525661"/>
    <w:rsid w:val="00531243"/>
    <w:rsid w:val="00533EC6"/>
    <w:rsid w:val="0054089A"/>
    <w:rsid w:val="00540AD4"/>
    <w:rsid w:val="00553C16"/>
    <w:rsid w:val="00556C9A"/>
    <w:rsid w:val="0055731F"/>
    <w:rsid w:val="005574F8"/>
    <w:rsid w:val="0056618D"/>
    <w:rsid w:val="005939B8"/>
    <w:rsid w:val="005A08E0"/>
    <w:rsid w:val="005A327D"/>
    <w:rsid w:val="005C088F"/>
    <w:rsid w:val="005E79F6"/>
    <w:rsid w:val="005E7B33"/>
    <w:rsid w:val="005F0AD3"/>
    <w:rsid w:val="00606E28"/>
    <w:rsid w:val="006075AD"/>
    <w:rsid w:val="00607BFA"/>
    <w:rsid w:val="00620CA8"/>
    <w:rsid w:val="006224F9"/>
    <w:rsid w:val="00626090"/>
    <w:rsid w:val="00626E60"/>
    <w:rsid w:val="006274AB"/>
    <w:rsid w:val="00627DF0"/>
    <w:rsid w:val="00631D46"/>
    <w:rsid w:val="006346D8"/>
    <w:rsid w:val="0064339C"/>
    <w:rsid w:val="00644F71"/>
    <w:rsid w:val="00660F63"/>
    <w:rsid w:val="006612CA"/>
    <w:rsid w:val="0066224D"/>
    <w:rsid w:val="006629F7"/>
    <w:rsid w:val="006660BA"/>
    <w:rsid w:val="00680DBF"/>
    <w:rsid w:val="0068680D"/>
    <w:rsid w:val="00690F59"/>
    <w:rsid w:val="00692C7A"/>
    <w:rsid w:val="00696C44"/>
    <w:rsid w:val="006A3E32"/>
    <w:rsid w:val="006A73E8"/>
    <w:rsid w:val="006B1013"/>
    <w:rsid w:val="006B2EF1"/>
    <w:rsid w:val="006C02E1"/>
    <w:rsid w:val="006C7B9A"/>
    <w:rsid w:val="006E28FF"/>
    <w:rsid w:val="006E4105"/>
    <w:rsid w:val="006F152F"/>
    <w:rsid w:val="006F2F82"/>
    <w:rsid w:val="006F590A"/>
    <w:rsid w:val="00715B1E"/>
    <w:rsid w:val="0072024B"/>
    <w:rsid w:val="00724E98"/>
    <w:rsid w:val="00726F9B"/>
    <w:rsid w:val="0073348D"/>
    <w:rsid w:val="00740447"/>
    <w:rsid w:val="00753A1C"/>
    <w:rsid w:val="00765B31"/>
    <w:rsid w:val="00772F0E"/>
    <w:rsid w:val="00776804"/>
    <w:rsid w:val="00784B08"/>
    <w:rsid w:val="007878CC"/>
    <w:rsid w:val="00797125"/>
    <w:rsid w:val="00797AF4"/>
    <w:rsid w:val="007A45D1"/>
    <w:rsid w:val="007A4DF3"/>
    <w:rsid w:val="007A67BB"/>
    <w:rsid w:val="007B391A"/>
    <w:rsid w:val="007B43B9"/>
    <w:rsid w:val="007C2A74"/>
    <w:rsid w:val="007C4D99"/>
    <w:rsid w:val="007C6BD3"/>
    <w:rsid w:val="007C7582"/>
    <w:rsid w:val="007D505B"/>
    <w:rsid w:val="007E21ED"/>
    <w:rsid w:val="007E4786"/>
    <w:rsid w:val="007E566B"/>
    <w:rsid w:val="007E5ACA"/>
    <w:rsid w:val="007F53F2"/>
    <w:rsid w:val="007F7CEF"/>
    <w:rsid w:val="0080502D"/>
    <w:rsid w:val="00811BEE"/>
    <w:rsid w:val="008158D7"/>
    <w:rsid w:val="00817761"/>
    <w:rsid w:val="0082049B"/>
    <w:rsid w:val="00821F3B"/>
    <w:rsid w:val="008303EA"/>
    <w:rsid w:val="0083220D"/>
    <w:rsid w:val="0083310A"/>
    <w:rsid w:val="008332DD"/>
    <w:rsid w:val="008347E2"/>
    <w:rsid w:val="008428AA"/>
    <w:rsid w:val="00846AAE"/>
    <w:rsid w:val="00847177"/>
    <w:rsid w:val="008518DB"/>
    <w:rsid w:val="00852D57"/>
    <w:rsid w:val="00853E54"/>
    <w:rsid w:val="0086311E"/>
    <w:rsid w:val="00864EDD"/>
    <w:rsid w:val="0086610F"/>
    <w:rsid w:val="008666D4"/>
    <w:rsid w:val="008703EB"/>
    <w:rsid w:val="00875213"/>
    <w:rsid w:val="00875454"/>
    <w:rsid w:val="008756E0"/>
    <w:rsid w:val="00891657"/>
    <w:rsid w:val="00892EDF"/>
    <w:rsid w:val="008934C9"/>
    <w:rsid w:val="00894242"/>
    <w:rsid w:val="008A7B00"/>
    <w:rsid w:val="008B25ED"/>
    <w:rsid w:val="008B2D4B"/>
    <w:rsid w:val="008C122F"/>
    <w:rsid w:val="008C2A76"/>
    <w:rsid w:val="008C4156"/>
    <w:rsid w:val="008C491E"/>
    <w:rsid w:val="008C542E"/>
    <w:rsid w:val="008D167E"/>
    <w:rsid w:val="008D3357"/>
    <w:rsid w:val="008D72F1"/>
    <w:rsid w:val="008D7CED"/>
    <w:rsid w:val="008E0729"/>
    <w:rsid w:val="008E2D61"/>
    <w:rsid w:val="008F5D7A"/>
    <w:rsid w:val="00904C8F"/>
    <w:rsid w:val="0090542C"/>
    <w:rsid w:val="00906A56"/>
    <w:rsid w:val="00906AA4"/>
    <w:rsid w:val="00907CE7"/>
    <w:rsid w:val="0091276A"/>
    <w:rsid w:val="00916F68"/>
    <w:rsid w:val="00942197"/>
    <w:rsid w:val="00942F7B"/>
    <w:rsid w:val="00943277"/>
    <w:rsid w:val="00945E3C"/>
    <w:rsid w:val="00950088"/>
    <w:rsid w:val="00951F8E"/>
    <w:rsid w:val="009576E8"/>
    <w:rsid w:val="00962EEA"/>
    <w:rsid w:val="0096436F"/>
    <w:rsid w:val="00966BA5"/>
    <w:rsid w:val="00966F71"/>
    <w:rsid w:val="00975E31"/>
    <w:rsid w:val="00980845"/>
    <w:rsid w:val="00980E00"/>
    <w:rsid w:val="00981DAE"/>
    <w:rsid w:val="00996888"/>
    <w:rsid w:val="009A1F4F"/>
    <w:rsid w:val="009A22A2"/>
    <w:rsid w:val="009A278C"/>
    <w:rsid w:val="009A3DAF"/>
    <w:rsid w:val="009A6ED2"/>
    <w:rsid w:val="009B7F53"/>
    <w:rsid w:val="009C0D6A"/>
    <w:rsid w:val="009C0DF7"/>
    <w:rsid w:val="009C10FD"/>
    <w:rsid w:val="009C3005"/>
    <w:rsid w:val="009C7E6B"/>
    <w:rsid w:val="009D4E47"/>
    <w:rsid w:val="009E1860"/>
    <w:rsid w:val="009E55CA"/>
    <w:rsid w:val="009F1AB6"/>
    <w:rsid w:val="009F4115"/>
    <w:rsid w:val="00A020E5"/>
    <w:rsid w:val="00A16AF3"/>
    <w:rsid w:val="00A17AAB"/>
    <w:rsid w:val="00A17F9E"/>
    <w:rsid w:val="00A20A07"/>
    <w:rsid w:val="00A20B48"/>
    <w:rsid w:val="00A410E2"/>
    <w:rsid w:val="00A554EA"/>
    <w:rsid w:val="00A611DE"/>
    <w:rsid w:val="00A64461"/>
    <w:rsid w:val="00A65C3C"/>
    <w:rsid w:val="00A675EA"/>
    <w:rsid w:val="00A81A34"/>
    <w:rsid w:val="00AA1879"/>
    <w:rsid w:val="00AC0D40"/>
    <w:rsid w:val="00AC79D1"/>
    <w:rsid w:val="00AD0470"/>
    <w:rsid w:val="00AD43F1"/>
    <w:rsid w:val="00AD6AA1"/>
    <w:rsid w:val="00AD7086"/>
    <w:rsid w:val="00AD75A5"/>
    <w:rsid w:val="00AE1EE9"/>
    <w:rsid w:val="00AE2332"/>
    <w:rsid w:val="00AF09F1"/>
    <w:rsid w:val="00AF48C5"/>
    <w:rsid w:val="00B07AE0"/>
    <w:rsid w:val="00B123F2"/>
    <w:rsid w:val="00B15921"/>
    <w:rsid w:val="00B16354"/>
    <w:rsid w:val="00B21BD1"/>
    <w:rsid w:val="00B244A5"/>
    <w:rsid w:val="00B24F92"/>
    <w:rsid w:val="00B34D55"/>
    <w:rsid w:val="00B351D5"/>
    <w:rsid w:val="00B36327"/>
    <w:rsid w:val="00B41307"/>
    <w:rsid w:val="00B43676"/>
    <w:rsid w:val="00B468F0"/>
    <w:rsid w:val="00B46D55"/>
    <w:rsid w:val="00B46DFF"/>
    <w:rsid w:val="00B76B0C"/>
    <w:rsid w:val="00B83924"/>
    <w:rsid w:val="00B840CE"/>
    <w:rsid w:val="00B85181"/>
    <w:rsid w:val="00B87C86"/>
    <w:rsid w:val="00B95F50"/>
    <w:rsid w:val="00BB0139"/>
    <w:rsid w:val="00BB3312"/>
    <w:rsid w:val="00BB5520"/>
    <w:rsid w:val="00BB6CC3"/>
    <w:rsid w:val="00BC269A"/>
    <w:rsid w:val="00BD3E48"/>
    <w:rsid w:val="00C00321"/>
    <w:rsid w:val="00C07BBB"/>
    <w:rsid w:val="00C12D1C"/>
    <w:rsid w:val="00C14FF4"/>
    <w:rsid w:val="00C227FC"/>
    <w:rsid w:val="00C2554B"/>
    <w:rsid w:val="00C26C45"/>
    <w:rsid w:val="00C42797"/>
    <w:rsid w:val="00C464BC"/>
    <w:rsid w:val="00C532E9"/>
    <w:rsid w:val="00C53ABD"/>
    <w:rsid w:val="00C548AC"/>
    <w:rsid w:val="00C62F6D"/>
    <w:rsid w:val="00C632AD"/>
    <w:rsid w:val="00C70583"/>
    <w:rsid w:val="00C73442"/>
    <w:rsid w:val="00C764DD"/>
    <w:rsid w:val="00C840FC"/>
    <w:rsid w:val="00C94275"/>
    <w:rsid w:val="00CA1A45"/>
    <w:rsid w:val="00CA5E92"/>
    <w:rsid w:val="00CA6B8F"/>
    <w:rsid w:val="00CB0A18"/>
    <w:rsid w:val="00CB0B85"/>
    <w:rsid w:val="00CB2498"/>
    <w:rsid w:val="00CB48AF"/>
    <w:rsid w:val="00CC183A"/>
    <w:rsid w:val="00CC70F5"/>
    <w:rsid w:val="00CC7A18"/>
    <w:rsid w:val="00CC7F05"/>
    <w:rsid w:val="00CD0271"/>
    <w:rsid w:val="00CD233F"/>
    <w:rsid w:val="00CD3760"/>
    <w:rsid w:val="00CD4283"/>
    <w:rsid w:val="00CD4F82"/>
    <w:rsid w:val="00CE6F28"/>
    <w:rsid w:val="00CE7EDB"/>
    <w:rsid w:val="00CF105A"/>
    <w:rsid w:val="00D00B23"/>
    <w:rsid w:val="00D023DA"/>
    <w:rsid w:val="00D11167"/>
    <w:rsid w:val="00D23148"/>
    <w:rsid w:val="00D26911"/>
    <w:rsid w:val="00D27A15"/>
    <w:rsid w:val="00D36077"/>
    <w:rsid w:val="00D40572"/>
    <w:rsid w:val="00D54695"/>
    <w:rsid w:val="00D60EAE"/>
    <w:rsid w:val="00D675DD"/>
    <w:rsid w:val="00D7080A"/>
    <w:rsid w:val="00D74C58"/>
    <w:rsid w:val="00D8103A"/>
    <w:rsid w:val="00D8386A"/>
    <w:rsid w:val="00D83918"/>
    <w:rsid w:val="00D87EAA"/>
    <w:rsid w:val="00D92D8A"/>
    <w:rsid w:val="00D93B11"/>
    <w:rsid w:val="00D943F5"/>
    <w:rsid w:val="00DA23E4"/>
    <w:rsid w:val="00DA29DC"/>
    <w:rsid w:val="00DB09CB"/>
    <w:rsid w:val="00DC1A9A"/>
    <w:rsid w:val="00DC1C36"/>
    <w:rsid w:val="00DC1E2F"/>
    <w:rsid w:val="00DC4893"/>
    <w:rsid w:val="00DC4D9E"/>
    <w:rsid w:val="00DD0085"/>
    <w:rsid w:val="00DD4066"/>
    <w:rsid w:val="00DD48BF"/>
    <w:rsid w:val="00DD756A"/>
    <w:rsid w:val="00DF4EE8"/>
    <w:rsid w:val="00E02D10"/>
    <w:rsid w:val="00E030FB"/>
    <w:rsid w:val="00E14FD3"/>
    <w:rsid w:val="00E17796"/>
    <w:rsid w:val="00E21F04"/>
    <w:rsid w:val="00E24436"/>
    <w:rsid w:val="00E26467"/>
    <w:rsid w:val="00E3008B"/>
    <w:rsid w:val="00E42188"/>
    <w:rsid w:val="00E42253"/>
    <w:rsid w:val="00E42672"/>
    <w:rsid w:val="00E43DE6"/>
    <w:rsid w:val="00E43F2E"/>
    <w:rsid w:val="00E448C7"/>
    <w:rsid w:val="00E53E07"/>
    <w:rsid w:val="00E6724E"/>
    <w:rsid w:val="00E72E54"/>
    <w:rsid w:val="00E73FA2"/>
    <w:rsid w:val="00E74F41"/>
    <w:rsid w:val="00E82611"/>
    <w:rsid w:val="00E82BB9"/>
    <w:rsid w:val="00E86DD6"/>
    <w:rsid w:val="00E93E57"/>
    <w:rsid w:val="00E95E2F"/>
    <w:rsid w:val="00EA2031"/>
    <w:rsid w:val="00EB2835"/>
    <w:rsid w:val="00EB7338"/>
    <w:rsid w:val="00EC52E4"/>
    <w:rsid w:val="00EC66AB"/>
    <w:rsid w:val="00ED41F4"/>
    <w:rsid w:val="00EE0EA1"/>
    <w:rsid w:val="00EF1063"/>
    <w:rsid w:val="00F005E8"/>
    <w:rsid w:val="00F13524"/>
    <w:rsid w:val="00F17E36"/>
    <w:rsid w:val="00F23D54"/>
    <w:rsid w:val="00F300EF"/>
    <w:rsid w:val="00F4527A"/>
    <w:rsid w:val="00F4795D"/>
    <w:rsid w:val="00F548C9"/>
    <w:rsid w:val="00F55083"/>
    <w:rsid w:val="00F62746"/>
    <w:rsid w:val="00F62892"/>
    <w:rsid w:val="00F636AC"/>
    <w:rsid w:val="00F921B4"/>
    <w:rsid w:val="00F97F49"/>
    <w:rsid w:val="00FA415F"/>
    <w:rsid w:val="00FA55B9"/>
    <w:rsid w:val="00FA627C"/>
    <w:rsid w:val="00FC3509"/>
    <w:rsid w:val="00FC3C7B"/>
    <w:rsid w:val="00FE11C8"/>
    <w:rsid w:val="00FE2184"/>
    <w:rsid w:val="00FE4BC8"/>
    <w:rsid w:val="00FE5E99"/>
    <w:rsid w:val="00FF0603"/>
    <w:rsid w:val="00FF07F9"/>
    <w:rsid w:val="00FF0E85"/>
    <w:rsid w:val="00FF4D36"/>
    <w:rsid w:val="4A863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D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04"/>
    <w:rPr>
      <w:rFonts w:ascii="Calibri" w:eastAsia="Times New Roman" w:hAnsi="Calibri" w:cs="Times New Roman"/>
    </w:rPr>
  </w:style>
  <w:style w:type="paragraph" w:styleId="Heading1">
    <w:name w:val="heading 1"/>
    <w:basedOn w:val="Normal"/>
    <w:next w:val="Normal"/>
    <w:link w:val="Heading1Char"/>
    <w:uiPriority w:val="99"/>
    <w:qFormat/>
    <w:rsid w:val="001C3791"/>
    <w:pPr>
      <w:keepNext/>
      <w:ind w:right="-360"/>
      <w:outlineLvl w:val="0"/>
    </w:pPr>
    <w:rPr>
      <w:b/>
      <w:bCs/>
      <w:sz w:val="28"/>
    </w:rPr>
  </w:style>
  <w:style w:type="paragraph" w:styleId="Heading2">
    <w:name w:val="heading 2"/>
    <w:basedOn w:val="Normal"/>
    <w:next w:val="Normal"/>
    <w:link w:val="Heading2Char"/>
    <w:uiPriority w:val="9"/>
    <w:unhideWhenUsed/>
    <w:qFormat/>
    <w:rsid w:val="00B840CE"/>
    <w:pPr>
      <w:keepNext/>
      <w:keepLines/>
      <w:spacing w:before="200"/>
      <w:outlineLvl w:val="1"/>
    </w:pPr>
    <w:rPr>
      <w:rFonts w:eastAsiaTheme="majorEastAsia" w:cstheme="majorBidi"/>
      <w:b/>
      <w:bCs/>
      <w:color w:val="2E74B5" w:themeColor="accent1" w:themeShade="BF"/>
      <w:sz w:val="28"/>
      <w:szCs w:val="26"/>
    </w:rPr>
  </w:style>
  <w:style w:type="paragraph" w:styleId="Heading3">
    <w:name w:val="heading 3"/>
    <w:basedOn w:val="Normal"/>
    <w:next w:val="Normal"/>
    <w:link w:val="Heading3Char"/>
    <w:uiPriority w:val="9"/>
    <w:unhideWhenUsed/>
    <w:qFormat/>
    <w:rsid w:val="00B840CE"/>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73442"/>
    <w:rPr>
      <w:sz w:val="18"/>
      <w:szCs w:val="18"/>
    </w:rPr>
  </w:style>
  <w:style w:type="paragraph" w:styleId="CommentText">
    <w:name w:val="annotation text"/>
    <w:basedOn w:val="Normal"/>
    <w:link w:val="CommentTextChar"/>
    <w:uiPriority w:val="99"/>
    <w:unhideWhenUsed/>
    <w:rsid w:val="00C73442"/>
  </w:style>
  <w:style w:type="character" w:customStyle="1" w:styleId="CommentTextChar">
    <w:name w:val="Comment Text Char"/>
    <w:basedOn w:val="DefaultParagraphFont"/>
    <w:link w:val="CommentText"/>
    <w:uiPriority w:val="99"/>
    <w:rsid w:val="00C7344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73442"/>
    <w:rPr>
      <w:b/>
      <w:bCs/>
      <w:sz w:val="20"/>
      <w:szCs w:val="20"/>
    </w:rPr>
  </w:style>
  <w:style w:type="character" w:customStyle="1" w:styleId="CommentSubjectChar">
    <w:name w:val="Comment Subject Char"/>
    <w:basedOn w:val="CommentTextChar"/>
    <w:link w:val="CommentSubject"/>
    <w:uiPriority w:val="99"/>
    <w:semiHidden/>
    <w:rsid w:val="00C734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3442"/>
    <w:rPr>
      <w:sz w:val="18"/>
      <w:szCs w:val="18"/>
    </w:rPr>
  </w:style>
  <w:style w:type="character" w:customStyle="1" w:styleId="BalloonTextChar">
    <w:name w:val="Balloon Text Char"/>
    <w:basedOn w:val="DefaultParagraphFont"/>
    <w:link w:val="BalloonText"/>
    <w:uiPriority w:val="99"/>
    <w:semiHidden/>
    <w:rsid w:val="00C73442"/>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9"/>
    <w:rsid w:val="001C3791"/>
    <w:rPr>
      <w:rFonts w:ascii="Calibri" w:eastAsia="Times New Roman" w:hAnsi="Calibri" w:cs="Times New Roman"/>
      <w:b/>
      <w:bCs/>
      <w:sz w:val="28"/>
    </w:rPr>
  </w:style>
  <w:style w:type="paragraph" w:styleId="Header">
    <w:name w:val="header"/>
    <w:basedOn w:val="Normal"/>
    <w:link w:val="HeaderChar"/>
    <w:uiPriority w:val="99"/>
    <w:rsid w:val="00C73442"/>
    <w:pPr>
      <w:widowControl w:val="0"/>
      <w:tabs>
        <w:tab w:val="center" w:pos="4320"/>
        <w:tab w:val="right" w:pos="8640"/>
      </w:tabs>
    </w:pPr>
  </w:style>
  <w:style w:type="character" w:customStyle="1" w:styleId="HeaderChar">
    <w:name w:val="Header Char"/>
    <w:basedOn w:val="DefaultParagraphFont"/>
    <w:link w:val="Header"/>
    <w:uiPriority w:val="99"/>
    <w:rsid w:val="00C73442"/>
    <w:rPr>
      <w:rFonts w:ascii="Times New Roman" w:eastAsia="Times New Roman" w:hAnsi="Times New Roman" w:cs="Times New Roman"/>
    </w:rPr>
  </w:style>
  <w:style w:type="paragraph" w:styleId="ListParagraph">
    <w:name w:val="List Paragraph"/>
    <w:aliases w:val="CH Bullets (square)"/>
    <w:basedOn w:val="Normal"/>
    <w:uiPriority w:val="99"/>
    <w:qFormat/>
    <w:rsid w:val="00C73442"/>
    <w:pPr>
      <w:ind w:left="720"/>
      <w:contextualSpacing/>
    </w:pPr>
  </w:style>
  <w:style w:type="paragraph" w:styleId="FootnoteText">
    <w:name w:val="footnote text"/>
    <w:basedOn w:val="Normal"/>
    <w:link w:val="FootnoteTextChar"/>
    <w:uiPriority w:val="99"/>
    <w:unhideWhenUsed/>
    <w:rsid w:val="00951F8E"/>
    <w:rPr>
      <w:rFonts w:ascii="Arial" w:eastAsia="Calibri" w:hAnsi="Arial"/>
    </w:rPr>
  </w:style>
  <w:style w:type="character" w:customStyle="1" w:styleId="FootnoteTextChar">
    <w:name w:val="Footnote Text Char"/>
    <w:basedOn w:val="DefaultParagraphFont"/>
    <w:link w:val="FootnoteText"/>
    <w:uiPriority w:val="99"/>
    <w:rsid w:val="00951F8E"/>
    <w:rPr>
      <w:rFonts w:ascii="Arial" w:eastAsia="Calibri" w:hAnsi="Arial" w:cs="Times New Roman"/>
    </w:rPr>
  </w:style>
  <w:style w:type="character" w:styleId="FootnoteReference">
    <w:name w:val="footnote reference"/>
    <w:basedOn w:val="DefaultParagraphFont"/>
    <w:uiPriority w:val="99"/>
    <w:unhideWhenUsed/>
    <w:rsid w:val="00951F8E"/>
    <w:rPr>
      <w:vertAlign w:val="superscript"/>
    </w:rPr>
  </w:style>
  <w:style w:type="paragraph" w:styleId="Footer">
    <w:name w:val="footer"/>
    <w:basedOn w:val="Normal"/>
    <w:link w:val="FooterChar"/>
    <w:uiPriority w:val="99"/>
    <w:unhideWhenUsed/>
    <w:rsid w:val="004457F3"/>
    <w:pPr>
      <w:tabs>
        <w:tab w:val="center" w:pos="4320"/>
        <w:tab w:val="right" w:pos="8640"/>
      </w:tabs>
    </w:pPr>
  </w:style>
  <w:style w:type="character" w:customStyle="1" w:styleId="FooterChar">
    <w:name w:val="Footer Char"/>
    <w:basedOn w:val="DefaultParagraphFont"/>
    <w:link w:val="Footer"/>
    <w:uiPriority w:val="99"/>
    <w:rsid w:val="004457F3"/>
    <w:rPr>
      <w:rFonts w:ascii="Times New Roman" w:eastAsia="Times New Roman" w:hAnsi="Times New Roman" w:cs="Times New Roman"/>
    </w:rPr>
  </w:style>
  <w:style w:type="character" w:styleId="PageNumber">
    <w:name w:val="page number"/>
    <w:basedOn w:val="DefaultParagraphFont"/>
    <w:uiPriority w:val="99"/>
    <w:semiHidden/>
    <w:unhideWhenUsed/>
    <w:rsid w:val="004457F3"/>
  </w:style>
  <w:style w:type="character" w:styleId="Hyperlink">
    <w:name w:val="Hyperlink"/>
    <w:basedOn w:val="DefaultParagraphFont"/>
    <w:rsid w:val="00715B1E"/>
    <w:rPr>
      <w:color w:val="0000FF"/>
      <w:u w:val="single"/>
    </w:rPr>
  </w:style>
  <w:style w:type="character" w:customStyle="1" w:styleId="Heading2Char">
    <w:name w:val="Heading 2 Char"/>
    <w:basedOn w:val="DefaultParagraphFont"/>
    <w:link w:val="Heading2"/>
    <w:uiPriority w:val="9"/>
    <w:rsid w:val="00B840CE"/>
    <w:rPr>
      <w:rFonts w:ascii="Calibri" w:eastAsiaTheme="majorEastAsia" w:hAnsi="Calibri" w:cstheme="majorBidi"/>
      <w:b/>
      <w:bCs/>
      <w:color w:val="2E74B5" w:themeColor="accent1" w:themeShade="BF"/>
      <w:sz w:val="28"/>
      <w:szCs w:val="26"/>
    </w:rPr>
  </w:style>
  <w:style w:type="character" w:customStyle="1" w:styleId="Heading3Char">
    <w:name w:val="Heading 3 Char"/>
    <w:basedOn w:val="DefaultParagraphFont"/>
    <w:link w:val="Heading3"/>
    <w:uiPriority w:val="9"/>
    <w:rsid w:val="00B840CE"/>
    <w:rPr>
      <w:rFonts w:ascii="Calibri" w:eastAsiaTheme="majorEastAsia" w:hAnsi="Calibri" w:cstheme="majorBidi"/>
      <w:b/>
      <w:bCs/>
    </w:rPr>
  </w:style>
  <w:style w:type="paragraph" w:styleId="Revision">
    <w:name w:val="Revision"/>
    <w:hidden/>
    <w:uiPriority w:val="99"/>
    <w:semiHidden/>
    <w:rsid w:val="003525E0"/>
    <w:rPr>
      <w:rFonts w:ascii="Calibri" w:eastAsia="Times New Roman" w:hAnsi="Calibri" w:cs="Times New Roman"/>
    </w:rPr>
  </w:style>
  <w:style w:type="character" w:styleId="FollowedHyperlink">
    <w:name w:val="FollowedHyperlink"/>
    <w:basedOn w:val="DefaultParagraphFont"/>
    <w:uiPriority w:val="99"/>
    <w:semiHidden/>
    <w:unhideWhenUsed/>
    <w:rsid w:val="00980E00"/>
    <w:rPr>
      <w:color w:val="954F72" w:themeColor="followedHyperlink"/>
      <w:u w:val="single"/>
    </w:rPr>
  </w:style>
  <w:style w:type="paragraph" w:styleId="EndnoteText">
    <w:name w:val="endnote text"/>
    <w:basedOn w:val="Normal"/>
    <w:link w:val="EndnoteTextChar"/>
    <w:uiPriority w:val="99"/>
    <w:unhideWhenUsed/>
    <w:rsid w:val="00294D14"/>
  </w:style>
  <w:style w:type="character" w:customStyle="1" w:styleId="EndnoteTextChar">
    <w:name w:val="Endnote Text Char"/>
    <w:basedOn w:val="DefaultParagraphFont"/>
    <w:link w:val="EndnoteText"/>
    <w:uiPriority w:val="99"/>
    <w:rsid w:val="00294D14"/>
    <w:rPr>
      <w:rFonts w:ascii="Calibri" w:eastAsia="Times New Roman" w:hAnsi="Calibri" w:cs="Times New Roman"/>
    </w:rPr>
  </w:style>
  <w:style w:type="character" w:styleId="EndnoteReference">
    <w:name w:val="endnote reference"/>
    <w:basedOn w:val="DefaultParagraphFont"/>
    <w:uiPriority w:val="99"/>
    <w:unhideWhenUsed/>
    <w:rsid w:val="00294D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04"/>
    <w:rPr>
      <w:rFonts w:ascii="Calibri" w:eastAsia="Times New Roman" w:hAnsi="Calibri" w:cs="Times New Roman"/>
    </w:rPr>
  </w:style>
  <w:style w:type="paragraph" w:styleId="Heading1">
    <w:name w:val="heading 1"/>
    <w:basedOn w:val="Normal"/>
    <w:next w:val="Normal"/>
    <w:link w:val="Heading1Char"/>
    <w:uiPriority w:val="99"/>
    <w:qFormat/>
    <w:rsid w:val="001C3791"/>
    <w:pPr>
      <w:keepNext/>
      <w:ind w:right="-360"/>
      <w:outlineLvl w:val="0"/>
    </w:pPr>
    <w:rPr>
      <w:b/>
      <w:bCs/>
      <w:sz w:val="28"/>
    </w:rPr>
  </w:style>
  <w:style w:type="paragraph" w:styleId="Heading2">
    <w:name w:val="heading 2"/>
    <w:basedOn w:val="Normal"/>
    <w:next w:val="Normal"/>
    <w:link w:val="Heading2Char"/>
    <w:uiPriority w:val="9"/>
    <w:unhideWhenUsed/>
    <w:qFormat/>
    <w:rsid w:val="00B840CE"/>
    <w:pPr>
      <w:keepNext/>
      <w:keepLines/>
      <w:spacing w:before="200"/>
      <w:outlineLvl w:val="1"/>
    </w:pPr>
    <w:rPr>
      <w:rFonts w:eastAsiaTheme="majorEastAsia" w:cstheme="majorBidi"/>
      <w:b/>
      <w:bCs/>
      <w:color w:val="2E74B5" w:themeColor="accent1" w:themeShade="BF"/>
      <w:sz w:val="28"/>
      <w:szCs w:val="26"/>
    </w:rPr>
  </w:style>
  <w:style w:type="paragraph" w:styleId="Heading3">
    <w:name w:val="heading 3"/>
    <w:basedOn w:val="Normal"/>
    <w:next w:val="Normal"/>
    <w:link w:val="Heading3Char"/>
    <w:uiPriority w:val="9"/>
    <w:unhideWhenUsed/>
    <w:qFormat/>
    <w:rsid w:val="00B840CE"/>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73442"/>
    <w:rPr>
      <w:sz w:val="18"/>
      <w:szCs w:val="18"/>
    </w:rPr>
  </w:style>
  <w:style w:type="paragraph" w:styleId="CommentText">
    <w:name w:val="annotation text"/>
    <w:basedOn w:val="Normal"/>
    <w:link w:val="CommentTextChar"/>
    <w:uiPriority w:val="99"/>
    <w:unhideWhenUsed/>
    <w:rsid w:val="00C73442"/>
  </w:style>
  <w:style w:type="character" w:customStyle="1" w:styleId="CommentTextChar">
    <w:name w:val="Comment Text Char"/>
    <w:basedOn w:val="DefaultParagraphFont"/>
    <w:link w:val="CommentText"/>
    <w:uiPriority w:val="99"/>
    <w:rsid w:val="00C7344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73442"/>
    <w:rPr>
      <w:b/>
      <w:bCs/>
      <w:sz w:val="20"/>
      <w:szCs w:val="20"/>
    </w:rPr>
  </w:style>
  <w:style w:type="character" w:customStyle="1" w:styleId="CommentSubjectChar">
    <w:name w:val="Comment Subject Char"/>
    <w:basedOn w:val="CommentTextChar"/>
    <w:link w:val="CommentSubject"/>
    <w:uiPriority w:val="99"/>
    <w:semiHidden/>
    <w:rsid w:val="00C734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3442"/>
    <w:rPr>
      <w:sz w:val="18"/>
      <w:szCs w:val="18"/>
    </w:rPr>
  </w:style>
  <w:style w:type="character" w:customStyle="1" w:styleId="BalloonTextChar">
    <w:name w:val="Balloon Text Char"/>
    <w:basedOn w:val="DefaultParagraphFont"/>
    <w:link w:val="BalloonText"/>
    <w:uiPriority w:val="99"/>
    <w:semiHidden/>
    <w:rsid w:val="00C73442"/>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9"/>
    <w:rsid w:val="001C3791"/>
    <w:rPr>
      <w:rFonts w:ascii="Calibri" w:eastAsia="Times New Roman" w:hAnsi="Calibri" w:cs="Times New Roman"/>
      <w:b/>
      <w:bCs/>
      <w:sz w:val="28"/>
    </w:rPr>
  </w:style>
  <w:style w:type="paragraph" w:styleId="Header">
    <w:name w:val="header"/>
    <w:basedOn w:val="Normal"/>
    <w:link w:val="HeaderChar"/>
    <w:uiPriority w:val="99"/>
    <w:rsid w:val="00C73442"/>
    <w:pPr>
      <w:widowControl w:val="0"/>
      <w:tabs>
        <w:tab w:val="center" w:pos="4320"/>
        <w:tab w:val="right" w:pos="8640"/>
      </w:tabs>
    </w:pPr>
  </w:style>
  <w:style w:type="character" w:customStyle="1" w:styleId="HeaderChar">
    <w:name w:val="Header Char"/>
    <w:basedOn w:val="DefaultParagraphFont"/>
    <w:link w:val="Header"/>
    <w:uiPriority w:val="99"/>
    <w:rsid w:val="00C73442"/>
    <w:rPr>
      <w:rFonts w:ascii="Times New Roman" w:eastAsia="Times New Roman" w:hAnsi="Times New Roman" w:cs="Times New Roman"/>
    </w:rPr>
  </w:style>
  <w:style w:type="paragraph" w:styleId="ListParagraph">
    <w:name w:val="List Paragraph"/>
    <w:aliases w:val="CH Bullets (square)"/>
    <w:basedOn w:val="Normal"/>
    <w:uiPriority w:val="99"/>
    <w:qFormat/>
    <w:rsid w:val="00C73442"/>
    <w:pPr>
      <w:ind w:left="720"/>
      <w:contextualSpacing/>
    </w:pPr>
  </w:style>
  <w:style w:type="paragraph" w:styleId="FootnoteText">
    <w:name w:val="footnote text"/>
    <w:basedOn w:val="Normal"/>
    <w:link w:val="FootnoteTextChar"/>
    <w:uiPriority w:val="99"/>
    <w:unhideWhenUsed/>
    <w:rsid w:val="00951F8E"/>
    <w:rPr>
      <w:rFonts w:ascii="Arial" w:eastAsia="Calibri" w:hAnsi="Arial"/>
    </w:rPr>
  </w:style>
  <w:style w:type="character" w:customStyle="1" w:styleId="FootnoteTextChar">
    <w:name w:val="Footnote Text Char"/>
    <w:basedOn w:val="DefaultParagraphFont"/>
    <w:link w:val="FootnoteText"/>
    <w:uiPriority w:val="99"/>
    <w:rsid w:val="00951F8E"/>
    <w:rPr>
      <w:rFonts w:ascii="Arial" w:eastAsia="Calibri" w:hAnsi="Arial" w:cs="Times New Roman"/>
    </w:rPr>
  </w:style>
  <w:style w:type="character" w:styleId="FootnoteReference">
    <w:name w:val="footnote reference"/>
    <w:basedOn w:val="DefaultParagraphFont"/>
    <w:uiPriority w:val="99"/>
    <w:unhideWhenUsed/>
    <w:rsid w:val="00951F8E"/>
    <w:rPr>
      <w:vertAlign w:val="superscript"/>
    </w:rPr>
  </w:style>
  <w:style w:type="paragraph" w:styleId="Footer">
    <w:name w:val="footer"/>
    <w:basedOn w:val="Normal"/>
    <w:link w:val="FooterChar"/>
    <w:uiPriority w:val="99"/>
    <w:unhideWhenUsed/>
    <w:rsid w:val="004457F3"/>
    <w:pPr>
      <w:tabs>
        <w:tab w:val="center" w:pos="4320"/>
        <w:tab w:val="right" w:pos="8640"/>
      </w:tabs>
    </w:pPr>
  </w:style>
  <w:style w:type="character" w:customStyle="1" w:styleId="FooterChar">
    <w:name w:val="Footer Char"/>
    <w:basedOn w:val="DefaultParagraphFont"/>
    <w:link w:val="Footer"/>
    <w:uiPriority w:val="99"/>
    <w:rsid w:val="004457F3"/>
    <w:rPr>
      <w:rFonts w:ascii="Times New Roman" w:eastAsia="Times New Roman" w:hAnsi="Times New Roman" w:cs="Times New Roman"/>
    </w:rPr>
  </w:style>
  <w:style w:type="character" w:styleId="PageNumber">
    <w:name w:val="page number"/>
    <w:basedOn w:val="DefaultParagraphFont"/>
    <w:uiPriority w:val="99"/>
    <w:semiHidden/>
    <w:unhideWhenUsed/>
    <w:rsid w:val="004457F3"/>
  </w:style>
  <w:style w:type="character" w:styleId="Hyperlink">
    <w:name w:val="Hyperlink"/>
    <w:basedOn w:val="DefaultParagraphFont"/>
    <w:rsid w:val="00715B1E"/>
    <w:rPr>
      <w:color w:val="0000FF"/>
      <w:u w:val="single"/>
    </w:rPr>
  </w:style>
  <w:style w:type="character" w:customStyle="1" w:styleId="Heading2Char">
    <w:name w:val="Heading 2 Char"/>
    <w:basedOn w:val="DefaultParagraphFont"/>
    <w:link w:val="Heading2"/>
    <w:uiPriority w:val="9"/>
    <w:rsid w:val="00B840CE"/>
    <w:rPr>
      <w:rFonts w:ascii="Calibri" w:eastAsiaTheme="majorEastAsia" w:hAnsi="Calibri" w:cstheme="majorBidi"/>
      <w:b/>
      <w:bCs/>
      <w:color w:val="2E74B5" w:themeColor="accent1" w:themeShade="BF"/>
      <w:sz w:val="28"/>
      <w:szCs w:val="26"/>
    </w:rPr>
  </w:style>
  <w:style w:type="character" w:customStyle="1" w:styleId="Heading3Char">
    <w:name w:val="Heading 3 Char"/>
    <w:basedOn w:val="DefaultParagraphFont"/>
    <w:link w:val="Heading3"/>
    <w:uiPriority w:val="9"/>
    <w:rsid w:val="00B840CE"/>
    <w:rPr>
      <w:rFonts w:ascii="Calibri" w:eastAsiaTheme="majorEastAsia" w:hAnsi="Calibri" w:cstheme="majorBidi"/>
      <w:b/>
      <w:bCs/>
    </w:rPr>
  </w:style>
  <w:style w:type="paragraph" w:styleId="Revision">
    <w:name w:val="Revision"/>
    <w:hidden/>
    <w:uiPriority w:val="99"/>
    <w:semiHidden/>
    <w:rsid w:val="003525E0"/>
    <w:rPr>
      <w:rFonts w:ascii="Calibri" w:eastAsia="Times New Roman" w:hAnsi="Calibri" w:cs="Times New Roman"/>
    </w:rPr>
  </w:style>
  <w:style w:type="character" w:styleId="FollowedHyperlink">
    <w:name w:val="FollowedHyperlink"/>
    <w:basedOn w:val="DefaultParagraphFont"/>
    <w:uiPriority w:val="99"/>
    <w:semiHidden/>
    <w:unhideWhenUsed/>
    <w:rsid w:val="00980E00"/>
    <w:rPr>
      <w:color w:val="954F72" w:themeColor="followedHyperlink"/>
      <w:u w:val="single"/>
    </w:rPr>
  </w:style>
  <w:style w:type="paragraph" w:styleId="EndnoteText">
    <w:name w:val="endnote text"/>
    <w:basedOn w:val="Normal"/>
    <w:link w:val="EndnoteTextChar"/>
    <w:uiPriority w:val="99"/>
    <w:unhideWhenUsed/>
    <w:rsid w:val="00294D14"/>
  </w:style>
  <w:style w:type="character" w:customStyle="1" w:styleId="EndnoteTextChar">
    <w:name w:val="Endnote Text Char"/>
    <w:basedOn w:val="DefaultParagraphFont"/>
    <w:link w:val="EndnoteText"/>
    <w:uiPriority w:val="99"/>
    <w:rsid w:val="00294D14"/>
    <w:rPr>
      <w:rFonts w:ascii="Calibri" w:eastAsia="Times New Roman" w:hAnsi="Calibri" w:cs="Times New Roman"/>
    </w:rPr>
  </w:style>
  <w:style w:type="character" w:styleId="EndnoteReference">
    <w:name w:val="endnote reference"/>
    <w:basedOn w:val="DefaultParagraphFont"/>
    <w:uiPriority w:val="99"/>
    <w:unhideWhenUsed/>
    <w:rsid w:val="00294D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6851">
      <w:bodyDiv w:val="1"/>
      <w:marLeft w:val="0"/>
      <w:marRight w:val="0"/>
      <w:marTop w:val="0"/>
      <w:marBottom w:val="0"/>
      <w:divBdr>
        <w:top w:val="none" w:sz="0" w:space="0" w:color="auto"/>
        <w:left w:val="none" w:sz="0" w:space="0" w:color="auto"/>
        <w:bottom w:val="none" w:sz="0" w:space="0" w:color="auto"/>
        <w:right w:val="none" w:sz="0" w:space="0" w:color="auto"/>
      </w:divBdr>
    </w:div>
    <w:div w:id="383061336">
      <w:bodyDiv w:val="1"/>
      <w:marLeft w:val="0"/>
      <w:marRight w:val="0"/>
      <w:marTop w:val="0"/>
      <w:marBottom w:val="0"/>
      <w:divBdr>
        <w:top w:val="none" w:sz="0" w:space="0" w:color="auto"/>
        <w:left w:val="none" w:sz="0" w:space="0" w:color="auto"/>
        <w:bottom w:val="none" w:sz="0" w:space="0" w:color="auto"/>
        <w:right w:val="none" w:sz="0" w:space="0" w:color="auto"/>
      </w:divBdr>
    </w:div>
    <w:div w:id="421924675">
      <w:bodyDiv w:val="1"/>
      <w:marLeft w:val="0"/>
      <w:marRight w:val="0"/>
      <w:marTop w:val="0"/>
      <w:marBottom w:val="0"/>
      <w:divBdr>
        <w:top w:val="none" w:sz="0" w:space="0" w:color="auto"/>
        <w:left w:val="none" w:sz="0" w:space="0" w:color="auto"/>
        <w:bottom w:val="none" w:sz="0" w:space="0" w:color="auto"/>
        <w:right w:val="none" w:sz="0" w:space="0" w:color="auto"/>
      </w:divBdr>
    </w:div>
    <w:div w:id="443158794">
      <w:bodyDiv w:val="1"/>
      <w:marLeft w:val="0"/>
      <w:marRight w:val="0"/>
      <w:marTop w:val="0"/>
      <w:marBottom w:val="0"/>
      <w:divBdr>
        <w:top w:val="none" w:sz="0" w:space="0" w:color="auto"/>
        <w:left w:val="none" w:sz="0" w:space="0" w:color="auto"/>
        <w:bottom w:val="none" w:sz="0" w:space="0" w:color="auto"/>
        <w:right w:val="none" w:sz="0" w:space="0" w:color="auto"/>
      </w:divBdr>
    </w:div>
    <w:div w:id="1098870709">
      <w:bodyDiv w:val="1"/>
      <w:marLeft w:val="0"/>
      <w:marRight w:val="0"/>
      <w:marTop w:val="0"/>
      <w:marBottom w:val="0"/>
      <w:divBdr>
        <w:top w:val="none" w:sz="0" w:space="0" w:color="auto"/>
        <w:left w:val="none" w:sz="0" w:space="0" w:color="auto"/>
        <w:bottom w:val="none" w:sz="0" w:space="0" w:color="auto"/>
        <w:right w:val="none" w:sz="0" w:space="0" w:color="auto"/>
      </w:divBdr>
    </w:div>
    <w:div w:id="1625232545">
      <w:bodyDiv w:val="1"/>
      <w:marLeft w:val="0"/>
      <w:marRight w:val="0"/>
      <w:marTop w:val="0"/>
      <w:marBottom w:val="0"/>
      <w:divBdr>
        <w:top w:val="none" w:sz="0" w:space="0" w:color="auto"/>
        <w:left w:val="none" w:sz="0" w:space="0" w:color="auto"/>
        <w:bottom w:val="none" w:sz="0" w:space="0" w:color="auto"/>
        <w:right w:val="none" w:sz="0" w:space="0" w:color="auto"/>
      </w:divBdr>
    </w:div>
    <w:div w:id="1906639938">
      <w:bodyDiv w:val="1"/>
      <w:marLeft w:val="0"/>
      <w:marRight w:val="0"/>
      <w:marTop w:val="0"/>
      <w:marBottom w:val="0"/>
      <w:divBdr>
        <w:top w:val="none" w:sz="0" w:space="0" w:color="auto"/>
        <w:left w:val="none" w:sz="0" w:space="0" w:color="auto"/>
        <w:bottom w:val="none" w:sz="0" w:space="0" w:color="auto"/>
        <w:right w:val="none" w:sz="0" w:space="0" w:color="auto"/>
      </w:divBdr>
    </w:div>
    <w:div w:id="2008824730">
      <w:bodyDiv w:val="1"/>
      <w:marLeft w:val="0"/>
      <w:marRight w:val="0"/>
      <w:marTop w:val="0"/>
      <w:marBottom w:val="0"/>
      <w:divBdr>
        <w:top w:val="none" w:sz="0" w:space="0" w:color="auto"/>
        <w:left w:val="none" w:sz="0" w:space="0" w:color="auto"/>
        <w:bottom w:val="none" w:sz="0" w:space="0" w:color="auto"/>
        <w:right w:val="none" w:sz="0" w:space="0" w:color="auto"/>
      </w:divBdr>
    </w:div>
    <w:div w:id="2084176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_nat.htm" TargetMode="External"/><Relationship Id="rId2" Type="http://schemas.openxmlformats.org/officeDocument/2006/relationships/hyperlink" Target="https://healthfinder.gov/" TargetMode="External"/><Relationship Id="rId1" Type="http://schemas.openxmlformats.org/officeDocument/2006/relationships/hyperlink" Target="https://healthfinder.gov/myhealthfinder/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1695426-53A8-4E11-AD4B-9BB6CAB8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12188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Jordan</dc:creator>
  <cp:lastModifiedBy>SYSTEM</cp:lastModifiedBy>
  <cp:revision>2</cp:revision>
  <dcterms:created xsi:type="dcterms:W3CDTF">2018-02-06T17:36:00Z</dcterms:created>
  <dcterms:modified xsi:type="dcterms:W3CDTF">2018-02-06T17:36:00Z</dcterms:modified>
</cp:coreProperties>
</file>