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1D53E" w14:textId="77777777" w:rsidR="00870D59" w:rsidRPr="00020B46"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020B46">
        <w:rPr>
          <w:b/>
          <w:bCs/>
          <w:sz w:val="24"/>
          <w:u w:val="single"/>
        </w:rPr>
        <w:t>Supporting Statement – Part A</w:t>
      </w:r>
    </w:p>
    <w:p w14:paraId="62BE8908" w14:textId="77777777" w:rsidR="00870D59" w:rsidRPr="00020B46" w:rsidRDefault="00870D59">
      <w:pPr>
        <w:tabs>
          <w:tab w:val="center" w:pos="4752"/>
          <w:tab w:val="left" w:pos="5040"/>
          <w:tab w:val="left" w:pos="5760"/>
          <w:tab w:val="left" w:pos="6480"/>
          <w:tab w:val="left" w:pos="7200"/>
          <w:tab w:val="left" w:pos="7920"/>
          <w:tab w:val="left" w:pos="8640"/>
          <w:tab w:val="left" w:pos="9360"/>
        </w:tabs>
        <w:rPr>
          <w:sz w:val="32"/>
          <w:szCs w:val="32"/>
          <w:u w:val="single"/>
        </w:rPr>
      </w:pPr>
    </w:p>
    <w:p w14:paraId="429BEC1F" w14:textId="77777777" w:rsidR="00E81120" w:rsidRPr="00020B46" w:rsidRDefault="00E81120" w:rsidP="00E81120">
      <w:pPr>
        <w:tabs>
          <w:tab w:val="center" w:pos="4752"/>
          <w:tab w:val="left" w:pos="5040"/>
          <w:tab w:val="left" w:pos="5760"/>
          <w:tab w:val="left" w:pos="6480"/>
          <w:tab w:val="left" w:pos="7200"/>
          <w:tab w:val="left" w:pos="7920"/>
          <w:tab w:val="left" w:pos="8640"/>
          <w:tab w:val="left" w:pos="9360"/>
        </w:tabs>
        <w:jc w:val="center"/>
        <w:rPr>
          <w:sz w:val="28"/>
          <w:szCs w:val="28"/>
          <w:u w:val="single"/>
        </w:rPr>
      </w:pPr>
      <w:r w:rsidRPr="00020B46">
        <w:rPr>
          <w:sz w:val="28"/>
          <w:szCs w:val="28"/>
          <w:u w:val="single"/>
        </w:rPr>
        <w:t>Regulation 605</w:t>
      </w:r>
      <w:r w:rsidR="00977352" w:rsidRPr="00020B46">
        <w:rPr>
          <w:sz w:val="28"/>
          <w:szCs w:val="28"/>
          <w:u w:val="single"/>
        </w:rPr>
        <w:t>0</w:t>
      </w:r>
      <w:r w:rsidRPr="00020B46">
        <w:rPr>
          <w:sz w:val="28"/>
          <w:szCs w:val="28"/>
          <w:u w:val="single"/>
        </w:rPr>
        <w:t>-P: Prior Authorization Process for Certain Durable Medical Equipment, Prosthetics, Orthotics, and Supplies (DMEPOS) Items</w:t>
      </w:r>
    </w:p>
    <w:p w14:paraId="72BE3088" w14:textId="77777777" w:rsidR="008F1EB4" w:rsidRPr="00020B46" w:rsidRDefault="008F1EB4" w:rsidP="00E81120">
      <w:pPr>
        <w:tabs>
          <w:tab w:val="center" w:pos="4752"/>
          <w:tab w:val="left" w:pos="5040"/>
          <w:tab w:val="left" w:pos="5760"/>
          <w:tab w:val="left" w:pos="6480"/>
          <w:tab w:val="left" w:pos="7200"/>
          <w:tab w:val="left" w:pos="7920"/>
          <w:tab w:val="left" w:pos="8640"/>
          <w:tab w:val="left" w:pos="9360"/>
        </w:tabs>
        <w:jc w:val="center"/>
        <w:rPr>
          <w:sz w:val="28"/>
          <w:szCs w:val="28"/>
          <w:u w:val="single"/>
        </w:rPr>
      </w:pPr>
      <w:r w:rsidRPr="00020B46">
        <w:rPr>
          <w:sz w:val="28"/>
          <w:szCs w:val="28"/>
          <w:u w:val="single"/>
        </w:rPr>
        <w:t>Supporting Statement For Paperwork Reduction Act Submissions</w:t>
      </w:r>
    </w:p>
    <w:p w14:paraId="0558D85B" w14:textId="77777777" w:rsidR="008F1EB4" w:rsidRPr="00020B46"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3C70D3C8" w14:textId="77777777" w:rsidR="001E7D47" w:rsidRPr="00020B46" w:rsidRDefault="001E7D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796663"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20B46">
        <w:rPr>
          <w:b/>
          <w:bCs/>
          <w:sz w:val="24"/>
          <w:u w:val="single"/>
        </w:rPr>
        <w:t>A.</w:t>
      </w:r>
      <w:r w:rsidRPr="00020B46">
        <w:rPr>
          <w:b/>
          <w:bCs/>
          <w:sz w:val="24"/>
        </w:rPr>
        <w:tab/>
      </w:r>
      <w:r w:rsidRPr="00020B46">
        <w:rPr>
          <w:b/>
          <w:bCs/>
          <w:sz w:val="24"/>
          <w:u w:val="single"/>
        </w:rPr>
        <w:t>Background</w:t>
      </w:r>
    </w:p>
    <w:p w14:paraId="7F59CFC8"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853A78" w14:textId="77777777" w:rsidR="00A44683" w:rsidRPr="00020B46" w:rsidRDefault="007E6CBC" w:rsidP="00B70DA3">
      <w:pPr>
        <w:pStyle w:val="NormalWeb"/>
        <w:spacing w:before="0" w:beforeAutospacing="0" w:after="0" w:afterAutospacing="0"/>
        <w:ind w:left="720"/>
        <w:rPr>
          <w:sz w:val="22"/>
          <w:szCs w:val="22"/>
        </w:rPr>
      </w:pPr>
      <w:r w:rsidRPr="00020B46">
        <w:rPr>
          <w:sz w:val="22"/>
          <w:szCs w:val="22"/>
        </w:rPr>
        <w:t>A</w:t>
      </w:r>
      <w:r w:rsidR="00A44683" w:rsidRPr="00020B46">
        <w:rPr>
          <w:sz w:val="22"/>
          <w:szCs w:val="22"/>
        </w:rPr>
        <w:t xml:space="preserve"> revis</w:t>
      </w:r>
      <w:r w:rsidRPr="00020B46">
        <w:rPr>
          <w:sz w:val="22"/>
          <w:szCs w:val="22"/>
        </w:rPr>
        <w:t xml:space="preserve">ion is being made to </w:t>
      </w:r>
      <w:r w:rsidR="00A44683" w:rsidRPr="00020B46">
        <w:rPr>
          <w:sz w:val="22"/>
          <w:szCs w:val="22"/>
        </w:rPr>
        <w:t>§</w:t>
      </w:r>
      <w:r w:rsidR="009156C7" w:rsidRPr="00020B46">
        <w:rPr>
          <w:sz w:val="22"/>
          <w:szCs w:val="22"/>
        </w:rPr>
        <w:t>414</w:t>
      </w:r>
      <w:r w:rsidR="00A44683" w:rsidRPr="00020B46">
        <w:rPr>
          <w:sz w:val="22"/>
          <w:szCs w:val="22"/>
        </w:rPr>
        <w:t>.</w:t>
      </w:r>
      <w:r w:rsidR="009156C7" w:rsidRPr="00020B46">
        <w:rPr>
          <w:sz w:val="22"/>
          <w:szCs w:val="22"/>
        </w:rPr>
        <w:t>234</w:t>
      </w:r>
      <w:r w:rsidR="00A44683" w:rsidRPr="00020B46">
        <w:rPr>
          <w:sz w:val="22"/>
          <w:szCs w:val="22"/>
        </w:rPr>
        <w:t xml:space="preserve"> to require, </w:t>
      </w:r>
      <w:r w:rsidR="009156C7" w:rsidRPr="00020B46">
        <w:rPr>
          <w:sz w:val="22"/>
          <w:szCs w:val="22"/>
        </w:rPr>
        <w:t>as a condition for payment, a</w:t>
      </w:r>
      <w:r w:rsidR="00E947C7" w:rsidRPr="00020B46">
        <w:rPr>
          <w:sz w:val="22"/>
          <w:szCs w:val="22"/>
        </w:rPr>
        <w:t xml:space="preserve"> </w:t>
      </w:r>
      <w:r w:rsidR="00D8519C" w:rsidRPr="00020B46">
        <w:rPr>
          <w:sz w:val="22"/>
          <w:szCs w:val="22"/>
        </w:rPr>
        <w:t xml:space="preserve">provisional </w:t>
      </w:r>
      <w:r w:rsidR="009156C7" w:rsidRPr="00020B46">
        <w:rPr>
          <w:sz w:val="22"/>
          <w:szCs w:val="22"/>
        </w:rPr>
        <w:t xml:space="preserve"> prior authorization decision</w:t>
      </w:r>
      <w:r w:rsidR="00D8519C" w:rsidRPr="00020B46">
        <w:rPr>
          <w:sz w:val="22"/>
          <w:szCs w:val="22"/>
        </w:rPr>
        <w:t xml:space="preserve"> </w:t>
      </w:r>
      <w:r w:rsidR="009156C7" w:rsidRPr="00020B46">
        <w:rPr>
          <w:sz w:val="22"/>
          <w:szCs w:val="22"/>
        </w:rPr>
        <w:t xml:space="preserve"> for certain items of Durable Medical Equipment, </w:t>
      </w:r>
      <w:r w:rsidR="00AA0805" w:rsidRPr="00020B46">
        <w:rPr>
          <w:rStyle w:val="st1"/>
          <w:sz w:val="22"/>
          <w:szCs w:val="22"/>
          <w:lang w:val="en"/>
        </w:rPr>
        <w:t>Prosthetics</w:t>
      </w:r>
      <w:r w:rsidR="009156C7" w:rsidRPr="00020B46">
        <w:rPr>
          <w:rStyle w:val="st1"/>
          <w:sz w:val="22"/>
          <w:szCs w:val="22"/>
          <w:lang w:val="en"/>
        </w:rPr>
        <w:t xml:space="preserve">, </w:t>
      </w:r>
      <w:r w:rsidR="00AA0805" w:rsidRPr="00020B46">
        <w:rPr>
          <w:rStyle w:val="st1"/>
          <w:sz w:val="22"/>
          <w:szCs w:val="22"/>
          <w:lang w:val="en"/>
        </w:rPr>
        <w:t xml:space="preserve">Orthotics </w:t>
      </w:r>
      <w:r w:rsidR="009156C7" w:rsidRPr="00020B46">
        <w:rPr>
          <w:rStyle w:val="st1"/>
          <w:sz w:val="22"/>
          <w:szCs w:val="22"/>
          <w:lang w:val="en"/>
        </w:rPr>
        <w:t xml:space="preserve">and </w:t>
      </w:r>
      <w:r w:rsidR="00AA0805" w:rsidRPr="00020B46">
        <w:rPr>
          <w:rStyle w:val="st1"/>
          <w:sz w:val="22"/>
          <w:szCs w:val="22"/>
          <w:lang w:val="en"/>
        </w:rPr>
        <w:t>Supplies</w:t>
      </w:r>
      <w:r w:rsidR="00AA0805" w:rsidRPr="00020B46">
        <w:rPr>
          <w:sz w:val="22"/>
          <w:szCs w:val="22"/>
        </w:rPr>
        <w:t xml:space="preserve"> </w:t>
      </w:r>
      <w:r w:rsidR="009156C7" w:rsidRPr="00020B46">
        <w:rPr>
          <w:sz w:val="22"/>
          <w:szCs w:val="22"/>
        </w:rPr>
        <w:t xml:space="preserve">(DMEPOS).  A claim submitted </w:t>
      </w:r>
      <w:r w:rsidR="00D8519C" w:rsidRPr="00020B46">
        <w:rPr>
          <w:sz w:val="22"/>
          <w:szCs w:val="22"/>
        </w:rPr>
        <w:t xml:space="preserve">for processing </w:t>
      </w:r>
      <w:r w:rsidR="00215540" w:rsidRPr="00020B46">
        <w:rPr>
          <w:sz w:val="22"/>
          <w:szCs w:val="22"/>
        </w:rPr>
        <w:t xml:space="preserve">the certain DMEPOS item </w:t>
      </w:r>
      <w:r w:rsidR="009156C7" w:rsidRPr="00020B46">
        <w:rPr>
          <w:sz w:val="22"/>
          <w:szCs w:val="22"/>
        </w:rPr>
        <w:t>with a</w:t>
      </w:r>
      <w:r w:rsidR="00D8519C" w:rsidRPr="00020B46">
        <w:rPr>
          <w:sz w:val="22"/>
          <w:szCs w:val="22"/>
        </w:rPr>
        <w:t xml:space="preserve"> provisional </w:t>
      </w:r>
      <w:r w:rsidR="009156C7" w:rsidRPr="00020B46">
        <w:rPr>
          <w:sz w:val="22"/>
          <w:szCs w:val="22"/>
        </w:rPr>
        <w:t xml:space="preserve">affirmative prior authorization will be paid </w:t>
      </w:r>
      <w:r w:rsidR="00D8519C" w:rsidRPr="00020B46">
        <w:rPr>
          <w:sz w:val="22"/>
          <w:szCs w:val="22"/>
        </w:rPr>
        <w:t xml:space="preserve">as </w:t>
      </w:r>
      <w:r w:rsidR="009156C7" w:rsidRPr="00020B46">
        <w:rPr>
          <w:sz w:val="22"/>
          <w:szCs w:val="22"/>
        </w:rPr>
        <w:t>long as all other requirements are met. A claim submitted</w:t>
      </w:r>
      <w:r w:rsidR="00D8519C" w:rsidRPr="00020B46">
        <w:rPr>
          <w:sz w:val="22"/>
          <w:szCs w:val="22"/>
        </w:rPr>
        <w:t xml:space="preserve"> for processing</w:t>
      </w:r>
      <w:r w:rsidR="009156C7" w:rsidRPr="00020B46">
        <w:rPr>
          <w:sz w:val="22"/>
          <w:szCs w:val="22"/>
        </w:rPr>
        <w:t xml:space="preserve"> with a non-affirmative decision or without a decision will be denied.</w:t>
      </w:r>
    </w:p>
    <w:p w14:paraId="1920EF87" w14:textId="77777777" w:rsidR="001E7D47" w:rsidRPr="00020B46" w:rsidRDefault="001E7D47" w:rsidP="00B70DA3">
      <w:pPr>
        <w:pStyle w:val="NormalWeb"/>
        <w:spacing w:before="0" w:beforeAutospacing="0" w:after="0" w:afterAutospacing="0"/>
        <w:ind w:left="720"/>
        <w:rPr>
          <w:sz w:val="22"/>
          <w:szCs w:val="22"/>
        </w:rPr>
      </w:pPr>
    </w:p>
    <w:p w14:paraId="1F91D108" w14:textId="77777777" w:rsidR="00145AB9" w:rsidRPr="00020B46" w:rsidRDefault="00D8519C"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20B46">
        <w:rPr>
          <w:sz w:val="22"/>
          <w:szCs w:val="22"/>
        </w:rPr>
        <w:t xml:space="preserve">Subsequent to codification of </w:t>
      </w:r>
      <w:r w:rsidR="00145AB9" w:rsidRPr="00020B46">
        <w:rPr>
          <w:sz w:val="22"/>
          <w:szCs w:val="22"/>
        </w:rPr>
        <w:t xml:space="preserve">section 414.234(c), </w:t>
      </w:r>
      <w:r w:rsidRPr="00020B46">
        <w:rPr>
          <w:sz w:val="22"/>
          <w:szCs w:val="22"/>
        </w:rPr>
        <w:t>a new</w:t>
      </w:r>
      <w:r w:rsidR="00145AB9" w:rsidRPr="00020B46">
        <w:rPr>
          <w:sz w:val="22"/>
          <w:szCs w:val="22"/>
        </w:rPr>
        <w:t xml:space="preserve"> condition of payment for </w:t>
      </w:r>
      <w:r w:rsidR="00564BB5" w:rsidRPr="00020B46">
        <w:rPr>
          <w:sz w:val="22"/>
          <w:szCs w:val="22"/>
        </w:rPr>
        <w:t xml:space="preserve">items on </w:t>
      </w:r>
      <w:r w:rsidR="00215540" w:rsidRPr="00020B46">
        <w:rPr>
          <w:sz w:val="22"/>
          <w:szCs w:val="22"/>
        </w:rPr>
        <w:t xml:space="preserve">a </w:t>
      </w:r>
      <w:r w:rsidR="00564BB5" w:rsidRPr="00020B46">
        <w:rPr>
          <w:sz w:val="22"/>
          <w:szCs w:val="22"/>
        </w:rPr>
        <w:t>Master List</w:t>
      </w:r>
      <w:r w:rsidRPr="00020B46">
        <w:rPr>
          <w:sz w:val="22"/>
          <w:szCs w:val="22"/>
        </w:rPr>
        <w:t xml:space="preserve"> </w:t>
      </w:r>
      <w:r w:rsidR="00FD09F2" w:rsidRPr="00020B46">
        <w:rPr>
          <w:sz w:val="22"/>
          <w:szCs w:val="22"/>
        </w:rPr>
        <w:t>of DMEPOS items frequently subject to unnecessary utilization is</w:t>
      </w:r>
      <w:r w:rsidRPr="00020B46">
        <w:rPr>
          <w:sz w:val="22"/>
          <w:szCs w:val="22"/>
        </w:rPr>
        <w:t xml:space="preserve"> created.  The new condition of payment is </w:t>
      </w:r>
      <w:r w:rsidR="00145AB9" w:rsidRPr="00020B46">
        <w:rPr>
          <w:sz w:val="22"/>
          <w:szCs w:val="22"/>
        </w:rPr>
        <w:t>that a prior authorization request be submitted</w:t>
      </w:r>
      <w:r w:rsidR="00564BB5" w:rsidRPr="00020B46">
        <w:rPr>
          <w:sz w:val="22"/>
          <w:szCs w:val="22"/>
        </w:rPr>
        <w:t xml:space="preserve"> for </w:t>
      </w:r>
      <w:r w:rsidR="00977352" w:rsidRPr="00020B46">
        <w:rPr>
          <w:sz w:val="22"/>
          <w:szCs w:val="22"/>
        </w:rPr>
        <w:t xml:space="preserve">select items on the </w:t>
      </w:r>
      <w:r w:rsidR="00564BB5" w:rsidRPr="00020B46">
        <w:rPr>
          <w:sz w:val="22"/>
          <w:szCs w:val="22"/>
        </w:rPr>
        <w:t xml:space="preserve">Master List </w:t>
      </w:r>
      <w:r w:rsidR="00145AB9" w:rsidRPr="00020B46">
        <w:rPr>
          <w:sz w:val="22"/>
          <w:szCs w:val="22"/>
        </w:rPr>
        <w:t>prior to the submission of a claim.</w:t>
      </w:r>
      <w:r w:rsidR="00215540" w:rsidRPr="00020B46">
        <w:rPr>
          <w:sz w:val="22"/>
          <w:szCs w:val="22"/>
        </w:rPr>
        <w:t xml:space="preserve">  The proposed rule </w:t>
      </w:r>
      <w:r w:rsidR="00977352" w:rsidRPr="00020B46">
        <w:rPr>
          <w:sz w:val="22"/>
          <w:szCs w:val="22"/>
        </w:rPr>
        <w:t xml:space="preserve">also </w:t>
      </w:r>
      <w:r w:rsidR="00215540" w:rsidRPr="00020B46">
        <w:rPr>
          <w:sz w:val="22"/>
          <w:szCs w:val="22"/>
        </w:rPr>
        <w:t>creates the Master List.</w:t>
      </w:r>
    </w:p>
    <w:p w14:paraId="380CE238" w14:textId="77777777" w:rsidR="00FB0BCA" w:rsidRPr="00020B46" w:rsidRDefault="00FB0BCA" w:rsidP="00B70DA3">
      <w:pPr>
        <w:widowControl/>
        <w:tabs>
          <w:tab w:val="left" w:pos="-2160"/>
          <w:tab w:val="left" w:pos="-144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614F4EAA" w14:textId="77777777" w:rsidR="00BC2137" w:rsidRPr="00020B46" w:rsidRDefault="00FB0BCA" w:rsidP="00B70DA3">
      <w:pPr>
        <w:widowControl/>
        <w:tabs>
          <w:tab w:val="left" w:pos="-2160"/>
          <w:tab w:val="left" w:pos="-1440"/>
          <w:tab w:val="left" w:pos="-72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sz w:val="22"/>
          <w:szCs w:val="22"/>
        </w:rPr>
      </w:pPr>
      <w:r w:rsidRPr="00020B46">
        <w:rPr>
          <w:sz w:val="22"/>
          <w:szCs w:val="22"/>
        </w:rPr>
        <w:t>Presence of an item(s) on the Master List does not automatically result in that item being subject to prior authorization.  In order to balance provider burden and our need to protect the Trust Funds, we propose to initially implement prior authorization for a subset of items on the Master List.  This subset of items will be called the Required Prior Authorization List.</w:t>
      </w:r>
      <w:r w:rsidR="00BC2137" w:rsidRPr="00020B46">
        <w:rPr>
          <w:sz w:val="22"/>
          <w:szCs w:val="22"/>
        </w:rPr>
        <w:t xml:space="preserve">  The proposed rule does not create the Required Prior Authorization List. </w:t>
      </w:r>
      <w:r w:rsidR="00BC2137" w:rsidRPr="00020B46">
        <w:rPr>
          <w:snapToGrid w:val="0"/>
          <w:sz w:val="22"/>
          <w:szCs w:val="22"/>
        </w:rPr>
        <w:t xml:space="preserve">We propose that we inform the public of the Required Prior Authorization List in the </w:t>
      </w:r>
      <w:r w:rsidR="00BC2137" w:rsidRPr="00020B46">
        <w:rPr>
          <w:b/>
          <w:snapToGrid w:val="0"/>
          <w:sz w:val="22"/>
          <w:szCs w:val="22"/>
        </w:rPr>
        <w:t>Federal Register</w:t>
      </w:r>
      <w:r w:rsidR="00BC2137" w:rsidRPr="00020B46">
        <w:rPr>
          <w:snapToGrid w:val="0"/>
          <w:sz w:val="22"/>
          <w:szCs w:val="22"/>
        </w:rPr>
        <w:t xml:space="preserve"> with 60-day notice before implementation. </w:t>
      </w:r>
    </w:p>
    <w:p w14:paraId="3A89C52C" w14:textId="77777777" w:rsidR="00546074" w:rsidRPr="00020B46" w:rsidRDefault="00546074"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525DF4A9" w14:textId="77777777" w:rsidR="00FD09F2" w:rsidRPr="00020B46" w:rsidRDefault="00145AB9"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20B46">
        <w:rPr>
          <w:sz w:val="22"/>
          <w:szCs w:val="22"/>
        </w:rPr>
        <w:t xml:space="preserve">For purposes of this proposed rule, we are defining unnecessary utilization as “the furnishing of items or services that do not comply with one or more of Medicare’s clinical documentation, coverage, payment and coding rules, as applicable.”  </w:t>
      </w:r>
      <w:r w:rsidR="00564BB5" w:rsidRPr="00020B46">
        <w:rPr>
          <w:sz w:val="22"/>
          <w:szCs w:val="22"/>
        </w:rPr>
        <w:t xml:space="preserve">In addition, </w:t>
      </w:r>
      <w:r w:rsidR="00317FB7" w:rsidRPr="00020B46">
        <w:rPr>
          <w:sz w:val="22"/>
          <w:szCs w:val="22"/>
        </w:rPr>
        <w:t>we are defining i</w:t>
      </w:r>
      <w:r w:rsidRPr="00020B46">
        <w:rPr>
          <w:sz w:val="22"/>
          <w:szCs w:val="22"/>
        </w:rPr>
        <w:t xml:space="preserve">tems frequently subject to unnecessary utilization </w:t>
      </w:r>
      <w:r w:rsidR="00FD09F2" w:rsidRPr="00020B46">
        <w:rPr>
          <w:sz w:val="22"/>
          <w:szCs w:val="22"/>
        </w:rPr>
        <w:t xml:space="preserve">and thus meeting the Master List inclusion criteria </w:t>
      </w:r>
      <w:r w:rsidR="00317FB7" w:rsidRPr="00020B46">
        <w:rPr>
          <w:sz w:val="22"/>
          <w:szCs w:val="22"/>
        </w:rPr>
        <w:t xml:space="preserve">as </w:t>
      </w:r>
      <w:r w:rsidRPr="00020B46">
        <w:rPr>
          <w:sz w:val="22"/>
          <w:szCs w:val="22"/>
        </w:rPr>
        <w:t xml:space="preserve">those </w:t>
      </w:r>
    </w:p>
    <w:p w14:paraId="797FE2C3" w14:textId="77777777" w:rsidR="00FD09F2" w:rsidRPr="00020B46" w:rsidRDefault="00145AB9"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20B46">
        <w:rPr>
          <w:sz w:val="22"/>
          <w:szCs w:val="22"/>
        </w:rPr>
        <w:t xml:space="preserve">identified by evaluation of past payment experience.  Specifically, and for the purpose of this proposed rule, </w:t>
      </w:r>
      <w:r w:rsidR="00FD09F2" w:rsidRPr="00020B46">
        <w:rPr>
          <w:sz w:val="22"/>
          <w:szCs w:val="22"/>
        </w:rPr>
        <w:t>Master List inclusion criteria are</w:t>
      </w:r>
      <w:r w:rsidR="00215540" w:rsidRPr="00020B46">
        <w:rPr>
          <w:sz w:val="22"/>
          <w:szCs w:val="22"/>
        </w:rPr>
        <w:t xml:space="preserve"> DMEPOS items</w:t>
      </w:r>
      <w:r w:rsidR="00977352" w:rsidRPr="00020B46">
        <w:rPr>
          <w:sz w:val="22"/>
          <w:szCs w:val="22"/>
        </w:rPr>
        <w:t xml:space="preserve"> that are</w:t>
      </w:r>
      <w:r w:rsidR="00FD09F2" w:rsidRPr="00020B46">
        <w:rPr>
          <w:sz w:val="22"/>
          <w:szCs w:val="22"/>
        </w:rPr>
        <w:t>:</w:t>
      </w:r>
    </w:p>
    <w:p w14:paraId="3A2B5E35" w14:textId="77777777" w:rsidR="00FD09F2" w:rsidRPr="00020B46" w:rsidRDefault="00145AB9" w:rsidP="00B70DA3">
      <w:pPr>
        <w:pStyle w:val="ListParagraph"/>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20B46">
        <w:rPr>
          <w:rFonts w:ascii="Times New Roman" w:hAnsi="Times New Roman"/>
        </w:rPr>
        <w:t xml:space="preserve">subject to high incidence of fraud, improper payments or unnecessary utilization </w:t>
      </w:r>
      <w:r w:rsidR="00D8519C" w:rsidRPr="00020B46">
        <w:rPr>
          <w:rFonts w:ascii="Times New Roman" w:hAnsi="Times New Roman"/>
        </w:rPr>
        <w:t>as</w:t>
      </w:r>
      <w:r w:rsidR="00F32ED0" w:rsidRPr="00020B46">
        <w:rPr>
          <w:rFonts w:ascii="Times New Roman" w:hAnsi="Times New Roman"/>
        </w:rPr>
        <w:t xml:space="preserve"> </w:t>
      </w:r>
      <w:r w:rsidR="00D8519C" w:rsidRPr="00020B46">
        <w:rPr>
          <w:rFonts w:ascii="Times New Roman" w:hAnsi="Times New Roman"/>
        </w:rPr>
        <w:t xml:space="preserve">described in </w:t>
      </w:r>
      <w:r w:rsidR="00FD09F2" w:rsidRPr="00020B46">
        <w:rPr>
          <w:rFonts w:ascii="Times New Roman" w:hAnsi="Times New Roman"/>
        </w:rPr>
        <w:t xml:space="preserve">2007 or later </w:t>
      </w:r>
      <w:r w:rsidRPr="00020B46">
        <w:rPr>
          <w:rFonts w:ascii="Times New Roman" w:hAnsi="Times New Roman"/>
        </w:rPr>
        <w:t>GAO or OIG reports</w:t>
      </w:r>
      <w:r w:rsidR="00FD09F2" w:rsidRPr="00020B46">
        <w:rPr>
          <w:rFonts w:ascii="Times New Roman" w:hAnsi="Times New Roman"/>
        </w:rPr>
        <w:t>,</w:t>
      </w:r>
      <w:r w:rsidRPr="00020B46">
        <w:rPr>
          <w:rFonts w:ascii="Times New Roman" w:hAnsi="Times New Roman"/>
        </w:rPr>
        <w:t xml:space="preserve"> </w:t>
      </w:r>
      <w:r w:rsidRPr="00020B46">
        <w:rPr>
          <w:rFonts w:ascii="Times New Roman" w:hAnsi="Times New Roman"/>
          <w:b/>
        </w:rPr>
        <w:t>or</w:t>
      </w:r>
    </w:p>
    <w:p w14:paraId="2CC9EB66" w14:textId="77777777" w:rsidR="00FD09F2" w:rsidRPr="00020B46" w:rsidRDefault="00215540" w:rsidP="00B70DA3">
      <w:pPr>
        <w:pStyle w:val="ListParagraph"/>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20B46">
        <w:rPr>
          <w:rFonts w:ascii="Times New Roman" w:hAnsi="Times New Roman"/>
        </w:rPr>
        <w:t xml:space="preserve">reported in </w:t>
      </w:r>
      <w:r w:rsidR="00145AB9" w:rsidRPr="00020B46">
        <w:rPr>
          <w:rFonts w:ascii="Times New Roman" w:hAnsi="Times New Roman"/>
        </w:rPr>
        <w:t>the appendix of the</w:t>
      </w:r>
      <w:r w:rsidRPr="00020B46">
        <w:rPr>
          <w:rFonts w:ascii="Times New Roman" w:hAnsi="Times New Roman"/>
        </w:rPr>
        <w:t xml:space="preserve"> </w:t>
      </w:r>
      <w:r w:rsidR="00FD09F2" w:rsidRPr="00020B46">
        <w:rPr>
          <w:rFonts w:ascii="Times New Roman" w:hAnsi="Times New Roman"/>
        </w:rPr>
        <w:t>2011 or later</w:t>
      </w:r>
      <w:r w:rsidR="00145AB9" w:rsidRPr="00020B46">
        <w:rPr>
          <w:rFonts w:ascii="Times New Roman" w:hAnsi="Times New Roman"/>
        </w:rPr>
        <w:t xml:space="preserve"> CERT report listing DMEPOS items with the highest improper payments</w:t>
      </w:r>
      <w:r w:rsidRPr="00020B46">
        <w:rPr>
          <w:rFonts w:ascii="Times New Roman" w:hAnsi="Times New Roman"/>
        </w:rPr>
        <w:t xml:space="preserve">, </w:t>
      </w:r>
      <w:r w:rsidRPr="00020B46">
        <w:rPr>
          <w:rFonts w:ascii="Times New Roman" w:hAnsi="Times New Roman"/>
          <w:b/>
        </w:rPr>
        <w:t>and</w:t>
      </w:r>
    </w:p>
    <w:p w14:paraId="59588138" w14:textId="77777777" w:rsidR="00546074" w:rsidRPr="00020B46" w:rsidRDefault="00977352" w:rsidP="00B70DA3">
      <w:pPr>
        <w:pStyle w:val="ListParagraph"/>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20B46">
        <w:rPr>
          <w:rFonts w:ascii="Times New Roman" w:hAnsi="Times New Roman"/>
        </w:rPr>
        <w:t>priced with</w:t>
      </w:r>
      <w:r w:rsidR="00215540" w:rsidRPr="00020B46">
        <w:rPr>
          <w:rFonts w:ascii="Times New Roman" w:hAnsi="Times New Roman"/>
        </w:rPr>
        <w:t xml:space="preserve"> </w:t>
      </w:r>
      <w:r w:rsidR="00145AB9" w:rsidRPr="00020B46">
        <w:rPr>
          <w:rFonts w:ascii="Times New Roman" w:hAnsi="Times New Roman"/>
        </w:rPr>
        <w:t xml:space="preserve">an average purchase fee of $1,000 or greater or an average rental fee schedule of $100 or greater and is listed on the DMEPOS fee schedule.  </w:t>
      </w:r>
    </w:p>
    <w:p w14:paraId="33622107" w14:textId="77777777" w:rsidR="001372F3" w:rsidRPr="00020B46" w:rsidRDefault="001372F3"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5699E1A8" w14:textId="77777777" w:rsidR="00A80278" w:rsidRPr="00020B46" w:rsidRDefault="00FB0BCA" w:rsidP="00B70DA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020B46">
        <w:rPr>
          <w:sz w:val="22"/>
          <w:szCs w:val="22"/>
        </w:rPr>
        <w:t xml:space="preserve">This proposed rule would not change documentation requirements specified in policy or who originates the documentation.  </w:t>
      </w:r>
      <w:r w:rsidR="00A80278" w:rsidRPr="00020B46">
        <w:rPr>
          <w:sz w:val="22"/>
          <w:szCs w:val="22"/>
        </w:rPr>
        <w:t>R</w:t>
      </w:r>
      <w:r w:rsidR="00D700AE" w:rsidRPr="00020B46">
        <w:rPr>
          <w:sz w:val="22"/>
          <w:szCs w:val="22"/>
        </w:rPr>
        <w:t>ather, r</w:t>
      </w:r>
      <w:r w:rsidR="00145AB9" w:rsidRPr="00020B46">
        <w:rPr>
          <w:sz w:val="22"/>
          <w:szCs w:val="22"/>
        </w:rPr>
        <w:t>equire</w:t>
      </w:r>
      <w:r w:rsidR="00A80278" w:rsidRPr="00020B46">
        <w:rPr>
          <w:sz w:val="22"/>
          <w:szCs w:val="22"/>
        </w:rPr>
        <w:t>d</w:t>
      </w:r>
      <w:r w:rsidR="00145AB9" w:rsidRPr="00020B46">
        <w:rPr>
          <w:sz w:val="22"/>
          <w:szCs w:val="22"/>
        </w:rPr>
        <w:t xml:space="preserve"> information to support Medicare provisional </w:t>
      </w:r>
      <w:r w:rsidR="00A80278" w:rsidRPr="00020B46">
        <w:rPr>
          <w:sz w:val="22"/>
          <w:szCs w:val="22"/>
        </w:rPr>
        <w:t xml:space="preserve">prior authorization </w:t>
      </w:r>
      <w:r w:rsidR="00145AB9" w:rsidRPr="00020B46">
        <w:rPr>
          <w:sz w:val="22"/>
          <w:szCs w:val="22"/>
        </w:rPr>
        <w:t xml:space="preserve">determination </w:t>
      </w:r>
      <w:r w:rsidR="00A80278" w:rsidRPr="00020B46">
        <w:rPr>
          <w:sz w:val="22"/>
          <w:szCs w:val="22"/>
        </w:rPr>
        <w:t xml:space="preserve">is provided </w:t>
      </w:r>
      <w:r w:rsidR="00145AB9" w:rsidRPr="00020B46">
        <w:rPr>
          <w:sz w:val="22"/>
          <w:szCs w:val="22"/>
        </w:rPr>
        <w:t xml:space="preserve">earlier in the process, before the item is delivered.  This would ensure that all relevant clinical and/or medical documentation requirements are met before the item is delivered to the beneficiary and before the claim is submitted for payment.  A prior </w:t>
      </w:r>
      <w:r w:rsidR="00145AB9" w:rsidRPr="00020B46">
        <w:rPr>
          <w:sz w:val="22"/>
          <w:szCs w:val="22"/>
        </w:rPr>
        <w:lastRenderedPageBreak/>
        <w:t>authorization</w:t>
      </w:r>
      <w:r w:rsidR="001372F3" w:rsidRPr="00020B46">
        <w:rPr>
          <w:sz w:val="22"/>
          <w:szCs w:val="22"/>
        </w:rPr>
        <w:t xml:space="preserve"> </w:t>
      </w:r>
      <w:r w:rsidR="00145AB9" w:rsidRPr="00020B46">
        <w:rPr>
          <w:sz w:val="22"/>
          <w:szCs w:val="22"/>
        </w:rPr>
        <w:t xml:space="preserve">request would include evidence that the request for payment complies with all Medicare clinical documentation, coverage, payment and coding rules.  </w:t>
      </w:r>
    </w:p>
    <w:p w14:paraId="6872DB3F" w14:textId="77777777" w:rsidR="00546074" w:rsidRPr="00020B46" w:rsidRDefault="0054607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bookmarkStart w:id="0" w:name="act-1834-a-15-c-ii"/>
      <w:bookmarkStart w:id="1" w:name="act-1834-a-15-c-iii"/>
      <w:bookmarkStart w:id="2" w:name="act-1834-a-15-c"/>
      <w:bookmarkStart w:id="3" w:name="act-1834-a-15-a"/>
      <w:bookmarkEnd w:id="0"/>
      <w:bookmarkEnd w:id="1"/>
      <w:bookmarkEnd w:id="2"/>
      <w:bookmarkEnd w:id="3"/>
    </w:p>
    <w:p w14:paraId="1951EB56" w14:textId="77777777" w:rsidR="008F1EB4" w:rsidRPr="00020B46"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20B46">
        <w:rPr>
          <w:b/>
          <w:bCs/>
          <w:sz w:val="22"/>
          <w:szCs w:val="22"/>
          <w:u w:val="single"/>
        </w:rPr>
        <w:t>B.</w:t>
      </w:r>
      <w:r w:rsidRPr="00020B46">
        <w:rPr>
          <w:b/>
          <w:bCs/>
          <w:sz w:val="22"/>
          <w:szCs w:val="22"/>
        </w:rPr>
        <w:tab/>
      </w:r>
      <w:r w:rsidRPr="00020B46">
        <w:rPr>
          <w:b/>
          <w:bCs/>
          <w:sz w:val="22"/>
          <w:szCs w:val="22"/>
          <w:u w:val="single"/>
        </w:rPr>
        <w:t>Justification</w:t>
      </w:r>
    </w:p>
    <w:p w14:paraId="76BE07D9" w14:textId="77777777" w:rsidR="008F1EB4" w:rsidRPr="00020B46"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3400637" w14:textId="77777777" w:rsidR="008F1EB4" w:rsidRPr="00020B46"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sidRPr="00020B46">
        <w:rPr>
          <w:sz w:val="22"/>
          <w:szCs w:val="22"/>
        </w:rPr>
        <w:t>1 .</w:t>
      </w:r>
      <w:r w:rsidRPr="00020B46">
        <w:rPr>
          <w:sz w:val="22"/>
          <w:szCs w:val="22"/>
        </w:rPr>
        <w:tab/>
      </w:r>
      <w:r w:rsidRPr="00020B46">
        <w:rPr>
          <w:sz w:val="22"/>
          <w:szCs w:val="22"/>
          <w:u w:val="single"/>
        </w:rPr>
        <w:t>Legal Basis</w:t>
      </w:r>
    </w:p>
    <w:p w14:paraId="7A3B6BE1" w14:textId="77777777" w:rsidR="008F1EB4" w:rsidRPr="00020B46"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4A69956" w14:textId="77777777" w:rsidR="00A44683" w:rsidRPr="00020B46" w:rsidRDefault="006D7F2A" w:rsidP="00D31D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020B46">
        <w:rPr>
          <w:sz w:val="22"/>
          <w:szCs w:val="22"/>
        </w:rPr>
        <w:t xml:space="preserve">Section 1834(a)(15) of the Act authorizes the Secretary to develop and periodically update a list of DMEPOS that the Secretary determines, on the basis of prior payment experience, are frequently subject to unnecessary utilization and to develop a prior authorization process for these items.  </w:t>
      </w:r>
      <w:r w:rsidR="00D31D8B" w:rsidRPr="00020B46">
        <w:rPr>
          <w:sz w:val="22"/>
          <w:szCs w:val="22"/>
        </w:rPr>
        <w:t>The Secretary’s authority to request information supporting the prior authorization request was created by Section 1833(e) which states, in part, “no payment shall be made to any provider... unless there has been furnished such information as may be necessary in order to determine the amounts due such provider."</w:t>
      </w:r>
    </w:p>
    <w:p w14:paraId="16556929" w14:textId="77777777" w:rsidR="00215540" w:rsidRPr="00020B46" w:rsidRDefault="00215540"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14:paraId="65B01977" w14:textId="77777777" w:rsidR="00D31D8B" w:rsidRPr="00020B46" w:rsidRDefault="00D31D8B" w:rsidP="009915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20B46">
        <w:rPr>
          <w:sz w:val="22"/>
          <w:szCs w:val="22"/>
        </w:rPr>
        <w:t>2.</w:t>
      </w:r>
      <w:r w:rsidR="009915FF" w:rsidRPr="00020B46">
        <w:rPr>
          <w:sz w:val="22"/>
          <w:szCs w:val="22"/>
        </w:rPr>
        <w:t xml:space="preserve">   </w:t>
      </w:r>
      <w:r w:rsidRPr="00020B46">
        <w:rPr>
          <w:sz w:val="22"/>
          <w:szCs w:val="22"/>
        </w:rPr>
        <w:t xml:space="preserve"> </w:t>
      </w:r>
      <w:r w:rsidRPr="00020B46">
        <w:rPr>
          <w:sz w:val="22"/>
          <w:szCs w:val="22"/>
          <w:u w:val="single"/>
        </w:rPr>
        <w:t>Need</w:t>
      </w:r>
    </w:p>
    <w:p w14:paraId="2FCDE6B0" w14:textId="77777777" w:rsidR="00D31D8B" w:rsidRPr="00020B46" w:rsidRDefault="00D31D8B"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14:paraId="0917BC77" w14:textId="3AEC6666" w:rsidR="00215540" w:rsidRPr="00020B46" w:rsidRDefault="00215540" w:rsidP="00294350">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020B46">
        <w:rPr>
          <w:sz w:val="22"/>
          <w:szCs w:val="22"/>
        </w:rPr>
        <w:t>In 2012, the total utilization for all items listed in the Master List was nearly $1.3 billion</w:t>
      </w:r>
      <w:r w:rsidR="00AC3CCE" w:rsidRPr="00490479">
        <w:rPr>
          <w:rStyle w:val="FootnoteReference"/>
          <w:sz w:val="22"/>
          <w:szCs w:val="22"/>
          <w:vertAlign w:val="superscript"/>
        </w:rPr>
        <w:footnoteReference w:id="1"/>
      </w:r>
      <w:r w:rsidRPr="00020B46">
        <w:rPr>
          <w:sz w:val="22"/>
          <w:szCs w:val="22"/>
        </w:rPr>
        <w:t xml:space="preserve">. </w:t>
      </w:r>
      <w:r w:rsidR="00D700AE" w:rsidRPr="00020B46">
        <w:rPr>
          <w:sz w:val="22"/>
          <w:szCs w:val="22"/>
        </w:rPr>
        <w:t xml:space="preserve"> </w:t>
      </w:r>
      <w:r w:rsidRPr="00020B46">
        <w:rPr>
          <w:sz w:val="22"/>
          <w:szCs w:val="22"/>
        </w:rPr>
        <w:t>Payment made when the item does not meet Medicare policy is an improper payment.  It is important to keep in mind that all fraud is considered to be improper payment, but not all improper payments are fraud.</w:t>
      </w:r>
      <w:r w:rsidR="00BC2137" w:rsidRPr="00020B46">
        <w:rPr>
          <w:sz w:val="22"/>
          <w:szCs w:val="22"/>
        </w:rPr>
        <w:t xml:space="preserve"> Prior authorization is a tool utilized by private sector health care payers to prevent unnecessary utilization. A recent CMS demonstration pilot for power mobility devices has shown that prior authorization effectively prevents unnecessary utilization </w:t>
      </w:r>
      <w:r w:rsidR="00294350" w:rsidRPr="00020B46">
        <w:rPr>
          <w:sz w:val="22"/>
          <w:szCs w:val="22"/>
        </w:rPr>
        <w:t xml:space="preserve">for Medicare </w:t>
      </w:r>
      <w:r w:rsidR="00BC2137" w:rsidRPr="00020B46">
        <w:rPr>
          <w:sz w:val="22"/>
          <w:szCs w:val="22"/>
        </w:rPr>
        <w:t>as well</w:t>
      </w:r>
      <w:r w:rsidR="001B220D" w:rsidRPr="00490479">
        <w:rPr>
          <w:rStyle w:val="FootnoteReference"/>
          <w:sz w:val="22"/>
          <w:szCs w:val="22"/>
          <w:vertAlign w:val="superscript"/>
        </w:rPr>
        <w:footnoteReference w:id="2"/>
      </w:r>
      <w:r w:rsidR="00BC2137" w:rsidRPr="00020B46">
        <w:rPr>
          <w:sz w:val="22"/>
          <w:szCs w:val="22"/>
        </w:rPr>
        <w:t xml:space="preserve">. </w:t>
      </w:r>
      <w:r w:rsidR="00294350" w:rsidRPr="00020B46">
        <w:rPr>
          <w:sz w:val="22"/>
          <w:szCs w:val="22"/>
        </w:rPr>
        <w:t xml:space="preserve"> </w:t>
      </w:r>
      <w:r w:rsidR="00BC2137" w:rsidRPr="00020B46">
        <w:rPr>
          <w:sz w:val="22"/>
          <w:szCs w:val="22"/>
        </w:rPr>
        <w:t xml:space="preserve">Consequently, we believe prior authorization for items on the </w:t>
      </w:r>
      <w:r w:rsidR="00D700AE" w:rsidRPr="00020B46">
        <w:rPr>
          <w:sz w:val="22"/>
          <w:szCs w:val="22"/>
        </w:rPr>
        <w:t>Required Prior Authorization List, a subset of the Master List</w:t>
      </w:r>
      <w:r w:rsidR="009915FF" w:rsidRPr="00020B46">
        <w:rPr>
          <w:sz w:val="22"/>
          <w:szCs w:val="22"/>
        </w:rPr>
        <w:t>,</w:t>
      </w:r>
      <w:r w:rsidR="00D47E61" w:rsidRPr="00020B46">
        <w:rPr>
          <w:sz w:val="22"/>
          <w:szCs w:val="22"/>
        </w:rPr>
        <w:t xml:space="preserve"> </w:t>
      </w:r>
      <w:r w:rsidR="00BC2137" w:rsidRPr="00020B46">
        <w:rPr>
          <w:sz w:val="22"/>
          <w:szCs w:val="22"/>
        </w:rPr>
        <w:t>will prevent or reduce unnecessary utilization of those items.</w:t>
      </w:r>
    </w:p>
    <w:p w14:paraId="6EA5E27E" w14:textId="77777777" w:rsidR="00215540" w:rsidRPr="00020B46" w:rsidRDefault="00215540" w:rsidP="00BC213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14:paraId="6CEEDDA1" w14:textId="77777777" w:rsidR="008F1EB4" w:rsidRPr="00020B46" w:rsidRDefault="009915FF"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u w:val="single"/>
        </w:rPr>
      </w:pPr>
      <w:r w:rsidRPr="00020B46">
        <w:rPr>
          <w:sz w:val="22"/>
          <w:szCs w:val="22"/>
        </w:rPr>
        <w:t>3</w:t>
      </w:r>
      <w:r w:rsidR="008F1EB4" w:rsidRPr="00020B46">
        <w:rPr>
          <w:sz w:val="22"/>
          <w:szCs w:val="22"/>
        </w:rPr>
        <w:t>.</w:t>
      </w:r>
      <w:r w:rsidR="008F1EB4" w:rsidRPr="00020B46">
        <w:rPr>
          <w:sz w:val="22"/>
          <w:szCs w:val="22"/>
        </w:rPr>
        <w:tab/>
      </w:r>
      <w:r w:rsidR="008F1EB4" w:rsidRPr="00020B46">
        <w:rPr>
          <w:sz w:val="22"/>
          <w:szCs w:val="22"/>
          <w:u w:val="single"/>
        </w:rPr>
        <w:t>Information Users</w:t>
      </w:r>
    </w:p>
    <w:p w14:paraId="22B94C05" w14:textId="77777777" w:rsidR="009915FF" w:rsidRPr="00020B46" w:rsidRDefault="009915FF"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p>
    <w:p w14:paraId="39A63043" w14:textId="77777777" w:rsidR="00A44683" w:rsidRPr="00020B46" w:rsidRDefault="00D47E61" w:rsidP="00D31D8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2"/>
          <w:szCs w:val="22"/>
        </w:rPr>
      </w:pPr>
      <w:r w:rsidRPr="00020B46">
        <w:rPr>
          <w:sz w:val="22"/>
          <w:szCs w:val="22"/>
        </w:rPr>
        <w:t>Information generated by the requirements of 1834(a)(5)</w:t>
      </w:r>
      <w:r w:rsidR="006D7F2A" w:rsidRPr="00020B46">
        <w:rPr>
          <w:sz w:val="22"/>
          <w:szCs w:val="22"/>
        </w:rPr>
        <w:t xml:space="preserve"> </w:t>
      </w:r>
      <w:r w:rsidRPr="00020B46">
        <w:rPr>
          <w:color w:val="000000"/>
          <w:sz w:val="22"/>
          <w:szCs w:val="22"/>
        </w:rPr>
        <w:t xml:space="preserve">is </w:t>
      </w:r>
      <w:r w:rsidR="00A805A0" w:rsidRPr="00020B46">
        <w:rPr>
          <w:color w:val="000000"/>
          <w:sz w:val="22"/>
          <w:szCs w:val="22"/>
        </w:rPr>
        <w:t xml:space="preserve">requested </w:t>
      </w:r>
      <w:r w:rsidRPr="00020B46">
        <w:rPr>
          <w:color w:val="000000"/>
          <w:sz w:val="22"/>
          <w:szCs w:val="22"/>
        </w:rPr>
        <w:t xml:space="preserve">of the </w:t>
      </w:r>
      <w:r w:rsidR="00977352" w:rsidRPr="00020B46">
        <w:rPr>
          <w:color w:val="000000"/>
          <w:sz w:val="22"/>
          <w:szCs w:val="22"/>
        </w:rPr>
        <w:t>entity submitting the prior authorization request</w:t>
      </w:r>
      <w:r w:rsidRPr="00020B46">
        <w:rPr>
          <w:color w:val="000000"/>
          <w:sz w:val="22"/>
          <w:szCs w:val="22"/>
        </w:rPr>
        <w:t xml:space="preserve"> and </w:t>
      </w:r>
      <w:r w:rsidR="00977352" w:rsidRPr="00020B46">
        <w:rPr>
          <w:color w:val="000000"/>
          <w:sz w:val="22"/>
          <w:szCs w:val="22"/>
        </w:rPr>
        <w:t>sent</w:t>
      </w:r>
      <w:r w:rsidR="00A805A0" w:rsidRPr="00020B46">
        <w:rPr>
          <w:color w:val="000000"/>
          <w:sz w:val="22"/>
          <w:szCs w:val="22"/>
        </w:rPr>
        <w:t xml:space="preserve"> to </w:t>
      </w:r>
      <w:r w:rsidR="00A44683" w:rsidRPr="00020B46">
        <w:rPr>
          <w:sz w:val="22"/>
          <w:szCs w:val="22"/>
        </w:rPr>
        <w:t xml:space="preserve">Medicare contractors </w:t>
      </w:r>
      <w:r w:rsidR="006D7F2A" w:rsidRPr="00020B46">
        <w:rPr>
          <w:sz w:val="22"/>
          <w:szCs w:val="22"/>
        </w:rPr>
        <w:t xml:space="preserve">in advance of </w:t>
      </w:r>
      <w:r w:rsidR="00A805A0" w:rsidRPr="00020B46">
        <w:rPr>
          <w:sz w:val="22"/>
          <w:szCs w:val="22"/>
        </w:rPr>
        <w:t>the</w:t>
      </w:r>
      <w:r w:rsidR="006D7F2A" w:rsidRPr="00020B46">
        <w:rPr>
          <w:sz w:val="22"/>
          <w:szCs w:val="22"/>
        </w:rPr>
        <w:t xml:space="preserve"> claim </w:t>
      </w:r>
      <w:r w:rsidR="00A805A0" w:rsidRPr="00020B46">
        <w:rPr>
          <w:sz w:val="22"/>
          <w:szCs w:val="22"/>
        </w:rPr>
        <w:t xml:space="preserve">submission for processing.  </w:t>
      </w:r>
      <w:r w:rsidRPr="00020B46">
        <w:rPr>
          <w:sz w:val="22"/>
          <w:szCs w:val="22"/>
        </w:rPr>
        <w:t>No new information or documentation requirements are created by this rule</w:t>
      </w:r>
      <w:r w:rsidR="00977352" w:rsidRPr="00020B46">
        <w:rPr>
          <w:sz w:val="22"/>
          <w:szCs w:val="22"/>
        </w:rPr>
        <w:t>.</w:t>
      </w:r>
      <w:r w:rsidRPr="00020B46">
        <w:rPr>
          <w:sz w:val="22"/>
          <w:szCs w:val="22"/>
        </w:rPr>
        <w:t xml:space="preserve">  Rather</w:t>
      </w:r>
      <w:r w:rsidR="009915FF" w:rsidRPr="00020B46">
        <w:rPr>
          <w:sz w:val="22"/>
          <w:szCs w:val="22"/>
        </w:rPr>
        <w:t>,</w:t>
      </w:r>
      <w:r w:rsidRPr="00020B46">
        <w:rPr>
          <w:sz w:val="22"/>
          <w:szCs w:val="22"/>
        </w:rPr>
        <w:t xml:space="preserve"> the point at which the information is requested is earlier in the process</w:t>
      </w:r>
      <w:r w:rsidR="004A4C2F" w:rsidRPr="00020B46">
        <w:rPr>
          <w:sz w:val="22"/>
          <w:szCs w:val="22"/>
        </w:rPr>
        <w:t xml:space="preserve">. </w:t>
      </w:r>
    </w:p>
    <w:p w14:paraId="37964904" w14:textId="77777777" w:rsidR="008F1EB4" w:rsidRPr="00020B46" w:rsidRDefault="008F1EB4"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B7BEDA8" w14:textId="77777777" w:rsidR="008F1EB4" w:rsidRPr="00020B46" w:rsidRDefault="009915FF"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u w:val="single"/>
        </w:rPr>
      </w:pPr>
      <w:r w:rsidRPr="00020B46">
        <w:rPr>
          <w:sz w:val="22"/>
          <w:szCs w:val="22"/>
        </w:rPr>
        <w:t>4</w:t>
      </w:r>
      <w:r w:rsidR="008F1EB4" w:rsidRPr="00020B46">
        <w:rPr>
          <w:sz w:val="22"/>
          <w:szCs w:val="22"/>
        </w:rPr>
        <w:t>.</w:t>
      </w:r>
      <w:r w:rsidR="008F1EB4" w:rsidRPr="00020B46">
        <w:rPr>
          <w:sz w:val="22"/>
          <w:szCs w:val="22"/>
        </w:rPr>
        <w:tab/>
      </w:r>
      <w:r w:rsidR="008F1EB4" w:rsidRPr="00020B46">
        <w:rPr>
          <w:sz w:val="22"/>
          <w:szCs w:val="22"/>
          <w:u w:val="single"/>
        </w:rPr>
        <w:t>Use of Information Technology</w:t>
      </w:r>
    </w:p>
    <w:p w14:paraId="7C58F947" w14:textId="77777777" w:rsidR="009915FF" w:rsidRPr="00020B46" w:rsidRDefault="009915FF" w:rsidP="00FD09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p>
    <w:p w14:paraId="7C602248" w14:textId="77777777" w:rsidR="00A44683" w:rsidRPr="00020B46" w:rsidRDefault="009915FF" w:rsidP="00FD09F2">
      <w:pPr>
        <w:ind w:left="432"/>
        <w:rPr>
          <w:sz w:val="22"/>
          <w:szCs w:val="22"/>
        </w:rPr>
      </w:pPr>
      <w:r w:rsidRPr="00020B46">
        <w:rPr>
          <w:sz w:val="22"/>
          <w:szCs w:val="22"/>
        </w:rPr>
        <w:t>A</w:t>
      </w:r>
      <w:r w:rsidR="00A44683" w:rsidRPr="00020B46">
        <w:rPr>
          <w:sz w:val="22"/>
          <w:szCs w:val="22"/>
        </w:rPr>
        <w:t>utomated, electronic, or other forms of information technology</w:t>
      </w:r>
      <w:r w:rsidRPr="00020B46">
        <w:rPr>
          <w:sz w:val="22"/>
          <w:szCs w:val="22"/>
        </w:rPr>
        <w:t xml:space="preserve"> may be used</w:t>
      </w:r>
      <w:r w:rsidR="00A44683" w:rsidRPr="00020B46">
        <w:rPr>
          <w:sz w:val="22"/>
          <w:szCs w:val="22"/>
        </w:rPr>
        <w:t xml:space="preserve"> at the discretion of the </w:t>
      </w:r>
      <w:r w:rsidRPr="00020B46">
        <w:rPr>
          <w:sz w:val="22"/>
          <w:szCs w:val="22"/>
        </w:rPr>
        <w:t xml:space="preserve">prior authorization </w:t>
      </w:r>
      <w:r w:rsidR="00A44683" w:rsidRPr="00020B46">
        <w:rPr>
          <w:sz w:val="22"/>
          <w:szCs w:val="22"/>
        </w:rPr>
        <w:t xml:space="preserve">submitter.  CMS </w:t>
      </w:r>
      <w:r w:rsidRPr="00020B46">
        <w:rPr>
          <w:sz w:val="22"/>
          <w:szCs w:val="22"/>
        </w:rPr>
        <w:t>and its contractors are required to be</w:t>
      </w:r>
      <w:r w:rsidR="00A44683" w:rsidRPr="00020B46">
        <w:rPr>
          <w:sz w:val="22"/>
          <w:szCs w:val="22"/>
        </w:rPr>
        <w:t xml:space="preserve"> complian</w:t>
      </w:r>
      <w:r w:rsidRPr="00020B46">
        <w:rPr>
          <w:sz w:val="22"/>
          <w:szCs w:val="22"/>
        </w:rPr>
        <w:t>t</w:t>
      </w:r>
      <w:r w:rsidR="00A44683" w:rsidRPr="00020B46">
        <w:rPr>
          <w:sz w:val="22"/>
          <w:szCs w:val="22"/>
        </w:rPr>
        <w:t xml:space="preserve"> with all Electronic Health Record </w:t>
      </w:r>
      <w:r w:rsidRPr="00020B46">
        <w:rPr>
          <w:sz w:val="22"/>
          <w:szCs w:val="22"/>
        </w:rPr>
        <w:t>transmissions</w:t>
      </w:r>
      <w:r w:rsidR="00A44683" w:rsidRPr="00020B46">
        <w:rPr>
          <w:sz w:val="22"/>
          <w:szCs w:val="22"/>
        </w:rPr>
        <w:t xml:space="preserve">.    </w:t>
      </w:r>
      <w:r w:rsidR="00D92D2A" w:rsidRPr="00020B46">
        <w:rPr>
          <w:sz w:val="22"/>
          <w:szCs w:val="22"/>
        </w:rPr>
        <w:t xml:space="preserve">There are signature requirements, and at this time CMS does not accept electronic signatures.  </w:t>
      </w:r>
    </w:p>
    <w:p w14:paraId="0F10305A" w14:textId="77777777" w:rsidR="00A44683" w:rsidRPr="00020B46" w:rsidRDefault="00A44683" w:rsidP="00FD09F2">
      <w:pPr>
        <w:rPr>
          <w:sz w:val="22"/>
          <w:szCs w:val="22"/>
        </w:rPr>
      </w:pPr>
    </w:p>
    <w:p w14:paraId="7B1B9A79" w14:textId="77777777" w:rsidR="00A44683" w:rsidRPr="00020B46" w:rsidRDefault="00A44683" w:rsidP="00FD09F2">
      <w:pPr>
        <w:ind w:left="432"/>
        <w:rPr>
          <w:sz w:val="22"/>
          <w:szCs w:val="22"/>
        </w:rPr>
      </w:pPr>
      <w:r w:rsidRPr="00020B46">
        <w:rPr>
          <w:sz w:val="22"/>
          <w:szCs w:val="22"/>
        </w:rPr>
        <w:t xml:space="preserve">CMS offers electronic submission of </w:t>
      </w:r>
      <w:r w:rsidR="00DD294E" w:rsidRPr="00020B46">
        <w:rPr>
          <w:sz w:val="22"/>
          <w:szCs w:val="22"/>
        </w:rPr>
        <w:t>medical</w:t>
      </w:r>
      <w:r w:rsidRPr="00020B46">
        <w:rPr>
          <w:sz w:val="22"/>
          <w:szCs w:val="22"/>
        </w:rPr>
        <w:t xml:space="preserve"> documents (esMD) to many providers and suppliers who wish to explore this alternative for sending in medical documents.  Additional information on esMD </w:t>
      </w:r>
      <w:r w:rsidRPr="00020B46">
        <w:rPr>
          <w:sz w:val="22"/>
          <w:szCs w:val="22"/>
        </w:rPr>
        <w:lastRenderedPageBreak/>
        <w:t xml:space="preserve">can be found at </w:t>
      </w:r>
      <w:hyperlink r:id="rId9" w:history="1">
        <w:r w:rsidRPr="00020B46">
          <w:rPr>
            <w:rStyle w:val="Hyperlink"/>
            <w:sz w:val="22"/>
            <w:szCs w:val="22"/>
          </w:rPr>
          <w:t>www.cms.gov/esMD</w:t>
        </w:r>
      </w:hyperlink>
      <w:r w:rsidRPr="00020B46">
        <w:rPr>
          <w:sz w:val="22"/>
          <w:szCs w:val="22"/>
        </w:rPr>
        <w:t xml:space="preserve">.  </w:t>
      </w:r>
    </w:p>
    <w:p w14:paraId="6D02137C" w14:textId="77777777" w:rsidR="00611341" w:rsidRPr="00020B46" w:rsidRDefault="00611341" w:rsidP="009915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B25BE2" w14:textId="77777777" w:rsidR="008F1EB4" w:rsidRPr="00020B46" w:rsidRDefault="009915FF" w:rsidP="006113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5</w:t>
      </w:r>
      <w:r w:rsidR="008F1EB4" w:rsidRPr="00020B46">
        <w:rPr>
          <w:sz w:val="24"/>
        </w:rPr>
        <w:t>.</w:t>
      </w:r>
      <w:r w:rsidR="00611341" w:rsidRPr="00020B46">
        <w:rPr>
          <w:sz w:val="24"/>
        </w:rPr>
        <w:tab/>
      </w:r>
      <w:r w:rsidR="008F1EB4" w:rsidRPr="00020B46">
        <w:rPr>
          <w:sz w:val="24"/>
          <w:u w:val="single"/>
        </w:rPr>
        <w:t>Duplication of Efforts</w:t>
      </w:r>
    </w:p>
    <w:p w14:paraId="6C7BACDD"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A38A3A" w14:textId="07BC4317" w:rsidR="008F1EB4" w:rsidRPr="00020B46" w:rsidRDefault="00D92D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20B46">
        <w:rPr>
          <w:sz w:val="24"/>
        </w:rPr>
        <w:t>If enacted, the rule would</w:t>
      </w:r>
      <w:r w:rsidR="00A44683" w:rsidRPr="00020B46">
        <w:rPr>
          <w:sz w:val="24"/>
        </w:rPr>
        <w:t xml:space="preserve"> </w:t>
      </w:r>
      <w:r w:rsidR="006D7F2A" w:rsidRPr="00020B46">
        <w:rPr>
          <w:sz w:val="24"/>
        </w:rPr>
        <w:t>require</w:t>
      </w:r>
      <w:r w:rsidR="00977352" w:rsidRPr="00020B46">
        <w:rPr>
          <w:sz w:val="24"/>
        </w:rPr>
        <w:t xml:space="preserve"> prior authorization</w:t>
      </w:r>
      <w:r w:rsidR="006D7F2A" w:rsidRPr="00020B46">
        <w:rPr>
          <w:sz w:val="24"/>
        </w:rPr>
        <w:t xml:space="preserve"> under the </w:t>
      </w:r>
      <w:r w:rsidR="00977352" w:rsidRPr="00020B46">
        <w:rPr>
          <w:sz w:val="24"/>
        </w:rPr>
        <w:t xml:space="preserve">Medicare </w:t>
      </w:r>
      <w:r w:rsidR="006D7F2A" w:rsidRPr="00020B46">
        <w:rPr>
          <w:sz w:val="24"/>
        </w:rPr>
        <w:t xml:space="preserve">fee-for-service program </w:t>
      </w:r>
      <w:r w:rsidR="00A54E6C" w:rsidRPr="00020B46">
        <w:rPr>
          <w:sz w:val="24"/>
        </w:rPr>
        <w:t>for the list of items</w:t>
      </w:r>
      <w:r w:rsidRPr="00020B46">
        <w:rPr>
          <w:sz w:val="24"/>
        </w:rPr>
        <w:t xml:space="preserve"> on the </w:t>
      </w:r>
      <w:r w:rsidRPr="00020B46">
        <w:rPr>
          <w:sz w:val="22"/>
          <w:szCs w:val="22"/>
        </w:rPr>
        <w:t>Required Prior Authorization List, a subset of the Master List</w:t>
      </w:r>
      <w:r w:rsidR="00A54E6C" w:rsidRPr="00020B46">
        <w:rPr>
          <w:sz w:val="24"/>
        </w:rPr>
        <w:t xml:space="preserve">.  </w:t>
      </w:r>
      <w:r w:rsidR="006D7F2A" w:rsidRPr="00020B46">
        <w:rPr>
          <w:sz w:val="24"/>
        </w:rPr>
        <w:t>Currently there is CMS’s Prior Authorization of Power Mobility Device (PMD) Demonstration</w:t>
      </w:r>
      <w:r w:rsidR="00A805A0" w:rsidRPr="00020B46">
        <w:rPr>
          <w:sz w:val="24"/>
        </w:rPr>
        <w:t xml:space="preserve">. </w:t>
      </w:r>
      <w:r w:rsidR="006D7F2A" w:rsidRPr="00020B46">
        <w:rPr>
          <w:sz w:val="24"/>
        </w:rPr>
        <w:t xml:space="preserve"> </w:t>
      </w:r>
      <w:r w:rsidR="00977352" w:rsidRPr="00020B46">
        <w:rPr>
          <w:sz w:val="24"/>
        </w:rPr>
        <w:t>Under this proposed rule, PMD are excluded since there are prior authorization requirement under the demonstration.  However, PMDs may be subject to prior authorization under this rule when the current demonstration</w:t>
      </w:r>
      <w:r w:rsidR="001B220D" w:rsidRPr="00020B46">
        <w:rPr>
          <w:sz w:val="24"/>
        </w:rPr>
        <w:t xml:space="preserve"> is completed </w:t>
      </w:r>
      <w:r w:rsidR="001B220D" w:rsidRPr="00490479">
        <w:rPr>
          <w:rStyle w:val="FootnoteReference"/>
          <w:sz w:val="24"/>
          <w:vertAlign w:val="superscript"/>
        </w:rPr>
        <w:footnoteReference w:id="3"/>
      </w:r>
      <w:r w:rsidR="001B220D" w:rsidRPr="00020B46">
        <w:rPr>
          <w:sz w:val="24"/>
        </w:rPr>
        <w:t>.</w:t>
      </w:r>
      <w:r w:rsidR="00977352" w:rsidRPr="00020B46">
        <w:rPr>
          <w:sz w:val="24"/>
        </w:rPr>
        <w:t xml:space="preserve"> </w:t>
      </w:r>
      <w:r w:rsidR="00050005" w:rsidRPr="00020B46">
        <w:rPr>
          <w:sz w:val="24"/>
        </w:rPr>
        <w:t xml:space="preserve"> </w:t>
      </w:r>
      <w:r w:rsidR="006D7F2A" w:rsidRPr="00020B46">
        <w:rPr>
          <w:sz w:val="24"/>
        </w:rPr>
        <w:t>This regulation does not affect the current Prior Authorization of PMD Demonstration</w:t>
      </w:r>
      <w:r w:rsidR="00A805A0" w:rsidRPr="00020B46">
        <w:rPr>
          <w:sz w:val="24"/>
        </w:rPr>
        <w:t xml:space="preserve">.  </w:t>
      </w:r>
      <w:r w:rsidRPr="00020B46">
        <w:rPr>
          <w:sz w:val="24"/>
        </w:rPr>
        <w:t xml:space="preserve">There are no new or duplicative </w:t>
      </w:r>
      <w:r w:rsidR="001E7D47" w:rsidRPr="00020B46">
        <w:rPr>
          <w:sz w:val="24"/>
        </w:rPr>
        <w:t>documentation</w:t>
      </w:r>
      <w:r w:rsidR="00A54E6C" w:rsidRPr="00020B46">
        <w:rPr>
          <w:sz w:val="24"/>
        </w:rPr>
        <w:t xml:space="preserve"> requirements </w:t>
      </w:r>
      <w:r w:rsidRPr="00020B46">
        <w:rPr>
          <w:sz w:val="24"/>
        </w:rPr>
        <w:t>created by the proposed regulation</w:t>
      </w:r>
      <w:r w:rsidR="00A54E6C" w:rsidRPr="00020B46">
        <w:rPr>
          <w:sz w:val="24"/>
        </w:rPr>
        <w:t xml:space="preserve">.  </w:t>
      </w:r>
    </w:p>
    <w:p w14:paraId="1FFABB4C"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0F01F7C"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5.</w:t>
      </w:r>
      <w:r w:rsidRPr="00020B46">
        <w:rPr>
          <w:sz w:val="24"/>
        </w:rPr>
        <w:tab/>
      </w:r>
      <w:r w:rsidRPr="00020B46">
        <w:rPr>
          <w:sz w:val="24"/>
          <w:u w:val="single"/>
        </w:rPr>
        <w:t>Small Businesses</w:t>
      </w:r>
    </w:p>
    <w:p w14:paraId="46F4BFD3"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6FCB28" w14:textId="77777777" w:rsidR="00A54E6C" w:rsidRPr="00020B46" w:rsidRDefault="00A54E6C" w:rsidP="00DE10B2">
      <w:pPr>
        <w:ind w:left="432"/>
        <w:rPr>
          <w:sz w:val="24"/>
        </w:rPr>
      </w:pPr>
      <w:r w:rsidRPr="00020B46">
        <w:rPr>
          <w:sz w:val="24"/>
        </w:rPr>
        <w:t>This collection will impact small businesses or other entities to the extent that those small businesses order and bill Medicare for DME</w:t>
      </w:r>
      <w:r w:rsidR="006D7F2A" w:rsidRPr="00020B46">
        <w:rPr>
          <w:sz w:val="24"/>
        </w:rPr>
        <w:t>POS</w:t>
      </w:r>
      <w:r w:rsidR="00D92D2A" w:rsidRPr="00020B46">
        <w:rPr>
          <w:sz w:val="24"/>
        </w:rPr>
        <w:t xml:space="preserve"> items on the</w:t>
      </w:r>
      <w:r w:rsidR="00D92D2A" w:rsidRPr="00020B46">
        <w:t xml:space="preserve"> </w:t>
      </w:r>
      <w:r w:rsidR="00D92D2A" w:rsidRPr="00020B46">
        <w:rPr>
          <w:sz w:val="24"/>
        </w:rPr>
        <w:t>Required Prior Authorization List</w:t>
      </w:r>
      <w:r w:rsidRPr="00020B46">
        <w:rPr>
          <w:sz w:val="24"/>
        </w:rPr>
        <w:t xml:space="preserve">. </w:t>
      </w:r>
      <w:r w:rsidR="00611341" w:rsidRPr="00020B46">
        <w:rPr>
          <w:sz w:val="24"/>
        </w:rPr>
        <w:t xml:space="preserve"> </w:t>
      </w:r>
      <w:r w:rsidRPr="00020B46">
        <w:rPr>
          <w:sz w:val="24"/>
        </w:rPr>
        <w:t xml:space="preserve">The retention </w:t>
      </w:r>
      <w:r w:rsidR="00D92D2A" w:rsidRPr="00020B46">
        <w:rPr>
          <w:sz w:val="24"/>
        </w:rPr>
        <w:t xml:space="preserve">and submission </w:t>
      </w:r>
      <w:r w:rsidRPr="00020B46">
        <w:rPr>
          <w:sz w:val="24"/>
        </w:rPr>
        <w:t xml:space="preserve">of </w:t>
      </w:r>
      <w:r w:rsidR="00E81120" w:rsidRPr="00020B46">
        <w:rPr>
          <w:sz w:val="24"/>
        </w:rPr>
        <w:t>required</w:t>
      </w:r>
      <w:r w:rsidRPr="00020B46">
        <w:rPr>
          <w:sz w:val="24"/>
        </w:rPr>
        <w:t xml:space="preserve"> information by </w:t>
      </w:r>
      <w:r w:rsidR="00E81120" w:rsidRPr="00020B46">
        <w:rPr>
          <w:sz w:val="24"/>
        </w:rPr>
        <w:t xml:space="preserve">suppliers and </w:t>
      </w:r>
      <w:r w:rsidRPr="00020B46">
        <w:rPr>
          <w:sz w:val="24"/>
        </w:rPr>
        <w:t xml:space="preserve">physicians </w:t>
      </w:r>
      <w:r w:rsidR="00050005" w:rsidRPr="00020B46">
        <w:rPr>
          <w:sz w:val="24"/>
        </w:rPr>
        <w:t>are routine</w:t>
      </w:r>
      <w:r w:rsidRPr="00020B46">
        <w:rPr>
          <w:sz w:val="24"/>
        </w:rPr>
        <w:t xml:space="preserve"> business practice</w:t>
      </w:r>
      <w:r w:rsidR="00E81120" w:rsidRPr="00020B46">
        <w:rPr>
          <w:sz w:val="24"/>
        </w:rPr>
        <w:t>s</w:t>
      </w:r>
      <w:r w:rsidR="005517ED" w:rsidRPr="00020B46">
        <w:rPr>
          <w:sz w:val="24"/>
        </w:rPr>
        <w:t>.</w:t>
      </w:r>
      <w:r w:rsidRPr="00020B46">
        <w:rPr>
          <w:sz w:val="24"/>
        </w:rPr>
        <w:t xml:space="preserve"> </w:t>
      </w:r>
    </w:p>
    <w:p w14:paraId="79D19EA3"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BFBCA3"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6.</w:t>
      </w:r>
      <w:r w:rsidRPr="00020B46">
        <w:rPr>
          <w:sz w:val="24"/>
        </w:rPr>
        <w:tab/>
      </w:r>
      <w:r w:rsidRPr="00020B46">
        <w:rPr>
          <w:sz w:val="24"/>
          <w:u w:val="single"/>
        </w:rPr>
        <w:t>Less Frequent Collection</w:t>
      </w:r>
    </w:p>
    <w:p w14:paraId="4BB4A8EF"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C1AC11" w14:textId="77777777" w:rsidR="00A54E6C" w:rsidRPr="00020B46" w:rsidRDefault="00A54E6C" w:rsidP="00DE10B2">
      <w:pPr>
        <w:tabs>
          <w:tab w:val="left" w:pos="0"/>
        </w:tabs>
        <w:ind w:left="432"/>
        <w:rPr>
          <w:sz w:val="24"/>
        </w:rPr>
      </w:pPr>
      <w:r w:rsidRPr="00020B46">
        <w:rPr>
          <w:sz w:val="24"/>
        </w:rPr>
        <w:t>Since this information is only collected when potential program vulnerability exists, less frequent collections of this information would be imprudent.  CMS and its agents continue to refine their tools for identifying improper billing practices.</w:t>
      </w:r>
    </w:p>
    <w:p w14:paraId="5CF300CF"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72F01F"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7.</w:t>
      </w:r>
      <w:r w:rsidRPr="00020B46">
        <w:rPr>
          <w:sz w:val="24"/>
        </w:rPr>
        <w:tab/>
      </w:r>
      <w:r w:rsidRPr="00020B46">
        <w:rPr>
          <w:sz w:val="24"/>
          <w:u w:val="single"/>
        </w:rPr>
        <w:t>Special Circumstances</w:t>
      </w:r>
    </w:p>
    <w:p w14:paraId="6172B6D1"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DC5CF3" w14:textId="77777777" w:rsidR="00A54E6C" w:rsidRPr="00020B46" w:rsidRDefault="00A54E6C" w:rsidP="00DE10B2">
      <w:pPr>
        <w:ind w:left="432"/>
        <w:rPr>
          <w:sz w:val="24"/>
        </w:rPr>
      </w:pPr>
      <w:r w:rsidRPr="00020B46">
        <w:rPr>
          <w:b/>
          <w:sz w:val="24"/>
          <w:u w:val="single"/>
        </w:rPr>
        <w:t>More often than quarterly</w:t>
      </w:r>
      <w:r w:rsidRPr="00020B46">
        <w:rPr>
          <w:sz w:val="24"/>
        </w:rPr>
        <w:t xml:space="preserve"> - This information is collected on an as-needed basis</w:t>
      </w:r>
      <w:r w:rsidR="00050005" w:rsidRPr="00020B46">
        <w:rPr>
          <w:sz w:val="24"/>
        </w:rPr>
        <w:t>. That is, information is requested only when an entity submits a request for prior authorization for an eligible</w:t>
      </w:r>
      <w:r w:rsidRPr="00020B46">
        <w:rPr>
          <w:sz w:val="24"/>
        </w:rPr>
        <w:t xml:space="preserve"> item</w:t>
      </w:r>
      <w:r w:rsidR="00050005" w:rsidRPr="00020B46">
        <w:rPr>
          <w:sz w:val="24"/>
        </w:rPr>
        <w:t>.</w:t>
      </w:r>
      <w:r w:rsidRPr="00020B46">
        <w:rPr>
          <w:sz w:val="24"/>
        </w:rPr>
        <w:t xml:space="preserve"> </w:t>
      </w:r>
      <w:r w:rsidR="00050005" w:rsidRPr="00020B46">
        <w:rPr>
          <w:sz w:val="24"/>
        </w:rPr>
        <w:t>The rule, if enacted, creates a prior authorization program for eligible DMEPOS items.  The program is continuous. Improper Medicare payments may increase if not mitigated by the requirement for prior authorization created by this proposed rule.</w:t>
      </w:r>
      <w:r w:rsidRPr="00020B46">
        <w:rPr>
          <w:sz w:val="24"/>
        </w:rPr>
        <w:t xml:space="preserve"> </w:t>
      </w:r>
    </w:p>
    <w:p w14:paraId="08E694C5" w14:textId="77777777" w:rsidR="00AA0805" w:rsidRPr="00020B46" w:rsidRDefault="00AA0805" w:rsidP="00AA0805">
      <w:pPr>
        <w:tabs>
          <w:tab w:val="left" w:pos="0"/>
        </w:tabs>
        <w:rPr>
          <w:b/>
          <w:sz w:val="24"/>
        </w:rPr>
      </w:pPr>
    </w:p>
    <w:p w14:paraId="10E60FC7" w14:textId="77777777" w:rsidR="006D7F2A" w:rsidRPr="00020B46" w:rsidRDefault="00A54E6C" w:rsidP="00AA0805">
      <w:pPr>
        <w:tabs>
          <w:tab w:val="left" w:pos="0"/>
        </w:tabs>
        <w:ind w:left="432"/>
      </w:pPr>
      <w:r w:rsidRPr="00020B46">
        <w:rPr>
          <w:b/>
          <w:sz w:val="24"/>
          <w:u w:val="single"/>
        </w:rPr>
        <w:t>Response within 30 days</w:t>
      </w:r>
      <w:r w:rsidRPr="00020B46">
        <w:rPr>
          <w:sz w:val="24"/>
        </w:rPr>
        <w:t xml:space="preserve"> – </w:t>
      </w:r>
      <w:r w:rsidR="001372F3" w:rsidRPr="00020B46">
        <w:rPr>
          <w:sz w:val="24"/>
        </w:rPr>
        <w:t>T</w:t>
      </w:r>
      <w:r w:rsidR="006D7F2A" w:rsidRPr="00020B46">
        <w:rPr>
          <w:sz w:val="24"/>
        </w:rPr>
        <w:t>he prior authorization requests are self</w:t>
      </w:r>
      <w:r w:rsidR="00A805A0" w:rsidRPr="00020B46">
        <w:rPr>
          <w:sz w:val="24"/>
        </w:rPr>
        <w:t>-</w:t>
      </w:r>
      <w:r w:rsidR="006D7F2A" w:rsidRPr="00020B46">
        <w:rPr>
          <w:sz w:val="24"/>
        </w:rPr>
        <w:t xml:space="preserve">paced. </w:t>
      </w:r>
      <w:r w:rsidR="00A805A0" w:rsidRPr="00020B46">
        <w:rPr>
          <w:sz w:val="24"/>
        </w:rPr>
        <w:t xml:space="preserve">That is, </w:t>
      </w:r>
      <w:r w:rsidR="000A1891" w:rsidRPr="00020B46">
        <w:rPr>
          <w:sz w:val="24"/>
        </w:rPr>
        <w:t>supporting documentation is required for each request for payment of DMEPOS items subject to the prior authorization requirement.</w:t>
      </w:r>
      <w:r w:rsidR="006D7F2A" w:rsidRPr="00020B46">
        <w:rPr>
          <w:sz w:val="24"/>
        </w:rPr>
        <w:t xml:space="preserve"> </w:t>
      </w:r>
    </w:p>
    <w:p w14:paraId="64F80056" w14:textId="77777777" w:rsidR="00A54E6C" w:rsidRPr="00020B46" w:rsidRDefault="00A54E6C" w:rsidP="00A54E6C">
      <w:pPr>
        <w:tabs>
          <w:tab w:val="left" w:pos="0"/>
        </w:tabs>
        <w:rPr>
          <w:b/>
          <w:sz w:val="24"/>
          <w:u w:val="single"/>
        </w:rPr>
      </w:pPr>
    </w:p>
    <w:p w14:paraId="1931C22E" w14:textId="77777777" w:rsidR="00A54E6C" w:rsidRPr="00020B46" w:rsidRDefault="00A54E6C" w:rsidP="00DE10B2">
      <w:pPr>
        <w:tabs>
          <w:tab w:val="left" w:pos="0"/>
        </w:tabs>
        <w:ind w:left="432"/>
        <w:rPr>
          <w:sz w:val="24"/>
        </w:rPr>
      </w:pPr>
      <w:r w:rsidRPr="00020B46">
        <w:rPr>
          <w:b/>
          <w:sz w:val="24"/>
          <w:u w:val="single"/>
        </w:rPr>
        <w:t>More than original and two copies</w:t>
      </w:r>
      <w:r w:rsidRPr="00020B46">
        <w:rPr>
          <w:sz w:val="24"/>
        </w:rPr>
        <w:t xml:space="preserve"> - There is no requirement to submit more than 1 copy of the requested documentation.</w:t>
      </w:r>
    </w:p>
    <w:p w14:paraId="24F31782" w14:textId="77777777" w:rsidR="00A54E6C" w:rsidRPr="00020B46" w:rsidRDefault="00A54E6C" w:rsidP="00A54E6C">
      <w:pPr>
        <w:tabs>
          <w:tab w:val="left" w:pos="0"/>
        </w:tabs>
        <w:rPr>
          <w:sz w:val="24"/>
        </w:rPr>
      </w:pPr>
    </w:p>
    <w:p w14:paraId="1CD9A3EE" w14:textId="77777777" w:rsidR="00A54E6C" w:rsidRPr="00020B46" w:rsidRDefault="00A54E6C" w:rsidP="00DE10B2">
      <w:pPr>
        <w:tabs>
          <w:tab w:val="left" w:pos="0"/>
        </w:tabs>
        <w:ind w:left="432"/>
        <w:rPr>
          <w:sz w:val="24"/>
        </w:rPr>
      </w:pPr>
      <w:r w:rsidRPr="00020B46">
        <w:rPr>
          <w:b/>
          <w:sz w:val="24"/>
          <w:u w:val="single"/>
        </w:rPr>
        <w:lastRenderedPageBreak/>
        <w:t>Retain records more than three years</w:t>
      </w:r>
      <w:r w:rsidRPr="00020B46">
        <w:rPr>
          <w:sz w:val="24"/>
        </w:rPr>
        <w:t xml:space="preserve"> - This estimate does not impose any new or additional record retention requirements beyond those requirements currently in place. Providers and suppliers are reminded that Medicare claims can be reopened for review at any time where fraud</w:t>
      </w:r>
      <w:r w:rsidR="000A1891" w:rsidRPr="00020B46">
        <w:rPr>
          <w:sz w:val="24"/>
        </w:rPr>
        <w:t xml:space="preserve"> or improper payment</w:t>
      </w:r>
      <w:r w:rsidRPr="00020B46">
        <w:rPr>
          <w:sz w:val="24"/>
        </w:rPr>
        <w:t xml:space="preserve"> is suspected, or within 4 years of an initial determination for good cause or within 1 year for any reason.</w:t>
      </w:r>
    </w:p>
    <w:p w14:paraId="6472A2CC" w14:textId="77777777" w:rsidR="00A54E6C" w:rsidRPr="00020B46" w:rsidRDefault="00A54E6C" w:rsidP="00A54E6C">
      <w:pPr>
        <w:tabs>
          <w:tab w:val="left" w:pos="0"/>
        </w:tabs>
        <w:rPr>
          <w:sz w:val="24"/>
        </w:rPr>
      </w:pPr>
    </w:p>
    <w:p w14:paraId="1CDC54F0" w14:textId="77777777" w:rsidR="00A54E6C" w:rsidRPr="00020B46" w:rsidRDefault="00A54E6C" w:rsidP="00DE10B2">
      <w:pPr>
        <w:ind w:left="432"/>
        <w:rPr>
          <w:sz w:val="24"/>
        </w:rPr>
      </w:pPr>
      <w:r w:rsidRPr="00020B46">
        <w:rPr>
          <w:b/>
          <w:sz w:val="24"/>
          <w:u w:val="single"/>
        </w:rPr>
        <w:t>Conjunction with a statistical survey</w:t>
      </w:r>
      <w:r w:rsidRPr="00020B46">
        <w:rPr>
          <w:sz w:val="24"/>
        </w:rPr>
        <w:t xml:space="preserve"> - </w:t>
      </w:r>
      <w:r w:rsidR="00DE10B2" w:rsidRPr="00020B46">
        <w:rPr>
          <w:sz w:val="24"/>
        </w:rPr>
        <w:t xml:space="preserve">This information collection is not associated with a statistical survey. </w:t>
      </w:r>
    </w:p>
    <w:p w14:paraId="4BB33315" w14:textId="77777777" w:rsidR="00A54E6C" w:rsidRPr="00020B46" w:rsidRDefault="00A54E6C" w:rsidP="00A54E6C">
      <w:pPr>
        <w:widowControl/>
        <w:rPr>
          <w:sz w:val="24"/>
        </w:rPr>
      </w:pPr>
      <w:r w:rsidRPr="00020B46">
        <w:rPr>
          <w:sz w:val="24"/>
        </w:rPr>
        <w:t> </w:t>
      </w:r>
    </w:p>
    <w:p w14:paraId="34BB99CD" w14:textId="77777777" w:rsidR="00A54E6C" w:rsidRPr="00020B46" w:rsidRDefault="00A54E6C" w:rsidP="00DE10B2">
      <w:pPr>
        <w:tabs>
          <w:tab w:val="left" w:pos="0"/>
        </w:tabs>
        <w:ind w:left="432"/>
        <w:rPr>
          <w:sz w:val="24"/>
        </w:rPr>
      </w:pPr>
      <w:r w:rsidRPr="00020B46">
        <w:rPr>
          <w:b/>
          <w:sz w:val="24"/>
          <w:u w:val="single"/>
        </w:rPr>
        <w:t>Use of statistical data classification</w:t>
      </w:r>
      <w:r w:rsidRPr="00020B46">
        <w:rPr>
          <w:sz w:val="24"/>
        </w:rPr>
        <w:t xml:space="preserve"> - This collection does not require a statistical data classification.</w:t>
      </w:r>
    </w:p>
    <w:p w14:paraId="1C0819E7" w14:textId="77777777" w:rsidR="00A54E6C" w:rsidRPr="00020B46" w:rsidRDefault="00A54E6C" w:rsidP="00A54E6C">
      <w:pPr>
        <w:tabs>
          <w:tab w:val="left" w:pos="0"/>
        </w:tabs>
        <w:rPr>
          <w:sz w:val="24"/>
        </w:rPr>
      </w:pPr>
    </w:p>
    <w:p w14:paraId="7DD670E1" w14:textId="77777777" w:rsidR="00A54E6C" w:rsidRPr="00020B46" w:rsidRDefault="00DE10B2" w:rsidP="00A54E6C">
      <w:pPr>
        <w:tabs>
          <w:tab w:val="left" w:pos="0"/>
        </w:tabs>
        <w:rPr>
          <w:sz w:val="24"/>
        </w:rPr>
      </w:pPr>
      <w:r w:rsidRPr="00020B46">
        <w:rPr>
          <w:b/>
          <w:sz w:val="24"/>
        </w:rPr>
        <w:t xml:space="preserve">        </w:t>
      </w:r>
      <w:r w:rsidR="00A54E6C" w:rsidRPr="00020B46">
        <w:rPr>
          <w:b/>
          <w:sz w:val="24"/>
          <w:u w:val="single"/>
        </w:rPr>
        <w:t>Pledge of confidentiality</w:t>
      </w:r>
      <w:r w:rsidR="00A54E6C" w:rsidRPr="00020B46">
        <w:rPr>
          <w:sz w:val="24"/>
        </w:rPr>
        <w:t xml:space="preserve"> - This collection does not require a pledge of confidentiality.</w:t>
      </w:r>
    </w:p>
    <w:p w14:paraId="26B57042" w14:textId="77777777" w:rsidR="00A54E6C" w:rsidRPr="00020B46" w:rsidRDefault="00A54E6C" w:rsidP="00A54E6C">
      <w:pPr>
        <w:tabs>
          <w:tab w:val="left" w:pos="0"/>
        </w:tabs>
        <w:rPr>
          <w:sz w:val="24"/>
        </w:rPr>
      </w:pPr>
    </w:p>
    <w:p w14:paraId="19A06C05" w14:textId="77777777" w:rsidR="00A54E6C" w:rsidRPr="00020B46" w:rsidRDefault="00A54E6C" w:rsidP="00DE10B2">
      <w:pPr>
        <w:tabs>
          <w:tab w:val="left" w:pos="0"/>
        </w:tabs>
        <w:ind w:left="432"/>
        <w:rPr>
          <w:sz w:val="24"/>
        </w:rPr>
      </w:pPr>
      <w:r w:rsidRPr="00020B46">
        <w:rPr>
          <w:b/>
          <w:sz w:val="24"/>
          <w:u w:val="single"/>
        </w:rPr>
        <w:t>Confidential Information</w:t>
      </w:r>
      <w:r w:rsidRPr="00020B46">
        <w:rPr>
          <w:sz w:val="24"/>
        </w:rPr>
        <w:t xml:space="preserve"> - The Health Insurance Portability and Accountability Act Privacy Rule allows for the disclosure of health records for payment purposes.  Medicare contractors have procedures in place to assure the protection of the health information provided.</w:t>
      </w:r>
    </w:p>
    <w:p w14:paraId="3A5CBFB4"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332599"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020B46">
        <w:rPr>
          <w:sz w:val="24"/>
        </w:rPr>
        <w:t>8.</w:t>
      </w:r>
      <w:r w:rsidRPr="00020B46">
        <w:rPr>
          <w:sz w:val="24"/>
        </w:rPr>
        <w:tab/>
      </w:r>
      <w:r w:rsidRPr="00020B46">
        <w:rPr>
          <w:sz w:val="24"/>
          <w:u w:val="single"/>
        </w:rPr>
        <w:t>Federal Register/Outside Consultation</w:t>
      </w:r>
    </w:p>
    <w:p w14:paraId="2C3623D1" w14:textId="77777777" w:rsidR="00E81120" w:rsidRPr="00020B46" w:rsidRDefault="00E811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 xml:space="preserve">       </w:t>
      </w:r>
    </w:p>
    <w:p w14:paraId="3408DC79" w14:textId="77777777" w:rsidR="00E81120" w:rsidRPr="00020B46" w:rsidRDefault="00E811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 xml:space="preserve">       </w:t>
      </w:r>
      <w:r w:rsidR="00F345C0" w:rsidRPr="00020B46">
        <w:rPr>
          <w:sz w:val="24"/>
        </w:rPr>
        <w:t xml:space="preserve">The notice of proposed rulemaking (CMS-6050-P) served as the 60-day Federal Register notice (79 FR 30511-30531). </w:t>
      </w:r>
    </w:p>
    <w:p w14:paraId="52FED5BD"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5A8DF4"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9.</w:t>
      </w:r>
      <w:r w:rsidRPr="00020B46">
        <w:rPr>
          <w:sz w:val="24"/>
        </w:rPr>
        <w:tab/>
      </w:r>
      <w:r w:rsidRPr="00020B46">
        <w:rPr>
          <w:sz w:val="24"/>
          <w:u w:val="single"/>
        </w:rPr>
        <w:t>Payments/Gifts to Respondents</w:t>
      </w:r>
    </w:p>
    <w:p w14:paraId="4E047865"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C8BA1B8" w14:textId="77777777" w:rsidR="00DE10B2" w:rsidRPr="00020B46" w:rsidRDefault="00DE10B2" w:rsidP="00DE10B2">
      <w:pPr>
        <w:tabs>
          <w:tab w:val="left" w:pos="0"/>
        </w:tabs>
        <w:ind w:left="432"/>
        <w:rPr>
          <w:sz w:val="24"/>
        </w:rPr>
      </w:pPr>
      <w:r w:rsidRPr="00020B46">
        <w:rPr>
          <w:sz w:val="24"/>
        </w:rPr>
        <w:t>No payments or gifts will be given to respondents to encourage their response to any request for information under this control number</w:t>
      </w:r>
      <w:r w:rsidR="00E81120" w:rsidRPr="00020B46">
        <w:rPr>
          <w:sz w:val="24"/>
        </w:rPr>
        <w:t>.</w:t>
      </w:r>
      <w:r w:rsidR="00B1346A" w:rsidRPr="00020B46">
        <w:rPr>
          <w:sz w:val="24"/>
        </w:rPr>
        <w:t xml:space="preserve"> </w:t>
      </w:r>
    </w:p>
    <w:p w14:paraId="33C7E051"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F5606A"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10.</w:t>
      </w:r>
      <w:r w:rsidRPr="00020B46">
        <w:rPr>
          <w:sz w:val="24"/>
        </w:rPr>
        <w:tab/>
      </w:r>
      <w:r w:rsidRPr="00020B46">
        <w:rPr>
          <w:sz w:val="24"/>
          <w:u w:val="single"/>
        </w:rPr>
        <w:t>Confidentiality</w:t>
      </w:r>
    </w:p>
    <w:p w14:paraId="018085F3" w14:textId="77777777" w:rsidR="000F3AF4" w:rsidRPr="00020B46"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A9F5AAC" w14:textId="77777777" w:rsidR="00DE10B2" w:rsidRPr="00020B46" w:rsidRDefault="00DE10B2" w:rsidP="00DE10B2">
      <w:pPr>
        <w:tabs>
          <w:tab w:val="left" w:pos="0"/>
        </w:tabs>
        <w:rPr>
          <w:sz w:val="24"/>
        </w:rPr>
      </w:pPr>
      <w:r w:rsidRPr="00020B46">
        <w:rPr>
          <w:sz w:val="24"/>
        </w:rPr>
        <w:t xml:space="preserve">       Medicare contractors will safeguard all protected health information collected.</w:t>
      </w:r>
    </w:p>
    <w:p w14:paraId="0E665673"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0F302E"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11.</w:t>
      </w:r>
      <w:r w:rsidRPr="00020B46">
        <w:rPr>
          <w:sz w:val="24"/>
        </w:rPr>
        <w:tab/>
      </w:r>
      <w:r w:rsidRPr="00020B46">
        <w:rPr>
          <w:sz w:val="24"/>
          <w:u w:val="single"/>
        </w:rPr>
        <w:t>Sensitive Questions</w:t>
      </w:r>
    </w:p>
    <w:p w14:paraId="6CB8033D"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A6133A5" w14:textId="77777777" w:rsidR="00DE10B2" w:rsidRPr="00020B46" w:rsidRDefault="00DE10B2" w:rsidP="00DE10B2">
      <w:pPr>
        <w:tabs>
          <w:tab w:val="left" w:pos="0"/>
        </w:tabs>
        <w:rPr>
          <w:sz w:val="24"/>
        </w:rPr>
      </w:pPr>
      <w:r w:rsidRPr="00020B46">
        <w:rPr>
          <w:sz w:val="24"/>
        </w:rPr>
        <w:t xml:space="preserve">       There are no questions of a sensitive nature.</w:t>
      </w:r>
    </w:p>
    <w:p w14:paraId="2E071DC7"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20E3727"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12.</w:t>
      </w:r>
      <w:r w:rsidRPr="00020B46">
        <w:rPr>
          <w:sz w:val="24"/>
        </w:rPr>
        <w:tab/>
      </w:r>
      <w:r w:rsidRPr="00020B46">
        <w:rPr>
          <w:sz w:val="24"/>
          <w:u w:val="single"/>
        </w:rPr>
        <w:t>Burden Estimates (Hours &amp; Wages)</w:t>
      </w:r>
    </w:p>
    <w:p w14:paraId="5666C788"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01899E" w14:textId="19B61743" w:rsidR="006C069B" w:rsidRPr="00020B46" w:rsidRDefault="00A10A8C" w:rsidP="00FD09F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664D4E">
        <w:rPr>
          <w:sz w:val="24"/>
        </w:rPr>
        <w:t xml:space="preserve">Currently there is no additional </w:t>
      </w:r>
      <w:r w:rsidRPr="00664D4E">
        <w:rPr>
          <w:rFonts w:eastAsia="Calibri"/>
          <w:sz w:val="24"/>
          <w:szCs w:val="22"/>
        </w:rPr>
        <w:t xml:space="preserve">funding set aside specifically for this prior authorization process.  Some medical review funds will be reallocated to this process in place of normal medical review activities. </w:t>
      </w:r>
      <w:r w:rsidR="006C069B" w:rsidRPr="00664D4E">
        <w:rPr>
          <w:sz w:val="24"/>
        </w:rPr>
        <w:t xml:space="preserve">Given </w:t>
      </w:r>
      <w:r w:rsidR="006C069B" w:rsidRPr="00020B46">
        <w:rPr>
          <w:sz w:val="24"/>
        </w:rPr>
        <w:t xml:space="preserve">the funding uncertainty, it is not possible to specify the number of items on the Required List in advance.  Similarly, it is not possible to specify the resulting numbers of affected claims and medical reviews in advance. Consequently, CMS is proposing a range of estimates to capture various possible funding allocations. </w:t>
      </w:r>
      <w:r w:rsidR="00611341" w:rsidRPr="00020B46">
        <w:rPr>
          <w:sz w:val="24"/>
        </w:rPr>
        <w:t xml:space="preserve"> </w:t>
      </w:r>
      <w:r w:rsidR="006C069B" w:rsidRPr="00020B46">
        <w:rPr>
          <w:sz w:val="24"/>
        </w:rPr>
        <w:t xml:space="preserve">For the </w:t>
      </w:r>
      <w:r w:rsidR="006C069B" w:rsidRPr="00020B46">
        <w:rPr>
          <w:sz w:val="24"/>
        </w:rPr>
        <w:lastRenderedPageBreak/>
        <w:t xml:space="preserve">purpose of this </w:t>
      </w:r>
      <w:r w:rsidR="00611341" w:rsidRPr="00020B46">
        <w:rPr>
          <w:sz w:val="24"/>
        </w:rPr>
        <w:t xml:space="preserve">prior authorization </w:t>
      </w:r>
      <w:r w:rsidR="006C069B" w:rsidRPr="00020B46">
        <w:rPr>
          <w:sz w:val="24"/>
        </w:rPr>
        <w:t xml:space="preserve">package we will make our estimations for cost and burden based on our high estimate of affected claims. </w:t>
      </w:r>
    </w:p>
    <w:p w14:paraId="16094ABE" w14:textId="77777777" w:rsidR="006C069B" w:rsidRPr="00020B46" w:rsidRDefault="006C069B" w:rsidP="00FD09F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7D85146A" w14:textId="5C667856" w:rsidR="00145AB9" w:rsidRPr="00020B46" w:rsidRDefault="006C069B" w:rsidP="006C069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20B46">
        <w:rPr>
          <w:sz w:val="24"/>
        </w:rPr>
        <w:t xml:space="preserve"> With significant funding, the high estimated affected claims in years two and three will be 100,000.  In year one, we expect to do less claims because we will be conducting education and other activities to ramp up the program.  We believe it is reasonable to expect that in year one the high estimate of affected claims will be 10 percent of the estimated high number of affected claims in years two and three.  Therefore our first year high estimate of potentially affected claims is 10,000.  </w:t>
      </w:r>
      <w:r w:rsidR="00145AB9" w:rsidRPr="00020B46">
        <w:rPr>
          <w:sz w:val="24"/>
        </w:rPr>
        <w:t>This number would need to be adjusted to account for resubmissions which could be as high as 2</w:t>
      </w:r>
      <w:r w:rsidR="00705A30" w:rsidRPr="00020B46">
        <w:rPr>
          <w:sz w:val="24"/>
        </w:rPr>
        <w:t>2</w:t>
      </w:r>
      <w:r w:rsidR="00145AB9" w:rsidRPr="00020B46">
        <w:rPr>
          <w:sz w:val="24"/>
        </w:rPr>
        <w:t>,500 cases in the first year if unlimited resubmissions are allowed for the prior authorization request and 2</w:t>
      </w:r>
      <w:r w:rsidR="00705A30" w:rsidRPr="00020B46">
        <w:rPr>
          <w:sz w:val="24"/>
        </w:rPr>
        <w:t>2</w:t>
      </w:r>
      <w:r w:rsidR="00145AB9" w:rsidRPr="00020B46">
        <w:rPr>
          <w:sz w:val="24"/>
        </w:rPr>
        <w:t>5,000 cases in years</w:t>
      </w:r>
      <w:r w:rsidR="00705A30" w:rsidRPr="00020B46">
        <w:rPr>
          <w:sz w:val="24"/>
        </w:rPr>
        <w:t xml:space="preserve"> two and three</w:t>
      </w:r>
      <w:r w:rsidR="00145AB9" w:rsidRPr="00020B46">
        <w:rPr>
          <w:sz w:val="24"/>
        </w:rPr>
        <w:t>.  We are using the term case to refer to initial and resubmitted requests.  The average burden estimate is 1</w:t>
      </w:r>
      <w:r w:rsidR="00705A30" w:rsidRPr="00020B46">
        <w:rPr>
          <w:sz w:val="24"/>
        </w:rPr>
        <w:t>57</w:t>
      </w:r>
      <w:r w:rsidR="00145AB9" w:rsidRPr="00020B46">
        <w:rPr>
          <w:sz w:val="24"/>
        </w:rPr>
        <w:t>,500 cases per year in</w:t>
      </w:r>
      <w:r w:rsidR="00E81120" w:rsidRPr="00020B46">
        <w:rPr>
          <w:sz w:val="24"/>
        </w:rPr>
        <w:t xml:space="preserve"> </w:t>
      </w:r>
      <w:r w:rsidR="00145AB9" w:rsidRPr="00020B46">
        <w:rPr>
          <w:sz w:val="24"/>
        </w:rPr>
        <w:t>years</w:t>
      </w:r>
      <w:r w:rsidR="00EB335D" w:rsidRPr="00020B46">
        <w:rPr>
          <w:sz w:val="24"/>
        </w:rPr>
        <w:t xml:space="preserve"> one through three</w:t>
      </w:r>
      <w:r w:rsidR="00020B46">
        <w:rPr>
          <w:sz w:val="24"/>
        </w:rPr>
        <w:t>.</w:t>
      </w:r>
      <w:r w:rsidR="004B4E96" w:rsidRPr="00490479">
        <w:rPr>
          <w:rStyle w:val="FootnoteReference"/>
          <w:sz w:val="24"/>
          <w:vertAlign w:val="superscript"/>
        </w:rPr>
        <w:footnoteReference w:id="4"/>
      </w:r>
    </w:p>
    <w:p w14:paraId="756D2BF4" w14:textId="77777777" w:rsidR="00661D59" w:rsidRPr="00020B46" w:rsidRDefault="00661D5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783C1CCF" w14:textId="7B281826" w:rsidR="00145AB9" w:rsidRPr="00020B46" w:rsidRDefault="00145AB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20B46">
        <w:rPr>
          <w:sz w:val="24"/>
        </w:rPr>
        <w:t>We estimate that the per-case burden associated with this type of review is equivalent to that for submitting documentation for prepayment review</w:t>
      </w:r>
      <w:r w:rsidR="00886AE7" w:rsidRPr="00020B46">
        <w:rPr>
          <w:sz w:val="24"/>
        </w:rPr>
        <w:t>s</w:t>
      </w:r>
      <w:r w:rsidRPr="00020B46">
        <w:rPr>
          <w:sz w:val="24"/>
        </w:rPr>
        <w:t xml:space="preserve"> (that is 30 minutes)</w:t>
      </w:r>
      <w:r w:rsidR="00886AE7" w:rsidRPr="00020B46">
        <w:rPr>
          <w:sz w:val="24"/>
        </w:rPr>
        <w:t>,</w:t>
      </w:r>
      <w:r w:rsidRPr="00020B46">
        <w:rPr>
          <w:sz w:val="24"/>
        </w:rPr>
        <w:t xml:space="preserve"> initial submissions, </w:t>
      </w:r>
      <w:r w:rsidR="00886AE7" w:rsidRPr="00020B46">
        <w:rPr>
          <w:sz w:val="24"/>
        </w:rPr>
        <w:t xml:space="preserve">and </w:t>
      </w:r>
      <w:r w:rsidRPr="00020B46">
        <w:rPr>
          <w:sz w:val="24"/>
        </w:rPr>
        <w:t>expedited requests and resubmissions.</w:t>
      </w:r>
      <w:r w:rsidR="00B34760" w:rsidRPr="00020B46">
        <w:rPr>
          <w:sz w:val="24"/>
        </w:rPr>
        <w:t xml:space="preserve"> We acknowledge that for claims involving suppliers, providers may need to spend some time providing the documentation.  We assume this in our estimate. The information being collected already exists in the medical record when the provider ordered an item or performed a medical service for the beneficiary they were treating</w:t>
      </w:r>
      <w:r w:rsidR="00020B46">
        <w:rPr>
          <w:sz w:val="24"/>
        </w:rPr>
        <w:t>.</w:t>
      </w:r>
      <w:r w:rsidR="005847CC" w:rsidRPr="00490479">
        <w:rPr>
          <w:rStyle w:val="FootnoteReference"/>
          <w:sz w:val="24"/>
          <w:vertAlign w:val="superscript"/>
        </w:rPr>
        <w:footnoteReference w:id="5"/>
      </w:r>
      <w:r w:rsidRPr="00020B46">
        <w:rPr>
          <w:sz w:val="24"/>
        </w:rPr>
        <w:t xml:space="preserve">  The total estimated</w:t>
      </w:r>
      <w:r w:rsidR="00886AE7" w:rsidRPr="00020B46">
        <w:rPr>
          <w:sz w:val="24"/>
        </w:rPr>
        <w:t xml:space="preserve"> time</w:t>
      </w:r>
      <w:r w:rsidRPr="00020B46">
        <w:rPr>
          <w:sz w:val="24"/>
        </w:rPr>
        <w:t xml:space="preserve"> burden for the first year is 1</w:t>
      </w:r>
      <w:r w:rsidR="00705A30" w:rsidRPr="00020B46">
        <w:rPr>
          <w:sz w:val="24"/>
        </w:rPr>
        <w:t>1</w:t>
      </w:r>
      <w:r w:rsidRPr="00020B46">
        <w:rPr>
          <w:sz w:val="24"/>
        </w:rPr>
        <w:t>,</w:t>
      </w:r>
      <w:r w:rsidR="00705A30" w:rsidRPr="00020B46">
        <w:rPr>
          <w:sz w:val="24"/>
        </w:rPr>
        <w:t>2</w:t>
      </w:r>
      <w:r w:rsidRPr="00020B46">
        <w:rPr>
          <w:sz w:val="24"/>
        </w:rPr>
        <w:t>50 hours and the total estimated</w:t>
      </w:r>
      <w:r w:rsidR="00886AE7" w:rsidRPr="00020B46">
        <w:rPr>
          <w:sz w:val="24"/>
        </w:rPr>
        <w:t xml:space="preserve"> time</w:t>
      </w:r>
      <w:r w:rsidRPr="00020B46">
        <w:rPr>
          <w:sz w:val="24"/>
        </w:rPr>
        <w:t xml:space="preserve"> burden per year for years</w:t>
      </w:r>
      <w:r w:rsidR="00705A30" w:rsidRPr="00020B46">
        <w:rPr>
          <w:sz w:val="24"/>
        </w:rPr>
        <w:t xml:space="preserve"> two and three</w:t>
      </w:r>
      <w:r w:rsidRPr="00020B46">
        <w:rPr>
          <w:sz w:val="24"/>
        </w:rPr>
        <w:t xml:space="preserve"> is 1</w:t>
      </w:r>
      <w:r w:rsidR="00705A30" w:rsidRPr="00020B46">
        <w:rPr>
          <w:sz w:val="24"/>
        </w:rPr>
        <w:t>12</w:t>
      </w:r>
      <w:r w:rsidRPr="00020B46">
        <w:rPr>
          <w:sz w:val="24"/>
        </w:rPr>
        <w:t>,500 hours.</w:t>
      </w:r>
    </w:p>
    <w:p w14:paraId="352A2411" w14:textId="77777777" w:rsidR="00661D59" w:rsidRPr="00020B46" w:rsidRDefault="00661D5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2CB66530" w14:textId="77777777" w:rsidR="00145AB9" w:rsidRPr="00020B46" w:rsidRDefault="00145AB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20B46">
        <w:rPr>
          <w:sz w:val="24"/>
        </w:rPr>
        <w:t>We estimate that the average time</w:t>
      </w:r>
      <w:r w:rsidR="00886AE7" w:rsidRPr="00020B46">
        <w:rPr>
          <w:sz w:val="24"/>
        </w:rPr>
        <w:t xml:space="preserve"> associated with office clerical activities</w:t>
      </w:r>
      <w:r w:rsidRPr="00020B46">
        <w:rPr>
          <w:sz w:val="24"/>
        </w:rPr>
        <w:t xml:space="preserve"> </w:t>
      </w:r>
      <w:r w:rsidR="00886AE7" w:rsidRPr="00020B46">
        <w:rPr>
          <w:sz w:val="24"/>
        </w:rPr>
        <w:t xml:space="preserve">relating to submission of the prior authorization request and the required documentation </w:t>
      </w:r>
      <w:r w:rsidRPr="00020B46">
        <w:rPr>
          <w:sz w:val="24"/>
        </w:rPr>
        <w:t>is 30 minutes.  Based on Bureau of Labor Statistics information</w:t>
      </w:r>
      <w:r w:rsidR="00886AE7" w:rsidRPr="00020B46">
        <w:rPr>
          <w:sz w:val="24"/>
        </w:rPr>
        <w:t>,</w:t>
      </w:r>
      <w:r w:rsidRPr="00020B46">
        <w:rPr>
          <w:sz w:val="24"/>
        </w:rPr>
        <w:t xml:space="preserve"> we estimate an average hourly rate of $1</w:t>
      </w:r>
      <w:r w:rsidR="00705A30" w:rsidRPr="00020B46">
        <w:rPr>
          <w:sz w:val="24"/>
        </w:rPr>
        <w:t>7</w:t>
      </w:r>
      <w:r w:rsidRPr="00020B46">
        <w:rPr>
          <w:sz w:val="24"/>
        </w:rPr>
        <w:t>.8</w:t>
      </w:r>
      <w:r w:rsidR="00705A30" w:rsidRPr="00020B46">
        <w:rPr>
          <w:sz w:val="24"/>
        </w:rPr>
        <w:t>6</w:t>
      </w:r>
      <w:r w:rsidRPr="00020B46">
        <w:rPr>
          <w:sz w:val="24"/>
        </w:rPr>
        <w:t xml:space="preserve"> with a loaded rate of $3</w:t>
      </w:r>
      <w:r w:rsidR="00705A30" w:rsidRPr="00020B46">
        <w:rPr>
          <w:sz w:val="24"/>
        </w:rPr>
        <w:t>5</w:t>
      </w:r>
      <w:r w:rsidRPr="00020B46">
        <w:rPr>
          <w:sz w:val="24"/>
        </w:rPr>
        <w:t>.</w:t>
      </w:r>
      <w:r w:rsidR="00705A30" w:rsidRPr="00020B46">
        <w:rPr>
          <w:sz w:val="24"/>
        </w:rPr>
        <w:t>3</w:t>
      </w:r>
      <w:r w:rsidRPr="00020B46">
        <w:rPr>
          <w:sz w:val="24"/>
        </w:rPr>
        <w:t>6.  This equates to a cost of $</w:t>
      </w:r>
      <w:r w:rsidR="00705A30" w:rsidRPr="00020B46">
        <w:rPr>
          <w:sz w:val="24"/>
        </w:rPr>
        <w:t>397</w:t>
      </w:r>
      <w:r w:rsidRPr="00020B46">
        <w:rPr>
          <w:sz w:val="24"/>
        </w:rPr>
        <w:t>,8</w:t>
      </w:r>
      <w:r w:rsidR="00705A30" w:rsidRPr="00020B46">
        <w:rPr>
          <w:sz w:val="24"/>
        </w:rPr>
        <w:t>00</w:t>
      </w:r>
      <w:r w:rsidRPr="00020B46">
        <w:rPr>
          <w:sz w:val="24"/>
        </w:rPr>
        <w:t xml:space="preserve"> for the first year based on the 2</w:t>
      </w:r>
      <w:r w:rsidR="00705A30" w:rsidRPr="00020B46">
        <w:rPr>
          <w:sz w:val="24"/>
        </w:rPr>
        <w:t>2</w:t>
      </w:r>
      <w:r w:rsidRPr="00020B46">
        <w:rPr>
          <w:sz w:val="24"/>
        </w:rPr>
        <w:t>,500 cases.  The total estimated cost per year for years</w:t>
      </w:r>
      <w:r w:rsidR="00705A30" w:rsidRPr="00020B46">
        <w:rPr>
          <w:sz w:val="24"/>
        </w:rPr>
        <w:t xml:space="preserve"> two and three</w:t>
      </w:r>
      <w:r w:rsidR="00E81120" w:rsidRPr="00020B46">
        <w:rPr>
          <w:sz w:val="24"/>
        </w:rPr>
        <w:t xml:space="preserve"> </w:t>
      </w:r>
      <w:r w:rsidRPr="00020B46">
        <w:rPr>
          <w:sz w:val="24"/>
        </w:rPr>
        <w:t xml:space="preserve">is </w:t>
      </w:r>
      <w:r w:rsidR="00E81120" w:rsidRPr="00020B46">
        <w:rPr>
          <w:sz w:val="24"/>
        </w:rPr>
        <w:t xml:space="preserve">         </w:t>
      </w:r>
      <w:r w:rsidRPr="00020B46">
        <w:rPr>
          <w:sz w:val="24"/>
        </w:rPr>
        <w:t>$</w:t>
      </w:r>
      <w:r w:rsidR="00705A30" w:rsidRPr="00020B46">
        <w:rPr>
          <w:sz w:val="24"/>
        </w:rPr>
        <w:t>3, 978</w:t>
      </w:r>
      <w:r w:rsidRPr="00020B46">
        <w:rPr>
          <w:sz w:val="24"/>
        </w:rPr>
        <w:t>,</w:t>
      </w:r>
      <w:r w:rsidR="00705A30" w:rsidRPr="00020B46">
        <w:rPr>
          <w:sz w:val="24"/>
        </w:rPr>
        <w:t>00</w:t>
      </w:r>
      <w:r w:rsidRPr="00020B46">
        <w:rPr>
          <w:sz w:val="24"/>
        </w:rPr>
        <w:t>0. The average annual cost would be $</w:t>
      </w:r>
      <w:r w:rsidR="00604D38" w:rsidRPr="00020B46">
        <w:rPr>
          <w:sz w:val="24"/>
        </w:rPr>
        <w:t>2,784,600</w:t>
      </w:r>
      <w:r w:rsidRPr="00020B46">
        <w:rPr>
          <w:sz w:val="24"/>
        </w:rPr>
        <w:t xml:space="preserve"> in years</w:t>
      </w:r>
      <w:r w:rsidR="00604D38" w:rsidRPr="00020B46">
        <w:rPr>
          <w:sz w:val="24"/>
        </w:rPr>
        <w:t xml:space="preserve"> one through three</w:t>
      </w:r>
      <w:r w:rsidRPr="00020B46">
        <w:rPr>
          <w:sz w:val="24"/>
        </w:rPr>
        <w:t xml:space="preserve"> based on </w:t>
      </w:r>
      <w:r w:rsidR="00604D38" w:rsidRPr="00020B46">
        <w:rPr>
          <w:sz w:val="24"/>
        </w:rPr>
        <w:t>157</w:t>
      </w:r>
      <w:r w:rsidRPr="00020B46">
        <w:rPr>
          <w:sz w:val="24"/>
        </w:rPr>
        <w:t xml:space="preserve">,500 average cases (years 1-3 averaged).  This impact is allocated across providers and suppliers nationwide. </w:t>
      </w:r>
    </w:p>
    <w:p w14:paraId="6C54A113" w14:textId="77777777" w:rsidR="00546074" w:rsidRPr="00020B46" w:rsidRDefault="00546074"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05B4506A" w14:textId="14B5CB0F" w:rsidR="00145AB9" w:rsidRPr="00020B46" w:rsidRDefault="00145AB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20B46">
        <w:rPr>
          <w:sz w:val="24"/>
        </w:rPr>
        <w:t>We also estimate the cost of mailing medical records to be $5 per request for prior authorization</w:t>
      </w:r>
      <w:r w:rsidR="004B4E96" w:rsidRPr="00020B46">
        <w:rPr>
          <w:sz w:val="24"/>
        </w:rPr>
        <w:t xml:space="preserve"> based on average United States Postal Service flat rate envelope pricing</w:t>
      </w:r>
      <w:r w:rsidRPr="00020B46">
        <w:rPr>
          <w:sz w:val="24"/>
        </w:rPr>
        <w:t xml:space="preserve">.  We now offer electronic submission of medical documentation (esMD) to providers and suppliers who wish to use a less expensive alternative for sending in medical documents.  Additional information on esMD can be found at </w:t>
      </w:r>
      <w:hyperlink r:id="rId10" w:history="1">
        <w:r w:rsidRPr="00020B46">
          <w:rPr>
            <w:rStyle w:val="Hyperlink"/>
            <w:sz w:val="24"/>
          </w:rPr>
          <w:t>www.cms.gov/esMD</w:t>
        </w:r>
      </w:hyperlink>
      <w:r w:rsidRPr="00020B46">
        <w:rPr>
          <w:sz w:val="24"/>
        </w:rPr>
        <w:t xml:space="preserve">.  In instances when the supplier must first obtain the medical records from a health care provider, we estimate that the mailing costs are doubled, as records are transferred from provider to supplier, and then CMS or its </w:t>
      </w:r>
      <w:r w:rsidRPr="00020B46">
        <w:rPr>
          <w:sz w:val="24"/>
        </w:rPr>
        <w:lastRenderedPageBreak/>
        <w:t>contractors.  We estimate that there are 2</w:t>
      </w:r>
      <w:r w:rsidR="00604D38" w:rsidRPr="00020B46">
        <w:rPr>
          <w:sz w:val="24"/>
        </w:rPr>
        <w:t>2</w:t>
      </w:r>
      <w:r w:rsidRPr="00020B46">
        <w:rPr>
          <w:sz w:val="24"/>
        </w:rPr>
        <w:t>,500 cases for which the mailing costs are doubled in the first year.  In sum, we estimate the costs are $2</w:t>
      </w:r>
      <w:r w:rsidR="00604D38" w:rsidRPr="00020B46">
        <w:rPr>
          <w:sz w:val="24"/>
        </w:rPr>
        <w:t>2</w:t>
      </w:r>
      <w:r w:rsidRPr="00020B46">
        <w:rPr>
          <w:sz w:val="24"/>
        </w:rPr>
        <w:t xml:space="preserve">5,000 for the first year.  The total estimated cost per year for years </w:t>
      </w:r>
      <w:r w:rsidR="00604D38" w:rsidRPr="00020B46">
        <w:rPr>
          <w:sz w:val="24"/>
        </w:rPr>
        <w:t>two and three</w:t>
      </w:r>
      <w:r w:rsidRPr="00020B46">
        <w:rPr>
          <w:sz w:val="24"/>
        </w:rPr>
        <w:t xml:space="preserve"> is $2,</w:t>
      </w:r>
      <w:r w:rsidR="00604D38" w:rsidRPr="00020B46">
        <w:rPr>
          <w:sz w:val="24"/>
        </w:rPr>
        <w:t>2</w:t>
      </w:r>
      <w:r w:rsidRPr="00020B46">
        <w:rPr>
          <w:sz w:val="24"/>
        </w:rPr>
        <w:t>50,000.  We project that the average estimate cost per year in years</w:t>
      </w:r>
      <w:r w:rsidR="00604D38" w:rsidRPr="00020B46">
        <w:rPr>
          <w:sz w:val="24"/>
        </w:rPr>
        <w:t xml:space="preserve"> </w:t>
      </w:r>
      <w:r w:rsidR="006C069B" w:rsidRPr="00020B46">
        <w:rPr>
          <w:sz w:val="24"/>
        </w:rPr>
        <w:t>one through</w:t>
      </w:r>
      <w:r w:rsidR="00604D38" w:rsidRPr="00020B46">
        <w:rPr>
          <w:sz w:val="24"/>
        </w:rPr>
        <w:t xml:space="preserve"> three</w:t>
      </w:r>
      <w:r w:rsidRPr="00020B46">
        <w:rPr>
          <w:sz w:val="24"/>
        </w:rPr>
        <w:t xml:space="preserve"> is $1</w:t>
      </w:r>
      <w:r w:rsidR="006C069B" w:rsidRPr="00020B46">
        <w:rPr>
          <w:sz w:val="24"/>
        </w:rPr>
        <w:t>,575,000</w:t>
      </w:r>
      <w:r w:rsidRPr="00020B46">
        <w:rPr>
          <w:sz w:val="24"/>
        </w:rPr>
        <w:t>.</w:t>
      </w:r>
    </w:p>
    <w:p w14:paraId="033B4879" w14:textId="77777777" w:rsidR="00B34760" w:rsidRPr="00020B46" w:rsidRDefault="00B34760"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1457F02C" w14:textId="287C1D44" w:rsidR="00B34760" w:rsidRPr="00020B46" w:rsidRDefault="00B34760"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20B46">
        <w:rPr>
          <w:sz w:val="24"/>
        </w:rPr>
        <w:t xml:space="preserve">The process of submitting a prior authorization request for an expedited review would be the same as for a standard review.  Providers have a number of methods to submit documentation quickly including fax, electronic portals, and ESMD, so provider burden should not be affected.  The unit cost for CMS performing an expedited review would be the same as for a standard review; however it is possible that a larger workforce would be required to perform reviews within the established timeframes if many expedited requests are received.  We believe items on the Master List are not commonly used in emergent situations, so we expect the use of expedited reviews to be relatively rare.  </w:t>
      </w:r>
    </w:p>
    <w:p w14:paraId="717DA562" w14:textId="77777777" w:rsidR="00546074" w:rsidRPr="00020B46" w:rsidRDefault="00546074"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p>
    <w:p w14:paraId="7C3E8740" w14:textId="77777777" w:rsidR="00145AB9" w:rsidRPr="00020B46" w:rsidRDefault="00145AB9" w:rsidP="0054607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z w:val="24"/>
        </w:rPr>
      </w:pPr>
      <w:r w:rsidRPr="00020B46">
        <w:rPr>
          <w:sz w:val="24"/>
        </w:rPr>
        <w:t>We believe that the requirements expressed in this proposed rule meet the utility and clarity standards.  We welcome comment on this assumption and on ways to minimize the burden on affected parties.</w:t>
      </w:r>
    </w:p>
    <w:p w14:paraId="05D79CC3" w14:textId="77777777" w:rsidR="00420B8D" w:rsidRPr="00020B46" w:rsidRDefault="00420B8D" w:rsidP="00420B8D">
      <w:pPr>
        <w:spacing w:line="360" w:lineRule="auto"/>
        <w:rPr>
          <w:i/>
          <w:color w:val="000000"/>
          <w:sz w:val="24"/>
        </w:rPr>
      </w:pPr>
    </w:p>
    <w:p w14:paraId="3BA597B7" w14:textId="77777777" w:rsidR="00EB4D03" w:rsidRPr="00020B46" w:rsidRDefault="00EB4D03" w:rsidP="007E6CBC">
      <w:pPr>
        <w:ind w:left="432" w:firstLine="288"/>
        <w:rPr>
          <w:rFonts w:eastAsia="Calibri"/>
          <w:sz w:val="24"/>
        </w:rPr>
      </w:pPr>
    </w:p>
    <w:p w14:paraId="5ABA2E22" w14:textId="77777777" w:rsidR="00EB4D03" w:rsidRPr="00020B46" w:rsidRDefault="00EB4D03" w:rsidP="00EB4D03">
      <w:pPr>
        <w:jc w:val="center"/>
        <w:rPr>
          <w:sz w:val="24"/>
        </w:rPr>
      </w:pPr>
      <w:r w:rsidRPr="00020B46">
        <w:rPr>
          <w:sz w:val="24"/>
        </w:rPr>
        <w:t xml:space="preserve">Summary Table: </w:t>
      </w:r>
      <w:r w:rsidR="00AA0805" w:rsidRPr="00020B46">
        <w:rPr>
          <w:sz w:val="24"/>
        </w:rPr>
        <w:t>Year 1</w:t>
      </w:r>
      <w:r w:rsidRPr="00020B46">
        <w:rPr>
          <w:sz w:val="24"/>
        </w:rPr>
        <w:t xml:space="preserve"> Burden Estimate &amp; Cost</w:t>
      </w:r>
    </w:p>
    <w:p w14:paraId="3388A259" w14:textId="77777777" w:rsidR="00EB4D03" w:rsidRPr="00020B46" w:rsidRDefault="00EB4D03" w:rsidP="00EB4D03">
      <w:pPr>
        <w:keepNext/>
        <w:jc w:val="center"/>
        <w:rPr>
          <w:rFonts w:eastAsia="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1438"/>
        <w:gridCol w:w="1406"/>
        <w:gridCol w:w="1406"/>
        <w:gridCol w:w="1406"/>
      </w:tblGrid>
      <w:tr w:rsidR="00EB4D03" w:rsidRPr="00020B46" w14:paraId="52C6686C" w14:textId="77777777" w:rsidTr="005517ED">
        <w:trPr>
          <w:cantSplit/>
          <w:tblHeader/>
          <w:jc w:val="center"/>
        </w:trPr>
        <w:tc>
          <w:tcPr>
            <w:tcW w:w="3127" w:type="dxa"/>
          </w:tcPr>
          <w:p w14:paraId="1BC8FB90" w14:textId="77777777" w:rsidR="00EB4D03" w:rsidRPr="00020B46" w:rsidRDefault="00EB4D03" w:rsidP="00512610">
            <w:pPr>
              <w:keepNext/>
              <w:rPr>
                <w:rFonts w:eastAsia="Calibri"/>
                <w:sz w:val="22"/>
                <w:szCs w:val="22"/>
              </w:rPr>
            </w:pPr>
          </w:p>
        </w:tc>
        <w:tc>
          <w:tcPr>
            <w:tcW w:w="1438" w:type="dxa"/>
          </w:tcPr>
          <w:p w14:paraId="086784E1" w14:textId="77777777" w:rsidR="00EB4D03" w:rsidRPr="00020B46" w:rsidRDefault="00EB4D03" w:rsidP="00145AB9">
            <w:pPr>
              <w:keepNext/>
              <w:jc w:val="center"/>
              <w:rPr>
                <w:rFonts w:eastAsia="Calibri"/>
                <w:b/>
                <w:sz w:val="22"/>
                <w:szCs w:val="22"/>
              </w:rPr>
            </w:pPr>
            <w:r w:rsidRPr="00020B46">
              <w:rPr>
                <w:rFonts w:eastAsia="Calibri"/>
                <w:b/>
                <w:sz w:val="22"/>
                <w:szCs w:val="22"/>
              </w:rPr>
              <w:t xml:space="preserve">Claims Affected </w:t>
            </w:r>
          </w:p>
        </w:tc>
        <w:tc>
          <w:tcPr>
            <w:tcW w:w="1406" w:type="dxa"/>
          </w:tcPr>
          <w:p w14:paraId="06615CBF" w14:textId="77777777" w:rsidR="00EB4D03" w:rsidRPr="00020B46" w:rsidRDefault="00EB4D03" w:rsidP="00512610">
            <w:pPr>
              <w:keepNext/>
              <w:jc w:val="center"/>
              <w:rPr>
                <w:rFonts w:eastAsia="Calibri"/>
                <w:b/>
                <w:sz w:val="22"/>
                <w:szCs w:val="22"/>
              </w:rPr>
            </w:pPr>
            <w:r w:rsidRPr="00020B46">
              <w:rPr>
                <w:rFonts w:eastAsia="Calibri"/>
                <w:b/>
                <w:sz w:val="22"/>
                <w:szCs w:val="22"/>
              </w:rPr>
              <w:t xml:space="preserve">Time Per Response (minutes) </w:t>
            </w:r>
          </w:p>
        </w:tc>
        <w:tc>
          <w:tcPr>
            <w:tcW w:w="1406" w:type="dxa"/>
          </w:tcPr>
          <w:p w14:paraId="602FB6EB" w14:textId="77777777" w:rsidR="00EB4D03" w:rsidRPr="00020B46" w:rsidRDefault="00EB4D03" w:rsidP="00512610">
            <w:pPr>
              <w:keepNext/>
              <w:jc w:val="center"/>
              <w:rPr>
                <w:rFonts w:eastAsia="Calibri"/>
                <w:b/>
                <w:sz w:val="22"/>
                <w:szCs w:val="22"/>
              </w:rPr>
            </w:pPr>
            <w:r w:rsidRPr="00020B46">
              <w:rPr>
                <w:rFonts w:eastAsia="Calibri"/>
                <w:b/>
                <w:sz w:val="22"/>
                <w:szCs w:val="22"/>
              </w:rPr>
              <w:t>Total Time (hour)</w:t>
            </w:r>
          </w:p>
        </w:tc>
        <w:tc>
          <w:tcPr>
            <w:tcW w:w="1406" w:type="dxa"/>
          </w:tcPr>
          <w:p w14:paraId="218943AB" w14:textId="77777777" w:rsidR="00EB4D03" w:rsidRPr="00020B46" w:rsidRDefault="00EB4D03" w:rsidP="00512610">
            <w:pPr>
              <w:keepNext/>
              <w:jc w:val="center"/>
              <w:rPr>
                <w:rFonts w:eastAsia="Calibri"/>
                <w:b/>
                <w:sz w:val="22"/>
                <w:szCs w:val="22"/>
              </w:rPr>
            </w:pPr>
            <w:r w:rsidRPr="00020B46">
              <w:rPr>
                <w:rFonts w:eastAsia="Calibri"/>
                <w:b/>
                <w:sz w:val="22"/>
                <w:szCs w:val="22"/>
              </w:rPr>
              <w:t>Year 1</w:t>
            </w:r>
          </w:p>
          <w:p w14:paraId="29F5B8FC" w14:textId="77777777" w:rsidR="00EB4D03" w:rsidRPr="00020B46" w:rsidRDefault="00EB4D03" w:rsidP="00512610">
            <w:pPr>
              <w:keepNext/>
              <w:jc w:val="center"/>
              <w:rPr>
                <w:rFonts w:eastAsia="Calibri"/>
                <w:b/>
                <w:sz w:val="22"/>
                <w:szCs w:val="22"/>
              </w:rPr>
            </w:pPr>
          </w:p>
        </w:tc>
      </w:tr>
      <w:tr w:rsidR="00EB4D03" w:rsidRPr="00020B46" w14:paraId="33FE1432" w14:textId="77777777" w:rsidTr="005517ED">
        <w:trPr>
          <w:cantSplit/>
          <w:jc w:val="center"/>
        </w:trPr>
        <w:tc>
          <w:tcPr>
            <w:tcW w:w="3127" w:type="dxa"/>
          </w:tcPr>
          <w:p w14:paraId="20A0DF03" w14:textId="77777777" w:rsidR="00EB4D03" w:rsidRPr="00020B46" w:rsidRDefault="00145AB9" w:rsidP="00512610">
            <w:pPr>
              <w:rPr>
                <w:rFonts w:eastAsia="Calibri"/>
                <w:sz w:val="24"/>
              </w:rPr>
            </w:pPr>
            <w:r w:rsidRPr="00020B46">
              <w:rPr>
                <w:rFonts w:eastAsia="Calibri"/>
                <w:sz w:val="24"/>
              </w:rPr>
              <w:t>Submit</w:t>
            </w:r>
            <w:r w:rsidR="00AA0805" w:rsidRPr="00020B46">
              <w:rPr>
                <w:rFonts w:eastAsia="Calibri"/>
                <w:sz w:val="24"/>
              </w:rPr>
              <w:t>ting</w:t>
            </w:r>
            <w:r w:rsidRPr="00020B46">
              <w:rPr>
                <w:rFonts w:eastAsia="Calibri"/>
                <w:sz w:val="24"/>
              </w:rPr>
              <w:t xml:space="preserve"> a Prior Authorization</w:t>
            </w:r>
            <w:r w:rsidR="00AA0805" w:rsidRPr="00020B46">
              <w:rPr>
                <w:rFonts w:eastAsia="Calibri"/>
                <w:sz w:val="24"/>
              </w:rPr>
              <w:t xml:space="preserve"> Request</w:t>
            </w:r>
          </w:p>
        </w:tc>
        <w:tc>
          <w:tcPr>
            <w:tcW w:w="1438" w:type="dxa"/>
          </w:tcPr>
          <w:p w14:paraId="56983F85" w14:textId="77777777" w:rsidR="00EB4D03" w:rsidRPr="00020B46" w:rsidRDefault="00145AB9" w:rsidP="00145AB9">
            <w:pPr>
              <w:jc w:val="right"/>
              <w:rPr>
                <w:rFonts w:eastAsia="Calibri"/>
                <w:sz w:val="24"/>
              </w:rPr>
            </w:pPr>
            <w:r w:rsidRPr="00020B46">
              <w:rPr>
                <w:rFonts w:eastAsia="Calibri"/>
                <w:sz w:val="24"/>
              </w:rPr>
              <w:t>2</w:t>
            </w:r>
            <w:r w:rsidR="00604D38" w:rsidRPr="00020B46">
              <w:rPr>
                <w:rFonts w:eastAsia="Calibri"/>
                <w:sz w:val="24"/>
              </w:rPr>
              <w:t>2</w:t>
            </w:r>
            <w:r w:rsidRPr="00020B46">
              <w:rPr>
                <w:rFonts w:eastAsia="Calibri"/>
                <w:sz w:val="24"/>
              </w:rPr>
              <w:t>,500</w:t>
            </w:r>
          </w:p>
        </w:tc>
        <w:tc>
          <w:tcPr>
            <w:tcW w:w="1406" w:type="dxa"/>
          </w:tcPr>
          <w:p w14:paraId="29C9AB75" w14:textId="77777777" w:rsidR="00EB4D03" w:rsidRPr="00020B46" w:rsidRDefault="00145AB9" w:rsidP="00A743E1">
            <w:pPr>
              <w:jc w:val="right"/>
              <w:rPr>
                <w:rFonts w:eastAsia="Calibri"/>
                <w:sz w:val="24"/>
              </w:rPr>
            </w:pPr>
            <w:r w:rsidRPr="00020B46">
              <w:rPr>
                <w:rFonts w:eastAsia="Calibri"/>
                <w:sz w:val="24"/>
              </w:rPr>
              <w:t>30</w:t>
            </w:r>
          </w:p>
        </w:tc>
        <w:tc>
          <w:tcPr>
            <w:tcW w:w="1406" w:type="dxa"/>
          </w:tcPr>
          <w:p w14:paraId="38C36EB0" w14:textId="77777777" w:rsidR="00EB4D03" w:rsidRPr="00020B46" w:rsidRDefault="00420B8D" w:rsidP="00145AB9">
            <w:pPr>
              <w:jc w:val="right"/>
              <w:rPr>
                <w:rFonts w:eastAsia="Calibri"/>
                <w:sz w:val="24"/>
              </w:rPr>
            </w:pPr>
            <w:r w:rsidRPr="00020B46">
              <w:rPr>
                <w:color w:val="000000"/>
                <w:sz w:val="24"/>
              </w:rPr>
              <w:t xml:space="preserve">           </w:t>
            </w:r>
            <w:r w:rsidR="00145AB9" w:rsidRPr="00020B46">
              <w:rPr>
                <w:color w:val="000000"/>
                <w:sz w:val="24"/>
              </w:rPr>
              <w:t>1</w:t>
            </w:r>
            <w:r w:rsidR="00604D38" w:rsidRPr="00020B46">
              <w:rPr>
                <w:color w:val="000000"/>
                <w:sz w:val="24"/>
              </w:rPr>
              <w:t>1</w:t>
            </w:r>
            <w:r w:rsidR="00145AB9" w:rsidRPr="00020B46">
              <w:rPr>
                <w:color w:val="000000"/>
                <w:sz w:val="24"/>
              </w:rPr>
              <w:t>,</w:t>
            </w:r>
            <w:r w:rsidR="00604D38" w:rsidRPr="00020B46">
              <w:rPr>
                <w:color w:val="000000"/>
                <w:sz w:val="24"/>
              </w:rPr>
              <w:t>2</w:t>
            </w:r>
            <w:r w:rsidR="00145AB9" w:rsidRPr="00020B46">
              <w:rPr>
                <w:color w:val="000000"/>
                <w:sz w:val="24"/>
              </w:rPr>
              <w:t>50</w:t>
            </w:r>
          </w:p>
        </w:tc>
        <w:tc>
          <w:tcPr>
            <w:tcW w:w="1406" w:type="dxa"/>
          </w:tcPr>
          <w:p w14:paraId="3C7A1ED8" w14:textId="77777777" w:rsidR="00EB4D03" w:rsidRPr="00020B46" w:rsidRDefault="00EB4D03" w:rsidP="00A743E1">
            <w:pPr>
              <w:jc w:val="right"/>
              <w:rPr>
                <w:rFonts w:eastAsia="Calibri"/>
                <w:sz w:val="24"/>
              </w:rPr>
            </w:pPr>
            <w:r w:rsidRPr="00020B46">
              <w:rPr>
                <w:rFonts w:eastAsia="Calibri"/>
                <w:sz w:val="24"/>
              </w:rPr>
              <w:t>$</w:t>
            </w:r>
            <w:r w:rsidR="00604D38" w:rsidRPr="00020B46">
              <w:rPr>
                <w:sz w:val="24"/>
              </w:rPr>
              <w:t>397</w:t>
            </w:r>
            <w:r w:rsidR="00145AB9" w:rsidRPr="00020B46">
              <w:rPr>
                <w:sz w:val="24"/>
              </w:rPr>
              <w:t>,8</w:t>
            </w:r>
            <w:r w:rsidR="00604D38" w:rsidRPr="00020B46">
              <w:rPr>
                <w:sz w:val="24"/>
              </w:rPr>
              <w:t>00</w:t>
            </w:r>
          </w:p>
        </w:tc>
      </w:tr>
      <w:tr w:rsidR="00EB4D03" w:rsidRPr="00020B46" w14:paraId="035DD91D" w14:textId="77777777" w:rsidTr="005517ED">
        <w:trPr>
          <w:cantSplit/>
          <w:jc w:val="center"/>
        </w:trPr>
        <w:tc>
          <w:tcPr>
            <w:tcW w:w="3127" w:type="dxa"/>
          </w:tcPr>
          <w:p w14:paraId="35597FD5" w14:textId="77777777" w:rsidR="00EB4D03" w:rsidRPr="00020B46" w:rsidRDefault="00AA0805" w:rsidP="00AA0805">
            <w:pPr>
              <w:rPr>
                <w:rFonts w:eastAsia="Calibri"/>
                <w:sz w:val="24"/>
              </w:rPr>
            </w:pPr>
            <w:r w:rsidRPr="00020B46">
              <w:rPr>
                <w:sz w:val="24"/>
              </w:rPr>
              <w:t>M</w:t>
            </w:r>
            <w:r w:rsidR="00145AB9" w:rsidRPr="00020B46">
              <w:rPr>
                <w:sz w:val="24"/>
              </w:rPr>
              <w:t>ailing medical records</w:t>
            </w:r>
          </w:p>
        </w:tc>
        <w:tc>
          <w:tcPr>
            <w:tcW w:w="1438" w:type="dxa"/>
          </w:tcPr>
          <w:p w14:paraId="4589D4A9" w14:textId="77777777" w:rsidR="00EB4D03" w:rsidRPr="00020B46" w:rsidRDefault="00145AB9" w:rsidP="00A743E1">
            <w:pPr>
              <w:jc w:val="right"/>
              <w:rPr>
                <w:rFonts w:eastAsia="Calibri"/>
                <w:sz w:val="24"/>
              </w:rPr>
            </w:pPr>
            <w:r w:rsidRPr="00020B46">
              <w:rPr>
                <w:rFonts w:eastAsia="Calibri"/>
                <w:sz w:val="24"/>
              </w:rPr>
              <w:t>2</w:t>
            </w:r>
            <w:r w:rsidR="00604D38" w:rsidRPr="00020B46">
              <w:rPr>
                <w:rFonts w:eastAsia="Calibri"/>
                <w:sz w:val="24"/>
              </w:rPr>
              <w:t>2</w:t>
            </w:r>
            <w:r w:rsidRPr="00020B46">
              <w:rPr>
                <w:rFonts w:eastAsia="Calibri"/>
                <w:sz w:val="24"/>
              </w:rPr>
              <w:t>,500</w:t>
            </w:r>
          </w:p>
        </w:tc>
        <w:tc>
          <w:tcPr>
            <w:tcW w:w="1406" w:type="dxa"/>
          </w:tcPr>
          <w:p w14:paraId="53B03FC5" w14:textId="77777777" w:rsidR="00EB4D03" w:rsidRPr="00020B46" w:rsidRDefault="00EB4D03" w:rsidP="00A743E1">
            <w:pPr>
              <w:jc w:val="right"/>
              <w:rPr>
                <w:rFonts w:eastAsia="Calibri"/>
                <w:sz w:val="24"/>
              </w:rPr>
            </w:pPr>
          </w:p>
        </w:tc>
        <w:tc>
          <w:tcPr>
            <w:tcW w:w="1406" w:type="dxa"/>
          </w:tcPr>
          <w:p w14:paraId="2B8B4362" w14:textId="77777777" w:rsidR="00EB4D03" w:rsidRPr="00020B46" w:rsidRDefault="00EB4D03" w:rsidP="00A743E1">
            <w:pPr>
              <w:jc w:val="right"/>
              <w:rPr>
                <w:rFonts w:eastAsia="Calibri"/>
                <w:sz w:val="24"/>
              </w:rPr>
            </w:pPr>
          </w:p>
        </w:tc>
        <w:tc>
          <w:tcPr>
            <w:tcW w:w="1406" w:type="dxa"/>
          </w:tcPr>
          <w:p w14:paraId="18A4BFC6" w14:textId="77777777" w:rsidR="00EB4D03" w:rsidRPr="00020B46" w:rsidRDefault="00EB4D03" w:rsidP="00661D59">
            <w:pPr>
              <w:jc w:val="right"/>
              <w:rPr>
                <w:rFonts w:eastAsia="Calibri"/>
                <w:sz w:val="24"/>
              </w:rPr>
            </w:pPr>
            <w:r w:rsidRPr="00020B46">
              <w:rPr>
                <w:rFonts w:eastAsia="Calibri"/>
                <w:sz w:val="24"/>
              </w:rPr>
              <w:t>$</w:t>
            </w:r>
            <w:r w:rsidR="00661D59" w:rsidRPr="00020B46">
              <w:rPr>
                <w:rFonts w:eastAsia="Calibri"/>
                <w:sz w:val="24"/>
              </w:rPr>
              <w:t>2</w:t>
            </w:r>
            <w:r w:rsidR="00604D38" w:rsidRPr="00020B46">
              <w:rPr>
                <w:rFonts w:eastAsia="Calibri"/>
                <w:sz w:val="24"/>
              </w:rPr>
              <w:t>2</w:t>
            </w:r>
            <w:r w:rsidR="00661D59" w:rsidRPr="00020B46">
              <w:rPr>
                <w:rFonts w:eastAsia="Calibri"/>
                <w:sz w:val="24"/>
              </w:rPr>
              <w:t>5,000</w:t>
            </w:r>
          </w:p>
        </w:tc>
      </w:tr>
      <w:tr w:rsidR="00EB4D03" w:rsidRPr="00020B46" w14:paraId="3B86F334" w14:textId="77777777" w:rsidTr="005517ED">
        <w:trPr>
          <w:cantSplit/>
          <w:jc w:val="center"/>
        </w:trPr>
        <w:tc>
          <w:tcPr>
            <w:tcW w:w="3127" w:type="dxa"/>
          </w:tcPr>
          <w:p w14:paraId="425EDA44" w14:textId="77777777" w:rsidR="00EB4D03" w:rsidRPr="00020B46" w:rsidRDefault="00EB4D03" w:rsidP="00512610">
            <w:pPr>
              <w:rPr>
                <w:rFonts w:eastAsia="Calibri"/>
                <w:sz w:val="24"/>
              </w:rPr>
            </w:pPr>
            <w:r w:rsidRPr="00020B46">
              <w:rPr>
                <w:rFonts w:eastAsia="Calibri"/>
                <w:sz w:val="24"/>
              </w:rPr>
              <w:t xml:space="preserve">Total Cost </w:t>
            </w:r>
          </w:p>
        </w:tc>
        <w:tc>
          <w:tcPr>
            <w:tcW w:w="1438" w:type="dxa"/>
          </w:tcPr>
          <w:p w14:paraId="4BE84D67" w14:textId="77777777" w:rsidR="00EB4D03" w:rsidRPr="00020B46" w:rsidRDefault="00EB4D03" w:rsidP="00A743E1">
            <w:pPr>
              <w:jc w:val="right"/>
              <w:rPr>
                <w:rFonts w:eastAsia="Calibri"/>
                <w:sz w:val="24"/>
              </w:rPr>
            </w:pPr>
          </w:p>
        </w:tc>
        <w:tc>
          <w:tcPr>
            <w:tcW w:w="1406" w:type="dxa"/>
          </w:tcPr>
          <w:p w14:paraId="29EE3512" w14:textId="77777777" w:rsidR="00EB4D03" w:rsidRPr="00020B46" w:rsidRDefault="00EB4D03" w:rsidP="00A743E1">
            <w:pPr>
              <w:jc w:val="right"/>
              <w:rPr>
                <w:rFonts w:eastAsia="Calibri"/>
                <w:sz w:val="24"/>
              </w:rPr>
            </w:pPr>
          </w:p>
        </w:tc>
        <w:tc>
          <w:tcPr>
            <w:tcW w:w="1406" w:type="dxa"/>
          </w:tcPr>
          <w:p w14:paraId="3276C669" w14:textId="77777777" w:rsidR="00EB4D03" w:rsidRPr="00020B46" w:rsidRDefault="00EB4D03" w:rsidP="00A743E1">
            <w:pPr>
              <w:jc w:val="right"/>
              <w:rPr>
                <w:rFonts w:eastAsia="Calibri"/>
                <w:sz w:val="24"/>
              </w:rPr>
            </w:pPr>
          </w:p>
        </w:tc>
        <w:tc>
          <w:tcPr>
            <w:tcW w:w="1406" w:type="dxa"/>
          </w:tcPr>
          <w:p w14:paraId="11A67FF1" w14:textId="77777777" w:rsidR="00EB4D03" w:rsidRPr="00020B46" w:rsidRDefault="00EB4D03" w:rsidP="005F7416">
            <w:pPr>
              <w:jc w:val="right"/>
              <w:rPr>
                <w:rFonts w:eastAsia="Calibri"/>
                <w:sz w:val="24"/>
              </w:rPr>
            </w:pPr>
            <w:r w:rsidRPr="00020B46">
              <w:rPr>
                <w:rFonts w:eastAsia="Calibri"/>
                <w:sz w:val="24"/>
              </w:rPr>
              <w:t>$</w:t>
            </w:r>
            <w:r w:rsidR="005F7416" w:rsidRPr="00020B46">
              <w:rPr>
                <w:color w:val="000000"/>
                <w:sz w:val="24"/>
              </w:rPr>
              <w:t>622</w:t>
            </w:r>
            <w:r w:rsidR="00661D59" w:rsidRPr="00020B46">
              <w:rPr>
                <w:color w:val="000000"/>
                <w:sz w:val="24"/>
              </w:rPr>
              <w:t>,8</w:t>
            </w:r>
            <w:r w:rsidR="005F7416" w:rsidRPr="00020B46">
              <w:rPr>
                <w:color w:val="000000"/>
                <w:sz w:val="24"/>
              </w:rPr>
              <w:t>00</w:t>
            </w:r>
          </w:p>
        </w:tc>
      </w:tr>
    </w:tbl>
    <w:p w14:paraId="432CE3A3" w14:textId="77777777" w:rsidR="00EB4D03" w:rsidRPr="00020B46" w:rsidRDefault="00EB4D03" w:rsidP="007E6CBC">
      <w:pPr>
        <w:ind w:left="432" w:firstLine="288"/>
        <w:rPr>
          <w:rFonts w:eastAsia="Calibri"/>
          <w:sz w:val="24"/>
        </w:rPr>
      </w:pPr>
    </w:p>
    <w:p w14:paraId="2C25C493"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FF30582"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13.</w:t>
      </w:r>
      <w:r w:rsidRPr="00020B46">
        <w:rPr>
          <w:sz w:val="24"/>
        </w:rPr>
        <w:tab/>
      </w:r>
      <w:r w:rsidRPr="00020B46">
        <w:rPr>
          <w:sz w:val="24"/>
          <w:u w:val="single"/>
        </w:rPr>
        <w:t>Capital Costs</w:t>
      </w:r>
    </w:p>
    <w:p w14:paraId="6927185A"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DE2384" w14:textId="77777777" w:rsidR="00DE10B2" w:rsidRPr="00020B46" w:rsidRDefault="00DE10B2" w:rsidP="00DE10B2">
      <w:pPr>
        <w:ind w:left="432"/>
        <w:rPr>
          <w:sz w:val="24"/>
        </w:rPr>
      </w:pPr>
      <w:r w:rsidRPr="00020B46">
        <w:rPr>
          <w:sz w:val="24"/>
        </w:rPr>
        <w:t>There are no capital costs associated with this collection. Providers and suppliers maintain these medical records and routinely submit them to various healthcare entities.</w:t>
      </w:r>
    </w:p>
    <w:p w14:paraId="34054B3B"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23ECD3"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14.</w:t>
      </w:r>
      <w:r w:rsidRPr="00020B46">
        <w:rPr>
          <w:sz w:val="24"/>
        </w:rPr>
        <w:tab/>
      </w:r>
      <w:r w:rsidRPr="00020B46">
        <w:rPr>
          <w:sz w:val="24"/>
          <w:u w:val="single"/>
        </w:rPr>
        <w:t>Cost to Federal Government</w:t>
      </w:r>
    </w:p>
    <w:p w14:paraId="5F41450D"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02DADD" w14:textId="7642B3A5" w:rsidR="00FF7B74" w:rsidRPr="00020B46" w:rsidRDefault="00FF7B74" w:rsidP="00FF7B74">
      <w:pPr>
        <w:pStyle w:val="ListParagraph"/>
        <w:ind w:left="432"/>
        <w:rPr>
          <w:rFonts w:ascii="Times New Roman" w:hAnsi="Times New Roman"/>
          <w:sz w:val="24"/>
          <w:szCs w:val="24"/>
        </w:rPr>
      </w:pPr>
      <w:r w:rsidRPr="00020B46">
        <w:rPr>
          <w:rFonts w:ascii="Times New Roman" w:hAnsi="Times New Roman"/>
          <w:sz w:val="24"/>
          <w:szCs w:val="24"/>
        </w:rPr>
        <w:t xml:space="preserve">CMS estimates that costs associated with </w:t>
      </w:r>
      <w:r w:rsidR="00661D59" w:rsidRPr="00020B46">
        <w:rPr>
          <w:rFonts w:ascii="Times New Roman" w:hAnsi="Times New Roman"/>
          <w:sz w:val="24"/>
          <w:szCs w:val="24"/>
        </w:rPr>
        <w:t xml:space="preserve">prior authorization </w:t>
      </w:r>
      <w:r w:rsidRPr="00020B46">
        <w:rPr>
          <w:rFonts w:ascii="Times New Roman" w:hAnsi="Times New Roman"/>
          <w:sz w:val="24"/>
          <w:szCs w:val="24"/>
        </w:rPr>
        <w:t>is $</w:t>
      </w:r>
      <w:r w:rsidR="00661D59" w:rsidRPr="00020B46">
        <w:rPr>
          <w:rFonts w:ascii="Times New Roman" w:hAnsi="Times New Roman"/>
          <w:sz w:val="24"/>
          <w:szCs w:val="24"/>
        </w:rPr>
        <w:t>1,</w:t>
      </w:r>
      <w:r w:rsidR="006C069B" w:rsidRPr="00020B46">
        <w:rPr>
          <w:rFonts w:ascii="Times New Roman" w:hAnsi="Times New Roman"/>
          <w:sz w:val="24"/>
          <w:szCs w:val="24"/>
        </w:rPr>
        <w:t>125</w:t>
      </w:r>
      <w:r w:rsidR="00661D59" w:rsidRPr="00020B46">
        <w:rPr>
          <w:rFonts w:ascii="Times New Roman" w:hAnsi="Times New Roman"/>
          <w:sz w:val="24"/>
          <w:szCs w:val="24"/>
        </w:rPr>
        <w:t xml:space="preserve">,000 </w:t>
      </w:r>
      <w:r w:rsidRPr="00020B46">
        <w:rPr>
          <w:rFonts w:ascii="Times New Roman" w:hAnsi="Times New Roman"/>
          <w:sz w:val="24"/>
          <w:szCs w:val="24"/>
        </w:rPr>
        <w:t xml:space="preserve">million </w:t>
      </w:r>
      <w:r w:rsidR="00661D59" w:rsidRPr="00020B46">
        <w:rPr>
          <w:rFonts w:ascii="Times New Roman" w:hAnsi="Times New Roman"/>
          <w:sz w:val="24"/>
          <w:szCs w:val="24"/>
        </w:rPr>
        <w:t xml:space="preserve">in </w:t>
      </w:r>
      <w:r w:rsidRPr="00020B46">
        <w:rPr>
          <w:rFonts w:ascii="Times New Roman" w:hAnsi="Times New Roman"/>
          <w:sz w:val="24"/>
          <w:szCs w:val="24"/>
        </w:rPr>
        <w:t>year</w:t>
      </w:r>
      <w:r w:rsidR="006C069B" w:rsidRPr="00020B46">
        <w:rPr>
          <w:rFonts w:ascii="Times New Roman" w:hAnsi="Times New Roman"/>
          <w:sz w:val="24"/>
          <w:szCs w:val="24"/>
        </w:rPr>
        <w:t xml:space="preserve"> one</w:t>
      </w:r>
      <w:r w:rsidR="00661D59" w:rsidRPr="00020B46">
        <w:rPr>
          <w:rFonts w:ascii="Times New Roman" w:hAnsi="Times New Roman"/>
          <w:sz w:val="24"/>
          <w:szCs w:val="24"/>
        </w:rPr>
        <w:t xml:space="preserve"> and $1</w:t>
      </w:r>
      <w:r w:rsidR="006C069B" w:rsidRPr="00020B46">
        <w:rPr>
          <w:rFonts w:ascii="Times New Roman" w:hAnsi="Times New Roman"/>
          <w:sz w:val="24"/>
          <w:szCs w:val="24"/>
        </w:rPr>
        <w:t>1</w:t>
      </w:r>
      <w:r w:rsidR="00661D59" w:rsidRPr="00020B46">
        <w:rPr>
          <w:rFonts w:ascii="Times New Roman" w:hAnsi="Times New Roman"/>
          <w:sz w:val="24"/>
          <w:szCs w:val="24"/>
        </w:rPr>
        <w:t>,</w:t>
      </w:r>
      <w:r w:rsidR="006C069B" w:rsidRPr="00020B46">
        <w:rPr>
          <w:rFonts w:ascii="Times New Roman" w:hAnsi="Times New Roman"/>
          <w:sz w:val="24"/>
          <w:szCs w:val="24"/>
        </w:rPr>
        <w:t>2</w:t>
      </w:r>
      <w:r w:rsidR="00661D59" w:rsidRPr="00020B46">
        <w:rPr>
          <w:rFonts w:ascii="Times New Roman" w:hAnsi="Times New Roman"/>
          <w:sz w:val="24"/>
          <w:szCs w:val="24"/>
        </w:rPr>
        <w:t>50,000 in years</w:t>
      </w:r>
      <w:r w:rsidR="006C069B" w:rsidRPr="00020B46">
        <w:rPr>
          <w:rFonts w:ascii="Times New Roman" w:hAnsi="Times New Roman"/>
          <w:sz w:val="24"/>
          <w:szCs w:val="24"/>
        </w:rPr>
        <w:t xml:space="preserve"> two and three</w:t>
      </w:r>
      <w:r w:rsidRPr="00020B46">
        <w:rPr>
          <w:rFonts w:ascii="Times New Roman" w:hAnsi="Times New Roman"/>
          <w:sz w:val="24"/>
          <w:szCs w:val="24"/>
        </w:rPr>
        <w:t xml:space="preserve">. </w:t>
      </w:r>
      <w:r w:rsidR="008A13E3" w:rsidRPr="00020B46">
        <w:rPr>
          <w:rFonts w:ascii="Times New Roman" w:hAnsi="Times New Roman"/>
          <w:sz w:val="24"/>
          <w:szCs w:val="24"/>
        </w:rPr>
        <w:t xml:space="preserve">  The average cost over the three year OMB approval period is $7,875,000</w:t>
      </w:r>
      <w:r w:rsidR="00020B46">
        <w:rPr>
          <w:rFonts w:ascii="Times New Roman" w:hAnsi="Times New Roman"/>
          <w:sz w:val="24"/>
          <w:szCs w:val="24"/>
        </w:rPr>
        <w:t>.</w:t>
      </w:r>
      <w:bookmarkStart w:id="4" w:name="_GoBack"/>
      <w:bookmarkEnd w:id="4"/>
      <w:r w:rsidR="005E4F86" w:rsidRPr="00490479">
        <w:rPr>
          <w:rStyle w:val="FootnoteReference"/>
          <w:rFonts w:ascii="Times New Roman" w:hAnsi="Times New Roman"/>
          <w:sz w:val="24"/>
          <w:szCs w:val="24"/>
          <w:vertAlign w:val="superscript"/>
        </w:rPr>
        <w:footnoteReference w:id="6"/>
      </w:r>
    </w:p>
    <w:p w14:paraId="169333A5"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30EEE0"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15.</w:t>
      </w:r>
      <w:r w:rsidRPr="00020B46">
        <w:rPr>
          <w:sz w:val="24"/>
        </w:rPr>
        <w:tab/>
      </w:r>
      <w:r w:rsidRPr="00020B46">
        <w:rPr>
          <w:sz w:val="24"/>
          <w:u w:val="single"/>
        </w:rPr>
        <w:t>Changes to Burden</w:t>
      </w:r>
    </w:p>
    <w:p w14:paraId="7848C81C"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B31D7FB" w14:textId="77777777" w:rsidR="008F1EB4" w:rsidRPr="00020B46" w:rsidRDefault="00DE10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20B46">
        <w:rPr>
          <w:sz w:val="24"/>
        </w:rPr>
        <w:t xml:space="preserve">This is a </w:t>
      </w:r>
      <w:r w:rsidR="00661D59" w:rsidRPr="00020B46">
        <w:rPr>
          <w:sz w:val="24"/>
        </w:rPr>
        <w:t xml:space="preserve">request to collect the same required information just earlier in the process before the claim is submitted.  </w:t>
      </w:r>
    </w:p>
    <w:p w14:paraId="62376AC2"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07859F"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16.</w:t>
      </w:r>
      <w:r w:rsidRPr="00020B46">
        <w:rPr>
          <w:sz w:val="24"/>
        </w:rPr>
        <w:tab/>
      </w:r>
      <w:r w:rsidRPr="00020B46">
        <w:rPr>
          <w:sz w:val="24"/>
          <w:u w:val="single"/>
        </w:rPr>
        <w:t>Publication/Tabulation Dates</w:t>
      </w:r>
    </w:p>
    <w:p w14:paraId="529DE2E0"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159B79" w14:textId="77777777" w:rsidR="00DE10B2" w:rsidRPr="00020B46" w:rsidRDefault="00DE10B2" w:rsidP="00DE10B2">
      <w:pPr>
        <w:ind w:firstLine="432"/>
        <w:rPr>
          <w:sz w:val="24"/>
        </w:rPr>
      </w:pPr>
      <w:r w:rsidRPr="00020B46">
        <w:rPr>
          <w:sz w:val="24"/>
        </w:rPr>
        <w:t>There are no plans to publish or tabulate the information collected.</w:t>
      </w:r>
    </w:p>
    <w:p w14:paraId="6DFA313E"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4011E2"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17.</w:t>
      </w:r>
      <w:r w:rsidRPr="00020B46">
        <w:rPr>
          <w:sz w:val="24"/>
        </w:rPr>
        <w:tab/>
      </w:r>
      <w:r w:rsidRPr="00020B46">
        <w:rPr>
          <w:sz w:val="24"/>
          <w:u w:val="single"/>
        </w:rPr>
        <w:t>Expiration Date</w:t>
      </w:r>
    </w:p>
    <w:p w14:paraId="5EFAD667" w14:textId="77777777" w:rsidR="000F3AF4" w:rsidRPr="00020B46"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8001C50" w14:textId="622350CF" w:rsidR="008F1EB4" w:rsidRPr="00020B46" w:rsidRDefault="00A10A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020B46">
        <w:rPr>
          <w:sz w:val="24"/>
        </w:rPr>
        <w:t>This is a collection which does not utilize any information collection instrument or instructions therefore t</w:t>
      </w:r>
      <w:r w:rsidR="008F1EB4" w:rsidRPr="00020B46">
        <w:rPr>
          <w:sz w:val="24"/>
        </w:rPr>
        <w:t>his collection does not lend itself to the displaying of an expiration date.</w:t>
      </w:r>
    </w:p>
    <w:p w14:paraId="174AFC50"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BE34F9"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020B46">
        <w:rPr>
          <w:sz w:val="24"/>
        </w:rPr>
        <w:t>18.</w:t>
      </w:r>
      <w:r w:rsidRPr="00020B46">
        <w:rPr>
          <w:sz w:val="24"/>
        </w:rPr>
        <w:tab/>
      </w:r>
      <w:r w:rsidRPr="00020B46">
        <w:rPr>
          <w:sz w:val="24"/>
          <w:u w:val="single"/>
        </w:rPr>
        <w:t>Certification Statement</w:t>
      </w:r>
    </w:p>
    <w:p w14:paraId="4602F8DE" w14:textId="77777777" w:rsidR="008F1EB4" w:rsidRPr="00020B4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123044" w14:textId="77777777" w:rsidR="00DE10B2" w:rsidRPr="00020B46" w:rsidRDefault="00DE10B2" w:rsidP="00DE10B2">
      <w:pPr>
        <w:ind w:firstLine="432"/>
        <w:rPr>
          <w:sz w:val="24"/>
        </w:rPr>
      </w:pPr>
      <w:r w:rsidRPr="00020B46">
        <w:rPr>
          <w:sz w:val="24"/>
        </w:rPr>
        <w:t>There are no exceptions to the certification statements.</w:t>
      </w:r>
    </w:p>
    <w:p w14:paraId="03D295D2" w14:textId="77777777" w:rsidR="000F3AF4" w:rsidRPr="00020B46"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rsidRPr="00020B46">
      <w:footerReference w:type="default" r:id="rId11"/>
      <w:endnotePr>
        <w:numFmt w:val="decimal"/>
      </w:endnotePr>
      <w:type w:val="continuous"/>
      <w:pgSz w:w="12240" w:h="15840"/>
      <w:pgMar w:top="1440" w:right="1296"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E69FD7" w15:done="0"/>
  <w15:commentEx w15:paraId="398EF311" w15:done="0"/>
  <w15:commentEx w15:paraId="3C0FA599" w15:done="0"/>
  <w15:commentEx w15:paraId="3F50B0EE" w15:done="0"/>
  <w15:commentEx w15:paraId="15A065D7" w15:done="0"/>
  <w15:commentEx w15:paraId="456FB89B" w15:done="0"/>
  <w15:commentEx w15:paraId="4D05D588" w15:done="0"/>
  <w15:commentEx w15:paraId="3FFBDE58" w15:done="0"/>
  <w15:commentEx w15:paraId="3C8DBB59" w15:done="0"/>
  <w15:commentEx w15:paraId="08AC1C91" w15:done="0"/>
  <w15:commentEx w15:paraId="57DEAE85" w15:done="0"/>
  <w15:commentEx w15:paraId="6B1E19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FEFF7" w14:textId="77777777" w:rsidR="002B498B" w:rsidRDefault="002B498B">
      <w:r>
        <w:separator/>
      </w:r>
    </w:p>
  </w:endnote>
  <w:endnote w:type="continuationSeparator" w:id="0">
    <w:p w14:paraId="46D715AA" w14:textId="77777777" w:rsidR="002B498B" w:rsidRDefault="002B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5179C" w14:textId="77777777" w:rsidR="00207037" w:rsidRDefault="00207037">
    <w:pPr>
      <w:spacing w:line="240" w:lineRule="exact"/>
    </w:pPr>
  </w:p>
  <w:p w14:paraId="40679D27" w14:textId="77777777" w:rsidR="00207037" w:rsidRDefault="0020703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64D4E">
      <w:rPr>
        <w:noProof/>
        <w:sz w:val="24"/>
      </w:rPr>
      <w:t>4</w:t>
    </w:r>
    <w:r>
      <w:rPr>
        <w:sz w:val="24"/>
      </w:rPr>
      <w:fldChar w:fldCharType="end"/>
    </w:r>
  </w:p>
  <w:p w14:paraId="6204C712" w14:textId="77777777" w:rsidR="00207037" w:rsidRDefault="00207037">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28760" w14:textId="77777777" w:rsidR="002B498B" w:rsidRDefault="002B498B">
      <w:r>
        <w:separator/>
      </w:r>
    </w:p>
  </w:footnote>
  <w:footnote w:type="continuationSeparator" w:id="0">
    <w:p w14:paraId="450FF87C" w14:textId="77777777" w:rsidR="002B498B" w:rsidRDefault="002B498B">
      <w:r>
        <w:continuationSeparator/>
      </w:r>
    </w:p>
  </w:footnote>
  <w:footnote w:id="1">
    <w:p w14:paraId="420FCE9C" w14:textId="2DECC7ED" w:rsidR="00AC3CCE" w:rsidRPr="00490479" w:rsidRDefault="00AC3CCE">
      <w:pPr>
        <w:pStyle w:val="FootnoteText"/>
        <w:rPr>
          <w:rFonts w:ascii="Times New Roman" w:hAnsi="Times New Roman"/>
        </w:rPr>
      </w:pPr>
      <w:r w:rsidRPr="00490479">
        <w:rPr>
          <w:rStyle w:val="FootnoteReference"/>
          <w:rFonts w:ascii="Times New Roman" w:hAnsi="Times New Roman"/>
        </w:rPr>
        <w:footnoteRef/>
      </w:r>
      <w:r w:rsidRPr="00490479">
        <w:rPr>
          <w:rFonts w:ascii="Times New Roman" w:hAnsi="Times New Roman"/>
        </w:rPr>
        <w:t xml:space="preserve"> CY 2011 Data from Chronic Condition Warehouse (CCW) 20 percent sample of inpatient claims, carrier claims, skilled nursing facility claims, home health claims, and Beneficiary Summary File multiplied by 5 for 100 percent estimation. Bill type 13X; HCPCS C1300, 99183</w:t>
      </w:r>
    </w:p>
  </w:footnote>
  <w:footnote w:id="2">
    <w:p w14:paraId="3892C84A" w14:textId="77777777" w:rsidR="001B220D" w:rsidRPr="00020B46" w:rsidRDefault="001B220D" w:rsidP="001B220D">
      <w:r w:rsidRPr="00020B46">
        <w:rPr>
          <w:rStyle w:val="FootnoteReference"/>
        </w:rPr>
        <w:footnoteRef/>
      </w:r>
      <w:r w:rsidRPr="00020B46">
        <w:t xml:space="preserve"> </w:t>
      </w:r>
      <w:hyperlink r:id="rId1" w:history="1">
        <w:r w:rsidRPr="00020B46">
          <w:rPr>
            <w:rStyle w:val="Hyperlink"/>
          </w:rPr>
          <w:t>http://www.cms.gov/Research-Statistics-Data-and-Systems/Monitoring-Programs/Medicare-FFS-Compliance-Programs/Medical-Review/PADemo.html</w:t>
        </w:r>
      </w:hyperlink>
      <w:r w:rsidRPr="00020B46">
        <w:t xml:space="preserve"> </w:t>
      </w:r>
    </w:p>
    <w:p w14:paraId="76BBEDB3" w14:textId="2B1DB3ED" w:rsidR="001B220D" w:rsidRDefault="001B220D">
      <w:pPr>
        <w:pStyle w:val="FootnoteText"/>
      </w:pPr>
    </w:p>
  </w:footnote>
  <w:footnote w:id="3">
    <w:p w14:paraId="4D75759B" w14:textId="77777777" w:rsidR="001B220D" w:rsidRDefault="001B220D" w:rsidP="001B220D">
      <w:r>
        <w:rPr>
          <w:rStyle w:val="FootnoteReference"/>
        </w:rPr>
        <w:footnoteRef/>
      </w:r>
      <w:r>
        <w:t xml:space="preserve"> </w:t>
      </w:r>
      <w:hyperlink r:id="rId2" w:history="1">
        <w:r>
          <w:rPr>
            <w:rStyle w:val="Hyperlink"/>
          </w:rPr>
          <w:t>http://www.cms.gov/Research-Statistics-Data-and-Systems/Monitoring-Programs/Medicare-FFS-Compliance-Programs/Medical-Review/PADemo.html</w:t>
        </w:r>
      </w:hyperlink>
      <w:r>
        <w:t xml:space="preserve"> </w:t>
      </w:r>
    </w:p>
    <w:p w14:paraId="011A39D6" w14:textId="5F6531F9" w:rsidR="001B220D" w:rsidRDefault="001B220D">
      <w:pPr>
        <w:pStyle w:val="FootnoteText"/>
      </w:pPr>
    </w:p>
  </w:footnote>
  <w:footnote w:id="4">
    <w:p w14:paraId="32419F63" w14:textId="40234047" w:rsidR="004B4E96" w:rsidRPr="00490479" w:rsidRDefault="004B4E96">
      <w:pPr>
        <w:pStyle w:val="FootnoteText"/>
        <w:rPr>
          <w:rFonts w:ascii="Times New Roman" w:hAnsi="Times New Roman"/>
        </w:rPr>
      </w:pPr>
      <w:r w:rsidRPr="00490479">
        <w:rPr>
          <w:rStyle w:val="FootnoteReference"/>
          <w:rFonts w:ascii="Times New Roman" w:hAnsi="Times New Roman"/>
        </w:rPr>
        <w:footnoteRef/>
      </w:r>
      <w:r w:rsidRPr="00490479">
        <w:rPr>
          <w:rFonts w:ascii="Times New Roman" w:hAnsi="Times New Roman"/>
        </w:rPr>
        <w:t xml:space="preserve"> https://www.federalregister.gov/articles/2014/05/28/2014-12245/medicare-program-prior-authorization-process-for-certain-durable-medical-equipment-prosthetics#h-22</w:t>
      </w:r>
    </w:p>
  </w:footnote>
  <w:footnote w:id="5">
    <w:p w14:paraId="6024F9D2" w14:textId="38EE58BE" w:rsidR="005847CC" w:rsidRPr="00490479" w:rsidRDefault="005847CC">
      <w:pPr>
        <w:pStyle w:val="FootnoteText"/>
        <w:rPr>
          <w:rFonts w:ascii="Times New Roman" w:hAnsi="Times New Roman"/>
        </w:rPr>
      </w:pPr>
      <w:r w:rsidRPr="00490479">
        <w:rPr>
          <w:rStyle w:val="FootnoteReference"/>
          <w:rFonts w:ascii="Times New Roman" w:hAnsi="Times New Roman"/>
        </w:rPr>
        <w:footnoteRef/>
      </w:r>
      <w:r w:rsidRPr="00490479">
        <w:rPr>
          <w:rFonts w:ascii="Times New Roman" w:hAnsi="Times New Roman"/>
        </w:rPr>
        <w:t xml:space="preserve"> Supporting Statement for </w:t>
      </w:r>
      <w:r w:rsidRPr="00490479">
        <w:rPr>
          <w:rFonts w:ascii="Times New Roman" w:hAnsi="Times New Roman"/>
          <w:szCs w:val="24"/>
        </w:rPr>
        <w:t>Medicare Fee-for-Service Prepayment Review of Medical Records</w:t>
      </w:r>
      <w:r w:rsidRPr="00490479">
        <w:rPr>
          <w:rFonts w:ascii="Times New Roman" w:hAnsi="Times New Roman"/>
        </w:rPr>
        <w:t xml:space="preserve"> CMS-10417</w:t>
      </w:r>
    </w:p>
    <w:p w14:paraId="5E49AF66" w14:textId="77777777" w:rsidR="005847CC" w:rsidRPr="00020B46" w:rsidRDefault="005847CC" w:rsidP="005847CC">
      <w:hyperlink r:id="rId3" w:history="1">
        <w:r w:rsidRPr="00020B46">
          <w:rPr>
            <w:rStyle w:val="Hyperlink"/>
          </w:rPr>
          <w:t>http://www.cms.gov/Regulations-and-Guidance/Legislation/PaperworkReductionActof1995/PRA-Listing-Items/CMS1254586.html?DLPage=1&amp;DLFilter=medical%20review&amp;DLSort=1&amp;DLSortDir=descending</w:t>
        </w:r>
      </w:hyperlink>
      <w:r w:rsidRPr="00020B46">
        <w:t xml:space="preserve"> </w:t>
      </w:r>
    </w:p>
    <w:p w14:paraId="731D499E" w14:textId="77777777" w:rsidR="005847CC" w:rsidRPr="00490479" w:rsidRDefault="005847CC">
      <w:pPr>
        <w:pStyle w:val="FootnoteText"/>
        <w:rPr>
          <w:rFonts w:ascii="Times New Roman" w:hAnsi="Times New Roman"/>
        </w:rPr>
      </w:pPr>
    </w:p>
  </w:footnote>
  <w:footnote w:id="6">
    <w:p w14:paraId="28BBB546" w14:textId="0025A0EB" w:rsidR="005E4F86" w:rsidRPr="00490479" w:rsidRDefault="005E4F86">
      <w:pPr>
        <w:pStyle w:val="FootnoteText"/>
        <w:rPr>
          <w:rFonts w:ascii="Times New Roman" w:hAnsi="Times New Roman"/>
        </w:rPr>
      </w:pPr>
      <w:r w:rsidRPr="00490479">
        <w:rPr>
          <w:rStyle w:val="FootnoteReference"/>
          <w:rFonts w:ascii="Times New Roman" w:hAnsi="Times New Roman"/>
        </w:rPr>
        <w:footnoteRef/>
      </w:r>
      <w:r w:rsidRPr="00490479">
        <w:rPr>
          <w:rFonts w:ascii="Times New Roman" w:hAnsi="Times New Roman"/>
        </w:rPr>
        <w:t xml:space="preserve"> https://www.federalregister.gov/articles/2014/05/28/2014-12245/medicare-program-prior-authorization-process-for-certain-durable-medical-equipment-prosthetics#h-22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C6C"/>
    <w:multiLevelType w:val="hybridMultilevel"/>
    <w:tmpl w:val="D13CA4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E206B3"/>
    <w:multiLevelType w:val="hybridMultilevel"/>
    <w:tmpl w:val="8490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5803D7"/>
    <w:multiLevelType w:val="hybridMultilevel"/>
    <w:tmpl w:val="DA80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115061"/>
    <w:multiLevelType w:val="hybridMultilevel"/>
    <w:tmpl w:val="C576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20B46"/>
    <w:rsid w:val="00050005"/>
    <w:rsid w:val="00094F11"/>
    <w:rsid w:val="000A1891"/>
    <w:rsid w:val="000F3AF4"/>
    <w:rsid w:val="00107D00"/>
    <w:rsid w:val="001372F3"/>
    <w:rsid w:val="00145AB9"/>
    <w:rsid w:val="001B220D"/>
    <w:rsid w:val="001E7D47"/>
    <w:rsid w:val="00207037"/>
    <w:rsid w:val="00215540"/>
    <w:rsid w:val="00294350"/>
    <w:rsid w:val="002B498B"/>
    <w:rsid w:val="002D7FC3"/>
    <w:rsid w:val="00317FB7"/>
    <w:rsid w:val="003242E9"/>
    <w:rsid w:val="0037469D"/>
    <w:rsid w:val="00381CA0"/>
    <w:rsid w:val="003C09D0"/>
    <w:rsid w:val="00420B8D"/>
    <w:rsid w:val="00425D92"/>
    <w:rsid w:val="00456B73"/>
    <w:rsid w:val="00457002"/>
    <w:rsid w:val="00490479"/>
    <w:rsid w:val="004A4C2F"/>
    <w:rsid w:val="004B4E96"/>
    <w:rsid w:val="00512610"/>
    <w:rsid w:val="00520851"/>
    <w:rsid w:val="00537421"/>
    <w:rsid w:val="00546074"/>
    <w:rsid w:val="005517ED"/>
    <w:rsid w:val="00564BB5"/>
    <w:rsid w:val="005847CC"/>
    <w:rsid w:val="005B32A3"/>
    <w:rsid w:val="005D4E9E"/>
    <w:rsid w:val="005E4F86"/>
    <w:rsid w:val="005F7416"/>
    <w:rsid w:val="00604D38"/>
    <w:rsid w:val="00611341"/>
    <w:rsid w:val="006348AF"/>
    <w:rsid w:val="00661D59"/>
    <w:rsid w:val="00664D4E"/>
    <w:rsid w:val="00671759"/>
    <w:rsid w:val="00683304"/>
    <w:rsid w:val="006C069B"/>
    <w:rsid w:val="006D7F2A"/>
    <w:rsid w:val="006F5BBF"/>
    <w:rsid w:val="006F5CF9"/>
    <w:rsid w:val="00705A30"/>
    <w:rsid w:val="00787818"/>
    <w:rsid w:val="007E6CBC"/>
    <w:rsid w:val="00870D59"/>
    <w:rsid w:val="00886AE7"/>
    <w:rsid w:val="008A13E3"/>
    <w:rsid w:val="008B2BDD"/>
    <w:rsid w:val="008F1EB4"/>
    <w:rsid w:val="009156C7"/>
    <w:rsid w:val="00952285"/>
    <w:rsid w:val="00977352"/>
    <w:rsid w:val="009915FF"/>
    <w:rsid w:val="009B4A51"/>
    <w:rsid w:val="00A10A8C"/>
    <w:rsid w:val="00A44683"/>
    <w:rsid w:val="00A54E6C"/>
    <w:rsid w:val="00A743E1"/>
    <w:rsid w:val="00A80278"/>
    <w:rsid w:val="00A805A0"/>
    <w:rsid w:val="00AA0805"/>
    <w:rsid w:val="00AC3CCE"/>
    <w:rsid w:val="00AD49AE"/>
    <w:rsid w:val="00AE58CD"/>
    <w:rsid w:val="00AF354E"/>
    <w:rsid w:val="00B1346A"/>
    <w:rsid w:val="00B34760"/>
    <w:rsid w:val="00B70DA3"/>
    <w:rsid w:val="00BC2137"/>
    <w:rsid w:val="00BD75FB"/>
    <w:rsid w:val="00C00CEF"/>
    <w:rsid w:val="00C01906"/>
    <w:rsid w:val="00C049AA"/>
    <w:rsid w:val="00C857EB"/>
    <w:rsid w:val="00D221E3"/>
    <w:rsid w:val="00D31D8B"/>
    <w:rsid w:val="00D47E61"/>
    <w:rsid w:val="00D700AE"/>
    <w:rsid w:val="00D8519C"/>
    <w:rsid w:val="00D92D2A"/>
    <w:rsid w:val="00D97BC8"/>
    <w:rsid w:val="00DD294E"/>
    <w:rsid w:val="00DD348F"/>
    <w:rsid w:val="00DE10B2"/>
    <w:rsid w:val="00DE3C7C"/>
    <w:rsid w:val="00E122DC"/>
    <w:rsid w:val="00E20E56"/>
    <w:rsid w:val="00E54633"/>
    <w:rsid w:val="00E81120"/>
    <w:rsid w:val="00E947C7"/>
    <w:rsid w:val="00EB335D"/>
    <w:rsid w:val="00EB4D03"/>
    <w:rsid w:val="00F153F5"/>
    <w:rsid w:val="00F32ED0"/>
    <w:rsid w:val="00F345C0"/>
    <w:rsid w:val="00F47C68"/>
    <w:rsid w:val="00F55E53"/>
    <w:rsid w:val="00F70AED"/>
    <w:rsid w:val="00F82C86"/>
    <w:rsid w:val="00FB0BCA"/>
    <w:rsid w:val="00FD09F2"/>
    <w:rsid w:val="00FD1135"/>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B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4">
    <w:name w:val="heading 4"/>
    <w:basedOn w:val="Normal"/>
    <w:next w:val="Normal"/>
    <w:link w:val="Heading4Char"/>
    <w:uiPriority w:val="9"/>
    <w:semiHidden/>
    <w:unhideWhenUsed/>
    <w:qFormat/>
    <w:rsid w:val="00A44683"/>
    <w:pPr>
      <w:keepNext/>
      <w:keepLines/>
      <w:autoSpaceDE/>
      <w:autoSpaceDN/>
      <w:adjustRightInd/>
      <w:spacing w:before="200"/>
      <w:outlineLvl w:val="3"/>
    </w:pPr>
    <w:rPr>
      <w:rFonts w:ascii="Cambria" w:hAnsi="Cambria"/>
      <w:b/>
      <w:bCs/>
      <w:i/>
      <w:iCs/>
      <w:snapToGrid w:val="0"/>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styleId="CommentReference">
    <w:name w:val="annotation reference"/>
    <w:basedOn w:val="DefaultParagraphFont"/>
    <w:uiPriority w:val="99"/>
    <w:rsid w:val="00A44683"/>
    <w:rPr>
      <w:sz w:val="16"/>
    </w:rPr>
  </w:style>
  <w:style w:type="paragraph" w:styleId="CommentText">
    <w:name w:val="annotation text"/>
    <w:basedOn w:val="Normal"/>
    <w:link w:val="CommentTextChar"/>
    <w:rsid w:val="00A44683"/>
    <w:pPr>
      <w:autoSpaceDE/>
      <w:autoSpaceDN/>
      <w:adjustRightInd/>
    </w:pPr>
    <w:rPr>
      <w:rFonts w:ascii="Arial" w:hAnsi="Arial"/>
      <w:snapToGrid w:val="0"/>
      <w:szCs w:val="20"/>
    </w:rPr>
  </w:style>
  <w:style w:type="character" w:customStyle="1" w:styleId="CommentTextChar">
    <w:name w:val="Comment Text Char"/>
    <w:basedOn w:val="DefaultParagraphFont"/>
    <w:link w:val="CommentText"/>
    <w:rsid w:val="00A44683"/>
    <w:rPr>
      <w:rFonts w:ascii="Arial" w:hAnsi="Arial"/>
      <w:snapToGrid w:val="0"/>
    </w:rPr>
  </w:style>
  <w:style w:type="paragraph" w:styleId="NormalWeb">
    <w:name w:val="Normal (Web)"/>
    <w:basedOn w:val="Normal"/>
    <w:rsid w:val="00A44683"/>
    <w:pPr>
      <w:widowControl/>
      <w:autoSpaceDE/>
      <w:autoSpaceDN/>
      <w:adjustRightInd/>
      <w:spacing w:before="100" w:beforeAutospacing="1" w:after="100" w:afterAutospacing="1"/>
    </w:pPr>
    <w:rPr>
      <w:sz w:val="24"/>
    </w:rPr>
  </w:style>
  <w:style w:type="paragraph" w:customStyle="1" w:styleId="Default">
    <w:name w:val="Default"/>
    <w:rsid w:val="00A44683"/>
    <w:pPr>
      <w:autoSpaceDE w:val="0"/>
      <w:autoSpaceDN w:val="0"/>
      <w:adjustRightInd w:val="0"/>
    </w:pPr>
    <w:rPr>
      <w:rFonts w:eastAsia="Calibri"/>
      <w:color w:val="000000"/>
      <w:sz w:val="24"/>
      <w:szCs w:val="24"/>
    </w:rPr>
  </w:style>
  <w:style w:type="paragraph" w:styleId="BalloonText">
    <w:name w:val="Balloon Text"/>
    <w:basedOn w:val="Normal"/>
    <w:link w:val="BalloonTextChar"/>
    <w:rsid w:val="00A44683"/>
    <w:rPr>
      <w:rFonts w:ascii="Tahoma" w:hAnsi="Tahoma" w:cs="Tahoma"/>
      <w:sz w:val="16"/>
      <w:szCs w:val="16"/>
    </w:rPr>
  </w:style>
  <w:style w:type="character" w:customStyle="1" w:styleId="BalloonTextChar">
    <w:name w:val="Balloon Text Char"/>
    <w:basedOn w:val="DefaultParagraphFont"/>
    <w:link w:val="BalloonText"/>
    <w:rsid w:val="00A44683"/>
    <w:rPr>
      <w:rFonts w:ascii="Tahoma" w:hAnsi="Tahoma" w:cs="Tahoma"/>
      <w:sz w:val="16"/>
      <w:szCs w:val="16"/>
    </w:rPr>
  </w:style>
  <w:style w:type="character" w:customStyle="1" w:styleId="Heading4Char">
    <w:name w:val="Heading 4 Char"/>
    <w:basedOn w:val="DefaultParagraphFont"/>
    <w:link w:val="Heading4"/>
    <w:uiPriority w:val="9"/>
    <w:semiHidden/>
    <w:rsid w:val="00A44683"/>
    <w:rPr>
      <w:rFonts w:ascii="Cambria" w:eastAsia="Times New Roman" w:hAnsi="Cambria" w:cs="Times New Roman"/>
      <w:b/>
      <w:bCs/>
      <w:i/>
      <w:iCs/>
      <w:snapToGrid w:val="0"/>
      <w:color w:val="4F81BD"/>
      <w:sz w:val="24"/>
    </w:rPr>
  </w:style>
  <w:style w:type="character" w:styleId="Hyperlink">
    <w:name w:val="Hyperlink"/>
    <w:basedOn w:val="DefaultParagraphFont"/>
    <w:rsid w:val="00A44683"/>
    <w:rPr>
      <w:color w:val="0000FF"/>
      <w:u w:val="single"/>
    </w:rPr>
  </w:style>
  <w:style w:type="character" w:styleId="Emphasis">
    <w:name w:val="Emphasis"/>
    <w:basedOn w:val="DefaultParagraphFont"/>
    <w:uiPriority w:val="20"/>
    <w:qFormat/>
    <w:rsid w:val="00A44683"/>
    <w:rPr>
      <w:b/>
      <w:bCs/>
      <w:i w:val="0"/>
      <w:iCs w:val="0"/>
    </w:rPr>
  </w:style>
  <w:style w:type="character" w:styleId="Strong">
    <w:name w:val="Strong"/>
    <w:basedOn w:val="DefaultParagraphFont"/>
    <w:uiPriority w:val="22"/>
    <w:qFormat/>
    <w:rsid w:val="00A44683"/>
    <w:rPr>
      <w:b/>
      <w:bCs/>
    </w:rPr>
  </w:style>
  <w:style w:type="paragraph" w:styleId="ListParagraph">
    <w:name w:val="List Paragraph"/>
    <w:basedOn w:val="Normal"/>
    <w:uiPriority w:val="34"/>
    <w:qFormat/>
    <w:rsid w:val="00A44683"/>
    <w:pPr>
      <w:widowControl/>
      <w:autoSpaceDE/>
      <w:autoSpaceDN/>
      <w:adjustRightInd/>
      <w:ind w:left="720"/>
    </w:pPr>
    <w:rPr>
      <w:rFonts w:ascii="Calibri" w:eastAsia="Calibri" w:hAnsi="Calibri"/>
      <w:sz w:val="22"/>
      <w:szCs w:val="22"/>
    </w:rPr>
  </w:style>
  <w:style w:type="paragraph" w:styleId="Header">
    <w:name w:val="header"/>
    <w:basedOn w:val="Normal"/>
    <w:link w:val="HeaderChar"/>
    <w:rsid w:val="001E7D47"/>
    <w:pPr>
      <w:tabs>
        <w:tab w:val="center" w:pos="4680"/>
        <w:tab w:val="right" w:pos="9360"/>
      </w:tabs>
    </w:pPr>
  </w:style>
  <w:style w:type="character" w:customStyle="1" w:styleId="HeaderChar">
    <w:name w:val="Header Char"/>
    <w:basedOn w:val="DefaultParagraphFont"/>
    <w:link w:val="Header"/>
    <w:rsid w:val="001E7D47"/>
    <w:rPr>
      <w:szCs w:val="24"/>
    </w:rPr>
  </w:style>
  <w:style w:type="paragraph" w:styleId="Footer">
    <w:name w:val="footer"/>
    <w:basedOn w:val="Normal"/>
    <w:link w:val="FooterChar"/>
    <w:rsid w:val="001E7D47"/>
    <w:pPr>
      <w:tabs>
        <w:tab w:val="center" w:pos="4680"/>
        <w:tab w:val="right" w:pos="9360"/>
      </w:tabs>
    </w:pPr>
  </w:style>
  <w:style w:type="character" w:customStyle="1" w:styleId="FooterChar">
    <w:name w:val="Footer Char"/>
    <w:basedOn w:val="DefaultParagraphFont"/>
    <w:link w:val="Footer"/>
    <w:rsid w:val="001E7D47"/>
    <w:rPr>
      <w:szCs w:val="24"/>
    </w:rPr>
  </w:style>
  <w:style w:type="paragraph" w:styleId="FootnoteText">
    <w:name w:val="footnote text"/>
    <w:basedOn w:val="Normal"/>
    <w:link w:val="FootnoteTextChar"/>
    <w:uiPriority w:val="99"/>
    <w:unhideWhenUsed/>
    <w:rsid w:val="00420B8D"/>
    <w:pPr>
      <w:widowControl/>
      <w:autoSpaceDE/>
      <w:autoSpaceDN/>
      <w:adjustRightInd/>
    </w:pPr>
    <w:rPr>
      <w:rFonts w:ascii="Calibri" w:eastAsia="Calibri" w:hAnsi="Calibri"/>
      <w:szCs w:val="20"/>
    </w:rPr>
  </w:style>
  <w:style w:type="character" w:customStyle="1" w:styleId="FootnoteTextChar">
    <w:name w:val="Footnote Text Char"/>
    <w:basedOn w:val="DefaultParagraphFont"/>
    <w:link w:val="FootnoteText"/>
    <w:uiPriority w:val="99"/>
    <w:rsid w:val="00420B8D"/>
    <w:rPr>
      <w:rFonts w:ascii="Calibri" w:eastAsia="Calibri" w:hAnsi="Calibri"/>
    </w:rPr>
  </w:style>
  <w:style w:type="character" w:customStyle="1" w:styleId="st1">
    <w:name w:val="st1"/>
    <w:rsid w:val="009156C7"/>
  </w:style>
  <w:style w:type="paragraph" w:styleId="CommentSubject">
    <w:name w:val="annotation subject"/>
    <w:basedOn w:val="CommentText"/>
    <w:next w:val="CommentText"/>
    <w:link w:val="CommentSubjectChar"/>
    <w:rsid w:val="00A80278"/>
    <w:pPr>
      <w:autoSpaceDE w:val="0"/>
      <w:autoSpaceDN w:val="0"/>
      <w:adjustRightInd w:val="0"/>
    </w:pPr>
    <w:rPr>
      <w:rFonts w:ascii="Times New Roman" w:hAnsi="Times New Roman"/>
      <w:b/>
      <w:bCs/>
      <w:snapToGrid/>
    </w:rPr>
  </w:style>
  <w:style w:type="character" w:customStyle="1" w:styleId="CommentSubjectChar">
    <w:name w:val="Comment Subject Char"/>
    <w:basedOn w:val="CommentTextChar"/>
    <w:link w:val="CommentSubject"/>
    <w:rsid w:val="00A80278"/>
    <w:rPr>
      <w:rFonts w:ascii="Arial" w:hAnsi="Arial"/>
      <w:b/>
      <w:bCs/>
      <w:snapToGrid/>
    </w:rPr>
  </w:style>
  <w:style w:type="paragraph" w:styleId="Revision">
    <w:name w:val="Revision"/>
    <w:hidden/>
    <w:uiPriority w:val="99"/>
    <w:semiHidden/>
    <w:rsid w:val="00020B46"/>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4">
    <w:name w:val="heading 4"/>
    <w:basedOn w:val="Normal"/>
    <w:next w:val="Normal"/>
    <w:link w:val="Heading4Char"/>
    <w:uiPriority w:val="9"/>
    <w:semiHidden/>
    <w:unhideWhenUsed/>
    <w:qFormat/>
    <w:rsid w:val="00A44683"/>
    <w:pPr>
      <w:keepNext/>
      <w:keepLines/>
      <w:autoSpaceDE/>
      <w:autoSpaceDN/>
      <w:adjustRightInd/>
      <w:spacing w:before="200"/>
      <w:outlineLvl w:val="3"/>
    </w:pPr>
    <w:rPr>
      <w:rFonts w:ascii="Cambria" w:hAnsi="Cambria"/>
      <w:b/>
      <w:bCs/>
      <w:i/>
      <w:iCs/>
      <w:snapToGrid w:val="0"/>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styleId="CommentReference">
    <w:name w:val="annotation reference"/>
    <w:basedOn w:val="DefaultParagraphFont"/>
    <w:uiPriority w:val="99"/>
    <w:rsid w:val="00A44683"/>
    <w:rPr>
      <w:sz w:val="16"/>
    </w:rPr>
  </w:style>
  <w:style w:type="paragraph" w:styleId="CommentText">
    <w:name w:val="annotation text"/>
    <w:basedOn w:val="Normal"/>
    <w:link w:val="CommentTextChar"/>
    <w:rsid w:val="00A44683"/>
    <w:pPr>
      <w:autoSpaceDE/>
      <w:autoSpaceDN/>
      <w:adjustRightInd/>
    </w:pPr>
    <w:rPr>
      <w:rFonts w:ascii="Arial" w:hAnsi="Arial"/>
      <w:snapToGrid w:val="0"/>
      <w:szCs w:val="20"/>
    </w:rPr>
  </w:style>
  <w:style w:type="character" w:customStyle="1" w:styleId="CommentTextChar">
    <w:name w:val="Comment Text Char"/>
    <w:basedOn w:val="DefaultParagraphFont"/>
    <w:link w:val="CommentText"/>
    <w:rsid w:val="00A44683"/>
    <w:rPr>
      <w:rFonts w:ascii="Arial" w:hAnsi="Arial"/>
      <w:snapToGrid w:val="0"/>
    </w:rPr>
  </w:style>
  <w:style w:type="paragraph" w:styleId="NormalWeb">
    <w:name w:val="Normal (Web)"/>
    <w:basedOn w:val="Normal"/>
    <w:rsid w:val="00A44683"/>
    <w:pPr>
      <w:widowControl/>
      <w:autoSpaceDE/>
      <w:autoSpaceDN/>
      <w:adjustRightInd/>
      <w:spacing w:before="100" w:beforeAutospacing="1" w:after="100" w:afterAutospacing="1"/>
    </w:pPr>
    <w:rPr>
      <w:sz w:val="24"/>
    </w:rPr>
  </w:style>
  <w:style w:type="paragraph" w:customStyle="1" w:styleId="Default">
    <w:name w:val="Default"/>
    <w:rsid w:val="00A44683"/>
    <w:pPr>
      <w:autoSpaceDE w:val="0"/>
      <w:autoSpaceDN w:val="0"/>
      <w:adjustRightInd w:val="0"/>
    </w:pPr>
    <w:rPr>
      <w:rFonts w:eastAsia="Calibri"/>
      <w:color w:val="000000"/>
      <w:sz w:val="24"/>
      <w:szCs w:val="24"/>
    </w:rPr>
  </w:style>
  <w:style w:type="paragraph" w:styleId="BalloonText">
    <w:name w:val="Balloon Text"/>
    <w:basedOn w:val="Normal"/>
    <w:link w:val="BalloonTextChar"/>
    <w:rsid w:val="00A44683"/>
    <w:rPr>
      <w:rFonts w:ascii="Tahoma" w:hAnsi="Tahoma" w:cs="Tahoma"/>
      <w:sz w:val="16"/>
      <w:szCs w:val="16"/>
    </w:rPr>
  </w:style>
  <w:style w:type="character" w:customStyle="1" w:styleId="BalloonTextChar">
    <w:name w:val="Balloon Text Char"/>
    <w:basedOn w:val="DefaultParagraphFont"/>
    <w:link w:val="BalloonText"/>
    <w:rsid w:val="00A44683"/>
    <w:rPr>
      <w:rFonts w:ascii="Tahoma" w:hAnsi="Tahoma" w:cs="Tahoma"/>
      <w:sz w:val="16"/>
      <w:szCs w:val="16"/>
    </w:rPr>
  </w:style>
  <w:style w:type="character" w:customStyle="1" w:styleId="Heading4Char">
    <w:name w:val="Heading 4 Char"/>
    <w:basedOn w:val="DefaultParagraphFont"/>
    <w:link w:val="Heading4"/>
    <w:uiPriority w:val="9"/>
    <w:semiHidden/>
    <w:rsid w:val="00A44683"/>
    <w:rPr>
      <w:rFonts w:ascii="Cambria" w:eastAsia="Times New Roman" w:hAnsi="Cambria" w:cs="Times New Roman"/>
      <w:b/>
      <w:bCs/>
      <w:i/>
      <w:iCs/>
      <w:snapToGrid w:val="0"/>
      <w:color w:val="4F81BD"/>
      <w:sz w:val="24"/>
    </w:rPr>
  </w:style>
  <w:style w:type="character" w:styleId="Hyperlink">
    <w:name w:val="Hyperlink"/>
    <w:basedOn w:val="DefaultParagraphFont"/>
    <w:rsid w:val="00A44683"/>
    <w:rPr>
      <w:color w:val="0000FF"/>
      <w:u w:val="single"/>
    </w:rPr>
  </w:style>
  <w:style w:type="character" w:styleId="Emphasis">
    <w:name w:val="Emphasis"/>
    <w:basedOn w:val="DefaultParagraphFont"/>
    <w:uiPriority w:val="20"/>
    <w:qFormat/>
    <w:rsid w:val="00A44683"/>
    <w:rPr>
      <w:b/>
      <w:bCs/>
      <w:i w:val="0"/>
      <w:iCs w:val="0"/>
    </w:rPr>
  </w:style>
  <w:style w:type="character" w:styleId="Strong">
    <w:name w:val="Strong"/>
    <w:basedOn w:val="DefaultParagraphFont"/>
    <w:uiPriority w:val="22"/>
    <w:qFormat/>
    <w:rsid w:val="00A44683"/>
    <w:rPr>
      <w:b/>
      <w:bCs/>
    </w:rPr>
  </w:style>
  <w:style w:type="paragraph" w:styleId="ListParagraph">
    <w:name w:val="List Paragraph"/>
    <w:basedOn w:val="Normal"/>
    <w:uiPriority w:val="34"/>
    <w:qFormat/>
    <w:rsid w:val="00A44683"/>
    <w:pPr>
      <w:widowControl/>
      <w:autoSpaceDE/>
      <w:autoSpaceDN/>
      <w:adjustRightInd/>
      <w:ind w:left="720"/>
    </w:pPr>
    <w:rPr>
      <w:rFonts w:ascii="Calibri" w:eastAsia="Calibri" w:hAnsi="Calibri"/>
      <w:sz w:val="22"/>
      <w:szCs w:val="22"/>
    </w:rPr>
  </w:style>
  <w:style w:type="paragraph" w:styleId="Header">
    <w:name w:val="header"/>
    <w:basedOn w:val="Normal"/>
    <w:link w:val="HeaderChar"/>
    <w:rsid w:val="001E7D47"/>
    <w:pPr>
      <w:tabs>
        <w:tab w:val="center" w:pos="4680"/>
        <w:tab w:val="right" w:pos="9360"/>
      </w:tabs>
    </w:pPr>
  </w:style>
  <w:style w:type="character" w:customStyle="1" w:styleId="HeaderChar">
    <w:name w:val="Header Char"/>
    <w:basedOn w:val="DefaultParagraphFont"/>
    <w:link w:val="Header"/>
    <w:rsid w:val="001E7D47"/>
    <w:rPr>
      <w:szCs w:val="24"/>
    </w:rPr>
  </w:style>
  <w:style w:type="paragraph" w:styleId="Footer">
    <w:name w:val="footer"/>
    <w:basedOn w:val="Normal"/>
    <w:link w:val="FooterChar"/>
    <w:rsid w:val="001E7D47"/>
    <w:pPr>
      <w:tabs>
        <w:tab w:val="center" w:pos="4680"/>
        <w:tab w:val="right" w:pos="9360"/>
      </w:tabs>
    </w:pPr>
  </w:style>
  <w:style w:type="character" w:customStyle="1" w:styleId="FooterChar">
    <w:name w:val="Footer Char"/>
    <w:basedOn w:val="DefaultParagraphFont"/>
    <w:link w:val="Footer"/>
    <w:rsid w:val="001E7D47"/>
    <w:rPr>
      <w:szCs w:val="24"/>
    </w:rPr>
  </w:style>
  <w:style w:type="paragraph" w:styleId="FootnoteText">
    <w:name w:val="footnote text"/>
    <w:basedOn w:val="Normal"/>
    <w:link w:val="FootnoteTextChar"/>
    <w:uiPriority w:val="99"/>
    <w:unhideWhenUsed/>
    <w:rsid w:val="00420B8D"/>
    <w:pPr>
      <w:widowControl/>
      <w:autoSpaceDE/>
      <w:autoSpaceDN/>
      <w:adjustRightInd/>
    </w:pPr>
    <w:rPr>
      <w:rFonts w:ascii="Calibri" w:eastAsia="Calibri" w:hAnsi="Calibri"/>
      <w:szCs w:val="20"/>
    </w:rPr>
  </w:style>
  <w:style w:type="character" w:customStyle="1" w:styleId="FootnoteTextChar">
    <w:name w:val="Footnote Text Char"/>
    <w:basedOn w:val="DefaultParagraphFont"/>
    <w:link w:val="FootnoteText"/>
    <w:uiPriority w:val="99"/>
    <w:rsid w:val="00420B8D"/>
    <w:rPr>
      <w:rFonts w:ascii="Calibri" w:eastAsia="Calibri" w:hAnsi="Calibri"/>
    </w:rPr>
  </w:style>
  <w:style w:type="character" w:customStyle="1" w:styleId="st1">
    <w:name w:val="st1"/>
    <w:rsid w:val="009156C7"/>
  </w:style>
  <w:style w:type="paragraph" w:styleId="CommentSubject">
    <w:name w:val="annotation subject"/>
    <w:basedOn w:val="CommentText"/>
    <w:next w:val="CommentText"/>
    <w:link w:val="CommentSubjectChar"/>
    <w:rsid w:val="00A80278"/>
    <w:pPr>
      <w:autoSpaceDE w:val="0"/>
      <w:autoSpaceDN w:val="0"/>
      <w:adjustRightInd w:val="0"/>
    </w:pPr>
    <w:rPr>
      <w:rFonts w:ascii="Times New Roman" w:hAnsi="Times New Roman"/>
      <w:b/>
      <w:bCs/>
      <w:snapToGrid/>
    </w:rPr>
  </w:style>
  <w:style w:type="character" w:customStyle="1" w:styleId="CommentSubjectChar">
    <w:name w:val="Comment Subject Char"/>
    <w:basedOn w:val="CommentTextChar"/>
    <w:link w:val="CommentSubject"/>
    <w:rsid w:val="00A80278"/>
    <w:rPr>
      <w:rFonts w:ascii="Arial" w:hAnsi="Arial"/>
      <w:b/>
      <w:bCs/>
      <w:snapToGrid/>
    </w:rPr>
  </w:style>
  <w:style w:type="paragraph" w:styleId="Revision">
    <w:name w:val="Revision"/>
    <w:hidden/>
    <w:uiPriority w:val="99"/>
    <w:semiHidden/>
    <w:rsid w:val="00020B4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464">
      <w:bodyDiv w:val="1"/>
      <w:marLeft w:val="0"/>
      <w:marRight w:val="0"/>
      <w:marTop w:val="0"/>
      <w:marBottom w:val="0"/>
      <w:divBdr>
        <w:top w:val="none" w:sz="0" w:space="0" w:color="auto"/>
        <w:left w:val="none" w:sz="0" w:space="0" w:color="auto"/>
        <w:bottom w:val="none" w:sz="0" w:space="0" w:color="auto"/>
        <w:right w:val="none" w:sz="0" w:space="0" w:color="auto"/>
      </w:divBdr>
    </w:div>
    <w:div w:id="616135349">
      <w:bodyDiv w:val="1"/>
      <w:marLeft w:val="0"/>
      <w:marRight w:val="0"/>
      <w:marTop w:val="0"/>
      <w:marBottom w:val="0"/>
      <w:divBdr>
        <w:top w:val="none" w:sz="0" w:space="0" w:color="auto"/>
        <w:left w:val="none" w:sz="0" w:space="0" w:color="auto"/>
        <w:bottom w:val="none" w:sz="0" w:space="0" w:color="auto"/>
        <w:right w:val="none" w:sz="0" w:space="0" w:color="auto"/>
      </w:divBdr>
    </w:div>
    <w:div w:id="1158767469">
      <w:bodyDiv w:val="1"/>
      <w:marLeft w:val="0"/>
      <w:marRight w:val="0"/>
      <w:marTop w:val="0"/>
      <w:marBottom w:val="0"/>
      <w:divBdr>
        <w:top w:val="none" w:sz="0" w:space="0" w:color="auto"/>
        <w:left w:val="none" w:sz="0" w:space="0" w:color="auto"/>
        <w:bottom w:val="none" w:sz="0" w:space="0" w:color="auto"/>
        <w:right w:val="none" w:sz="0" w:space="0" w:color="auto"/>
      </w:divBdr>
    </w:div>
    <w:div w:id="17540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cms.gov/esMD" TargetMode="External"/><Relationship Id="rId4" Type="http://schemas.microsoft.com/office/2007/relationships/stylesWithEffects" Target="stylesWithEffects.xml"/><Relationship Id="rId9" Type="http://schemas.openxmlformats.org/officeDocument/2006/relationships/hyperlink" Target="http://www.cms.gov/esM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ms.gov/Regulations-and-Guidance/Legislation/PaperworkReductionActof1995/PRA-Listing-Items/CMS1254586.html?DLPage=1&amp;DLFilter=medical%20review&amp;DLSort=1&amp;DLSortDir=descending" TargetMode="External"/><Relationship Id="rId2" Type="http://schemas.openxmlformats.org/officeDocument/2006/relationships/hyperlink" Target="http://www.cms.gov/Research-Statistics-Data-and-Systems/Monitoring-Programs/Medicare-FFS-Compliance-Programs/Medical-Review/PADemo.html" TargetMode="External"/><Relationship Id="rId1" Type="http://schemas.openxmlformats.org/officeDocument/2006/relationships/hyperlink" Target="http://www.cms.gov/Research-Statistics-Data-and-Systems/Monitoring-Programs/Medicare-FFS-Compliance-Programs/Medical-Review/PADem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80985-BFCB-4B58-AD01-394818F1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2330</Words>
  <Characters>13286</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15585</CharactersWithSpaces>
  <SharedDoc>false</SharedDoc>
  <HLinks>
    <vt:vector size="6" baseType="variant">
      <vt:variant>
        <vt:i4>2228256</vt:i4>
      </vt:variant>
      <vt:variant>
        <vt:i4>0</vt:i4>
      </vt:variant>
      <vt:variant>
        <vt:i4>0</vt:i4>
      </vt:variant>
      <vt:variant>
        <vt:i4>5</vt:i4>
      </vt:variant>
      <vt:variant>
        <vt:lpwstr>http://www.cms.gov/esMD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2014-12-16T14:40:00Z</cp:lastPrinted>
  <dcterms:created xsi:type="dcterms:W3CDTF">2015-09-04T14:35:00Z</dcterms:created>
  <dcterms:modified xsi:type="dcterms:W3CDTF">2015-09-04T14:35:00Z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1337612463</vt:i4>
  </property>
  <property fmtid="{D5CDD505-2E9C-101B-9397-08002B2CF9AE}" pid="4" name="_EmailSubject">
    <vt:lpwstr>ICR Reference Number: 201406-0938-006</vt:lpwstr>
  </property>
  <property fmtid="{D5CDD505-2E9C-101B-9397-08002B2CF9AE}" pid="5" name="_AuthorEmail">
    <vt:lpwstr>Julie_Wise@omb.eop.gov</vt:lpwstr>
  </property>
  <property fmtid="{D5CDD505-2E9C-101B-9397-08002B2CF9AE}" pid="6" name="_AuthorEmailDisplayName">
    <vt:lpwstr>Wise, Julie</vt:lpwstr>
  </property>
  <property fmtid="{D5CDD505-2E9C-101B-9397-08002B2CF9AE}" pid="7" name="_PreviousAdHocReviewCycleID">
    <vt:i4>1579760785</vt:i4>
  </property>
</Properties>
</file>