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53DB" w14:textId="77777777" w:rsidR="00C14E94" w:rsidRPr="00C14E94" w:rsidRDefault="00C14E94" w:rsidP="00D562A4">
      <w:pPr>
        <w:widowControl w:val="0"/>
        <w:adjustRightInd w:val="0"/>
        <w:snapToGrid w:val="0"/>
        <w:jc w:val="right"/>
        <w:rPr>
          <w:b/>
        </w:rPr>
      </w:pPr>
    </w:p>
    <w:p w14:paraId="21109DF3" w14:textId="77777777" w:rsidR="00C674F2" w:rsidRDefault="00C674F2" w:rsidP="00A96132">
      <w:pPr>
        <w:widowControl w:val="0"/>
        <w:adjustRightInd w:val="0"/>
        <w:snapToGrid w:val="0"/>
        <w:jc w:val="center"/>
        <w:rPr>
          <w:b/>
        </w:rPr>
      </w:pPr>
    </w:p>
    <w:p w14:paraId="15883F43" w14:textId="77777777" w:rsidR="00C674F2" w:rsidRDefault="00C674F2" w:rsidP="00A96132">
      <w:pPr>
        <w:widowControl w:val="0"/>
        <w:adjustRightInd w:val="0"/>
        <w:snapToGrid w:val="0"/>
        <w:jc w:val="center"/>
        <w:rPr>
          <w:b/>
        </w:rPr>
      </w:pPr>
    </w:p>
    <w:p w14:paraId="26EF9880" w14:textId="77777777" w:rsidR="00C674F2" w:rsidRDefault="00C674F2" w:rsidP="00A96132">
      <w:pPr>
        <w:widowControl w:val="0"/>
        <w:adjustRightInd w:val="0"/>
        <w:snapToGrid w:val="0"/>
        <w:jc w:val="center"/>
        <w:rPr>
          <w:b/>
        </w:rPr>
      </w:pPr>
    </w:p>
    <w:p w14:paraId="50BA31F4" w14:textId="77777777" w:rsidR="00C674F2" w:rsidRDefault="00C674F2" w:rsidP="00A96132">
      <w:pPr>
        <w:widowControl w:val="0"/>
        <w:adjustRightInd w:val="0"/>
        <w:snapToGrid w:val="0"/>
        <w:jc w:val="center"/>
        <w:rPr>
          <w:b/>
        </w:rPr>
      </w:pPr>
    </w:p>
    <w:p w14:paraId="121B341C" w14:textId="77777777" w:rsidR="00C674F2" w:rsidRDefault="00C674F2" w:rsidP="00A96132">
      <w:pPr>
        <w:widowControl w:val="0"/>
        <w:adjustRightInd w:val="0"/>
        <w:snapToGrid w:val="0"/>
        <w:jc w:val="center"/>
        <w:rPr>
          <w:b/>
        </w:rPr>
      </w:pPr>
    </w:p>
    <w:p w14:paraId="38AAE12D" w14:textId="77777777" w:rsidR="00C674F2" w:rsidRDefault="00C674F2" w:rsidP="00A96132">
      <w:pPr>
        <w:widowControl w:val="0"/>
        <w:adjustRightInd w:val="0"/>
        <w:snapToGrid w:val="0"/>
        <w:jc w:val="center"/>
        <w:rPr>
          <w:b/>
        </w:rPr>
      </w:pPr>
    </w:p>
    <w:p w14:paraId="0E8D4E5F" w14:textId="77777777" w:rsidR="00C14E94" w:rsidRPr="00D3089A" w:rsidRDefault="00C14E94" w:rsidP="00A96132">
      <w:pPr>
        <w:widowControl w:val="0"/>
        <w:adjustRightInd w:val="0"/>
        <w:snapToGrid w:val="0"/>
        <w:jc w:val="center"/>
        <w:rPr>
          <w:b/>
        </w:rPr>
      </w:pPr>
      <w:r w:rsidRPr="00D3089A">
        <w:rPr>
          <w:b/>
        </w:rPr>
        <w:t>Supporting Statement B for</w:t>
      </w:r>
    </w:p>
    <w:p w14:paraId="5E044FE0" w14:textId="77777777" w:rsidR="00250BC1" w:rsidRPr="00D3089A" w:rsidRDefault="00250BC1" w:rsidP="00A96132">
      <w:pPr>
        <w:widowControl w:val="0"/>
        <w:adjustRightInd w:val="0"/>
        <w:snapToGrid w:val="0"/>
        <w:jc w:val="center"/>
        <w:rPr>
          <w:b/>
        </w:rPr>
      </w:pPr>
    </w:p>
    <w:p w14:paraId="66793B82" w14:textId="77777777" w:rsidR="00250BC1" w:rsidRPr="00D3089A" w:rsidRDefault="00630B1F" w:rsidP="00250BC1">
      <w:pPr>
        <w:widowControl w:val="0"/>
        <w:adjustRightInd w:val="0"/>
        <w:snapToGrid w:val="0"/>
        <w:jc w:val="center"/>
        <w:rPr>
          <w:b/>
        </w:rPr>
      </w:pPr>
      <w:r w:rsidRPr="00D3089A">
        <w:rPr>
          <w:b/>
        </w:rPr>
        <w:t>Characterization of risk of HIV and HIV outcomes in the Brazilian Sickle Cell Disease (SCD) population and comparison of SCD outcomes between HIV sero-positive and negative SCD patients</w:t>
      </w:r>
    </w:p>
    <w:p w14:paraId="53ECE316" w14:textId="77777777" w:rsidR="00B7296F" w:rsidRPr="00D3089A" w:rsidRDefault="00B7296F" w:rsidP="00D562A4">
      <w:pPr>
        <w:widowControl w:val="0"/>
        <w:adjustRightInd w:val="0"/>
        <w:snapToGrid w:val="0"/>
        <w:jc w:val="right"/>
        <w:rPr>
          <w:b/>
        </w:rPr>
      </w:pPr>
    </w:p>
    <w:p w14:paraId="7B0949F4" w14:textId="77777777" w:rsidR="00A96132" w:rsidRPr="00D3089A" w:rsidRDefault="00A96132" w:rsidP="00A96132">
      <w:pPr>
        <w:widowControl w:val="0"/>
        <w:adjustRightInd w:val="0"/>
        <w:snapToGrid w:val="0"/>
        <w:jc w:val="center"/>
        <w:rPr>
          <w:b/>
        </w:rPr>
      </w:pPr>
    </w:p>
    <w:p w14:paraId="2E670BE1" w14:textId="77777777" w:rsidR="00A96132" w:rsidRPr="00D3089A" w:rsidRDefault="00A96132" w:rsidP="00A96132">
      <w:pPr>
        <w:widowControl w:val="0"/>
        <w:adjustRightInd w:val="0"/>
        <w:snapToGrid w:val="0"/>
        <w:jc w:val="center"/>
        <w:rPr>
          <w:b/>
        </w:rPr>
      </w:pPr>
    </w:p>
    <w:p w14:paraId="423F827E" w14:textId="77777777" w:rsidR="00A96132" w:rsidRPr="00D3089A" w:rsidRDefault="00A96132" w:rsidP="00A96132">
      <w:pPr>
        <w:widowControl w:val="0"/>
        <w:adjustRightInd w:val="0"/>
        <w:snapToGrid w:val="0"/>
        <w:jc w:val="center"/>
        <w:rPr>
          <w:b/>
        </w:rPr>
      </w:pPr>
    </w:p>
    <w:p w14:paraId="197DE7C1" w14:textId="64B01E89" w:rsidR="000D630C" w:rsidRPr="00D3089A" w:rsidRDefault="00DD4512" w:rsidP="00A96132">
      <w:pPr>
        <w:widowControl w:val="0"/>
        <w:adjustRightInd w:val="0"/>
        <w:snapToGrid w:val="0"/>
        <w:jc w:val="center"/>
        <w:rPr>
          <w:bCs/>
        </w:rPr>
      </w:pPr>
      <w:r>
        <w:rPr>
          <w:bCs/>
        </w:rPr>
        <w:t>March 2016</w:t>
      </w:r>
    </w:p>
    <w:p w14:paraId="0E3091A3" w14:textId="77777777" w:rsidR="00C14E94" w:rsidRPr="00D3089A" w:rsidRDefault="00C14E94" w:rsidP="00A96132">
      <w:pPr>
        <w:widowControl w:val="0"/>
        <w:adjustRightInd w:val="0"/>
        <w:snapToGrid w:val="0"/>
        <w:jc w:val="center"/>
        <w:rPr>
          <w:b/>
        </w:rPr>
      </w:pPr>
    </w:p>
    <w:p w14:paraId="784FC85E" w14:textId="77777777" w:rsidR="00A96132" w:rsidRPr="00D3089A" w:rsidRDefault="00A96132" w:rsidP="00A96132">
      <w:pPr>
        <w:widowControl w:val="0"/>
        <w:adjustRightInd w:val="0"/>
        <w:snapToGrid w:val="0"/>
        <w:jc w:val="center"/>
        <w:rPr>
          <w:b/>
        </w:rPr>
      </w:pPr>
    </w:p>
    <w:p w14:paraId="27C6BA28" w14:textId="77777777" w:rsidR="00C14E94" w:rsidRPr="00D3089A" w:rsidRDefault="00C14E94" w:rsidP="00D562A4">
      <w:pPr>
        <w:widowControl w:val="0"/>
        <w:adjustRightInd w:val="0"/>
        <w:snapToGrid w:val="0"/>
        <w:jc w:val="right"/>
        <w:rPr>
          <w:b/>
        </w:rPr>
      </w:pPr>
    </w:p>
    <w:p w14:paraId="0DE05BB0" w14:textId="77777777" w:rsidR="00C14E94" w:rsidRPr="00D3089A" w:rsidRDefault="00C14E94" w:rsidP="00D562A4">
      <w:pPr>
        <w:widowControl w:val="0"/>
        <w:adjustRightInd w:val="0"/>
        <w:snapToGrid w:val="0"/>
        <w:jc w:val="right"/>
      </w:pPr>
    </w:p>
    <w:p w14:paraId="732A2987" w14:textId="77777777" w:rsidR="00C14E94" w:rsidRPr="00D3089A" w:rsidRDefault="00C14E94" w:rsidP="00D562A4">
      <w:pPr>
        <w:widowControl w:val="0"/>
        <w:adjustRightInd w:val="0"/>
        <w:snapToGrid w:val="0"/>
        <w:jc w:val="right"/>
      </w:pPr>
    </w:p>
    <w:p w14:paraId="338821E5" w14:textId="77777777" w:rsidR="007375CC" w:rsidRPr="00D3089A" w:rsidRDefault="007375CC" w:rsidP="007375CC">
      <w:pPr>
        <w:widowControl w:val="0"/>
        <w:adjustRightInd w:val="0"/>
        <w:snapToGrid w:val="0"/>
        <w:jc w:val="center"/>
      </w:pPr>
      <w:r w:rsidRPr="00D3089A">
        <w:t>Sponsored by:</w:t>
      </w:r>
    </w:p>
    <w:p w14:paraId="08891FCB" w14:textId="77777777" w:rsidR="007375CC" w:rsidRPr="00D3089A" w:rsidRDefault="007375CC" w:rsidP="007375CC">
      <w:pPr>
        <w:widowControl w:val="0"/>
        <w:adjustRightInd w:val="0"/>
        <w:snapToGrid w:val="0"/>
        <w:jc w:val="center"/>
      </w:pPr>
    </w:p>
    <w:p w14:paraId="0F955ACF" w14:textId="77777777" w:rsidR="00C674F2" w:rsidRPr="00D3089A" w:rsidRDefault="00C674F2" w:rsidP="00C674F2">
      <w:pPr>
        <w:widowControl w:val="0"/>
        <w:adjustRightInd w:val="0"/>
        <w:snapToGrid w:val="0"/>
        <w:jc w:val="center"/>
      </w:pPr>
    </w:p>
    <w:p w14:paraId="6FC9632E" w14:textId="77777777" w:rsidR="00C674F2" w:rsidRPr="00D3089A" w:rsidRDefault="00C674F2" w:rsidP="00C674F2">
      <w:pPr>
        <w:widowControl w:val="0"/>
        <w:adjustRightInd w:val="0"/>
        <w:snapToGrid w:val="0"/>
        <w:jc w:val="right"/>
      </w:pPr>
      <w:r w:rsidRPr="00D3089A">
        <w:t>The National Heart, Lung, and Blood Institute</w:t>
      </w:r>
    </w:p>
    <w:p w14:paraId="1BEECD74" w14:textId="77777777" w:rsidR="00C674F2" w:rsidRPr="00D3089A" w:rsidRDefault="00C674F2" w:rsidP="00C674F2">
      <w:pPr>
        <w:widowControl w:val="0"/>
        <w:adjustRightInd w:val="0"/>
        <w:snapToGrid w:val="0"/>
        <w:jc w:val="right"/>
      </w:pPr>
      <w:r w:rsidRPr="00D3089A">
        <w:t>Blood Epidemiology and Clinical Therapeutics Branch</w:t>
      </w:r>
    </w:p>
    <w:p w14:paraId="334CAACA" w14:textId="77777777" w:rsidR="00C674F2" w:rsidRPr="00D3089A" w:rsidRDefault="00C674F2" w:rsidP="00C674F2">
      <w:pPr>
        <w:widowControl w:val="0"/>
        <w:adjustRightInd w:val="0"/>
        <w:snapToGrid w:val="0"/>
        <w:jc w:val="right"/>
      </w:pPr>
      <w:r w:rsidRPr="00D3089A">
        <w:t>National Institutes of Health</w:t>
      </w:r>
    </w:p>
    <w:p w14:paraId="1F40E472" w14:textId="77777777" w:rsidR="007375CC" w:rsidRPr="00D3089A" w:rsidRDefault="007375CC" w:rsidP="007375CC">
      <w:pPr>
        <w:widowControl w:val="0"/>
        <w:adjustRightInd w:val="0"/>
        <w:snapToGrid w:val="0"/>
        <w:jc w:val="right"/>
      </w:pPr>
    </w:p>
    <w:p w14:paraId="1788B3D2" w14:textId="77777777" w:rsidR="007375CC" w:rsidRPr="00D3089A" w:rsidRDefault="007375CC" w:rsidP="007375CC">
      <w:pPr>
        <w:widowControl w:val="0"/>
        <w:adjustRightInd w:val="0"/>
        <w:snapToGrid w:val="0"/>
        <w:jc w:val="center"/>
      </w:pPr>
    </w:p>
    <w:p w14:paraId="726740EC" w14:textId="77777777" w:rsidR="007375CC" w:rsidRPr="00D3089A" w:rsidRDefault="007375CC" w:rsidP="007375CC">
      <w:pPr>
        <w:widowControl w:val="0"/>
        <w:adjustRightInd w:val="0"/>
        <w:snapToGrid w:val="0"/>
        <w:jc w:val="center"/>
      </w:pPr>
    </w:p>
    <w:p w14:paraId="7E32A26E" w14:textId="77777777" w:rsidR="007375CC" w:rsidRPr="00D3089A" w:rsidRDefault="007375CC" w:rsidP="007375CC">
      <w:pPr>
        <w:widowControl w:val="0"/>
        <w:adjustRightInd w:val="0"/>
        <w:snapToGrid w:val="0"/>
        <w:jc w:val="center"/>
      </w:pPr>
    </w:p>
    <w:p w14:paraId="778E4A2C" w14:textId="77777777" w:rsidR="007375CC" w:rsidRPr="00D3089A" w:rsidRDefault="007375CC" w:rsidP="007375CC">
      <w:pPr>
        <w:widowControl w:val="0"/>
        <w:adjustRightInd w:val="0"/>
        <w:snapToGrid w:val="0"/>
        <w:jc w:val="center"/>
      </w:pPr>
    </w:p>
    <w:p w14:paraId="28C06FB3" w14:textId="77777777" w:rsidR="007375CC" w:rsidRPr="00D3089A" w:rsidRDefault="007375CC" w:rsidP="007375CC">
      <w:pPr>
        <w:widowControl w:val="0"/>
        <w:adjustRightInd w:val="0"/>
        <w:snapToGrid w:val="0"/>
        <w:jc w:val="center"/>
      </w:pPr>
    </w:p>
    <w:p w14:paraId="7989E749" w14:textId="77777777" w:rsidR="007375CC" w:rsidRPr="00D3089A" w:rsidRDefault="007375CC" w:rsidP="007375CC">
      <w:pPr>
        <w:widowControl w:val="0"/>
        <w:adjustRightInd w:val="0"/>
        <w:snapToGrid w:val="0"/>
        <w:jc w:val="center"/>
      </w:pPr>
    </w:p>
    <w:p w14:paraId="3A7AE3BD" w14:textId="77777777" w:rsidR="007375CC" w:rsidRPr="00D3089A" w:rsidRDefault="007375CC" w:rsidP="007375CC">
      <w:pPr>
        <w:widowControl w:val="0"/>
        <w:adjustRightInd w:val="0"/>
        <w:snapToGrid w:val="0"/>
        <w:jc w:val="center"/>
      </w:pPr>
    </w:p>
    <w:p w14:paraId="177FAC32" w14:textId="77777777" w:rsidR="00C674F2" w:rsidRPr="00D3089A" w:rsidRDefault="007375CC" w:rsidP="00C674F2">
      <w:pPr>
        <w:widowControl w:val="0"/>
        <w:adjustRightInd w:val="0"/>
        <w:snapToGrid w:val="0"/>
      </w:pPr>
      <w:r w:rsidRPr="00D3089A">
        <w:t xml:space="preserve">Project Officer/ICD Contact: </w:t>
      </w:r>
      <w:r w:rsidRPr="00D3089A">
        <w:tab/>
      </w:r>
      <w:r w:rsidRPr="00D3089A">
        <w:tab/>
      </w:r>
      <w:r w:rsidR="00C674F2" w:rsidRPr="00D3089A">
        <w:t>Simone Glynn, MD</w:t>
      </w:r>
    </w:p>
    <w:p w14:paraId="17FDA82C" w14:textId="77777777" w:rsidR="00C674F2" w:rsidRPr="00D3089A" w:rsidRDefault="00C674F2" w:rsidP="00C674F2">
      <w:pPr>
        <w:widowControl w:val="0"/>
        <w:adjustRightInd w:val="0"/>
        <w:snapToGrid w:val="0"/>
        <w:jc w:val="both"/>
      </w:pPr>
      <w:r w:rsidRPr="00D3089A">
        <w:tab/>
      </w:r>
      <w:r w:rsidRPr="00D3089A">
        <w:tab/>
      </w:r>
      <w:r w:rsidRPr="00D3089A">
        <w:tab/>
      </w:r>
      <w:r w:rsidRPr="00D3089A">
        <w:tab/>
      </w:r>
      <w:r w:rsidRPr="00D3089A">
        <w:tab/>
        <w:t>Blood Epidemiology and Clinical Therapeutics Branch</w:t>
      </w:r>
    </w:p>
    <w:p w14:paraId="792967B0"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Division of Blood Diseases and Resources</w:t>
      </w:r>
    </w:p>
    <w:p w14:paraId="447BC49F"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National Heart, Lung, and Blood Institute</w:t>
      </w:r>
    </w:p>
    <w:p w14:paraId="5B32E100"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Two Rockledge Center</w:t>
      </w:r>
    </w:p>
    <w:p w14:paraId="49EEA3A7"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Suite 9142</w:t>
      </w:r>
    </w:p>
    <w:p w14:paraId="630911A9"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6701 Rockledge Drive</w:t>
      </w:r>
    </w:p>
    <w:p w14:paraId="6DF771FC"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Bethesda, MD20892</w:t>
      </w:r>
    </w:p>
    <w:p w14:paraId="48DCB879"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Phone: (301) 435-0065</w:t>
      </w:r>
    </w:p>
    <w:p w14:paraId="569DD166"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Fax: (301) 480-0868</w:t>
      </w:r>
    </w:p>
    <w:p w14:paraId="7F770EEB" w14:textId="77777777" w:rsidR="00C674F2" w:rsidRPr="00D3089A" w:rsidRDefault="00C674F2" w:rsidP="00C674F2">
      <w:pPr>
        <w:widowControl w:val="0"/>
        <w:adjustRightInd w:val="0"/>
        <w:snapToGrid w:val="0"/>
      </w:pPr>
      <w:r w:rsidRPr="00D3089A">
        <w:tab/>
      </w:r>
      <w:r w:rsidRPr="00D3089A">
        <w:tab/>
      </w:r>
      <w:r w:rsidRPr="00D3089A">
        <w:tab/>
      </w:r>
      <w:r w:rsidRPr="00D3089A">
        <w:tab/>
      </w:r>
      <w:r w:rsidRPr="00D3089A">
        <w:tab/>
        <w:t xml:space="preserve">Email: </w:t>
      </w:r>
      <w:hyperlink r:id="rId7" w:history="1">
        <w:r w:rsidRPr="00D3089A">
          <w:rPr>
            <w:rStyle w:val="Hyperlink"/>
          </w:rPr>
          <w:t>glynnsa@nhlbi.nih.gov</w:t>
        </w:r>
      </w:hyperlink>
    </w:p>
    <w:p w14:paraId="1584378C" w14:textId="77777777" w:rsidR="00D562A4" w:rsidRPr="00D3089A" w:rsidRDefault="00D562A4" w:rsidP="00C674F2">
      <w:pPr>
        <w:widowControl w:val="0"/>
        <w:adjustRightInd w:val="0"/>
        <w:snapToGrid w:val="0"/>
        <w:rPr>
          <w:b/>
        </w:rPr>
      </w:pPr>
    </w:p>
    <w:p w14:paraId="0C53B82D" w14:textId="77777777" w:rsidR="00C14E94" w:rsidRPr="00D3089A" w:rsidRDefault="00C14E94" w:rsidP="00C14E94">
      <w:pPr>
        <w:widowControl w:val="0"/>
        <w:adjustRightInd w:val="0"/>
        <w:snapToGrid w:val="0"/>
        <w:jc w:val="center"/>
        <w:rPr>
          <w:b/>
        </w:rPr>
      </w:pPr>
      <w:r w:rsidRPr="00D3089A">
        <w:rPr>
          <w:b/>
        </w:rPr>
        <w:lastRenderedPageBreak/>
        <w:t>TABLE OF CONTENTS</w:t>
      </w:r>
    </w:p>
    <w:p w14:paraId="02CD4050" w14:textId="77777777" w:rsidR="00BB3E27" w:rsidRPr="00D3089A" w:rsidRDefault="00BB3E27" w:rsidP="00C14E94">
      <w:pPr>
        <w:widowControl w:val="0"/>
        <w:adjustRightInd w:val="0"/>
        <w:snapToGrid w:val="0"/>
        <w:jc w:val="center"/>
        <w:rPr>
          <w:b/>
        </w:rPr>
      </w:pPr>
    </w:p>
    <w:p w14:paraId="1728E5C0" w14:textId="77777777" w:rsidR="00BB3E27" w:rsidRPr="00D3089A" w:rsidRDefault="00BB3E27" w:rsidP="00BB3E27">
      <w:pPr>
        <w:widowControl w:val="0"/>
        <w:adjustRightInd w:val="0"/>
        <w:snapToGrid w:val="0"/>
        <w:jc w:val="right"/>
        <w:rPr>
          <w:b/>
          <w:u w:val="single"/>
        </w:rPr>
      </w:pPr>
      <w:r w:rsidRPr="00D3089A">
        <w:rPr>
          <w:b/>
          <w:u w:val="single"/>
        </w:rPr>
        <w:t>Page</w:t>
      </w:r>
    </w:p>
    <w:p w14:paraId="1702C26F" w14:textId="77777777" w:rsidR="00C14E94" w:rsidRPr="00D3089A" w:rsidRDefault="00C14E94" w:rsidP="00C14E94">
      <w:pPr>
        <w:pStyle w:val="TOC4"/>
        <w:widowControl w:val="0"/>
        <w:adjustRightInd w:val="0"/>
        <w:snapToGrid w:val="0"/>
        <w:spacing w:line="240" w:lineRule="auto"/>
        <w:rPr>
          <w:sz w:val="24"/>
          <w:szCs w:val="24"/>
        </w:rPr>
      </w:pPr>
    </w:p>
    <w:p w14:paraId="47A21F2A" w14:textId="4829EAAB" w:rsidR="005B2B41" w:rsidRPr="00D3089A" w:rsidRDefault="00BB3E27" w:rsidP="005B2B41">
      <w:pPr>
        <w:widowControl w:val="0"/>
        <w:tabs>
          <w:tab w:val="left" w:pos="720"/>
          <w:tab w:val="right" w:leader="dot" w:pos="9900"/>
        </w:tabs>
        <w:adjustRightInd w:val="0"/>
        <w:snapToGrid w:val="0"/>
        <w:spacing w:after="120"/>
      </w:pPr>
      <w:r w:rsidRPr="00D3089A">
        <w:t>B.</w:t>
      </w:r>
      <w:r w:rsidR="005B2B41" w:rsidRPr="00D3089A">
        <w:t xml:space="preserve"> Collection of Information Employing Statistical Methods</w:t>
      </w:r>
      <w:r w:rsidR="005B2B41" w:rsidRPr="00D3089A">
        <w:tab/>
        <w:t>1</w:t>
      </w:r>
    </w:p>
    <w:p w14:paraId="3192634D" w14:textId="77777777" w:rsidR="005B2B41" w:rsidRPr="00D3089A" w:rsidRDefault="005B2B41" w:rsidP="005B2B41">
      <w:pPr>
        <w:widowControl w:val="0"/>
        <w:tabs>
          <w:tab w:val="left" w:pos="720"/>
          <w:tab w:val="left" w:pos="1440"/>
          <w:tab w:val="right" w:leader="dot" w:pos="9900"/>
        </w:tabs>
        <w:adjustRightInd w:val="0"/>
        <w:snapToGrid w:val="0"/>
        <w:spacing w:after="120"/>
      </w:pPr>
      <w:r w:rsidRPr="00D3089A">
        <w:tab/>
        <w:t>B.1</w:t>
      </w:r>
      <w:r w:rsidRPr="00D3089A">
        <w:tab/>
        <w:t>Respondent Universe and Sampling Methods</w:t>
      </w:r>
      <w:r w:rsidRPr="00D3089A">
        <w:tab/>
        <w:t>1</w:t>
      </w:r>
    </w:p>
    <w:p w14:paraId="57F86108" w14:textId="6D2ACCC7" w:rsidR="005B2B41" w:rsidRPr="00D3089A" w:rsidRDefault="005B2B41" w:rsidP="005B2B41">
      <w:pPr>
        <w:widowControl w:val="0"/>
        <w:tabs>
          <w:tab w:val="left" w:pos="720"/>
          <w:tab w:val="left" w:pos="1440"/>
          <w:tab w:val="right" w:leader="dot" w:pos="9900"/>
        </w:tabs>
        <w:adjustRightInd w:val="0"/>
        <w:snapToGrid w:val="0"/>
        <w:spacing w:after="120"/>
      </w:pPr>
      <w:r w:rsidRPr="00D3089A">
        <w:tab/>
        <w:t>B.2</w:t>
      </w:r>
      <w:r w:rsidRPr="00D3089A">
        <w:tab/>
        <w:t>Procedure for</w:t>
      </w:r>
      <w:r w:rsidR="00AA29BE">
        <w:t xml:space="preserve"> the Collection of Information</w:t>
      </w:r>
      <w:r w:rsidR="00AA29BE">
        <w:tab/>
        <w:t>7</w:t>
      </w:r>
    </w:p>
    <w:p w14:paraId="6EAF447F" w14:textId="7AF885B0"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r>
      <w:r>
        <w:tab/>
        <w:t>B.2.1</w:t>
      </w:r>
      <w:r>
        <w:tab/>
        <w:t>Questionnaire</w:t>
      </w:r>
      <w:r>
        <w:tab/>
        <w:t>7</w:t>
      </w:r>
    </w:p>
    <w:p w14:paraId="54E3BF1C" w14:textId="7E187EC8" w:rsidR="005B2B41" w:rsidRPr="00D3089A" w:rsidRDefault="005B2B41" w:rsidP="005B2B41">
      <w:pPr>
        <w:widowControl w:val="0"/>
        <w:tabs>
          <w:tab w:val="left" w:pos="720"/>
          <w:tab w:val="left" w:pos="1440"/>
          <w:tab w:val="left" w:pos="2160"/>
          <w:tab w:val="right" w:leader="dot" w:pos="9900"/>
        </w:tabs>
        <w:adjustRightInd w:val="0"/>
        <w:snapToGrid w:val="0"/>
        <w:spacing w:after="120"/>
      </w:pPr>
      <w:r w:rsidRPr="00D3089A">
        <w:tab/>
      </w:r>
      <w:r w:rsidRPr="00D3089A">
        <w:tab/>
        <w:t>B.2.2</w:t>
      </w:r>
      <w:r w:rsidRPr="00D3089A">
        <w:tab/>
        <w:t>P</w:t>
      </w:r>
      <w:r w:rsidR="00AA29BE">
        <w:t>hlebotomy for Clinical Testing</w:t>
      </w:r>
      <w:r w:rsidR="00AA29BE">
        <w:tab/>
        <w:t>7</w:t>
      </w:r>
    </w:p>
    <w:p w14:paraId="4027827E" w14:textId="7153E141" w:rsidR="005B2B41" w:rsidRPr="00D3089A" w:rsidRDefault="005B2B41" w:rsidP="00AA29BE">
      <w:pPr>
        <w:widowControl w:val="0"/>
        <w:tabs>
          <w:tab w:val="left" w:pos="720"/>
          <w:tab w:val="left" w:pos="1440"/>
          <w:tab w:val="left" w:pos="2160"/>
          <w:tab w:val="left" w:pos="3990"/>
          <w:tab w:val="right" w:leader="dot" w:pos="9900"/>
        </w:tabs>
        <w:adjustRightInd w:val="0"/>
        <w:snapToGrid w:val="0"/>
        <w:spacing w:after="120"/>
      </w:pPr>
      <w:r w:rsidRPr="00D3089A">
        <w:tab/>
      </w:r>
      <w:r w:rsidRPr="00D3089A">
        <w:tab/>
        <w:t>B.2.3</w:t>
      </w:r>
      <w:r w:rsidRPr="00D3089A">
        <w:tab/>
      </w:r>
      <w:r w:rsidRPr="00D3089A">
        <w:tab/>
      </w:r>
      <w:r w:rsidR="00AA29BE">
        <w:tab/>
        <w:t>7</w:t>
      </w:r>
    </w:p>
    <w:p w14:paraId="46C5F623" w14:textId="77777777" w:rsidR="005B2B41" w:rsidRPr="00D3089A" w:rsidRDefault="005B2B41" w:rsidP="005B2B41">
      <w:pPr>
        <w:widowControl w:val="0"/>
        <w:tabs>
          <w:tab w:val="left" w:pos="720"/>
          <w:tab w:val="left" w:pos="1440"/>
          <w:tab w:val="left" w:pos="2160"/>
          <w:tab w:val="right" w:leader="dot" w:pos="9900"/>
        </w:tabs>
        <w:adjustRightInd w:val="0"/>
        <w:snapToGrid w:val="0"/>
        <w:spacing w:after="120"/>
      </w:pPr>
      <w:r w:rsidRPr="00D3089A">
        <w:tab/>
      </w:r>
      <w:r w:rsidRPr="00D3089A">
        <w:tab/>
        <w:t>B.2.4</w:t>
      </w:r>
      <w:r w:rsidRPr="00D3089A">
        <w:tab/>
      </w:r>
      <w:r w:rsidRPr="00D3089A">
        <w:tab/>
        <w:t>7</w:t>
      </w:r>
    </w:p>
    <w:p w14:paraId="338078CE" w14:textId="1D1E4A12" w:rsidR="005B2B41" w:rsidRPr="00D3089A" w:rsidRDefault="005B2B41" w:rsidP="005B2B41">
      <w:pPr>
        <w:widowControl w:val="0"/>
        <w:tabs>
          <w:tab w:val="left" w:pos="720"/>
          <w:tab w:val="left" w:pos="1440"/>
          <w:tab w:val="left" w:pos="2160"/>
          <w:tab w:val="right" w:leader="dot" w:pos="9900"/>
        </w:tabs>
        <w:adjustRightInd w:val="0"/>
        <w:snapToGrid w:val="0"/>
        <w:spacing w:after="120"/>
      </w:pPr>
      <w:r w:rsidRPr="00D3089A">
        <w:tab/>
      </w:r>
      <w:r w:rsidRPr="00D3089A">
        <w:tab/>
        <w:t>B.2.5</w:t>
      </w:r>
      <w:r w:rsidRPr="00D3089A">
        <w:tab/>
        <w:t>Co</w:t>
      </w:r>
      <w:r w:rsidR="00AA29BE">
        <w:t>unseling and Medical Referrals</w:t>
      </w:r>
      <w:r w:rsidR="00AA29BE">
        <w:tab/>
        <w:t>8</w:t>
      </w:r>
    </w:p>
    <w:p w14:paraId="62A73360" w14:textId="6EFC4ACD"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r>
      <w:r>
        <w:tab/>
        <w:t>B.2.6</w:t>
      </w:r>
      <w:r>
        <w:tab/>
        <w:t>Data Analysis</w:t>
      </w:r>
      <w:r>
        <w:tab/>
        <w:t>8</w:t>
      </w:r>
    </w:p>
    <w:p w14:paraId="436AE116" w14:textId="57DA044C"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r>
      <w:r>
        <w:tab/>
      </w:r>
      <w:r>
        <w:tab/>
        <w:t>B.2.6.1</w:t>
      </w:r>
      <w:r>
        <w:tab/>
        <w:t>8</w:t>
      </w:r>
    </w:p>
    <w:p w14:paraId="7649E274" w14:textId="49934275"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r>
      <w:r>
        <w:tab/>
      </w:r>
      <w:r>
        <w:tab/>
        <w:t>B.2.6.2</w:t>
      </w:r>
      <w:r>
        <w:tab/>
        <w:t>9</w:t>
      </w:r>
    </w:p>
    <w:p w14:paraId="0B8177B3" w14:textId="5B2F2B37" w:rsidR="005B2B41" w:rsidRPr="00D3089A" w:rsidRDefault="005B2B41" w:rsidP="005B2B41">
      <w:pPr>
        <w:widowControl w:val="0"/>
        <w:tabs>
          <w:tab w:val="left" w:pos="720"/>
          <w:tab w:val="left" w:pos="1440"/>
          <w:tab w:val="left" w:pos="2160"/>
          <w:tab w:val="right" w:leader="dot" w:pos="9900"/>
        </w:tabs>
        <w:adjustRightInd w:val="0"/>
        <w:snapToGrid w:val="0"/>
        <w:spacing w:after="120"/>
      </w:pPr>
      <w:r w:rsidRPr="00D3089A">
        <w:tab/>
      </w:r>
      <w:r w:rsidRPr="00D3089A">
        <w:tab/>
      </w:r>
      <w:r w:rsidRPr="00D3089A">
        <w:tab/>
      </w:r>
      <w:r w:rsidR="00AA29BE">
        <w:t>B.2.6.3</w:t>
      </w:r>
      <w:r w:rsidR="00AA29BE">
        <w:tab/>
        <w:t>10</w:t>
      </w:r>
    </w:p>
    <w:p w14:paraId="00D9D5BD" w14:textId="045A86F8" w:rsidR="005B2B41" w:rsidRPr="00D3089A" w:rsidRDefault="005B2B41" w:rsidP="005B2B41">
      <w:pPr>
        <w:widowControl w:val="0"/>
        <w:tabs>
          <w:tab w:val="left" w:pos="720"/>
          <w:tab w:val="left" w:pos="1440"/>
          <w:tab w:val="left" w:pos="2160"/>
          <w:tab w:val="right" w:leader="dot" w:pos="9900"/>
        </w:tabs>
        <w:adjustRightInd w:val="0"/>
        <w:snapToGrid w:val="0"/>
        <w:spacing w:after="120"/>
      </w:pPr>
      <w:r w:rsidRPr="00D3089A">
        <w:tab/>
        <w:t>B.3</w:t>
      </w:r>
      <w:r w:rsidRPr="00D3089A">
        <w:tab/>
        <w:t>Methods to Maximize Response Rat</w:t>
      </w:r>
      <w:r w:rsidR="00AA29BE">
        <w:t>es and Deal with Non-response</w:t>
      </w:r>
      <w:r w:rsidR="00AA29BE">
        <w:tab/>
        <w:t>11</w:t>
      </w:r>
      <w:bookmarkStart w:id="0" w:name="_GoBack"/>
      <w:bookmarkEnd w:id="0"/>
    </w:p>
    <w:p w14:paraId="3FE9609E" w14:textId="1501D9FC"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t>B.4</w:t>
      </w:r>
      <w:r>
        <w:tab/>
        <w:t>Test of Procedures</w:t>
      </w:r>
      <w:r>
        <w:tab/>
        <w:t>11</w:t>
      </w:r>
    </w:p>
    <w:p w14:paraId="772C66A3" w14:textId="77777777" w:rsidR="005B2B41" w:rsidRPr="00D3089A" w:rsidRDefault="005B2B41" w:rsidP="005B2B41">
      <w:pPr>
        <w:widowControl w:val="0"/>
        <w:tabs>
          <w:tab w:val="left" w:pos="720"/>
          <w:tab w:val="left" w:pos="1440"/>
          <w:tab w:val="left" w:pos="2160"/>
          <w:tab w:val="right" w:leader="dot" w:pos="9900"/>
        </w:tabs>
        <w:adjustRightInd w:val="0"/>
        <w:snapToGrid w:val="0"/>
      </w:pPr>
      <w:r w:rsidRPr="00D3089A">
        <w:tab/>
        <w:t>B.5</w:t>
      </w:r>
      <w:r w:rsidRPr="00D3089A">
        <w:tab/>
        <w:t>Individuals Consulted on Statistical Aspects and Individuals Collecting and/or</w:t>
      </w:r>
    </w:p>
    <w:p w14:paraId="7D6A6D54" w14:textId="4CB68D5D" w:rsidR="005B2B41" w:rsidRPr="00D3089A" w:rsidRDefault="00AA29BE" w:rsidP="005B2B41">
      <w:pPr>
        <w:widowControl w:val="0"/>
        <w:tabs>
          <w:tab w:val="left" w:pos="720"/>
          <w:tab w:val="left" w:pos="1440"/>
          <w:tab w:val="left" w:pos="2160"/>
          <w:tab w:val="right" w:leader="dot" w:pos="9900"/>
        </w:tabs>
        <w:adjustRightInd w:val="0"/>
        <w:snapToGrid w:val="0"/>
        <w:spacing w:after="120"/>
      </w:pPr>
      <w:r>
        <w:tab/>
      </w:r>
      <w:r>
        <w:tab/>
        <w:t>Analyzing Data</w:t>
      </w:r>
      <w:r>
        <w:tab/>
        <w:t>11</w:t>
      </w:r>
    </w:p>
    <w:p w14:paraId="76F121EE" w14:textId="77777777" w:rsidR="005B2B41" w:rsidRPr="00D3089A" w:rsidRDefault="005B2B41" w:rsidP="005B2B41">
      <w:pPr>
        <w:widowControl w:val="0"/>
        <w:adjustRightInd w:val="0"/>
        <w:snapToGrid w:val="0"/>
        <w:spacing w:after="120"/>
      </w:pPr>
    </w:p>
    <w:p w14:paraId="10C68E8D" w14:textId="77777777" w:rsidR="00BB3E27" w:rsidRPr="00D3089A" w:rsidRDefault="00BB3E27" w:rsidP="005B2B41">
      <w:pPr>
        <w:widowControl w:val="0"/>
        <w:tabs>
          <w:tab w:val="left" w:pos="720"/>
          <w:tab w:val="right" w:leader="dot" w:pos="9900"/>
        </w:tabs>
        <w:adjustRightInd w:val="0"/>
        <w:snapToGrid w:val="0"/>
        <w:spacing w:after="120"/>
      </w:pPr>
    </w:p>
    <w:p w14:paraId="2C575E90" w14:textId="77777777" w:rsidR="00BB3E27" w:rsidRPr="00D3089A" w:rsidRDefault="00BB3E27" w:rsidP="00C14E94">
      <w:pPr>
        <w:widowControl w:val="0"/>
        <w:adjustRightInd w:val="0"/>
        <w:snapToGrid w:val="0"/>
      </w:pPr>
    </w:p>
    <w:p w14:paraId="2ED37BA7" w14:textId="77777777" w:rsidR="00D562A4" w:rsidRPr="00D3089A" w:rsidRDefault="00D562A4">
      <w:pPr>
        <w:rPr>
          <w:b/>
        </w:rPr>
        <w:sectPr w:rsidR="00D562A4" w:rsidRPr="00D3089A" w:rsidSect="00D562A4">
          <w:footerReference w:type="default" r:id="rId8"/>
          <w:pgSz w:w="12240" w:h="15840" w:code="1"/>
          <w:pgMar w:top="1152" w:right="1152" w:bottom="1152" w:left="1152" w:header="720" w:footer="720" w:gutter="0"/>
          <w:pgNumType w:fmt="lowerRoman" w:start="1"/>
          <w:cols w:space="720"/>
          <w:docGrid w:linePitch="360"/>
        </w:sectPr>
      </w:pPr>
    </w:p>
    <w:p w14:paraId="023B7822" w14:textId="77777777" w:rsidR="00135B05" w:rsidRPr="00D3089A" w:rsidRDefault="00135B05" w:rsidP="00452A3A">
      <w:pPr>
        <w:pStyle w:val="Heading3"/>
        <w:keepNext w:val="0"/>
        <w:widowControl w:val="0"/>
        <w:adjustRightInd w:val="0"/>
        <w:snapToGrid w:val="0"/>
        <w:rPr>
          <w:rFonts w:ascii="Times New Roman" w:hAnsi="Times New Roman" w:cs="Times New Roman"/>
          <w:sz w:val="24"/>
          <w:szCs w:val="24"/>
        </w:rPr>
      </w:pPr>
      <w:r w:rsidRPr="00D3089A">
        <w:rPr>
          <w:rFonts w:ascii="Times New Roman" w:hAnsi="Times New Roman" w:cs="Times New Roman"/>
          <w:sz w:val="24"/>
          <w:szCs w:val="24"/>
        </w:rPr>
        <w:lastRenderedPageBreak/>
        <w:t>B. Collection of Information Employing Statistical Methods</w:t>
      </w:r>
    </w:p>
    <w:p w14:paraId="3E7C6840" w14:textId="77777777" w:rsidR="00135B05" w:rsidRPr="00D3089A" w:rsidRDefault="00135B05" w:rsidP="00452A3A">
      <w:pPr>
        <w:pStyle w:val="E-mailSignature"/>
        <w:widowControl w:val="0"/>
        <w:adjustRightInd w:val="0"/>
        <w:snapToGrid w:val="0"/>
        <w:jc w:val="both"/>
        <w:rPr>
          <w:b/>
        </w:rPr>
      </w:pPr>
    </w:p>
    <w:p w14:paraId="45B8260F" w14:textId="77777777" w:rsidR="00135B05" w:rsidRPr="00D3089A" w:rsidRDefault="00135B05" w:rsidP="00452A3A">
      <w:pPr>
        <w:pStyle w:val="E-mailSignature"/>
        <w:widowControl w:val="0"/>
        <w:adjustRightInd w:val="0"/>
        <w:snapToGrid w:val="0"/>
        <w:jc w:val="both"/>
        <w:rPr>
          <w:b/>
        </w:rPr>
      </w:pPr>
      <w:r w:rsidRPr="00D3089A">
        <w:rPr>
          <w:b/>
        </w:rPr>
        <w:t>B.1.</w:t>
      </w:r>
      <w:r w:rsidR="00BB3E27" w:rsidRPr="00D3089A">
        <w:rPr>
          <w:b/>
        </w:rPr>
        <w:tab/>
      </w:r>
      <w:r w:rsidRPr="00D3089A">
        <w:rPr>
          <w:b/>
        </w:rPr>
        <w:t>Respondent Universe and Sampling Methods</w:t>
      </w:r>
    </w:p>
    <w:p w14:paraId="4498F0E1" w14:textId="77777777" w:rsidR="00135B05" w:rsidRPr="00D3089A" w:rsidRDefault="00135B05" w:rsidP="00452A3A">
      <w:pPr>
        <w:widowControl w:val="0"/>
        <w:autoSpaceDE w:val="0"/>
        <w:autoSpaceDN w:val="0"/>
        <w:adjustRightInd w:val="0"/>
        <w:snapToGrid w:val="0"/>
        <w:jc w:val="both"/>
        <w:rPr>
          <w:b/>
        </w:rPr>
      </w:pPr>
    </w:p>
    <w:p w14:paraId="3A5DC300" w14:textId="00D577EE" w:rsidR="00233E7D" w:rsidRPr="00D3089A" w:rsidRDefault="00233E7D" w:rsidP="00452A3A">
      <w:pPr>
        <w:widowControl w:val="0"/>
        <w:autoSpaceDE w:val="0"/>
        <w:autoSpaceDN w:val="0"/>
        <w:adjustRightInd w:val="0"/>
        <w:ind w:firstLine="720"/>
        <w:jc w:val="both"/>
      </w:pPr>
      <w:r w:rsidRPr="00D3089A">
        <w:t>This project is part of the Recipient Epidemiology and Donor Evaluation Study (REDS)-III resea</w:t>
      </w:r>
      <w:r w:rsidR="00452A3A" w:rsidRPr="00D3089A">
        <w:t xml:space="preserve">rch program. REDS-III is a </w:t>
      </w:r>
      <w:r w:rsidRPr="00D3089A">
        <w:t>National Heart, Lung, and Blood Institute funded multicenter research program that is conducted in the United States, Brazil, China, and South Africa.  The objectives of REDS-III are to ensure safe and effective blood banking and transfusion medicine practices through a comprehensive strategy involving basic, translational and clinical research.  One ongoing research project within the</w:t>
      </w:r>
      <w:r w:rsidR="00452A3A" w:rsidRPr="00D3089A">
        <w:t xml:space="preserve"> REDS-III Brazil program is </w:t>
      </w:r>
      <w:r w:rsidRPr="00D3089A">
        <w:t xml:space="preserve">a cohort study of </w:t>
      </w:r>
      <w:r w:rsidR="00A14609" w:rsidRPr="00D3089A">
        <w:t>Sickle Cell Disease (</w:t>
      </w:r>
      <w:r w:rsidRPr="00D3089A">
        <w:t>SCD</w:t>
      </w:r>
      <w:r w:rsidR="00A14609" w:rsidRPr="00D3089A">
        <w:t>)</w:t>
      </w:r>
      <w:r w:rsidRPr="00D3089A">
        <w:t xml:space="preserve"> patients</w:t>
      </w:r>
      <w:r w:rsidR="00675CCD" w:rsidRPr="00D3089A">
        <w:t xml:space="preserve"> (Establishing a Brazilian SCD Cohort and Identifying Molecular Determinants of Response to Transfusions, and Genetic Determinants of Alloimmunization, clinical exemption number 2013-03-001)</w:t>
      </w:r>
      <w:r w:rsidRPr="00D3089A">
        <w:t xml:space="preserve">.  The goals of the cohort study are to characterize SCD outcomes, blood utilization, and genetic determinants of </w:t>
      </w:r>
      <w:r w:rsidR="00452A3A" w:rsidRPr="00D3089A">
        <w:t xml:space="preserve">red blood cell </w:t>
      </w:r>
      <w:r w:rsidRPr="00D3089A">
        <w:t xml:space="preserve">alloimmunization in the Brazilian SCD population and perform targeted studies focused on transfusion and HIV outcomes within the cohort. </w:t>
      </w:r>
      <w:r w:rsidR="00B92294">
        <w:t xml:space="preserve">SCD patients receive outpatient care and transfusion therapy at sites called Hemocenters within Brazil.  It is estimated there are approximately 30,000 SCD patients treated at the approximately 31 Brazilian Hemocenters.  There are 5 Hemocenters participating in the REDS-III research in the cities of Belo Horizonte, Rio de Janeiro, Montes Claros, Juiz de Fora, and Recife that collectively treat approximately 10,000 SCD patients. </w:t>
      </w:r>
      <w:r w:rsidRPr="00D3089A">
        <w:t>The REDS-III infrastructure will be utilized to identify eligible patient populations for the proposed research.</w:t>
      </w:r>
      <w:r w:rsidR="009C4715">
        <w:t xml:space="preserve"> The objectives of this proposed research are listed below.</w:t>
      </w:r>
    </w:p>
    <w:p w14:paraId="3A0EB9FB" w14:textId="77777777" w:rsidR="00233E7D" w:rsidRDefault="00233E7D" w:rsidP="00452A3A">
      <w:pPr>
        <w:widowControl w:val="0"/>
        <w:autoSpaceDE w:val="0"/>
        <w:autoSpaceDN w:val="0"/>
        <w:adjustRightInd w:val="0"/>
        <w:jc w:val="both"/>
      </w:pPr>
    </w:p>
    <w:p w14:paraId="4681E8F2" w14:textId="49CD98B0" w:rsidR="00172686" w:rsidRDefault="00172686" w:rsidP="00452A3A">
      <w:pPr>
        <w:widowControl w:val="0"/>
        <w:autoSpaceDE w:val="0"/>
        <w:autoSpaceDN w:val="0"/>
        <w:adjustRightInd w:val="0"/>
        <w:jc w:val="both"/>
      </w:pPr>
      <w:r>
        <w:t xml:space="preserve">Objective 1: case-control study to </w:t>
      </w:r>
      <w:r w:rsidRPr="00D3089A">
        <w:t xml:space="preserve">compare HIV risk behaviors </w:t>
      </w:r>
      <w:r w:rsidR="009C4715">
        <w:t>between</w:t>
      </w:r>
      <w:r w:rsidRPr="00D3089A">
        <w:t xml:space="preserve"> SCD and non-SCD subjects</w:t>
      </w:r>
      <w:r>
        <w:t xml:space="preserve"> in Brazil</w:t>
      </w:r>
    </w:p>
    <w:p w14:paraId="790D64C7" w14:textId="7595677B" w:rsidR="00172686" w:rsidRDefault="00172686" w:rsidP="00172686">
      <w:pPr>
        <w:widowControl w:val="0"/>
        <w:autoSpaceDE w:val="0"/>
        <w:autoSpaceDN w:val="0"/>
        <w:adjustRightInd w:val="0"/>
        <w:ind w:left="1260" w:hanging="1260"/>
        <w:jc w:val="both"/>
      </w:pPr>
      <w:r>
        <w:t xml:space="preserve">Objective 2a: </w:t>
      </w:r>
      <w:r w:rsidRPr="00D3089A">
        <w:t xml:space="preserve">case series description of HIV outcomes in </w:t>
      </w:r>
      <w:r>
        <w:t xml:space="preserve">Brazilian </w:t>
      </w:r>
      <w:r w:rsidRPr="00D3089A">
        <w:t>SCD patients</w:t>
      </w:r>
      <w:r w:rsidR="00151215">
        <w:t xml:space="preserve"> over the past 10 years</w:t>
      </w:r>
      <w:r>
        <w:t xml:space="preserve"> </w:t>
      </w:r>
    </w:p>
    <w:p w14:paraId="5AE2D6D3" w14:textId="64C3F30D" w:rsidR="00172686" w:rsidRDefault="00172686" w:rsidP="00172686">
      <w:pPr>
        <w:widowControl w:val="0"/>
        <w:tabs>
          <w:tab w:val="left" w:pos="2984"/>
          <w:tab w:val="left" w:pos="5702"/>
        </w:tabs>
        <w:autoSpaceDE w:val="0"/>
        <w:autoSpaceDN w:val="0"/>
        <w:adjustRightInd w:val="0"/>
        <w:jc w:val="both"/>
      </w:pPr>
      <w:r>
        <w:t xml:space="preserve">Objective 2b: </w:t>
      </w:r>
      <w:r w:rsidR="009C4715">
        <w:t>case-control study to compare</w:t>
      </w:r>
      <w:r>
        <w:t xml:space="preserve"> SCD outcomes between HIV+ and HIV- SCD patients in Brazil</w:t>
      </w:r>
      <w:r>
        <w:tab/>
      </w:r>
      <w:r>
        <w:tab/>
      </w:r>
    </w:p>
    <w:p w14:paraId="1385620F" w14:textId="77777777" w:rsidR="00172686" w:rsidRPr="00D3089A" w:rsidRDefault="00172686" w:rsidP="00452A3A">
      <w:pPr>
        <w:widowControl w:val="0"/>
        <w:autoSpaceDE w:val="0"/>
        <w:autoSpaceDN w:val="0"/>
        <w:adjustRightInd w:val="0"/>
        <w:jc w:val="both"/>
      </w:pPr>
    </w:p>
    <w:p w14:paraId="6201A9FF" w14:textId="442E2917" w:rsidR="00233E7D" w:rsidRPr="00D3089A" w:rsidRDefault="00233E7D" w:rsidP="00452A3A">
      <w:pPr>
        <w:widowControl w:val="0"/>
        <w:autoSpaceDE w:val="0"/>
        <w:autoSpaceDN w:val="0"/>
        <w:adjustRightInd w:val="0"/>
        <w:ind w:firstLine="720"/>
        <w:jc w:val="both"/>
      </w:pPr>
      <w:r w:rsidRPr="00D3089A">
        <w:t>For the primary objective, which is to compare HIV risk behaviors in SCD and non-SCD subjects</w:t>
      </w:r>
      <w:r w:rsidR="00DB0A16">
        <w:t xml:space="preserve"> in Brazil</w:t>
      </w:r>
      <w:r w:rsidRPr="00D3089A">
        <w:t xml:space="preserve">, a case control study of 150 SCD patients and 150 </w:t>
      </w:r>
      <w:r w:rsidR="00D3200A" w:rsidRPr="00D3089A">
        <w:t xml:space="preserve">non-SCD </w:t>
      </w:r>
      <w:r w:rsidRPr="00D3089A">
        <w:t xml:space="preserve">controls will be performed. Cases will be selected from the REDS-III Brazilian SCD Cohort. </w:t>
      </w:r>
      <w:r w:rsidR="00637AA5" w:rsidRPr="00D3089A">
        <w:t>There were 1241</w:t>
      </w:r>
      <w:r w:rsidRPr="00D3089A">
        <w:t xml:space="preserve"> SCD patients </w:t>
      </w:r>
      <w:r w:rsidRPr="00D3089A">
        <w:sym w:font="Symbol" w:char="F0B3"/>
      </w:r>
      <w:r w:rsidRPr="00D3089A">
        <w:t xml:space="preserve">18 years </w:t>
      </w:r>
      <w:r w:rsidR="00637AA5" w:rsidRPr="00D3089A">
        <w:t xml:space="preserve">enrolled in the cohort.  </w:t>
      </w:r>
      <w:r w:rsidR="00223C49" w:rsidRPr="00D3089A">
        <w:t>SCD c</w:t>
      </w:r>
      <w:r w:rsidRPr="00D3089A">
        <w:t>ohort patients were randomly selected from the REDS-III Hemo</w:t>
      </w:r>
      <w:r w:rsidR="00452A3A" w:rsidRPr="00D3089A">
        <w:t xml:space="preserve">centers’ population; </w:t>
      </w:r>
      <w:r w:rsidRPr="00D3089A">
        <w:t>we</w:t>
      </w:r>
      <w:r w:rsidR="00452A3A" w:rsidRPr="00D3089A">
        <w:t xml:space="preserve"> therefore</w:t>
      </w:r>
      <w:r w:rsidRPr="00D3089A">
        <w:t xml:space="preserve"> expect the cohort population to be representative of the overall SCD population at each Hemocenter</w:t>
      </w:r>
      <w:r w:rsidR="00DB0A16">
        <w:t xml:space="preserve"> within Brazil</w:t>
      </w:r>
      <w:r w:rsidR="00EE391B" w:rsidRPr="00D3089A">
        <w:t xml:space="preserve">.  </w:t>
      </w:r>
      <w:r w:rsidRPr="00D3089A">
        <w:t xml:space="preserve">Controls will be recruited from the SCD patient advocacy associations at each Hemocenter.  These associations host friends and family of SCD patients during appointments and coordinate outreach efforts in SCD patients’ communities.  Therefore, we anticipate that the controls recruited though the advocacy associations will be from a culturally and socioeconomically similar population as cases. </w:t>
      </w:r>
      <w:r w:rsidR="002A49E3">
        <w:t xml:space="preserve">Controls will be matched by region (Hemocenter) and age (within 5 years of cases).  </w:t>
      </w:r>
      <w:r w:rsidRPr="00D3089A">
        <w:t>All cases and controls will have only one study visit.  At this visit, a</w:t>
      </w:r>
      <w:r w:rsidR="00223C49" w:rsidRPr="00D3089A">
        <w:t>n</w:t>
      </w:r>
      <w:r w:rsidRPr="00D3089A">
        <w:t xml:space="preserve"> </w:t>
      </w:r>
      <w:r w:rsidR="00EA60BF" w:rsidRPr="00D3089A">
        <w:t>assessment</w:t>
      </w:r>
      <w:r w:rsidRPr="00D3089A">
        <w:t xml:space="preserve"> will be administered to cases and controls to measure HIV risk behaviors using </w:t>
      </w:r>
      <w:r w:rsidRPr="00D3089A">
        <w:rPr>
          <w:color w:val="000000"/>
        </w:rPr>
        <w:t>a self-administered audio computer-assisted self-interview (ACASI)</w:t>
      </w:r>
      <w:r w:rsidRPr="00D3089A">
        <w:t xml:space="preserve">.  A blood sample will also be collected </w:t>
      </w:r>
      <w:r w:rsidR="00113EC5" w:rsidRPr="00D3089A">
        <w:t>to confirm HIV status for cases and controls and to test for sickle cell disease/trait in controls.</w:t>
      </w:r>
    </w:p>
    <w:p w14:paraId="74E39757" w14:textId="77777777" w:rsidR="00233E7D" w:rsidRPr="00D3089A" w:rsidRDefault="00233E7D" w:rsidP="00452A3A">
      <w:pPr>
        <w:widowControl w:val="0"/>
        <w:autoSpaceDE w:val="0"/>
        <w:autoSpaceDN w:val="0"/>
        <w:adjustRightInd w:val="0"/>
        <w:jc w:val="both"/>
      </w:pPr>
    </w:p>
    <w:p w14:paraId="5A31E089" w14:textId="20053D60" w:rsidR="00233E7D" w:rsidRPr="00D3089A" w:rsidRDefault="00233E7D" w:rsidP="00452A3A">
      <w:pPr>
        <w:widowControl w:val="0"/>
        <w:autoSpaceDE w:val="0"/>
        <w:autoSpaceDN w:val="0"/>
        <w:adjustRightInd w:val="0"/>
        <w:ind w:firstLine="720"/>
        <w:jc w:val="both"/>
      </w:pPr>
      <w:r w:rsidRPr="00D3089A">
        <w:t>For the secondary objective</w:t>
      </w:r>
      <w:r w:rsidR="00D3200A" w:rsidRPr="00D3089A">
        <w:t xml:space="preserve"> (Objective 2a)</w:t>
      </w:r>
      <w:r w:rsidRPr="00D3089A">
        <w:t xml:space="preserve">, </w:t>
      </w:r>
      <w:r w:rsidR="00113EC5" w:rsidRPr="00D3089A">
        <w:t xml:space="preserve">a case series description of HIV outcomes in </w:t>
      </w:r>
      <w:r w:rsidR="008701E9">
        <w:t xml:space="preserve">Brazilian </w:t>
      </w:r>
      <w:r w:rsidR="00113EC5" w:rsidRPr="00D3089A">
        <w:t xml:space="preserve">SCD patients, </w:t>
      </w:r>
      <w:r w:rsidRPr="00D3089A">
        <w:t>all SCD patients diagnosed with HIV</w:t>
      </w:r>
      <w:r w:rsidR="008701E9">
        <w:t xml:space="preserve"> </w:t>
      </w:r>
      <w:r w:rsidR="00D3200A" w:rsidRPr="00D3089A">
        <w:t xml:space="preserve">as part of routine care </w:t>
      </w:r>
      <w:r w:rsidRPr="00D3089A">
        <w:t xml:space="preserve">at participating </w:t>
      </w:r>
      <w:r w:rsidR="003C5D9A">
        <w:t xml:space="preserve">Brazilian </w:t>
      </w:r>
      <w:r w:rsidRPr="00D3089A">
        <w:t>Hemocenters</w:t>
      </w:r>
      <w:r w:rsidR="008701E9">
        <w:t>,</w:t>
      </w:r>
      <w:r w:rsidRPr="00D3089A">
        <w:t xml:space="preserve"> in the previous 10 years will be identified </w:t>
      </w:r>
      <w:r w:rsidR="00113EC5" w:rsidRPr="00D3089A">
        <w:t xml:space="preserve">by reviewing Hemocenter records.  </w:t>
      </w:r>
      <w:r w:rsidR="00113EC5" w:rsidRPr="00D3089A">
        <w:lastRenderedPageBreak/>
        <w:t xml:space="preserve">SCD patient are screened approximately annually for HIV </w:t>
      </w:r>
      <w:r w:rsidRPr="00D3089A">
        <w:t>and</w:t>
      </w:r>
      <w:r w:rsidR="00113EC5" w:rsidRPr="00D3089A">
        <w:t xml:space="preserve"> a register of all HIV+ SCD patients is maintained at each </w:t>
      </w:r>
      <w:r w:rsidR="00223C49" w:rsidRPr="00D3089A">
        <w:t>Hemo</w:t>
      </w:r>
      <w:r w:rsidR="00113EC5" w:rsidRPr="00D3089A">
        <w:t>center.  All HIV+ SCD patients</w:t>
      </w:r>
      <w:r w:rsidR="008701E9">
        <w:t xml:space="preserve"> who are</w:t>
      </w:r>
      <w:r w:rsidR="00113EC5" w:rsidRPr="00D3089A">
        <w:t xml:space="preserve"> alive and treated by the </w:t>
      </w:r>
      <w:r w:rsidR="003C5D9A">
        <w:t xml:space="preserve">Brazilian </w:t>
      </w:r>
      <w:r w:rsidR="00113EC5" w:rsidRPr="00D3089A">
        <w:t>Hemocenter</w:t>
      </w:r>
      <w:r w:rsidR="003C5D9A">
        <w:t>s</w:t>
      </w:r>
      <w:r w:rsidR="00113EC5" w:rsidRPr="00D3089A">
        <w:t xml:space="preserve"> will be</w:t>
      </w:r>
      <w:r w:rsidRPr="00D3089A">
        <w:t xml:space="preserve"> </w:t>
      </w:r>
      <w:r w:rsidR="00113EC5" w:rsidRPr="00D3089A">
        <w:t>invited to participate in the study.  Eligible subjects will have the option to consent to</w:t>
      </w:r>
      <w:r w:rsidR="00A14609" w:rsidRPr="00D3089A">
        <w:t xml:space="preserve"> a medical record review and </w:t>
      </w:r>
      <w:r w:rsidR="00223C49" w:rsidRPr="00D3089A">
        <w:t xml:space="preserve">risk factor </w:t>
      </w:r>
      <w:r w:rsidR="00A14609" w:rsidRPr="00D3089A">
        <w:t>interview</w:t>
      </w:r>
      <w:r w:rsidR="00113EC5" w:rsidRPr="00D3089A">
        <w:t xml:space="preserve"> or only a medical record review.  Key data related to HIV and SCD outcomes will be collected from the </w:t>
      </w:r>
      <w:r w:rsidR="00D40C8B" w:rsidRPr="00D3089A">
        <w:t xml:space="preserve">subject’s </w:t>
      </w:r>
      <w:r w:rsidR="00113EC5" w:rsidRPr="00D3089A">
        <w:t>medical record. Approval will also be sought to perform a medical record review on all HIV+ SCD patients lost to follow up or deceased at time of study start to limit survival bias in the analysis.  Finally, to compare SCD outcomes between HIV+ and HIV- SCD patients</w:t>
      </w:r>
      <w:r w:rsidR="008701E9">
        <w:t xml:space="preserve"> in Brazil</w:t>
      </w:r>
      <w:r w:rsidR="00D3200A" w:rsidRPr="00D3089A">
        <w:t xml:space="preserve"> (Objective 2b)</w:t>
      </w:r>
      <w:r w:rsidR="00113EC5" w:rsidRPr="00D3089A">
        <w:t xml:space="preserve">, </w:t>
      </w:r>
      <w:r w:rsidRPr="00D3089A">
        <w:t>we will randomly select</w:t>
      </w:r>
      <w:r w:rsidR="00172686">
        <w:t xml:space="preserve"> </w:t>
      </w:r>
      <w:r w:rsidR="003C5D9A">
        <w:t xml:space="preserve">2 HIV negative </w:t>
      </w:r>
      <w:r w:rsidR="00172686">
        <w:t>controls matched by</w:t>
      </w:r>
      <w:r w:rsidRPr="00D3089A">
        <w:t xml:space="preserve"> age</w:t>
      </w:r>
      <w:r w:rsidR="00223C49" w:rsidRPr="00D3089A">
        <w:t xml:space="preserve"> (± 2 years)</w:t>
      </w:r>
      <w:r w:rsidRPr="00D3089A">
        <w:t xml:space="preserve">, gender, Hemocenter and SCD genotype from the REDS-III cohort for each </w:t>
      </w:r>
      <w:r w:rsidR="003C5D9A">
        <w:t xml:space="preserve">one </w:t>
      </w:r>
      <w:r w:rsidRPr="00D3089A">
        <w:t xml:space="preserve">identified HIV+ SCD patient. </w:t>
      </w:r>
      <w:r w:rsidR="00CD3A37" w:rsidRPr="00D3089A">
        <w:t xml:space="preserve"> </w:t>
      </w:r>
      <w:r w:rsidR="00D40C8B" w:rsidRPr="00D3089A">
        <w:t xml:space="preserve">Cohort patients have already consented to inclusion of their clinical/transfusion data in the REDS-III database for use in REDS-III studies, therefore </w:t>
      </w:r>
      <w:r w:rsidR="00D3200A" w:rsidRPr="00D3089A">
        <w:t xml:space="preserve">the HIV negative controls selected from the database </w:t>
      </w:r>
      <w:r w:rsidR="00D40C8B" w:rsidRPr="00D3089A">
        <w:t>will not require re-contact or</w:t>
      </w:r>
      <w:r w:rsidR="00C40ADF" w:rsidRPr="00D3089A">
        <w:t xml:space="preserve"> new informed consent. Key SCD outcomes will be compared between HIV+ SCD patients </w:t>
      </w:r>
      <w:r w:rsidR="00D3200A" w:rsidRPr="00D3089A">
        <w:t xml:space="preserve">enrolled into Objective 2 of this study </w:t>
      </w:r>
      <w:r w:rsidR="00C40ADF" w:rsidRPr="00D3089A">
        <w:t>and the HIV- matched controls selected from the REDS-III cohort.</w:t>
      </w:r>
    </w:p>
    <w:p w14:paraId="467FD264" w14:textId="77777777" w:rsidR="00135B05" w:rsidRDefault="00135B05" w:rsidP="00452A3A">
      <w:pPr>
        <w:pStyle w:val="Date"/>
        <w:widowControl w:val="0"/>
        <w:adjustRightInd w:val="0"/>
        <w:snapToGrid w:val="0"/>
        <w:jc w:val="both"/>
        <w:rPr>
          <w:color w:val="000000"/>
        </w:rPr>
      </w:pPr>
    </w:p>
    <w:p w14:paraId="438DF663" w14:textId="427F2B5E" w:rsidR="002A49E3" w:rsidRPr="00362665" w:rsidRDefault="002A49E3" w:rsidP="00362665">
      <w:r>
        <w:t>Table 1: Recruitment Populations</w:t>
      </w:r>
    </w:p>
    <w:tbl>
      <w:tblPr>
        <w:tblStyle w:val="TableGrid"/>
        <w:tblW w:w="0" w:type="auto"/>
        <w:tblLook w:val="04A0" w:firstRow="1" w:lastRow="0" w:firstColumn="1" w:lastColumn="0" w:noHBand="0" w:noVBand="1"/>
      </w:tblPr>
      <w:tblGrid>
        <w:gridCol w:w="2428"/>
        <w:gridCol w:w="2428"/>
        <w:gridCol w:w="2428"/>
        <w:gridCol w:w="2428"/>
      </w:tblGrid>
      <w:tr w:rsidR="009C4715" w14:paraId="3190ADEA" w14:textId="77777777" w:rsidTr="00114C9D">
        <w:trPr>
          <w:trHeight w:val="786"/>
        </w:trPr>
        <w:tc>
          <w:tcPr>
            <w:tcW w:w="2428" w:type="dxa"/>
          </w:tcPr>
          <w:p w14:paraId="372F291C" w14:textId="77777777" w:rsidR="009C4715" w:rsidRDefault="009C4715" w:rsidP="00114C9D">
            <w:r>
              <w:t>Study Population</w:t>
            </w:r>
          </w:p>
        </w:tc>
        <w:tc>
          <w:tcPr>
            <w:tcW w:w="2428" w:type="dxa"/>
          </w:tcPr>
          <w:p w14:paraId="2748ED0B" w14:textId="77777777" w:rsidR="009C4715" w:rsidRDefault="009C4715" w:rsidP="00114C9D">
            <w:r>
              <w:t>Recruitment Population</w:t>
            </w:r>
          </w:p>
        </w:tc>
        <w:tc>
          <w:tcPr>
            <w:tcW w:w="2428" w:type="dxa"/>
          </w:tcPr>
          <w:p w14:paraId="33BA789E" w14:textId="77777777" w:rsidR="009C4715" w:rsidRDefault="009C4715" w:rsidP="00114C9D">
            <w:r>
              <w:t>Estimated Size of Recruitment Population</w:t>
            </w:r>
          </w:p>
        </w:tc>
        <w:tc>
          <w:tcPr>
            <w:tcW w:w="2428" w:type="dxa"/>
          </w:tcPr>
          <w:p w14:paraId="13B21307" w14:textId="77777777" w:rsidR="009C4715" w:rsidRDefault="009C4715" w:rsidP="00114C9D">
            <w:r>
              <w:t>Number to Enroll</w:t>
            </w:r>
          </w:p>
        </w:tc>
      </w:tr>
      <w:tr w:rsidR="009C4715" w14:paraId="62BF6EBD" w14:textId="77777777" w:rsidTr="00114C9D">
        <w:trPr>
          <w:trHeight w:val="263"/>
        </w:trPr>
        <w:tc>
          <w:tcPr>
            <w:tcW w:w="9712" w:type="dxa"/>
            <w:gridSpan w:val="4"/>
          </w:tcPr>
          <w:p w14:paraId="166CB098" w14:textId="77777777" w:rsidR="009C4715" w:rsidRPr="00553551" w:rsidRDefault="009C4715" w:rsidP="00114C9D">
            <w:pPr>
              <w:rPr>
                <w:b/>
              </w:rPr>
            </w:pPr>
            <w:r w:rsidRPr="00553551">
              <w:rPr>
                <w:b/>
              </w:rPr>
              <w:t>Objective 1: HIV risk compared between SCD and non-SCD</w:t>
            </w:r>
          </w:p>
        </w:tc>
      </w:tr>
      <w:tr w:rsidR="009C4715" w14:paraId="577A90BE" w14:textId="77777777" w:rsidTr="00114C9D">
        <w:trPr>
          <w:trHeight w:val="247"/>
        </w:trPr>
        <w:tc>
          <w:tcPr>
            <w:tcW w:w="2428" w:type="dxa"/>
          </w:tcPr>
          <w:p w14:paraId="6508395A" w14:textId="77777777" w:rsidR="009C4715" w:rsidRDefault="009C4715" w:rsidP="00114C9D">
            <w:pPr>
              <w:jc w:val="right"/>
            </w:pPr>
            <w:r>
              <w:t>Case (SCD)</w:t>
            </w:r>
          </w:p>
        </w:tc>
        <w:tc>
          <w:tcPr>
            <w:tcW w:w="2428" w:type="dxa"/>
          </w:tcPr>
          <w:p w14:paraId="078D12BB" w14:textId="77777777" w:rsidR="009C4715" w:rsidRDefault="009C4715" w:rsidP="00114C9D">
            <w:r>
              <w:t>REDS-III Cohort</w:t>
            </w:r>
          </w:p>
        </w:tc>
        <w:tc>
          <w:tcPr>
            <w:tcW w:w="2428" w:type="dxa"/>
          </w:tcPr>
          <w:p w14:paraId="4A144C07" w14:textId="77777777" w:rsidR="009C4715" w:rsidRDefault="009C4715" w:rsidP="00114C9D">
            <w:r>
              <w:t>1500</w:t>
            </w:r>
          </w:p>
        </w:tc>
        <w:tc>
          <w:tcPr>
            <w:tcW w:w="2428" w:type="dxa"/>
          </w:tcPr>
          <w:p w14:paraId="07B575F3" w14:textId="77777777" w:rsidR="009C4715" w:rsidRDefault="009C4715" w:rsidP="00114C9D">
            <w:r>
              <w:t>150</w:t>
            </w:r>
          </w:p>
        </w:tc>
      </w:tr>
      <w:tr w:rsidR="009C4715" w14:paraId="6BF1CA2C" w14:textId="77777777" w:rsidTr="00114C9D">
        <w:trPr>
          <w:trHeight w:val="523"/>
        </w:trPr>
        <w:tc>
          <w:tcPr>
            <w:tcW w:w="2428" w:type="dxa"/>
            <w:tcBorders>
              <w:bottom w:val="single" w:sz="4" w:space="0" w:color="auto"/>
            </w:tcBorders>
          </w:tcPr>
          <w:p w14:paraId="140F9BF9" w14:textId="77777777" w:rsidR="009C4715" w:rsidRDefault="009C4715" w:rsidP="00114C9D">
            <w:pPr>
              <w:jc w:val="right"/>
            </w:pPr>
            <w:r>
              <w:t>Control (non-SCD)</w:t>
            </w:r>
          </w:p>
        </w:tc>
        <w:tc>
          <w:tcPr>
            <w:tcW w:w="2428" w:type="dxa"/>
            <w:tcBorders>
              <w:bottom w:val="single" w:sz="4" w:space="0" w:color="auto"/>
            </w:tcBorders>
          </w:tcPr>
          <w:p w14:paraId="35DF55DB" w14:textId="77777777" w:rsidR="009C4715" w:rsidRDefault="009C4715" w:rsidP="00114C9D">
            <w:r>
              <w:t>SCD Advocacy Groups</w:t>
            </w:r>
          </w:p>
        </w:tc>
        <w:tc>
          <w:tcPr>
            <w:tcW w:w="2428" w:type="dxa"/>
            <w:tcBorders>
              <w:bottom w:val="single" w:sz="4" w:space="0" w:color="auto"/>
            </w:tcBorders>
          </w:tcPr>
          <w:p w14:paraId="53ED8774" w14:textId="4CA85A49" w:rsidR="009C4715" w:rsidRDefault="00B92294" w:rsidP="00114C9D">
            <w:r>
              <w:t>3000</w:t>
            </w:r>
          </w:p>
        </w:tc>
        <w:tc>
          <w:tcPr>
            <w:tcW w:w="2428" w:type="dxa"/>
            <w:tcBorders>
              <w:bottom w:val="single" w:sz="4" w:space="0" w:color="auto"/>
            </w:tcBorders>
          </w:tcPr>
          <w:p w14:paraId="5A723F43" w14:textId="77777777" w:rsidR="009C4715" w:rsidRDefault="009C4715" w:rsidP="00114C9D">
            <w:r>
              <w:t>150</w:t>
            </w:r>
          </w:p>
        </w:tc>
      </w:tr>
      <w:tr w:rsidR="009C4715" w14:paraId="530971C4" w14:textId="77777777" w:rsidTr="00114C9D">
        <w:trPr>
          <w:trHeight w:val="263"/>
        </w:trPr>
        <w:tc>
          <w:tcPr>
            <w:tcW w:w="9712" w:type="dxa"/>
            <w:gridSpan w:val="4"/>
            <w:shd w:val="clear" w:color="auto" w:fill="CCCCCC"/>
          </w:tcPr>
          <w:p w14:paraId="35E5FC36" w14:textId="77777777" w:rsidR="009C4715" w:rsidRDefault="009C4715" w:rsidP="00114C9D"/>
        </w:tc>
      </w:tr>
      <w:tr w:rsidR="009C4715" w14:paraId="3A49E7CB" w14:textId="77777777" w:rsidTr="00114C9D">
        <w:trPr>
          <w:trHeight w:val="247"/>
        </w:trPr>
        <w:tc>
          <w:tcPr>
            <w:tcW w:w="9712" w:type="dxa"/>
            <w:gridSpan w:val="4"/>
          </w:tcPr>
          <w:p w14:paraId="2C5E575A" w14:textId="77777777" w:rsidR="009C4715" w:rsidRPr="00553551" w:rsidRDefault="009C4715" w:rsidP="00114C9D">
            <w:pPr>
              <w:rPr>
                <w:b/>
              </w:rPr>
            </w:pPr>
            <w:r w:rsidRPr="00553551">
              <w:rPr>
                <w:b/>
              </w:rPr>
              <w:t>Objective 2. Case series description of HIV+ SCD subjects</w:t>
            </w:r>
          </w:p>
        </w:tc>
      </w:tr>
      <w:tr w:rsidR="009C4715" w14:paraId="51613300" w14:textId="77777777" w:rsidTr="00114C9D">
        <w:trPr>
          <w:trHeight w:val="523"/>
        </w:trPr>
        <w:tc>
          <w:tcPr>
            <w:tcW w:w="2428" w:type="dxa"/>
            <w:tcBorders>
              <w:bottom w:val="single" w:sz="4" w:space="0" w:color="auto"/>
            </w:tcBorders>
          </w:tcPr>
          <w:p w14:paraId="404E3741" w14:textId="77777777" w:rsidR="009C4715" w:rsidRDefault="009C4715" w:rsidP="00114C9D">
            <w:pPr>
              <w:jc w:val="right"/>
            </w:pPr>
            <w:r>
              <w:t>HIV + SCD</w:t>
            </w:r>
          </w:p>
        </w:tc>
        <w:tc>
          <w:tcPr>
            <w:tcW w:w="2428" w:type="dxa"/>
            <w:tcBorders>
              <w:bottom w:val="single" w:sz="4" w:space="0" w:color="auto"/>
            </w:tcBorders>
          </w:tcPr>
          <w:p w14:paraId="13AA90A8" w14:textId="77777777" w:rsidR="009C4715" w:rsidRDefault="009C4715" w:rsidP="00114C9D">
            <w:r>
              <w:t>HIV+ SCD treated at Hemocenters</w:t>
            </w:r>
          </w:p>
        </w:tc>
        <w:tc>
          <w:tcPr>
            <w:tcW w:w="2428" w:type="dxa"/>
            <w:tcBorders>
              <w:bottom w:val="single" w:sz="4" w:space="0" w:color="auto"/>
            </w:tcBorders>
          </w:tcPr>
          <w:p w14:paraId="117C40EB" w14:textId="22C57F0A" w:rsidR="009C4715" w:rsidRDefault="009C4715" w:rsidP="00114C9D">
            <w:r>
              <w:t>25-35</w:t>
            </w:r>
          </w:p>
        </w:tc>
        <w:tc>
          <w:tcPr>
            <w:tcW w:w="2428" w:type="dxa"/>
            <w:tcBorders>
              <w:bottom w:val="single" w:sz="4" w:space="0" w:color="auto"/>
            </w:tcBorders>
          </w:tcPr>
          <w:p w14:paraId="66D34093" w14:textId="719C78D6" w:rsidR="009C4715" w:rsidRDefault="009C4715" w:rsidP="00114C9D">
            <w:r>
              <w:t>All eligible will be recruited</w:t>
            </w:r>
            <w:r w:rsidR="00B92294">
              <w:t>, estimate 25</w:t>
            </w:r>
          </w:p>
        </w:tc>
      </w:tr>
      <w:tr w:rsidR="009C4715" w14:paraId="0B1474A5" w14:textId="77777777" w:rsidTr="00114C9D">
        <w:trPr>
          <w:trHeight w:val="263"/>
        </w:trPr>
        <w:tc>
          <w:tcPr>
            <w:tcW w:w="9712" w:type="dxa"/>
            <w:gridSpan w:val="4"/>
            <w:shd w:val="clear" w:color="auto" w:fill="CCCCCC"/>
          </w:tcPr>
          <w:p w14:paraId="18EE5A8C" w14:textId="77777777" w:rsidR="009C4715" w:rsidRDefault="009C4715" w:rsidP="00114C9D"/>
        </w:tc>
      </w:tr>
      <w:tr w:rsidR="009C4715" w14:paraId="5EA7C6C4" w14:textId="77777777" w:rsidTr="00114C9D">
        <w:trPr>
          <w:trHeight w:val="247"/>
        </w:trPr>
        <w:tc>
          <w:tcPr>
            <w:tcW w:w="9712" w:type="dxa"/>
            <w:gridSpan w:val="4"/>
          </w:tcPr>
          <w:p w14:paraId="2ACB91DE" w14:textId="77777777" w:rsidR="009C4715" w:rsidRPr="00553551" w:rsidRDefault="009C4715" w:rsidP="00114C9D">
            <w:pPr>
              <w:rPr>
                <w:b/>
              </w:rPr>
            </w:pPr>
            <w:r w:rsidRPr="00553551">
              <w:rPr>
                <w:b/>
              </w:rPr>
              <w:t>Objective 3.  SCD outcomes compared between HIV+ and HIV- SCD</w:t>
            </w:r>
          </w:p>
        </w:tc>
      </w:tr>
      <w:tr w:rsidR="009C4715" w14:paraId="72EEAC9E" w14:textId="77777777" w:rsidTr="00114C9D">
        <w:trPr>
          <w:trHeight w:val="523"/>
        </w:trPr>
        <w:tc>
          <w:tcPr>
            <w:tcW w:w="2428" w:type="dxa"/>
          </w:tcPr>
          <w:p w14:paraId="6581343A" w14:textId="77777777" w:rsidR="009C4715" w:rsidRDefault="009C4715" w:rsidP="00114C9D">
            <w:pPr>
              <w:jc w:val="right"/>
            </w:pPr>
            <w:r>
              <w:t>Case (HIV+)</w:t>
            </w:r>
          </w:p>
        </w:tc>
        <w:tc>
          <w:tcPr>
            <w:tcW w:w="2428" w:type="dxa"/>
          </w:tcPr>
          <w:p w14:paraId="28BD8BE9" w14:textId="77777777" w:rsidR="009C4715" w:rsidRDefault="009C4715" w:rsidP="00114C9D">
            <w:r>
              <w:t>Objective 2 Cases</w:t>
            </w:r>
          </w:p>
        </w:tc>
        <w:tc>
          <w:tcPr>
            <w:tcW w:w="2428" w:type="dxa"/>
          </w:tcPr>
          <w:p w14:paraId="0AAD2045" w14:textId="0DA7707D" w:rsidR="009C4715" w:rsidRDefault="009C4715" w:rsidP="00114C9D">
            <w:r>
              <w:t>25-35</w:t>
            </w:r>
          </w:p>
        </w:tc>
        <w:tc>
          <w:tcPr>
            <w:tcW w:w="2428" w:type="dxa"/>
          </w:tcPr>
          <w:p w14:paraId="2EBBBA81" w14:textId="1AD48D2D" w:rsidR="009C4715" w:rsidRDefault="009C4715" w:rsidP="00114C9D">
            <w:r>
              <w:t>All eligible will be recruited</w:t>
            </w:r>
            <w:r w:rsidR="00B92294">
              <w:t>, estimate 25</w:t>
            </w:r>
          </w:p>
        </w:tc>
      </w:tr>
      <w:tr w:rsidR="009C4715" w14:paraId="03CB2134" w14:textId="77777777" w:rsidTr="00114C9D">
        <w:trPr>
          <w:trHeight w:val="523"/>
        </w:trPr>
        <w:tc>
          <w:tcPr>
            <w:tcW w:w="2428" w:type="dxa"/>
          </w:tcPr>
          <w:p w14:paraId="49612DB9" w14:textId="77777777" w:rsidR="009C4715" w:rsidRDefault="009C4715" w:rsidP="00114C9D">
            <w:pPr>
              <w:jc w:val="right"/>
            </w:pPr>
            <w:r>
              <w:t>Control (HIV-)</w:t>
            </w:r>
          </w:p>
        </w:tc>
        <w:tc>
          <w:tcPr>
            <w:tcW w:w="2428" w:type="dxa"/>
          </w:tcPr>
          <w:p w14:paraId="3023E3A8" w14:textId="77777777" w:rsidR="009C4715" w:rsidRDefault="009C4715" w:rsidP="00114C9D">
            <w:r>
              <w:t>REDS-III Cohort</w:t>
            </w:r>
          </w:p>
        </w:tc>
        <w:tc>
          <w:tcPr>
            <w:tcW w:w="2428" w:type="dxa"/>
          </w:tcPr>
          <w:p w14:paraId="6BE16883" w14:textId="77777777" w:rsidR="009C4715" w:rsidRDefault="009C4715" w:rsidP="00114C9D">
            <w:r>
              <w:t>1500</w:t>
            </w:r>
          </w:p>
        </w:tc>
        <w:tc>
          <w:tcPr>
            <w:tcW w:w="2428" w:type="dxa"/>
          </w:tcPr>
          <w:p w14:paraId="41736A8B" w14:textId="7A1BB624" w:rsidR="009C4715" w:rsidRDefault="009C4715" w:rsidP="00114C9D">
            <w:r>
              <w:t xml:space="preserve">2 controls for </w:t>
            </w:r>
            <w:r w:rsidR="001261A7">
              <w:t>each identified</w:t>
            </w:r>
            <w:r>
              <w:t xml:space="preserve"> case</w:t>
            </w:r>
          </w:p>
        </w:tc>
      </w:tr>
    </w:tbl>
    <w:p w14:paraId="444FBF9F" w14:textId="77777777" w:rsidR="002A49E3" w:rsidRPr="00362665" w:rsidRDefault="002A49E3" w:rsidP="00362665"/>
    <w:p w14:paraId="4FB6E7DB" w14:textId="77777777" w:rsidR="000319C5" w:rsidRPr="00D3089A" w:rsidRDefault="000319C5" w:rsidP="00452A3A">
      <w:pPr>
        <w:widowControl w:val="0"/>
        <w:adjustRightInd w:val="0"/>
        <w:snapToGrid w:val="0"/>
        <w:jc w:val="both"/>
        <w:rPr>
          <w:b/>
          <w:iCs/>
          <w:color w:val="000000"/>
          <w:u w:val="single"/>
        </w:rPr>
      </w:pPr>
    </w:p>
    <w:p w14:paraId="30B73260" w14:textId="77777777" w:rsidR="00135B05" w:rsidRPr="00D3089A" w:rsidRDefault="00135B05" w:rsidP="00452A3A">
      <w:pPr>
        <w:widowControl w:val="0"/>
        <w:adjustRightInd w:val="0"/>
        <w:snapToGrid w:val="0"/>
        <w:jc w:val="both"/>
        <w:rPr>
          <w:b/>
          <w:color w:val="000000"/>
          <w:u w:val="single"/>
        </w:rPr>
      </w:pPr>
      <w:r w:rsidRPr="00D3089A">
        <w:rPr>
          <w:b/>
          <w:iCs/>
          <w:color w:val="000000"/>
          <w:u w:val="single"/>
        </w:rPr>
        <w:t>Inclusion &amp; Exclusion Criteria</w:t>
      </w:r>
      <w:r w:rsidR="00EE391B" w:rsidRPr="00D3089A">
        <w:rPr>
          <w:b/>
          <w:iCs/>
          <w:color w:val="000000"/>
          <w:u w:val="single"/>
        </w:rPr>
        <w:t xml:space="preserve"> Objective One</w:t>
      </w:r>
      <w:r w:rsidR="00A14609" w:rsidRPr="00D3089A">
        <w:rPr>
          <w:b/>
          <w:iCs/>
          <w:color w:val="000000"/>
          <w:u w:val="single"/>
        </w:rPr>
        <w:t xml:space="preserve"> (Characterize risk of HIV in SCD)</w:t>
      </w:r>
      <w:r w:rsidRPr="00D3089A">
        <w:rPr>
          <w:b/>
          <w:color w:val="000000"/>
          <w:u w:val="single"/>
        </w:rPr>
        <w:t>:</w:t>
      </w:r>
    </w:p>
    <w:p w14:paraId="7F1463DD" w14:textId="77777777" w:rsidR="00D562A4" w:rsidRPr="00D3089A" w:rsidRDefault="00D562A4" w:rsidP="00452A3A">
      <w:pPr>
        <w:widowControl w:val="0"/>
        <w:adjustRightInd w:val="0"/>
        <w:snapToGrid w:val="0"/>
        <w:jc w:val="both"/>
        <w:rPr>
          <w:b/>
          <w:color w:val="000000"/>
          <w:u w:val="single"/>
        </w:rPr>
      </w:pPr>
    </w:p>
    <w:p w14:paraId="4C481111" w14:textId="77777777" w:rsidR="00EE391B" w:rsidRPr="00D3089A" w:rsidRDefault="0012598F" w:rsidP="00452A3A">
      <w:pPr>
        <w:widowControl w:val="0"/>
        <w:adjustRightInd w:val="0"/>
        <w:snapToGrid w:val="0"/>
        <w:spacing w:after="120"/>
        <w:ind w:firstLine="720"/>
        <w:jc w:val="both"/>
        <w:rPr>
          <w:b/>
          <w:color w:val="000000"/>
        </w:rPr>
      </w:pPr>
      <w:r w:rsidRPr="00D3089A">
        <w:rPr>
          <w:b/>
          <w:color w:val="000000"/>
        </w:rPr>
        <w:t xml:space="preserve">SCD </w:t>
      </w:r>
      <w:r w:rsidR="00EE391B" w:rsidRPr="00D3089A">
        <w:rPr>
          <w:b/>
          <w:color w:val="000000"/>
        </w:rPr>
        <w:t>Cases</w:t>
      </w:r>
    </w:p>
    <w:p w14:paraId="03C395B7" w14:textId="77777777" w:rsidR="00135B05" w:rsidRPr="00D3089A" w:rsidRDefault="00EE391B" w:rsidP="00452A3A">
      <w:pPr>
        <w:pStyle w:val="ListParagraph"/>
        <w:widowControl w:val="0"/>
        <w:numPr>
          <w:ilvl w:val="0"/>
          <w:numId w:val="1"/>
        </w:numPr>
        <w:adjustRightInd w:val="0"/>
        <w:snapToGrid w:val="0"/>
        <w:spacing w:after="120"/>
        <w:ind w:left="1440" w:hanging="720"/>
        <w:jc w:val="both"/>
        <w:rPr>
          <w:b/>
          <w:iCs/>
          <w:color w:val="000000"/>
          <w:u w:val="single"/>
        </w:rPr>
      </w:pPr>
      <w:r w:rsidRPr="00D3089A">
        <w:rPr>
          <w:iCs/>
          <w:color w:val="000000"/>
        </w:rPr>
        <w:t>SCD (any genotype) patients enrolled into the REDS-III Brazilian SCD Cohort</w:t>
      </w:r>
    </w:p>
    <w:p w14:paraId="01534D79" w14:textId="77777777" w:rsidR="00EE391B" w:rsidRPr="00D3089A" w:rsidRDefault="00EE391B" w:rsidP="00452A3A">
      <w:pPr>
        <w:pStyle w:val="ListParagraph"/>
        <w:widowControl w:val="0"/>
        <w:numPr>
          <w:ilvl w:val="0"/>
          <w:numId w:val="1"/>
        </w:numPr>
        <w:adjustRightInd w:val="0"/>
        <w:snapToGrid w:val="0"/>
        <w:spacing w:after="120"/>
        <w:ind w:left="1440" w:hanging="720"/>
        <w:jc w:val="both"/>
        <w:rPr>
          <w:b/>
          <w:iCs/>
          <w:color w:val="000000"/>
          <w:u w:val="single"/>
        </w:rPr>
      </w:pPr>
      <w:r w:rsidRPr="00D3089A">
        <w:rPr>
          <w:iCs/>
          <w:color w:val="000000"/>
        </w:rPr>
        <w:t xml:space="preserve">Age </w:t>
      </w:r>
      <w:r w:rsidRPr="00D3089A">
        <w:sym w:font="Symbol" w:char="F0B3"/>
      </w:r>
      <w:r w:rsidRPr="00D3089A">
        <w:t>18 years</w:t>
      </w:r>
    </w:p>
    <w:p w14:paraId="73CFD313" w14:textId="77777777" w:rsidR="00EE391B" w:rsidRPr="00D3089A" w:rsidRDefault="0012598F" w:rsidP="00452A3A">
      <w:pPr>
        <w:widowControl w:val="0"/>
        <w:adjustRightInd w:val="0"/>
        <w:snapToGrid w:val="0"/>
        <w:spacing w:after="120"/>
        <w:ind w:left="720"/>
        <w:jc w:val="both"/>
        <w:rPr>
          <w:b/>
          <w:iCs/>
          <w:color w:val="000000"/>
        </w:rPr>
      </w:pPr>
      <w:r w:rsidRPr="00D3089A">
        <w:rPr>
          <w:b/>
          <w:iCs/>
          <w:color w:val="000000"/>
        </w:rPr>
        <w:t xml:space="preserve">Non-SCD </w:t>
      </w:r>
      <w:r w:rsidR="00EE391B" w:rsidRPr="00D3089A">
        <w:rPr>
          <w:b/>
          <w:iCs/>
          <w:color w:val="000000"/>
        </w:rPr>
        <w:t>Controls</w:t>
      </w:r>
    </w:p>
    <w:p w14:paraId="06E181FC" w14:textId="77777777" w:rsidR="0012598F" w:rsidRPr="00D3089A" w:rsidRDefault="00EE391B" w:rsidP="00452A3A">
      <w:pPr>
        <w:pStyle w:val="ListParagraph"/>
        <w:numPr>
          <w:ilvl w:val="0"/>
          <w:numId w:val="5"/>
        </w:numPr>
        <w:ind w:firstLine="0"/>
        <w:jc w:val="both"/>
      </w:pPr>
      <w:r w:rsidRPr="00D3089A">
        <w:t>Age</w:t>
      </w:r>
      <w:r w:rsidRPr="00D3089A">
        <w:sym w:font="Symbol" w:char="F0B3"/>
      </w:r>
      <w:r w:rsidRPr="00D3089A">
        <w:t xml:space="preserve"> 18 years with the number of controls matching the number of cases in each 5-year </w:t>
      </w:r>
      <w:r w:rsidR="0012598F" w:rsidRPr="00D3089A">
        <w:t xml:space="preserve">   </w:t>
      </w:r>
    </w:p>
    <w:p w14:paraId="144445CA" w14:textId="77777777" w:rsidR="00EE391B" w:rsidRPr="00D3089A" w:rsidRDefault="0012598F" w:rsidP="00452A3A">
      <w:pPr>
        <w:pStyle w:val="ListParagraph"/>
        <w:jc w:val="both"/>
      </w:pPr>
      <w:r w:rsidRPr="00D3089A">
        <w:t xml:space="preserve">            </w:t>
      </w:r>
      <w:proofErr w:type="gramStart"/>
      <w:r w:rsidR="00EE391B" w:rsidRPr="00D3089A">
        <w:t>age</w:t>
      </w:r>
      <w:proofErr w:type="gramEnd"/>
      <w:r w:rsidR="00EE391B" w:rsidRPr="00D3089A">
        <w:t xml:space="preserve"> stratum</w:t>
      </w:r>
    </w:p>
    <w:p w14:paraId="1A36146D" w14:textId="21D8AF43" w:rsidR="00EE391B" w:rsidRPr="00D3089A" w:rsidRDefault="009E79B2" w:rsidP="00452A3A">
      <w:pPr>
        <w:pStyle w:val="ListParagraph"/>
        <w:numPr>
          <w:ilvl w:val="0"/>
          <w:numId w:val="5"/>
        </w:numPr>
        <w:ind w:firstLine="0"/>
        <w:jc w:val="both"/>
      </w:pPr>
      <w:r w:rsidRPr="00D3089A">
        <w:t>Frequency m</w:t>
      </w:r>
      <w:r w:rsidR="00EE391B" w:rsidRPr="00D3089A">
        <w:t>atched by Hemocenter</w:t>
      </w:r>
    </w:p>
    <w:p w14:paraId="27BA5C5C" w14:textId="77777777" w:rsidR="00EE391B" w:rsidRPr="00D3089A" w:rsidRDefault="00EE391B" w:rsidP="00452A3A">
      <w:pPr>
        <w:pStyle w:val="ListParagraph"/>
        <w:widowControl w:val="0"/>
        <w:numPr>
          <w:ilvl w:val="0"/>
          <w:numId w:val="4"/>
        </w:numPr>
        <w:adjustRightInd w:val="0"/>
        <w:snapToGrid w:val="0"/>
        <w:spacing w:after="120"/>
        <w:jc w:val="both"/>
        <w:rPr>
          <w:iCs/>
          <w:color w:val="000000"/>
        </w:rPr>
      </w:pPr>
      <w:r w:rsidRPr="00D3089A">
        <w:rPr>
          <w:iCs/>
          <w:color w:val="000000"/>
        </w:rPr>
        <w:t xml:space="preserve">      No sickle cell disease by self-report or by confirmatory testing </w:t>
      </w:r>
    </w:p>
    <w:p w14:paraId="33760931" w14:textId="77777777" w:rsidR="00EE391B" w:rsidRPr="00D3089A" w:rsidRDefault="0012598F" w:rsidP="00452A3A">
      <w:pPr>
        <w:pStyle w:val="ListParagraph"/>
        <w:widowControl w:val="0"/>
        <w:tabs>
          <w:tab w:val="left" w:pos="4520"/>
        </w:tabs>
        <w:adjustRightInd w:val="0"/>
        <w:snapToGrid w:val="0"/>
        <w:spacing w:after="120"/>
        <w:ind w:left="1080"/>
        <w:jc w:val="both"/>
        <w:rPr>
          <w:iCs/>
          <w:color w:val="000000"/>
        </w:rPr>
      </w:pPr>
      <w:r w:rsidRPr="00D3089A">
        <w:rPr>
          <w:iCs/>
          <w:color w:val="000000"/>
        </w:rPr>
        <w:tab/>
      </w:r>
    </w:p>
    <w:p w14:paraId="524B797C" w14:textId="77777777" w:rsidR="0012598F" w:rsidRPr="00D3089A" w:rsidRDefault="0012598F" w:rsidP="00452A3A">
      <w:pPr>
        <w:widowControl w:val="0"/>
        <w:adjustRightInd w:val="0"/>
        <w:snapToGrid w:val="0"/>
        <w:jc w:val="both"/>
        <w:rPr>
          <w:b/>
          <w:color w:val="000000"/>
          <w:u w:val="single"/>
        </w:rPr>
      </w:pPr>
      <w:r w:rsidRPr="00D3089A">
        <w:rPr>
          <w:b/>
          <w:iCs/>
          <w:color w:val="000000"/>
          <w:u w:val="single"/>
        </w:rPr>
        <w:t>Inclusion &amp; Exclusion Criteria Objective Two</w:t>
      </w:r>
      <w:r w:rsidR="00A14609" w:rsidRPr="00D3089A">
        <w:rPr>
          <w:b/>
          <w:iCs/>
          <w:color w:val="000000"/>
          <w:u w:val="single"/>
        </w:rPr>
        <w:t xml:space="preserve"> (Characterize HIV Outcomes in SCD and Compare SCD Outcomes Between HIV+ and HIV- SCD)</w:t>
      </w:r>
      <w:r w:rsidRPr="00D3089A">
        <w:rPr>
          <w:b/>
          <w:color w:val="000000"/>
          <w:u w:val="single"/>
        </w:rPr>
        <w:t>:</w:t>
      </w:r>
    </w:p>
    <w:p w14:paraId="34807E56" w14:textId="77777777" w:rsidR="0012598F" w:rsidRPr="00D3089A" w:rsidRDefault="0012598F" w:rsidP="00452A3A">
      <w:pPr>
        <w:widowControl w:val="0"/>
        <w:adjustRightInd w:val="0"/>
        <w:snapToGrid w:val="0"/>
        <w:jc w:val="both"/>
        <w:rPr>
          <w:b/>
          <w:color w:val="000000"/>
          <w:u w:val="single"/>
        </w:rPr>
      </w:pPr>
    </w:p>
    <w:p w14:paraId="407B7F7C" w14:textId="01C171F8" w:rsidR="0012598F" w:rsidRPr="00D3089A" w:rsidRDefault="0012598F" w:rsidP="00452A3A">
      <w:pPr>
        <w:widowControl w:val="0"/>
        <w:adjustRightInd w:val="0"/>
        <w:snapToGrid w:val="0"/>
        <w:spacing w:after="120"/>
        <w:ind w:firstLine="720"/>
        <w:jc w:val="both"/>
        <w:rPr>
          <w:b/>
          <w:color w:val="000000"/>
        </w:rPr>
      </w:pPr>
      <w:r w:rsidRPr="00D3089A">
        <w:rPr>
          <w:b/>
          <w:color w:val="000000"/>
        </w:rPr>
        <w:t>HIV sero-positive Cases</w:t>
      </w:r>
      <w:r w:rsidR="00D3200A" w:rsidRPr="00D3089A">
        <w:rPr>
          <w:b/>
          <w:color w:val="000000"/>
        </w:rPr>
        <w:t xml:space="preserve"> (Included in Objectives 2a and 2b)</w:t>
      </w:r>
    </w:p>
    <w:p w14:paraId="5CD69482" w14:textId="77777777" w:rsidR="00935DFF" w:rsidRPr="00D3089A" w:rsidRDefault="00935DFF" w:rsidP="00452A3A">
      <w:pPr>
        <w:pStyle w:val="ListParagraph"/>
        <w:widowControl w:val="0"/>
        <w:numPr>
          <w:ilvl w:val="0"/>
          <w:numId w:val="4"/>
        </w:numPr>
        <w:adjustRightInd w:val="0"/>
        <w:snapToGrid w:val="0"/>
        <w:spacing w:after="120"/>
        <w:jc w:val="both"/>
        <w:rPr>
          <w:b/>
          <w:iCs/>
          <w:color w:val="000000"/>
          <w:u w:val="single"/>
        </w:rPr>
      </w:pPr>
      <w:r w:rsidRPr="00D3089A">
        <w:rPr>
          <w:iCs/>
          <w:color w:val="000000"/>
        </w:rPr>
        <w:t xml:space="preserve">     </w:t>
      </w:r>
      <w:r w:rsidR="0012598F" w:rsidRPr="00D3089A">
        <w:rPr>
          <w:iCs/>
          <w:color w:val="000000"/>
        </w:rPr>
        <w:t xml:space="preserve">SCD (any genotype) treated by REDS-III Hemocenter for at least 1 year in the past 10 </w:t>
      </w:r>
    </w:p>
    <w:p w14:paraId="2F0C1E9D" w14:textId="77777777" w:rsidR="0012598F" w:rsidRPr="00D3089A" w:rsidRDefault="00935DFF" w:rsidP="00452A3A">
      <w:pPr>
        <w:pStyle w:val="ListParagraph"/>
        <w:widowControl w:val="0"/>
        <w:adjustRightInd w:val="0"/>
        <w:snapToGrid w:val="0"/>
        <w:spacing w:after="120"/>
        <w:ind w:left="1080"/>
        <w:jc w:val="both"/>
        <w:rPr>
          <w:b/>
          <w:iCs/>
          <w:color w:val="000000"/>
          <w:u w:val="single"/>
        </w:rPr>
      </w:pPr>
      <w:r w:rsidRPr="00D3089A">
        <w:rPr>
          <w:iCs/>
          <w:color w:val="000000"/>
        </w:rPr>
        <w:t xml:space="preserve">     </w:t>
      </w:r>
      <w:proofErr w:type="gramStart"/>
      <w:r w:rsidR="0012598F" w:rsidRPr="00D3089A">
        <w:rPr>
          <w:iCs/>
          <w:color w:val="000000"/>
        </w:rPr>
        <w:t>years</w:t>
      </w:r>
      <w:proofErr w:type="gramEnd"/>
    </w:p>
    <w:p w14:paraId="7EFF2946" w14:textId="77777777" w:rsidR="0012598F" w:rsidRPr="00D3089A" w:rsidRDefault="0012598F" w:rsidP="00452A3A">
      <w:pPr>
        <w:pStyle w:val="ListParagraph"/>
        <w:numPr>
          <w:ilvl w:val="0"/>
          <w:numId w:val="1"/>
        </w:numPr>
        <w:jc w:val="both"/>
      </w:pPr>
      <w:r w:rsidRPr="00D3089A">
        <w:t xml:space="preserve">     Diagnosed with HIV within 10 years of study start.  Diagnosis of HIV must be </w:t>
      </w:r>
    </w:p>
    <w:p w14:paraId="1DDF6422" w14:textId="77777777" w:rsidR="0012598F" w:rsidRPr="00D3089A" w:rsidRDefault="0012598F" w:rsidP="00452A3A">
      <w:pPr>
        <w:pStyle w:val="ListParagraph"/>
        <w:ind w:left="1080"/>
        <w:jc w:val="both"/>
      </w:pPr>
      <w:r w:rsidRPr="00D3089A">
        <w:t xml:space="preserve">     </w:t>
      </w:r>
      <w:proofErr w:type="gramStart"/>
      <w:r w:rsidRPr="00D3089A">
        <w:t>confirmed</w:t>
      </w:r>
      <w:proofErr w:type="gramEnd"/>
      <w:r w:rsidRPr="00D3089A">
        <w:t xml:space="preserve"> by positive results on two separate HIV testing platforms including any two </w:t>
      </w:r>
    </w:p>
    <w:p w14:paraId="1E113004" w14:textId="77777777" w:rsidR="0012598F" w:rsidRPr="00D3089A" w:rsidRDefault="0012598F" w:rsidP="00452A3A">
      <w:pPr>
        <w:pStyle w:val="ListParagraph"/>
        <w:ind w:left="1080"/>
        <w:jc w:val="both"/>
      </w:pPr>
      <w:r w:rsidRPr="00D3089A">
        <w:t xml:space="preserve">     </w:t>
      </w:r>
      <w:proofErr w:type="gramStart"/>
      <w:r w:rsidRPr="00D3089A">
        <w:t>of</w:t>
      </w:r>
      <w:proofErr w:type="gramEnd"/>
      <w:r w:rsidRPr="00D3089A">
        <w:t xml:space="preserve"> the below:  </w:t>
      </w:r>
    </w:p>
    <w:p w14:paraId="146BBDC2" w14:textId="77777777" w:rsidR="0012598F" w:rsidRPr="00D3089A" w:rsidRDefault="0012598F" w:rsidP="00452A3A">
      <w:pPr>
        <w:pStyle w:val="ListParagraph"/>
        <w:numPr>
          <w:ilvl w:val="1"/>
          <w:numId w:val="1"/>
        </w:numPr>
        <w:jc w:val="both"/>
      </w:pPr>
      <w:r w:rsidRPr="00D3089A">
        <w:t>HIV nucleic acid test (DNA or RNA)</w:t>
      </w:r>
    </w:p>
    <w:p w14:paraId="045B66B7" w14:textId="77777777" w:rsidR="0012598F" w:rsidRPr="00D3089A" w:rsidRDefault="0012598F" w:rsidP="00452A3A">
      <w:pPr>
        <w:pStyle w:val="ListParagraph"/>
        <w:numPr>
          <w:ilvl w:val="1"/>
          <w:numId w:val="1"/>
        </w:numPr>
        <w:jc w:val="both"/>
      </w:pPr>
      <w:r w:rsidRPr="00D3089A">
        <w:t>HIV1 p24 antigen</w:t>
      </w:r>
    </w:p>
    <w:p w14:paraId="4180268A" w14:textId="77777777" w:rsidR="0012598F" w:rsidRPr="00D3089A" w:rsidRDefault="0012598F" w:rsidP="00452A3A">
      <w:pPr>
        <w:pStyle w:val="ListParagraph"/>
        <w:numPr>
          <w:ilvl w:val="1"/>
          <w:numId w:val="1"/>
        </w:numPr>
        <w:jc w:val="both"/>
      </w:pPr>
      <w:r w:rsidRPr="00D3089A">
        <w:t>HIV nucleotide sequence</w:t>
      </w:r>
    </w:p>
    <w:p w14:paraId="6C534E7A" w14:textId="77777777" w:rsidR="0012598F" w:rsidRPr="00D3089A" w:rsidRDefault="0012598F" w:rsidP="00452A3A">
      <w:pPr>
        <w:pStyle w:val="ListParagraph"/>
        <w:numPr>
          <w:ilvl w:val="1"/>
          <w:numId w:val="1"/>
        </w:numPr>
        <w:jc w:val="both"/>
      </w:pPr>
      <w:r w:rsidRPr="00D3089A">
        <w:t>HIV antibody testing</w:t>
      </w:r>
    </w:p>
    <w:p w14:paraId="52F69010" w14:textId="77777777" w:rsidR="0012598F" w:rsidRPr="00D3089A" w:rsidRDefault="0012598F" w:rsidP="00452A3A">
      <w:pPr>
        <w:pStyle w:val="ListParagraph"/>
        <w:numPr>
          <w:ilvl w:val="2"/>
          <w:numId w:val="1"/>
        </w:numPr>
        <w:jc w:val="both"/>
      </w:pPr>
      <w:r w:rsidRPr="00D3089A">
        <w:t>Enzyme immunoassay</w:t>
      </w:r>
    </w:p>
    <w:p w14:paraId="58018576" w14:textId="77777777" w:rsidR="0012598F" w:rsidRPr="00D3089A" w:rsidRDefault="0012598F" w:rsidP="00452A3A">
      <w:pPr>
        <w:pStyle w:val="ListParagraph"/>
        <w:numPr>
          <w:ilvl w:val="2"/>
          <w:numId w:val="1"/>
        </w:numPr>
        <w:jc w:val="both"/>
      </w:pPr>
      <w:r w:rsidRPr="00D3089A">
        <w:t>Western Blot</w:t>
      </w:r>
    </w:p>
    <w:p w14:paraId="4D69DCED" w14:textId="77777777" w:rsidR="0012598F" w:rsidRPr="00D3089A" w:rsidRDefault="0012598F" w:rsidP="00452A3A">
      <w:pPr>
        <w:pStyle w:val="ListParagraph"/>
        <w:numPr>
          <w:ilvl w:val="1"/>
          <w:numId w:val="1"/>
        </w:numPr>
        <w:jc w:val="both"/>
      </w:pPr>
      <w:r w:rsidRPr="00D3089A">
        <w:t>Combination HIV antigen/antibody test</w:t>
      </w:r>
    </w:p>
    <w:p w14:paraId="714D60DD" w14:textId="77777777" w:rsidR="0012598F" w:rsidRPr="00D3089A" w:rsidRDefault="0012598F" w:rsidP="00452A3A">
      <w:pPr>
        <w:widowControl w:val="0"/>
        <w:adjustRightInd w:val="0"/>
        <w:snapToGrid w:val="0"/>
        <w:spacing w:after="120"/>
        <w:jc w:val="both"/>
        <w:rPr>
          <w:b/>
          <w:iCs/>
          <w:color w:val="000000"/>
          <w:u w:val="single"/>
        </w:rPr>
      </w:pPr>
    </w:p>
    <w:p w14:paraId="4089E649" w14:textId="753DF821" w:rsidR="0012598F" w:rsidRPr="00D3089A" w:rsidRDefault="0012598F" w:rsidP="00452A3A">
      <w:pPr>
        <w:widowControl w:val="0"/>
        <w:adjustRightInd w:val="0"/>
        <w:snapToGrid w:val="0"/>
        <w:spacing w:after="120"/>
        <w:ind w:left="720"/>
        <w:jc w:val="both"/>
        <w:rPr>
          <w:b/>
          <w:iCs/>
          <w:color w:val="000000"/>
        </w:rPr>
      </w:pPr>
      <w:r w:rsidRPr="00D3089A">
        <w:rPr>
          <w:b/>
          <w:iCs/>
          <w:color w:val="000000"/>
        </w:rPr>
        <w:t>HIV sero-negative Controls</w:t>
      </w:r>
      <w:r w:rsidR="00D3200A" w:rsidRPr="00D3089A">
        <w:rPr>
          <w:b/>
          <w:iCs/>
          <w:color w:val="000000"/>
        </w:rPr>
        <w:t xml:space="preserve"> (Included only in Objective 2b analysis)</w:t>
      </w:r>
    </w:p>
    <w:p w14:paraId="05545CDC" w14:textId="10C85551" w:rsidR="0012598F" w:rsidRPr="00D3089A" w:rsidRDefault="0012598F" w:rsidP="00452A3A">
      <w:pPr>
        <w:pStyle w:val="ListParagraph"/>
        <w:widowControl w:val="0"/>
        <w:numPr>
          <w:ilvl w:val="0"/>
          <w:numId w:val="7"/>
        </w:numPr>
        <w:adjustRightInd w:val="0"/>
        <w:snapToGrid w:val="0"/>
        <w:jc w:val="both"/>
        <w:rPr>
          <w:color w:val="000000"/>
        </w:rPr>
      </w:pPr>
      <w:r w:rsidRPr="00D3089A">
        <w:rPr>
          <w:color w:val="000000"/>
        </w:rPr>
        <w:t xml:space="preserve">   </w:t>
      </w:r>
      <w:r w:rsidR="009E79B2" w:rsidRPr="00D3089A">
        <w:rPr>
          <w:color w:val="000000"/>
        </w:rPr>
        <w:t>2:1 m</w:t>
      </w:r>
      <w:r w:rsidRPr="00D3089A">
        <w:rPr>
          <w:color w:val="000000"/>
        </w:rPr>
        <w:t>atched to HIV+ case on the following criteria</w:t>
      </w:r>
    </w:p>
    <w:p w14:paraId="107B0B56" w14:textId="77777777" w:rsidR="0012598F" w:rsidRPr="00D3089A" w:rsidRDefault="0012598F" w:rsidP="00452A3A">
      <w:pPr>
        <w:pStyle w:val="ListParagraph"/>
        <w:widowControl w:val="0"/>
        <w:numPr>
          <w:ilvl w:val="1"/>
          <w:numId w:val="7"/>
        </w:numPr>
        <w:adjustRightInd w:val="0"/>
        <w:snapToGrid w:val="0"/>
        <w:jc w:val="both"/>
        <w:rPr>
          <w:color w:val="000000"/>
        </w:rPr>
      </w:pPr>
      <w:r w:rsidRPr="00D3089A">
        <w:rPr>
          <w:color w:val="000000"/>
        </w:rPr>
        <w:t xml:space="preserve">Age </w:t>
      </w:r>
      <w:r w:rsidRPr="00D3089A">
        <w:t xml:space="preserve"> </w:t>
      </w:r>
      <w:r w:rsidRPr="00D3089A">
        <w:sym w:font="Symbol" w:char="F0B1"/>
      </w:r>
      <w:r w:rsidRPr="00D3089A">
        <w:t xml:space="preserve"> 2 years</w:t>
      </w:r>
    </w:p>
    <w:p w14:paraId="5B6EAA8C" w14:textId="77777777" w:rsidR="0012598F" w:rsidRPr="00D3089A" w:rsidRDefault="0012598F" w:rsidP="00452A3A">
      <w:pPr>
        <w:pStyle w:val="ListParagraph"/>
        <w:widowControl w:val="0"/>
        <w:numPr>
          <w:ilvl w:val="1"/>
          <w:numId w:val="7"/>
        </w:numPr>
        <w:adjustRightInd w:val="0"/>
        <w:snapToGrid w:val="0"/>
        <w:jc w:val="both"/>
        <w:rPr>
          <w:color w:val="000000"/>
        </w:rPr>
      </w:pPr>
      <w:r w:rsidRPr="00D3089A">
        <w:rPr>
          <w:color w:val="000000"/>
        </w:rPr>
        <w:t>Hemocenter</w:t>
      </w:r>
    </w:p>
    <w:p w14:paraId="3F91A190" w14:textId="77777777" w:rsidR="0012598F" w:rsidRPr="00D3089A" w:rsidRDefault="0012598F" w:rsidP="00452A3A">
      <w:pPr>
        <w:pStyle w:val="ListParagraph"/>
        <w:widowControl w:val="0"/>
        <w:numPr>
          <w:ilvl w:val="1"/>
          <w:numId w:val="7"/>
        </w:numPr>
        <w:adjustRightInd w:val="0"/>
        <w:snapToGrid w:val="0"/>
        <w:jc w:val="both"/>
        <w:rPr>
          <w:color w:val="000000"/>
        </w:rPr>
      </w:pPr>
      <w:r w:rsidRPr="00D3089A">
        <w:rPr>
          <w:color w:val="000000"/>
        </w:rPr>
        <w:t>Gender</w:t>
      </w:r>
    </w:p>
    <w:p w14:paraId="50EFEFF2" w14:textId="77777777" w:rsidR="0012598F" w:rsidRPr="00D3089A" w:rsidRDefault="0012598F" w:rsidP="00452A3A">
      <w:pPr>
        <w:pStyle w:val="ListParagraph"/>
        <w:widowControl w:val="0"/>
        <w:numPr>
          <w:ilvl w:val="1"/>
          <w:numId w:val="7"/>
        </w:numPr>
        <w:adjustRightInd w:val="0"/>
        <w:snapToGrid w:val="0"/>
        <w:jc w:val="both"/>
        <w:rPr>
          <w:color w:val="000000"/>
        </w:rPr>
      </w:pPr>
      <w:r w:rsidRPr="00D3089A">
        <w:rPr>
          <w:color w:val="000000"/>
        </w:rPr>
        <w:t>SCD genotype</w:t>
      </w:r>
    </w:p>
    <w:p w14:paraId="1FD50091" w14:textId="77777777" w:rsidR="0012598F" w:rsidRPr="00D3089A" w:rsidRDefault="0012598F" w:rsidP="00452A3A">
      <w:pPr>
        <w:pStyle w:val="ListParagraph"/>
        <w:widowControl w:val="0"/>
        <w:numPr>
          <w:ilvl w:val="0"/>
          <w:numId w:val="7"/>
        </w:numPr>
        <w:adjustRightInd w:val="0"/>
        <w:snapToGrid w:val="0"/>
        <w:jc w:val="both"/>
        <w:rPr>
          <w:color w:val="000000"/>
        </w:rPr>
      </w:pPr>
      <w:r w:rsidRPr="00D3089A">
        <w:rPr>
          <w:color w:val="000000"/>
        </w:rPr>
        <w:t xml:space="preserve">    No history of HIV in REDS-III database</w:t>
      </w:r>
    </w:p>
    <w:p w14:paraId="4983727F" w14:textId="77777777" w:rsidR="0012598F" w:rsidRPr="00D3089A" w:rsidRDefault="0012598F" w:rsidP="00452A3A">
      <w:pPr>
        <w:pStyle w:val="ListParagraph"/>
        <w:widowControl w:val="0"/>
        <w:numPr>
          <w:ilvl w:val="0"/>
          <w:numId w:val="7"/>
        </w:numPr>
        <w:adjustRightInd w:val="0"/>
        <w:snapToGrid w:val="0"/>
        <w:jc w:val="both"/>
        <w:rPr>
          <w:color w:val="000000"/>
        </w:rPr>
      </w:pPr>
      <w:r w:rsidRPr="00D3089A">
        <w:rPr>
          <w:color w:val="000000"/>
        </w:rPr>
        <w:t xml:space="preserve">    HIV negative by most recent infectious screening results</w:t>
      </w:r>
    </w:p>
    <w:p w14:paraId="52CC5857" w14:textId="77777777" w:rsidR="0012598F" w:rsidRPr="00D3089A" w:rsidRDefault="0012598F" w:rsidP="00452A3A">
      <w:pPr>
        <w:widowControl w:val="0"/>
        <w:adjustRightInd w:val="0"/>
        <w:snapToGrid w:val="0"/>
        <w:jc w:val="both"/>
        <w:rPr>
          <w:b/>
          <w:iCs/>
          <w:color w:val="000000"/>
          <w:u w:val="single"/>
        </w:rPr>
      </w:pPr>
    </w:p>
    <w:p w14:paraId="0465D228" w14:textId="77777777" w:rsidR="00135B05" w:rsidRPr="00D3089A" w:rsidRDefault="00135B05" w:rsidP="00452A3A">
      <w:pPr>
        <w:widowControl w:val="0"/>
        <w:adjustRightInd w:val="0"/>
        <w:snapToGrid w:val="0"/>
        <w:jc w:val="both"/>
        <w:rPr>
          <w:color w:val="000000"/>
        </w:rPr>
      </w:pPr>
      <w:r w:rsidRPr="00D3089A">
        <w:rPr>
          <w:b/>
          <w:iCs/>
          <w:color w:val="000000"/>
          <w:u w:val="single"/>
        </w:rPr>
        <w:t>Subject Enrollment:</w:t>
      </w:r>
    </w:p>
    <w:p w14:paraId="513C061F" w14:textId="77777777" w:rsidR="00D562A4" w:rsidRPr="00D3089A" w:rsidRDefault="00D562A4" w:rsidP="00452A3A">
      <w:pPr>
        <w:widowControl w:val="0"/>
        <w:adjustRightInd w:val="0"/>
        <w:snapToGrid w:val="0"/>
        <w:ind w:firstLine="720"/>
        <w:jc w:val="both"/>
        <w:rPr>
          <w:color w:val="000000"/>
        </w:rPr>
      </w:pPr>
    </w:p>
    <w:p w14:paraId="06C3B8F1" w14:textId="6A77CA27" w:rsidR="00935DFF" w:rsidRPr="00D3089A" w:rsidRDefault="00935DFF" w:rsidP="00452A3A">
      <w:pPr>
        <w:widowControl w:val="0"/>
        <w:adjustRightInd w:val="0"/>
        <w:snapToGrid w:val="0"/>
        <w:jc w:val="both"/>
        <w:rPr>
          <w:b/>
        </w:rPr>
      </w:pPr>
      <w:r w:rsidRPr="00D3089A">
        <w:rPr>
          <w:b/>
        </w:rPr>
        <w:t>Objective One</w:t>
      </w:r>
      <w:r w:rsidR="00A14609" w:rsidRPr="00D3089A">
        <w:rPr>
          <w:b/>
        </w:rPr>
        <w:t>:</w:t>
      </w:r>
      <w:r w:rsidRPr="00D3089A">
        <w:rPr>
          <w:b/>
        </w:rPr>
        <w:t xml:space="preserve"> </w:t>
      </w:r>
      <w:r w:rsidR="009E79B2" w:rsidRPr="00D3089A">
        <w:rPr>
          <w:b/>
        </w:rPr>
        <w:t xml:space="preserve">Patients with </w:t>
      </w:r>
      <w:r w:rsidRPr="00D3089A">
        <w:rPr>
          <w:b/>
        </w:rPr>
        <w:t xml:space="preserve">SCD </w:t>
      </w:r>
      <w:r w:rsidR="009E79B2" w:rsidRPr="00D3089A">
        <w:rPr>
          <w:b/>
        </w:rPr>
        <w:t>(</w:t>
      </w:r>
      <w:r w:rsidRPr="00D3089A">
        <w:rPr>
          <w:b/>
        </w:rPr>
        <w:t>Cases</w:t>
      </w:r>
      <w:r w:rsidR="009E79B2" w:rsidRPr="00D3089A">
        <w:rPr>
          <w:b/>
        </w:rPr>
        <w:t>)</w:t>
      </w:r>
    </w:p>
    <w:p w14:paraId="36E9A6A8" w14:textId="77777777" w:rsidR="000319C5" w:rsidRPr="00D3089A" w:rsidRDefault="000319C5" w:rsidP="00452A3A">
      <w:pPr>
        <w:widowControl w:val="0"/>
        <w:adjustRightInd w:val="0"/>
        <w:snapToGrid w:val="0"/>
        <w:jc w:val="both"/>
        <w:rPr>
          <w:b/>
        </w:rPr>
      </w:pPr>
    </w:p>
    <w:p w14:paraId="1D9ABBB0" w14:textId="77777777" w:rsidR="00A14609" w:rsidRPr="00D3089A" w:rsidRDefault="00EE391B" w:rsidP="000319C5">
      <w:pPr>
        <w:widowControl w:val="0"/>
        <w:autoSpaceDE w:val="0"/>
        <w:autoSpaceDN w:val="0"/>
        <w:adjustRightInd w:val="0"/>
        <w:ind w:firstLine="720"/>
        <w:jc w:val="both"/>
      </w:pPr>
      <w:r w:rsidRPr="00D3089A">
        <w:t xml:space="preserve">A list of all </w:t>
      </w:r>
      <w:r w:rsidR="00935DFF" w:rsidRPr="00D3089A">
        <w:t xml:space="preserve">REDS-III SCD </w:t>
      </w:r>
      <w:r w:rsidRPr="00D3089A">
        <w:t xml:space="preserve">cohort patients </w:t>
      </w:r>
      <w:r w:rsidRPr="00D3089A">
        <w:sym w:font="Symbol" w:char="F0B3"/>
      </w:r>
      <w:r w:rsidRPr="00D3089A">
        <w:t xml:space="preserve">18 years will be placed in random order and subjects will be called consecutively according to this list to invite subjects to participate in the study.  </w:t>
      </w:r>
      <w:r w:rsidR="00A14609" w:rsidRPr="00D3089A">
        <w:t xml:space="preserve">Details of the study will be explained over the phone and interested subjects will be scheduled for a Hemocenter visit to complete informed consent and study procedures. Patients will be enrolled consecutively at all Hemocenters until 150 patients have completed enrollment.  No Hemocenter specific enrollment targets will be established.  </w:t>
      </w:r>
    </w:p>
    <w:p w14:paraId="3CAB5CAA" w14:textId="77777777" w:rsidR="000319C5" w:rsidRPr="00D3089A" w:rsidRDefault="000319C5" w:rsidP="000319C5">
      <w:pPr>
        <w:widowControl w:val="0"/>
        <w:autoSpaceDE w:val="0"/>
        <w:autoSpaceDN w:val="0"/>
        <w:adjustRightInd w:val="0"/>
        <w:ind w:firstLine="720"/>
        <w:jc w:val="both"/>
      </w:pPr>
    </w:p>
    <w:p w14:paraId="541F0303" w14:textId="77777777" w:rsidR="00A14609" w:rsidRPr="00D3089A" w:rsidRDefault="00A14609" w:rsidP="00452A3A">
      <w:pPr>
        <w:widowControl w:val="0"/>
        <w:autoSpaceDE w:val="0"/>
        <w:autoSpaceDN w:val="0"/>
        <w:adjustRightInd w:val="0"/>
        <w:jc w:val="both"/>
        <w:rPr>
          <w:b/>
        </w:rPr>
      </w:pPr>
      <w:r w:rsidRPr="00D3089A">
        <w:rPr>
          <w:b/>
        </w:rPr>
        <w:t>Objective One: Non-SCD Controls</w:t>
      </w:r>
    </w:p>
    <w:p w14:paraId="150EB33D" w14:textId="77777777" w:rsidR="000319C5" w:rsidRPr="00D3089A" w:rsidRDefault="000319C5" w:rsidP="00452A3A">
      <w:pPr>
        <w:widowControl w:val="0"/>
        <w:autoSpaceDE w:val="0"/>
        <w:autoSpaceDN w:val="0"/>
        <w:adjustRightInd w:val="0"/>
        <w:jc w:val="both"/>
      </w:pPr>
    </w:p>
    <w:p w14:paraId="44C36D25" w14:textId="2CE721D1" w:rsidR="00A14609" w:rsidRPr="00D3089A" w:rsidRDefault="00A14609" w:rsidP="000319C5">
      <w:pPr>
        <w:widowControl w:val="0"/>
        <w:autoSpaceDE w:val="0"/>
        <w:autoSpaceDN w:val="0"/>
        <w:adjustRightInd w:val="0"/>
        <w:ind w:firstLine="720"/>
        <w:jc w:val="both"/>
      </w:pPr>
      <w:r w:rsidRPr="00D3089A">
        <w:t>The enrollment of case</w:t>
      </w:r>
      <w:r w:rsidR="00AA1D56" w:rsidRPr="00D3089A">
        <w:t>s</w:t>
      </w:r>
      <w:r w:rsidRPr="00D3089A">
        <w:t xml:space="preserve"> into objective 1 will trigger enrollment </w:t>
      </w:r>
      <w:proofErr w:type="gramStart"/>
      <w:r w:rsidRPr="00D3089A">
        <w:t xml:space="preserve">of </w:t>
      </w:r>
      <w:r w:rsidR="009E79B2" w:rsidRPr="00D3089A">
        <w:t xml:space="preserve"> a</w:t>
      </w:r>
      <w:proofErr w:type="gramEnd"/>
      <w:r w:rsidR="00AA1D56" w:rsidRPr="00D3089A">
        <w:t xml:space="preserve"> similar number of</w:t>
      </w:r>
      <w:r w:rsidR="009E79B2" w:rsidRPr="00D3089A">
        <w:t xml:space="preserve"> </w:t>
      </w:r>
      <w:r w:rsidRPr="00D3089A">
        <w:t>control</w:t>
      </w:r>
      <w:r w:rsidR="00AA1D56" w:rsidRPr="00D3089A">
        <w:t>s</w:t>
      </w:r>
      <w:r w:rsidRPr="00D3089A">
        <w:t xml:space="preserve"> from the same Hemocenter</w:t>
      </w:r>
      <w:r w:rsidR="009E79B2" w:rsidRPr="00D3089A">
        <w:t xml:space="preserve"> in the same 5 year age stratum (frequency matched)</w:t>
      </w:r>
      <w:r w:rsidRPr="00D3089A">
        <w:t xml:space="preserve">.  A list of required controls with eligible ages will be updated daily based on ages of enrolled cases at each Hemocenter. </w:t>
      </w:r>
      <w:r w:rsidR="00FC44C1">
        <w:t>Controls will be matched only on region (Hemocenter) and age strata.  Other matching criteria will not be included to avoid overly restrictive/narrow matching criteria that would impede enrollment.  We</w:t>
      </w:r>
      <w:r w:rsidR="00CA3848">
        <w:t xml:space="preserve"> anticipate enrollment of males and females will be approximately equal based on previous REDS research, however we</w:t>
      </w:r>
      <w:r w:rsidR="00FC44C1">
        <w:t xml:space="preserve"> will monitor gender distribution of cases and controls and </w:t>
      </w:r>
      <w:r w:rsidR="00CA3848">
        <w:t xml:space="preserve">add gender matching if necessary. </w:t>
      </w:r>
      <w:r w:rsidR="00FC44C1">
        <w:t xml:space="preserve"> </w:t>
      </w:r>
      <w:r w:rsidRPr="00D3089A">
        <w:t xml:space="preserve">Flyers that describe the study will be distributed in the SCD patient advocacy association rooms and at advocacy events. REDS-III research staff will also attend functions sponsored by SCD patient advocacy associations to give presentations describing the study.  Any interested subjects will contact REDS-III staff to determine eligibility. Interested subjects who meet age eligibility will be scheduled for a research visit.  Research assistants will maintain a list of names and contact information of all interested potential controls not meeting eligibility criteria at this point of contact and call the subject in the future if s/he becomes eligible.  </w:t>
      </w:r>
    </w:p>
    <w:p w14:paraId="183F033A" w14:textId="77777777" w:rsidR="00A14609" w:rsidRPr="00D3089A" w:rsidRDefault="00A14609" w:rsidP="00452A3A">
      <w:pPr>
        <w:widowControl w:val="0"/>
        <w:autoSpaceDE w:val="0"/>
        <w:autoSpaceDN w:val="0"/>
        <w:adjustRightInd w:val="0"/>
        <w:jc w:val="both"/>
      </w:pPr>
    </w:p>
    <w:p w14:paraId="446B994B" w14:textId="77777777" w:rsidR="00A14609" w:rsidRPr="00D3089A" w:rsidRDefault="00A14609" w:rsidP="00452A3A">
      <w:pPr>
        <w:widowControl w:val="0"/>
        <w:autoSpaceDE w:val="0"/>
        <w:autoSpaceDN w:val="0"/>
        <w:adjustRightInd w:val="0"/>
        <w:jc w:val="both"/>
        <w:rPr>
          <w:b/>
        </w:rPr>
      </w:pPr>
      <w:r w:rsidRPr="00D3089A">
        <w:rPr>
          <w:b/>
        </w:rPr>
        <w:t>Objective 2: HIV+ SCD Cases</w:t>
      </w:r>
    </w:p>
    <w:p w14:paraId="6FFED797" w14:textId="77777777" w:rsidR="000319C5" w:rsidRPr="00D3089A" w:rsidRDefault="000319C5" w:rsidP="00452A3A">
      <w:pPr>
        <w:widowControl w:val="0"/>
        <w:autoSpaceDE w:val="0"/>
        <w:autoSpaceDN w:val="0"/>
        <w:adjustRightInd w:val="0"/>
        <w:jc w:val="both"/>
      </w:pPr>
    </w:p>
    <w:p w14:paraId="126A79BA" w14:textId="2D0F9A21" w:rsidR="000319C5" w:rsidRPr="00D3089A" w:rsidRDefault="00A14609" w:rsidP="000319C5">
      <w:pPr>
        <w:widowControl w:val="0"/>
        <w:autoSpaceDE w:val="0"/>
        <w:autoSpaceDN w:val="0"/>
        <w:adjustRightInd w:val="0"/>
        <w:ind w:firstLine="720"/>
        <w:jc w:val="both"/>
      </w:pPr>
      <w:r w:rsidRPr="00D3089A">
        <w:t xml:space="preserve">SCD patients followed at REDS-III Hemocenters are screened annually for HIV.  Hemocenter records will be reviewed to identify all SCD patients with confirmed HIV in the 10 years prior to study start.  As HIV is relatively rare in the SCD population, HIV seropositive cases will be recruited from the entire Hemocenter SCD population (not limited to patients enrolled in the REDS-III cohort) in order to capture the majority of HIV positive patients.  All living HIV seropositive SCD patients receiving care at the Hemocenters will be recruited via phone or at routine Hemocenter visits.  Details of study will be explained and interested subjects will be scheduled for visits to </w:t>
      </w:r>
      <w:r w:rsidR="00AA1D56" w:rsidRPr="00D3089A">
        <w:t xml:space="preserve">become informed about the study, </w:t>
      </w:r>
      <w:r w:rsidRPr="00D3089A">
        <w:t xml:space="preserve">complete the informed consent and the HIV risk behavior </w:t>
      </w:r>
      <w:r w:rsidR="00EA60BF" w:rsidRPr="00D3089A">
        <w:t>assessment</w:t>
      </w:r>
      <w:r w:rsidRPr="00D3089A">
        <w:t xml:space="preserve"> (only for HIV+SCD patients</w:t>
      </w:r>
      <w:r w:rsidR="000319C5" w:rsidRPr="00D3089A">
        <w:t xml:space="preserve"> </w:t>
      </w:r>
      <w:r w:rsidRPr="00D3089A">
        <w:sym w:font="Symbol" w:char="F0B3"/>
      </w:r>
      <w:r w:rsidR="000319C5" w:rsidRPr="00D3089A">
        <w:t xml:space="preserve"> </w:t>
      </w:r>
      <w:r w:rsidRPr="00D3089A">
        <w:t xml:space="preserve">18 years).  A review of patients’ medical record will be performed to capture HIV outcomes. Eligible patients will be given the option to consent solely to the medical record review or to the medical record and the completion of the HIV risk behavior </w:t>
      </w:r>
      <w:r w:rsidR="00EA60BF" w:rsidRPr="00D3089A">
        <w:t>assessment</w:t>
      </w:r>
      <w:r w:rsidRPr="00D3089A">
        <w:t xml:space="preserve"> if </w:t>
      </w:r>
      <w:r w:rsidRPr="00D3089A">
        <w:sym w:font="Symbol" w:char="F0B3"/>
      </w:r>
      <w:r w:rsidRPr="00D3089A">
        <w:t xml:space="preserve"> 18 year old.  IRB/ethical committee approval will be requested to perform a medical record review of all HIV seropositive patients no longer living or otherwise lost to follow up at the Hemocenters.  </w:t>
      </w:r>
    </w:p>
    <w:p w14:paraId="6EE4A830" w14:textId="034A9AC0" w:rsidR="00A14609" w:rsidRPr="00D3089A" w:rsidRDefault="00A14609" w:rsidP="00E769E7">
      <w:pPr>
        <w:widowControl w:val="0"/>
        <w:autoSpaceDE w:val="0"/>
        <w:autoSpaceDN w:val="0"/>
        <w:adjustRightInd w:val="0"/>
        <w:ind w:firstLine="720"/>
        <w:jc w:val="both"/>
      </w:pPr>
      <w:r w:rsidRPr="00D3089A">
        <w:t>Two</w:t>
      </w:r>
      <w:r w:rsidR="00114C9D">
        <w:t xml:space="preserve"> of the</w:t>
      </w:r>
      <w:r w:rsidR="008132BD">
        <w:t xml:space="preserve"> participating</w:t>
      </w:r>
      <w:r w:rsidRPr="00D3089A">
        <w:t xml:space="preserve"> </w:t>
      </w:r>
      <w:r w:rsidR="00CA3848">
        <w:t xml:space="preserve">REDS-III </w:t>
      </w:r>
      <w:r w:rsidRPr="00D3089A">
        <w:t xml:space="preserve">Hemocenters (Hemominas Belo Horizonte and Hemorio) have estimated that between 0.16-0.45% of their current SCD population are HIV seropositive (Table 1).  </w:t>
      </w:r>
      <w:r w:rsidR="00E769E7" w:rsidRPr="00E769E7">
        <w:t xml:space="preserve">Therefore, we anticipate that </w:t>
      </w:r>
      <w:r w:rsidR="00B92294">
        <w:t xml:space="preserve">approximately </w:t>
      </w:r>
      <w:r w:rsidR="00E769E7" w:rsidRPr="00E769E7">
        <w:t>25</w:t>
      </w:r>
      <w:r w:rsidR="00B92294">
        <w:t>-35</w:t>
      </w:r>
      <w:r w:rsidR="00E769E7" w:rsidRPr="00E769E7">
        <w:t xml:space="preserve"> HIV positive SCD cases from the past 10 years </w:t>
      </w:r>
      <w:r w:rsidR="00B92294">
        <w:t xml:space="preserve">at the five participating Hemocenters </w:t>
      </w:r>
      <w:r w:rsidR="00E769E7" w:rsidRPr="00E769E7">
        <w:t>will be eligible for objective 2</w:t>
      </w:r>
      <w:r w:rsidR="001261A7">
        <w:t xml:space="preserve"> and will attempt to enroll 25 HIV positive cases.</w:t>
      </w:r>
    </w:p>
    <w:p w14:paraId="55152063" w14:textId="77777777" w:rsidR="00A14609" w:rsidRPr="00D3089A" w:rsidRDefault="00A14609" w:rsidP="00452A3A">
      <w:pPr>
        <w:widowControl w:val="0"/>
        <w:autoSpaceDE w:val="0"/>
        <w:autoSpaceDN w:val="0"/>
        <w:adjustRightInd w:val="0"/>
        <w:jc w:val="both"/>
      </w:pPr>
    </w:p>
    <w:p w14:paraId="59BD3D3A" w14:textId="580D34B3"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Table 1: Current estimates of HIV at Two REDS-III Hemocenters</w:t>
      </w:r>
    </w:p>
    <w:p w14:paraId="4BE2BB40" w14:textId="77777777" w:rsidR="00A14609" w:rsidRPr="00D3089A" w:rsidRDefault="00A14609" w:rsidP="00452A3A">
      <w:pPr>
        <w:widowControl w:val="0"/>
        <w:autoSpaceDE w:val="0"/>
        <w:autoSpaceDN w:val="0"/>
        <w:adjustRightInd w:val="0"/>
        <w:jc w:val="both"/>
      </w:pPr>
    </w:p>
    <w:tbl>
      <w:tblPr>
        <w:tblpPr w:leftFromText="180" w:rightFromText="180" w:vertAnchor="text" w:horzAnchor="page" w:tblpX="136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291"/>
        <w:gridCol w:w="1735"/>
        <w:gridCol w:w="2388"/>
      </w:tblGrid>
      <w:tr w:rsidR="00A14609" w:rsidRPr="00D3089A" w14:paraId="09227924" w14:textId="77777777" w:rsidTr="00A14609">
        <w:trPr>
          <w:trHeight w:val="484"/>
        </w:trPr>
        <w:tc>
          <w:tcPr>
            <w:tcW w:w="2136" w:type="dxa"/>
          </w:tcPr>
          <w:p w14:paraId="543676A4" w14:textId="77777777" w:rsidR="00A14609" w:rsidRPr="00D3089A" w:rsidRDefault="00A14609" w:rsidP="00452A3A">
            <w:pPr>
              <w:widowControl w:val="0"/>
              <w:autoSpaceDE w:val="0"/>
              <w:autoSpaceDN w:val="0"/>
              <w:adjustRightInd w:val="0"/>
              <w:jc w:val="both"/>
              <w:rPr>
                <w:color w:val="000000" w:themeColor="text1"/>
              </w:rPr>
            </w:pPr>
          </w:p>
          <w:p w14:paraId="48725D1A" w14:textId="77777777" w:rsidR="00A14609" w:rsidRPr="00D3089A" w:rsidRDefault="00A14609" w:rsidP="00452A3A">
            <w:pPr>
              <w:widowControl w:val="0"/>
              <w:autoSpaceDE w:val="0"/>
              <w:autoSpaceDN w:val="0"/>
              <w:adjustRightInd w:val="0"/>
              <w:jc w:val="both"/>
              <w:rPr>
                <w:color w:val="000000" w:themeColor="text1"/>
              </w:rPr>
            </w:pPr>
          </w:p>
        </w:tc>
        <w:tc>
          <w:tcPr>
            <w:tcW w:w="1291" w:type="dxa"/>
          </w:tcPr>
          <w:p w14:paraId="666A7B05"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Number HIV+</w:t>
            </w:r>
          </w:p>
        </w:tc>
        <w:tc>
          <w:tcPr>
            <w:tcW w:w="1735" w:type="dxa"/>
          </w:tcPr>
          <w:p w14:paraId="1DFE6116"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Total SCD Population</w:t>
            </w:r>
          </w:p>
        </w:tc>
        <w:tc>
          <w:tcPr>
            <w:tcW w:w="2388" w:type="dxa"/>
          </w:tcPr>
          <w:p w14:paraId="42DF3C8B"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 xml:space="preserve">Percent SCD Population HIV positive </w:t>
            </w:r>
          </w:p>
        </w:tc>
      </w:tr>
      <w:tr w:rsidR="00A14609" w:rsidRPr="00D3089A" w14:paraId="1A2E301F" w14:textId="77777777" w:rsidTr="00A14609">
        <w:trPr>
          <w:trHeight w:val="152"/>
        </w:trPr>
        <w:tc>
          <w:tcPr>
            <w:tcW w:w="2136" w:type="dxa"/>
          </w:tcPr>
          <w:p w14:paraId="0A8E08FD"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Hemominas</w:t>
            </w:r>
          </w:p>
        </w:tc>
        <w:tc>
          <w:tcPr>
            <w:tcW w:w="1291" w:type="dxa"/>
          </w:tcPr>
          <w:p w14:paraId="05FB7A27"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 xml:space="preserve">5    </w:t>
            </w:r>
          </w:p>
        </w:tc>
        <w:tc>
          <w:tcPr>
            <w:tcW w:w="1735" w:type="dxa"/>
          </w:tcPr>
          <w:p w14:paraId="1B89CC0A"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3211</w:t>
            </w:r>
          </w:p>
        </w:tc>
        <w:tc>
          <w:tcPr>
            <w:tcW w:w="2388" w:type="dxa"/>
          </w:tcPr>
          <w:p w14:paraId="10655302"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0.16%</w:t>
            </w:r>
          </w:p>
        </w:tc>
      </w:tr>
      <w:tr w:rsidR="00A14609" w:rsidRPr="00D3089A" w14:paraId="7FC469E1" w14:textId="77777777" w:rsidTr="00A14609">
        <w:trPr>
          <w:trHeight w:val="166"/>
        </w:trPr>
        <w:tc>
          <w:tcPr>
            <w:tcW w:w="2136" w:type="dxa"/>
          </w:tcPr>
          <w:p w14:paraId="78F8D82B"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Hemorio</w:t>
            </w:r>
          </w:p>
        </w:tc>
        <w:tc>
          <w:tcPr>
            <w:tcW w:w="1291" w:type="dxa"/>
          </w:tcPr>
          <w:p w14:paraId="7D89F1B0"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 xml:space="preserve">17 </w:t>
            </w:r>
          </w:p>
        </w:tc>
        <w:tc>
          <w:tcPr>
            <w:tcW w:w="1735" w:type="dxa"/>
          </w:tcPr>
          <w:p w14:paraId="3009E7BF"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3791</w:t>
            </w:r>
          </w:p>
        </w:tc>
        <w:tc>
          <w:tcPr>
            <w:tcW w:w="2388" w:type="dxa"/>
          </w:tcPr>
          <w:p w14:paraId="070C5924" w14:textId="77777777" w:rsidR="00A14609" w:rsidRPr="00D3089A" w:rsidRDefault="00A14609" w:rsidP="00452A3A">
            <w:pPr>
              <w:widowControl w:val="0"/>
              <w:autoSpaceDE w:val="0"/>
              <w:autoSpaceDN w:val="0"/>
              <w:adjustRightInd w:val="0"/>
              <w:jc w:val="both"/>
              <w:rPr>
                <w:color w:val="000000" w:themeColor="text1"/>
              </w:rPr>
            </w:pPr>
            <w:r w:rsidRPr="00D3089A">
              <w:rPr>
                <w:color w:val="000000" w:themeColor="text1"/>
              </w:rPr>
              <w:t>0.45%</w:t>
            </w:r>
          </w:p>
        </w:tc>
      </w:tr>
    </w:tbl>
    <w:p w14:paraId="2D1ED899" w14:textId="77777777" w:rsidR="00A14609" w:rsidRPr="00D3089A" w:rsidRDefault="00A14609" w:rsidP="00452A3A">
      <w:pPr>
        <w:widowControl w:val="0"/>
        <w:autoSpaceDE w:val="0"/>
        <w:autoSpaceDN w:val="0"/>
        <w:adjustRightInd w:val="0"/>
        <w:jc w:val="both"/>
      </w:pPr>
    </w:p>
    <w:p w14:paraId="136822CD" w14:textId="77777777" w:rsidR="00A14609" w:rsidRPr="00D3089A" w:rsidRDefault="00A14609" w:rsidP="00452A3A">
      <w:pPr>
        <w:widowControl w:val="0"/>
        <w:autoSpaceDE w:val="0"/>
        <w:autoSpaceDN w:val="0"/>
        <w:adjustRightInd w:val="0"/>
        <w:jc w:val="both"/>
      </w:pPr>
    </w:p>
    <w:p w14:paraId="0D4B3F02" w14:textId="77777777" w:rsidR="000319C5" w:rsidRPr="00D3089A" w:rsidRDefault="000319C5" w:rsidP="00A4514B">
      <w:pPr>
        <w:widowControl w:val="0"/>
        <w:adjustRightInd w:val="0"/>
        <w:snapToGrid w:val="0"/>
        <w:jc w:val="both"/>
        <w:rPr>
          <w:color w:val="000000"/>
        </w:rPr>
      </w:pPr>
    </w:p>
    <w:p w14:paraId="7FAFCF05" w14:textId="77777777" w:rsidR="00151215" w:rsidRDefault="00151215" w:rsidP="00452A3A">
      <w:pPr>
        <w:widowControl w:val="0"/>
        <w:adjustRightInd w:val="0"/>
        <w:snapToGrid w:val="0"/>
        <w:ind w:firstLine="720"/>
        <w:jc w:val="both"/>
        <w:rPr>
          <w:color w:val="000000"/>
        </w:rPr>
      </w:pPr>
    </w:p>
    <w:p w14:paraId="16A5DE0B" w14:textId="77777777" w:rsidR="00151215" w:rsidRDefault="00151215" w:rsidP="00452A3A">
      <w:pPr>
        <w:widowControl w:val="0"/>
        <w:adjustRightInd w:val="0"/>
        <w:snapToGrid w:val="0"/>
        <w:ind w:firstLine="720"/>
        <w:jc w:val="both"/>
        <w:rPr>
          <w:color w:val="000000"/>
        </w:rPr>
      </w:pPr>
    </w:p>
    <w:p w14:paraId="7443FCC6" w14:textId="77777777" w:rsidR="00151215" w:rsidRDefault="00151215" w:rsidP="00452A3A">
      <w:pPr>
        <w:widowControl w:val="0"/>
        <w:adjustRightInd w:val="0"/>
        <w:snapToGrid w:val="0"/>
        <w:ind w:firstLine="720"/>
        <w:jc w:val="both"/>
        <w:rPr>
          <w:color w:val="000000"/>
        </w:rPr>
      </w:pPr>
    </w:p>
    <w:p w14:paraId="12E72B41" w14:textId="76AB1294" w:rsidR="00135B05" w:rsidRPr="00D3089A" w:rsidRDefault="0012598F" w:rsidP="00452A3A">
      <w:pPr>
        <w:widowControl w:val="0"/>
        <w:adjustRightInd w:val="0"/>
        <w:snapToGrid w:val="0"/>
        <w:ind w:firstLine="720"/>
        <w:jc w:val="both"/>
        <w:rPr>
          <w:b/>
          <w:color w:val="000000"/>
          <w:u w:val="single"/>
        </w:rPr>
      </w:pPr>
      <w:r w:rsidRPr="00D3089A">
        <w:rPr>
          <w:color w:val="000000"/>
        </w:rPr>
        <w:t>S</w:t>
      </w:r>
      <w:r w:rsidR="00135B05" w:rsidRPr="00D3089A">
        <w:rPr>
          <w:color w:val="000000"/>
        </w:rPr>
        <w:t xml:space="preserve">ubjects will be enrolled </w:t>
      </w:r>
      <w:r w:rsidRPr="00D3089A">
        <w:rPr>
          <w:color w:val="000000"/>
        </w:rPr>
        <w:t xml:space="preserve">until target enrollment of 150 cases and 150 controls for objective 1 </w:t>
      </w:r>
      <w:r w:rsidR="000319C5" w:rsidRPr="00D3089A">
        <w:rPr>
          <w:color w:val="000000"/>
        </w:rPr>
        <w:t xml:space="preserve">is achieved </w:t>
      </w:r>
      <w:r w:rsidRPr="00D3089A">
        <w:rPr>
          <w:color w:val="000000"/>
        </w:rPr>
        <w:t>and all identified HIV+ patients for objective 2</w:t>
      </w:r>
      <w:r w:rsidR="000319C5" w:rsidRPr="00D3089A">
        <w:rPr>
          <w:color w:val="000000"/>
        </w:rPr>
        <w:t xml:space="preserve"> are recruited</w:t>
      </w:r>
      <w:r w:rsidRPr="00D3089A">
        <w:rPr>
          <w:color w:val="000000"/>
        </w:rPr>
        <w:t>.  We anticipate approximately one year will be requir</w:t>
      </w:r>
      <w:r w:rsidR="00A14609" w:rsidRPr="00D3089A">
        <w:rPr>
          <w:color w:val="000000"/>
        </w:rPr>
        <w:t xml:space="preserve">ed to achieve target enrollment, </w:t>
      </w:r>
      <w:r w:rsidR="00135B05" w:rsidRPr="00D3089A">
        <w:rPr>
          <w:color w:val="000000"/>
        </w:rPr>
        <w:t xml:space="preserve">from </w:t>
      </w:r>
      <w:r w:rsidR="00C21D44" w:rsidRPr="00D3089A">
        <w:rPr>
          <w:color w:val="000000"/>
        </w:rPr>
        <w:t>March (or when OMB approval is received)</w:t>
      </w:r>
      <w:r w:rsidR="00A14609" w:rsidRPr="00D3089A">
        <w:rPr>
          <w:color w:val="000000"/>
        </w:rPr>
        <w:t xml:space="preserve"> 2016</w:t>
      </w:r>
      <w:r w:rsidR="00F856F7" w:rsidRPr="00D3089A">
        <w:rPr>
          <w:color w:val="000000"/>
        </w:rPr>
        <w:t xml:space="preserve"> –</w:t>
      </w:r>
      <w:r w:rsidR="000319C5" w:rsidRPr="00D3089A">
        <w:rPr>
          <w:color w:val="000000"/>
        </w:rPr>
        <w:t xml:space="preserve">March </w:t>
      </w:r>
      <w:r w:rsidR="000D630C" w:rsidRPr="00D3089A">
        <w:rPr>
          <w:color w:val="000000"/>
        </w:rPr>
        <w:t>2017</w:t>
      </w:r>
      <w:r w:rsidR="00135B05" w:rsidRPr="00D3089A">
        <w:rPr>
          <w:color w:val="000000"/>
        </w:rPr>
        <w:t xml:space="preserve">.  </w:t>
      </w:r>
    </w:p>
    <w:p w14:paraId="49732AEA" w14:textId="77777777" w:rsidR="00135B05" w:rsidRPr="00D3089A" w:rsidRDefault="00135B05" w:rsidP="00452A3A">
      <w:pPr>
        <w:widowControl w:val="0"/>
        <w:adjustRightInd w:val="0"/>
        <w:snapToGrid w:val="0"/>
        <w:jc w:val="both"/>
        <w:rPr>
          <w:b/>
          <w:color w:val="000000"/>
          <w:u w:val="single"/>
        </w:rPr>
      </w:pPr>
    </w:p>
    <w:p w14:paraId="624225BA" w14:textId="77777777" w:rsidR="00135B05" w:rsidRPr="00D3089A" w:rsidRDefault="00135B05" w:rsidP="00452A3A">
      <w:pPr>
        <w:widowControl w:val="0"/>
        <w:adjustRightInd w:val="0"/>
        <w:snapToGrid w:val="0"/>
        <w:jc w:val="both"/>
        <w:rPr>
          <w:b/>
          <w:i/>
          <w:color w:val="000000"/>
          <w:u w:val="single"/>
        </w:rPr>
      </w:pPr>
      <w:r w:rsidRPr="00D3089A">
        <w:rPr>
          <w:b/>
          <w:i/>
          <w:color w:val="000000"/>
          <w:u w:val="single"/>
        </w:rPr>
        <w:t>Potential Nonresponse Bias</w:t>
      </w:r>
    </w:p>
    <w:p w14:paraId="5E0AE093" w14:textId="77777777" w:rsidR="00135B05" w:rsidRPr="00D3089A" w:rsidRDefault="00135B05" w:rsidP="00452A3A">
      <w:pPr>
        <w:widowControl w:val="0"/>
        <w:adjustRightInd w:val="0"/>
        <w:snapToGrid w:val="0"/>
        <w:jc w:val="both"/>
        <w:rPr>
          <w:color w:val="000000"/>
        </w:rPr>
      </w:pPr>
    </w:p>
    <w:p w14:paraId="79E34F1F" w14:textId="7BE4BD28" w:rsidR="00F573A5" w:rsidRPr="00D3089A" w:rsidRDefault="00F573A5" w:rsidP="00452A3A">
      <w:pPr>
        <w:widowControl w:val="0"/>
        <w:adjustRightInd w:val="0"/>
        <w:snapToGrid w:val="0"/>
        <w:ind w:firstLine="720"/>
        <w:jc w:val="both"/>
        <w:rPr>
          <w:color w:val="000000"/>
        </w:rPr>
      </w:pPr>
      <w:r w:rsidRPr="00D3089A">
        <w:rPr>
          <w:color w:val="000000"/>
        </w:rPr>
        <w:t xml:space="preserve">During data collection, we will monitor participation and response rates to identify any potential problems that are indicated by differential response rates across sites. The demographics and SCD severity of </w:t>
      </w:r>
      <w:r w:rsidR="000319C5" w:rsidRPr="00D3089A">
        <w:rPr>
          <w:color w:val="000000"/>
        </w:rPr>
        <w:t xml:space="preserve">the </w:t>
      </w:r>
      <w:r w:rsidRPr="00D3089A">
        <w:rPr>
          <w:color w:val="000000"/>
        </w:rPr>
        <w:t>population from which the Objective 1 SCD cases will be recruited</w:t>
      </w:r>
      <w:r w:rsidR="000319C5" w:rsidRPr="00D3089A">
        <w:rPr>
          <w:color w:val="000000"/>
        </w:rPr>
        <w:t xml:space="preserve"> are known</w:t>
      </w:r>
      <w:r w:rsidRPr="00D3089A">
        <w:rPr>
          <w:color w:val="000000"/>
        </w:rPr>
        <w:t xml:space="preserve">, therefore we will be able to compare the age, gender, SCD type and key indicators of disease severity between responders and non – responders.  If significant differences between the populations are detected, specific effort to recruit under-represented </w:t>
      </w:r>
      <w:r w:rsidR="000319C5" w:rsidRPr="00D3089A">
        <w:rPr>
          <w:color w:val="000000"/>
        </w:rPr>
        <w:t>sub-</w:t>
      </w:r>
      <w:r w:rsidRPr="00D3089A">
        <w:rPr>
          <w:color w:val="000000"/>
        </w:rPr>
        <w:t xml:space="preserve">populations will occur.  </w:t>
      </w:r>
    </w:p>
    <w:p w14:paraId="00AFF8AA" w14:textId="77777777" w:rsidR="00F573A5" w:rsidRPr="00D3089A" w:rsidRDefault="00F573A5" w:rsidP="00452A3A">
      <w:pPr>
        <w:widowControl w:val="0"/>
        <w:adjustRightInd w:val="0"/>
        <w:snapToGrid w:val="0"/>
        <w:ind w:firstLine="720"/>
        <w:jc w:val="both"/>
        <w:rPr>
          <w:color w:val="000000"/>
        </w:rPr>
      </w:pPr>
    </w:p>
    <w:p w14:paraId="62564ECD" w14:textId="3DD265C0" w:rsidR="00135B05" w:rsidRPr="00D3089A" w:rsidRDefault="00135B05" w:rsidP="00452A3A">
      <w:pPr>
        <w:widowControl w:val="0"/>
        <w:adjustRightInd w:val="0"/>
        <w:snapToGrid w:val="0"/>
        <w:ind w:firstLine="720"/>
        <w:jc w:val="both"/>
        <w:rPr>
          <w:color w:val="000000"/>
        </w:rPr>
      </w:pPr>
      <w:r w:rsidRPr="00D3089A">
        <w:rPr>
          <w:color w:val="000000"/>
        </w:rPr>
        <w:t xml:space="preserve">We expect low levels of item nonresponse </w:t>
      </w:r>
      <w:r w:rsidR="00A14609" w:rsidRPr="00D3089A">
        <w:rPr>
          <w:color w:val="000000"/>
        </w:rPr>
        <w:t xml:space="preserve">within the ACASI </w:t>
      </w:r>
      <w:r w:rsidR="00E70E9A" w:rsidRPr="00D3089A">
        <w:rPr>
          <w:color w:val="000000"/>
        </w:rPr>
        <w:t>for this study b</w:t>
      </w:r>
      <w:r w:rsidR="00A14609" w:rsidRPr="00D3089A">
        <w:rPr>
          <w:color w:val="000000"/>
        </w:rPr>
        <w:t xml:space="preserve">ecause the ACASI allows the subjects to answer questions </w:t>
      </w:r>
      <w:r w:rsidR="00E70E9A" w:rsidRPr="00D3089A">
        <w:rPr>
          <w:color w:val="000000"/>
        </w:rPr>
        <w:t xml:space="preserve">confidentially on a </w:t>
      </w:r>
      <w:r w:rsidR="000319C5" w:rsidRPr="00D3089A">
        <w:rPr>
          <w:color w:val="000000"/>
        </w:rPr>
        <w:t xml:space="preserve">touch-screen </w:t>
      </w:r>
      <w:r w:rsidR="00E70E9A" w:rsidRPr="00D3089A">
        <w:rPr>
          <w:color w:val="000000"/>
        </w:rPr>
        <w:t xml:space="preserve">computer.  </w:t>
      </w:r>
      <w:r w:rsidRPr="00D3089A">
        <w:rPr>
          <w:color w:val="000000"/>
        </w:rPr>
        <w:t xml:space="preserve">Our use of ACASI was very successful in </w:t>
      </w:r>
      <w:r w:rsidR="00E70E9A" w:rsidRPr="00D3089A">
        <w:rPr>
          <w:color w:val="000000"/>
        </w:rPr>
        <w:t>previous REDS-II studies</w:t>
      </w:r>
      <w:r w:rsidRPr="00D3089A">
        <w:rPr>
          <w:color w:val="000000"/>
        </w:rPr>
        <w:t xml:space="preserve"> with little evidence of important levels of nonresponse to any of the questions asked during the interview. For example, </w:t>
      </w:r>
      <w:r w:rsidR="000319C5" w:rsidRPr="00D3089A">
        <w:rPr>
          <w:color w:val="000000"/>
        </w:rPr>
        <w:t xml:space="preserve">when subjects </w:t>
      </w:r>
      <w:r w:rsidRPr="00D3089A">
        <w:rPr>
          <w:color w:val="000000"/>
        </w:rPr>
        <w:t>we</w:t>
      </w:r>
      <w:r w:rsidR="000319C5" w:rsidRPr="00D3089A">
        <w:rPr>
          <w:color w:val="000000"/>
        </w:rPr>
        <w:t>re</w:t>
      </w:r>
      <w:r w:rsidR="00600464">
        <w:rPr>
          <w:color w:val="000000"/>
        </w:rPr>
        <w:t xml:space="preserve"> asked</w:t>
      </w:r>
      <w:r w:rsidR="000319C5" w:rsidRPr="00D3089A">
        <w:rPr>
          <w:color w:val="000000"/>
        </w:rPr>
        <w:t xml:space="preserve"> if they</w:t>
      </w:r>
      <w:r w:rsidRPr="00D3089A">
        <w:rPr>
          <w:color w:val="000000"/>
        </w:rPr>
        <w:t xml:space="preserve"> had ever been tested for H</w:t>
      </w:r>
      <w:r w:rsidR="000319C5" w:rsidRPr="00D3089A">
        <w:rPr>
          <w:color w:val="000000"/>
        </w:rPr>
        <w:t>IV outside of blood donation o</w:t>
      </w:r>
      <w:r w:rsidRPr="00D3089A">
        <w:rPr>
          <w:color w:val="000000"/>
        </w:rPr>
        <w:t>nly 1 person out of 1244 respondents (&lt;0.1%) refused to answer this question. Similarly, for a clearly social sensitive question in which we asked respondents to classify their sexual orientation</w:t>
      </w:r>
      <w:r w:rsidR="000319C5" w:rsidRPr="00D3089A">
        <w:rPr>
          <w:color w:val="000000"/>
        </w:rPr>
        <w:t>, only</w:t>
      </w:r>
      <w:r w:rsidRPr="00D3089A">
        <w:rPr>
          <w:color w:val="000000"/>
        </w:rPr>
        <w:t xml:space="preserve"> 18 out 1244 respondents (1.4%) refused to answer. </w:t>
      </w:r>
      <w:r w:rsidR="00421B74">
        <w:rPr>
          <w:color w:val="000000"/>
        </w:rPr>
        <w:t xml:space="preserve">The rate of unanswered questions in the study ranged from &lt;0.1% - 5% across </w:t>
      </w:r>
      <w:r w:rsidR="001923A7">
        <w:rPr>
          <w:color w:val="000000"/>
        </w:rPr>
        <w:t>all questions</w:t>
      </w:r>
      <w:r w:rsidR="0054421A">
        <w:rPr>
          <w:color w:val="000000"/>
        </w:rPr>
        <w:t>.</w:t>
      </w:r>
      <w:r w:rsidR="001923A7">
        <w:rPr>
          <w:color w:val="000000"/>
        </w:rPr>
        <w:t xml:space="preserve"> </w:t>
      </w:r>
      <w:r w:rsidRPr="00D3089A">
        <w:rPr>
          <w:color w:val="000000"/>
        </w:rPr>
        <w:t>These data suggest that the use of ACASI was successful in eliciting responses to stigmatizing or socially sensitive questions, and we expect the sam</w:t>
      </w:r>
      <w:r w:rsidR="000319C5" w:rsidRPr="00D3089A">
        <w:rPr>
          <w:color w:val="000000"/>
        </w:rPr>
        <w:t>e to be true for</w:t>
      </w:r>
      <w:r w:rsidR="00E70E9A" w:rsidRPr="00D3089A">
        <w:rPr>
          <w:color w:val="000000"/>
        </w:rPr>
        <w:t xml:space="preserve"> this very similar interview in the REDS-III HIV SCD study</w:t>
      </w:r>
      <w:r w:rsidRPr="00D3089A">
        <w:rPr>
          <w:color w:val="000000"/>
        </w:rPr>
        <w:t xml:space="preserve">. </w:t>
      </w:r>
    </w:p>
    <w:p w14:paraId="241A01CA" w14:textId="77777777" w:rsidR="00135B05" w:rsidRPr="00D3089A" w:rsidRDefault="00135B05" w:rsidP="00452A3A">
      <w:pPr>
        <w:widowControl w:val="0"/>
        <w:adjustRightInd w:val="0"/>
        <w:snapToGrid w:val="0"/>
        <w:jc w:val="both"/>
        <w:rPr>
          <w:b/>
          <w:color w:val="000000"/>
        </w:rPr>
      </w:pPr>
    </w:p>
    <w:p w14:paraId="14C36AC4" w14:textId="77777777" w:rsidR="00135B05" w:rsidRPr="00D3089A" w:rsidRDefault="00135B05" w:rsidP="00452A3A">
      <w:pPr>
        <w:widowControl w:val="0"/>
        <w:adjustRightInd w:val="0"/>
        <w:snapToGrid w:val="0"/>
        <w:jc w:val="both"/>
        <w:rPr>
          <w:b/>
          <w:color w:val="000000"/>
          <w:u w:val="single"/>
        </w:rPr>
      </w:pPr>
      <w:r w:rsidRPr="00D3089A">
        <w:rPr>
          <w:b/>
          <w:color w:val="000000"/>
          <w:u w:val="single"/>
        </w:rPr>
        <w:t>Sample Size Calculations:</w:t>
      </w:r>
    </w:p>
    <w:p w14:paraId="27E3A683" w14:textId="77777777" w:rsidR="00BB3E27" w:rsidRPr="00D3089A" w:rsidRDefault="00BB3E27" w:rsidP="00452A3A">
      <w:pPr>
        <w:widowControl w:val="0"/>
        <w:autoSpaceDE w:val="0"/>
        <w:autoSpaceDN w:val="0"/>
        <w:adjustRightInd w:val="0"/>
        <w:snapToGrid w:val="0"/>
        <w:ind w:firstLine="720"/>
        <w:jc w:val="both"/>
      </w:pPr>
    </w:p>
    <w:p w14:paraId="6377CA1A" w14:textId="67367ADA" w:rsidR="00E70E9A" w:rsidRPr="00D3089A" w:rsidRDefault="00E70E9A" w:rsidP="000319C5">
      <w:pPr>
        <w:ind w:firstLine="360"/>
        <w:jc w:val="both"/>
      </w:pPr>
      <w:r w:rsidRPr="00D3089A">
        <w:t>The number of sexual partners in</w:t>
      </w:r>
      <w:r w:rsidR="000319C5" w:rsidRPr="00D3089A">
        <w:t xml:space="preserve"> the</w:t>
      </w:r>
      <w:r w:rsidRPr="00D3089A">
        <w:t xml:space="preserve"> previous year was chosen as </w:t>
      </w:r>
      <w:r w:rsidR="000319C5" w:rsidRPr="00D3089A">
        <w:t xml:space="preserve">the </w:t>
      </w:r>
      <w:r w:rsidRPr="00D3089A">
        <w:t>primary outcome (HIV risk fac</w:t>
      </w:r>
      <w:r w:rsidR="000319C5" w:rsidRPr="00D3089A">
        <w:t xml:space="preserve">tor) on which to power study. </w:t>
      </w:r>
      <w:r w:rsidRPr="00D3089A">
        <w:t>A simulation study was conducted to explore statistical power for a comparison of rates of sexual activity among patients with sickle cell disease (cases) and age matched persons without sickle cell disease (controls).  It was assumed that subjects would be classified into three levels of sexual activity: 0, 1-2 or 3+ partners in the preceding year to produce a 3-level multinomial distribution. The distribution in the controls was based on the distribution observed in an HIV negative control population in a previous REDS-II study in Brazil:  6.3% in the zero activity group, 86.6% in the low activity group and 7.1% in the high activity group.  The simulations proceeded as follows:</w:t>
      </w:r>
    </w:p>
    <w:p w14:paraId="05913179" w14:textId="77777777" w:rsidR="00E70E9A" w:rsidRPr="00D3089A" w:rsidRDefault="00E70E9A" w:rsidP="00452A3A">
      <w:pPr>
        <w:pStyle w:val="ListParagraph"/>
        <w:numPr>
          <w:ilvl w:val="0"/>
          <w:numId w:val="8"/>
        </w:numPr>
        <w:spacing w:after="160" w:line="259" w:lineRule="auto"/>
        <w:jc w:val="both"/>
      </w:pPr>
      <w:r w:rsidRPr="00D3089A">
        <w:t xml:space="preserve">Specify a distribution of activity among sickle cell patients.  </w:t>
      </w:r>
    </w:p>
    <w:p w14:paraId="2E23A342" w14:textId="77777777" w:rsidR="00E70E9A" w:rsidRPr="00D3089A" w:rsidRDefault="00E70E9A" w:rsidP="00452A3A">
      <w:pPr>
        <w:pStyle w:val="ListParagraph"/>
        <w:numPr>
          <w:ilvl w:val="0"/>
          <w:numId w:val="8"/>
        </w:numPr>
        <w:spacing w:after="160" w:line="259" w:lineRule="auto"/>
        <w:jc w:val="both"/>
      </w:pPr>
      <w:r w:rsidRPr="00D3089A">
        <w:t xml:space="preserve">Take random samples of 500 simulated subjects from the multinomial distributions for the cases and controls.  </w:t>
      </w:r>
    </w:p>
    <w:p w14:paraId="283AEC93" w14:textId="77777777" w:rsidR="00E70E9A" w:rsidRPr="00D3089A" w:rsidRDefault="00E70E9A" w:rsidP="00452A3A">
      <w:pPr>
        <w:pStyle w:val="ListParagraph"/>
        <w:numPr>
          <w:ilvl w:val="0"/>
          <w:numId w:val="8"/>
        </w:numPr>
        <w:spacing w:after="160" w:line="259" w:lineRule="auto"/>
        <w:jc w:val="both"/>
      </w:pPr>
      <w:r w:rsidRPr="00D3089A">
        <w:t>Perform a chi square test to compare the two distributions and note whether the resulting p value was &lt;0.05.  Repeat using the first 250 subjects per group, the first 200 subjects per group, the first 150 and the first 100 subjects per group.</w:t>
      </w:r>
    </w:p>
    <w:p w14:paraId="779295D2" w14:textId="77777777" w:rsidR="00E70E9A" w:rsidRPr="00D3089A" w:rsidRDefault="00E70E9A" w:rsidP="00452A3A">
      <w:pPr>
        <w:pStyle w:val="ListParagraph"/>
        <w:numPr>
          <w:ilvl w:val="0"/>
          <w:numId w:val="8"/>
        </w:numPr>
        <w:spacing w:after="160" w:line="259" w:lineRule="auto"/>
        <w:jc w:val="both"/>
      </w:pPr>
      <w:r w:rsidRPr="00D3089A">
        <w:t>Repeat this 2,000 time; the proportion of the replicates with p&lt;0.05 is an estimate of statistical power for the comparison in question at samples sizes of 500, 250, 200, 150 and 100 per group.</w:t>
      </w:r>
    </w:p>
    <w:p w14:paraId="4D8A91FF" w14:textId="07E79B02" w:rsidR="00E70E9A" w:rsidRPr="00D3089A" w:rsidRDefault="00E70E9A" w:rsidP="000319C5">
      <w:pPr>
        <w:ind w:firstLine="360"/>
        <w:jc w:val="both"/>
      </w:pPr>
      <w:r w:rsidRPr="00D3089A">
        <w:t>Results are summarized in table</w:t>
      </w:r>
      <w:r w:rsidR="000319C5" w:rsidRPr="00D3089A">
        <w:t xml:space="preserve"> 2</w:t>
      </w:r>
      <w:r w:rsidRPr="00D3089A">
        <w:t xml:space="preserve"> below.  The estimates of statistical power are grouped according to the assumed proportion with zero activity in the cases.  Within each assumed proportion with zero activity, estimates of power are listed in order of descending proportions in the low activity group.  Estimates of power that are </w:t>
      </w:r>
      <w:r w:rsidRPr="00D3089A">
        <w:rPr>
          <w:u w:val="single"/>
        </w:rPr>
        <w:t>&gt;</w:t>
      </w:r>
      <w:r w:rsidRPr="00D3089A">
        <w:t xml:space="preserve">0.80 are shown in bold.  Power calculations were restricted to situations in which the cases (SCD patients) have lower sexual activity than the controls meaning that (1) the sum of the percentages in the low and high activity groups was lower in the cases than the controls </w:t>
      </w:r>
      <w:r w:rsidRPr="00D3089A">
        <w:rPr>
          <w:u w:val="single"/>
        </w:rPr>
        <w:t>and</w:t>
      </w:r>
      <w:r w:rsidRPr="00D3089A">
        <w:t xml:space="preserve"> (2) the percentage in the high activity group was lower in the cases than in the controls. </w:t>
      </w:r>
    </w:p>
    <w:p w14:paraId="580FD574" w14:textId="77777777" w:rsidR="00E70E9A" w:rsidRPr="00D3089A" w:rsidRDefault="00E70E9A" w:rsidP="00452A3A">
      <w:pPr>
        <w:jc w:val="both"/>
      </w:pPr>
    </w:p>
    <w:p w14:paraId="727C999B" w14:textId="77777777" w:rsidR="00E70E9A" w:rsidRPr="00D3089A" w:rsidRDefault="00E70E9A" w:rsidP="00452A3A">
      <w:pPr>
        <w:jc w:val="both"/>
      </w:pPr>
    </w:p>
    <w:p w14:paraId="311DC0AD" w14:textId="77777777" w:rsidR="00E70E9A" w:rsidRPr="00D3089A" w:rsidRDefault="00E70E9A" w:rsidP="00452A3A">
      <w:pPr>
        <w:jc w:val="both"/>
      </w:pPr>
      <w:r w:rsidRPr="00D3089A">
        <w:t>Table 2 Power Simulations</w:t>
      </w:r>
    </w:p>
    <w:tbl>
      <w:tblPr>
        <w:tblStyle w:val="TableGrid"/>
        <w:tblW w:w="0" w:type="auto"/>
        <w:jc w:val="center"/>
        <w:tblLook w:val="04A0" w:firstRow="1" w:lastRow="0" w:firstColumn="1" w:lastColumn="0" w:noHBand="0" w:noVBand="1"/>
      </w:tblPr>
      <w:tblGrid>
        <w:gridCol w:w="1647"/>
        <w:gridCol w:w="1418"/>
        <w:gridCol w:w="1468"/>
        <w:gridCol w:w="1398"/>
        <w:gridCol w:w="1477"/>
        <w:gridCol w:w="9"/>
      </w:tblGrid>
      <w:tr w:rsidR="00E70E9A" w:rsidRPr="00D3089A" w14:paraId="241A02E7" w14:textId="77777777" w:rsidTr="00E70E9A">
        <w:trPr>
          <w:jc w:val="center"/>
        </w:trPr>
        <w:tc>
          <w:tcPr>
            <w:tcW w:w="1647" w:type="dxa"/>
            <w:vMerge w:val="restart"/>
          </w:tcPr>
          <w:p w14:paraId="5D757FF1" w14:textId="77777777" w:rsidR="00E70E9A" w:rsidRPr="00D3089A" w:rsidRDefault="00E70E9A" w:rsidP="00452A3A">
            <w:pPr>
              <w:jc w:val="both"/>
            </w:pPr>
            <w:r w:rsidRPr="00D3089A">
              <w:t>Distribution in the cases</w:t>
            </w:r>
          </w:p>
        </w:tc>
        <w:tc>
          <w:tcPr>
            <w:tcW w:w="5770" w:type="dxa"/>
            <w:gridSpan w:val="5"/>
          </w:tcPr>
          <w:p w14:paraId="7FBA2B3F" w14:textId="77777777" w:rsidR="00E70E9A" w:rsidRPr="00D3089A" w:rsidRDefault="00E70E9A" w:rsidP="00452A3A">
            <w:pPr>
              <w:jc w:val="both"/>
            </w:pPr>
            <w:r w:rsidRPr="00D3089A">
              <w:t>Power</w:t>
            </w:r>
          </w:p>
        </w:tc>
      </w:tr>
      <w:tr w:rsidR="00E70E9A" w:rsidRPr="00D3089A" w14:paraId="39867237" w14:textId="77777777" w:rsidTr="00E70E9A">
        <w:trPr>
          <w:gridAfter w:val="1"/>
          <w:wAfter w:w="9" w:type="dxa"/>
          <w:jc w:val="center"/>
        </w:trPr>
        <w:tc>
          <w:tcPr>
            <w:tcW w:w="1647" w:type="dxa"/>
            <w:vMerge/>
          </w:tcPr>
          <w:p w14:paraId="14EE2ADE" w14:textId="77777777" w:rsidR="00E70E9A" w:rsidRPr="00D3089A" w:rsidRDefault="00E70E9A" w:rsidP="00452A3A">
            <w:pPr>
              <w:jc w:val="both"/>
            </w:pPr>
          </w:p>
        </w:tc>
        <w:tc>
          <w:tcPr>
            <w:tcW w:w="1418" w:type="dxa"/>
          </w:tcPr>
          <w:p w14:paraId="0FEF3D0D" w14:textId="77777777" w:rsidR="00E70E9A" w:rsidRPr="00D3089A" w:rsidRDefault="00E70E9A" w:rsidP="00452A3A">
            <w:pPr>
              <w:jc w:val="both"/>
            </w:pPr>
            <w:r w:rsidRPr="00D3089A">
              <w:t>100 per group</w:t>
            </w:r>
          </w:p>
        </w:tc>
        <w:tc>
          <w:tcPr>
            <w:tcW w:w="1468" w:type="dxa"/>
          </w:tcPr>
          <w:p w14:paraId="6805CA40" w14:textId="77777777" w:rsidR="00E70E9A" w:rsidRPr="00D3089A" w:rsidRDefault="00E70E9A" w:rsidP="00452A3A">
            <w:pPr>
              <w:jc w:val="both"/>
            </w:pPr>
            <w:r w:rsidRPr="00D3089A">
              <w:t>150 per group</w:t>
            </w:r>
          </w:p>
        </w:tc>
        <w:tc>
          <w:tcPr>
            <w:tcW w:w="1398" w:type="dxa"/>
          </w:tcPr>
          <w:p w14:paraId="412CF1BC" w14:textId="77777777" w:rsidR="00E70E9A" w:rsidRPr="00D3089A" w:rsidRDefault="00E70E9A" w:rsidP="00452A3A">
            <w:pPr>
              <w:jc w:val="both"/>
            </w:pPr>
            <w:r w:rsidRPr="00D3089A">
              <w:t>200 per group</w:t>
            </w:r>
          </w:p>
        </w:tc>
        <w:tc>
          <w:tcPr>
            <w:tcW w:w="1477" w:type="dxa"/>
          </w:tcPr>
          <w:p w14:paraId="74429621" w14:textId="77777777" w:rsidR="00E70E9A" w:rsidRPr="00D3089A" w:rsidRDefault="00E70E9A" w:rsidP="00452A3A">
            <w:pPr>
              <w:jc w:val="both"/>
            </w:pPr>
            <w:r w:rsidRPr="00D3089A">
              <w:t>250 per group</w:t>
            </w:r>
          </w:p>
        </w:tc>
      </w:tr>
      <w:tr w:rsidR="00E70E9A" w:rsidRPr="00D3089A" w14:paraId="6D2BF729" w14:textId="77777777" w:rsidTr="00E70E9A">
        <w:trPr>
          <w:gridAfter w:val="1"/>
          <w:wAfter w:w="9" w:type="dxa"/>
          <w:jc w:val="center"/>
        </w:trPr>
        <w:tc>
          <w:tcPr>
            <w:tcW w:w="1647" w:type="dxa"/>
          </w:tcPr>
          <w:p w14:paraId="75D87621" w14:textId="77777777" w:rsidR="00E70E9A" w:rsidRPr="00D3089A" w:rsidRDefault="00E70E9A" w:rsidP="00452A3A">
            <w:pPr>
              <w:jc w:val="both"/>
            </w:pPr>
            <w:r w:rsidRPr="00D3089A">
              <w:t>15/85/0</w:t>
            </w:r>
          </w:p>
        </w:tc>
        <w:tc>
          <w:tcPr>
            <w:tcW w:w="1418" w:type="dxa"/>
            <w:shd w:val="clear" w:color="auto" w:fill="F2F2F2" w:themeFill="background1" w:themeFillShade="F2"/>
          </w:tcPr>
          <w:p w14:paraId="0C38BB24" w14:textId="77777777" w:rsidR="00E70E9A" w:rsidRPr="00D3089A" w:rsidRDefault="00E70E9A" w:rsidP="00452A3A">
            <w:pPr>
              <w:jc w:val="both"/>
              <w:rPr>
                <w:b/>
                <w:bCs/>
              </w:rPr>
            </w:pPr>
            <w:r w:rsidRPr="00D3089A">
              <w:rPr>
                <w:b/>
                <w:bCs/>
              </w:rPr>
              <w:t>0.92</w:t>
            </w:r>
          </w:p>
        </w:tc>
        <w:tc>
          <w:tcPr>
            <w:tcW w:w="1468" w:type="dxa"/>
            <w:shd w:val="clear" w:color="auto" w:fill="F2F2F2" w:themeFill="background1" w:themeFillShade="F2"/>
          </w:tcPr>
          <w:p w14:paraId="776FFDF6" w14:textId="77777777" w:rsidR="00E70E9A" w:rsidRPr="00D3089A" w:rsidRDefault="00E70E9A" w:rsidP="00452A3A">
            <w:pPr>
              <w:jc w:val="both"/>
              <w:rPr>
                <w:b/>
                <w:bCs/>
              </w:rPr>
            </w:pPr>
            <w:r w:rsidRPr="00D3089A">
              <w:rPr>
                <w:b/>
                <w:bCs/>
              </w:rPr>
              <w:t>0.99</w:t>
            </w:r>
          </w:p>
        </w:tc>
        <w:tc>
          <w:tcPr>
            <w:tcW w:w="1398" w:type="dxa"/>
            <w:shd w:val="clear" w:color="auto" w:fill="F2F2F2" w:themeFill="background1" w:themeFillShade="F2"/>
          </w:tcPr>
          <w:p w14:paraId="1E6EB4D0" w14:textId="77777777" w:rsidR="00E70E9A" w:rsidRPr="00D3089A" w:rsidRDefault="00E70E9A" w:rsidP="00452A3A">
            <w:pPr>
              <w:jc w:val="both"/>
              <w:rPr>
                <w:b/>
                <w:bCs/>
              </w:rPr>
            </w:pPr>
            <w:r w:rsidRPr="00D3089A">
              <w:rPr>
                <w:b/>
                <w:bCs/>
              </w:rPr>
              <w:t>0.995</w:t>
            </w:r>
          </w:p>
        </w:tc>
        <w:tc>
          <w:tcPr>
            <w:tcW w:w="1477" w:type="dxa"/>
            <w:shd w:val="clear" w:color="auto" w:fill="auto"/>
          </w:tcPr>
          <w:p w14:paraId="181B5F84" w14:textId="77777777" w:rsidR="00E70E9A" w:rsidRPr="00D3089A" w:rsidRDefault="00E70E9A" w:rsidP="00452A3A">
            <w:pPr>
              <w:jc w:val="both"/>
              <w:rPr>
                <w:b/>
                <w:bCs/>
              </w:rPr>
            </w:pPr>
          </w:p>
        </w:tc>
      </w:tr>
      <w:tr w:rsidR="00E70E9A" w:rsidRPr="00D3089A" w14:paraId="4EC5293F" w14:textId="77777777" w:rsidTr="00E70E9A">
        <w:trPr>
          <w:gridAfter w:val="1"/>
          <w:wAfter w:w="9" w:type="dxa"/>
          <w:jc w:val="center"/>
        </w:trPr>
        <w:tc>
          <w:tcPr>
            <w:tcW w:w="1647" w:type="dxa"/>
          </w:tcPr>
          <w:p w14:paraId="4AB5C02D" w14:textId="77777777" w:rsidR="00E70E9A" w:rsidRPr="00D3089A" w:rsidRDefault="00E70E9A" w:rsidP="00452A3A">
            <w:pPr>
              <w:jc w:val="both"/>
            </w:pPr>
            <w:r w:rsidRPr="00D3089A">
              <w:t>15/84/1</w:t>
            </w:r>
          </w:p>
        </w:tc>
        <w:tc>
          <w:tcPr>
            <w:tcW w:w="1418" w:type="dxa"/>
            <w:shd w:val="clear" w:color="auto" w:fill="auto"/>
          </w:tcPr>
          <w:p w14:paraId="399A67EC" w14:textId="77777777" w:rsidR="00E70E9A" w:rsidRPr="00D3089A" w:rsidRDefault="00E70E9A" w:rsidP="00452A3A">
            <w:pPr>
              <w:jc w:val="both"/>
            </w:pPr>
            <w:r w:rsidRPr="00D3089A">
              <w:t>0.76</w:t>
            </w:r>
          </w:p>
        </w:tc>
        <w:tc>
          <w:tcPr>
            <w:tcW w:w="1468" w:type="dxa"/>
            <w:shd w:val="clear" w:color="auto" w:fill="F2F2F2" w:themeFill="background1" w:themeFillShade="F2"/>
          </w:tcPr>
          <w:p w14:paraId="73919FF3" w14:textId="77777777" w:rsidR="00E70E9A" w:rsidRPr="00D3089A" w:rsidRDefault="00E70E9A" w:rsidP="00452A3A">
            <w:pPr>
              <w:jc w:val="both"/>
              <w:rPr>
                <w:b/>
                <w:bCs/>
              </w:rPr>
            </w:pPr>
            <w:r w:rsidRPr="00D3089A">
              <w:rPr>
                <w:b/>
                <w:bCs/>
              </w:rPr>
              <w:t>0.92</w:t>
            </w:r>
          </w:p>
        </w:tc>
        <w:tc>
          <w:tcPr>
            <w:tcW w:w="1398" w:type="dxa"/>
            <w:shd w:val="clear" w:color="auto" w:fill="F2F2F2" w:themeFill="background1" w:themeFillShade="F2"/>
          </w:tcPr>
          <w:p w14:paraId="34B2179A" w14:textId="77777777" w:rsidR="00E70E9A" w:rsidRPr="00D3089A" w:rsidRDefault="00E70E9A" w:rsidP="00452A3A">
            <w:pPr>
              <w:jc w:val="both"/>
              <w:rPr>
                <w:b/>
                <w:bCs/>
              </w:rPr>
            </w:pPr>
            <w:r w:rsidRPr="00D3089A">
              <w:rPr>
                <w:b/>
                <w:bCs/>
              </w:rPr>
              <w:t>0.98</w:t>
            </w:r>
          </w:p>
        </w:tc>
        <w:tc>
          <w:tcPr>
            <w:tcW w:w="1477" w:type="dxa"/>
            <w:shd w:val="clear" w:color="auto" w:fill="auto"/>
          </w:tcPr>
          <w:p w14:paraId="2F403F32" w14:textId="77777777" w:rsidR="00E70E9A" w:rsidRPr="00D3089A" w:rsidRDefault="00E70E9A" w:rsidP="00452A3A">
            <w:pPr>
              <w:jc w:val="both"/>
              <w:rPr>
                <w:b/>
                <w:bCs/>
              </w:rPr>
            </w:pPr>
          </w:p>
        </w:tc>
      </w:tr>
      <w:tr w:rsidR="00E70E9A" w:rsidRPr="00D3089A" w14:paraId="1E55B6BD" w14:textId="77777777" w:rsidTr="00E70E9A">
        <w:trPr>
          <w:gridAfter w:val="1"/>
          <w:wAfter w:w="9" w:type="dxa"/>
          <w:jc w:val="center"/>
        </w:trPr>
        <w:tc>
          <w:tcPr>
            <w:tcW w:w="1647" w:type="dxa"/>
          </w:tcPr>
          <w:p w14:paraId="7CCC25AF" w14:textId="77777777" w:rsidR="00E70E9A" w:rsidRPr="00D3089A" w:rsidRDefault="00E70E9A" w:rsidP="00452A3A">
            <w:pPr>
              <w:jc w:val="both"/>
            </w:pPr>
            <w:r w:rsidRPr="00D3089A">
              <w:t>15/83/2</w:t>
            </w:r>
          </w:p>
        </w:tc>
        <w:tc>
          <w:tcPr>
            <w:tcW w:w="1418" w:type="dxa"/>
            <w:shd w:val="clear" w:color="auto" w:fill="auto"/>
          </w:tcPr>
          <w:p w14:paraId="3ECE9592" w14:textId="77777777" w:rsidR="00E70E9A" w:rsidRPr="00D3089A" w:rsidRDefault="00E70E9A" w:rsidP="00452A3A">
            <w:pPr>
              <w:jc w:val="both"/>
            </w:pPr>
            <w:r w:rsidRPr="00D3089A">
              <w:t>0.63</w:t>
            </w:r>
          </w:p>
        </w:tc>
        <w:tc>
          <w:tcPr>
            <w:tcW w:w="1468" w:type="dxa"/>
            <w:shd w:val="clear" w:color="auto" w:fill="F2F2F2" w:themeFill="background1" w:themeFillShade="F2"/>
          </w:tcPr>
          <w:p w14:paraId="164CEA91" w14:textId="77777777" w:rsidR="00E70E9A" w:rsidRPr="00D3089A" w:rsidRDefault="00E70E9A" w:rsidP="00452A3A">
            <w:pPr>
              <w:jc w:val="both"/>
              <w:rPr>
                <w:b/>
                <w:bCs/>
              </w:rPr>
            </w:pPr>
            <w:r w:rsidRPr="00D3089A">
              <w:rPr>
                <w:b/>
                <w:bCs/>
              </w:rPr>
              <w:t>0.825</w:t>
            </w:r>
          </w:p>
        </w:tc>
        <w:tc>
          <w:tcPr>
            <w:tcW w:w="1398" w:type="dxa"/>
            <w:shd w:val="clear" w:color="auto" w:fill="F2F2F2" w:themeFill="background1" w:themeFillShade="F2"/>
          </w:tcPr>
          <w:p w14:paraId="1FCF7F11" w14:textId="77777777" w:rsidR="00E70E9A" w:rsidRPr="00D3089A" w:rsidRDefault="00E70E9A" w:rsidP="00452A3A">
            <w:pPr>
              <w:jc w:val="both"/>
              <w:rPr>
                <w:b/>
                <w:bCs/>
              </w:rPr>
            </w:pPr>
            <w:r w:rsidRPr="00D3089A">
              <w:rPr>
                <w:b/>
                <w:bCs/>
              </w:rPr>
              <w:t>0.92</w:t>
            </w:r>
          </w:p>
        </w:tc>
        <w:tc>
          <w:tcPr>
            <w:tcW w:w="1477" w:type="dxa"/>
            <w:shd w:val="clear" w:color="auto" w:fill="auto"/>
          </w:tcPr>
          <w:p w14:paraId="764A601A" w14:textId="77777777" w:rsidR="00E70E9A" w:rsidRPr="00D3089A" w:rsidRDefault="00E70E9A" w:rsidP="00452A3A">
            <w:pPr>
              <w:jc w:val="both"/>
              <w:rPr>
                <w:b/>
                <w:bCs/>
              </w:rPr>
            </w:pPr>
          </w:p>
        </w:tc>
      </w:tr>
      <w:tr w:rsidR="00E70E9A" w:rsidRPr="00D3089A" w14:paraId="0B2D409D" w14:textId="77777777" w:rsidTr="00E70E9A">
        <w:trPr>
          <w:gridAfter w:val="1"/>
          <w:wAfter w:w="9" w:type="dxa"/>
          <w:jc w:val="center"/>
        </w:trPr>
        <w:tc>
          <w:tcPr>
            <w:tcW w:w="1647" w:type="dxa"/>
          </w:tcPr>
          <w:p w14:paraId="59503CB6" w14:textId="77777777" w:rsidR="00E70E9A" w:rsidRPr="00D3089A" w:rsidRDefault="00E70E9A" w:rsidP="00452A3A">
            <w:pPr>
              <w:jc w:val="both"/>
            </w:pPr>
            <w:r w:rsidRPr="00D3089A">
              <w:t>15/82/3</w:t>
            </w:r>
          </w:p>
        </w:tc>
        <w:tc>
          <w:tcPr>
            <w:tcW w:w="1418" w:type="dxa"/>
            <w:shd w:val="clear" w:color="auto" w:fill="auto"/>
          </w:tcPr>
          <w:p w14:paraId="7635F9F7" w14:textId="77777777" w:rsidR="00E70E9A" w:rsidRPr="00D3089A" w:rsidRDefault="00E70E9A" w:rsidP="00452A3A">
            <w:pPr>
              <w:jc w:val="both"/>
            </w:pPr>
            <w:r w:rsidRPr="00D3089A">
              <w:t>0.53</w:t>
            </w:r>
          </w:p>
        </w:tc>
        <w:tc>
          <w:tcPr>
            <w:tcW w:w="1468" w:type="dxa"/>
          </w:tcPr>
          <w:p w14:paraId="0FC36F7F" w14:textId="77777777" w:rsidR="00E70E9A" w:rsidRPr="00D3089A" w:rsidRDefault="00E70E9A" w:rsidP="00452A3A">
            <w:pPr>
              <w:jc w:val="both"/>
            </w:pPr>
            <w:r w:rsidRPr="00D3089A">
              <w:t>0.72</w:t>
            </w:r>
          </w:p>
        </w:tc>
        <w:tc>
          <w:tcPr>
            <w:tcW w:w="1398" w:type="dxa"/>
            <w:shd w:val="clear" w:color="auto" w:fill="F2F2F2" w:themeFill="background1" w:themeFillShade="F2"/>
          </w:tcPr>
          <w:p w14:paraId="57990ADD" w14:textId="77777777" w:rsidR="00E70E9A" w:rsidRPr="00D3089A" w:rsidRDefault="00E70E9A" w:rsidP="00452A3A">
            <w:pPr>
              <w:jc w:val="both"/>
              <w:rPr>
                <w:b/>
                <w:bCs/>
              </w:rPr>
            </w:pPr>
            <w:r w:rsidRPr="00D3089A">
              <w:rPr>
                <w:b/>
                <w:bCs/>
              </w:rPr>
              <w:t>0.86</w:t>
            </w:r>
          </w:p>
        </w:tc>
        <w:tc>
          <w:tcPr>
            <w:tcW w:w="1477" w:type="dxa"/>
            <w:shd w:val="clear" w:color="auto" w:fill="auto"/>
          </w:tcPr>
          <w:p w14:paraId="2542B52D" w14:textId="77777777" w:rsidR="00E70E9A" w:rsidRPr="00D3089A" w:rsidRDefault="00E70E9A" w:rsidP="00452A3A">
            <w:pPr>
              <w:jc w:val="both"/>
              <w:rPr>
                <w:b/>
                <w:bCs/>
              </w:rPr>
            </w:pPr>
          </w:p>
        </w:tc>
      </w:tr>
      <w:tr w:rsidR="00E70E9A" w:rsidRPr="00D3089A" w14:paraId="7F118B45" w14:textId="77777777" w:rsidTr="00E70E9A">
        <w:trPr>
          <w:gridAfter w:val="1"/>
          <w:wAfter w:w="9" w:type="dxa"/>
          <w:jc w:val="center"/>
        </w:trPr>
        <w:tc>
          <w:tcPr>
            <w:tcW w:w="1647" w:type="dxa"/>
          </w:tcPr>
          <w:p w14:paraId="62148287" w14:textId="77777777" w:rsidR="00E70E9A" w:rsidRPr="00D3089A" w:rsidRDefault="00E70E9A" w:rsidP="00452A3A">
            <w:pPr>
              <w:jc w:val="both"/>
            </w:pPr>
            <w:r w:rsidRPr="00D3089A">
              <w:t>15/81/4</w:t>
            </w:r>
          </w:p>
        </w:tc>
        <w:tc>
          <w:tcPr>
            <w:tcW w:w="1418" w:type="dxa"/>
            <w:shd w:val="clear" w:color="auto" w:fill="auto"/>
          </w:tcPr>
          <w:p w14:paraId="47E0576C" w14:textId="77777777" w:rsidR="00E70E9A" w:rsidRPr="00D3089A" w:rsidRDefault="00E70E9A" w:rsidP="00452A3A">
            <w:pPr>
              <w:jc w:val="both"/>
            </w:pPr>
            <w:r w:rsidRPr="00D3089A">
              <w:t>0.475</w:t>
            </w:r>
          </w:p>
        </w:tc>
        <w:tc>
          <w:tcPr>
            <w:tcW w:w="1468" w:type="dxa"/>
          </w:tcPr>
          <w:p w14:paraId="0486B709" w14:textId="77777777" w:rsidR="00E70E9A" w:rsidRPr="00D3089A" w:rsidRDefault="00E70E9A" w:rsidP="00452A3A">
            <w:pPr>
              <w:jc w:val="both"/>
              <w:rPr>
                <w:b/>
                <w:bCs/>
              </w:rPr>
            </w:pPr>
          </w:p>
        </w:tc>
        <w:tc>
          <w:tcPr>
            <w:tcW w:w="1398" w:type="dxa"/>
            <w:shd w:val="clear" w:color="auto" w:fill="F2F2F2" w:themeFill="background1" w:themeFillShade="F2"/>
          </w:tcPr>
          <w:p w14:paraId="3F287DDB" w14:textId="77777777" w:rsidR="00E70E9A" w:rsidRPr="00D3089A" w:rsidRDefault="00E70E9A" w:rsidP="00452A3A">
            <w:pPr>
              <w:jc w:val="both"/>
              <w:rPr>
                <w:b/>
                <w:bCs/>
              </w:rPr>
            </w:pPr>
            <w:r w:rsidRPr="00D3089A">
              <w:rPr>
                <w:b/>
                <w:bCs/>
              </w:rPr>
              <w:t>0.80</w:t>
            </w:r>
          </w:p>
        </w:tc>
        <w:tc>
          <w:tcPr>
            <w:tcW w:w="1477" w:type="dxa"/>
            <w:shd w:val="clear" w:color="auto" w:fill="F2F2F2" w:themeFill="background1" w:themeFillShade="F2"/>
          </w:tcPr>
          <w:p w14:paraId="0F710D22" w14:textId="77777777" w:rsidR="00E70E9A" w:rsidRPr="00D3089A" w:rsidRDefault="00E70E9A" w:rsidP="00452A3A">
            <w:pPr>
              <w:jc w:val="both"/>
              <w:rPr>
                <w:b/>
                <w:bCs/>
              </w:rPr>
            </w:pPr>
            <w:r w:rsidRPr="00D3089A">
              <w:rPr>
                <w:b/>
                <w:bCs/>
              </w:rPr>
              <w:t>0.885</w:t>
            </w:r>
          </w:p>
        </w:tc>
      </w:tr>
      <w:tr w:rsidR="00E70E9A" w:rsidRPr="00D3089A" w14:paraId="1B91CE3C" w14:textId="77777777" w:rsidTr="00E70E9A">
        <w:trPr>
          <w:gridAfter w:val="1"/>
          <w:wAfter w:w="9" w:type="dxa"/>
          <w:jc w:val="center"/>
        </w:trPr>
        <w:tc>
          <w:tcPr>
            <w:tcW w:w="1647" w:type="dxa"/>
          </w:tcPr>
          <w:p w14:paraId="5F18BF90" w14:textId="77777777" w:rsidR="00E70E9A" w:rsidRPr="00D3089A" w:rsidRDefault="00E70E9A" w:rsidP="00452A3A">
            <w:pPr>
              <w:jc w:val="both"/>
            </w:pPr>
            <w:r w:rsidRPr="00D3089A">
              <w:t>15/80/5</w:t>
            </w:r>
          </w:p>
        </w:tc>
        <w:tc>
          <w:tcPr>
            <w:tcW w:w="1418" w:type="dxa"/>
            <w:shd w:val="clear" w:color="auto" w:fill="auto"/>
          </w:tcPr>
          <w:p w14:paraId="5379EDEC" w14:textId="77777777" w:rsidR="00E70E9A" w:rsidRPr="00D3089A" w:rsidRDefault="00E70E9A" w:rsidP="00452A3A">
            <w:pPr>
              <w:jc w:val="both"/>
            </w:pPr>
            <w:r w:rsidRPr="00D3089A">
              <w:t>0.415</w:t>
            </w:r>
          </w:p>
        </w:tc>
        <w:tc>
          <w:tcPr>
            <w:tcW w:w="1468" w:type="dxa"/>
          </w:tcPr>
          <w:p w14:paraId="07A9652F" w14:textId="77777777" w:rsidR="00E70E9A" w:rsidRPr="00D3089A" w:rsidRDefault="00E70E9A" w:rsidP="00452A3A">
            <w:pPr>
              <w:jc w:val="both"/>
            </w:pPr>
          </w:p>
        </w:tc>
        <w:tc>
          <w:tcPr>
            <w:tcW w:w="1398" w:type="dxa"/>
            <w:shd w:val="clear" w:color="auto" w:fill="auto"/>
          </w:tcPr>
          <w:p w14:paraId="089B6583" w14:textId="77777777" w:rsidR="00E70E9A" w:rsidRPr="00D3089A" w:rsidRDefault="00E70E9A" w:rsidP="00452A3A">
            <w:pPr>
              <w:jc w:val="both"/>
            </w:pPr>
            <w:r w:rsidRPr="00D3089A">
              <w:t>0.75</w:t>
            </w:r>
          </w:p>
        </w:tc>
        <w:tc>
          <w:tcPr>
            <w:tcW w:w="1477" w:type="dxa"/>
            <w:shd w:val="clear" w:color="auto" w:fill="F2F2F2" w:themeFill="background1" w:themeFillShade="F2"/>
          </w:tcPr>
          <w:p w14:paraId="4C921739" w14:textId="77777777" w:rsidR="00E70E9A" w:rsidRPr="00D3089A" w:rsidRDefault="00E70E9A" w:rsidP="00452A3A">
            <w:pPr>
              <w:jc w:val="both"/>
              <w:rPr>
                <w:b/>
                <w:bCs/>
              </w:rPr>
            </w:pPr>
            <w:r w:rsidRPr="00D3089A">
              <w:rPr>
                <w:b/>
                <w:bCs/>
              </w:rPr>
              <w:t>0.835</w:t>
            </w:r>
          </w:p>
        </w:tc>
      </w:tr>
      <w:tr w:rsidR="00E70E9A" w:rsidRPr="00D3089A" w14:paraId="184F9B32" w14:textId="77777777" w:rsidTr="00E70E9A">
        <w:trPr>
          <w:gridAfter w:val="1"/>
          <w:wAfter w:w="9" w:type="dxa"/>
          <w:jc w:val="center"/>
        </w:trPr>
        <w:tc>
          <w:tcPr>
            <w:tcW w:w="1647" w:type="dxa"/>
          </w:tcPr>
          <w:p w14:paraId="43A1962F" w14:textId="77777777" w:rsidR="00E70E9A" w:rsidRPr="00D3089A" w:rsidRDefault="00E70E9A" w:rsidP="00452A3A">
            <w:pPr>
              <w:jc w:val="both"/>
            </w:pPr>
            <w:r w:rsidRPr="00D3089A">
              <w:t>15/79/6</w:t>
            </w:r>
          </w:p>
        </w:tc>
        <w:tc>
          <w:tcPr>
            <w:tcW w:w="1418" w:type="dxa"/>
            <w:shd w:val="clear" w:color="auto" w:fill="auto"/>
          </w:tcPr>
          <w:p w14:paraId="290B605E" w14:textId="77777777" w:rsidR="00E70E9A" w:rsidRPr="00D3089A" w:rsidRDefault="00E70E9A" w:rsidP="00452A3A">
            <w:pPr>
              <w:jc w:val="both"/>
            </w:pPr>
            <w:r w:rsidRPr="00D3089A">
              <w:t>0.42</w:t>
            </w:r>
          </w:p>
        </w:tc>
        <w:tc>
          <w:tcPr>
            <w:tcW w:w="1468" w:type="dxa"/>
          </w:tcPr>
          <w:p w14:paraId="347CC114" w14:textId="77777777" w:rsidR="00E70E9A" w:rsidRPr="00D3089A" w:rsidRDefault="00E70E9A" w:rsidP="00452A3A">
            <w:pPr>
              <w:jc w:val="both"/>
            </w:pPr>
          </w:p>
        </w:tc>
        <w:tc>
          <w:tcPr>
            <w:tcW w:w="1398" w:type="dxa"/>
            <w:shd w:val="clear" w:color="auto" w:fill="auto"/>
          </w:tcPr>
          <w:p w14:paraId="3107E852" w14:textId="77777777" w:rsidR="00E70E9A" w:rsidRPr="00D3089A" w:rsidRDefault="00E70E9A" w:rsidP="00452A3A">
            <w:pPr>
              <w:jc w:val="both"/>
            </w:pPr>
            <w:r w:rsidRPr="00D3089A">
              <w:t>0.715</w:t>
            </w:r>
          </w:p>
        </w:tc>
        <w:tc>
          <w:tcPr>
            <w:tcW w:w="1477" w:type="dxa"/>
            <w:shd w:val="clear" w:color="auto" w:fill="F2F2F2" w:themeFill="background1" w:themeFillShade="F2"/>
          </w:tcPr>
          <w:p w14:paraId="17685347" w14:textId="77777777" w:rsidR="00E70E9A" w:rsidRPr="00D3089A" w:rsidRDefault="00E70E9A" w:rsidP="00452A3A">
            <w:pPr>
              <w:jc w:val="both"/>
              <w:rPr>
                <w:b/>
                <w:bCs/>
              </w:rPr>
            </w:pPr>
            <w:r w:rsidRPr="00D3089A">
              <w:rPr>
                <w:b/>
                <w:bCs/>
              </w:rPr>
              <w:t>0.818</w:t>
            </w:r>
          </w:p>
        </w:tc>
      </w:tr>
      <w:tr w:rsidR="00E70E9A" w:rsidRPr="00D3089A" w14:paraId="29DDFC63" w14:textId="77777777" w:rsidTr="00E70E9A">
        <w:trPr>
          <w:gridAfter w:val="1"/>
          <w:wAfter w:w="9" w:type="dxa"/>
          <w:jc w:val="center"/>
        </w:trPr>
        <w:tc>
          <w:tcPr>
            <w:tcW w:w="1647" w:type="dxa"/>
          </w:tcPr>
          <w:p w14:paraId="41017CD2" w14:textId="77777777" w:rsidR="00E70E9A" w:rsidRPr="00D3089A" w:rsidRDefault="00E70E9A" w:rsidP="00452A3A">
            <w:pPr>
              <w:jc w:val="both"/>
            </w:pPr>
            <w:r w:rsidRPr="00D3089A">
              <w:t>15/78/7</w:t>
            </w:r>
          </w:p>
        </w:tc>
        <w:tc>
          <w:tcPr>
            <w:tcW w:w="1418" w:type="dxa"/>
            <w:shd w:val="clear" w:color="auto" w:fill="auto"/>
          </w:tcPr>
          <w:p w14:paraId="711E4BD8" w14:textId="77777777" w:rsidR="00E70E9A" w:rsidRPr="00D3089A" w:rsidRDefault="00E70E9A" w:rsidP="00452A3A">
            <w:pPr>
              <w:jc w:val="both"/>
            </w:pPr>
            <w:r w:rsidRPr="00D3089A">
              <w:t>0.41</w:t>
            </w:r>
          </w:p>
        </w:tc>
        <w:tc>
          <w:tcPr>
            <w:tcW w:w="1468" w:type="dxa"/>
          </w:tcPr>
          <w:p w14:paraId="32508938" w14:textId="77777777" w:rsidR="00E70E9A" w:rsidRPr="00D3089A" w:rsidRDefault="00E70E9A" w:rsidP="00452A3A">
            <w:pPr>
              <w:jc w:val="both"/>
            </w:pPr>
          </w:p>
        </w:tc>
        <w:tc>
          <w:tcPr>
            <w:tcW w:w="1398" w:type="dxa"/>
            <w:shd w:val="clear" w:color="auto" w:fill="auto"/>
          </w:tcPr>
          <w:p w14:paraId="56ACE49C" w14:textId="77777777" w:rsidR="00E70E9A" w:rsidRPr="00D3089A" w:rsidRDefault="00E70E9A" w:rsidP="00452A3A">
            <w:pPr>
              <w:jc w:val="both"/>
            </w:pPr>
            <w:r w:rsidRPr="00D3089A">
              <w:t>0.725</w:t>
            </w:r>
          </w:p>
        </w:tc>
        <w:tc>
          <w:tcPr>
            <w:tcW w:w="1477" w:type="dxa"/>
            <w:shd w:val="clear" w:color="auto" w:fill="F2F2F2" w:themeFill="background1" w:themeFillShade="F2"/>
          </w:tcPr>
          <w:p w14:paraId="41CB2883" w14:textId="77777777" w:rsidR="00E70E9A" w:rsidRPr="00D3089A" w:rsidRDefault="00E70E9A" w:rsidP="00452A3A">
            <w:pPr>
              <w:jc w:val="both"/>
              <w:rPr>
                <w:b/>
                <w:bCs/>
              </w:rPr>
            </w:pPr>
            <w:r w:rsidRPr="00D3089A">
              <w:rPr>
                <w:b/>
                <w:bCs/>
              </w:rPr>
              <w:t>0.83</w:t>
            </w:r>
          </w:p>
        </w:tc>
      </w:tr>
      <w:tr w:rsidR="00E70E9A" w:rsidRPr="00D3089A" w14:paraId="63D22F78" w14:textId="77777777" w:rsidTr="00E70E9A">
        <w:trPr>
          <w:gridAfter w:val="1"/>
          <w:wAfter w:w="9" w:type="dxa"/>
          <w:jc w:val="center"/>
        </w:trPr>
        <w:tc>
          <w:tcPr>
            <w:tcW w:w="1647" w:type="dxa"/>
          </w:tcPr>
          <w:p w14:paraId="442830CA" w14:textId="77777777" w:rsidR="00E70E9A" w:rsidRPr="00D3089A" w:rsidRDefault="00E70E9A" w:rsidP="00452A3A">
            <w:pPr>
              <w:jc w:val="both"/>
            </w:pPr>
          </w:p>
        </w:tc>
        <w:tc>
          <w:tcPr>
            <w:tcW w:w="1418" w:type="dxa"/>
            <w:shd w:val="clear" w:color="auto" w:fill="auto"/>
          </w:tcPr>
          <w:p w14:paraId="54E49285" w14:textId="77777777" w:rsidR="00E70E9A" w:rsidRPr="00D3089A" w:rsidRDefault="00E70E9A" w:rsidP="00452A3A">
            <w:pPr>
              <w:jc w:val="both"/>
              <w:rPr>
                <w:b/>
                <w:bCs/>
              </w:rPr>
            </w:pPr>
          </w:p>
        </w:tc>
        <w:tc>
          <w:tcPr>
            <w:tcW w:w="1468" w:type="dxa"/>
          </w:tcPr>
          <w:p w14:paraId="5FD5C9B0" w14:textId="77777777" w:rsidR="00E70E9A" w:rsidRPr="00D3089A" w:rsidRDefault="00E70E9A" w:rsidP="00452A3A">
            <w:pPr>
              <w:jc w:val="both"/>
              <w:rPr>
                <w:b/>
                <w:bCs/>
              </w:rPr>
            </w:pPr>
          </w:p>
        </w:tc>
        <w:tc>
          <w:tcPr>
            <w:tcW w:w="1398" w:type="dxa"/>
            <w:shd w:val="clear" w:color="auto" w:fill="auto"/>
          </w:tcPr>
          <w:p w14:paraId="27A748D2" w14:textId="77777777" w:rsidR="00E70E9A" w:rsidRPr="00D3089A" w:rsidRDefault="00E70E9A" w:rsidP="00452A3A">
            <w:pPr>
              <w:jc w:val="both"/>
              <w:rPr>
                <w:b/>
                <w:bCs/>
              </w:rPr>
            </w:pPr>
          </w:p>
        </w:tc>
        <w:tc>
          <w:tcPr>
            <w:tcW w:w="1477" w:type="dxa"/>
            <w:shd w:val="clear" w:color="auto" w:fill="auto"/>
          </w:tcPr>
          <w:p w14:paraId="57A158A2" w14:textId="77777777" w:rsidR="00E70E9A" w:rsidRPr="00D3089A" w:rsidRDefault="00E70E9A" w:rsidP="00452A3A">
            <w:pPr>
              <w:jc w:val="both"/>
              <w:rPr>
                <w:b/>
                <w:bCs/>
              </w:rPr>
            </w:pPr>
          </w:p>
        </w:tc>
      </w:tr>
      <w:tr w:rsidR="00E70E9A" w:rsidRPr="00D3089A" w14:paraId="2803505C" w14:textId="77777777" w:rsidTr="00E70E9A">
        <w:trPr>
          <w:gridAfter w:val="1"/>
          <w:wAfter w:w="9" w:type="dxa"/>
          <w:jc w:val="center"/>
        </w:trPr>
        <w:tc>
          <w:tcPr>
            <w:tcW w:w="1647" w:type="dxa"/>
          </w:tcPr>
          <w:p w14:paraId="1173E8A9" w14:textId="77777777" w:rsidR="00E70E9A" w:rsidRPr="00D3089A" w:rsidRDefault="00E70E9A" w:rsidP="00452A3A">
            <w:pPr>
              <w:jc w:val="both"/>
            </w:pPr>
            <w:r w:rsidRPr="00D3089A">
              <w:t>14/86/0</w:t>
            </w:r>
          </w:p>
        </w:tc>
        <w:tc>
          <w:tcPr>
            <w:tcW w:w="1418" w:type="dxa"/>
            <w:shd w:val="clear" w:color="auto" w:fill="F2F2F2" w:themeFill="background1" w:themeFillShade="F2"/>
          </w:tcPr>
          <w:p w14:paraId="26B15B9C" w14:textId="77777777" w:rsidR="00E70E9A" w:rsidRPr="00D3089A" w:rsidRDefault="00E70E9A" w:rsidP="00452A3A">
            <w:pPr>
              <w:jc w:val="both"/>
              <w:rPr>
                <w:b/>
                <w:bCs/>
              </w:rPr>
            </w:pPr>
            <w:r w:rsidRPr="00D3089A">
              <w:rPr>
                <w:b/>
                <w:bCs/>
              </w:rPr>
              <w:t>0.90</w:t>
            </w:r>
          </w:p>
        </w:tc>
        <w:tc>
          <w:tcPr>
            <w:tcW w:w="1468" w:type="dxa"/>
            <w:shd w:val="clear" w:color="auto" w:fill="F2F2F2" w:themeFill="background1" w:themeFillShade="F2"/>
          </w:tcPr>
          <w:p w14:paraId="7D143CB2" w14:textId="77777777" w:rsidR="00E70E9A" w:rsidRPr="00D3089A" w:rsidRDefault="00E70E9A" w:rsidP="00452A3A">
            <w:pPr>
              <w:jc w:val="both"/>
              <w:rPr>
                <w:b/>
                <w:bCs/>
              </w:rPr>
            </w:pPr>
            <w:r w:rsidRPr="00D3089A">
              <w:rPr>
                <w:b/>
                <w:bCs/>
              </w:rPr>
              <w:t>0.99</w:t>
            </w:r>
          </w:p>
        </w:tc>
        <w:tc>
          <w:tcPr>
            <w:tcW w:w="1398" w:type="dxa"/>
            <w:shd w:val="clear" w:color="auto" w:fill="F2F2F2" w:themeFill="background1" w:themeFillShade="F2"/>
          </w:tcPr>
          <w:p w14:paraId="0C696E61" w14:textId="77777777" w:rsidR="00E70E9A" w:rsidRPr="00D3089A" w:rsidRDefault="00E70E9A" w:rsidP="00452A3A">
            <w:pPr>
              <w:jc w:val="both"/>
              <w:rPr>
                <w:b/>
                <w:bCs/>
              </w:rPr>
            </w:pPr>
            <w:r w:rsidRPr="00D3089A">
              <w:rPr>
                <w:b/>
                <w:bCs/>
              </w:rPr>
              <w:t>0.995</w:t>
            </w:r>
          </w:p>
        </w:tc>
        <w:tc>
          <w:tcPr>
            <w:tcW w:w="1477" w:type="dxa"/>
            <w:shd w:val="clear" w:color="auto" w:fill="auto"/>
          </w:tcPr>
          <w:p w14:paraId="43BC4080" w14:textId="77777777" w:rsidR="00E70E9A" w:rsidRPr="00D3089A" w:rsidRDefault="00E70E9A" w:rsidP="00452A3A">
            <w:pPr>
              <w:jc w:val="both"/>
              <w:rPr>
                <w:b/>
                <w:bCs/>
              </w:rPr>
            </w:pPr>
          </w:p>
        </w:tc>
      </w:tr>
      <w:tr w:rsidR="00E70E9A" w:rsidRPr="00D3089A" w14:paraId="0811832A" w14:textId="77777777" w:rsidTr="00E70E9A">
        <w:trPr>
          <w:gridAfter w:val="1"/>
          <w:wAfter w:w="9" w:type="dxa"/>
          <w:jc w:val="center"/>
        </w:trPr>
        <w:tc>
          <w:tcPr>
            <w:tcW w:w="1647" w:type="dxa"/>
          </w:tcPr>
          <w:p w14:paraId="222E9571" w14:textId="77777777" w:rsidR="00E70E9A" w:rsidRPr="00D3089A" w:rsidRDefault="00E70E9A" w:rsidP="00452A3A">
            <w:pPr>
              <w:jc w:val="both"/>
            </w:pPr>
            <w:r w:rsidRPr="00D3089A">
              <w:t>14/85/1</w:t>
            </w:r>
          </w:p>
        </w:tc>
        <w:tc>
          <w:tcPr>
            <w:tcW w:w="1418" w:type="dxa"/>
          </w:tcPr>
          <w:p w14:paraId="7027D67B" w14:textId="77777777" w:rsidR="00E70E9A" w:rsidRPr="00D3089A" w:rsidRDefault="00E70E9A" w:rsidP="00452A3A">
            <w:pPr>
              <w:jc w:val="both"/>
            </w:pPr>
            <w:r w:rsidRPr="00D3089A">
              <w:t>0.705</w:t>
            </w:r>
          </w:p>
        </w:tc>
        <w:tc>
          <w:tcPr>
            <w:tcW w:w="1468" w:type="dxa"/>
            <w:shd w:val="clear" w:color="auto" w:fill="F2F2F2" w:themeFill="background1" w:themeFillShade="F2"/>
          </w:tcPr>
          <w:p w14:paraId="435C22FF" w14:textId="77777777" w:rsidR="00E70E9A" w:rsidRPr="00D3089A" w:rsidRDefault="00E70E9A" w:rsidP="00452A3A">
            <w:pPr>
              <w:jc w:val="both"/>
              <w:rPr>
                <w:b/>
                <w:bCs/>
              </w:rPr>
            </w:pPr>
            <w:r w:rsidRPr="00D3089A">
              <w:rPr>
                <w:b/>
                <w:bCs/>
              </w:rPr>
              <w:t>0.89</w:t>
            </w:r>
          </w:p>
        </w:tc>
        <w:tc>
          <w:tcPr>
            <w:tcW w:w="1398" w:type="dxa"/>
            <w:shd w:val="clear" w:color="auto" w:fill="F2F2F2" w:themeFill="background1" w:themeFillShade="F2"/>
          </w:tcPr>
          <w:p w14:paraId="40B76348" w14:textId="77777777" w:rsidR="00E70E9A" w:rsidRPr="00D3089A" w:rsidRDefault="00E70E9A" w:rsidP="00452A3A">
            <w:pPr>
              <w:jc w:val="both"/>
              <w:rPr>
                <w:b/>
                <w:bCs/>
              </w:rPr>
            </w:pPr>
            <w:r w:rsidRPr="00D3089A">
              <w:rPr>
                <w:b/>
                <w:bCs/>
              </w:rPr>
              <w:t>0.965</w:t>
            </w:r>
          </w:p>
        </w:tc>
        <w:tc>
          <w:tcPr>
            <w:tcW w:w="1477" w:type="dxa"/>
            <w:shd w:val="clear" w:color="auto" w:fill="auto"/>
          </w:tcPr>
          <w:p w14:paraId="5668A868" w14:textId="77777777" w:rsidR="00E70E9A" w:rsidRPr="00D3089A" w:rsidRDefault="00E70E9A" w:rsidP="00452A3A">
            <w:pPr>
              <w:jc w:val="both"/>
              <w:rPr>
                <w:b/>
                <w:bCs/>
              </w:rPr>
            </w:pPr>
          </w:p>
        </w:tc>
      </w:tr>
      <w:tr w:rsidR="00E70E9A" w:rsidRPr="00D3089A" w14:paraId="0ACF7E90" w14:textId="77777777" w:rsidTr="00E70E9A">
        <w:trPr>
          <w:gridAfter w:val="1"/>
          <w:wAfter w:w="9" w:type="dxa"/>
          <w:jc w:val="center"/>
        </w:trPr>
        <w:tc>
          <w:tcPr>
            <w:tcW w:w="1647" w:type="dxa"/>
          </w:tcPr>
          <w:p w14:paraId="22E18C85" w14:textId="77777777" w:rsidR="00E70E9A" w:rsidRPr="00D3089A" w:rsidRDefault="00E70E9A" w:rsidP="00452A3A">
            <w:pPr>
              <w:jc w:val="both"/>
            </w:pPr>
            <w:r w:rsidRPr="00D3089A">
              <w:t>14/84/2</w:t>
            </w:r>
          </w:p>
        </w:tc>
        <w:tc>
          <w:tcPr>
            <w:tcW w:w="1418" w:type="dxa"/>
          </w:tcPr>
          <w:p w14:paraId="41D88EE0" w14:textId="77777777" w:rsidR="00E70E9A" w:rsidRPr="00D3089A" w:rsidRDefault="00E70E9A" w:rsidP="00452A3A">
            <w:pPr>
              <w:jc w:val="both"/>
            </w:pPr>
            <w:r w:rsidRPr="00D3089A">
              <w:t>0.58</w:t>
            </w:r>
          </w:p>
        </w:tc>
        <w:tc>
          <w:tcPr>
            <w:tcW w:w="1468" w:type="dxa"/>
            <w:shd w:val="clear" w:color="auto" w:fill="auto"/>
          </w:tcPr>
          <w:p w14:paraId="2BEE08EF" w14:textId="77777777" w:rsidR="00E70E9A" w:rsidRPr="00D3089A" w:rsidRDefault="00E70E9A" w:rsidP="00452A3A">
            <w:pPr>
              <w:jc w:val="both"/>
            </w:pPr>
            <w:r w:rsidRPr="00D3089A">
              <w:t>0.775</w:t>
            </w:r>
          </w:p>
        </w:tc>
        <w:tc>
          <w:tcPr>
            <w:tcW w:w="1398" w:type="dxa"/>
            <w:shd w:val="clear" w:color="auto" w:fill="F2F2F2" w:themeFill="background1" w:themeFillShade="F2"/>
          </w:tcPr>
          <w:p w14:paraId="65D97F54" w14:textId="77777777" w:rsidR="00E70E9A" w:rsidRPr="00D3089A" w:rsidRDefault="00E70E9A" w:rsidP="00452A3A">
            <w:pPr>
              <w:jc w:val="both"/>
              <w:rPr>
                <w:b/>
                <w:bCs/>
              </w:rPr>
            </w:pPr>
            <w:r w:rsidRPr="00D3089A">
              <w:rPr>
                <w:b/>
                <w:bCs/>
              </w:rPr>
              <w:t>0.89</w:t>
            </w:r>
          </w:p>
        </w:tc>
        <w:tc>
          <w:tcPr>
            <w:tcW w:w="1477" w:type="dxa"/>
            <w:shd w:val="clear" w:color="auto" w:fill="F2F2F2" w:themeFill="background1" w:themeFillShade="F2"/>
          </w:tcPr>
          <w:p w14:paraId="63F6B6CB" w14:textId="77777777" w:rsidR="00E70E9A" w:rsidRPr="00D3089A" w:rsidRDefault="00E70E9A" w:rsidP="00452A3A">
            <w:pPr>
              <w:jc w:val="both"/>
              <w:rPr>
                <w:b/>
                <w:bCs/>
              </w:rPr>
            </w:pPr>
            <w:r w:rsidRPr="00D3089A">
              <w:rPr>
                <w:b/>
                <w:bCs/>
              </w:rPr>
              <w:t>0.95</w:t>
            </w:r>
          </w:p>
        </w:tc>
      </w:tr>
      <w:tr w:rsidR="00E70E9A" w:rsidRPr="00D3089A" w14:paraId="1519D980" w14:textId="77777777" w:rsidTr="00E70E9A">
        <w:trPr>
          <w:gridAfter w:val="1"/>
          <w:wAfter w:w="9" w:type="dxa"/>
          <w:jc w:val="center"/>
        </w:trPr>
        <w:tc>
          <w:tcPr>
            <w:tcW w:w="1647" w:type="dxa"/>
          </w:tcPr>
          <w:p w14:paraId="5537149B" w14:textId="77777777" w:rsidR="00E70E9A" w:rsidRPr="00D3089A" w:rsidRDefault="00E70E9A" w:rsidP="00452A3A">
            <w:pPr>
              <w:jc w:val="both"/>
            </w:pPr>
            <w:r w:rsidRPr="00D3089A">
              <w:t>14/83/3</w:t>
            </w:r>
          </w:p>
        </w:tc>
        <w:tc>
          <w:tcPr>
            <w:tcW w:w="1418" w:type="dxa"/>
          </w:tcPr>
          <w:p w14:paraId="3D1E6449" w14:textId="77777777" w:rsidR="00E70E9A" w:rsidRPr="00D3089A" w:rsidRDefault="00E70E9A" w:rsidP="00452A3A">
            <w:pPr>
              <w:jc w:val="both"/>
            </w:pPr>
            <w:r w:rsidRPr="00D3089A">
              <w:t>0.47</w:t>
            </w:r>
          </w:p>
        </w:tc>
        <w:tc>
          <w:tcPr>
            <w:tcW w:w="1468" w:type="dxa"/>
          </w:tcPr>
          <w:p w14:paraId="51FA2686" w14:textId="77777777" w:rsidR="00E70E9A" w:rsidRPr="00D3089A" w:rsidRDefault="00E70E9A" w:rsidP="00452A3A">
            <w:pPr>
              <w:jc w:val="both"/>
            </w:pPr>
          </w:p>
        </w:tc>
        <w:tc>
          <w:tcPr>
            <w:tcW w:w="1398" w:type="dxa"/>
          </w:tcPr>
          <w:p w14:paraId="04A4D300" w14:textId="77777777" w:rsidR="00E70E9A" w:rsidRPr="00D3089A" w:rsidRDefault="00E70E9A" w:rsidP="00452A3A">
            <w:pPr>
              <w:jc w:val="both"/>
            </w:pPr>
            <w:r w:rsidRPr="00D3089A">
              <w:t>0.79</w:t>
            </w:r>
          </w:p>
        </w:tc>
        <w:tc>
          <w:tcPr>
            <w:tcW w:w="1477" w:type="dxa"/>
            <w:shd w:val="clear" w:color="auto" w:fill="F2F2F2" w:themeFill="background1" w:themeFillShade="F2"/>
          </w:tcPr>
          <w:p w14:paraId="423F6531" w14:textId="77777777" w:rsidR="00E70E9A" w:rsidRPr="00D3089A" w:rsidRDefault="00E70E9A" w:rsidP="00452A3A">
            <w:pPr>
              <w:jc w:val="both"/>
              <w:rPr>
                <w:b/>
                <w:bCs/>
              </w:rPr>
            </w:pPr>
            <w:r w:rsidRPr="00D3089A">
              <w:rPr>
                <w:b/>
                <w:bCs/>
              </w:rPr>
              <w:t>0.885</w:t>
            </w:r>
          </w:p>
        </w:tc>
      </w:tr>
      <w:tr w:rsidR="00E70E9A" w:rsidRPr="00D3089A" w14:paraId="0ACFD76C" w14:textId="77777777" w:rsidTr="00E70E9A">
        <w:trPr>
          <w:gridAfter w:val="1"/>
          <w:wAfter w:w="9" w:type="dxa"/>
          <w:jc w:val="center"/>
        </w:trPr>
        <w:tc>
          <w:tcPr>
            <w:tcW w:w="1647" w:type="dxa"/>
          </w:tcPr>
          <w:p w14:paraId="1BB9CF08" w14:textId="77777777" w:rsidR="00E70E9A" w:rsidRPr="00D3089A" w:rsidRDefault="00E70E9A" w:rsidP="00452A3A">
            <w:pPr>
              <w:jc w:val="both"/>
            </w:pPr>
            <w:r w:rsidRPr="00D3089A">
              <w:t>14/82/4</w:t>
            </w:r>
          </w:p>
        </w:tc>
        <w:tc>
          <w:tcPr>
            <w:tcW w:w="1418" w:type="dxa"/>
          </w:tcPr>
          <w:p w14:paraId="42481CFB" w14:textId="77777777" w:rsidR="00E70E9A" w:rsidRPr="00D3089A" w:rsidRDefault="00E70E9A" w:rsidP="00452A3A">
            <w:pPr>
              <w:jc w:val="both"/>
            </w:pPr>
            <w:r w:rsidRPr="00D3089A">
              <w:t>0.405</w:t>
            </w:r>
          </w:p>
        </w:tc>
        <w:tc>
          <w:tcPr>
            <w:tcW w:w="1468" w:type="dxa"/>
          </w:tcPr>
          <w:p w14:paraId="638C9010" w14:textId="77777777" w:rsidR="00E70E9A" w:rsidRPr="00D3089A" w:rsidRDefault="00E70E9A" w:rsidP="00452A3A">
            <w:pPr>
              <w:jc w:val="both"/>
            </w:pPr>
          </w:p>
        </w:tc>
        <w:tc>
          <w:tcPr>
            <w:tcW w:w="1398" w:type="dxa"/>
          </w:tcPr>
          <w:p w14:paraId="227FAF93" w14:textId="77777777" w:rsidR="00E70E9A" w:rsidRPr="00D3089A" w:rsidRDefault="00E70E9A" w:rsidP="00452A3A">
            <w:pPr>
              <w:jc w:val="both"/>
            </w:pPr>
            <w:r w:rsidRPr="00D3089A">
              <w:t>0.71</w:t>
            </w:r>
          </w:p>
        </w:tc>
        <w:tc>
          <w:tcPr>
            <w:tcW w:w="1477" w:type="dxa"/>
            <w:shd w:val="clear" w:color="auto" w:fill="F2F2F2" w:themeFill="background1" w:themeFillShade="F2"/>
          </w:tcPr>
          <w:p w14:paraId="177F5440" w14:textId="77777777" w:rsidR="00E70E9A" w:rsidRPr="00D3089A" w:rsidRDefault="00E70E9A" w:rsidP="00452A3A">
            <w:pPr>
              <w:jc w:val="both"/>
              <w:rPr>
                <w:b/>
                <w:bCs/>
              </w:rPr>
            </w:pPr>
            <w:r w:rsidRPr="00D3089A">
              <w:rPr>
                <w:b/>
                <w:bCs/>
              </w:rPr>
              <w:t>0.81</w:t>
            </w:r>
          </w:p>
        </w:tc>
      </w:tr>
      <w:tr w:rsidR="00E70E9A" w:rsidRPr="00D3089A" w14:paraId="76214A32" w14:textId="77777777" w:rsidTr="00E70E9A">
        <w:trPr>
          <w:gridAfter w:val="1"/>
          <w:wAfter w:w="9" w:type="dxa"/>
          <w:jc w:val="center"/>
        </w:trPr>
        <w:tc>
          <w:tcPr>
            <w:tcW w:w="1647" w:type="dxa"/>
          </w:tcPr>
          <w:p w14:paraId="6287F83D" w14:textId="77777777" w:rsidR="00E70E9A" w:rsidRPr="00D3089A" w:rsidRDefault="00E70E9A" w:rsidP="00452A3A">
            <w:pPr>
              <w:jc w:val="both"/>
            </w:pPr>
            <w:r w:rsidRPr="00D3089A">
              <w:t>14/81/5</w:t>
            </w:r>
          </w:p>
        </w:tc>
        <w:tc>
          <w:tcPr>
            <w:tcW w:w="1418" w:type="dxa"/>
          </w:tcPr>
          <w:p w14:paraId="154B2A3C" w14:textId="77777777" w:rsidR="00E70E9A" w:rsidRPr="00D3089A" w:rsidRDefault="00E70E9A" w:rsidP="00452A3A">
            <w:pPr>
              <w:jc w:val="both"/>
            </w:pPr>
            <w:r w:rsidRPr="00D3089A">
              <w:t>0.37</w:t>
            </w:r>
          </w:p>
        </w:tc>
        <w:tc>
          <w:tcPr>
            <w:tcW w:w="1468" w:type="dxa"/>
          </w:tcPr>
          <w:p w14:paraId="7F9FECC0" w14:textId="77777777" w:rsidR="00E70E9A" w:rsidRPr="00D3089A" w:rsidRDefault="00E70E9A" w:rsidP="00452A3A">
            <w:pPr>
              <w:jc w:val="both"/>
            </w:pPr>
          </w:p>
        </w:tc>
        <w:tc>
          <w:tcPr>
            <w:tcW w:w="1398" w:type="dxa"/>
          </w:tcPr>
          <w:p w14:paraId="354A815B" w14:textId="77777777" w:rsidR="00E70E9A" w:rsidRPr="00D3089A" w:rsidRDefault="00E70E9A" w:rsidP="00452A3A">
            <w:pPr>
              <w:jc w:val="both"/>
            </w:pPr>
            <w:r w:rsidRPr="00D3089A">
              <w:t>0.66</w:t>
            </w:r>
          </w:p>
        </w:tc>
        <w:tc>
          <w:tcPr>
            <w:tcW w:w="1477" w:type="dxa"/>
          </w:tcPr>
          <w:p w14:paraId="0651406D" w14:textId="77777777" w:rsidR="00E70E9A" w:rsidRPr="00D3089A" w:rsidRDefault="00E70E9A" w:rsidP="00452A3A">
            <w:pPr>
              <w:jc w:val="both"/>
            </w:pPr>
            <w:r w:rsidRPr="00D3089A">
              <w:t>0.765</w:t>
            </w:r>
          </w:p>
        </w:tc>
      </w:tr>
      <w:tr w:rsidR="00E70E9A" w:rsidRPr="00D3089A" w14:paraId="1EEB5D29" w14:textId="77777777" w:rsidTr="00E70E9A">
        <w:trPr>
          <w:gridAfter w:val="1"/>
          <w:wAfter w:w="9" w:type="dxa"/>
          <w:jc w:val="center"/>
        </w:trPr>
        <w:tc>
          <w:tcPr>
            <w:tcW w:w="1647" w:type="dxa"/>
          </w:tcPr>
          <w:p w14:paraId="76284DA2" w14:textId="77777777" w:rsidR="00E70E9A" w:rsidRPr="00D3089A" w:rsidRDefault="00E70E9A" w:rsidP="00452A3A">
            <w:pPr>
              <w:jc w:val="both"/>
            </w:pPr>
            <w:r w:rsidRPr="00D3089A">
              <w:t>14/80/6</w:t>
            </w:r>
          </w:p>
        </w:tc>
        <w:tc>
          <w:tcPr>
            <w:tcW w:w="1418" w:type="dxa"/>
          </w:tcPr>
          <w:p w14:paraId="0337283B" w14:textId="77777777" w:rsidR="00E70E9A" w:rsidRPr="00D3089A" w:rsidRDefault="00E70E9A" w:rsidP="00452A3A">
            <w:pPr>
              <w:jc w:val="both"/>
            </w:pPr>
            <w:r w:rsidRPr="00D3089A">
              <w:t>0.355</w:t>
            </w:r>
          </w:p>
        </w:tc>
        <w:tc>
          <w:tcPr>
            <w:tcW w:w="1468" w:type="dxa"/>
          </w:tcPr>
          <w:p w14:paraId="760F13F5" w14:textId="77777777" w:rsidR="00E70E9A" w:rsidRPr="00D3089A" w:rsidRDefault="00E70E9A" w:rsidP="00452A3A">
            <w:pPr>
              <w:jc w:val="both"/>
            </w:pPr>
          </w:p>
        </w:tc>
        <w:tc>
          <w:tcPr>
            <w:tcW w:w="1398" w:type="dxa"/>
          </w:tcPr>
          <w:p w14:paraId="3B7D8482" w14:textId="77777777" w:rsidR="00E70E9A" w:rsidRPr="00D3089A" w:rsidRDefault="00E70E9A" w:rsidP="00452A3A">
            <w:pPr>
              <w:jc w:val="both"/>
            </w:pPr>
            <w:r w:rsidRPr="00D3089A">
              <w:t>0.65</w:t>
            </w:r>
          </w:p>
        </w:tc>
        <w:tc>
          <w:tcPr>
            <w:tcW w:w="1477" w:type="dxa"/>
          </w:tcPr>
          <w:p w14:paraId="59514C5C" w14:textId="77777777" w:rsidR="00E70E9A" w:rsidRPr="00D3089A" w:rsidRDefault="00E70E9A" w:rsidP="00452A3A">
            <w:pPr>
              <w:jc w:val="both"/>
            </w:pPr>
            <w:r w:rsidRPr="00D3089A">
              <w:t>0.75</w:t>
            </w:r>
          </w:p>
        </w:tc>
      </w:tr>
      <w:tr w:rsidR="00E70E9A" w:rsidRPr="00D3089A" w14:paraId="6B59236A" w14:textId="77777777" w:rsidTr="00E70E9A">
        <w:trPr>
          <w:gridAfter w:val="1"/>
          <w:wAfter w:w="9" w:type="dxa"/>
          <w:jc w:val="center"/>
        </w:trPr>
        <w:tc>
          <w:tcPr>
            <w:tcW w:w="1647" w:type="dxa"/>
          </w:tcPr>
          <w:p w14:paraId="4661AB69" w14:textId="77777777" w:rsidR="00E70E9A" w:rsidRPr="00D3089A" w:rsidRDefault="00E70E9A" w:rsidP="00452A3A">
            <w:pPr>
              <w:jc w:val="both"/>
            </w:pPr>
            <w:r w:rsidRPr="00D3089A">
              <w:t>14/79/7</w:t>
            </w:r>
          </w:p>
        </w:tc>
        <w:tc>
          <w:tcPr>
            <w:tcW w:w="1418" w:type="dxa"/>
          </w:tcPr>
          <w:p w14:paraId="2BF9B9DB" w14:textId="77777777" w:rsidR="00E70E9A" w:rsidRPr="00D3089A" w:rsidRDefault="00E70E9A" w:rsidP="00452A3A">
            <w:pPr>
              <w:jc w:val="both"/>
            </w:pPr>
            <w:r w:rsidRPr="00D3089A">
              <w:t>0.355</w:t>
            </w:r>
          </w:p>
        </w:tc>
        <w:tc>
          <w:tcPr>
            <w:tcW w:w="1468" w:type="dxa"/>
          </w:tcPr>
          <w:p w14:paraId="265BD0D0" w14:textId="77777777" w:rsidR="00E70E9A" w:rsidRPr="00D3089A" w:rsidRDefault="00E70E9A" w:rsidP="00452A3A">
            <w:pPr>
              <w:jc w:val="both"/>
            </w:pPr>
          </w:p>
        </w:tc>
        <w:tc>
          <w:tcPr>
            <w:tcW w:w="1398" w:type="dxa"/>
          </w:tcPr>
          <w:p w14:paraId="2B6695A1" w14:textId="77777777" w:rsidR="00E70E9A" w:rsidRPr="00D3089A" w:rsidRDefault="00E70E9A" w:rsidP="00452A3A">
            <w:pPr>
              <w:jc w:val="both"/>
            </w:pPr>
            <w:r w:rsidRPr="00D3089A">
              <w:t>0.645</w:t>
            </w:r>
          </w:p>
        </w:tc>
        <w:tc>
          <w:tcPr>
            <w:tcW w:w="1477" w:type="dxa"/>
          </w:tcPr>
          <w:p w14:paraId="198701B4" w14:textId="77777777" w:rsidR="00E70E9A" w:rsidRPr="00D3089A" w:rsidRDefault="00E70E9A" w:rsidP="00452A3A">
            <w:pPr>
              <w:jc w:val="both"/>
            </w:pPr>
            <w:r w:rsidRPr="00D3089A">
              <w:t>0.74</w:t>
            </w:r>
          </w:p>
        </w:tc>
      </w:tr>
      <w:tr w:rsidR="00E70E9A" w:rsidRPr="00D3089A" w14:paraId="5DB3DE9D" w14:textId="77777777" w:rsidTr="00E70E9A">
        <w:trPr>
          <w:gridAfter w:val="1"/>
          <w:wAfter w:w="9" w:type="dxa"/>
          <w:jc w:val="center"/>
        </w:trPr>
        <w:tc>
          <w:tcPr>
            <w:tcW w:w="1647" w:type="dxa"/>
          </w:tcPr>
          <w:p w14:paraId="55B08F38" w14:textId="77777777" w:rsidR="00E70E9A" w:rsidRPr="00D3089A" w:rsidRDefault="00E70E9A" w:rsidP="00452A3A">
            <w:pPr>
              <w:jc w:val="both"/>
            </w:pPr>
            <w:r w:rsidRPr="00D3089A">
              <w:t>13/87/0</w:t>
            </w:r>
          </w:p>
        </w:tc>
        <w:tc>
          <w:tcPr>
            <w:tcW w:w="1418" w:type="dxa"/>
          </w:tcPr>
          <w:p w14:paraId="71733EF8" w14:textId="77777777" w:rsidR="00E70E9A" w:rsidRPr="00D3089A" w:rsidRDefault="00E70E9A" w:rsidP="00452A3A">
            <w:pPr>
              <w:jc w:val="both"/>
            </w:pPr>
            <w:r w:rsidRPr="00D3089A">
              <w:rPr>
                <w:b/>
                <w:bCs/>
              </w:rPr>
              <w:t>0.89</w:t>
            </w:r>
          </w:p>
        </w:tc>
        <w:tc>
          <w:tcPr>
            <w:tcW w:w="1468" w:type="dxa"/>
          </w:tcPr>
          <w:p w14:paraId="6D4391F3" w14:textId="77777777" w:rsidR="00E70E9A" w:rsidRPr="00D3089A" w:rsidRDefault="00E70E9A" w:rsidP="00452A3A">
            <w:pPr>
              <w:jc w:val="both"/>
            </w:pPr>
            <w:r w:rsidRPr="00D3089A">
              <w:rPr>
                <w:b/>
                <w:bCs/>
              </w:rPr>
              <w:t>0.99</w:t>
            </w:r>
          </w:p>
        </w:tc>
        <w:tc>
          <w:tcPr>
            <w:tcW w:w="1398" w:type="dxa"/>
          </w:tcPr>
          <w:p w14:paraId="5442F9CF" w14:textId="77777777" w:rsidR="00E70E9A" w:rsidRPr="00D3089A" w:rsidRDefault="00E70E9A" w:rsidP="00452A3A">
            <w:pPr>
              <w:jc w:val="both"/>
            </w:pPr>
            <w:r w:rsidRPr="00D3089A">
              <w:rPr>
                <w:b/>
                <w:bCs/>
              </w:rPr>
              <w:t>&gt;0.995</w:t>
            </w:r>
          </w:p>
        </w:tc>
        <w:tc>
          <w:tcPr>
            <w:tcW w:w="1477" w:type="dxa"/>
          </w:tcPr>
          <w:p w14:paraId="28764EA5" w14:textId="77777777" w:rsidR="00E70E9A" w:rsidRPr="00D3089A" w:rsidRDefault="00E70E9A" w:rsidP="00452A3A">
            <w:pPr>
              <w:jc w:val="both"/>
            </w:pPr>
          </w:p>
        </w:tc>
      </w:tr>
      <w:tr w:rsidR="00E70E9A" w:rsidRPr="00D3089A" w14:paraId="322B85C4" w14:textId="77777777" w:rsidTr="00E70E9A">
        <w:trPr>
          <w:gridAfter w:val="1"/>
          <w:wAfter w:w="9" w:type="dxa"/>
          <w:jc w:val="center"/>
        </w:trPr>
        <w:tc>
          <w:tcPr>
            <w:tcW w:w="1647" w:type="dxa"/>
          </w:tcPr>
          <w:p w14:paraId="58702299" w14:textId="77777777" w:rsidR="00E70E9A" w:rsidRPr="00D3089A" w:rsidRDefault="00E70E9A" w:rsidP="00452A3A">
            <w:pPr>
              <w:jc w:val="both"/>
            </w:pPr>
            <w:r w:rsidRPr="00D3089A">
              <w:t>13/86/1</w:t>
            </w:r>
          </w:p>
        </w:tc>
        <w:tc>
          <w:tcPr>
            <w:tcW w:w="1418" w:type="dxa"/>
          </w:tcPr>
          <w:p w14:paraId="60EC2132" w14:textId="77777777" w:rsidR="00E70E9A" w:rsidRPr="00D3089A" w:rsidRDefault="00E70E9A" w:rsidP="00452A3A">
            <w:pPr>
              <w:jc w:val="both"/>
            </w:pPr>
            <w:r w:rsidRPr="00D3089A">
              <w:t>0.665</w:t>
            </w:r>
          </w:p>
        </w:tc>
        <w:tc>
          <w:tcPr>
            <w:tcW w:w="1468" w:type="dxa"/>
          </w:tcPr>
          <w:p w14:paraId="5DC25E4B" w14:textId="77777777" w:rsidR="00E70E9A" w:rsidRPr="00D3089A" w:rsidRDefault="00E70E9A" w:rsidP="00452A3A">
            <w:pPr>
              <w:jc w:val="both"/>
            </w:pPr>
            <w:r w:rsidRPr="00D3089A">
              <w:rPr>
                <w:b/>
                <w:bCs/>
              </w:rPr>
              <w:t>0.87</w:t>
            </w:r>
          </w:p>
        </w:tc>
        <w:tc>
          <w:tcPr>
            <w:tcW w:w="1398" w:type="dxa"/>
          </w:tcPr>
          <w:p w14:paraId="04A84901" w14:textId="77777777" w:rsidR="00E70E9A" w:rsidRPr="00D3089A" w:rsidRDefault="00E70E9A" w:rsidP="00452A3A">
            <w:pPr>
              <w:jc w:val="both"/>
            </w:pPr>
            <w:r w:rsidRPr="00D3089A">
              <w:rPr>
                <w:b/>
                <w:bCs/>
              </w:rPr>
              <w:t>0.95</w:t>
            </w:r>
          </w:p>
        </w:tc>
        <w:tc>
          <w:tcPr>
            <w:tcW w:w="1477" w:type="dxa"/>
          </w:tcPr>
          <w:p w14:paraId="4705521A" w14:textId="77777777" w:rsidR="00E70E9A" w:rsidRPr="00D3089A" w:rsidRDefault="00E70E9A" w:rsidP="00452A3A">
            <w:pPr>
              <w:jc w:val="both"/>
            </w:pPr>
          </w:p>
        </w:tc>
      </w:tr>
      <w:tr w:rsidR="00E70E9A" w:rsidRPr="00D3089A" w14:paraId="4602E301" w14:textId="77777777" w:rsidTr="00E70E9A">
        <w:trPr>
          <w:gridAfter w:val="1"/>
          <w:wAfter w:w="9" w:type="dxa"/>
          <w:jc w:val="center"/>
        </w:trPr>
        <w:tc>
          <w:tcPr>
            <w:tcW w:w="1647" w:type="dxa"/>
          </w:tcPr>
          <w:p w14:paraId="4AB76D45" w14:textId="77777777" w:rsidR="00E70E9A" w:rsidRPr="00D3089A" w:rsidRDefault="00E70E9A" w:rsidP="00452A3A">
            <w:pPr>
              <w:jc w:val="both"/>
            </w:pPr>
            <w:r w:rsidRPr="00D3089A">
              <w:t>13/85/2</w:t>
            </w:r>
          </w:p>
        </w:tc>
        <w:tc>
          <w:tcPr>
            <w:tcW w:w="1418" w:type="dxa"/>
          </w:tcPr>
          <w:p w14:paraId="79E7CB53" w14:textId="77777777" w:rsidR="00E70E9A" w:rsidRPr="00D3089A" w:rsidRDefault="00E70E9A" w:rsidP="00452A3A">
            <w:pPr>
              <w:jc w:val="both"/>
            </w:pPr>
            <w:r w:rsidRPr="00D3089A">
              <w:t>0.53</w:t>
            </w:r>
          </w:p>
        </w:tc>
        <w:tc>
          <w:tcPr>
            <w:tcW w:w="1468" w:type="dxa"/>
          </w:tcPr>
          <w:p w14:paraId="4C70387F" w14:textId="77777777" w:rsidR="00E70E9A" w:rsidRPr="00D3089A" w:rsidRDefault="00E70E9A" w:rsidP="00452A3A">
            <w:pPr>
              <w:jc w:val="both"/>
            </w:pPr>
            <w:r w:rsidRPr="00D3089A">
              <w:t>0.725</w:t>
            </w:r>
          </w:p>
        </w:tc>
        <w:tc>
          <w:tcPr>
            <w:tcW w:w="1398" w:type="dxa"/>
          </w:tcPr>
          <w:p w14:paraId="08343808" w14:textId="77777777" w:rsidR="00E70E9A" w:rsidRPr="00D3089A" w:rsidRDefault="00E70E9A" w:rsidP="00452A3A">
            <w:pPr>
              <w:jc w:val="both"/>
            </w:pPr>
            <w:r w:rsidRPr="00D3089A">
              <w:rPr>
                <w:b/>
                <w:bCs/>
              </w:rPr>
              <w:t>0.85</w:t>
            </w:r>
          </w:p>
        </w:tc>
        <w:tc>
          <w:tcPr>
            <w:tcW w:w="1477" w:type="dxa"/>
          </w:tcPr>
          <w:p w14:paraId="565640DB" w14:textId="77777777" w:rsidR="00E70E9A" w:rsidRPr="00D3089A" w:rsidRDefault="00E70E9A" w:rsidP="00452A3A">
            <w:pPr>
              <w:jc w:val="both"/>
            </w:pPr>
            <w:r w:rsidRPr="00D3089A">
              <w:rPr>
                <w:b/>
                <w:bCs/>
              </w:rPr>
              <w:t>0.925</w:t>
            </w:r>
          </w:p>
        </w:tc>
      </w:tr>
      <w:tr w:rsidR="00E70E9A" w:rsidRPr="00D3089A" w14:paraId="1F95241D" w14:textId="77777777" w:rsidTr="00E70E9A">
        <w:trPr>
          <w:gridAfter w:val="1"/>
          <w:wAfter w:w="9" w:type="dxa"/>
          <w:jc w:val="center"/>
        </w:trPr>
        <w:tc>
          <w:tcPr>
            <w:tcW w:w="1647" w:type="dxa"/>
          </w:tcPr>
          <w:p w14:paraId="77CB8835" w14:textId="77777777" w:rsidR="00E70E9A" w:rsidRPr="00D3089A" w:rsidRDefault="00E70E9A" w:rsidP="00452A3A">
            <w:pPr>
              <w:jc w:val="both"/>
            </w:pPr>
            <w:r w:rsidRPr="00D3089A">
              <w:t>13/84/3</w:t>
            </w:r>
          </w:p>
        </w:tc>
        <w:tc>
          <w:tcPr>
            <w:tcW w:w="1418" w:type="dxa"/>
          </w:tcPr>
          <w:p w14:paraId="56355A34" w14:textId="77777777" w:rsidR="00E70E9A" w:rsidRPr="00D3089A" w:rsidRDefault="00E70E9A" w:rsidP="00452A3A">
            <w:pPr>
              <w:jc w:val="both"/>
            </w:pPr>
            <w:r w:rsidRPr="00D3089A">
              <w:t>0.395</w:t>
            </w:r>
          </w:p>
        </w:tc>
        <w:tc>
          <w:tcPr>
            <w:tcW w:w="1468" w:type="dxa"/>
          </w:tcPr>
          <w:p w14:paraId="57D26DF5" w14:textId="77777777" w:rsidR="00E70E9A" w:rsidRPr="00D3089A" w:rsidRDefault="00E70E9A" w:rsidP="00452A3A">
            <w:pPr>
              <w:jc w:val="both"/>
            </w:pPr>
          </w:p>
        </w:tc>
        <w:tc>
          <w:tcPr>
            <w:tcW w:w="1398" w:type="dxa"/>
          </w:tcPr>
          <w:p w14:paraId="3ED12D84" w14:textId="77777777" w:rsidR="00E70E9A" w:rsidRPr="00D3089A" w:rsidRDefault="00E70E9A" w:rsidP="00452A3A">
            <w:pPr>
              <w:jc w:val="both"/>
            </w:pPr>
            <w:r w:rsidRPr="00D3089A">
              <w:t>0.73</w:t>
            </w:r>
          </w:p>
        </w:tc>
        <w:tc>
          <w:tcPr>
            <w:tcW w:w="1477" w:type="dxa"/>
          </w:tcPr>
          <w:p w14:paraId="79CBEECD" w14:textId="77777777" w:rsidR="00E70E9A" w:rsidRPr="00D3089A" w:rsidRDefault="00E70E9A" w:rsidP="00452A3A">
            <w:pPr>
              <w:jc w:val="both"/>
            </w:pPr>
            <w:r w:rsidRPr="00D3089A">
              <w:rPr>
                <w:b/>
                <w:bCs/>
              </w:rPr>
              <w:t>0.830</w:t>
            </w:r>
          </w:p>
        </w:tc>
      </w:tr>
      <w:tr w:rsidR="00E70E9A" w:rsidRPr="00D3089A" w14:paraId="5990D72C" w14:textId="77777777" w:rsidTr="00E70E9A">
        <w:trPr>
          <w:gridAfter w:val="1"/>
          <w:wAfter w:w="9" w:type="dxa"/>
          <w:jc w:val="center"/>
        </w:trPr>
        <w:tc>
          <w:tcPr>
            <w:tcW w:w="1647" w:type="dxa"/>
          </w:tcPr>
          <w:p w14:paraId="379726E8" w14:textId="77777777" w:rsidR="00E70E9A" w:rsidRPr="00D3089A" w:rsidRDefault="00E70E9A" w:rsidP="00452A3A">
            <w:pPr>
              <w:jc w:val="both"/>
            </w:pPr>
            <w:r w:rsidRPr="00D3089A">
              <w:t>13/83/4</w:t>
            </w:r>
          </w:p>
        </w:tc>
        <w:tc>
          <w:tcPr>
            <w:tcW w:w="1418" w:type="dxa"/>
          </w:tcPr>
          <w:p w14:paraId="3CBC58DD" w14:textId="77777777" w:rsidR="00E70E9A" w:rsidRPr="00D3089A" w:rsidRDefault="00E70E9A" w:rsidP="00452A3A">
            <w:pPr>
              <w:jc w:val="both"/>
            </w:pPr>
          </w:p>
        </w:tc>
        <w:tc>
          <w:tcPr>
            <w:tcW w:w="1468" w:type="dxa"/>
          </w:tcPr>
          <w:p w14:paraId="20A9F42C" w14:textId="77777777" w:rsidR="00E70E9A" w:rsidRPr="00D3089A" w:rsidRDefault="00E70E9A" w:rsidP="00452A3A">
            <w:pPr>
              <w:jc w:val="both"/>
            </w:pPr>
          </w:p>
        </w:tc>
        <w:tc>
          <w:tcPr>
            <w:tcW w:w="1398" w:type="dxa"/>
          </w:tcPr>
          <w:p w14:paraId="33090650" w14:textId="77777777" w:rsidR="00E70E9A" w:rsidRPr="00D3089A" w:rsidRDefault="00E70E9A" w:rsidP="00452A3A">
            <w:pPr>
              <w:jc w:val="both"/>
            </w:pPr>
          </w:p>
        </w:tc>
        <w:tc>
          <w:tcPr>
            <w:tcW w:w="1477" w:type="dxa"/>
          </w:tcPr>
          <w:p w14:paraId="7C440C17" w14:textId="77777777" w:rsidR="00E70E9A" w:rsidRPr="00D3089A" w:rsidRDefault="00E70E9A" w:rsidP="00452A3A">
            <w:pPr>
              <w:jc w:val="both"/>
            </w:pPr>
            <w:r w:rsidRPr="00D3089A">
              <w:t>0.745</w:t>
            </w:r>
          </w:p>
        </w:tc>
      </w:tr>
      <w:tr w:rsidR="00E70E9A" w:rsidRPr="00D3089A" w14:paraId="35A78618" w14:textId="77777777" w:rsidTr="00E70E9A">
        <w:trPr>
          <w:gridAfter w:val="1"/>
          <w:wAfter w:w="9" w:type="dxa"/>
          <w:jc w:val="center"/>
        </w:trPr>
        <w:tc>
          <w:tcPr>
            <w:tcW w:w="1647" w:type="dxa"/>
          </w:tcPr>
          <w:p w14:paraId="249BA6E7" w14:textId="77777777" w:rsidR="00E70E9A" w:rsidRPr="00D3089A" w:rsidRDefault="00E70E9A" w:rsidP="00452A3A">
            <w:pPr>
              <w:jc w:val="both"/>
            </w:pPr>
            <w:r w:rsidRPr="00D3089A">
              <w:t>13/82/5</w:t>
            </w:r>
          </w:p>
        </w:tc>
        <w:tc>
          <w:tcPr>
            <w:tcW w:w="1418" w:type="dxa"/>
          </w:tcPr>
          <w:p w14:paraId="025E9F53" w14:textId="77777777" w:rsidR="00E70E9A" w:rsidRPr="00D3089A" w:rsidRDefault="00E70E9A" w:rsidP="00452A3A">
            <w:pPr>
              <w:jc w:val="both"/>
            </w:pPr>
          </w:p>
        </w:tc>
        <w:tc>
          <w:tcPr>
            <w:tcW w:w="1468" w:type="dxa"/>
          </w:tcPr>
          <w:p w14:paraId="0312D77F" w14:textId="77777777" w:rsidR="00E70E9A" w:rsidRPr="00D3089A" w:rsidRDefault="00E70E9A" w:rsidP="00452A3A">
            <w:pPr>
              <w:jc w:val="both"/>
            </w:pPr>
          </w:p>
        </w:tc>
        <w:tc>
          <w:tcPr>
            <w:tcW w:w="1398" w:type="dxa"/>
          </w:tcPr>
          <w:p w14:paraId="04E1DA4A" w14:textId="77777777" w:rsidR="00E70E9A" w:rsidRPr="00D3089A" w:rsidRDefault="00E70E9A" w:rsidP="00452A3A">
            <w:pPr>
              <w:jc w:val="both"/>
            </w:pPr>
          </w:p>
        </w:tc>
        <w:tc>
          <w:tcPr>
            <w:tcW w:w="1477" w:type="dxa"/>
          </w:tcPr>
          <w:p w14:paraId="6780075E" w14:textId="77777777" w:rsidR="00E70E9A" w:rsidRPr="00D3089A" w:rsidRDefault="00E70E9A" w:rsidP="00452A3A">
            <w:pPr>
              <w:jc w:val="both"/>
            </w:pPr>
            <w:r w:rsidRPr="00D3089A">
              <w:t>0.66</w:t>
            </w:r>
          </w:p>
        </w:tc>
      </w:tr>
      <w:tr w:rsidR="00E70E9A" w:rsidRPr="00D3089A" w14:paraId="548B790D" w14:textId="77777777" w:rsidTr="00E70E9A">
        <w:trPr>
          <w:gridAfter w:val="1"/>
          <w:wAfter w:w="9" w:type="dxa"/>
          <w:jc w:val="center"/>
        </w:trPr>
        <w:tc>
          <w:tcPr>
            <w:tcW w:w="1647" w:type="dxa"/>
          </w:tcPr>
          <w:p w14:paraId="76D00462" w14:textId="77777777" w:rsidR="00E70E9A" w:rsidRPr="00D3089A" w:rsidRDefault="00E70E9A" w:rsidP="00452A3A">
            <w:pPr>
              <w:jc w:val="both"/>
            </w:pPr>
            <w:r w:rsidRPr="00D3089A">
              <w:t>13/81/6</w:t>
            </w:r>
          </w:p>
        </w:tc>
        <w:tc>
          <w:tcPr>
            <w:tcW w:w="1418" w:type="dxa"/>
          </w:tcPr>
          <w:p w14:paraId="25451040" w14:textId="77777777" w:rsidR="00E70E9A" w:rsidRPr="00D3089A" w:rsidRDefault="00E70E9A" w:rsidP="00452A3A">
            <w:pPr>
              <w:jc w:val="both"/>
            </w:pPr>
          </w:p>
        </w:tc>
        <w:tc>
          <w:tcPr>
            <w:tcW w:w="1468" w:type="dxa"/>
          </w:tcPr>
          <w:p w14:paraId="658D2969" w14:textId="77777777" w:rsidR="00E70E9A" w:rsidRPr="00D3089A" w:rsidRDefault="00E70E9A" w:rsidP="00452A3A">
            <w:pPr>
              <w:jc w:val="both"/>
            </w:pPr>
          </w:p>
        </w:tc>
        <w:tc>
          <w:tcPr>
            <w:tcW w:w="1398" w:type="dxa"/>
          </w:tcPr>
          <w:p w14:paraId="737A89E4" w14:textId="77777777" w:rsidR="00E70E9A" w:rsidRPr="00D3089A" w:rsidRDefault="00E70E9A" w:rsidP="00452A3A">
            <w:pPr>
              <w:jc w:val="both"/>
            </w:pPr>
          </w:p>
        </w:tc>
        <w:tc>
          <w:tcPr>
            <w:tcW w:w="1477" w:type="dxa"/>
          </w:tcPr>
          <w:p w14:paraId="3F08ED7C" w14:textId="77777777" w:rsidR="00E70E9A" w:rsidRPr="00D3089A" w:rsidRDefault="00E70E9A" w:rsidP="00452A3A">
            <w:pPr>
              <w:jc w:val="both"/>
            </w:pPr>
            <w:r w:rsidRPr="00D3089A">
              <w:t>0.610</w:t>
            </w:r>
          </w:p>
        </w:tc>
      </w:tr>
      <w:tr w:rsidR="00E70E9A" w:rsidRPr="00D3089A" w14:paraId="16BE1ED5" w14:textId="77777777" w:rsidTr="00E70E9A">
        <w:trPr>
          <w:gridAfter w:val="1"/>
          <w:wAfter w:w="9" w:type="dxa"/>
          <w:jc w:val="center"/>
        </w:trPr>
        <w:tc>
          <w:tcPr>
            <w:tcW w:w="1647" w:type="dxa"/>
          </w:tcPr>
          <w:p w14:paraId="05AFBABF" w14:textId="77777777" w:rsidR="00E70E9A" w:rsidRPr="00D3089A" w:rsidRDefault="00E70E9A" w:rsidP="00452A3A">
            <w:pPr>
              <w:jc w:val="both"/>
            </w:pPr>
            <w:r w:rsidRPr="00D3089A">
              <w:t>13/80/7</w:t>
            </w:r>
          </w:p>
        </w:tc>
        <w:tc>
          <w:tcPr>
            <w:tcW w:w="1418" w:type="dxa"/>
          </w:tcPr>
          <w:p w14:paraId="419BEEC1" w14:textId="77777777" w:rsidR="00E70E9A" w:rsidRPr="00D3089A" w:rsidRDefault="00E70E9A" w:rsidP="00452A3A">
            <w:pPr>
              <w:jc w:val="both"/>
            </w:pPr>
          </w:p>
        </w:tc>
        <w:tc>
          <w:tcPr>
            <w:tcW w:w="1468" w:type="dxa"/>
          </w:tcPr>
          <w:p w14:paraId="162332E4" w14:textId="77777777" w:rsidR="00E70E9A" w:rsidRPr="00D3089A" w:rsidRDefault="00E70E9A" w:rsidP="00452A3A">
            <w:pPr>
              <w:jc w:val="both"/>
            </w:pPr>
          </w:p>
        </w:tc>
        <w:tc>
          <w:tcPr>
            <w:tcW w:w="1398" w:type="dxa"/>
          </w:tcPr>
          <w:p w14:paraId="5F6400F6" w14:textId="77777777" w:rsidR="00E70E9A" w:rsidRPr="00D3089A" w:rsidRDefault="00E70E9A" w:rsidP="00452A3A">
            <w:pPr>
              <w:jc w:val="both"/>
            </w:pPr>
          </w:p>
        </w:tc>
        <w:tc>
          <w:tcPr>
            <w:tcW w:w="1477" w:type="dxa"/>
          </w:tcPr>
          <w:p w14:paraId="1A85B6AF" w14:textId="77777777" w:rsidR="00E70E9A" w:rsidRPr="00D3089A" w:rsidRDefault="00E70E9A" w:rsidP="00452A3A">
            <w:pPr>
              <w:jc w:val="both"/>
            </w:pPr>
            <w:r w:rsidRPr="00D3089A">
              <w:t>0.625</w:t>
            </w:r>
          </w:p>
        </w:tc>
      </w:tr>
      <w:tr w:rsidR="00E70E9A" w:rsidRPr="00D3089A" w14:paraId="5483D54A" w14:textId="77777777" w:rsidTr="00E70E9A">
        <w:trPr>
          <w:gridAfter w:val="1"/>
          <w:wAfter w:w="9" w:type="dxa"/>
          <w:jc w:val="center"/>
        </w:trPr>
        <w:tc>
          <w:tcPr>
            <w:tcW w:w="1647" w:type="dxa"/>
          </w:tcPr>
          <w:p w14:paraId="16B1A141" w14:textId="77777777" w:rsidR="00E70E9A" w:rsidRPr="00D3089A" w:rsidRDefault="00E70E9A" w:rsidP="00452A3A">
            <w:pPr>
              <w:jc w:val="both"/>
            </w:pPr>
          </w:p>
        </w:tc>
        <w:tc>
          <w:tcPr>
            <w:tcW w:w="1418" w:type="dxa"/>
          </w:tcPr>
          <w:p w14:paraId="37840637" w14:textId="77777777" w:rsidR="00E70E9A" w:rsidRPr="00D3089A" w:rsidRDefault="00E70E9A" w:rsidP="00452A3A">
            <w:pPr>
              <w:jc w:val="both"/>
            </w:pPr>
          </w:p>
        </w:tc>
        <w:tc>
          <w:tcPr>
            <w:tcW w:w="1468" w:type="dxa"/>
          </w:tcPr>
          <w:p w14:paraId="5EEF5062" w14:textId="77777777" w:rsidR="00E70E9A" w:rsidRPr="00D3089A" w:rsidRDefault="00E70E9A" w:rsidP="00452A3A">
            <w:pPr>
              <w:jc w:val="both"/>
            </w:pPr>
          </w:p>
        </w:tc>
        <w:tc>
          <w:tcPr>
            <w:tcW w:w="1398" w:type="dxa"/>
          </w:tcPr>
          <w:p w14:paraId="1DEBA8BA" w14:textId="77777777" w:rsidR="00E70E9A" w:rsidRPr="00D3089A" w:rsidRDefault="00E70E9A" w:rsidP="00452A3A">
            <w:pPr>
              <w:jc w:val="both"/>
            </w:pPr>
          </w:p>
        </w:tc>
        <w:tc>
          <w:tcPr>
            <w:tcW w:w="1477" w:type="dxa"/>
          </w:tcPr>
          <w:p w14:paraId="74B4BB56" w14:textId="77777777" w:rsidR="00E70E9A" w:rsidRPr="00D3089A" w:rsidRDefault="00E70E9A" w:rsidP="00452A3A">
            <w:pPr>
              <w:jc w:val="both"/>
            </w:pPr>
          </w:p>
        </w:tc>
      </w:tr>
      <w:tr w:rsidR="00E70E9A" w:rsidRPr="00D3089A" w14:paraId="4263FE28" w14:textId="77777777" w:rsidTr="00E70E9A">
        <w:trPr>
          <w:gridAfter w:val="1"/>
          <w:wAfter w:w="9" w:type="dxa"/>
          <w:jc w:val="center"/>
        </w:trPr>
        <w:tc>
          <w:tcPr>
            <w:tcW w:w="1647" w:type="dxa"/>
          </w:tcPr>
          <w:p w14:paraId="609A6C3F" w14:textId="77777777" w:rsidR="00E70E9A" w:rsidRPr="00D3089A" w:rsidRDefault="00E70E9A" w:rsidP="00452A3A">
            <w:pPr>
              <w:jc w:val="both"/>
            </w:pPr>
            <w:r w:rsidRPr="00D3089A">
              <w:t>12/88/0</w:t>
            </w:r>
          </w:p>
        </w:tc>
        <w:tc>
          <w:tcPr>
            <w:tcW w:w="1418" w:type="dxa"/>
          </w:tcPr>
          <w:p w14:paraId="1F378A1A" w14:textId="77777777" w:rsidR="00E70E9A" w:rsidRPr="00D3089A" w:rsidRDefault="00E70E9A" w:rsidP="00452A3A">
            <w:pPr>
              <w:jc w:val="both"/>
            </w:pPr>
            <w:r w:rsidRPr="00D3089A">
              <w:rPr>
                <w:b/>
                <w:bCs/>
              </w:rPr>
              <w:t>0.86</w:t>
            </w:r>
          </w:p>
        </w:tc>
        <w:tc>
          <w:tcPr>
            <w:tcW w:w="1468" w:type="dxa"/>
          </w:tcPr>
          <w:p w14:paraId="30B9B96C" w14:textId="77777777" w:rsidR="00E70E9A" w:rsidRPr="00D3089A" w:rsidRDefault="00E70E9A" w:rsidP="00452A3A">
            <w:pPr>
              <w:jc w:val="both"/>
            </w:pPr>
            <w:r w:rsidRPr="00D3089A">
              <w:rPr>
                <w:b/>
                <w:bCs/>
              </w:rPr>
              <w:t>0.985</w:t>
            </w:r>
          </w:p>
        </w:tc>
        <w:tc>
          <w:tcPr>
            <w:tcW w:w="1398" w:type="dxa"/>
          </w:tcPr>
          <w:p w14:paraId="600B43FE" w14:textId="77777777" w:rsidR="00E70E9A" w:rsidRPr="00D3089A" w:rsidRDefault="00E70E9A" w:rsidP="00452A3A">
            <w:pPr>
              <w:jc w:val="both"/>
            </w:pPr>
            <w:r w:rsidRPr="00D3089A">
              <w:rPr>
                <w:b/>
                <w:bCs/>
              </w:rPr>
              <w:t>&gt;0.995</w:t>
            </w:r>
          </w:p>
        </w:tc>
        <w:tc>
          <w:tcPr>
            <w:tcW w:w="1477" w:type="dxa"/>
          </w:tcPr>
          <w:p w14:paraId="2B3C465C" w14:textId="77777777" w:rsidR="00E70E9A" w:rsidRPr="00D3089A" w:rsidRDefault="00E70E9A" w:rsidP="00452A3A">
            <w:pPr>
              <w:jc w:val="both"/>
            </w:pPr>
          </w:p>
        </w:tc>
      </w:tr>
      <w:tr w:rsidR="00E70E9A" w:rsidRPr="00D3089A" w14:paraId="37C2C067" w14:textId="77777777" w:rsidTr="00E70E9A">
        <w:trPr>
          <w:gridAfter w:val="1"/>
          <w:wAfter w:w="9" w:type="dxa"/>
          <w:jc w:val="center"/>
        </w:trPr>
        <w:tc>
          <w:tcPr>
            <w:tcW w:w="1647" w:type="dxa"/>
          </w:tcPr>
          <w:p w14:paraId="111A09FE" w14:textId="77777777" w:rsidR="00E70E9A" w:rsidRPr="00D3089A" w:rsidRDefault="00E70E9A" w:rsidP="00452A3A">
            <w:pPr>
              <w:jc w:val="both"/>
            </w:pPr>
            <w:r w:rsidRPr="00D3089A">
              <w:t>12/87/1</w:t>
            </w:r>
          </w:p>
        </w:tc>
        <w:tc>
          <w:tcPr>
            <w:tcW w:w="1418" w:type="dxa"/>
          </w:tcPr>
          <w:p w14:paraId="2EFE175D" w14:textId="77777777" w:rsidR="00E70E9A" w:rsidRPr="00D3089A" w:rsidRDefault="00E70E9A" w:rsidP="00452A3A">
            <w:pPr>
              <w:jc w:val="both"/>
            </w:pPr>
            <w:r w:rsidRPr="00D3089A">
              <w:t>0.635</w:t>
            </w:r>
          </w:p>
        </w:tc>
        <w:tc>
          <w:tcPr>
            <w:tcW w:w="1468" w:type="dxa"/>
          </w:tcPr>
          <w:p w14:paraId="64D30634" w14:textId="77777777" w:rsidR="00E70E9A" w:rsidRPr="00D3089A" w:rsidRDefault="00E70E9A" w:rsidP="00452A3A">
            <w:pPr>
              <w:jc w:val="both"/>
            </w:pPr>
            <w:r w:rsidRPr="00D3089A">
              <w:rPr>
                <w:b/>
                <w:bCs/>
              </w:rPr>
              <w:t>0.83</w:t>
            </w:r>
          </w:p>
        </w:tc>
        <w:tc>
          <w:tcPr>
            <w:tcW w:w="1398" w:type="dxa"/>
          </w:tcPr>
          <w:p w14:paraId="0EA1D44E" w14:textId="77777777" w:rsidR="00E70E9A" w:rsidRPr="00D3089A" w:rsidRDefault="00E70E9A" w:rsidP="00452A3A">
            <w:pPr>
              <w:jc w:val="both"/>
            </w:pPr>
            <w:r w:rsidRPr="00D3089A">
              <w:rPr>
                <w:b/>
                <w:bCs/>
              </w:rPr>
              <w:t>0.93</w:t>
            </w:r>
          </w:p>
        </w:tc>
        <w:tc>
          <w:tcPr>
            <w:tcW w:w="1477" w:type="dxa"/>
          </w:tcPr>
          <w:p w14:paraId="715A7EE3" w14:textId="77777777" w:rsidR="00E70E9A" w:rsidRPr="00D3089A" w:rsidRDefault="00E70E9A" w:rsidP="00452A3A">
            <w:pPr>
              <w:jc w:val="both"/>
            </w:pPr>
          </w:p>
        </w:tc>
      </w:tr>
      <w:tr w:rsidR="00E70E9A" w:rsidRPr="00D3089A" w14:paraId="1252DD7E" w14:textId="77777777" w:rsidTr="00E70E9A">
        <w:trPr>
          <w:gridAfter w:val="1"/>
          <w:wAfter w:w="9" w:type="dxa"/>
          <w:jc w:val="center"/>
        </w:trPr>
        <w:tc>
          <w:tcPr>
            <w:tcW w:w="1647" w:type="dxa"/>
          </w:tcPr>
          <w:p w14:paraId="455C05A9" w14:textId="77777777" w:rsidR="00E70E9A" w:rsidRPr="00D3089A" w:rsidRDefault="00E70E9A" w:rsidP="00452A3A">
            <w:pPr>
              <w:jc w:val="both"/>
            </w:pPr>
            <w:r w:rsidRPr="00D3089A">
              <w:t>12/86/2</w:t>
            </w:r>
          </w:p>
        </w:tc>
        <w:tc>
          <w:tcPr>
            <w:tcW w:w="1418" w:type="dxa"/>
          </w:tcPr>
          <w:p w14:paraId="765200DA" w14:textId="77777777" w:rsidR="00E70E9A" w:rsidRPr="00D3089A" w:rsidRDefault="00E70E9A" w:rsidP="00452A3A">
            <w:pPr>
              <w:jc w:val="both"/>
            </w:pPr>
            <w:r w:rsidRPr="00D3089A">
              <w:t>0.465</w:t>
            </w:r>
          </w:p>
        </w:tc>
        <w:tc>
          <w:tcPr>
            <w:tcW w:w="1468" w:type="dxa"/>
          </w:tcPr>
          <w:p w14:paraId="42F7B0F1" w14:textId="77777777" w:rsidR="00E70E9A" w:rsidRPr="00D3089A" w:rsidRDefault="00E70E9A" w:rsidP="00452A3A">
            <w:pPr>
              <w:jc w:val="both"/>
            </w:pPr>
            <w:r w:rsidRPr="00D3089A">
              <w:t>0.655</w:t>
            </w:r>
          </w:p>
        </w:tc>
        <w:tc>
          <w:tcPr>
            <w:tcW w:w="1398" w:type="dxa"/>
          </w:tcPr>
          <w:p w14:paraId="334BF03C" w14:textId="77777777" w:rsidR="00E70E9A" w:rsidRPr="00D3089A" w:rsidRDefault="00E70E9A" w:rsidP="00452A3A">
            <w:pPr>
              <w:jc w:val="both"/>
            </w:pPr>
            <w:r w:rsidRPr="00D3089A">
              <w:rPr>
                <w:b/>
                <w:bCs/>
              </w:rPr>
              <w:t>0.80</w:t>
            </w:r>
          </w:p>
        </w:tc>
        <w:tc>
          <w:tcPr>
            <w:tcW w:w="1477" w:type="dxa"/>
          </w:tcPr>
          <w:p w14:paraId="034BE9BE" w14:textId="77777777" w:rsidR="00E70E9A" w:rsidRPr="00D3089A" w:rsidRDefault="00E70E9A" w:rsidP="00452A3A">
            <w:pPr>
              <w:jc w:val="both"/>
            </w:pPr>
            <w:r w:rsidRPr="00D3089A">
              <w:rPr>
                <w:b/>
                <w:bCs/>
              </w:rPr>
              <w:t>0.89</w:t>
            </w:r>
          </w:p>
        </w:tc>
      </w:tr>
      <w:tr w:rsidR="00E70E9A" w:rsidRPr="00D3089A" w14:paraId="777BDCBD" w14:textId="77777777" w:rsidTr="00E70E9A">
        <w:trPr>
          <w:gridAfter w:val="1"/>
          <w:wAfter w:w="9" w:type="dxa"/>
          <w:jc w:val="center"/>
        </w:trPr>
        <w:tc>
          <w:tcPr>
            <w:tcW w:w="1647" w:type="dxa"/>
          </w:tcPr>
          <w:p w14:paraId="1007D87C" w14:textId="77777777" w:rsidR="00E70E9A" w:rsidRPr="00D3089A" w:rsidRDefault="00E70E9A" w:rsidP="00452A3A">
            <w:pPr>
              <w:jc w:val="both"/>
            </w:pPr>
            <w:r w:rsidRPr="00D3089A">
              <w:t>12/85/3</w:t>
            </w:r>
          </w:p>
        </w:tc>
        <w:tc>
          <w:tcPr>
            <w:tcW w:w="1418" w:type="dxa"/>
          </w:tcPr>
          <w:p w14:paraId="1808CFE3" w14:textId="77777777" w:rsidR="00E70E9A" w:rsidRPr="00D3089A" w:rsidRDefault="00E70E9A" w:rsidP="00452A3A">
            <w:pPr>
              <w:jc w:val="both"/>
            </w:pPr>
            <w:r w:rsidRPr="00D3089A">
              <w:t>0.35</w:t>
            </w:r>
          </w:p>
        </w:tc>
        <w:tc>
          <w:tcPr>
            <w:tcW w:w="1468" w:type="dxa"/>
          </w:tcPr>
          <w:p w14:paraId="251BEBD7" w14:textId="77777777" w:rsidR="00E70E9A" w:rsidRPr="00D3089A" w:rsidRDefault="00E70E9A" w:rsidP="00452A3A">
            <w:pPr>
              <w:jc w:val="both"/>
            </w:pPr>
          </w:p>
        </w:tc>
        <w:tc>
          <w:tcPr>
            <w:tcW w:w="1398" w:type="dxa"/>
          </w:tcPr>
          <w:p w14:paraId="3B336FAC" w14:textId="77777777" w:rsidR="00E70E9A" w:rsidRPr="00D3089A" w:rsidRDefault="00E70E9A" w:rsidP="00452A3A">
            <w:pPr>
              <w:jc w:val="both"/>
            </w:pPr>
            <w:r w:rsidRPr="00D3089A">
              <w:t>0.65</w:t>
            </w:r>
          </w:p>
        </w:tc>
        <w:tc>
          <w:tcPr>
            <w:tcW w:w="1477" w:type="dxa"/>
          </w:tcPr>
          <w:p w14:paraId="3F4FE7C9" w14:textId="77777777" w:rsidR="00E70E9A" w:rsidRPr="00D3089A" w:rsidRDefault="00E70E9A" w:rsidP="00452A3A">
            <w:pPr>
              <w:jc w:val="both"/>
            </w:pPr>
            <w:r w:rsidRPr="00D3089A">
              <w:t>0.755</w:t>
            </w:r>
          </w:p>
        </w:tc>
      </w:tr>
      <w:tr w:rsidR="00E70E9A" w:rsidRPr="00D3089A" w14:paraId="67D56534" w14:textId="77777777" w:rsidTr="00E70E9A">
        <w:trPr>
          <w:gridAfter w:val="1"/>
          <w:wAfter w:w="9" w:type="dxa"/>
          <w:jc w:val="center"/>
        </w:trPr>
        <w:tc>
          <w:tcPr>
            <w:tcW w:w="1647" w:type="dxa"/>
          </w:tcPr>
          <w:p w14:paraId="65D02CE1" w14:textId="77777777" w:rsidR="00E70E9A" w:rsidRPr="00D3089A" w:rsidRDefault="00E70E9A" w:rsidP="00452A3A">
            <w:pPr>
              <w:jc w:val="both"/>
            </w:pPr>
            <w:r w:rsidRPr="00D3089A">
              <w:t>12/84/4</w:t>
            </w:r>
          </w:p>
        </w:tc>
        <w:tc>
          <w:tcPr>
            <w:tcW w:w="1418" w:type="dxa"/>
          </w:tcPr>
          <w:p w14:paraId="7E569511" w14:textId="77777777" w:rsidR="00E70E9A" w:rsidRPr="00D3089A" w:rsidRDefault="00E70E9A" w:rsidP="00452A3A">
            <w:pPr>
              <w:jc w:val="both"/>
            </w:pPr>
          </w:p>
        </w:tc>
        <w:tc>
          <w:tcPr>
            <w:tcW w:w="1468" w:type="dxa"/>
          </w:tcPr>
          <w:p w14:paraId="5AA1AB81" w14:textId="77777777" w:rsidR="00E70E9A" w:rsidRPr="00D3089A" w:rsidRDefault="00E70E9A" w:rsidP="00452A3A">
            <w:pPr>
              <w:jc w:val="both"/>
            </w:pPr>
          </w:p>
        </w:tc>
        <w:tc>
          <w:tcPr>
            <w:tcW w:w="1398" w:type="dxa"/>
          </w:tcPr>
          <w:p w14:paraId="073D574C" w14:textId="77777777" w:rsidR="00E70E9A" w:rsidRPr="00D3089A" w:rsidRDefault="00E70E9A" w:rsidP="00452A3A">
            <w:pPr>
              <w:jc w:val="both"/>
            </w:pPr>
          </w:p>
        </w:tc>
        <w:tc>
          <w:tcPr>
            <w:tcW w:w="1477" w:type="dxa"/>
          </w:tcPr>
          <w:p w14:paraId="574AB382" w14:textId="77777777" w:rsidR="00E70E9A" w:rsidRPr="00D3089A" w:rsidRDefault="00E70E9A" w:rsidP="00452A3A">
            <w:pPr>
              <w:jc w:val="both"/>
            </w:pPr>
            <w:r w:rsidRPr="00D3089A">
              <w:t>0.625</w:t>
            </w:r>
          </w:p>
        </w:tc>
      </w:tr>
      <w:tr w:rsidR="00E70E9A" w:rsidRPr="00D3089A" w14:paraId="098B1BEA" w14:textId="77777777" w:rsidTr="00E70E9A">
        <w:trPr>
          <w:gridAfter w:val="1"/>
          <w:wAfter w:w="9" w:type="dxa"/>
          <w:jc w:val="center"/>
        </w:trPr>
        <w:tc>
          <w:tcPr>
            <w:tcW w:w="1647" w:type="dxa"/>
          </w:tcPr>
          <w:p w14:paraId="00987A13" w14:textId="77777777" w:rsidR="00E70E9A" w:rsidRPr="00D3089A" w:rsidRDefault="00E70E9A" w:rsidP="00452A3A">
            <w:pPr>
              <w:jc w:val="both"/>
            </w:pPr>
            <w:r w:rsidRPr="00D3089A">
              <w:t>12/83/5</w:t>
            </w:r>
          </w:p>
        </w:tc>
        <w:tc>
          <w:tcPr>
            <w:tcW w:w="1418" w:type="dxa"/>
          </w:tcPr>
          <w:p w14:paraId="748FD9E1" w14:textId="77777777" w:rsidR="00E70E9A" w:rsidRPr="00D3089A" w:rsidRDefault="00E70E9A" w:rsidP="00452A3A">
            <w:pPr>
              <w:jc w:val="both"/>
            </w:pPr>
          </w:p>
        </w:tc>
        <w:tc>
          <w:tcPr>
            <w:tcW w:w="1468" w:type="dxa"/>
          </w:tcPr>
          <w:p w14:paraId="4DA688AC" w14:textId="77777777" w:rsidR="00E70E9A" w:rsidRPr="00D3089A" w:rsidRDefault="00E70E9A" w:rsidP="00452A3A">
            <w:pPr>
              <w:jc w:val="both"/>
            </w:pPr>
          </w:p>
        </w:tc>
        <w:tc>
          <w:tcPr>
            <w:tcW w:w="1398" w:type="dxa"/>
          </w:tcPr>
          <w:p w14:paraId="08D5FE23" w14:textId="77777777" w:rsidR="00E70E9A" w:rsidRPr="00D3089A" w:rsidRDefault="00E70E9A" w:rsidP="00452A3A">
            <w:pPr>
              <w:jc w:val="both"/>
            </w:pPr>
          </w:p>
        </w:tc>
        <w:tc>
          <w:tcPr>
            <w:tcW w:w="1477" w:type="dxa"/>
          </w:tcPr>
          <w:p w14:paraId="14833B6A" w14:textId="77777777" w:rsidR="00E70E9A" w:rsidRPr="00D3089A" w:rsidRDefault="00E70E9A" w:rsidP="00452A3A">
            <w:pPr>
              <w:jc w:val="both"/>
            </w:pPr>
            <w:r w:rsidRPr="00D3089A">
              <w:t>0.55</w:t>
            </w:r>
          </w:p>
        </w:tc>
      </w:tr>
      <w:tr w:rsidR="00E70E9A" w:rsidRPr="00D3089A" w14:paraId="70BCA7C5" w14:textId="77777777" w:rsidTr="00E70E9A">
        <w:trPr>
          <w:gridAfter w:val="1"/>
          <w:wAfter w:w="9" w:type="dxa"/>
          <w:jc w:val="center"/>
        </w:trPr>
        <w:tc>
          <w:tcPr>
            <w:tcW w:w="1647" w:type="dxa"/>
          </w:tcPr>
          <w:p w14:paraId="38BAA1A5" w14:textId="77777777" w:rsidR="00E70E9A" w:rsidRPr="00D3089A" w:rsidRDefault="00E70E9A" w:rsidP="00452A3A">
            <w:pPr>
              <w:jc w:val="both"/>
            </w:pPr>
            <w:r w:rsidRPr="00D3089A">
              <w:t>12/82/6</w:t>
            </w:r>
          </w:p>
        </w:tc>
        <w:tc>
          <w:tcPr>
            <w:tcW w:w="1418" w:type="dxa"/>
          </w:tcPr>
          <w:p w14:paraId="6AD81546" w14:textId="77777777" w:rsidR="00E70E9A" w:rsidRPr="00D3089A" w:rsidRDefault="00E70E9A" w:rsidP="00452A3A">
            <w:pPr>
              <w:jc w:val="both"/>
            </w:pPr>
          </w:p>
        </w:tc>
        <w:tc>
          <w:tcPr>
            <w:tcW w:w="1468" w:type="dxa"/>
          </w:tcPr>
          <w:p w14:paraId="7EB51291" w14:textId="77777777" w:rsidR="00E70E9A" w:rsidRPr="00D3089A" w:rsidRDefault="00E70E9A" w:rsidP="00452A3A">
            <w:pPr>
              <w:jc w:val="both"/>
            </w:pPr>
          </w:p>
        </w:tc>
        <w:tc>
          <w:tcPr>
            <w:tcW w:w="1398" w:type="dxa"/>
          </w:tcPr>
          <w:p w14:paraId="03963380" w14:textId="77777777" w:rsidR="00E70E9A" w:rsidRPr="00D3089A" w:rsidRDefault="00E70E9A" w:rsidP="00452A3A">
            <w:pPr>
              <w:jc w:val="both"/>
            </w:pPr>
          </w:p>
        </w:tc>
        <w:tc>
          <w:tcPr>
            <w:tcW w:w="1477" w:type="dxa"/>
          </w:tcPr>
          <w:p w14:paraId="34425B7D" w14:textId="77777777" w:rsidR="00E70E9A" w:rsidRPr="00D3089A" w:rsidRDefault="00E70E9A" w:rsidP="00452A3A">
            <w:pPr>
              <w:jc w:val="both"/>
            </w:pPr>
            <w:r w:rsidRPr="00D3089A">
              <w:t>0.505</w:t>
            </w:r>
          </w:p>
        </w:tc>
      </w:tr>
      <w:tr w:rsidR="00E70E9A" w:rsidRPr="00D3089A" w14:paraId="6863311F" w14:textId="77777777" w:rsidTr="00E70E9A">
        <w:trPr>
          <w:gridAfter w:val="1"/>
          <w:wAfter w:w="9" w:type="dxa"/>
          <w:jc w:val="center"/>
        </w:trPr>
        <w:tc>
          <w:tcPr>
            <w:tcW w:w="1647" w:type="dxa"/>
          </w:tcPr>
          <w:p w14:paraId="107D16D9" w14:textId="77777777" w:rsidR="00E70E9A" w:rsidRPr="00D3089A" w:rsidRDefault="00E70E9A" w:rsidP="00452A3A">
            <w:pPr>
              <w:jc w:val="both"/>
            </w:pPr>
            <w:r w:rsidRPr="00D3089A">
              <w:t>12/81/7</w:t>
            </w:r>
          </w:p>
        </w:tc>
        <w:tc>
          <w:tcPr>
            <w:tcW w:w="1418" w:type="dxa"/>
          </w:tcPr>
          <w:p w14:paraId="29E23410" w14:textId="77777777" w:rsidR="00E70E9A" w:rsidRPr="00D3089A" w:rsidRDefault="00E70E9A" w:rsidP="00452A3A">
            <w:pPr>
              <w:jc w:val="both"/>
            </w:pPr>
          </w:p>
        </w:tc>
        <w:tc>
          <w:tcPr>
            <w:tcW w:w="1468" w:type="dxa"/>
          </w:tcPr>
          <w:p w14:paraId="65F40A40" w14:textId="77777777" w:rsidR="00E70E9A" w:rsidRPr="00D3089A" w:rsidRDefault="00E70E9A" w:rsidP="00452A3A">
            <w:pPr>
              <w:jc w:val="both"/>
            </w:pPr>
          </w:p>
        </w:tc>
        <w:tc>
          <w:tcPr>
            <w:tcW w:w="1398" w:type="dxa"/>
          </w:tcPr>
          <w:p w14:paraId="5E3A1B2E" w14:textId="77777777" w:rsidR="00E70E9A" w:rsidRPr="00D3089A" w:rsidRDefault="00E70E9A" w:rsidP="00452A3A">
            <w:pPr>
              <w:jc w:val="both"/>
            </w:pPr>
          </w:p>
        </w:tc>
        <w:tc>
          <w:tcPr>
            <w:tcW w:w="1477" w:type="dxa"/>
          </w:tcPr>
          <w:p w14:paraId="76319D0F" w14:textId="77777777" w:rsidR="00E70E9A" w:rsidRPr="00D3089A" w:rsidRDefault="00E70E9A" w:rsidP="00452A3A">
            <w:pPr>
              <w:jc w:val="both"/>
            </w:pPr>
            <w:r w:rsidRPr="00D3089A">
              <w:t>0.505</w:t>
            </w:r>
          </w:p>
        </w:tc>
      </w:tr>
      <w:tr w:rsidR="00E70E9A" w:rsidRPr="00D3089A" w14:paraId="2C4262F6" w14:textId="77777777" w:rsidTr="00E70E9A">
        <w:trPr>
          <w:gridAfter w:val="1"/>
          <w:wAfter w:w="9" w:type="dxa"/>
          <w:jc w:val="center"/>
        </w:trPr>
        <w:tc>
          <w:tcPr>
            <w:tcW w:w="1647" w:type="dxa"/>
          </w:tcPr>
          <w:p w14:paraId="40606906" w14:textId="77777777" w:rsidR="00E70E9A" w:rsidRPr="00D3089A" w:rsidRDefault="00E70E9A" w:rsidP="00452A3A">
            <w:pPr>
              <w:jc w:val="both"/>
            </w:pPr>
          </w:p>
        </w:tc>
        <w:tc>
          <w:tcPr>
            <w:tcW w:w="1418" w:type="dxa"/>
          </w:tcPr>
          <w:p w14:paraId="4DA9E132" w14:textId="77777777" w:rsidR="00E70E9A" w:rsidRPr="00D3089A" w:rsidRDefault="00E70E9A" w:rsidP="00452A3A">
            <w:pPr>
              <w:jc w:val="both"/>
            </w:pPr>
          </w:p>
        </w:tc>
        <w:tc>
          <w:tcPr>
            <w:tcW w:w="1468" w:type="dxa"/>
          </w:tcPr>
          <w:p w14:paraId="09312916" w14:textId="77777777" w:rsidR="00E70E9A" w:rsidRPr="00D3089A" w:rsidRDefault="00E70E9A" w:rsidP="00452A3A">
            <w:pPr>
              <w:jc w:val="both"/>
            </w:pPr>
          </w:p>
        </w:tc>
        <w:tc>
          <w:tcPr>
            <w:tcW w:w="1398" w:type="dxa"/>
          </w:tcPr>
          <w:p w14:paraId="3E01F660" w14:textId="77777777" w:rsidR="00E70E9A" w:rsidRPr="00D3089A" w:rsidRDefault="00E70E9A" w:rsidP="00452A3A">
            <w:pPr>
              <w:jc w:val="both"/>
            </w:pPr>
          </w:p>
        </w:tc>
        <w:tc>
          <w:tcPr>
            <w:tcW w:w="1477" w:type="dxa"/>
          </w:tcPr>
          <w:p w14:paraId="6C55A25B" w14:textId="77777777" w:rsidR="00E70E9A" w:rsidRPr="00D3089A" w:rsidRDefault="00E70E9A" w:rsidP="00452A3A">
            <w:pPr>
              <w:jc w:val="both"/>
            </w:pPr>
          </w:p>
        </w:tc>
      </w:tr>
      <w:tr w:rsidR="00E70E9A" w:rsidRPr="00D3089A" w14:paraId="3A735494" w14:textId="77777777" w:rsidTr="00E70E9A">
        <w:trPr>
          <w:gridAfter w:val="1"/>
          <w:wAfter w:w="9" w:type="dxa"/>
          <w:jc w:val="center"/>
        </w:trPr>
        <w:tc>
          <w:tcPr>
            <w:tcW w:w="1647" w:type="dxa"/>
          </w:tcPr>
          <w:p w14:paraId="09DB5269" w14:textId="77777777" w:rsidR="00E70E9A" w:rsidRPr="00D3089A" w:rsidRDefault="00E70E9A" w:rsidP="00452A3A">
            <w:pPr>
              <w:jc w:val="both"/>
            </w:pPr>
            <w:r w:rsidRPr="00D3089A">
              <w:t>11/89/0</w:t>
            </w:r>
          </w:p>
        </w:tc>
        <w:tc>
          <w:tcPr>
            <w:tcW w:w="1418" w:type="dxa"/>
          </w:tcPr>
          <w:p w14:paraId="3DF52DDB" w14:textId="77777777" w:rsidR="00E70E9A" w:rsidRPr="00D3089A" w:rsidRDefault="00E70E9A" w:rsidP="00452A3A">
            <w:pPr>
              <w:jc w:val="both"/>
            </w:pPr>
            <w:r w:rsidRPr="00D3089A">
              <w:rPr>
                <w:b/>
                <w:bCs/>
              </w:rPr>
              <w:t>0.84</w:t>
            </w:r>
          </w:p>
        </w:tc>
        <w:tc>
          <w:tcPr>
            <w:tcW w:w="1468" w:type="dxa"/>
          </w:tcPr>
          <w:p w14:paraId="01ED0EBE" w14:textId="77777777" w:rsidR="00E70E9A" w:rsidRPr="00D3089A" w:rsidRDefault="00E70E9A" w:rsidP="00452A3A">
            <w:pPr>
              <w:jc w:val="both"/>
            </w:pPr>
            <w:r w:rsidRPr="00D3089A">
              <w:rPr>
                <w:b/>
                <w:bCs/>
              </w:rPr>
              <w:t>0.98</w:t>
            </w:r>
          </w:p>
        </w:tc>
        <w:tc>
          <w:tcPr>
            <w:tcW w:w="1398" w:type="dxa"/>
          </w:tcPr>
          <w:p w14:paraId="7E5B3CE0" w14:textId="77777777" w:rsidR="00E70E9A" w:rsidRPr="00D3089A" w:rsidRDefault="00E70E9A" w:rsidP="00452A3A">
            <w:pPr>
              <w:jc w:val="both"/>
            </w:pPr>
            <w:r w:rsidRPr="00D3089A">
              <w:rPr>
                <w:b/>
                <w:bCs/>
              </w:rPr>
              <w:t>&gt;0.995</w:t>
            </w:r>
          </w:p>
        </w:tc>
        <w:tc>
          <w:tcPr>
            <w:tcW w:w="1477" w:type="dxa"/>
          </w:tcPr>
          <w:p w14:paraId="0D3B63E1" w14:textId="77777777" w:rsidR="00E70E9A" w:rsidRPr="00D3089A" w:rsidRDefault="00E70E9A" w:rsidP="00452A3A">
            <w:pPr>
              <w:jc w:val="both"/>
            </w:pPr>
          </w:p>
        </w:tc>
      </w:tr>
      <w:tr w:rsidR="00E70E9A" w:rsidRPr="00D3089A" w14:paraId="7E0303B4" w14:textId="77777777" w:rsidTr="00E70E9A">
        <w:trPr>
          <w:gridAfter w:val="1"/>
          <w:wAfter w:w="9" w:type="dxa"/>
          <w:jc w:val="center"/>
        </w:trPr>
        <w:tc>
          <w:tcPr>
            <w:tcW w:w="1647" w:type="dxa"/>
          </w:tcPr>
          <w:p w14:paraId="75808130" w14:textId="77777777" w:rsidR="00E70E9A" w:rsidRPr="00D3089A" w:rsidRDefault="00E70E9A" w:rsidP="00452A3A">
            <w:pPr>
              <w:jc w:val="both"/>
            </w:pPr>
            <w:r w:rsidRPr="00D3089A">
              <w:t>11/88/1</w:t>
            </w:r>
          </w:p>
        </w:tc>
        <w:tc>
          <w:tcPr>
            <w:tcW w:w="1418" w:type="dxa"/>
          </w:tcPr>
          <w:p w14:paraId="5DE8FCF5" w14:textId="77777777" w:rsidR="00E70E9A" w:rsidRPr="00D3089A" w:rsidRDefault="00E70E9A" w:rsidP="00452A3A">
            <w:pPr>
              <w:jc w:val="both"/>
            </w:pPr>
            <w:r w:rsidRPr="00D3089A">
              <w:t>0.585</w:t>
            </w:r>
          </w:p>
        </w:tc>
        <w:tc>
          <w:tcPr>
            <w:tcW w:w="1468" w:type="dxa"/>
          </w:tcPr>
          <w:p w14:paraId="4E3D19D8" w14:textId="77777777" w:rsidR="00E70E9A" w:rsidRPr="00D3089A" w:rsidRDefault="00E70E9A" w:rsidP="00452A3A">
            <w:pPr>
              <w:jc w:val="both"/>
            </w:pPr>
            <w:r w:rsidRPr="00D3089A">
              <w:rPr>
                <w:b/>
                <w:bCs/>
              </w:rPr>
              <w:t>0.80</w:t>
            </w:r>
          </w:p>
        </w:tc>
        <w:tc>
          <w:tcPr>
            <w:tcW w:w="1398" w:type="dxa"/>
          </w:tcPr>
          <w:p w14:paraId="19156151" w14:textId="77777777" w:rsidR="00E70E9A" w:rsidRPr="00D3089A" w:rsidRDefault="00E70E9A" w:rsidP="00452A3A">
            <w:pPr>
              <w:jc w:val="both"/>
            </w:pPr>
            <w:r w:rsidRPr="00D3089A">
              <w:rPr>
                <w:b/>
                <w:bCs/>
              </w:rPr>
              <w:t>0.91</w:t>
            </w:r>
          </w:p>
        </w:tc>
        <w:tc>
          <w:tcPr>
            <w:tcW w:w="1477" w:type="dxa"/>
          </w:tcPr>
          <w:p w14:paraId="64431ED7" w14:textId="77777777" w:rsidR="00E70E9A" w:rsidRPr="00D3089A" w:rsidRDefault="00E70E9A" w:rsidP="00452A3A">
            <w:pPr>
              <w:jc w:val="both"/>
            </w:pPr>
          </w:p>
        </w:tc>
      </w:tr>
      <w:tr w:rsidR="00E70E9A" w:rsidRPr="00D3089A" w14:paraId="0EA68E80" w14:textId="77777777" w:rsidTr="00E70E9A">
        <w:trPr>
          <w:gridAfter w:val="1"/>
          <w:wAfter w:w="9" w:type="dxa"/>
          <w:jc w:val="center"/>
        </w:trPr>
        <w:tc>
          <w:tcPr>
            <w:tcW w:w="1647" w:type="dxa"/>
          </w:tcPr>
          <w:p w14:paraId="54B21C48" w14:textId="77777777" w:rsidR="00E70E9A" w:rsidRPr="00D3089A" w:rsidRDefault="00E70E9A" w:rsidP="00452A3A">
            <w:pPr>
              <w:jc w:val="both"/>
            </w:pPr>
            <w:r w:rsidRPr="00D3089A">
              <w:t>11/87/2</w:t>
            </w:r>
          </w:p>
        </w:tc>
        <w:tc>
          <w:tcPr>
            <w:tcW w:w="1418" w:type="dxa"/>
          </w:tcPr>
          <w:p w14:paraId="4FF3D4CA" w14:textId="77777777" w:rsidR="00E70E9A" w:rsidRPr="00D3089A" w:rsidRDefault="00E70E9A" w:rsidP="00452A3A">
            <w:pPr>
              <w:jc w:val="both"/>
            </w:pPr>
            <w:r w:rsidRPr="00D3089A">
              <w:t>0.425</w:t>
            </w:r>
          </w:p>
        </w:tc>
        <w:tc>
          <w:tcPr>
            <w:tcW w:w="1468" w:type="dxa"/>
          </w:tcPr>
          <w:p w14:paraId="58373308" w14:textId="77777777" w:rsidR="00E70E9A" w:rsidRPr="00D3089A" w:rsidRDefault="00E70E9A" w:rsidP="00452A3A">
            <w:pPr>
              <w:jc w:val="both"/>
            </w:pPr>
            <w:r w:rsidRPr="00D3089A">
              <w:t>0.595</w:t>
            </w:r>
          </w:p>
        </w:tc>
        <w:tc>
          <w:tcPr>
            <w:tcW w:w="1398" w:type="dxa"/>
          </w:tcPr>
          <w:p w14:paraId="58AD9817" w14:textId="77777777" w:rsidR="00E70E9A" w:rsidRPr="00D3089A" w:rsidRDefault="00E70E9A" w:rsidP="00452A3A">
            <w:pPr>
              <w:jc w:val="both"/>
            </w:pPr>
            <w:r w:rsidRPr="00D3089A">
              <w:t>0.76</w:t>
            </w:r>
          </w:p>
        </w:tc>
        <w:tc>
          <w:tcPr>
            <w:tcW w:w="1477" w:type="dxa"/>
          </w:tcPr>
          <w:p w14:paraId="16B0908F" w14:textId="77777777" w:rsidR="00E70E9A" w:rsidRPr="00D3089A" w:rsidRDefault="00E70E9A" w:rsidP="00452A3A">
            <w:pPr>
              <w:jc w:val="both"/>
            </w:pPr>
            <w:r w:rsidRPr="00D3089A">
              <w:rPr>
                <w:b/>
                <w:bCs/>
              </w:rPr>
              <w:t>0.855</w:t>
            </w:r>
          </w:p>
        </w:tc>
      </w:tr>
      <w:tr w:rsidR="00E70E9A" w:rsidRPr="00D3089A" w14:paraId="2B50E7D2" w14:textId="77777777" w:rsidTr="00E70E9A">
        <w:trPr>
          <w:gridAfter w:val="1"/>
          <w:wAfter w:w="9" w:type="dxa"/>
          <w:jc w:val="center"/>
        </w:trPr>
        <w:tc>
          <w:tcPr>
            <w:tcW w:w="1647" w:type="dxa"/>
          </w:tcPr>
          <w:p w14:paraId="26B58218" w14:textId="77777777" w:rsidR="00E70E9A" w:rsidRPr="00D3089A" w:rsidRDefault="00E70E9A" w:rsidP="00452A3A">
            <w:pPr>
              <w:jc w:val="both"/>
            </w:pPr>
            <w:r w:rsidRPr="00D3089A">
              <w:t>11/86/3</w:t>
            </w:r>
          </w:p>
        </w:tc>
        <w:tc>
          <w:tcPr>
            <w:tcW w:w="1418" w:type="dxa"/>
          </w:tcPr>
          <w:p w14:paraId="1C4C9209" w14:textId="77777777" w:rsidR="00E70E9A" w:rsidRPr="00D3089A" w:rsidRDefault="00E70E9A" w:rsidP="00452A3A">
            <w:pPr>
              <w:jc w:val="both"/>
            </w:pPr>
          </w:p>
        </w:tc>
        <w:tc>
          <w:tcPr>
            <w:tcW w:w="1468" w:type="dxa"/>
          </w:tcPr>
          <w:p w14:paraId="408B2967" w14:textId="77777777" w:rsidR="00E70E9A" w:rsidRPr="00D3089A" w:rsidRDefault="00E70E9A" w:rsidP="00452A3A">
            <w:pPr>
              <w:jc w:val="both"/>
            </w:pPr>
          </w:p>
        </w:tc>
        <w:tc>
          <w:tcPr>
            <w:tcW w:w="1398" w:type="dxa"/>
          </w:tcPr>
          <w:p w14:paraId="35C02EDB" w14:textId="77777777" w:rsidR="00E70E9A" w:rsidRPr="00D3089A" w:rsidRDefault="00E70E9A" w:rsidP="00452A3A">
            <w:pPr>
              <w:jc w:val="both"/>
            </w:pPr>
          </w:p>
        </w:tc>
        <w:tc>
          <w:tcPr>
            <w:tcW w:w="1477" w:type="dxa"/>
          </w:tcPr>
          <w:p w14:paraId="28D26A9E" w14:textId="77777777" w:rsidR="00E70E9A" w:rsidRPr="00D3089A" w:rsidRDefault="00E70E9A" w:rsidP="00452A3A">
            <w:pPr>
              <w:jc w:val="both"/>
            </w:pPr>
            <w:r w:rsidRPr="00D3089A">
              <w:t>0.69</w:t>
            </w:r>
          </w:p>
        </w:tc>
      </w:tr>
      <w:tr w:rsidR="00E70E9A" w:rsidRPr="00D3089A" w14:paraId="38C8BA51" w14:textId="77777777" w:rsidTr="00E70E9A">
        <w:trPr>
          <w:gridAfter w:val="1"/>
          <w:wAfter w:w="9" w:type="dxa"/>
          <w:jc w:val="center"/>
        </w:trPr>
        <w:tc>
          <w:tcPr>
            <w:tcW w:w="1647" w:type="dxa"/>
          </w:tcPr>
          <w:p w14:paraId="59DA3483" w14:textId="77777777" w:rsidR="00E70E9A" w:rsidRPr="00D3089A" w:rsidRDefault="00E70E9A" w:rsidP="00452A3A">
            <w:pPr>
              <w:jc w:val="both"/>
            </w:pPr>
            <w:r w:rsidRPr="00D3089A">
              <w:t>11/85/4</w:t>
            </w:r>
          </w:p>
        </w:tc>
        <w:tc>
          <w:tcPr>
            <w:tcW w:w="1418" w:type="dxa"/>
          </w:tcPr>
          <w:p w14:paraId="231D5B89" w14:textId="77777777" w:rsidR="00E70E9A" w:rsidRPr="00D3089A" w:rsidRDefault="00E70E9A" w:rsidP="00452A3A">
            <w:pPr>
              <w:jc w:val="both"/>
            </w:pPr>
          </w:p>
        </w:tc>
        <w:tc>
          <w:tcPr>
            <w:tcW w:w="1468" w:type="dxa"/>
          </w:tcPr>
          <w:p w14:paraId="384D575C" w14:textId="77777777" w:rsidR="00E70E9A" w:rsidRPr="00D3089A" w:rsidRDefault="00E70E9A" w:rsidP="00452A3A">
            <w:pPr>
              <w:jc w:val="both"/>
            </w:pPr>
          </w:p>
        </w:tc>
        <w:tc>
          <w:tcPr>
            <w:tcW w:w="1398" w:type="dxa"/>
          </w:tcPr>
          <w:p w14:paraId="0A1D2DEE" w14:textId="77777777" w:rsidR="00E70E9A" w:rsidRPr="00D3089A" w:rsidRDefault="00E70E9A" w:rsidP="00452A3A">
            <w:pPr>
              <w:jc w:val="both"/>
            </w:pPr>
          </w:p>
        </w:tc>
        <w:tc>
          <w:tcPr>
            <w:tcW w:w="1477" w:type="dxa"/>
          </w:tcPr>
          <w:p w14:paraId="1C77BE35" w14:textId="77777777" w:rsidR="00E70E9A" w:rsidRPr="00D3089A" w:rsidRDefault="00E70E9A" w:rsidP="00452A3A">
            <w:pPr>
              <w:jc w:val="both"/>
            </w:pPr>
            <w:r w:rsidRPr="00D3089A">
              <w:t>0.54</w:t>
            </w:r>
          </w:p>
        </w:tc>
      </w:tr>
      <w:tr w:rsidR="00E70E9A" w:rsidRPr="00D3089A" w14:paraId="7A26C4A2" w14:textId="77777777" w:rsidTr="00E70E9A">
        <w:trPr>
          <w:gridAfter w:val="1"/>
          <w:wAfter w:w="9" w:type="dxa"/>
          <w:jc w:val="center"/>
        </w:trPr>
        <w:tc>
          <w:tcPr>
            <w:tcW w:w="1647" w:type="dxa"/>
          </w:tcPr>
          <w:p w14:paraId="07A07EB6" w14:textId="77777777" w:rsidR="00E70E9A" w:rsidRPr="00D3089A" w:rsidRDefault="00E70E9A" w:rsidP="00452A3A">
            <w:pPr>
              <w:jc w:val="both"/>
            </w:pPr>
            <w:r w:rsidRPr="00D3089A">
              <w:t>11/84/5</w:t>
            </w:r>
          </w:p>
        </w:tc>
        <w:tc>
          <w:tcPr>
            <w:tcW w:w="1418" w:type="dxa"/>
          </w:tcPr>
          <w:p w14:paraId="3329B1F5" w14:textId="77777777" w:rsidR="00E70E9A" w:rsidRPr="00D3089A" w:rsidRDefault="00E70E9A" w:rsidP="00452A3A">
            <w:pPr>
              <w:jc w:val="both"/>
            </w:pPr>
          </w:p>
        </w:tc>
        <w:tc>
          <w:tcPr>
            <w:tcW w:w="1468" w:type="dxa"/>
          </w:tcPr>
          <w:p w14:paraId="619CD36D" w14:textId="77777777" w:rsidR="00E70E9A" w:rsidRPr="00D3089A" w:rsidRDefault="00E70E9A" w:rsidP="00452A3A">
            <w:pPr>
              <w:jc w:val="both"/>
            </w:pPr>
          </w:p>
        </w:tc>
        <w:tc>
          <w:tcPr>
            <w:tcW w:w="1398" w:type="dxa"/>
          </w:tcPr>
          <w:p w14:paraId="5867EB1E" w14:textId="77777777" w:rsidR="00E70E9A" w:rsidRPr="00D3089A" w:rsidRDefault="00E70E9A" w:rsidP="00452A3A">
            <w:pPr>
              <w:jc w:val="both"/>
            </w:pPr>
          </w:p>
        </w:tc>
        <w:tc>
          <w:tcPr>
            <w:tcW w:w="1477" w:type="dxa"/>
          </w:tcPr>
          <w:p w14:paraId="25B3B4AB" w14:textId="77777777" w:rsidR="00E70E9A" w:rsidRPr="00D3089A" w:rsidRDefault="00E70E9A" w:rsidP="00452A3A">
            <w:pPr>
              <w:jc w:val="both"/>
            </w:pPr>
            <w:r w:rsidRPr="00D3089A">
              <w:t>0.425</w:t>
            </w:r>
          </w:p>
        </w:tc>
      </w:tr>
    </w:tbl>
    <w:p w14:paraId="3C5263C0" w14:textId="77777777" w:rsidR="00E70E9A" w:rsidRPr="00D3089A" w:rsidRDefault="00E70E9A" w:rsidP="00452A3A">
      <w:pPr>
        <w:jc w:val="both"/>
        <w:rPr>
          <w:color w:val="000000" w:themeColor="text1"/>
        </w:rPr>
      </w:pPr>
    </w:p>
    <w:p w14:paraId="3FC9A1FA" w14:textId="16B363BE" w:rsidR="00E70E9A" w:rsidRPr="00D3089A" w:rsidRDefault="00E70E9A" w:rsidP="000319C5">
      <w:pPr>
        <w:ind w:firstLine="720"/>
        <w:jc w:val="both"/>
      </w:pPr>
      <w:r w:rsidRPr="00D3089A">
        <w:rPr>
          <w:color w:val="000000" w:themeColor="text1"/>
        </w:rPr>
        <w:t>A 1984 survey administered to 52 females with SCD and 80 controls demonstrated 39% of SCD subjects were sexually active compared to 81% of controls, and the mean age at first sexual encounter was 17.7 years in the SCD group vs. 17.0 years in the control population</w:t>
      </w:r>
      <w:r w:rsidR="000319C5" w:rsidRPr="00D3089A">
        <w:rPr>
          <w:color w:val="000000" w:themeColor="text1"/>
        </w:rPr>
        <w:t xml:space="preserve">.  </w:t>
      </w:r>
      <w:r w:rsidR="003D57DF" w:rsidRPr="00D3089A">
        <w:rPr>
          <w:color w:val="000000" w:themeColor="text1"/>
        </w:rPr>
        <w:t xml:space="preserve">More updated preliminary data is not available for utilization in power calculations. </w:t>
      </w:r>
      <w:r w:rsidR="000319C5" w:rsidRPr="00D3089A">
        <w:rPr>
          <w:color w:val="000000" w:themeColor="text1"/>
        </w:rPr>
        <w:t>Therefore</w:t>
      </w:r>
      <w:r w:rsidRPr="00D3089A">
        <w:rPr>
          <w:color w:val="000000" w:themeColor="text1"/>
        </w:rPr>
        <w:t xml:space="preserve"> an assumption of differences on the order of magnitude of 11, 88, </w:t>
      </w:r>
      <w:proofErr w:type="gramStart"/>
      <w:r w:rsidRPr="00D3089A">
        <w:rPr>
          <w:color w:val="000000" w:themeColor="text1"/>
        </w:rPr>
        <w:t>1% (0, 1-2, 3+</w:t>
      </w:r>
      <w:proofErr w:type="gramEnd"/>
      <w:r w:rsidRPr="00D3089A">
        <w:rPr>
          <w:color w:val="000000" w:themeColor="text1"/>
        </w:rPr>
        <w:t xml:space="preserve"> partners, respectively) in the cases compared to the presumed distribution of </w:t>
      </w:r>
      <w:r w:rsidRPr="00D3089A">
        <w:t xml:space="preserve">6.3%, 86.6%, 7.1% in controls is reasonable.  As 80% power is achieved with 150 subjects per group in this distribution, this was chosen as the sample size to achieve study objectives and maintain feasibility within resources. </w:t>
      </w:r>
    </w:p>
    <w:p w14:paraId="3557DCDF" w14:textId="77777777" w:rsidR="00135B05" w:rsidRPr="00D3089A" w:rsidRDefault="00135B05" w:rsidP="00452A3A">
      <w:pPr>
        <w:widowControl w:val="0"/>
        <w:adjustRightInd w:val="0"/>
        <w:snapToGrid w:val="0"/>
        <w:jc w:val="both"/>
        <w:rPr>
          <w:b/>
        </w:rPr>
      </w:pPr>
    </w:p>
    <w:p w14:paraId="3A87C35F" w14:textId="77777777" w:rsidR="00135B05" w:rsidRPr="00D3089A" w:rsidRDefault="00135B05" w:rsidP="00452A3A">
      <w:pPr>
        <w:widowControl w:val="0"/>
        <w:adjustRightInd w:val="0"/>
        <w:snapToGrid w:val="0"/>
        <w:jc w:val="both"/>
        <w:rPr>
          <w:b/>
        </w:rPr>
      </w:pPr>
      <w:r w:rsidRPr="00D3089A">
        <w:rPr>
          <w:b/>
        </w:rPr>
        <w:t>B.2.</w:t>
      </w:r>
      <w:r w:rsidR="00BB3E27" w:rsidRPr="00D3089A">
        <w:rPr>
          <w:b/>
        </w:rPr>
        <w:tab/>
      </w:r>
      <w:r w:rsidRPr="00D3089A">
        <w:rPr>
          <w:b/>
        </w:rPr>
        <w:t>Procedure for the Collection of Information</w:t>
      </w:r>
    </w:p>
    <w:p w14:paraId="055EE111" w14:textId="77777777" w:rsidR="00135B05" w:rsidRPr="00D3089A" w:rsidRDefault="00135B05" w:rsidP="00452A3A">
      <w:pPr>
        <w:pStyle w:val="Date"/>
        <w:widowControl w:val="0"/>
        <w:adjustRightInd w:val="0"/>
        <w:snapToGrid w:val="0"/>
        <w:jc w:val="both"/>
        <w:rPr>
          <w:b/>
        </w:rPr>
      </w:pPr>
    </w:p>
    <w:p w14:paraId="23ECFC94" w14:textId="77777777" w:rsidR="00135B05" w:rsidRPr="00D3089A" w:rsidRDefault="00135B05" w:rsidP="00452A3A">
      <w:pPr>
        <w:pStyle w:val="Date"/>
        <w:widowControl w:val="0"/>
        <w:adjustRightInd w:val="0"/>
        <w:snapToGrid w:val="0"/>
        <w:jc w:val="both"/>
        <w:rPr>
          <w:b/>
        </w:rPr>
      </w:pPr>
      <w:r w:rsidRPr="00D3089A">
        <w:rPr>
          <w:b/>
        </w:rPr>
        <w:t>B.2.1.</w:t>
      </w:r>
      <w:r w:rsidR="00BB3E27" w:rsidRPr="00D3089A">
        <w:rPr>
          <w:b/>
        </w:rPr>
        <w:tab/>
      </w:r>
      <w:r w:rsidRPr="00D3089A">
        <w:rPr>
          <w:b/>
        </w:rPr>
        <w:t>Questionnaire</w:t>
      </w:r>
    </w:p>
    <w:p w14:paraId="55A28478" w14:textId="77777777" w:rsidR="00BB3E27" w:rsidRPr="00D3089A" w:rsidRDefault="00BB3E27" w:rsidP="00452A3A">
      <w:pPr>
        <w:widowControl w:val="0"/>
        <w:adjustRightInd w:val="0"/>
        <w:snapToGrid w:val="0"/>
        <w:jc w:val="both"/>
        <w:rPr>
          <w:color w:val="000000"/>
        </w:rPr>
      </w:pPr>
    </w:p>
    <w:p w14:paraId="088D940F" w14:textId="2A7A46C4" w:rsidR="00EB4B62" w:rsidRPr="00D3089A" w:rsidRDefault="00EB4B62" w:rsidP="00452A3A">
      <w:pPr>
        <w:widowControl w:val="0"/>
        <w:adjustRightInd w:val="0"/>
        <w:snapToGrid w:val="0"/>
        <w:ind w:firstLine="720"/>
        <w:jc w:val="both"/>
        <w:rPr>
          <w:b/>
        </w:rPr>
      </w:pPr>
      <w:r w:rsidRPr="00D3089A">
        <w:rPr>
          <w:color w:val="000000"/>
        </w:rPr>
        <w:t xml:space="preserve">A detailed HIV risk factor </w:t>
      </w:r>
      <w:r w:rsidR="00EA60BF" w:rsidRPr="00D3089A">
        <w:rPr>
          <w:color w:val="000000"/>
        </w:rPr>
        <w:t>assessment</w:t>
      </w:r>
      <w:r w:rsidRPr="00D3089A">
        <w:rPr>
          <w:color w:val="000000"/>
        </w:rPr>
        <w:t xml:space="preserve"> will be administered to all subjects. This </w:t>
      </w:r>
      <w:r w:rsidR="00EA60BF" w:rsidRPr="00D3089A">
        <w:rPr>
          <w:color w:val="000000"/>
        </w:rPr>
        <w:t>assessment</w:t>
      </w:r>
      <w:r w:rsidRPr="00D3089A">
        <w:rPr>
          <w:color w:val="000000"/>
        </w:rPr>
        <w:t xml:space="preserve"> will be based upon an instrument previously utilized and validated by the CDC in its HIV surveillance at U.S. blood banks.  This tool has been modified for use in other HIV related REDS</w:t>
      </w:r>
      <w:r w:rsidR="00695DC9" w:rsidRPr="00D3089A">
        <w:rPr>
          <w:color w:val="000000"/>
        </w:rPr>
        <w:t>-II</w:t>
      </w:r>
      <w:r w:rsidRPr="00D3089A">
        <w:rPr>
          <w:color w:val="000000"/>
        </w:rPr>
        <w:t xml:space="preserve"> studies in Brazil, and has been further tailored to the SCD population with input from Brazilian SCD physicians.  A self-administered audio computer-assisted self-interview (ACASI) on a laptop computer or netbook will be used in order to maximize reporting of stigmatized behaviors. A research assistant or nurse will provide the ACASI (including earphones to be able to listen to the questions confidentially) to each subject at the Hemocenter. The study subject will be shown how to use the computer to complete the interview by </w:t>
      </w:r>
      <w:r w:rsidRPr="00D3089A">
        <w:rPr>
          <w:rStyle w:val="PageNumber"/>
          <w:color w:val="000000"/>
        </w:rPr>
        <w:t>entering basic demographic data with the help of the nurse</w:t>
      </w:r>
      <w:r w:rsidRPr="00D3089A">
        <w:rPr>
          <w:color w:val="000000"/>
        </w:rPr>
        <w:t xml:space="preserve">, but will be given privacy to complete the rest of the </w:t>
      </w:r>
      <w:r w:rsidR="00EA60BF" w:rsidRPr="00D3089A">
        <w:rPr>
          <w:color w:val="000000"/>
        </w:rPr>
        <w:t>assessment</w:t>
      </w:r>
      <w:r w:rsidRPr="00D3089A">
        <w:rPr>
          <w:color w:val="000000"/>
        </w:rPr>
        <w:t>. The research assistant or nurse will remain available to answer questions and provide help as necessary. We chose the ACASI to maximize reporting of stigmatized risk behaviors and to streamline the interview as the ACASI allows built in skip patterns depending on initial responses so that subjects are only prompted to answer questions about the details of a specific risk factor if they report having the risk. The ACASI format also utilizes electronic data capture which will reduce data entry errors</w:t>
      </w:r>
    </w:p>
    <w:p w14:paraId="3D8952A9" w14:textId="77777777" w:rsidR="00E70E9A" w:rsidRPr="00D3089A" w:rsidRDefault="00E70E9A" w:rsidP="00452A3A">
      <w:pPr>
        <w:widowControl w:val="0"/>
        <w:adjustRightInd w:val="0"/>
        <w:snapToGrid w:val="0"/>
        <w:jc w:val="both"/>
        <w:rPr>
          <w:b/>
        </w:rPr>
      </w:pPr>
    </w:p>
    <w:p w14:paraId="5834ECAB" w14:textId="77777777" w:rsidR="00135B05" w:rsidRPr="00D3089A" w:rsidRDefault="00135B05" w:rsidP="00452A3A">
      <w:pPr>
        <w:pStyle w:val="Date"/>
        <w:widowControl w:val="0"/>
        <w:adjustRightInd w:val="0"/>
        <w:snapToGrid w:val="0"/>
        <w:jc w:val="both"/>
      </w:pPr>
      <w:r w:rsidRPr="00D3089A">
        <w:rPr>
          <w:b/>
        </w:rPr>
        <w:t>B.2.2</w:t>
      </w:r>
      <w:r w:rsidR="00BB3E27" w:rsidRPr="00D3089A">
        <w:rPr>
          <w:b/>
        </w:rPr>
        <w:tab/>
      </w:r>
      <w:r w:rsidRPr="00D3089A">
        <w:rPr>
          <w:b/>
        </w:rPr>
        <w:t>Phlebotomy for Clinical Testing</w:t>
      </w:r>
    </w:p>
    <w:p w14:paraId="01683CB5" w14:textId="77777777" w:rsidR="00BB3E27" w:rsidRPr="00D3089A" w:rsidRDefault="00BB3E27" w:rsidP="00452A3A">
      <w:pPr>
        <w:widowControl w:val="0"/>
        <w:adjustRightInd w:val="0"/>
        <w:snapToGrid w:val="0"/>
        <w:jc w:val="both"/>
      </w:pPr>
    </w:p>
    <w:p w14:paraId="16EDA467" w14:textId="2FF98B8B" w:rsidR="00135B05" w:rsidRPr="00D3089A" w:rsidRDefault="00135B05" w:rsidP="00452A3A">
      <w:pPr>
        <w:widowControl w:val="0"/>
        <w:adjustRightInd w:val="0"/>
        <w:snapToGrid w:val="0"/>
        <w:jc w:val="both"/>
        <w:rPr>
          <w:color w:val="000000"/>
        </w:rPr>
      </w:pPr>
      <w:r w:rsidRPr="00D3089A">
        <w:tab/>
      </w:r>
      <w:r w:rsidR="00A533C5" w:rsidRPr="00D3089A">
        <w:rPr>
          <w:color w:val="000000"/>
        </w:rPr>
        <w:t>A total of 12</w:t>
      </w:r>
      <w:r w:rsidRPr="00D3089A">
        <w:rPr>
          <w:color w:val="000000"/>
        </w:rPr>
        <w:t xml:space="preserve"> mL of blood will be drawn from consented cases at the time of the enrollment and interview.  Specimens will be </w:t>
      </w:r>
      <w:r w:rsidR="00A533C5" w:rsidRPr="00D3089A">
        <w:rPr>
          <w:color w:val="000000"/>
        </w:rPr>
        <w:t>subjected to</w:t>
      </w:r>
      <w:r w:rsidRPr="00D3089A">
        <w:rPr>
          <w:color w:val="000000"/>
        </w:rPr>
        <w:t xml:space="preserve"> </w:t>
      </w:r>
      <w:r w:rsidR="00A533C5" w:rsidRPr="00D3089A">
        <w:rPr>
          <w:color w:val="000000"/>
        </w:rPr>
        <w:t>testing as summarized below.</w:t>
      </w:r>
      <w:r w:rsidRPr="00D3089A">
        <w:rPr>
          <w:color w:val="000000"/>
        </w:rPr>
        <w:t xml:space="preserve"> </w:t>
      </w:r>
      <w:r w:rsidR="00A533C5" w:rsidRPr="00D3089A">
        <w:rPr>
          <w:color w:val="000000"/>
        </w:rPr>
        <w:t>T</w:t>
      </w:r>
      <w:r w:rsidRPr="00D3089A">
        <w:rPr>
          <w:color w:val="000000"/>
        </w:rPr>
        <w:t xml:space="preserve">he remaining specimens will be processed into aliquots and saved in the study repository </w:t>
      </w:r>
      <w:r w:rsidR="0061157D" w:rsidRPr="00D3089A">
        <w:rPr>
          <w:color w:val="000000"/>
        </w:rPr>
        <w:t xml:space="preserve">in Sao Paulo </w:t>
      </w:r>
      <w:r w:rsidR="00A533C5" w:rsidRPr="00D3089A">
        <w:rPr>
          <w:color w:val="000000"/>
        </w:rPr>
        <w:t>for future testing</w:t>
      </w:r>
      <w:r w:rsidR="00695DC9" w:rsidRPr="00D3089A">
        <w:rPr>
          <w:color w:val="000000"/>
        </w:rPr>
        <w:t xml:space="preserve"> if the subject consent to have their left over blood specimens saved for future research (separate consent)</w:t>
      </w:r>
      <w:r w:rsidR="00A533C5" w:rsidRPr="00D3089A">
        <w:rPr>
          <w:color w:val="000000"/>
        </w:rPr>
        <w:t>.</w:t>
      </w:r>
    </w:p>
    <w:p w14:paraId="7F108B67" w14:textId="77777777" w:rsidR="00424760" w:rsidRPr="00D3089A" w:rsidRDefault="00424760" w:rsidP="00452A3A">
      <w:pPr>
        <w:widowControl w:val="0"/>
        <w:adjustRightInd w:val="0"/>
        <w:snapToGrid w:val="0"/>
        <w:jc w:val="both"/>
        <w:rPr>
          <w:color w:val="000000"/>
        </w:rPr>
      </w:pPr>
    </w:p>
    <w:p w14:paraId="35C8C32F" w14:textId="77777777" w:rsidR="00A533C5" w:rsidRPr="00D3089A" w:rsidRDefault="00A533C5" w:rsidP="00452A3A">
      <w:pPr>
        <w:widowControl w:val="0"/>
        <w:adjustRightInd w:val="0"/>
        <w:snapToGrid w:val="0"/>
        <w:jc w:val="both"/>
        <w:rPr>
          <w:color w:val="000000"/>
        </w:rPr>
      </w:pPr>
      <w:r w:rsidRPr="00D3089A">
        <w:rPr>
          <w:color w:val="000000"/>
        </w:rPr>
        <w:t>Objective 1 SCD Cases:  HIV testing</w:t>
      </w:r>
    </w:p>
    <w:p w14:paraId="71F4B727" w14:textId="77777777" w:rsidR="00A533C5" w:rsidRPr="00D3089A" w:rsidRDefault="00A533C5" w:rsidP="00452A3A">
      <w:pPr>
        <w:widowControl w:val="0"/>
        <w:adjustRightInd w:val="0"/>
        <w:snapToGrid w:val="0"/>
        <w:jc w:val="both"/>
        <w:rPr>
          <w:color w:val="000000"/>
        </w:rPr>
      </w:pPr>
      <w:r w:rsidRPr="00D3089A">
        <w:rPr>
          <w:color w:val="000000"/>
        </w:rPr>
        <w:t>Objective 1 Non-SCD Controls: HIV and SCD/sickle cell trait testing</w:t>
      </w:r>
    </w:p>
    <w:p w14:paraId="542349DA" w14:textId="77777777" w:rsidR="00A533C5" w:rsidRPr="00D3089A" w:rsidRDefault="00A533C5" w:rsidP="00452A3A">
      <w:pPr>
        <w:widowControl w:val="0"/>
        <w:adjustRightInd w:val="0"/>
        <w:snapToGrid w:val="0"/>
        <w:jc w:val="both"/>
        <w:rPr>
          <w:color w:val="000000"/>
        </w:rPr>
      </w:pPr>
      <w:r w:rsidRPr="00D3089A">
        <w:rPr>
          <w:color w:val="000000"/>
        </w:rPr>
        <w:t xml:space="preserve">Objective 2 HIV+ SCD Cases: HIV viral load, </w:t>
      </w:r>
      <w:r w:rsidRPr="00D3089A">
        <w:t>HIV genotyping, drug resistance and complete blood count.  A CD4 count will be requested if we are able to coordinate this testing with an appropriate local clinical laboratory</w:t>
      </w:r>
    </w:p>
    <w:p w14:paraId="68D5259B" w14:textId="77777777" w:rsidR="00BB3E27" w:rsidRPr="00D3089A" w:rsidRDefault="00BB3E27" w:rsidP="00452A3A">
      <w:pPr>
        <w:jc w:val="both"/>
        <w:rPr>
          <w:b/>
        </w:rPr>
      </w:pPr>
    </w:p>
    <w:p w14:paraId="54109D59" w14:textId="77777777" w:rsidR="00135B05" w:rsidRPr="00D3089A" w:rsidRDefault="00135B05" w:rsidP="00452A3A">
      <w:pPr>
        <w:pStyle w:val="Date"/>
        <w:widowControl w:val="0"/>
        <w:adjustRightInd w:val="0"/>
        <w:snapToGrid w:val="0"/>
        <w:jc w:val="both"/>
      </w:pPr>
      <w:r w:rsidRPr="00D3089A">
        <w:rPr>
          <w:b/>
        </w:rPr>
        <w:t>B.2.3</w:t>
      </w:r>
      <w:r w:rsidR="00BB3E27" w:rsidRPr="00D3089A">
        <w:rPr>
          <w:b/>
        </w:rPr>
        <w:tab/>
      </w:r>
      <w:r w:rsidR="00A533C5" w:rsidRPr="00D3089A">
        <w:rPr>
          <w:b/>
          <w:color w:val="000000"/>
        </w:rPr>
        <w:t>HIV Testing</w:t>
      </w:r>
    </w:p>
    <w:p w14:paraId="1C714AB5" w14:textId="77777777" w:rsidR="00BB3E27" w:rsidRPr="00D3089A" w:rsidRDefault="00BB3E27" w:rsidP="00452A3A">
      <w:pPr>
        <w:pStyle w:val="Date"/>
        <w:widowControl w:val="0"/>
        <w:adjustRightInd w:val="0"/>
        <w:snapToGrid w:val="0"/>
        <w:jc w:val="both"/>
        <w:rPr>
          <w:color w:val="000000"/>
        </w:rPr>
      </w:pPr>
    </w:p>
    <w:p w14:paraId="414BC065" w14:textId="77777777" w:rsidR="00135B05" w:rsidRPr="00D3089A" w:rsidRDefault="00135B05" w:rsidP="00452A3A">
      <w:pPr>
        <w:pStyle w:val="Date"/>
        <w:widowControl w:val="0"/>
        <w:adjustRightInd w:val="0"/>
        <w:snapToGrid w:val="0"/>
        <w:jc w:val="both"/>
        <w:rPr>
          <w:rFonts w:eastAsiaTheme="minorEastAsia"/>
          <w:iCs/>
        </w:rPr>
      </w:pPr>
      <w:r w:rsidRPr="00D3089A">
        <w:rPr>
          <w:color w:val="000000"/>
        </w:rPr>
        <w:tab/>
      </w:r>
      <w:r w:rsidR="00A533C5" w:rsidRPr="00D3089A">
        <w:rPr>
          <w:rFonts w:eastAsiaTheme="minorEastAsia"/>
          <w:iCs/>
        </w:rPr>
        <w:t>HIV testing will follow the Brazilian algorithm for HIV testing of blood donors.  Samples will be screened with a 4</w:t>
      </w:r>
      <w:r w:rsidR="00A533C5" w:rsidRPr="00D3089A">
        <w:rPr>
          <w:rFonts w:eastAsiaTheme="minorEastAsia"/>
          <w:iCs/>
          <w:vertAlign w:val="superscript"/>
        </w:rPr>
        <w:t>th</w:t>
      </w:r>
      <w:r w:rsidR="00A533C5" w:rsidRPr="00D3089A">
        <w:rPr>
          <w:rFonts w:eastAsiaTheme="minorEastAsia"/>
          <w:iCs/>
        </w:rPr>
        <w:t xml:space="preserve"> generation EIA (enzyme immunoassay).  If repeat reactive, the sample will be submitted to NAT (nucleic acid testing). If the NAT is negative the sample will be submitted to Western Blot.  If Western blot is also negative the individual is considered non-infected by HIV.  </w:t>
      </w:r>
    </w:p>
    <w:p w14:paraId="1220B6D7" w14:textId="77777777" w:rsidR="00A533C5" w:rsidRPr="00D3089A" w:rsidRDefault="00A533C5" w:rsidP="00452A3A">
      <w:pPr>
        <w:jc w:val="both"/>
      </w:pPr>
    </w:p>
    <w:p w14:paraId="0C1308E9" w14:textId="77777777" w:rsidR="00135B05" w:rsidRPr="00D3089A" w:rsidRDefault="00135B05" w:rsidP="00452A3A">
      <w:pPr>
        <w:widowControl w:val="0"/>
        <w:adjustRightInd w:val="0"/>
        <w:snapToGrid w:val="0"/>
        <w:jc w:val="both"/>
        <w:rPr>
          <w:b/>
          <w:iCs/>
          <w:color w:val="000000"/>
        </w:rPr>
      </w:pPr>
      <w:r w:rsidRPr="00D3089A">
        <w:rPr>
          <w:b/>
        </w:rPr>
        <w:t>B.2.4</w:t>
      </w:r>
      <w:r w:rsidR="00A533C5" w:rsidRPr="00D3089A">
        <w:rPr>
          <w:b/>
        </w:rPr>
        <w:t xml:space="preserve"> Sickle cell disease/trait testing in non-SCD controls</w:t>
      </w:r>
    </w:p>
    <w:p w14:paraId="51498BF7" w14:textId="77777777" w:rsidR="00BB3E27" w:rsidRPr="00D3089A" w:rsidRDefault="00BB3E27" w:rsidP="00452A3A">
      <w:pPr>
        <w:widowControl w:val="0"/>
        <w:adjustRightInd w:val="0"/>
        <w:snapToGrid w:val="0"/>
        <w:jc w:val="both"/>
        <w:rPr>
          <w:color w:val="000000"/>
        </w:rPr>
      </w:pPr>
    </w:p>
    <w:p w14:paraId="0D8B5AD9" w14:textId="5BE61E59" w:rsidR="00A533C5" w:rsidRPr="00D3089A" w:rsidRDefault="00135B05" w:rsidP="00452A3A">
      <w:pPr>
        <w:pStyle w:val="PlainText"/>
        <w:jc w:val="both"/>
        <w:rPr>
          <w:rFonts w:ascii="Times New Roman" w:hAnsi="Times New Roman" w:cs="Times New Roman"/>
          <w:sz w:val="24"/>
          <w:szCs w:val="24"/>
        </w:rPr>
      </w:pPr>
      <w:r w:rsidRPr="00D3089A">
        <w:rPr>
          <w:rFonts w:ascii="Times New Roman" w:hAnsi="Times New Roman" w:cs="Times New Roman"/>
          <w:color w:val="000000"/>
          <w:sz w:val="24"/>
          <w:szCs w:val="24"/>
        </w:rPr>
        <w:tab/>
      </w:r>
      <w:r w:rsidR="00A533C5" w:rsidRPr="00D3089A">
        <w:rPr>
          <w:rFonts w:ascii="Times New Roman" w:hAnsi="Times New Roman" w:cs="Times New Roman"/>
          <w:sz w:val="24"/>
          <w:szCs w:val="24"/>
        </w:rPr>
        <w:t xml:space="preserve">Each Hemocenter has established protocols for sickle cell testing of family members of SCD patients.  This infrastructure will be utilized to confirm there is no diagnosis of sickle cell disease in the non-SCD controls.  One cellular aliquot will be transferred to the local Hemocenter lab for hemoglobin S testing by HPLC. </w:t>
      </w:r>
      <w:r w:rsidR="00505D60" w:rsidRPr="00D3089A">
        <w:rPr>
          <w:rFonts w:ascii="Times New Roman" w:hAnsi="Times New Roman" w:cs="Times New Roman"/>
          <w:sz w:val="24"/>
          <w:szCs w:val="24"/>
        </w:rPr>
        <w:t xml:space="preserve"> If SCD trait is detected, the subject will be eligible to serve as a control.</w:t>
      </w:r>
    </w:p>
    <w:p w14:paraId="362901B0" w14:textId="77777777" w:rsidR="00135B05" w:rsidRPr="00D3089A" w:rsidRDefault="00135B05" w:rsidP="00452A3A">
      <w:pPr>
        <w:widowControl w:val="0"/>
        <w:adjustRightInd w:val="0"/>
        <w:snapToGrid w:val="0"/>
        <w:jc w:val="both"/>
        <w:rPr>
          <w:b/>
        </w:rPr>
      </w:pPr>
    </w:p>
    <w:p w14:paraId="5E328205" w14:textId="77777777" w:rsidR="00135B05" w:rsidRPr="00D3089A" w:rsidRDefault="00135B05" w:rsidP="00452A3A">
      <w:pPr>
        <w:widowControl w:val="0"/>
        <w:adjustRightInd w:val="0"/>
        <w:snapToGrid w:val="0"/>
        <w:jc w:val="both"/>
        <w:rPr>
          <w:b/>
        </w:rPr>
      </w:pPr>
      <w:r w:rsidRPr="00D3089A">
        <w:rPr>
          <w:b/>
        </w:rPr>
        <w:t>B.2.5</w:t>
      </w:r>
      <w:r w:rsidRPr="00D3089A">
        <w:rPr>
          <w:b/>
        </w:rPr>
        <w:tab/>
        <w:t>Counseling and Medical Referrals</w:t>
      </w:r>
    </w:p>
    <w:p w14:paraId="52B2E5CA" w14:textId="77777777" w:rsidR="00BB3E27" w:rsidRPr="00D3089A" w:rsidRDefault="00BB3E27" w:rsidP="00452A3A">
      <w:pPr>
        <w:widowControl w:val="0"/>
        <w:adjustRightInd w:val="0"/>
        <w:snapToGrid w:val="0"/>
        <w:jc w:val="both"/>
        <w:rPr>
          <w:b/>
        </w:rPr>
      </w:pPr>
    </w:p>
    <w:p w14:paraId="3778780F" w14:textId="77777777" w:rsidR="00424760" w:rsidRPr="00D3089A" w:rsidRDefault="00135B05" w:rsidP="00452A3A">
      <w:pPr>
        <w:widowControl w:val="0"/>
        <w:adjustRightInd w:val="0"/>
        <w:snapToGrid w:val="0"/>
        <w:jc w:val="both"/>
        <w:rPr>
          <w:rFonts w:eastAsiaTheme="minorEastAsia"/>
        </w:rPr>
      </w:pPr>
      <w:r w:rsidRPr="00D3089A">
        <w:rPr>
          <w:b/>
        </w:rPr>
        <w:tab/>
      </w:r>
      <w:r w:rsidR="00424760" w:rsidRPr="00D3089A">
        <w:t>Participating H</w:t>
      </w:r>
      <w:r w:rsidR="00B938FA" w:rsidRPr="00D3089A">
        <w:t xml:space="preserve">emocenters routinely test blood donations for HIV and an infrastructure for confirmatory testing, counseling and medical referral exists at each Hemocenter.  </w:t>
      </w:r>
      <w:r w:rsidR="00A533C5" w:rsidRPr="00D3089A">
        <w:t xml:space="preserve">Any objective 1 </w:t>
      </w:r>
      <w:r w:rsidR="00A533C5" w:rsidRPr="00D3089A">
        <w:rPr>
          <w:rFonts w:eastAsiaTheme="minorEastAsia"/>
        </w:rPr>
        <w:t xml:space="preserve">subjects found to be HIV infected will be called back to the Hemocenter for the same counseling, repeat testing and referral that blood donors undergo upon confirmation of HIV positive blood donation. </w:t>
      </w:r>
    </w:p>
    <w:p w14:paraId="34264668" w14:textId="0BD9C730" w:rsidR="00135B05" w:rsidRPr="00D3089A" w:rsidRDefault="00EB4B62" w:rsidP="00424760">
      <w:pPr>
        <w:widowControl w:val="0"/>
        <w:adjustRightInd w:val="0"/>
        <w:snapToGrid w:val="0"/>
        <w:ind w:firstLine="720"/>
        <w:jc w:val="both"/>
        <w:rPr>
          <w:b/>
        </w:rPr>
      </w:pPr>
      <w:r w:rsidRPr="00D3089A">
        <w:t xml:space="preserve">Objective 1 </w:t>
      </w:r>
      <w:r w:rsidR="00424760" w:rsidRPr="00D3089A">
        <w:t xml:space="preserve">non-SCD </w:t>
      </w:r>
      <w:r w:rsidRPr="00D3089A">
        <w:t xml:space="preserve">controls with sickle trait (hemoglobin AS pattern on HPLC) will be counseled about the presence and implications of sickle trait by hematologists at the Hemocenter who typically perform this counseling for family members of SCD patients. </w:t>
      </w:r>
    </w:p>
    <w:p w14:paraId="3B67DD52" w14:textId="77777777" w:rsidR="00135B05" w:rsidRPr="00D3089A" w:rsidRDefault="00135B05" w:rsidP="00452A3A">
      <w:pPr>
        <w:widowControl w:val="0"/>
        <w:adjustRightInd w:val="0"/>
        <w:snapToGrid w:val="0"/>
        <w:jc w:val="both"/>
        <w:rPr>
          <w:b/>
        </w:rPr>
      </w:pPr>
    </w:p>
    <w:p w14:paraId="1AA26EF4" w14:textId="2F400B68" w:rsidR="00135B05" w:rsidRPr="00D3089A" w:rsidRDefault="00135B05" w:rsidP="00452A3A">
      <w:pPr>
        <w:widowControl w:val="0"/>
        <w:adjustRightInd w:val="0"/>
        <w:snapToGrid w:val="0"/>
        <w:jc w:val="both"/>
        <w:rPr>
          <w:b/>
        </w:rPr>
      </w:pPr>
      <w:proofErr w:type="gramStart"/>
      <w:r w:rsidRPr="00D3089A">
        <w:rPr>
          <w:b/>
        </w:rPr>
        <w:t>B.2.6  Data</w:t>
      </w:r>
      <w:proofErr w:type="gramEnd"/>
      <w:r w:rsidRPr="00D3089A">
        <w:rPr>
          <w:b/>
        </w:rPr>
        <w:t xml:space="preserve"> </w:t>
      </w:r>
      <w:r w:rsidR="00505D60" w:rsidRPr="00D3089A">
        <w:rPr>
          <w:b/>
        </w:rPr>
        <w:t xml:space="preserve">Management and </w:t>
      </w:r>
      <w:r w:rsidRPr="00D3089A">
        <w:rPr>
          <w:b/>
        </w:rPr>
        <w:t>Analysis</w:t>
      </w:r>
    </w:p>
    <w:p w14:paraId="64874A26" w14:textId="77777777" w:rsidR="00135B05" w:rsidRPr="00D3089A" w:rsidRDefault="00135B05" w:rsidP="00452A3A">
      <w:pPr>
        <w:widowControl w:val="0"/>
        <w:adjustRightInd w:val="0"/>
        <w:snapToGrid w:val="0"/>
        <w:jc w:val="both"/>
        <w:rPr>
          <w:b/>
        </w:rPr>
      </w:pPr>
    </w:p>
    <w:p w14:paraId="47026A46" w14:textId="0A15CD0F" w:rsidR="00505D60" w:rsidRPr="00D3089A" w:rsidRDefault="00505D60" w:rsidP="00505D60">
      <w:pPr>
        <w:widowControl w:val="0"/>
        <w:adjustRightInd w:val="0"/>
        <w:snapToGrid w:val="0"/>
        <w:jc w:val="both"/>
        <w:rPr>
          <w:b/>
        </w:rPr>
      </w:pPr>
      <w:r w:rsidRPr="00D3089A">
        <w:rPr>
          <w:b/>
        </w:rPr>
        <w:tab/>
        <w:t>B.2.6 Data Management</w:t>
      </w:r>
    </w:p>
    <w:p w14:paraId="2200177B" w14:textId="40C1CAEC" w:rsidR="00505D60" w:rsidRPr="00D3089A" w:rsidRDefault="00505D60" w:rsidP="00505D60">
      <w:pPr>
        <w:widowControl w:val="0"/>
        <w:adjustRightInd w:val="0"/>
        <w:snapToGrid w:val="0"/>
        <w:jc w:val="both"/>
        <w:rPr>
          <w:b/>
        </w:rPr>
      </w:pPr>
      <w:r w:rsidRPr="00D3089A">
        <w:rPr>
          <w:b/>
        </w:rPr>
        <w:tab/>
        <w:t xml:space="preserve">Data collected from the ACASI interview is stored on the local netbook or laptop computer used to conduct the ACASI.  </w:t>
      </w:r>
      <w:r w:rsidR="00A4514B" w:rsidRPr="00D3089A">
        <w:t xml:space="preserve">.  The RTI study manager and data analyst will work directly with the staff developing the computer assisted questionnaire program and will test the system to ensure that appropriate skip patterns are followed and that the standard response categories (e.g., don’t’ know, refused, not applicable) are consistent coded throughout the survey. </w:t>
      </w:r>
      <w:r w:rsidRPr="00D3089A">
        <w:rPr>
          <w:b/>
        </w:rPr>
        <w:t>The ACASI data files will be sent weekly by research assistants in Hemope, Hemorio, Hemominas Juiz de Fora and Hemominas Montes Claros to the lead study coordinator in Hemominas Belo Horizonte (HBH).  This designated study coordinator in HBH is responsible for review and basic cleaning of data to identify missing or irregular data.  This coordinator will then up load the files to the data coordinating center, RTI, through a secure, encrypted FTP site on the private REDS-III website using the sam</w:t>
      </w:r>
      <w:r w:rsidR="009C78CD" w:rsidRPr="00D3089A">
        <w:rPr>
          <w:b/>
        </w:rPr>
        <w:t>e</w:t>
      </w:r>
      <w:r w:rsidRPr="00D3089A">
        <w:rPr>
          <w:b/>
        </w:rPr>
        <w:t xml:space="preserve"> procedures defined for other REDS-III studies.</w:t>
      </w:r>
    </w:p>
    <w:p w14:paraId="42B3E2EF" w14:textId="0CF39DEC" w:rsidR="00505D60" w:rsidRPr="00D3089A" w:rsidRDefault="00505D60" w:rsidP="000A0F78">
      <w:pPr>
        <w:widowControl w:val="0"/>
        <w:adjustRightInd w:val="0"/>
        <w:snapToGrid w:val="0"/>
        <w:jc w:val="both"/>
        <w:rPr>
          <w:b/>
        </w:rPr>
      </w:pPr>
      <w:r w:rsidRPr="00D3089A">
        <w:rPr>
          <w:b/>
        </w:rPr>
        <w:tab/>
        <w:t xml:space="preserve">The HIV case report form and SCD case report form (medical record questionnaire) will be programmed into the data entry and storage system that has been developed for the REDS-III Brazil SCD Cohort study.  This system utilizes a web-based interface for data entry.  Data is then directly transferred to databases within the University of Sao Paulo for storage.  Once per </w:t>
      </w:r>
      <w:r w:rsidR="009C78CD" w:rsidRPr="00D3089A">
        <w:rPr>
          <w:b/>
        </w:rPr>
        <w:t xml:space="preserve">month data will be extracted from the USP database and securely uploaded to RTI for quality control checks.  </w:t>
      </w:r>
      <w:r w:rsidR="00A4514B" w:rsidRPr="00D3089A">
        <w:t xml:space="preserve">RTI will follow data management best practice guidelines means developing and implementing quality control processes from the survey develop stage through analysis.  This will minimize data manipulation and allow for quicker evaluation of the data, identification of any data and data retrieval/remediation.  </w:t>
      </w:r>
    </w:p>
    <w:p w14:paraId="41514DA8" w14:textId="77777777" w:rsidR="009C78CD" w:rsidRPr="00D3089A" w:rsidRDefault="009C78CD" w:rsidP="00505D60">
      <w:pPr>
        <w:widowControl w:val="0"/>
        <w:adjustRightInd w:val="0"/>
        <w:snapToGrid w:val="0"/>
        <w:jc w:val="both"/>
        <w:rPr>
          <w:b/>
        </w:rPr>
      </w:pPr>
    </w:p>
    <w:p w14:paraId="353486E5" w14:textId="5475529E" w:rsidR="00135B05" w:rsidRPr="00D3089A" w:rsidRDefault="00135B05" w:rsidP="00452A3A">
      <w:pPr>
        <w:widowControl w:val="0"/>
        <w:adjustRightInd w:val="0"/>
        <w:snapToGrid w:val="0"/>
        <w:ind w:firstLine="720"/>
        <w:jc w:val="both"/>
        <w:rPr>
          <w:b/>
        </w:rPr>
      </w:pPr>
      <w:r w:rsidRPr="00D3089A">
        <w:rPr>
          <w:b/>
        </w:rPr>
        <w:t xml:space="preserve">B.2.6.1 </w:t>
      </w:r>
      <w:r w:rsidR="00EB4B62" w:rsidRPr="00D3089A">
        <w:rPr>
          <w:b/>
        </w:rPr>
        <w:t>Analysis of risk behaviors</w:t>
      </w:r>
    </w:p>
    <w:p w14:paraId="127DBDA5" w14:textId="77777777" w:rsidR="00654F3A" w:rsidRPr="00D3089A" w:rsidRDefault="00654F3A" w:rsidP="00452A3A">
      <w:pPr>
        <w:tabs>
          <w:tab w:val="left" w:pos="6732"/>
        </w:tabs>
        <w:jc w:val="both"/>
        <w:rPr>
          <w:b/>
        </w:rPr>
      </w:pPr>
    </w:p>
    <w:p w14:paraId="66A4A54C" w14:textId="671CFED2" w:rsidR="00EB4B62" w:rsidRPr="00D3089A" w:rsidRDefault="00EB4B62" w:rsidP="00452A3A">
      <w:pPr>
        <w:tabs>
          <w:tab w:val="left" w:pos="6732"/>
        </w:tabs>
        <w:jc w:val="both"/>
        <w:rPr>
          <w:color w:val="000000"/>
        </w:rPr>
      </w:pPr>
      <w:r w:rsidRPr="00D3089A">
        <w:rPr>
          <w:color w:val="000000"/>
        </w:rPr>
        <w:t>For analysis of HIV risk behaviors in objective 1, the primary outcome to be compared between cases (SCD) and controls (non-SCD) will be number of sexual partners in the previous year.  Other HIV risk factors ascertained by the ACASI will be compared between cases and controls including male to male sex, number of lifetime male and female sexual partners, use of condoms, age of sexual debut, intravenous drug use (IDU), sex with an IDU, and sex with an individual known to be HIV-positive. For continuous variables, two-sample comparisons of the means such as the t-test or an appropriate non-parametric test for non-normally distributed data will be used.  Chi-square will be used for comparison of categorical variables between cases and controls.</w:t>
      </w:r>
      <w:r w:rsidRPr="00D3089A">
        <w:rPr>
          <w:rFonts w:eastAsiaTheme="minorEastAsia"/>
        </w:rPr>
        <w:t xml:space="preserve"> Fisher’s exact test will replace the chi square test if the data do not meet the assumptions of the latter (e.g. the table has too many cells with very low expected frequencies).</w:t>
      </w:r>
      <w:r w:rsidRPr="00D3089A">
        <w:t xml:space="preserve"> The matching for </w:t>
      </w:r>
      <w:r w:rsidR="00E41D97" w:rsidRPr="00D3089A">
        <w:t>objective 1</w:t>
      </w:r>
      <w:r w:rsidRPr="00D3089A">
        <w:t xml:space="preserve"> is intended to be frequency or strata matching, therefore matched-paired statistics will not be used. For multi variable modeling, logistic regression will be utilized by dichotomizing number of sexual partners into high and low groups using appropriate thresholds based on the data. </w:t>
      </w:r>
    </w:p>
    <w:p w14:paraId="592ECD3B" w14:textId="58CDB4F9" w:rsidR="009E4D8D" w:rsidRPr="00D3089A" w:rsidRDefault="00BB3E27" w:rsidP="00452A3A">
      <w:pPr>
        <w:widowControl w:val="0"/>
        <w:adjustRightInd w:val="0"/>
        <w:snapToGrid w:val="0"/>
        <w:jc w:val="both"/>
        <w:rPr>
          <w:b/>
          <w:color w:val="000000"/>
        </w:rPr>
      </w:pPr>
      <w:r w:rsidRPr="00D3089A">
        <w:rPr>
          <w:b/>
          <w:color w:val="000000"/>
        </w:rPr>
        <w:tab/>
      </w:r>
    </w:p>
    <w:p w14:paraId="738439B4" w14:textId="1ADD0D82" w:rsidR="00135B05" w:rsidRPr="00D3089A" w:rsidRDefault="009E4D8D" w:rsidP="00452A3A">
      <w:pPr>
        <w:widowControl w:val="0"/>
        <w:tabs>
          <w:tab w:val="left" w:pos="720"/>
          <w:tab w:val="left" w:pos="6732"/>
        </w:tabs>
        <w:adjustRightInd w:val="0"/>
        <w:snapToGrid w:val="0"/>
        <w:jc w:val="both"/>
        <w:rPr>
          <w:b/>
          <w:color w:val="000000"/>
        </w:rPr>
      </w:pPr>
      <w:r w:rsidRPr="00D3089A">
        <w:rPr>
          <w:b/>
          <w:color w:val="000000"/>
        </w:rPr>
        <w:tab/>
      </w:r>
      <w:r w:rsidR="00135B05" w:rsidRPr="00D3089A">
        <w:rPr>
          <w:b/>
          <w:color w:val="000000"/>
        </w:rPr>
        <w:t xml:space="preserve">B.2.6.2 </w:t>
      </w:r>
      <w:r w:rsidR="00654F3A" w:rsidRPr="00D3089A">
        <w:t>Case-series description of HIV outcomes in SCD patients</w:t>
      </w:r>
    </w:p>
    <w:p w14:paraId="1F88B8DA" w14:textId="7DC7AC91" w:rsidR="00654F3A" w:rsidRPr="00D3089A" w:rsidRDefault="00135B05" w:rsidP="00452A3A">
      <w:pPr>
        <w:tabs>
          <w:tab w:val="left" w:pos="6732"/>
        </w:tabs>
        <w:jc w:val="both"/>
      </w:pPr>
      <w:r w:rsidRPr="00D3089A">
        <w:rPr>
          <w:color w:val="000000"/>
        </w:rPr>
        <w:tab/>
      </w:r>
      <w:r w:rsidR="00BB3E27" w:rsidRPr="00D3089A">
        <w:rPr>
          <w:color w:val="000000"/>
        </w:rPr>
        <w:tab/>
      </w:r>
    </w:p>
    <w:p w14:paraId="5B2843EF" w14:textId="77777777" w:rsidR="00654F3A" w:rsidRPr="00D3089A" w:rsidRDefault="00654F3A" w:rsidP="00452A3A">
      <w:pPr>
        <w:tabs>
          <w:tab w:val="left" w:pos="6732"/>
        </w:tabs>
        <w:jc w:val="both"/>
      </w:pPr>
      <w:r w:rsidRPr="00D3089A">
        <w:t xml:space="preserve">HIV outcomes will be reported with descriptive statistics (prevalence with 95% confidence limits) for HIV positive patients included in objective 2a.  Specific outcomes to be summarized will include prevalence of long term non-progressors, prevalence of elite controllers (EC) if sufficient viral load and treatment data is available (EC=no evidence of viremia as measured by standard assays, &lt;50 or &lt;75 copies/mL with CD4 count &gt;500 for at least a year), time to onset of AIDS, prevalence of AIDS defining illnesses and CDC classification of disease status at diagnosis and most recent point of contact (see table 3 for CDC classification and table 4 for AIDS defining illnesses).  </w:t>
      </w:r>
    </w:p>
    <w:p w14:paraId="3CBB29C5" w14:textId="77777777" w:rsidR="00424760" w:rsidRPr="00D3089A" w:rsidRDefault="00424760" w:rsidP="00452A3A">
      <w:pPr>
        <w:tabs>
          <w:tab w:val="left" w:pos="6732"/>
        </w:tabs>
        <w:jc w:val="both"/>
      </w:pPr>
    </w:p>
    <w:p w14:paraId="1C14569E" w14:textId="77777777" w:rsidR="00654F3A" w:rsidRPr="00D3089A" w:rsidRDefault="00654F3A" w:rsidP="00452A3A">
      <w:pPr>
        <w:tabs>
          <w:tab w:val="left" w:pos="6732"/>
        </w:tabs>
        <w:jc w:val="both"/>
      </w:pPr>
      <w:r w:rsidRPr="00D3089A">
        <w:t>Table 3: CDC Classification of Disease Stage</w:t>
      </w:r>
    </w:p>
    <w:tbl>
      <w:tblPr>
        <w:tblStyle w:val="TableGrid"/>
        <w:tblW w:w="0" w:type="auto"/>
        <w:tblLook w:val="04A0" w:firstRow="1" w:lastRow="0" w:firstColumn="1" w:lastColumn="0" w:noHBand="0" w:noVBand="1"/>
      </w:tblPr>
      <w:tblGrid>
        <w:gridCol w:w="1231"/>
        <w:gridCol w:w="1483"/>
        <w:gridCol w:w="1140"/>
        <w:gridCol w:w="1483"/>
        <w:gridCol w:w="1122"/>
        <w:gridCol w:w="1483"/>
        <w:gridCol w:w="1082"/>
      </w:tblGrid>
      <w:tr w:rsidR="00654F3A" w:rsidRPr="00D3089A" w14:paraId="65C0F65C" w14:textId="77777777" w:rsidTr="00F573A5">
        <w:tc>
          <w:tcPr>
            <w:tcW w:w="1231" w:type="dxa"/>
          </w:tcPr>
          <w:p w14:paraId="534BA5FE" w14:textId="77777777" w:rsidR="00654F3A" w:rsidRPr="00D3089A" w:rsidRDefault="00654F3A" w:rsidP="00452A3A">
            <w:pPr>
              <w:tabs>
                <w:tab w:val="left" w:pos="6732"/>
              </w:tabs>
              <w:jc w:val="both"/>
            </w:pPr>
            <w:r w:rsidRPr="00D3089A">
              <w:t>Stage</w:t>
            </w:r>
          </w:p>
        </w:tc>
        <w:tc>
          <w:tcPr>
            <w:tcW w:w="7625" w:type="dxa"/>
            <w:gridSpan w:val="6"/>
          </w:tcPr>
          <w:p w14:paraId="182BDCC3" w14:textId="77777777" w:rsidR="00654F3A" w:rsidRPr="00D3089A" w:rsidRDefault="00654F3A" w:rsidP="00452A3A">
            <w:pPr>
              <w:tabs>
                <w:tab w:val="left" w:pos="6732"/>
              </w:tabs>
              <w:jc w:val="both"/>
            </w:pPr>
            <w:r w:rsidRPr="00D3089A">
              <w:t>Age at Time of CD4+ Lymphocyte Test*</w:t>
            </w:r>
          </w:p>
        </w:tc>
      </w:tr>
      <w:tr w:rsidR="00654F3A" w:rsidRPr="00D3089A" w14:paraId="2FFC817A" w14:textId="77777777" w:rsidTr="00F573A5">
        <w:tc>
          <w:tcPr>
            <w:tcW w:w="1231" w:type="dxa"/>
          </w:tcPr>
          <w:p w14:paraId="36B8193D" w14:textId="77777777" w:rsidR="00654F3A" w:rsidRPr="00D3089A" w:rsidRDefault="00654F3A" w:rsidP="00452A3A">
            <w:pPr>
              <w:tabs>
                <w:tab w:val="left" w:pos="6732"/>
              </w:tabs>
              <w:jc w:val="both"/>
            </w:pPr>
          </w:p>
        </w:tc>
        <w:tc>
          <w:tcPr>
            <w:tcW w:w="2567" w:type="dxa"/>
            <w:gridSpan w:val="2"/>
          </w:tcPr>
          <w:p w14:paraId="4FAD0FA0" w14:textId="77777777" w:rsidR="00654F3A" w:rsidRPr="00D3089A" w:rsidRDefault="00654F3A" w:rsidP="00452A3A">
            <w:pPr>
              <w:tabs>
                <w:tab w:val="left" w:pos="6732"/>
              </w:tabs>
              <w:jc w:val="both"/>
            </w:pPr>
            <w:r w:rsidRPr="00D3089A">
              <w:t>&lt; 1 year</w:t>
            </w:r>
          </w:p>
        </w:tc>
        <w:tc>
          <w:tcPr>
            <w:tcW w:w="2549" w:type="dxa"/>
            <w:gridSpan w:val="2"/>
          </w:tcPr>
          <w:p w14:paraId="3D3D5E7E" w14:textId="77777777" w:rsidR="00654F3A" w:rsidRPr="00D3089A" w:rsidRDefault="00654F3A" w:rsidP="00452A3A">
            <w:pPr>
              <w:tabs>
                <w:tab w:val="left" w:pos="6732"/>
              </w:tabs>
              <w:jc w:val="both"/>
            </w:pPr>
            <w:r w:rsidRPr="00D3089A">
              <w:t>1-5 years</w:t>
            </w:r>
          </w:p>
        </w:tc>
        <w:tc>
          <w:tcPr>
            <w:tcW w:w="2509" w:type="dxa"/>
            <w:gridSpan w:val="2"/>
          </w:tcPr>
          <w:p w14:paraId="765EDACA" w14:textId="77777777" w:rsidR="00654F3A" w:rsidRPr="00D3089A" w:rsidRDefault="00654F3A" w:rsidP="00452A3A">
            <w:pPr>
              <w:tabs>
                <w:tab w:val="left" w:pos="6732"/>
              </w:tabs>
              <w:jc w:val="both"/>
            </w:pPr>
            <w:r w:rsidRPr="00D3089A">
              <w:sym w:font="Symbol" w:char="F0B3"/>
            </w:r>
            <w:r w:rsidRPr="00D3089A">
              <w:t xml:space="preserve"> 6 years</w:t>
            </w:r>
          </w:p>
        </w:tc>
      </w:tr>
      <w:tr w:rsidR="00654F3A" w:rsidRPr="00D3089A" w14:paraId="38DA73BD" w14:textId="77777777" w:rsidTr="00F573A5">
        <w:tc>
          <w:tcPr>
            <w:tcW w:w="1231" w:type="dxa"/>
          </w:tcPr>
          <w:p w14:paraId="04FFF62C" w14:textId="77777777" w:rsidR="00654F3A" w:rsidRPr="00D3089A" w:rsidRDefault="00654F3A" w:rsidP="00452A3A">
            <w:pPr>
              <w:tabs>
                <w:tab w:val="left" w:pos="6732"/>
              </w:tabs>
              <w:jc w:val="both"/>
            </w:pPr>
          </w:p>
        </w:tc>
        <w:tc>
          <w:tcPr>
            <w:tcW w:w="1427" w:type="dxa"/>
          </w:tcPr>
          <w:p w14:paraId="6A93A915" w14:textId="77777777" w:rsidR="00654F3A" w:rsidRPr="00D3089A" w:rsidRDefault="00654F3A" w:rsidP="00452A3A">
            <w:pPr>
              <w:tabs>
                <w:tab w:val="left" w:pos="6732"/>
              </w:tabs>
              <w:jc w:val="both"/>
            </w:pPr>
            <w:r w:rsidRPr="00D3089A">
              <w:t>Cells/microL</w:t>
            </w:r>
          </w:p>
        </w:tc>
        <w:tc>
          <w:tcPr>
            <w:tcW w:w="1140" w:type="dxa"/>
          </w:tcPr>
          <w:p w14:paraId="3DCA8630" w14:textId="77777777" w:rsidR="00654F3A" w:rsidRPr="00D3089A" w:rsidRDefault="00654F3A" w:rsidP="00452A3A">
            <w:pPr>
              <w:tabs>
                <w:tab w:val="left" w:pos="6732"/>
              </w:tabs>
              <w:jc w:val="both"/>
            </w:pPr>
            <w:r w:rsidRPr="00D3089A">
              <w:t>Percent</w:t>
            </w:r>
          </w:p>
        </w:tc>
        <w:tc>
          <w:tcPr>
            <w:tcW w:w="1427" w:type="dxa"/>
          </w:tcPr>
          <w:p w14:paraId="1D8AA712" w14:textId="77777777" w:rsidR="00654F3A" w:rsidRPr="00D3089A" w:rsidRDefault="00654F3A" w:rsidP="00452A3A">
            <w:pPr>
              <w:tabs>
                <w:tab w:val="left" w:pos="6732"/>
              </w:tabs>
              <w:jc w:val="both"/>
            </w:pPr>
            <w:r w:rsidRPr="00D3089A">
              <w:t>Cells/microL</w:t>
            </w:r>
          </w:p>
        </w:tc>
        <w:tc>
          <w:tcPr>
            <w:tcW w:w="1122" w:type="dxa"/>
          </w:tcPr>
          <w:p w14:paraId="6B3829E4" w14:textId="77777777" w:rsidR="00654F3A" w:rsidRPr="00D3089A" w:rsidRDefault="00654F3A" w:rsidP="00452A3A">
            <w:pPr>
              <w:tabs>
                <w:tab w:val="left" w:pos="6732"/>
              </w:tabs>
              <w:jc w:val="both"/>
            </w:pPr>
            <w:r w:rsidRPr="00D3089A">
              <w:t>Percent</w:t>
            </w:r>
          </w:p>
        </w:tc>
        <w:tc>
          <w:tcPr>
            <w:tcW w:w="1427" w:type="dxa"/>
          </w:tcPr>
          <w:p w14:paraId="64ABED30" w14:textId="77777777" w:rsidR="00654F3A" w:rsidRPr="00D3089A" w:rsidRDefault="00654F3A" w:rsidP="00452A3A">
            <w:pPr>
              <w:tabs>
                <w:tab w:val="left" w:pos="6732"/>
              </w:tabs>
              <w:jc w:val="both"/>
            </w:pPr>
            <w:r w:rsidRPr="00D3089A">
              <w:t>Cells/microL</w:t>
            </w:r>
          </w:p>
        </w:tc>
        <w:tc>
          <w:tcPr>
            <w:tcW w:w="1082" w:type="dxa"/>
          </w:tcPr>
          <w:p w14:paraId="32B730DE" w14:textId="77777777" w:rsidR="00654F3A" w:rsidRPr="00D3089A" w:rsidRDefault="00654F3A" w:rsidP="00452A3A">
            <w:pPr>
              <w:tabs>
                <w:tab w:val="left" w:pos="6732"/>
              </w:tabs>
              <w:jc w:val="both"/>
            </w:pPr>
            <w:r w:rsidRPr="00D3089A">
              <w:t>Percent</w:t>
            </w:r>
          </w:p>
        </w:tc>
      </w:tr>
      <w:tr w:rsidR="00654F3A" w:rsidRPr="00D3089A" w14:paraId="4E12DB82" w14:textId="77777777" w:rsidTr="00F573A5">
        <w:tc>
          <w:tcPr>
            <w:tcW w:w="1231" w:type="dxa"/>
          </w:tcPr>
          <w:p w14:paraId="2F96F141" w14:textId="77777777" w:rsidR="00654F3A" w:rsidRPr="00D3089A" w:rsidRDefault="00654F3A" w:rsidP="00452A3A">
            <w:pPr>
              <w:tabs>
                <w:tab w:val="left" w:pos="6732"/>
              </w:tabs>
              <w:jc w:val="both"/>
            </w:pPr>
            <w:r w:rsidRPr="00D3089A">
              <w:t>1</w:t>
            </w:r>
          </w:p>
        </w:tc>
        <w:tc>
          <w:tcPr>
            <w:tcW w:w="1427" w:type="dxa"/>
          </w:tcPr>
          <w:p w14:paraId="4CB20B0D" w14:textId="77777777" w:rsidR="00654F3A" w:rsidRPr="00D3089A" w:rsidRDefault="00654F3A" w:rsidP="00452A3A">
            <w:pPr>
              <w:tabs>
                <w:tab w:val="left" w:pos="6732"/>
              </w:tabs>
              <w:jc w:val="both"/>
            </w:pPr>
            <w:r w:rsidRPr="00D3089A">
              <w:sym w:font="Symbol" w:char="F0B3"/>
            </w:r>
            <w:r w:rsidRPr="00D3089A">
              <w:t>1500</w:t>
            </w:r>
          </w:p>
        </w:tc>
        <w:tc>
          <w:tcPr>
            <w:tcW w:w="1140" w:type="dxa"/>
          </w:tcPr>
          <w:p w14:paraId="655ED3A7" w14:textId="77777777" w:rsidR="00654F3A" w:rsidRPr="00D3089A" w:rsidRDefault="00654F3A" w:rsidP="00452A3A">
            <w:pPr>
              <w:tabs>
                <w:tab w:val="left" w:pos="6732"/>
              </w:tabs>
              <w:jc w:val="both"/>
            </w:pPr>
            <w:r w:rsidRPr="00D3089A">
              <w:sym w:font="Symbol" w:char="F0B3"/>
            </w:r>
            <w:r w:rsidRPr="00D3089A">
              <w:t>34</w:t>
            </w:r>
          </w:p>
        </w:tc>
        <w:tc>
          <w:tcPr>
            <w:tcW w:w="1427" w:type="dxa"/>
          </w:tcPr>
          <w:p w14:paraId="01EA9705" w14:textId="77777777" w:rsidR="00654F3A" w:rsidRPr="00D3089A" w:rsidRDefault="00654F3A" w:rsidP="00452A3A">
            <w:pPr>
              <w:tabs>
                <w:tab w:val="left" w:pos="6732"/>
              </w:tabs>
              <w:jc w:val="both"/>
            </w:pPr>
            <w:r w:rsidRPr="00D3089A">
              <w:sym w:font="Symbol" w:char="F0B3"/>
            </w:r>
            <w:r w:rsidRPr="00D3089A">
              <w:t>1000</w:t>
            </w:r>
          </w:p>
        </w:tc>
        <w:tc>
          <w:tcPr>
            <w:tcW w:w="1122" w:type="dxa"/>
          </w:tcPr>
          <w:p w14:paraId="1FB05D21" w14:textId="77777777" w:rsidR="00654F3A" w:rsidRPr="00D3089A" w:rsidRDefault="00654F3A" w:rsidP="00452A3A">
            <w:pPr>
              <w:tabs>
                <w:tab w:val="left" w:pos="6732"/>
              </w:tabs>
              <w:jc w:val="both"/>
            </w:pPr>
            <w:r w:rsidRPr="00D3089A">
              <w:sym w:font="Symbol" w:char="F0B3"/>
            </w:r>
            <w:r w:rsidRPr="00D3089A">
              <w:t>30</w:t>
            </w:r>
          </w:p>
        </w:tc>
        <w:tc>
          <w:tcPr>
            <w:tcW w:w="1427" w:type="dxa"/>
          </w:tcPr>
          <w:p w14:paraId="4BF18B50" w14:textId="77777777" w:rsidR="00654F3A" w:rsidRPr="00D3089A" w:rsidRDefault="00654F3A" w:rsidP="00452A3A">
            <w:pPr>
              <w:tabs>
                <w:tab w:val="left" w:pos="6732"/>
              </w:tabs>
              <w:jc w:val="both"/>
            </w:pPr>
            <w:r w:rsidRPr="00D3089A">
              <w:sym w:font="Symbol" w:char="F0B3"/>
            </w:r>
            <w:r w:rsidRPr="00D3089A">
              <w:t>500</w:t>
            </w:r>
          </w:p>
        </w:tc>
        <w:tc>
          <w:tcPr>
            <w:tcW w:w="1082" w:type="dxa"/>
          </w:tcPr>
          <w:p w14:paraId="0C7A621E" w14:textId="77777777" w:rsidR="00654F3A" w:rsidRPr="00D3089A" w:rsidRDefault="00654F3A" w:rsidP="00452A3A">
            <w:pPr>
              <w:tabs>
                <w:tab w:val="left" w:pos="6732"/>
              </w:tabs>
              <w:jc w:val="both"/>
            </w:pPr>
            <w:r w:rsidRPr="00D3089A">
              <w:sym w:font="Symbol" w:char="F0B3"/>
            </w:r>
            <w:r w:rsidRPr="00D3089A">
              <w:t>26</w:t>
            </w:r>
          </w:p>
        </w:tc>
      </w:tr>
      <w:tr w:rsidR="00654F3A" w:rsidRPr="00D3089A" w14:paraId="4AFB9FF6" w14:textId="77777777" w:rsidTr="00F573A5">
        <w:tc>
          <w:tcPr>
            <w:tcW w:w="1231" w:type="dxa"/>
          </w:tcPr>
          <w:p w14:paraId="447BF66C" w14:textId="77777777" w:rsidR="00654F3A" w:rsidRPr="00D3089A" w:rsidRDefault="00654F3A" w:rsidP="00452A3A">
            <w:pPr>
              <w:tabs>
                <w:tab w:val="left" w:pos="6732"/>
              </w:tabs>
              <w:jc w:val="both"/>
            </w:pPr>
            <w:r w:rsidRPr="00D3089A">
              <w:t>2</w:t>
            </w:r>
          </w:p>
        </w:tc>
        <w:tc>
          <w:tcPr>
            <w:tcW w:w="1427" w:type="dxa"/>
          </w:tcPr>
          <w:p w14:paraId="62A97229" w14:textId="77777777" w:rsidR="00654F3A" w:rsidRPr="00D3089A" w:rsidRDefault="00654F3A" w:rsidP="00452A3A">
            <w:pPr>
              <w:tabs>
                <w:tab w:val="left" w:pos="6732"/>
              </w:tabs>
              <w:jc w:val="both"/>
            </w:pPr>
            <w:r w:rsidRPr="00D3089A">
              <w:t>750 – 1499</w:t>
            </w:r>
          </w:p>
        </w:tc>
        <w:tc>
          <w:tcPr>
            <w:tcW w:w="1140" w:type="dxa"/>
          </w:tcPr>
          <w:p w14:paraId="198D8270" w14:textId="77777777" w:rsidR="00654F3A" w:rsidRPr="00D3089A" w:rsidRDefault="00654F3A" w:rsidP="00452A3A">
            <w:pPr>
              <w:tabs>
                <w:tab w:val="left" w:pos="6732"/>
              </w:tabs>
              <w:jc w:val="both"/>
            </w:pPr>
            <w:r w:rsidRPr="00D3089A">
              <w:t>23-33</w:t>
            </w:r>
          </w:p>
        </w:tc>
        <w:tc>
          <w:tcPr>
            <w:tcW w:w="1427" w:type="dxa"/>
          </w:tcPr>
          <w:p w14:paraId="64D1B99C" w14:textId="77777777" w:rsidR="00654F3A" w:rsidRPr="00D3089A" w:rsidRDefault="00654F3A" w:rsidP="00452A3A">
            <w:pPr>
              <w:tabs>
                <w:tab w:val="left" w:pos="6732"/>
              </w:tabs>
              <w:jc w:val="both"/>
            </w:pPr>
            <w:r w:rsidRPr="00D3089A">
              <w:t>500-999</w:t>
            </w:r>
          </w:p>
        </w:tc>
        <w:tc>
          <w:tcPr>
            <w:tcW w:w="1122" w:type="dxa"/>
          </w:tcPr>
          <w:p w14:paraId="5CCA74FB" w14:textId="77777777" w:rsidR="00654F3A" w:rsidRPr="00D3089A" w:rsidRDefault="00654F3A" w:rsidP="00452A3A">
            <w:pPr>
              <w:tabs>
                <w:tab w:val="left" w:pos="6732"/>
              </w:tabs>
              <w:jc w:val="both"/>
            </w:pPr>
            <w:r w:rsidRPr="00D3089A">
              <w:t>22-29</w:t>
            </w:r>
          </w:p>
        </w:tc>
        <w:tc>
          <w:tcPr>
            <w:tcW w:w="1427" w:type="dxa"/>
          </w:tcPr>
          <w:p w14:paraId="5DF69CD2" w14:textId="77777777" w:rsidR="00654F3A" w:rsidRPr="00D3089A" w:rsidRDefault="00654F3A" w:rsidP="00452A3A">
            <w:pPr>
              <w:tabs>
                <w:tab w:val="left" w:pos="6732"/>
              </w:tabs>
              <w:jc w:val="both"/>
            </w:pPr>
            <w:r w:rsidRPr="00D3089A">
              <w:t>200-499</w:t>
            </w:r>
          </w:p>
        </w:tc>
        <w:tc>
          <w:tcPr>
            <w:tcW w:w="1082" w:type="dxa"/>
          </w:tcPr>
          <w:p w14:paraId="58EB03BF" w14:textId="77777777" w:rsidR="00654F3A" w:rsidRPr="00D3089A" w:rsidRDefault="00654F3A" w:rsidP="00452A3A">
            <w:pPr>
              <w:tabs>
                <w:tab w:val="left" w:pos="6732"/>
              </w:tabs>
              <w:jc w:val="both"/>
            </w:pPr>
            <w:r w:rsidRPr="00D3089A">
              <w:t>14-25</w:t>
            </w:r>
          </w:p>
        </w:tc>
      </w:tr>
      <w:tr w:rsidR="00654F3A" w:rsidRPr="00D3089A" w14:paraId="7E4FEA71" w14:textId="77777777" w:rsidTr="00F573A5">
        <w:tc>
          <w:tcPr>
            <w:tcW w:w="1231" w:type="dxa"/>
          </w:tcPr>
          <w:p w14:paraId="32347796" w14:textId="77777777" w:rsidR="00654F3A" w:rsidRPr="00D3089A" w:rsidRDefault="00654F3A" w:rsidP="00452A3A">
            <w:pPr>
              <w:tabs>
                <w:tab w:val="left" w:pos="6732"/>
              </w:tabs>
              <w:jc w:val="both"/>
            </w:pPr>
            <w:r w:rsidRPr="00D3089A">
              <w:t>3 (AIDS)**</w:t>
            </w:r>
          </w:p>
        </w:tc>
        <w:tc>
          <w:tcPr>
            <w:tcW w:w="1427" w:type="dxa"/>
          </w:tcPr>
          <w:p w14:paraId="21DC7974" w14:textId="77777777" w:rsidR="00654F3A" w:rsidRPr="00D3089A" w:rsidRDefault="00654F3A" w:rsidP="00452A3A">
            <w:pPr>
              <w:tabs>
                <w:tab w:val="left" w:pos="6732"/>
              </w:tabs>
              <w:jc w:val="both"/>
            </w:pPr>
            <w:r w:rsidRPr="00D3089A">
              <w:t>&lt;750</w:t>
            </w:r>
          </w:p>
        </w:tc>
        <w:tc>
          <w:tcPr>
            <w:tcW w:w="1140" w:type="dxa"/>
          </w:tcPr>
          <w:p w14:paraId="222C2751" w14:textId="77777777" w:rsidR="00654F3A" w:rsidRPr="00D3089A" w:rsidRDefault="00654F3A" w:rsidP="00452A3A">
            <w:pPr>
              <w:tabs>
                <w:tab w:val="left" w:pos="6732"/>
              </w:tabs>
              <w:jc w:val="both"/>
            </w:pPr>
            <w:r w:rsidRPr="00D3089A">
              <w:t>&lt;26</w:t>
            </w:r>
          </w:p>
        </w:tc>
        <w:tc>
          <w:tcPr>
            <w:tcW w:w="1427" w:type="dxa"/>
          </w:tcPr>
          <w:p w14:paraId="12ED0F8B" w14:textId="77777777" w:rsidR="00654F3A" w:rsidRPr="00D3089A" w:rsidRDefault="00654F3A" w:rsidP="00452A3A">
            <w:pPr>
              <w:tabs>
                <w:tab w:val="left" w:pos="6732"/>
              </w:tabs>
              <w:jc w:val="both"/>
            </w:pPr>
            <w:r w:rsidRPr="00D3089A">
              <w:t>&lt;500</w:t>
            </w:r>
          </w:p>
        </w:tc>
        <w:tc>
          <w:tcPr>
            <w:tcW w:w="1122" w:type="dxa"/>
          </w:tcPr>
          <w:p w14:paraId="2B79F50E" w14:textId="77777777" w:rsidR="00654F3A" w:rsidRPr="00D3089A" w:rsidRDefault="00654F3A" w:rsidP="00452A3A">
            <w:pPr>
              <w:tabs>
                <w:tab w:val="left" w:pos="6732"/>
              </w:tabs>
              <w:jc w:val="both"/>
            </w:pPr>
            <w:r w:rsidRPr="00D3089A">
              <w:t>&lt;22</w:t>
            </w:r>
          </w:p>
        </w:tc>
        <w:tc>
          <w:tcPr>
            <w:tcW w:w="1427" w:type="dxa"/>
          </w:tcPr>
          <w:p w14:paraId="00BADE5A" w14:textId="77777777" w:rsidR="00654F3A" w:rsidRPr="00D3089A" w:rsidRDefault="00654F3A" w:rsidP="00452A3A">
            <w:pPr>
              <w:tabs>
                <w:tab w:val="left" w:pos="6732"/>
              </w:tabs>
              <w:jc w:val="both"/>
            </w:pPr>
            <w:r w:rsidRPr="00D3089A">
              <w:t>&lt;200</w:t>
            </w:r>
          </w:p>
        </w:tc>
        <w:tc>
          <w:tcPr>
            <w:tcW w:w="1082" w:type="dxa"/>
          </w:tcPr>
          <w:p w14:paraId="1BF0C205" w14:textId="77777777" w:rsidR="00654F3A" w:rsidRPr="00D3089A" w:rsidRDefault="00654F3A" w:rsidP="00452A3A">
            <w:pPr>
              <w:tabs>
                <w:tab w:val="left" w:pos="6732"/>
              </w:tabs>
              <w:jc w:val="both"/>
            </w:pPr>
            <w:r w:rsidRPr="00D3089A">
              <w:t>&lt;14</w:t>
            </w:r>
          </w:p>
        </w:tc>
      </w:tr>
    </w:tbl>
    <w:p w14:paraId="5AE1F855" w14:textId="77777777" w:rsidR="00654F3A" w:rsidRPr="00D3089A" w:rsidRDefault="00654F3A" w:rsidP="00452A3A">
      <w:pPr>
        <w:tabs>
          <w:tab w:val="left" w:pos="6732"/>
        </w:tabs>
        <w:jc w:val="both"/>
      </w:pPr>
      <w:r w:rsidRPr="00D3089A">
        <w:t>*CD4 lymphocyte count takes precedence over the CD4 percentage.  The percentage is considered only if the count is missing.</w:t>
      </w:r>
    </w:p>
    <w:p w14:paraId="2A00C01A" w14:textId="77777777" w:rsidR="00654F3A" w:rsidRPr="00D3089A" w:rsidRDefault="00654F3A" w:rsidP="00452A3A">
      <w:pPr>
        <w:tabs>
          <w:tab w:val="left" w:pos="6732"/>
        </w:tabs>
        <w:jc w:val="both"/>
      </w:pPr>
      <w:r w:rsidRPr="00D3089A">
        <w:t>**If AIDS defining illness (table 4) is diagnosed, the stage is 3 regardless of CD4+ count.</w:t>
      </w:r>
    </w:p>
    <w:p w14:paraId="79D67C82" w14:textId="77777777" w:rsidR="00654F3A" w:rsidRPr="00D3089A" w:rsidRDefault="00654F3A" w:rsidP="00452A3A">
      <w:pPr>
        <w:tabs>
          <w:tab w:val="left" w:pos="6732"/>
        </w:tabs>
        <w:jc w:val="both"/>
      </w:pPr>
    </w:p>
    <w:p w14:paraId="347389FA" w14:textId="77777777" w:rsidR="00654F3A" w:rsidRPr="00D3089A" w:rsidRDefault="00654F3A" w:rsidP="00452A3A">
      <w:pPr>
        <w:tabs>
          <w:tab w:val="left" w:pos="6732"/>
        </w:tabs>
        <w:jc w:val="both"/>
      </w:pPr>
      <w:r w:rsidRPr="00D3089A">
        <w:t>Table 4: AIDS Defining Illnesses</w:t>
      </w:r>
    </w:p>
    <w:tbl>
      <w:tblPr>
        <w:tblStyle w:val="TableGrid"/>
        <w:tblW w:w="0" w:type="auto"/>
        <w:tblLook w:val="04A0" w:firstRow="1" w:lastRow="0" w:firstColumn="1" w:lastColumn="0" w:noHBand="0" w:noVBand="1"/>
      </w:tblPr>
      <w:tblGrid>
        <w:gridCol w:w="8856"/>
      </w:tblGrid>
      <w:tr w:rsidR="00654F3A" w:rsidRPr="00D3089A" w14:paraId="25F50865" w14:textId="77777777" w:rsidTr="00F573A5">
        <w:tc>
          <w:tcPr>
            <w:tcW w:w="8856" w:type="dxa"/>
          </w:tcPr>
          <w:p w14:paraId="4F81144F" w14:textId="77777777" w:rsidR="00654F3A" w:rsidRPr="00D3089A" w:rsidRDefault="00654F3A" w:rsidP="00452A3A">
            <w:pPr>
              <w:tabs>
                <w:tab w:val="left" w:pos="6732"/>
              </w:tabs>
              <w:jc w:val="both"/>
            </w:pPr>
            <w:r w:rsidRPr="00D3089A">
              <w:t>Bacterial infections, multiple or recurrent*</w:t>
            </w:r>
          </w:p>
        </w:tc>
      </w:tr>
      <w:tr w:rsidR="00654F3A" w:rsidRPr="00D3089A" w14:paraId="478C0C40" w14:textId="77777777" w:rsidTr="00F573A5">
        <w:tc>
          <w:tcPr>
            <w:tcW w:w="8856" w:type="dxa"/>
          </w:tcPr>
          <w:p w14:paraId="444FE189" w14:textId="77777777" w:rsidR="00654F3A" w:rsidRPr="00D3089A" w:rsidRDefault="00654F3A" w:rsidP="00452A3A">
            <w:pPr>
              <w:tabs>
                <w:tab w:val="left" w:pos="6732"/>
              </w:tabs>
              <w:jc w:val="both"/>
            </w:pPr>
            <w:r w:rsidRPr="00D3089A">
              <w:t>Candidiasis of bronchi, trachea or lungs</w:t>
            </w:r>
          </w:p>
        </w:tc>
      </w:tr>
      <w:tr w:rsidR="00654F3A" w:rsidRPr="00D3089A" w14:paraId="4E726A25" w14:textId="77777777" w:rsidTr="00F573A5">
        <w:tc>
          <w:tcPr>
            <w:tcW w:w="8856" w:type="dxa"/>
          </w:tcPr>
          <w:p w14:paraId="62BED807" w14:textId="77777777" w:rsidR="00654F3A" w:rsidRPr="00D3089A" w:rsidRDefault="00654F3A" w:rsidP="00452A3A">
            <w:pPr>
              <w:tabs>
                <w:tab w:val="left" w:pos="6732"/>
              </w:tabs>
              <w:jc w:val="both"/>
            </w:pPr>
            <w:r w:rsidRPr="00D3089A">
              <w:t>Candidiasis of esophagus</w:t>
            </w:r>
          </w:p>
        </w:tc>
      </w:tr>
      <w:tr w:rsidR="00654F3A" w:rsidRPr="00D3089A" w14:paraId="539BF2A7" w14:textId="77777777" w:rsidTr="00F573A5">
        <w:tc>
          <w:tcPr>
            <w:tcW w:w="8856" w:type="dxa"/>
          </w:tcPr>
          <w:p w14:paraId="165EF2F9" w14:textId="77777777" w:rsidR="00654F3A" w:rsidRPr="00D3089A" w:rsidRDefault="00654F3A" w:rsidP="00452A3A">
            <w:pPr>
              <w:tabs>
                <w:tab w:val="left" w:pos="6732"/>
              </w:tabs>
              <w:jc w:val="both"/>
            </w:pPr>
            <w:r w:rsidRPr="00D3089A">
              <w:t>Cervical cancer, invasive**</w:t>
            </w:r>
          </w:p>
        </w:tc>
      </w:tr>
      <w:tr w:rsidR="00654F3A" w:rsidRPr="00D3089A" w14:paraId="6D90DFA3" w14:textId="77777777" w:rsidTr="00F573A5">
        <w:tc>
          <w:tcPr>
            <w:tcW w:w="8856" w:type="dxa"/>
          </w:tcPr>
          <w:p w14:paraId="20B8D35A" w14:textId="77777777" w:rsidR="00654F3A" w:rsidRPr="00D3089A" w:rsidRDefault="00654F3A" w:rsidP="00452A3A">
            <w:pPr>
              <w:tabs>
                <w:tab w:val="left" w:pos="6732"/>
              </w:tabs>
              <w:jc w:val="both"/>
            </w:pPr>
            <w:r w:rsidRPr="00D3089A">
              <w:t>Coccidiomycosis, disseminated or extrapulmonary</w:t>
            </w:r>
          </w:p>
        </w:tc>
      </w:tr>
      <w:tr w:rsidR="00654F3A" w:rsidRPr="00D3089A" w14:paraId="5E51B824" w14:textId="77777777" w:rsidTr="00F573A5">
        <w:tc>
          <w:tcPr>
            <w:tcW w:w="8856" w:type="dxa"/>
          </w:tcPr>
          <w:p w14:paraId="69E0560A" w14:textId="77777777" w:rsidR="00654F3A" w:rsidRPr="00D3089A" w:rsidRDefault="00654F3A" w:rsidP="00452A3A">
            <w:pPr>
              <w:tabs>
                <w:tab w:val="left" w:pos="6732"/>
              </w:tabs>
              <w:jc w:val="both"/>
            </w:pPr>
            <w:r w:rsidRPr="00D3089A">
              <w:t>Cryptosporidiosis, chronic intestinal (&gt;1 month’s duration)</w:t>
            </w:r>
          </w:p>
        </w:tc>
      </w:tr>
      <w:tr w:rsidR="00654F3A" w:rsidRPr="00D3089A" w14:paraId="50EC2835" w14:textId="77777777" w:rsidTr="00F573A5">
        <w:tc>
          <w:tcPr>
            <w:tcW w:w="8856" w:type="dxa"/>
          </w:tcPr>
          <w:p w14:paraId="0012163F" w14:textId="77777777" w:rsidR="00654F3A" w:rsidRPr="00D3089A" w:rsidRDefault="00654F3A" w:rsidP="00452A3A">
            <w:pPr>
              <w:tabs>
                <w:tab w:val="left" w:pos="6732"/>
              </w:tabs>
              <w:jc w:val="both"/>
            </w:pPr>
            <w:r w:rsidRPr="00D3089A">
              <w:t>Cytomegalovirus disease (other than liver, spleen or nodes), onset age&gt;1 month</w:t>
            </w:r>
          </w:p>
        </w:tc>
      </w:tr>
      <w:tr w:rsidR="00654F3A" w:rsidRPr="00D3089A" w14:paraId="42718201" w14:textId="77777777" w:rsidTr="00F573A5">
        <w:tc>
          <w:tcPr>
            <w:tcW w:w="8856" w:type="dxa"/>
          </w:tcPr>
          <w:p w14:paraId="0ECF5160" w14:textId="77777777" w:rsidR="00654F3A" w:rsidRPr="00D3089A" w:rsidRDefault="00654F3A" w:rsidP="00452A3A">
            <w:pPr>
              <w:tabs>
                <w:tab w:val="left" w:pos="6732"/>
              </w:tabs>
              <w:jc w:val="both"/>
            </w:pPr>
            <w:r w:rsidRPr="00D3089A">
              <w:t>Cytomegalovirus retinitis (with loss of vision)</w:t>
            </w:r>
          </w:p>
        </w:tc>
      </w:tr>
      <w:tr w:rsidR="00654F3A" w:rsidRPr="00D3089A" w14:paraId="5020AE81" w14:textId="77777777" w:rsidTr="00F573A5">
        <w:tc>
          <w:tcPr>
            <w:tcW w:w="8856" w:type="dxa"/>
          </w:tcPr>
          <w:p w14:paraId="179527B3" w14:textId="77777777" w:rsidR="00654F3A" w:rsidRPr="00D3089A" w:rsidRDefault="00654F3A" w:rsidP="00452A3A">
            <w:pPr>
              <w:tabs>
                <w:tab w:val="left" w:pos="6732"/>
              </w:tabs>
              <w:jc w:val="both"/>
            </w:pPr>
            <w:r w:rsidRPr="00D3089A">
              <w:t>Encephalopathy, HIV related</w:t>
            </w:r>
          </w:p>
        </w:tc>
      </w:tr>
      <w:tr w:rsidR="00654F3A" w:rsidRPr="00D3089A" w14:paraId="1BCA9C89" w14:textId="77777777" w:rsidTr="00F573A5">
        <w:tc>
          <w:tcPr>
            <w:tcW w:w="8856" w:type="dxa"/>
          </w:tcPr>
          <w:p w14:paraId="10D378B6" w14:textId="77777777" w:rsidR="00654F3A" w:rsidRPr="00D3089A" w:rsidRDefault="00654F3A" w:rsidP="00452A3A">
            <w:pPr>
              <w:tabs>
                <w:tab w:val="left" w:pos="6732"/>
              </w:tabs>
              <w:jc w:val="both"/>
            </w:pPr>
            <w:r w:rsidRPr="00D3089A">
              <w:t>Herpes simplex: chronic ulcers (&gt;1 month) or bronchitis, pneumonitis or esophagitis onset age&gt;1 month</w:t>
            </w:r>
          </w:p>
        </w:tc>
      </w:tr>
      <w:tr w:rsidR="00654F3A" w:rsidRPr="00D3089A" w14:paraId="31EE7941" w14:textId="77777777" w:rsidTr="00F573A5">
        <w:tc>
          <w:tcPr>
            <w:tcW w:w="8856" w:type="dxa"/>
          </w:tcPr>
          <w:p w14:paraId="46E3F302" w14:textId="77777777" w:rsidR="00654F3A" w:rsidRPr="00D3089A" w:rsidRDefault="00654F3A" w:rsidP="00452A3A">
            <w:pPr>
              <w:tabs>
                <w:tab w:val="left" w:pos="6732"/>
              </w:tabs>
              <w:jc w:val="both"/>
            </w:pPr>
            <w:r w:rsidRPr="00D3089A">
              <w:t>Histoplasmosis, disseminated or extrapulmonary</w:t>
            </w:r>
          </w:p>
        </w:tc>
      </w:tr>
      <w:tr w:rsidR="00654F3A" w:rsidRPr="00D3089A" w14:paraId="580427AA" w14:textId="77777777" w:rsidTr="00F573A5">
        <w:tc>
          <w:tcPr>
            <w:tcW w:w="8856" w:type="dxa"/>
          </w:tcPr>
          <w:p w14:paraId="24AE912D" w14:textId="77777777" w:rsidR="00654F3A" w:rsidRPr="00D3089A" w:rsidRDefault="00654F3A" w:rsidP="00452A3A">
            <w:pPr>
              <w:tabs>
                <w:tab w:val="left" w:pos="6732"/>
              </w:tabs>
              <w:jc w:val="both"/>
            </w:pPr>
            <w:r w:rsidRPr="00D3089A">
              <w:t>Isosporiasis, chronic intestinal (&gt;1 month)</w:t>
            </w:r>
          </w:p>
        </w:tc>
      </w:tr>
      <w:tr w:rsidR="00654F3A" w:rsidRPr="00D3089A" w14:paraId="6EB456A3" w14:textId="77777777" w:rsidTr="00F573A5">
        <w:tc>
          <w:tcPr>
            <w:tcW w:w="8856" w:type="dxa"/>
          </w:tcPr>
          <w:p w14:paraId="32728711" w14:textId="77777777" w:rsidR="00654F3A" w:rsidRPr="00D3089A" w:rsidRDefault="00654F3A" w:rsidP="00452A3A">
            <w:pPr>
              <w:tabs>
                <w:tab w:val="left" w:pos="6732"/>
              </w:tabs>
              <w:jc w:val="both"/>
            </w:pPr>
            <w:r w:rsidRPr="00D3089A">
              <w:t>Kaposi sarcoma</w:t>
            </w:r>
          </w:p>
        </w:tc>
      </w:tr>
      <w:tr w:rsidR="00654F3A" w:rsidRPr="00D3089A" w14:paraId="3E1BA3A7" w14:textId="77777777" w:rsidTr="00F573A5">
        <w:tc>
          <w:tcPr>
            <w:tcW w:w="8856" w:type="dxa"/>
          </w:tcPr>
          <w:p w14:paraId="176CA5A7" w14:textId="77777777" w:rsidR="00654F3A" w:rsidRPr="00D3089A" w:rsidRDefault="00654F3A" w:rsidP="00452A3A">
            <w:pPr>
              <w:tabs>
                <w:tab w:val="left" w:pos="6732"/>
              </w:tabs>
              <w:jc w:val="both"/>
            </w:pPr>
            <w:r w:rsidRPr="00D3089A">
              <w:t>Lymphoma, Burkitt</w:t>
            </w:r>
          </w:p>
        </w:tc>
      </w:tr>
      <w:tr w:rsidR="00654F3A" w:rsidRPr="00D3089A" w14:paraId="5D01E0DB" w14:textId="77777777" w:rsidTr="00F573A5">
        <w:tc>
          <w:tcPr>
            <w:tcW w:w="8856" w:type="dxa"/>
          </w:tcPr>
          <w:p w14:paraId="4562090C" w14:textId="77777777" w:rsidR="00654F3A" w:rsidRPr="00D3089A" w:rsidRDefault="00654F3A" w:rsidP="00452A3A">
            <w:pPr>
              <w:tabs>
                <w:tab w:val="left" w:pos="6732"/>
              </w:tabs>
              <w:jc w:val="both"/>
            </w:pPr>
            <w:r w:rsidRPr="00D3089A">
              <w:t>Lymphoma, immunoblastic</w:t>
            </w:r>
          </w:p>
        </w:tc>
      </w:tr>
      <w:tr w:rsidR="00654F3A" w:rsidRPr="00D3089A" w14:paraId="4F12CA01" w14:textId="77777777" w:rsidTr="00F573A5">
        <w:tc>
          <w:tcPr>
            <w:tcW w:w="8856" w:type="dxa"/>
          </w:tcPr>
          <w:p w14:paraId="2C1C270C" w14:textId="77777777" w:rsidR="00654F3A" w:rsidRPr="00D3089A" w:rsidRDefault="00654F3A" w:rsidP="00452A3A">
            <w:pPr>
              <w:tabs>
                <w:tab w:val="left" w:pos="6732"/>
              </w:tabs>
              <w:jc w:val="both"/>
            </w:pPr>
            <w:r w:rsidRPr="00D3089A">
              <w:t>Lymphoma, primary brain</w:t>
            </w:r>
          </w:p>
        </w:tc>
      </w:tr>
      <w:tr w:rsidR="00654F3A" w:rsidRPr="00D3089A" w14:paraId="09B2BF6B" w14:textId="77777777" w:rsidTr="00F573A5">
        <w:tc>
          <w:tcPr>
            <w:tcW w:w="8856" w:type="dxa"/>
          </w:tcPr>
          <w:p w14:paraId="1EDC6F9E" w14:textId="77777777" w:rsidR="00654F3A" w:rsidRPr="00D3089A" w:rsidRDefault="00654F3A" w:rsidP="00452A3A">
            <w:pPr>
              <w:tabs>
                <w:tab w:val="left" w:pos="6732"/>
              </w:tabs>
              <w:jc w:val="both"/>
            </w:pPr>
            <w:r w:rsidRPr="00D3089A">
              <w:rPr>
                <w:i/>
              </w:rPr>
              <w:t>Mycobacterium avium complex</w:t>
            </w:r>
            <w:r w:rsidRPr="00D3089A">
              <w:t xml:space="preserve"> or </w:t>
            </w:r>
            <w:r w:rsidRPr="00D3089A">
              <w:rPr>
                <w:i/>
              </w:rPr>
              <w:t>mycobacterium kansaii</w:t>
            </w:r>
            <w:r w:rsidRPr="00D3089A">
              <w:t>, disseminated or extrapulmonary</w:t>
            </w:r>
          </w:p>
        </w:tc>
      </w:tr>
      <w:tr w:rsidR="00654F3A" w:rsidRPr="00D3089A" w14:paraId="4C6BDAE9" w14:textId="77777777" w:rsidTr="00F573A5">
        <w:tc>
          <w:tcPr>
            <w:tcW w:w="8856" w:type="dxa"/>
          </w:tcPr>
          <w:p w14:paraId="29661622" w14:textId="77777777" w:rsidR="00654F3A" w:rsidRPr="00D3089A" w:rsidRDefault="00654F3A" w:rsidP="00452A3A">
            <w:pPr>
              <w:tabs>
                <w:tab w:val="left" w:pos="6732"/>
              </w:tabs>
              <w:jc w:val="both"/>
            </w:pPr>
            <w:r w:rsidRPr="00D3089A">
              <w:rPr>
                <w:i/>
              </w:rPr>
              <w:t xml:space="preserve">Mycobacterium tuberculosis </w:t>
            </w:r>
            <w:r w:rsidRPr="00D3089A">
              <w:t>any site</w:t>
            </w:r>
          </w:p>
        </w:tc>
      </w:tr>
      <w:tr w:rsidR="00654F3A" w:rsidRPr="00D3089A" w14:paraId="5A59D766" w14:textId="77777777" w:rsidTr="00F573A5">
        <w:tc>
          <w:tcPr>
            <w:tcW w:w="8856" w:type="dxa"/>
          </w:tcPr>
          <w:p w14:paraId="60B9FE33" w14:textId="77777777" w:rsidR="00654F3A" w:rsidRPr="00D3089A" w:rsidRDefault="00654F3A" w:rsidP="00452A3A">
            <w:pPr>
              <w:tabs>
                <w:tab w:val="left" w:pos="6732"/>
              </w:tabs>
              <w:jc w:val="both"/>
            </w:pPr>
            <w:r w:rsidRPr="00D3089A">
              <w:rPr>
                <w:i/>
              </w:rPr>
              <w:t>Mycobacterium</w:t>
            </w:r>
            <w:r w:rsidRPr="00D3089A">
              <w:t>, other species or unidentified species, disseminated or extrapulmonary</w:t>
            </w:r>
          </w:p>
        </w:tc>
      </w:tr>
      <w:tr w:rsidR="00654F3A" w:rsidRPr="00D3089A" w14:paraId="4E4830E8" w14:textId="77777777" w:rsidTr="00F573A5">
        <w:tc>
          <w:tcPr>
            <w:tcW w:w="8856" w:type="dxa"/>
          </w:tcPr>
          <w:p w14:paraId="43A93AF9" w14:textId="77777777" w:rsidR="00654F3A" w:rsidRPr="00D3089A" w:rsidRDefault="00654F3A" w:rsidP="00452A3A">
            <w:pPr>
              <w:tabs>
                <w:tab w:val="left" w:pos="6732"/>
              </w:tabs>
              <w:jc w:val="both"/>
            </w:pPr>
            <w:r w:rsidRPr="00D3089A">
              <w:rPr>
                <w:i/>
              </w:rPr>
              <w:t>Pneumocystis jirovecii</w:t>
            </w:r>
            <w:r w:rsidRPr="00D3089A">
              <w:t xml:space="preserve"> (previously Pneumocystis carinii) pneumonia</w:t>
            </w:r>
          </w:p>
        </w:tc>
      </w:tr>
      <w:tr w:rsidR="00654F3A" w:rsidRPr="00D3089A" w14:paraId="1FF5212B" w14:textId="77777777" w:rsidTr="00F573A5">
        <w:tc>
          <w:tcPr>
            <w:tcW w:w="8856" w:type="dxa"/>
          </w:tcPr>
          <w:p w14:paraId="428914F0" w14:textId="77777777" w:rsidR="00654F3A" w:rsidRPr="00D3089A" w:rsidRDefault="00654F3A" w:rsidP="00452A3A">
            <w:pPr>
              <w:tabs>
                <w:tab w:val="left" w:pos="6732"/>
              </w:tabs>
              <w:jc w:val="both"/>
            </w:pPr>
            <w:r w:rsidRPr="00D3089A">
              <w:t>Pneumonia, recurrent**</w:t>
            </w:r>
          </w:p>
        </w:tc>
      </w:tr>
      <w:tr w:rsidR="00654F3A" w:rsidRPr="00D3089A" w14:paraId="79903CA7" w14:textId="77777777" w:rsidTr="00F573A5">
        <w:tc>
          <w:tcPr>
            <w:tcW w:w="8856" w:type="dxa"/>
          </w:tcPr>
          <w:p w14:paraId="1A062A44" w14:textId="77777777" w:rsidR="00654F3A" w:rsidRPr="00D3089A" w:rsidRDefault="00654F3A" w:rsidP="00452A3A">
            <w:pPr>
              <w:tabs>
                <w:tab w:val="left" w:pos="6732"/>
              </w:tabs>
              <w:jc w:val="both"/>
            </w:pPr>
            <w:r w:rsidRPr="00D3089A">
              <w:t>Progressive multifocal leukoencephalopathy</w:t>
            </w:r>
          </w:p>
        </w:tc>
      </w:tr>
      <w:tr w:rsidR="00654F3A" w:rsidRPr="00D3089A" w14:paraId="51089457" w14:textId="77777777" w:rsidTr="00F573A5">
        <w:tc>
          <w:tcPr>
            <w:tcW w:w="8856" w:type="dxa"/>
          </w:tcPr>
          <w:p w14:paraId="2D73DD96" w14:textId="77777777" w:rsidR="00654F3A" w:rsidRPr="00D3089A" w:rsidRDefault="00654F3A" w:rsidP="00452A3A">
            <w:pPr>
              <w:tabs>
                <w:tab w:val="left" w:pos="6732"/>
              </w:tabs>
              <w:jc w:val="both"/>
            </w:pPr>
            <w:r w:rsidRPr="00D3089A">
              <w:t>Salmonella septicemia, recurrent</w:t>
            </w:r>
          </w:p>
        </w:tc>
      </w:tr>
      <w:tr w:rsidR="00654F3A" w:rsidRPr="00D3089A" w14:paraId="2C2932BC" w14:textId="77777777" w:rsidTr="00F573A5">
        <w:tc>
          <w:tcPr>
            <w:tcW w:w="8856" w:type="dxa"/>
          </w:tcPr>
          <w:p w14:paraId="512FA712" w14:textId="77777777" w:rsidR="00654F3A" w:rsidRPr="00D3089A" w:rsidRDefault="00654F3A" w:rsidP="00452A3A">
            <w:pPr>
              <w:tabs>
                <w:tab w:val="left" w:pos="6732"/>
              </w:tabs>
              <w:jc w:val="both"/>
            </w:pPr>
            <w:r w:rsidRPr="00D3089A">
              <w:t>Toxoplasmosis of brain, onset age&gt;1 month</w:t>
            </w:r>
          </w:p>
        </w:tc>
      </w:tr>
      <w:tr w:rsidR="00654F3A" w:rsidRPr="00D3089A" w14:paraId="7164FFCF" w14:textId="77777777" w:rsidTr="00F573A5">
        <w:tc>
          <w:tcPr>
            <w:tcW w:w="8856" w:type="dxa"/>
          </w:tcPr>
          <w:p w14:paraId="438C1DEE" w14:textId="77777777" w:rsidR="00654F3A" w:rsidRPr="00D3089A" w:rsidRDefault="00654F3A" w:rsidP="00452A3A">
            <w:pPr>
              <w:tabs>
                <w:tab w:val="left" w:pos="6732"/>
              </w:tabs>
              <w:jc w:val="both"/>
            </w:pPr>
            <w:r w:rsidRPr="00D3089A">
              <w:t>Wasting syndrome attributed to HIV</w:t>
            </w:r>
          </w:p>
        </w:tc>
      </w:tr>
    </w:tbl>
    <w:p w14:paraId="4AB6ABEC" w14:textId="77777777" w:rsidR="00654F3A" w:rsidRPr="00D3089A" w:rsidRDefault="00654F3A" w:rsidP="00452A3A">
      <w:pPr>
        <w:tabs>
          <w:tab w:val="left" w:pos="6732"/>
        </w:tabs>
        <w:jc w:val="both"/>
      </w:pPr>
      <w:r w:rsidRPr="00D3089A">
        <w:t>*Only among children aged &lt; 6 years</w:t>
      </w:r>
    </w:p>
    <w:p w14:paraId="5CEE6329" w14:textId="77777777" w:rsidR="00654F3A" w:rsidRPr="00D3089A" w:rsidRDefault="00654F3A" w:rsidP="00452A3A">
      <w:pPr>
        <w:tabs>
          <w:tab w:val="left" w:pos="6732"/>
        </w:tabs>
        <w:jc w:val="both"/>
      </w:pPr>
      <w:r w:rsidRPr="00D3089A">
        <w:t xml:space="preserve">** Only among children aged </w:t>
      </w:r>
      <w:r w:rsidRPr="00D3089A">
        <w:sym w:font="Symbol" w:char="F0B3"/>
      </w:r>
      <w:r w:rsidRPr="00D3089A">
        <w:t xml:space="preserve"> 6 years, adolescents and adults</w:t>
      </w:r>
    </w:p>
    <w:p w14:paraId="496CC905" w14:textId="77777777" w:rsidR="009C78CD" w:rsidRPr="00D3089A" w:rsidRDefault="009C78CD" w:rsidP="009C78CD">
      <w:r w:rsidRPr="00D3089A">
        <w:t xml:space="preserve">Table 3 and 4 adapted from </w:t>
      </w:r>
      <w:r w:rsidRPr="00D3089A">
        <w:rPr>
          <w:rStyle w:val="Emphasis"/>
          <w:color w:val="000000"/>
          <w:shd w:val="clear" w:color="auto" w:fill="FFFFFF"/>
        </w:rPr>
        <w:t>Revised Surveillance Case Definition for HIV Infection — United States, 2014 (</w:t>
      </w:r>
      <w:hyperlink r:id="rId9" w:history="1">
        <w:r w:rsidRPr="00D3089A">
          <w:rPr>
            <w:rStyle w:val="Hyperlink"/>
            <w:color w:val="4A006E"/>
            <w:shd w:val="clear" w:color="auto" w:fill="FFFFFF"/>
          </w:rPr>
          <w:t>www.cdc.gov/mmwr/preview/mmwrhtml/rr6303a1.htm?s_cid=rr6303a1_e</w:t>
        </w:r>
      </w:hyperlink>
      <w:r w:rsidRPr="00D3089A">
        <w:rPr>
          <w:color w:val="000000"/>
          <w:shd w:val="clear" w:color="auto" w:fill="FFFFFF"/>
        </w:rPr>
        <w:t>),</w:t>
      </w:r>
    </w:p>
    <w:p w14:paraId="5E68A17E" w14:textId="6F084B7E" w:rsidR="009C78CD" w:rsidRPr="00D3089A" w:rsidRDefault="009C78CD" w:rsidP="00452A3A">
      <w:pPr>
        <w:tabs>
          <w:tab w:val="left" w:pos="6732"/>
        </w:tabs>
        <w:jc w:val="both"/>
      </w:pPr>
    </w:p>
    <w:p w14:paraId="1FE348BD" w14:textId="77777777" w:rsidR="00135B05" w:rsidRPr="00D3089A" w:rsidRDefault="00135B05" w:rsidP="00452A3A">
      <w:pPr>
        <w:widowControl w:val="0"/>
        <w:tabs>
          <w:tab w:val="left" w:pos="720"/>
          <w:tab w:val="left" w:pos="6732"/>
        </w:tabs>
        <w:adjustRightInd w:val="0"/>
        <w:snapToGrid w:val="0"/>
        <w:jc w:val="both"/>
        <w:rPr>
          <w:color w:val="000000"/>
        </w:rPr>
      </w:pPr>
    </w:p>
    <w:p w14:paraId="6D6A49DB" w14:textId="12F950E9" w:rsidR="00135B05" w:rsidRPr="00D3089A" w:rsidRDefault="00BB3E27" w:rsidP="00452A3A">
      <w:pPr>
        <w:widowControl w:val="0"/>
        <w:tabs>
          <w:tab w:val="left" w:pos="720"/>
          <w:tab w:val="left" w:pos="6732"/>
        </w:tabs>
        <w:adjustRightInd w:val="0"/>
        <w:snapToGrid w:val="0"/>
        <w:jc w:val="both"/>
        <w:rPr>
          <w:b/>
          <w:color w:val="000000"/>
        </w:rPr>
      </w:pPr>
      <w:r w:rsidRPr="00D3089A">
        <w:rPr>
          <w:b/>
          <w:color w:val="000000"/>
        </w:rPr>
        <w:tab/>
      </w:r>
      <w:r w:rsidR="00135B05" w:rsidRPr="00D3089A">
        <w:rPr>
          <w:b/>
          <w:color w:val="000000"/>
        </w:rPr>
        <w:t xml:space="preserve">B.2.6.3 </w:t>
      </w:r>
      <w:r w:rsidR="00654F3A" w:rsidRPr="00D3089A">
        <w:rPr>
          <w:color w:val="000000"/>
        </w:rPr>
        <w:t>Objective 2b Comparison of SCD Outcomes between HIV+ and HIV-</w:t>
      </w:r>
    </w:p>
    <w:p w14:paraId="3535A8A0" w14:textId="77777777" w:rsidR="00654F3A" w:rsidRPr="00D3089A" w:rsidRDefault="00135B05" w:rsidP="00452A3A">
      <w:pPr>
        <w:tabs>
          <w:tab w:val="left" w:pos="6732"/>
        </w:tabs>
        <w:jc w:val="both"/>
        <w:rPr>
          <w:color w:val="000000"/>
        </w:rPr>
      </w:pPr>
      <w:r w:rsidRPr="00D3089A">
        <w:rPr>
          <w:b/>
          <w:color w:val="000000"/>
        </w:rPr>
        <w:tab/>
      </w:r>
      <w:r w:rsidR="00BB3E27" w:rsidRPr="00D3089A">
        <w:rPr>
          <w:b/>
          <w:color w:val="000000"/>
        </w:rPr>
        <w:tab/>
      </w:r>
    </w:p>
    <w:p w14:paraId="6692DBAA" w14:textId="414EAF43" w:rsidR="00654F3A" w:rsidRPr="00D3089A" w:rsidRDefault="00654F3A" w:rsidP="00424760">
      <w:pPr>
        <w:widowControl w:val="0"/>
        <w:autoSpaceDE w:val="0"/>
        <w:autoSpaceDN w:val="0"/>
        <w:adjustRightInd w:val="0"/>
        <w:ind w:firstLine="720"/>
        <w:jc w:val="both"/>
      </w:pPr>
      <w:r w:rsidRPr="00D3089A">
        <w:t>Many of the SCD events of interest in objective 2b will be modeled as binary outcomes, such as the presence/absence of a history of stroke, avascular necrosis, kidney failure, pulmonary hypertension, etc.  For binary outcomes, conditional logistic regression will be employed for data analysis</w:t>
      </w:r>
      <w:r w:rsidR="00E41D97" w:rsidRPr="00D3089A">
        <w:t xml:space="preserve"> since a 2:1 matched design is being used</w:t>
      </w:r>
      <w:r w:rsidRPr="00D3089A">
        <w:t>.  With this approach, subjects are grouped into strata that are defined by the matching variables used to select controls for the study; for objective 2b, the strata are defined by age</w:t>
      </w:r>
      <w:r w:rsidR="009C78CD" w:rsidRPr="00D3089A">
        <w:t xml:space="preserve"> </w:t>
      </w:r>
      <w:r w:rsidR="009C78CD" w:rsidRPr="00D3089A">
        <w:sym w:font="Symbol" w:char="F0B1"/>
      </w:r>
      <w:r w:rsidR="009C78CD" w:rsidRPr="00D3089A">
        <w:t xml:space="preserve"> 2 years</w:t>
      </w:r>
      <w:r w:rsidRPr="00D3089A">
        <w:t xml:space="preserve">, hemocenter, sickle cell type and gender.  </w:t>
      </w:r>
    </w:p>
    <w:p w14:paraId="2B01E4EC" w14:textId="77777777" w:rsidR="00654F3A" w:rsidRPr="00D3089A" w:rsidRDefault="00654F3A" w:rsidP="00452A3A">
      <w:pPr>
        <w:widowControl w:val="0"/>
        <w:autoSpaceDE w:val="0"/>
        <w:autoSpaceDN w:val="0"/>
        <w:adjustRightInd w:val="0"/>
        <w:jc w:val="both"/>
      </w:pPr>
      <w:r w:rsidRPr="00D3089A">
        <w:t> </w:t>
      </w:r>
    </w:p>
    <w:p w14:paraId="02B7F540" w14:textId="77777777" w:rsidR="00654F3A" w:rsidRPr="00D3089A" w:rsidRDefault="00654F3A" w:rsidP="00424760">
      <w:pPr>
        <w:widowControl w:val="0"/>
        <w:autoSpaceDE w:val="0"/>
        <w:autoSpaceDN w:val="0"/>
        <w:adjustRightInd w:val="0"/>
        <w:ind w:firstLine="720"/>
        <w:jc w:val="both"/>
      </w:pPr>
      <w:r w:rsidRPr="00D3089A">
        <w:t>It is possible, however, that changes in event rates with age will lead to age-related variation in the odds ratio.  We will explore this by examining trends with age in the odds ratio.  If trends are evident, then a model that takes account of age will be developed in place of the model under which the odds ratio is assumed to be constant allowing the analysis to report age-varying odds of these adverse events.</w:t>
      </w:r>
    </w:p>
    <w:p w14:paraId="66483E9C" w14:textId="77777777" w:rsidR="00654F3A" w:rsidRPr="00D3089A" w:rsidRDefault="00654F3A" w:rsidP="00452A3A">
      <w:pPr>
        <w:widowControl w:val="0"/>
        <w:autoSpaceDE w:val="0"/>
        <w:autoSpaceDN w:val="0"/>
        <w:adjustRightInd w:val="0"/>
        <w:jc w:val="both"/>
      </w:pPr>
      <w:r w:rsidRPr="00D3089A">
        <w:t> </w:t>
      </w:r>
    </w:p>
    <w:p w14:paraId="7C96E6E0" w14:textId="77777777" w:rsidR="00654F3A" w:rsidRPr="00D3089A" w:rsidRDefault="00654F3A" w:rsidP="00424760">
      <w:pPr>
        <w:widowControl w:val="0"/>
        <w:autoSpaceDE w:val="0"/>
        <w:autoSpaceDN w:val="0"/>
        <w:adjustRightInd w:val="0"/>
        <w:ind w:firstLine="720"/>
        <w:jc w:val="both"/>
      </w:pPr>
      <w:r w:rsidRPr="00D3089A">
        <w:t>HIV acquisition and clinical progression status also require consideration.  Among the HIV-positive subset, subjects with a history of a given SCD outcome may include a mix of those with the SCD event prior to HIV infection and those with the event after infection.  Because the SCD population is annually tested for HIV as well as other transfusion-transmissible infections we will have date of HIV diagnosis to estimate age of HIV infection, and the age at which the SCD event first occurred. We will be able to include HIV status as a time-varying covariate in a survival analysis of time to the SCD event.  Age will be treated as the measure of time in this analysis.  </w:t>
      </w:r>
    </w:p>
    <w:p w14:paraId="4424080D" w14:textId="77777777" w:rsidR="00654F3A" w:rsidRPr="00D3089A" w:rsidRDefault="00654F3A" w:rsidP="00452A3A">
      <w:pPr>
        <w:widowControl w:val="0"/>
        <w:autoSpaceDE w:val="0"/>
        <w:autoSpaceDN w:val="0"/>
        <w:adjustRightInd w:val="0"/>
        <w:jc w:val="both"/>
      </w:pPr>
      <w:r w:rsidRPr="00D3089A">
        <w:t> </w:t>
      </w:r>
    </w:p>
    <w:p w14:paraId="3555AB1F" w14:textId="77777777" w:rsidR="00654F3A" w:rsidRPr="00D3089A" w:rsidRDefault="00654F3A" w:rsidP="00424760">
      <w:pPr>
        <w:widowControl w:val="0"/>
        <w:autoSpaceDE w:val="0"/>
        <w:autoSpaceDN w:val="0"/>
        <w:adjustRightInd w:val="0"/>
        <w:ind w:firstLine="720"/>
        <w:jc w:val="both"/>
      </w:pPr>
      <w:r w:rsidRPr="00D3089A">
        <w:t>Because event times may not be accurately captured in medical records, we recognize that there may be events for which a meaningful survival analysis is not possible.  For example, pulmonary hypertension is diagnosed through examinations that may be performed sporadically on an irregular schedule in many patients, which may mean that we cannot perform survival analysis for this outcome.  Before beginning any time to event analysis, we will evaluate the completeness of data for each endpoint of interest.</w:t>
      </w:r>
    </w:p>
    <w:p w14:paraId="32929A48" w14:textId="77777777" w:rsidR="00654F3A" w:rsidRPr="00D3089A" w:rsidRDefault="00654F3A" w:rsidP="00452A3A">
      <w:pPr>
        <w:widowControl w:val="0"/>
        <w:autoSpaceDE w:val="0"/>
        <w:autoSpaceDN w:val="0"/>
        <w:adjustRightInd w:val="0"/>
        <w:jc w:val="both"/>
      </w:pPr>
    </w:p>
    <w:p w14:paraId="3D3583B7" w14:textId="7637BD08" w:rsidR="00654F3A" w:rsidRPr="00D3089A" w:rsidRDefault="00654F3A" w:rsidP="00424760">
      <w:pPr>
        <w:widowControl w:val="0"/>
        <w:autoSpaceDE w:val="0"/>
        <w:autoSpaceDN w:val="0"/>
        <w:adjustRightInd w:val="0"/>
        <w:ind w:firstLine="720"/>
        <w:jc w:val="both"/>
      </w:pPr>
      <w:r w:rsidRPr="00D3089A">
        <w:t xml:space="preserve">Some SCD events, such as </w:t>
      </w:r>
      <w:r w:rsidR="009C78CD" w:rsidRPr="00D3089A">
        <w:t xml:space="preserve">vaso-occlusive pain </w:t>
      </w:r>
      <w:r w:rsidR="00A4514B" w:rsidRPr="00D3089A">
        <w:t>crisis</w:t>
      </w:r>
      <w:r w:rsidR="009C78CD" w:rsidRPr="00D3089A">
        <w:t xml:space="preserve"> (</w:t>
      </w:r>
      <w:r w:rsidRPr="00D3089A">
        <w:t>VOC</w:t>
      </w:r>
      <w:r w:rsidR="009C78CD" w:rsidRPr="00D3089A">
        <w:t>)</w:t>
      </w:r>
      <w:r w:rsidRPr="00D3089A">
        <w:t xml:space="preserve"> and acute chest syndrome, can occur repeatedly in the same subjects.  Poisson regression will be employed to evaluate risk factors for both of these outcomes. The outcome variable will be the count of events in a defined period.  </w:t>
      </w:r>
    </w:p>
    <w:p w14:paraId="490AC8DD" w14:textId="77777777" w:rsidR="00654F3A" w:rsidRPr="00D3089A" w:rsidRDefault="00654F3A" w:rsidP="00452A3A">
      <w:pPr>
        <w:widowControl w:val="0"/>
        <w:autoSpaceDE w:val="0"/>
        <w:autoSpaceDN w:val="0"/>
        <w:adjustRightInd w:val="0"/>
        <w:jc w:val="both"/>
      </w:pPr>
      <w:r w:rsidRPr="00D3089A">
        <w:t> </w:t>
      </w:r>
    </w:p>
    <w:p w14:paraId="3DC8A7C4" w14:textId="5BDFCA18" w:rsidR="00654F3A" w:rsidRPr="00D3089A" w:rsidRDefault="00654F3A" w:rsidP="00424760">
      <w:pPr>
        <w:widowControl w:val="0"/>
        <w:autoSpaceDE w:val="0"/>
        <w:autoSpaceDN w:val="0"/>
        <w:adjustRightInd w:val="0"/>
        <w:ind w:firstLine="720"/>
        <w:jc w:val="both"/>
      </w:pPr>
      <w:r w:rsidRPr="00D3089A">
        <w:t xml:space="preserve">Regression analysis will be conducted using SAS. </w:t>
      </w:r>
      <w:r w:rsidR="00A4514B" w:rsidRPr="00D3089A">
        <w:t>Conditional l</w:t>
      </w:r>
      <w:r w:rsidRPr="00D3089A">
        <w:t>ogistic regression will be employed for binary outcomes and generalized linear modeling will be used for Poisson regression.</w:t>
      </w:r>
    </w:p>
    <w:p w14:paraId="1F24A8E7" w14:textId="76444C72" w:rsidR="00135B05" w:rsidRPr="00D3089A" w:rsidRDefault="00135B05" w:rsidP="00452A3A">
      <w:pPr>
        <w:widowControl w:val="0"/>
        <w:tabs>
          <w:tab w:val="left" w:pos="720"/>
          <w:tab w:val="left" w:pos="1440"/>
          <w:tab w:val="left" w:pos="6732"/>
        </w:tabs>
        <w:adjustRightInd w:val="0"/>
        <w:snapToGrid w:val="0"/>
        <w:jc w:val="both"/>
        <w:rPr>
          <w:color w:val="000000"/>
        </w:rPr>
      </w:pPr>
    </w:p>
    <w:p w14:paraId="5C70654E" w14:textId="77777777" w:rsidR="00135B05" w:rsidRPr="00D3089A" w:rsidRDefault="00135B05" w:rsidP="00452A3A">
      <w:pPr>
        <w:pStyle w:val="E-mailSignature"/>
        <w:widowControl w:val="0"/>
        <w:adjustRightInd w:val="0"/>
        <w:snapToGrid w:val="0"/>
        <w:jc w:val="both"/>
        <w:rPr>
          <w:b/>
        </w:rPr>
      </w:pPr>
    </w:p>
    <w:p w14:paraId="052112CB" w14:textId="77777777" w:rsidR="00135B05" w:rsidRPr="00D3089A" w:rsidRDefault="00135B05" w:rsidP="00452A3A">
      <w:pPr>
        <w:pStyle w:val="E-mailSignature"/>
        <w:widowControl w:val="0"/>
        <w:adjustRightInd w:val="0"/>
        <w:snapToGrid w:val="0"/>
        <w:jc w:val="both"/>
        <w:rPr>
          <w:b/>
        </w:rPr>
      </w:pPr>
      <w:r w:rsidRPr="00D3089A">
        <w:rPr>
          <w:b/>
        </w:rPr>
        <w:t>B.3.</w:t>
      </w:r>
      <w:r w:rsidR="00BB3E27" w:rsidRPr="00D3089A">
        <w:rPr>
          <w:b/>
        </w:rPr>
        <w:tab/>
      </w:r>
      <w:r w:rsidRPr="00D3089A">
        <w:rPr>
          <w:b/>
        </w:rPr>
        <w:t>Methods to Maximize Response Rates and Deal with Non-response</w:t>
      </w:r>
    </w:p>
    <w:p w14:paraId="60DAB2D0" w14:textId="77777777" w:rsidR="00135B05" w:rsidRPr="00D3089A" w:rsidRDefault="00135B05" w:rsidP="00452A3A">
      <w:pPr>
        <w:pStyle w:val="E-mailSignature"/>
        <w:widowControl w:val="0"/>
        <w:adjustRightInd w:val="0"/>
        <w:snapToGrid w:val="0"/>
        <w:jc w:val="both"/>
        <w:rPr>
          <w:b/>
        </w:rPr>
      </w:pPr>
      <w:r w:rsidRPr="00D3089A">
        <w:rPr>
          <w:b/>
        </w:rPr>
        <w:tab/>
      </w:r>
    </w:p>
    <w:p w14:paraId="469D0D6C" w14:textId="3A85B88D" w:rsidR="00F573A5" w:rsidRPr="00D3089A" w:rsidRDefault="00F573A5" w:rsidP="00452A3A">
      <w:pPr>
        <w:widowControl w:val="0"/>
        <w:adjustRightInd w:val="0"/>
        <w:snapToGrid w:val="0"/>
        <w:ind w:firstLine="720"/>
        <w:jc w:val="both"/>
        <w:rPr>
          <w:color w:val="000000"/>
        </w:rPr>
      </w:pPr>
      <w:r w:rsidRPr="00D3089A">
        <w:rPr>
          <w:color w:val="000000"/>
        </w:rPr>
        <w:t xml:space="preserve">All adult REDS-III subjects will be recruited into this study.  Because these subjects have previously agreed to participate in research and must return to the Hemocenter for scheduled visit, we anticipate the required 150 SCD cases can be recruited from the REDS-III cohort.  Because the ACASI allows subjects to confidentially answer all questions, we anticipate a high response rate to all items contained within the interview.  </w:t>
      </w:r>
    </w:p>
    <w:p w14:paraId="08596702" w14:textId="77777777" w:rsidR="00F573A5" w:rsidRPr="00D3089A" w:rsidRDefault="00135B05" w:rsidP="00452A3A">
      <w:pPr>
        <w:pStyle w:val="E-mailSignature"/>
        <w:widowControl w:val="0"/>
        <w:adjustRightInd w:val="0"/>
        <w:snapToGrid w:val="0"/>
        <w:jc w:val="both"/>
      </w:pPr>
      <w:r w:rsidRPr="00D3089A">
        <w:tab/>
      </w:r>
    </w:p>
    <w:p w14:paraId="522E71A2" w14:textId="77777777" w:rsidR="00135B05" w:rsidRPr="00D3089A" w:rsidRDefault="00135B05" w:rsidP="00452A3A">
      <w:pPr>
        <w:pStyle w:val="E-mailSignature"/>
        <w:widowControl w:val="0"/>
        <w:adjustRightInd w:val="0"/>
        <w:snapToGrid w:val="0"/>
        <w:jc w:val="both"/>
        <w:rPr>
          <w:b/>
        </w:rPr>
      </w:pPr>
    </w:p>
    <w:p w14:paraId="5ACA2BAB" w14:textId="77777777" w:rsidR="00135B05" w:rsidRPr="00D3089A" w:rsidRDefault="00135B05" w:rsidP="00452A3A">
      <w:pPr>
        <w:pStyle w:val="E-mailSignature"/>
        <w:widowControl w:val="0"/>
        <w:adjustRightInd w:val="0"/>
        <w:snapToGrid w:val="0"/>
        <w:jc w:val="both"/>
        <w:rPr>
          <w:b/>
        </w:rPr>
      </w:pPr>
      <w:r w:rsidRPr="00D3089A">
        <w:rPr>
          <w:b/>
        </w:rPr>
        <w:t>B.4.</w:t>
      </w:r>
      <w:r w:rsidR="00BB3E27" w:rsidRPr="00D3089A">
        <w:rPr>
          <w:b/>
        </w:rPr>
        <w:tab/>
      </w:r>
      <w:r w:rsidRPr="00D3089A">
        <w:rPr>
          <w:b/>
        </w:rPr>
        <w:t>Test of Procedures</w:t>
      </w:r>
    </w:p>
    <w:p w14:paraId="18FA1478" w14:textId="77777777" w:rsidR="00135B05" w:rsidRPr="00D3089A" w:rsidRDefault="00135B05" w:rsidP="00452A3A">
      <w:pPr>
        <w:pStyle w:val="E-mailSignature"/>
        <w:widowControl w:val="0"/>
        <w:adjustRightInd w:val="0"/>
        <w:snapToGrid w:val="0"/>
        <w:jc w:val="both"/>
        <w:rPr>
          <w:b/>
        </w:rPr>
      </w:pPr>
    </w:p>
    <w:p w14:paraId="4CEFEECC" w14:textId="20361F6A" w:rsidR="00135B05" w:rsidRPr="00D3089A" w:rsidRDefault="00135B05" w:rsidP="00452A3A">
      <w:pPr>
        <w:widowControl w:val="0"/>
        <w:autoSpaceDE w:val="0"/>
        <w:autoSpaceDN w:val="0"/>
        <w:adjustRightInd w:val="0"/>
        <w:snapToGrid w:val="0"/>
        <w:jc w:val="both"/>
      </w:pPr>
      <w:r w:rsidRPr="00D3089A">
        <w:rPr>
          <w:color w:val="000000"/>
        </w:rPr>
        <w:tab/>
        <w:t>The</w:t>
      </w:r>
      <w:r w:rsidR="00F573A5" w:rsidRPr="00D3089A">
        <w:rPr>
          <w:color w:val="000000"/>
        </w:rPr>
        <w:t xml:space="preserve"> ACASI </w:t>
      </w:r>
      <w:r w:rsidR="00E5778A" w:rsidRPr="00D3089A">
        <w:rPr>
          <w:color w:val="000000"/>
        </w:rPr>
        <w:t xml:space="preserve">was pretested prior to use in the REDS-II study and has now been utilized in REDS-II and REDS-III studies </w:t>
      </w:r>
      <w:r w:rsidR="00E41D97" w:rsidRPr="00D3089A">
        <w:rPr>
          <w:color w:val="000000"/>
        </w:rPr>
        <w:t xml:space="preserve">and </w:t>
      </w:r>
      <w:r w:rsidR="00E5778A" w:rsidRPr="00D3089A">
        <w:rPr>
          <w:color w:val="000000"/>
        </w:rPr>
        <w:t>therefore has previously been validated in multiple projects</w:t>
      </w:r>
      <w:r w:rsidR="00424760" w:rsidRPr="00D3089A">
        <w:rPr>
          <w:color w:val="000000"/>
        </w:rPr>
        <w:t xml:space="preserve"> and populations</w:t>
      </w:r>
      <w:r w:rsidR="00E5778A" w:rsidRPr="00D3089A">
        <w:rPr>
          <w:color w:val="000000"/>
        </w:rPr>
        <w:t xml:space="preserve">.  Because the ACASI </w:t>
      </w:r>
      <w:r w:rsidR="00232FDA" w:rsidRPr="00D3089A">
        <w:rPr>
          <w:color w:val="000000"/>
        </w:rPr>
        <w:t xml:space="preserve">utilizes verbal, visual and audio cues and allows subjects to answer using a touch screen, the tool has demonstrated ease of use, even in subjects with minimal education. </w:t>
      </w:r>
      <w:r w:rsidRPr="00D3089A">
        <w:t xml:space="preserve">The average time spent to complete the </w:t>
      </w:r>
      <w:r w:rsidR="00EA60BF" w:rsidRPr="00D3089A">
        <w:t>assessment</w:t>
      </w:r>
      <w:r w:rsidRPr="00D3089A">
        <w:t xml:space="preserve"> </w:t>
      </w:r>
      <w:r w:rsidR="00232FDA" w:rsidRPr="00D3089A">
        <w:t xml:space="preserve">in REDS-II </w:t>
      </w:r>
      <w:r w:rsidRPr="00D3089A">
        <w:t>was 24 minutes</w:t>
      </w:r>
      <w:r w:rsidR="003D57DF" w:rsidRPr="00D3089A">
        <w:t xml:space="preserve">, although donors with minimal education took approximately 45 minutes to complete the </w:t>
      </w:r>
      <w:r w:rsidR="00EA60BF" w:rsidRPr="00D3089A">
        <w:t>assessment</w:t>
      </w:r>
      <w:r w:rsidR="003D57DF" w:rsidRPr="00D3089A">
        <w:t xml:space="preserve">.  SCD patients and controls recruited from a similar population are estimated to be more similar to blood donors with minimal education by </w:t>
      </w:r>
      <w:r w:rsidR="00267ED6" w:rsidRPr="00D3089A">
        <w:t>physicians and nurses familiar with both populations</w:t>
      </w:r>
      <w:r w:rsidR="00E41D97" w:rsidRPr="00D3089A">
        <w:t>;</w:t>
      </w:r>
      <w:r w:rsidR="00267ED6" w:rsidRPr="00D3089A">
        <w:t xml:space="preserve"> therefore</w:t>
      </w:r>
      <w:r w:rsidR="00E41D97" w:rsidRPr="00D3089A">
        <w:t>,</w:t>
      </w:r>
      <w:r w:rsidR="00267ED6" w:rsidRPr="00D3089A">
        <w:t xml:space="preserve"> </w:t>
      </w:r>
      <w:r w:rsidRPr="00D3089A">
        <w:t xml:space="preserve">we have used </w:t>
      </w:r>
      <w:r w:rsidR="00267ED6" w:rsidRPr="00D3089A">
        <w:t xml:space="preserve">45 minutes </w:t>
      </w:r>
      <w:r w:rsidRPr="00D3089A">
        <w:t xml:space="preserve">for the calculation of burden hour. </w:t>
      </w:r>
    </w:p>
    <w:p w14:paraId="2BA8F296" w14:textId="77777777" w:rsidR="00135B05" w:rsidRPr="00D3089A" w:rsidRDefault="00135B05" w:rsidP="00452A3A">
      <w:pPr>
        <w:pStyle w:val="E-mailSignature"/>
        <w:widowControl w:val="0"/>
        <w:adjustRightInd w:val="0"/>
        <w:snapToGrid w:val="0"/>
        <w:jc w:val="both"/>
        <w:rPr>
          <w:b/>
        </w:rPr>
      </w:pPr>
    </w:p>
    <w:p w14:paraId="0B6F1C3E" w14:textId="77777777" w:rsidR="00135B05" w:rsidRPr="00D3089A" w:rsidRDefault="00135B05" w:rsidP="00452A3A">
      <w:pPr>
        <w:pStyle w:val="E-mailSignature"/>
        <w:widowControl w:val="0"/>
        <w:adjustRightInd w:val="0"/>
        <w:snapToGrid w:val="0"/>
        <w:ind w:left="720" w:hanging="720"/>
        <w:jc w:val="both"/>
        <w:rPr>
          <w:b/>
        </w:rPr>
      </w:pPr>
      <w:r w:rsidRPr="00D3089A">
        <w:rPr>
          <w:b/>
        </w:rPr>
        <w:t>B.5.</w:t>
      </w:r>
      <w:r w:rsidR="00BB3E27" w:rsidRPr="00D3089A">
        <w:rPr>
          <w:b/>
        </w:rPr>
        <w:tab/>
      </w:r>
      <w:r w:rsidRPr="00D3089A">
        <w:rPr>
          <w:b/>
        </w:rPr>
        <w:t>Individuals Consulted on Statistical Aspects and Individuals Collecting and/or Analyzing Data</w:t>
      </w:r>
    </w:p>
    <w:p w14:paraId="409B2F65" w14:textId="77777777" w:rsidR="00135B05" w:rsidRPr="00D3089A" w:rsidRDefault="00135B05" w:rsidP="00452A3A">
      <w:pPr>
        <w:pStyle w:val="E-mailSignature"/>
        <w:widowControl w:val="0"/>
        <w:adjustRightInd w:val="0"/>
        <w:snapToGrid w:val="0"/>
        <w:jc w:val="both"/>
        <w:rPr>
          <w:b/>
        </w:rPr>
      </w:pPr>
    </w:p>
    <w:p w14:paraId="1C760A5D" w14:textId="32CD2FD2" w:rsidR="00135B05" w:rsidRPr="00452A3A" w:rsidRDefault="00232FDA" w:rsidP="00A01D3B">
      <w:pPr>
        <w:pStyle w:val="SL-FlLftSgl"/>
        <w:widowControl w:val="0"/>
        <w:adjustRightInd w:val="0"/>
        <w:snapToGrid w:val="0"/>
        <w:spacing w:line="240" w:lineRule="auto"/>
        <w:ind w:firstLine="720"/>
        <w:rPr>
          <w:sz w:val="24"/>
          <w:szCs w:val="24"/>
        </w:rPr>
      </w:pPr>
      <w:r w:rsidRPr="00D3089A">
        <w:rPr>
          <w:color w:val="000000" w:themeColor="text1"/>
          <w:sz w:val="24"/>
          <w:szCs w:val="24"/>
        </w:rPr>
        <w:t xml:space="preserve">The protocol and </w:t>
      </w:r>
      <w:r w:rsidR="00EA60BF" w:rsidRPr="00D3089A">
        <w:rPr>
          <w:color w:val="000000" w:themeColor="text1"/>
          <w:sz w:val="24"/>
          <w:szCs w:val="24"/>
        </w:rPr>
        <w:t>assessment</w:t>
      </w:r>
      <w:r w:rsidRPr="00D3089A">
        <w:rPr>
          <w:color w:val="000000" w:themeColor="text1"/>
          <w:sz w:val="24"/>
          <w:szCs w:val="24"/>
        </w:rPr>
        <w:t xml:space="preserve"> to be administered by ACASI were developed in consultation with Brazilian SCD physicians familiar with the study population. </w:t>
      </w:r>
      <w:r w:rsidR="001346E5" w:rsidRPr="00D3089A">
        <w:rPr>
          <w:color w:val="000000" w:themeColor="text1"/>
          <w:sz w:val="24"/>
          <w:szCs w:val="24"/>
        </w:rPr>
        <w:t xml:space="preserve">All study tools and procedures were also modified after input from research nurses who administered </w:t>
      </w:r>
      <w:r w:rsidR="00EA60BF" w:rsidRPr="00D3089A">
        <w:rPr>
          <w:color w:val="000000" w:themeColor="text1"/>
          <w:sz w:val="24"/>
          <w:szCs w:val="24"/>
        </w:rPr>
        <w:t>assessment</w:t>
      </w:r>
      <w:r w:rsidR="001346E5" w:rsidRPr="00D3089A">
        <w:rPr>
          <w:color w:val="000000" w:themeColor="text1"/>
          <w:sz w:val="24"/>
          <w:szCs w:val="24"/>
        </w:rPr>
        <w:t xml:space="preserve">s to this population for previous REDS-III research. </w:t>
      </w:r>
      <w:r w:rsidR="00135B05" w:rsidRPr="00D3089A">
        <w:rPr>
          <w:color w:val="000000" w:themeColor="text1"/>
          <w:sz w:val="24"/>
          <w:szCs w:val="24"/>
        </w:rPr>
        <w:t>W</w:t>
      </w:r>
      <w:r w:rsidR="00135B05" w:rsidRPr="00D3089A">
        <w:rPr>
          <w:sz w:val="24"/>
          <w:szCs w:val="24"/>
        </w:rPr>
        <w:t xml:space="preserve">e have consulted </w:t>
      </w:r>
      <w:r w:rsidR="00135B05" w:rsidRPr="00D3089A">
        <w:rPr>
          <w:bCs/>
          <w:sz w:val="24"/>
          <w:szCs w:val="24"/>
        </w:rPr>
        <w:t xml:space="preserve">biostatisticians </w:t>
      </w:r>
      <w:r w:rsidR="001346E5" w:rsidRPr="00D3089A">
        <w:rPr>
          <w:bCs/>
          <w:sz w:val="24"/>
          <w:szCs w:val="24"/>
        </w:rPr>
        <w:t xml:space="preserve">from the REDS-III Data Coordinating Center (Research Triangle Institute) </w:t>
      </w:r>
      <w:r w:rsidR="00135B05" w:rsidRPr="00D3089A">
        <w:rPr>
          <w:bCs/>
          <w:sz w:val="24"/>
          <w:szCs w:val="24"/>
        </w:rPr>
        <w:t>on statistical aspects of the study</w:t>
      </w:r>
      <w:r w:rsidR="001346E5" w:rsidRPr="00D3089A">
        <w:rPr>
          <w:bCs/>
          <w:sz w:val="24"/>
          <w:szCs w:val="24"/>
        </w:rPr>
        <w:t xml:space="preserve"> design.  </w:t>
      </w:r>
      <w:r w:rsidR="00571F2C" w:rsidRPr="00D3089A">
        <w:rPr>
          <w:sz w:val="24"/>
          <w:szCs w:val="24"/>
        </w:rPr>
        <w:t xml:space="preserve">Data analysis will be performed by the analytic staff at the </w:t>
      </w:r>
      <w:r w:rsidR="001346E5" w:rsidRPr="00D3089A">
        <w:rPr>
          <w:sz w:val="24"/>
          <w:szCs w:val="24"/>
        </w:rPr>
        <w:t xml:space="preserve">Data </w:t>
      </w:r>
      <w:r w:rsidR="00571F2C" w:rsidRPr="00D3089A">
        <w:rPr>
          <w:sz w:val="24"/>
          <w:szCs w:val="24"/>
        </w:rPr>
        <w:t xml:space="preserve">Coordinating Center that includes epidemiologists and biostatisticians, with assistance and oversight provided by the REDS-III </w:t>
      </w:r>
      <w:r w:rsidR="00B00084" w:rsidRPr="00D3089A">
        <w:rPr>
          <w:sz w:val="24"/>
          <w:szCs w:val="24"/>
        </w:rPr>
        <w:t xml:space="preserve">International Advisory </w:t>
      </w:r>
      <w:r w:rsidR="001346E5" w:rsidRPr="00D3089A">
        <w:rPr>
          <w:sz w:val="24"/>
          <w:szCs w:val="24"/>
        </w:rPr>
        <w:t>Committee</w:t>
      </w:r>
      <w:r w:rsidR="0033795D" w:rsidRPr="00D3089A">
        <w:rPr>
          <w:sz w:val="24"/>
          <w:szCs w:val="24"/>
        </w:rPr>
        <w:t xml:space="preserve"> (IAC) (Attachment </w:t>
      </w:r>
      <w:r w:rsidR="00A01D3B" w:rsidRPr="00D3089A">
        <w:rPr>
          <w:sz w:val="24"/>
          <w:szCs w:val="24"/>
        </w:rPr>
        <w:t>3.3</w:t>
      </w:r>
      <w:r w:rsidR="0033795D" w:rsidRPr="00D3089A">
        <w:rPr>
          <w:sz w:val="24"/>
          <w:szCs w:val="24"/>
        </w:rPr>
        <w:t>)</w:t>
      </w:r>
      <w:r w:rsidR="00A01D3B" w:rsidRPr="00D3089A">
        <w:rPr>
          <w:sz w:val="24"/>
          <w:szCs w:val="24"/>
        </w:rPr>
        <w:t>.</w:t>
      </w:r>
      <w:r w:rsidR="001346E5" w:rsidRPr="00D3089A">
        <w:rPr>
          <w:sz w:val="24"/>
          <w:szCs w:val="24"/>
        </w:rPr>
        <w:t xml:space="preserve"> In addition, t</w:t>
      </w:r>
      <w:r w:rsidR="00571F2C" w:rsidRPr="00D3089A">
        <w:rPr>
          <w:sz w:val="24"/>
          <w:szCs w:val="24"/>
        </w:rPr>
        <w:t>he</w:t>
      </w:r>
      <w:r w:rsidRPr="00D3089A">
        <w:rPr>
          <w:sz w:val="24"/>
          <w:szCs w:val="24"/>
        </w:rPr>
        <w:t xml:space="preserve"> REDS-III OSMB </w:t>
      </w:r>
      <w:r w:rsidR="0033795D" w:rsidRPr="00D3089A">
        <w:rPr>
          <w:sz w:val="24"/>
          <w:szCs w:val="24"/>
        </w:rPr>
        <w:t>(At</w:t>
      </w:r>
      <w:r w:rsidR="00A01D3B" w:rsidRPr="00D3089A">
        <w:rPr>
          <w:sz w:val="24"/>
          <w:szCs w:val="24"/>
        </w:rPr>
        <w:t>t</w:t>
      </w:r>
      <w:r w:rsidR="0033795D" w:rsidRPr="00D3089A">
        <w:rPr>
          <w:sz w:val="24"/>
          <w:szCs w:val="24"/>
        </w:rPr>
        <w:t xml:space="preserve">achment </w:t>
      </w:r>
      <w:r w:rsidR="00A01D3B" w:rsidRPr="00D3089A">
        <w:rPr>
          <w:sz w:val="24"/>
          <w:szCs w:val="24"/>
        </w:rPr>
        <w:t>3.1</w:t>
      </w:r>
      <w:r w:rsidR="0033795D" w:rsidRPr="00D3089A">
        <w:rPr>
          <w:sz w:val="24"/>
          <w:szCs w:val="24"/>
        </w:rPr>
        <w:t xml:space="preserve">) </w:t>
      </w:r>
      <w:r w:rsidR="001346E5" w:rsidRPr="00D3089A">
        <w:rPr>
          <w:sz w:val="24"/>
          <w:szCs w:val="24"/>
        </w:rPr>
        <w:t>will monitor this</w:t>
      </w:r>
      <w:r w:rsidR="00571F2C" w:rsidRPr="00D3089A">
        <w:rPr>
          <w:sz w:val="24"/>
          <w:szCs w:val="24"/>
        </w:rPr>
        <w:t xml:space="preserve"> study.</w:t>
      </w:r>
    </w:p>
    <w:sectPr w:rsidR="00135B05" w:rsidRPr="00452A3A" w:rsidSect="00BB3E27">
      <w:footerReference w:type="default" r:id="rId10"/>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02D5D" w14:textId="77777777" w:rsidR="008132BD" w:rsidRDefault="008132BD" w:rsidP="00D30809">
      <w:r>
        <w:separator/>
      </w:r>
    </w:p>
  </w:endnote>
  <w:endnote w:type="continuationSeparator" w:id="0">
    <w:p w14:paraId="6F30CFDE" w14:textId="77777777" w:rsidR="008132BD" w:rsidRDefault="008132BD" w:rsidP="00D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39313"/>
      <w:docPartObj>
        <w:docPartGallery w:val="Page Numbers (Bottom of Page)"/>
        <w:docPartUnique/>
      </w:docPartObj>
    </w:sdtPr>
    <w:sdtEndPr/>
    <w:sdtContent>
      <w:p w14:paraId="1B968D6E" w14:textId="77777777" w:rsidR="008132BD" w:rsidRDefault="008132BD">
        <w:pPr>
          <w:pStyle w:val="Footer"/>
          <w:jc w:val="center"/>
        </w:pPr>
        <w:r>
          <w:fldChar w:fldCharType="begin"/>
        </w:r>
        <w:r>
          <w:instrText xml:space="preserve"> PAGE   \* MERGEFORMAT </w:instrText>
        </w:r>
        <w:r>
          <w:fldChar w:fldCharType="separate"/>
        </w:r>
        <w:r w:rsidR="00AA29BE">
          <w:rPr>
            <w:noProof/>
          </w:rPr>
          <w:t>i</w:t>
        </w:r>
        <w:r>
          <w:rPr>
            <w:noProof/>
          </w:rPr>
          <w:fldChar w:fldCharType="end"/>
        </w:r>
      </w:p>
    </w:sdtContent>
  </w:sdt>
  <w:p w14:paraId="79BC83EF" w14:textId="77777777" w:rsidR="008132BD" w:rsidRDefault="00813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39314"/>
      <w:docPartObj>
        <w:docPartGallery w:val="Page Numbers (Bottom of Page)"/>
        <w:docPartUnique/>
      </w:docPartObj>
    </w:sdtPr>
    <w:sdtEndPr/>
    <w:sdtContent>
      <w:p w14:paraId="365F0AC3" w14:textId="77777777" w:rsidR="008132BD" w:rsidRDefault="008132BD">
        <w:pPr>
          <w:pStyle w:val="Footer"/>
          <w:jc w:val="center"/>
        </w:pPr>
        <w:r>
          <w:fldChar w:fldCharType="begin"/>
        </w:r>
        <w:r>
          <w:instrText xml:space="preserve"> PAGE   \* MERGEFORMAT </w:instrText>
        </w:r>
        <w:r>
          <w:fldChar w:fldCharType="separate"/>
        </w:r>
        <w:r w:rsidR="00AA29BE">
          <w:rPr>
            <w:noProof/>
          </w:rPr>
          <w:t>11</w:t>
        </w:r>
        <w:r>
          <w:rPr>
            <w:noProof/>
          </w:rPr>
          <w:fldChar w:fldCharType="end"/>
        </w:r>
      </w:p>
    </w:sdtContent>
  </w:sdt>
  <w:p w14:paraId="772CA012" w14:textId="77777777" w:rsidR="008132BD" w:rsidRPr="004649FB" w:rsidRDefault="008132BD" w:rsidP="0046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4F00" w14:textId="77777777" w:rsidR="008132BD" w:rsidRDefault="008132BD" w:rsidP="00D30809">
      <w:r>
        <w:separator/>
      </w:r>
    </w:p>
  </w:footnote>
  <w:footnote w:type="continuationSeparator" w:id="0">
    <w:p w14:paraId="6A242B43" w14:textId="77777777" w:rsidR="008132BD" w:rsidRDefault="008132BD" w:rsidP="00D3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35B93"/>
    <w:multiLevelType w:val="hybridMultilevel"/>
    <w:tmpl w:val="39EA4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F732FC"/>
    <w:multiLevelType w:val="hybridMultilevel"/>
    <w:tmpl w:val="4500A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4F74D6"/>
    <w:multiLevelType w:val="hybridMultilevel"/>
    <w:tmpl w:val="4EC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4F3856"/>
    <w:multiLevelType w:val="hybridMultilevel"/>
    <w:tmpl w:val="C5B06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FE3ACC"/>
    <w:multiLevelType w:val="hybridMultilevel"/>
    <w:tmpl w:val="DF763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114264"/>
    <w:multiLevelType w:val="hybridMultilevel"/>
    <w:tmpl w:val="8A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05"/>
    <w:rsid w:val="0002757B"/>
    <w:rsid w:val="000319C5"/>
    <w:rsid w:val="000A0F78"/>
    <w:rsid w:val="000D630C"/>
    <w:rsid w:val="0011130B"/>
    <w:rsid w:val="00113EC5"/>
    <w:rsid w:val="00114C9D"/>
    <w:rsid w:val="00124BCE"/>
    <w:rsid w:val="00125616"/>
    <w:rsid w:val="0012598F"/>
    <w:rsid w:val="001261A7"/>
    <w:rsid w:val="00126BE7"/>
    <w:rsid w:val="001346E5"/>
    <w:rsid w:val="00135B05"/>
    <w:rsid w:val="00151215"/>
    <w:rsid w:val="00152A07"/>
    <w:rsid w:val="00172686"/>
    <w:rsid w:val="001923A7"/>
    <w:rsid w:val="001942C3"/>
    <w:rsid w:val="001C588F"/>
    <w:rsid w:val="001E686A"/>
    <w:rsid w:val="00202720"/>
    <w:rsid w:val="00223C49"/>
    <w:rsid w:val="00227029"/>
    <w:rsid w:val="00232FDA"/>
    <w:rsid w:val="00233BA0"/>
    <w:rsid w:val="00233E7D"/>
    <w:rsid w:val="00250BC1"/>
    <w:rsid w:val="00267ED6"/>
    <w:rsid w:val="00292A02"/>
    <w:rsid w:val="002A2365"/>
    <w:rsid w:val="002A49E3"/>
    <w:rsid w:val="002F0A11"/>
    <w:rsid w:val="003168D9"/>
    <w:rsid w:val="0033795D"/>
    <w:rsid w:val="00362665"/>
    <w:rsid w:val="00383FE0"/>
    <w:rsid w:val="003C5D9A"/>
    <w:rsid w:val="003D57DF"/>
    <w:rsid w:val="003F7CD3"/>
    <w:rsid w:val="00421B74"/>
    <w:rsid w:val="00424760"/>
    <w:rsid w:val="00425A3F"/>
    <w:rsid w:val="00452A3A"/>
    <w:rsid w:val="004558B5"/>
    <w:rsid w:val="00461A14"/>
    <w:rsid w:val="004649FB"/>
    <w:rsid w:val="004D4B82"/>
    <w:rsid w:val="00504594"/>
    <w:rsid w:val="00505D60"/>
    <w:rsid w:val="0054421A"/>
    <w:rsid w:val="00550662"/>
    <w:rsid w:val="005556CA"/>
    <w:rsid w:val="00571F2C"/>
    <w:rsid w:val="00576340"/>
    <w:rsid w:val="005B2B41"/>
    <w:rsid w:val="00600122"/>
    <w:rsid w:val="00600464"/>
    <w:rsid w:val="0061157D"/>
    <w:rsid w:val="00614EA0"/>
    <w:rsid w:val="00630B1F"/>
    <w:rsid w:val="00637AA5"/>
    <w:rsid w:val="00654F3A"/>
    <w:rsid w:val="00675CCD"/>
    <w:rsid w:val="00681A3B"/>
    <w:rsid w:val="00695DC9"/>
    <w:rsid w:val="006E0902"/>
    <w:rsid w:val="0073163E"/>
    <w:rsid w:val="00734525"/>
    <w:rsid w:val="007375CC"/>
    <w:rsid w:val="00771E9D"/>
    <w:rsid w:val="007C742A"/>
    <w:rsid w:val="007F05DE"/>
    <w:rsid w:val="007F7118"/>
    <w:rsid w:val="00810A66"/>
    <w:rsid w:val="00811FE6"/>
    <w:rsid w:val="008132BD"/>
    <w:rsid w:val="00815CA4"/>
    <w:rsid w:val="00841F18"/>
    <w:rsid w:val="00851EAC"/>
    <w:rsid w:val="00861B8D"/>
    <w:rsid w:val="008701E9"/>
    <w:rsid w:val="008D05AB"/>
    <w:rsid w:val="009013AE"/>
    <w:rsid w:val="00935DFF"/>
    <w:rsid w:val="009579F4"/>
    <w:rsid w:val="009612E6"/>
    <w:rsid w:val="00961CD9"/>
    <w:rsid w:val="009821D0"/>
    <w:rsid w:val="0098291D"/>
    <w:rsid w:val="009C2A76"/>
    <w:rsid w:val="009C4715"/>
    <w:rsid w:val="009C78CD"/>
    <w:rsid w:val="009D5AA8"/>
    <w:rsid w:val="009E4D8D"/>
    <w:rsid w:val="009E79B2"/>
    <w:rsid w:val="00A01D29"/>
    <w:rsid w:val="00A01D3B"/>
    <w:rsid w:val="00A14609"/>
    <w:rsid w:val="00A4514B"/>
    <w:rsid w:val="00A47463"/>
    <w:rsid w:val="00A533C5"/>
    <w:rsid w:val="00A54C6E"/>
    <w:rsid w:val="00A96132"/>
    <w:rsid w:val="00AA1D56"/>
    <w:rsid w:val="00AA29BE"/>
    <w:rsid w:val="00AF5895"/>
    <w:rsid w:val="00B00084"/>
    <w:rsid w:val="00B26936"/>
    <w:rsid w:val="00B66D3A"/>
    <w:rsid w:val="00B7296F"/>
    <w:rsid w:val="00B83552"/>
    <w:rsid w:val="00B84F5C"/>
    <w:rsid w:val="00B9027E"/>
    <w:rsid w:val="00B92294"/>
    <w:rsid w:val="00B938FA"/>
    <w:rsid w:val="00BA3647"/>
    <w:rsid w:val="00BB3E27"/>
    <w:rsid w:val="00BC0966"/>
    <w:rsid w:val="00C11686"/>
    <w:rsid w:val="00C11BFE"/>
    <w:rsid w:val="00C14E94"/>
    <w:rsid w:val="00C2086F"/>
    <w:rsid w:val="00C21D44"/>
    <w:rsid w:val="00C40ADF"/>
    <w:rsid w:val="00C42EFD"/>
    <w:rsid w:val="00C674F2"/>
    <w:rsid w:val="00C81FFE"/>
    <w:rsid w:val="00C9419C"/>
    <w:rsid w:val="00CA3848"/>
    <w:rsid w:val="00CA6109"/>
    <w:rsid w:val="00CA7F18"/>
    <w:rsid w:val="00CB26E9"/>
    <w:rsid w:val="00CD3A37"/>
    <w:rsid w:val="00CF3FE4"/>
    <w:rsid w:val="00CF43C6"/>
    <w:rsid w:val="00D0192D"/>
    <w:rsid w:val="00D1756B"/>
    <w:rsid w:val="00D30809"/>
    <w:rsid w:val="00D3089A"/>
    <w:rsid w:val="00D3200A"/>
    <w:rsid w:val="00D40C8B"/>
    <w:rsid w:val="00D562A4"/>
    <w:rsid w:val="00D62582"/>
    <w:rsid w:val="00D6523A"/>
    <w:rsid w:val="00D77402"/>
    <w:rsid w:val="00D775DF"/>
    <w:rsid w:val="00DA1351"/>
    <w:rsid w:val="00DA6183"/>
    <w:rsid w:val="00DB0A16"/>
    <w:rsid w:val="00DB54DB"/>
    <w:rsid w:val="00DD4512"/>
    <w:rsid w:val="00DF3616"/>
    <w:rsid w:val="00E347E3"/>
    <w:rsid w:val="00E41D97"/>
    <w:rsid w:val="00E5778A"/>
    <w:rsid w:val="00E70E9A"/>
    <w:rsid w:val="00E76279"/>
    <w:rsid w:val="00E769E7"/>
    <w:rsid w:val="00E942E8"/>
    <w:rsid w:val="00EA60BF"/>
    <w:rsid w:val="00EB350D"/>
    <w:rsid w:val="00EB4B62"/>
    <w:rsid w:val="00ED2413"/>
    <w:rsid w:val="00ED55CA"/>
    <w:rsid w:val="00EE391B"/>
    <w:rsid w:val="00F04B7D"/>
    <w:rsid w:val="00F573A5"/>
    <w:rsid w:val="00F64CE8"/>
    <w:rsid w:val="00F856F7"/>
    <w:rsid w:val="00F85EFA"/>
    <w:rsid w:val="00FA52EE"/>
    <w:rsid w:val="00FB6D9E"/>
    <w:rsid w:val="00FC44C1"/>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C4E22B"/>
  <w15:docId w15:val="{9C492145-CDB4-4175-A23B-2E1961FC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 w:type="table" w:styleId="TableGrid">
    <w:name w:val="Table Grid"/>
    <w:basedOn w:val="TableNormal"/>
    <w:uiPriority w:val="59"/>
    <w:rsid w:val="00E70E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533C5"/>
    <w:rPr>
      <w:rFonts w:ascii="Consolas" w:eastAsia="Calibri" w:hAnsi="Consolas" w:cs="Arial"/>
      <w:sz w:val="21"/>
      <w:szCs w:val="21"/>
    </w:rPr>
  </w:style>
  <w:style w:type="character" w:customStyle="1" w:styleId="PlainTextChar">
    <w:name w:val="Plain Text Char"/>
    <w:basedOn w:val="DefaultParagraphFont"/>
    <w:link w:val="PlainText"/>
    <w:uiPriority w:val="99"/>
    <w:rsid w:val="00A533C5"/>
    <w:rPr>
      <w:rFonts w:ascii="Consolas" w:eastAsia="Calibri" w:hAnsi="Consolas" w:cs="Arial"/>
      <w:sz w:val="21"/>
      <w:szCs w:val="21"/>
    </w:rPr>
  </w:style>
  <w:style w:type="paragraph" w:styleId="CommentSubject">
    <w:name w:val="annotation subject"/>
    <w:basedOn w:val="CommentText"/>
    <w:next w:val="CommentText"/>
    <w:link w:val="CommentSubjectChar"/>
    <w:uiPriority w:val="99"/>
    <w:semiHidden/>
    <w:unhideWhenUsed/>
    <w:rsid w:val="00CF3FE4"/>
    <w:rPr>
      <w:b/>
      <w:bCs/>
    </w:rPr>
  </w:style>
  <w:style w:type="character" w:customStyle="1" w:styleId="CommentSubjectChar">
    <w:name w:val="Comment Subject Char"/>
    <w:basedOn w:val="CommentTextChar"/>
    <w:link w:val="CommentSubject"/>
    <w:uiPriority w:val="99"/>
    <w:semiHidden/>
    <w:rsid w:val="00CF3FE4"/>
    <w:rPr>
      <w:rFonts w:ascii="Times New Roman" w:eastAsia="Times New Roman" w:hAnsi="Times New Roman" w:cs="Times New Roman"/>
      <w:b/>
      <w:bCs/>
      <w:sz w:val="20"/>
      <w:szCs w:val="20"/>
    </w:rPr>
  </w:style>
  <w:style w:type="character" w:styleId="Emphasis">
    <w:name w:val="Emphasis"/>
    <w:basedOn w:val="DefaultParagraphFont"/>
    <w:uiPriority w:val="20"/>
    <w:qFormat/>
    <w:rsid w:val="009C7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46023">
      <w:bodyDiv w:val="1"/>
      <w:marLeft w:val="0"/>
      <w:marRight w:val="0"/>
      <w:marTop w:val="0"/>
      <w:marBottom w:val="0"/>
      <w:divBdr>
        <w:top w:val="none" w:sz="0" w:space="0" w:color="auto"/>
        <w:left w:val="none" w:sz="0" w:space="0" w:color="auto"/>
        <w:bottom w:val="none" w:sz="0" w:space="0" w:color="auto"/>
        <w:right w:val="none" w:sz="0" w:space="0" w:color="auto"/>
      </w:divBdr>
    </w:div>
    <w:div w:id="840700371">
      <w:bodyDiv w:val="1"/>
      <w:marLeft w:val="0"/>
      <w:marRight w:val="0"/>
      <w:marTop w:val="0"/>
      <w:marBottom w:val="0"/>
      <w:divBdr>
        <w:top w:val="none" w:sz="0" w:space="0" w:color="auto"/>
        <w:left w:val="none" w:sz="0" w:space="0" w:color="auto"/>
        <w:bottom w:val="none" w:sz="0" w:space="0" w:color="auto"/>
        <w:right w:val="none" w:sz="0" w:space="0" w:color="auto"/>
      </w:divBdr>
    </w:div>
    <w:div w:id="20471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ynnsa@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dc.gov/mmwr/preview/mmwrhtml/rr6303a1.htm?s_cid=rr6303a1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thornburg</dc:creator>
  <cp:lastModifiedBy>Thornburg, Vanessa E.</cp:lastModifiedBy>
  <cp:revision>12</cp:revision>
  <cp:lastPrinted>2015-04-29T13:48:00Z</cp:lastPrinted>
  <dcterms:created xsi:type="dcterms:W3CDTF">2016-02-19T15:24:00Z</dcterms:created>
  <dcterms:modified xsi:type="dcterms:W3CDTF">2016-03-10T22:07:00Z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