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DD218" w14:textId="77777777" w:rsidR="00E312D2" w:rsidRDefault="00E312D2" w:rsidP="002A11DC">
      <w:pPr>
        <w:widowControl w:val="0"/>
        <w:adjustRightInd w:val="0"/>
        <w:snapToGrid w:val="0"/>
        <w:jc w:val="center"/>
        <w:rPr>
          <w:b/>
        </w:rPr>
      </w:pPr>
    </w:p>
    <w:p w14:paraId="05B1B4D8" w14:textId="77777777" w:rsidR="00E312D2" w:rsidRDefault="00E312D2" w:rsidP="002A11DC">
      <w:pPr>
        <w:widowControl w:val="0"/>
        <w:adjustRightInd w:val="0"/>
        <w:snapToGrid w:val="0"/>
        <w:jc w:val="center"/>
        <w:rPr>
          <w:b/>
        </w:rPr>
      </w:pPr>
    </w:p>
    <w:p w14:paraId="0D7378F2" w14:textId="77777777" w:rsidR="00E312D2" w:rsidRPr="00E16719" w:rsidRDefault="00E312D2" w:rsidP="002A11DC">
      <w:pPr>
        <w:widowControl w:val="0"/>
        <w:adjustRightInd w:val="0"/>
        <w:snapToGrid w:val="0"/>
        <w:jc w:val="center"/>
        <w:rPr>
          <w:b/>
        </w:rPr>
      </w:pPr>
      <w:r w:rsidRPr="00E16719">
        <w:rPr>
          <w:b/>
        </w:rPr>
        <w:t xml:space="preserve">Supporting Statement A for </w:t>
      </w:r>
    </w:p>
    <w:p w14:paraId="21F3916A" w14:textId="77777777" w:rsidR="007E0607" w:rsidRPr="00E16719" w:rsidRDefault="007E0607" w:rsidP="002A11DC">
      <w:pPr>
        <w:widowControl w:val="0"/>
        <w:adjustRightInd w:val="0"/>
        <w:snapToGrid w:val="0"/>
        <w:jc w:val="center"/>
        <w:rPr>
          <w:b/>
        </w:rPr>
      </w:pPr>
    </w:p>
    <w:p w14:paraId="181E5D83" w14:textId="77777777" w:rsidR="00F31D89" w:rsidRPr="00E16719" w:rsidRDefault="00F31D89" w:rsidP="00F31D89">
      <w:pPr>
        <w:widowControl w:val="0"/>
        <w:adjustRightInd w:val="0"/>
        <w:snapToGrid w:val="0"/>
        <w:jc w:val="center"/>
        <w:rPr>
          <w:b/>
        </w:rPr>
      </w:pPr>
    </w:p>
    <w:p w14:paraId="5FF62170" w14:textId="08008534" w:rsidR="00E312D2" w:rsidRPr="00E16719" w:rsidRDefault="00F31D89" w:rsidP="00F31D89">
      <w:pPr>
        <w:widowControl w:val="0"/>
        <w:adjustRightInd w:val="0"/>
        <w:snapToGrid w:val="0"/>
        <w:jc w:val="center"/>
        <w:rPr>
          <w:b/>
        </w:rPr>
      </w:pPr>
      <w:r w:rsidRPr="00E16719">
        <w:rPr>
          <w:b/>
        </w:rPr>
        <w:t>Characterization of risk of HIV and HIV outcomes in the Brazilian Sickle Cell Disease (SCD) population and comparison of SCD outcomes between HIV sero-positive and negative SCD</w:t>
      </w:r>
      <w:r w:rsidR="003A0658" w:rsidRPr="00E16719">
        <w:rPr>
          <w:b/>
        </w:rPr>
        <w:t xml:space="preserve"> patients</w:t>
      </w:r>
    </w:p>
    <w:p w14:paraId="006D9E08" w14:textId="77777777" w:rsidR="00CC5650" w:rsidRPr="00E16719" w:rsidRDefault="00CC5650" w:rsidP="00F31D89">
      <w:pPr>
        <w:widowControl w:val="0"/>
        <w:adjustRightInd w:val="0"/>
        <w:snapToGrid w:val="0"/>
        <w:jc w:val="center"/>
        <w:rPr>
          <w:b/>
        </w:rPr>
      </w:pPr>
    </w:p>
    <w:p w14:paraId="25E6330F" w14:textId="77777777" w:rsidR="007E0607" w:rsidRPr="00E16719" w:rsidRDefault="007E0607" w:rsidP="000A1A0C">
      <w:pPr>
        <w:widowControl w:val="0"/>
        <w:adjustRightInd w:val="0"/>
        <w:snapToGrid w:val="0"/>
        <w:jc w:val="center"/>
        <w:rPr>
          <w:b/>
          <w:sz w:val="22"/>
          <w:szCs w:val="22"/>
        </w:rPr>
      </w:pPr>
    </w:p>
    <w:p w14:paraId="0B4198B0" w14:textId="77777777" w:rsidR="007E0607" w:rsidRPr="00E16719" w:rsidRDefault="007E0607" w:rsidP="002A11DC">
      <w:pPr>
        <w:widowControl w:val="0"/>
        <w:adjustRightInd w:val="0"/>
        <w:snapToGrid w:val="0"/>
        <w:jc w:val="center"/>
        <w:rPr>
          <w:b/>
        </w:rPr>
      </w:pPr>
    </w:p>
    <w:p w14:paraId="6E8B45AE" w14:textId="77777777" w:rsidR="000A1A0C" w:rsidRPr="00E16719" w:rsidRDefault="000A1A0C" w:rsidP="002A11DC">
      <w:pPr>
        <w:widowControl w:val="0"/>
        <w:adjustRightInd w:val="0"/>
        <w:snapToGrid w:val="0"/>
        <w:jc w:val="center"/>
        <w:rPr>
          <w:b/>
        </w:rPr>
      </w:pPr>
    </w:p>
    <w:p w14:paraId="6FFD0D12" w14:textId="01743AAB" w:rsidR="008437B1" w:rsidRPr="00E16719" w:rsidRDefault="00BA1D9D" w:rsidP="00301D13">
      <w:pPr>
        <w:widowControl w:val="0"/>
        <w:adjustRightInd w:val="0"/>
        <w:snapToGrid w:val="0"/>
        <w:jc w:val="center"/>
        <w:rPr>
          <w:b/>
          <w:bCs/>
        </w:rPr>
      </w:pPr>
      <w:r>
        <w:rPr>
          <w:b/>
          <w:bCs/>
        </w:rPr>
        <w:t>March 2016</w:t>
      </w:r>
    </w:p>
    <w:p w14:paraId="59EB6080" w14:textId="77777777" w:rsidR="0030089D" w:rsidRPr="00E16719" w:rsidRDefault="0030089D" w:rsidP="002A11DC">
      <w:pPr>
        <w:widowControl w:val="0"/>
        <w:adjustRightInd w:val="0"/>
        <w:snapToGrid w:val="0"/>
        <w:jc w:val="center"/>
      </w:pPr>
    </w:p>
    <w:p w14:paraId="35E1FD2C" w14:textId="77777777" w:rsidR="000A1A0C" w:rsidRPr="00E16719" w:rsidRDefault="000A1A0C" w:rsidP="002A11DC">
      <w:pPr>
        <w:widowControl w:val="0"/>
        <w:adjustRightInd w:val="0"/>
        <w:snapToGrid w:val="0"/>
        <w:jc w:val="center"/>
      </w:pPr>
    </w:p>
    <w:p w14:paraId="39BA3F53" w14:textId="77777777" w:rsidR="000A1A0C" w:rsidRPr="00E16719" w:rsidRDefault="000A1A0C" w:rsidP="002A11DC">
      <w:pPr>
        <w:widowControl w:val="0"/>
        <w:adjustRightInd w:val="0"/>
        <w:snapToGrid w:val="0"/>
        <w:jc w:val="center"/>
      </w:pPr>
    </w:p>
    <w:p w14:paraId="391C31CA" w14:textId="77777777" w:rsidR="008437B1" w:rsidRPr="00E16719" w:rsidRDefault="008437B1" w:rsidP="002A11DC">
      <w:pPr>
        <w:widowControl w:val="0"/>
        <w:adjustRightInd w:val="0"/>
        <w:snapToGrid w:val="0"/>
        <w:jc w:val="center"/>
      </w:pPr>
      <w:r w:rsidRPr="00E16719">
        <w:t>Sponsored by:</w:t>
      </w:r>
    </w:p>
    <w:p w14:paraId="09AED5AC" w14:textId="77777777" w:rsidR="008437B1" w:rsidRPr="00E16719" w:rsidRDefault="008437B1" w:rsidP="002A11DC">
      <w:pPr>
        <w:widowControl w:val="0"/>
        <w:adjustRightInd w:val="0"/>
        <w:snapToGrid w:val="0"/>
        <w:jc w:val="center"/>
      </w:pPr>
    </w:p>
    <w:p w14:paraId="1347DF4F" w14:textId="77777777" w:rsidR="008437B1" w:rsidRPr="00E16719" w:rsidRDefault="008437B1" w:rsidP="00816B03">
      <w:pPr>
        <w:widowControl w:val="0"/>
        <w:adjustRightInd w:val="0"/>
        <w:snapToGrid w:val="0"/>
        <w:jc w:val="right"/>
      </w:pPr>
      <w:r w:rsidRPr="00E16719">
        <w:t>The National Heart, Lung, and Blood Institute</w:t>
      </w:r>
    </w:p>
    <w:p w14:paraId="474E998A" w14:textId="77777777" w:rsidR="008437B1" w:rsidRPr="00E16719" w:rsidRDefault="00861B0F" w:rsidP="00816B03">
      <w:pPr>
        <w:widowControl w:val="0"/>
        <w:adjustRightInd w:val="0"/>
        <w:snapToGrid w:val="0"/>
        <w:jc w:val="right"/>
      </w:pPr>
      <w:r w:rsidRPr="00E16719">
        <w:t>Blood Epidemiology and Clinical Therapeutics</w:t>
      </w:r>
      <w:r w:rsidR="00A738FE" w:rsidRPr="00E16719">
        <w:t xml:space="preserve"> </w:t>
      </w:r>
      <w:r w:rsidR="008437B1" w:rsidRPr="00E16719">
        <w:t>Branch</w:t>
      </w:r>
    </w:p>
    <w:p w14:paraId="2D6513AF" w14:textId="77777777" w:rsidR="008437B1" w:rsidRPr="00E16719" w:rsidRDefault="008437B1" w:rsidP="00816B03">
      <w:pPr>
        <w:widowControl w:val="0"/>
        <w:adjustRightInd w:val="0"/>
        <w:snapToGrid w:val="0"/>
        <w:jc w:val="right"/>
      </w:pPr>
      <w:r w:rsidRPr="00E16719">
        <w:t>National Institute</w:t>
      </w:r>
      <w:r w:rsidR="00A738FE" w:rsidRPr="00E16719">
        <w:t>s</w:t>
      </w:r>
      <w:r w:rsidRPr="00E16719">
        <w:t xml:space="preserve"> of Health</w:t>
      </w:r>
    </w:p>
    <w:p w14:paraId="19B0DE2B" w14:textId="77777777" w:rsidR="008437B1" w:rsidRPr="00E16719" w:rsidRDefault="008437B1" w:rsidP="00816B03">
      <w:pPr>
        <w:widowControl w:val="0"/>
        <w:adjustRightInd w:val="0"/>
        <w:snapToGrid w:val="0"/>
        <w:jc w:val="right"/>
      </w:pPr>
    </w:p>
    <w:p w14:paraId="3147D6F0" w14:textId="77777777" w:rsidR="008437B1" w:rsidRPr="00E16719" w:rsidRDefault="008437B1" w:rsidP="002A11DC">
      <w:pPr>
        <w:widowControl w:val="0"/>
        <w:adjustRightInd w:val="0"/>
        <w:snapToGrid w:val="0"/>
        <w:jc w:val="center"/>
      </w:pPr>
    </w:p>
    <w:p w14:paraId="2C0D7B52" w14:textId="77777777" w:rsidR="008437B1" w:rsidRPr="00E16719" w:rsidRDefault="008437B1" w:rsidP="002A11DC">
      <w:pPr>
        <w:widowControl w:val="0"/>
        <w:adjustRightInd w:val="0"/>
        <w:snapToGrid w:val="0"/>
        <w:jc w:val="center"/>
      </w:pPr>
    </w:p>
    <w:p w14:paraId="1C40D33B" w14:textId="77777777" w:rsidR="008437B1" w:rsidRPr="00E16719" w:rsidRDefault="008437B1" w:rsidP="002A11DC">
      <w:pPr>
        <w:widowControl w:val="0"/>
        <w:adjustRightInd w:val="0"/>
        <w:snapToGrid w:val="0"/>
        <w:jc w:val="center"/>
      </w:pPr>
    </w:p>
    <w:p w14:paraId="7DF43B1F" w14:textId="77777777" w:rsidR="008437B1" w:rsidRPr="00E16719" w:rsidRDefault="008437B1" w:rsidP="002A11DC">
      <w:pPr>
        <w:widowControl w:val="0"/>
        <w:adjustRightInd w:val="0"/>
        <w:snapToGrid w:val="0"/>
        <w:jc w:val="center"/>
      </w:pPr>
    </w:p>
    <w:p w14:paraId="1D8D1969" w14:textId="77777777" w:rsidR="008437B1" w:rsidRPr="00E16719" w:rsidRDefault="008437B1" w:rsidP="002A11DC">
      <w:pPr>
        <w:widowControl w:val="0"/>
        <w:adjustRightInd w:val="0"/>
        <w:snapToGrid w:val="0"/>
        <w:jc w:val="center"/>
      </w:pPr>
    </w:p>
    <w:p w14:paraId="4914A271" w14:textId="77777777" w:rsidR="008437B1" w:rsidRPr="00E16719" w:rsidRDefault="008437B1" w:rsidP="002A11DC">
      <w:pPr>
        <w:widowControl w:val="0"/>
        <w:adjustRightInd w:val="0"/>
        <w:snapToGrid w:val="0"/>
        <w:jc w:val="center"/>
      </w:pPr>
    </w:p>
    <w:p w14:paraId="37A8A5F6" w14:textId="77777777" w:rsidR="008437B1" w:rsidRPr="00E16719" w:rsidRDefault="008437B1" w:rsidP="002A11DC">
      <w:pPr>
        <w:widowControl w:val="0"/>
        <w:adjustRightInd w:val="0"/>
        <w:snapToGrid w:val="0"/>
        <w:jc w:val="center"/>
      </w:pPr>
    </w:p>
    <w:p w14:paraId="5BF3B132" w14:textId="77777777" w:rsidR="007E0607" w:rsidRPr="00E16719" w:rsidRDefault="007E0607" w:rsidP="007E0607">
      <w:pPr>
        <w:widowControl w:val="0"/>
        <w:adjustRightInd w:val="0"/>
        <w:snapToGrid w:val="0"/>
      </w:pPr>
      <w:r w:rsidRPr="00E16719">
        <w:t xml:space="preserve">Project Officer/ICD Contact: </w:t>
      </w:r>
      <w:r w:rsidRPr="00E16719">
        <w:tab/>
      </w:r>
      <w:r w:rsidRPr="00E16719">
        <w:tab/>
        <w:t>Simone Glynn, MD</w:t>
      </w:r>
    </w:p>
    <w:p w14:paraId="2EE1BB68" w14:textId="77777777" w:rsidR="007E0607" w:rsidRPr="00E16719" w:rsidRDefault="007E0607" w:rsidP="007E0607">
      <w:pPr>
        <w:widowControl w:val="0"/>
        <w:adjustRightInd w:val="0"/>
        <w:snapToGrid w:val="0"/>
        <w:jc w:val="both"/>
      </w:pPr>
      <w:r w:rsidRPr="00E16719">
        <w:tab/>
      </w:r>
      <w:r w:rsidRPr="00E16719">
        <w:tab/>
      </w:r>
      <w:r w:rsidRPr="00E16719">
        <w:tab/>
      </w:r>
      <w:r w:rsidRPr="00E16719">
        <w:tab/>
      </w:r>
      <w:r w:rsidRPr="00E16719">
        <w:tab/>
      </w:r>
      <w:r w:rsidR="00861B0F" w:rsidRPr="00E16719">
        <w:t>Blood Epidemiology and Clinical Therapeutics</w:t>
      </w:r>
      <w:r w:rsidRPr="00E16719">
        <w:t xml:space="preserve"> Branch</w:t>
      </w:r>
    </w:p>
    <w:p w14:paraId="24DF625E"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Division of Blood Diseases and Resources</w:t>
      </w:r>
    </w:p>
    <w:p w14:paraId="28CD84F8"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National Heart, Lung, and Blood Institute</w:t>
      </w:r>
    </w:p>
    <w:p w14:paraId="6F72E93F"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Two Rockledge Center</w:t>
      </w:r>
    </w:p>
    <w:p w14:paraId="266AF6D9"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Suite 9142</w:t>
      </w:r>
    </w:p>
    <w:p w14:paraId="708C981A"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6701 Rockledge Drive</w:t>
      </w:r>
    </w:p>
    <w:p w14:paraId="5CB42344"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Bethesda, MD20892</w:t>
      </w:r>
    </w:p>
    <w:p w14:paraId="05B9D16E"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Phone: (301) 435-0065</w:t>
      </w:r>
    </w:p>
    <w:p w14:paraId="44A427C0"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Fax: (301) 480-0868</w:t>
      </w:r>
    </w:p>
    <w:p w14:paraId="6895D2D4" w14:textId="77777777" w:rsidR="007E0607" w:rsidRPr="00E16719" w:rsidRDefault="007E0607" w:rsidP="007E0607">
      <w:pPr>
        <w:widowControl w:val="0"/>
        <w:adjustRightInd w:val="0"/>
        <w:snapToGrid w:val="0"/>
      </w:pPr>
      <w:r w:rsidRPr="00E16719">
        <w:tab/>
      </w:r>
      <w:r w:rsidRPr="00E16719">
        <w:tab/>
      </w:r>
      <w:r w:rsidRPr="00E16719">
        <w:tab/>
      </w:r>
      <w:r w:rsidRPr="00E16719">
        <w:tab/>
      </w:r>
      <w:r w:rsidRPr="00E16719">
        <w:tab/>
        <w:t xml:space="preserve">Email: </w:t>
      </w:r>
      <w:hyperlink r:id="rId8" w:history="1">
        <w:r w:rsidRPr="00E16719">
          <w:rPr>
            <w:rStyle w:val="Hyperlink"/>
          </w:rPr>
          <w:t>glynnsa@nhlbi.nih.gov</w:t>
        </w:r>
      </w:hyperlink>
    </w:p>
    <w:p w14:paraId="56C6064D" w14:textId="77777777" w:rsidR="007E61A1" w:rsidRPr="00E16719" w:rsidRDefault="007E61A1">
      <w:pPr>
        <w:rPr>
          <w:b/>
        </w:rPr>
      </w:pPr>
      <w:r w:rsidRPr="00E16719">
        <w:rPr>
          <w:b/>
        </w:rPr>
        <w:br w:type="page"/>
      </w:r>
    </w:p>
    <w:p w14:paraId="05EC9869" w14:textId="77777777" w:rsidR="008437B1" w:rsidRPr="00E16719" w:rsidRDefault="008437B1" w:rsidP="002A11DC">
      <w:pPr>
        <w:widowControl w:val="0"/>
        <w:adjustRightInd w:val="0"/>
        <w:snapToGrid w:val="0"/>
        <w:jc w:val="center"/>
        <w:rPr>
          <w:b/>
        </w:rPr>
      </w:pPr>
      <w:r w:rsidRPr="00E16719">
        <w:rPr>
          <w:b/>
        </w:rPr>
        <w:lastRenderedPageBreak/>
        <w:t>TABLE OF CONTENTS</w:t>
      </w:r>
    </w:p>
    <w:p w14:paraId="609F9EDA" w14:textId="77777777" w:rsidR="008437B1" w:rsidRPr="00E16719" w:rsidRDefault="008437B1" w:rsidP="002A11DC">
      <w:pPr>
        <w:widowControl w:val="0"/>
        <w:adjustRightInd w:val="0"/>
        <w:snapToGrid w:val="0"/>
        <w:jc w:val="center"/>
        <w:rPr>
          <w:b/>
        </w:rPr>
      </w:pPr>
    </w:p>
    <w:p w14:paraId="669DFF90" w14:textId="77777777" w:rsidR="008437B1" w:rsidRPr="00E16719" w:rsidRDefault="00513F5F" w:rsidP="002A11DC">
      <w:pPr>
        <w:pStyle w:val="TOC3"/>
        <w:widowControl w:val="0"/>
        <w:adjustRightInd w:val="0"/>
        <w:snapToGrid w:val="0"/>
        <w:spacing w:line="240" w:lineRule="auto"/>
        <w:rPr>
          <w:sz w:val="24"/>
          <w:szCs w:val="24"/>
        </w:rPr>
      </w:pPr>
      <w:r w:rsidRPr="00E16719">
        <w:rPr>
          <w:b/>
          <w:sz w:val="24"/>
          <w:szCs w:val="24"/>
        </w:rPr>
        <w:fldChar w:fldCharType="begin"/>
      </w:r>
      <w:r w:rsidR="008437B1" w:rsidRPr="00E16719">
        <w:rPr>
          <w:b/>
          <w:sz w:val="24"/>
          <w:szCs w:val="24"/>
        </w:rPr>
        <w:instrText xml:space="preserve"> TOC \o "1-3" \h \z \t "E-mail Signature,4,Date,5" </w:instrText>
      </w:r>
      <w:r w:rsidRPr="00E16719">
        <w:rPr>
          <w:b/>
          <w:sz w:val="24"/>
          <w:szCs w:val="24"/>
        </w:rPr>
        <w:fldChar w:fldCharType="separate"/>
      </w:r>
      <w:hyperlink w:anchor="_Toc153351580" w:history="1">
        <w:r w:rsidR="008437B1" w:rsidRPr="00E16719">
          <w:rPr>
            <w:rStyle w:val="Hyperlink"/>
            <w:color w:val="auto"/>
            <w:sz w:val="24"/>
            <w:szCs w:val="24"/>
          </w:rPr>
          <w:t>SUPPORTING STATEMENT</w:t>
        </w:r>
        <w:r w:rsidR="008437B1" w:rsidRPr="00E16719">
          <w:rPr>
            <w:webHidden/>
            <w:sz w:val="24"/>
            <w:szCs w:val="24"/>
          </w:rPr>
          <w:tab/>
        </w:r>
        <w:r w:rsidRPr="00E16719">
          <w:rPr>
            <w:webHidden/>
            <w:sz w:val="24"/>
            <w:szCs w:val="24"/>
          </w:rPr>
          <w:fldChar w:fldCharType="begin"/>
        </w:r>
        <w:r w:rsidR="008437B1" w:rsidRPr="00E16719">
          <w:rPr>
            <w:webHidden/>
            <w:sz w:val="24"/>
            <w:szCs w:val="24"/>
          </w:rPr>
          <w:instrText xml:space="preserve"> PAGEREF _Toc153351580 \h </w:instrText>
        </w:r>
        <w:r w:rsidRPr="00E16719">
          <w:rPr>
            <w:webHidden/>
            <w:sz w:val="24"/>
            <w:szCs w:val="24"/>
          </w:rPr>
        </w:r>
        <w:r w:rsidRPr="00E16719">
          <w:rPr>
            <w:webHidden/>
            <w:sz w:val="24"/>
            <w:szCs w:val="24"/>
          </w:rPr>
          <w:fldChar w:fldCharType="separate"/>
        </w:r>
        <w:r w:rsidR="00E12F33">
          <w:rPr>
            <w:webHidden/>
            <w:sz w:val="24"/>
            <w:szCs w:val="24"/>
          </w:rPr>
          <w:t>1</w:t>
        </w:r>
        <w:r w:rsidRPr="00E16719">
          <w:rPr>
            <w:webHidden/>
            <w:sz w:val="24"/>
            <w:szCs w:val="24"/>
          </w:rPr>
          <w:fldChar w:fldCharType="end"/>
        </w:r>
      </w:hyperlink>
    </w:p>
    <w:p w14:paraId="56622681" w14:textId="77777777" w:rsidR="008437B1" w:rsidRPr="00E16719" w:rsidRDefault="00E12F33" w:rsidP="002A11DC">
      <w:pPr>
        <w:pStyle w:val="TOC3"/>
        <w:widowControl w:val="0"/>
        <w:adjustRightInd w:val="0"/>
        <w:snapToGrid w:val="0"/>
        <w:spacing w:line="240" w:lineRule="auto"/>
        <w:rPr>
          <w:sz w:val="24"/>
          <w:szCs w:val="24"/>
        </w:rPr>
      </w:pPr>
      <w:hyperlink w:anchor="_Toc153351581" w:history="1">
        <w:r w:rsidR="008437B1" w:rsidRPr="00E16719">
          <w:rPr>
            <w:rStyle w:val="Hyperlink"/>
            <w:color w:val="auto"/>
            <w:sz w:val="24"/>
            <w:szCs w:val="24"/>
          </w:rPr>
          <w:t>Introduction and Summary</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_Toc153351581 \h </w:instrText>
        </w:r>
        <w:r w:rsidR="00513F5F" w:rsidRPr="00E16719">
          <w:rPr>
            <w:webHidden/>
            <w:sz w:val="24"/>
            <w:szCs w:val="24"/>
          </w:rPr>
        </w:r>
        <w:r w:rsidR="00513F5F" w:rsidRPr="00E16719">
          <w:rPr>
            <w:webHidden/>
            <w:sz w:val="24"/>
            <w:szCs w:val="24"/>
          </w:rPr>
          <w:fldChar w:fldCharType="separate"/>
        </w:r>
        <w:r>
          <w:rPr>
            <w:webHidden/>
            <w:sz w:val="24"/>
            <w:szCs w:val="24"/>
          </w:rPr>
          <w:t>1</w:t>
        </w:r>
        <w:r w:rsidR="00513F5F" w:rsidRPr="00E16719">
          <w:rPr>
            <w:webHidden/>
            <w:sz w:val="24"/>
            <w:szCs w:val="24"/>
          </w:rPr>
          <w:fldChar w:fldCharType="end"/>
        </w:r>
      </w:hyperlink>
    </w:p>
    <w:p w14:paraId="0E6C11FC" w14:textId="77777777" w:rsidR="008437B1" w:rsidRPr="00E16719" w:rsidRDefault="00E12F33" w:rsidP="002A11DC">
      <w:pPr>
        <w:pStyle w:val="TOC3"/>
        <w:widowControl w:val="0"/>
        <w:adjustRightInd w:val="0"/>
        <w:snapToGrid w:val="0"/>
        <w:spacing w:line="240" w:lineRule="auto"/>
        <w:rPr>
          <w:sz w:val="24"/>
          <w:szCs w:val="24"/>
        </w:rPr>
      </w:pPr>
      <w:hyperlink w:anchor="_Toc153351582" w:history="1">
        <w:r w:rsidR="008437B1" w:rsidRPr="00E16719">
          <w:rPr>
            <w:rStyle w:val="Hyperlink"/>
            <w:color w:val="auto"/>
            <w:sz w:val="24"/>
            <w:szCs w:val="24"/>
          </w:rPr>
          <w:t>A.  Justification</w:t>
        </w:r>
        <w:r w:rsidR="008437B1" w:rsidRPr="00E16719">
          <w:rPr>
            <w:webHidden/>
            <w:sz w:val="24"/>
            <w:szCs w:val="24"/>
          </w:rPr>
          <w:tab/>
          <w:t>………………………………………………………………………........</w:t>
        </w:r>
        <w:r w:rsidR="00513F5F" w:rsidRPr="00E16719">
          <w:rPr>
            <w:webHidden/>
            <w:sz w:val="24"/>
            <w:szCs w:val="24"/>
          </w:rPr>
          <w:fldChar w:fldCharType="begin"/>
        </w:r>
        <w:r w:rsidR="008437B1" w:rsidRPr="00E16719">
          <w:rPr>
            <w:webHidden/>
            <w:sz w:val="24"/>
            <w:szCs w:val="24"/>
          </w:rPr>
          <w:instrText xml:space="preserve"> PAGEREF _Toc153351582 \h </w:instrText>
        </w:r>
        <w:r w:rsidR="00513F5F" w:rsidRPr="00E16719">
          <w:rPr>
            <w:webHidden/>
            <w:sz w:val="24"/>
            <w:szCs w:val="24"/>
          </w:rPr>
        </w:r>
        <w:r w:rsidR="00513F5F" w:rsidRPr="00E16719">
          <w:rPr>
            <w:webHidden/>
            <w:sz w:val="24"/>
            <w:szCs w:val="24"/>
          </w:rPr>
          <w:fldChar w:fldCharType="separate"/>
        </w:r>
        <w:r>
          <w:rPr>
            <w:webHidden/>
            <w:sz w:val="24"/>
            <w:szCs w:val="24"/>
          </w:rPr>
          <w:t>2</w:t>
        </w:r>
        <w:r w:rsidR="00513F5F" w:rsidRPr="00E16719">
          <w:rPr>
            <w:webHidden/>
            <w:sz w:val="24"/>
            <w:szCs w:val="24"/>
          </w:rPr>
          <w:fldChar w:fldCharType="end"/>
        </w:r>
      </w:hyperlink>
    </w:p>
    <w:p w14:paraId="62FAB255" w14:textId="77777777" w:rsidR="008437B1" w:rsidRPr="00E16719" w:rsidRDefault="00E12F33" w:rsidP="002A11DC">
      <w:pPr>
        <w:pStyle w:val="TOC4"/>
        <w:widowControl w:val="0"/>
        <w:adjustRightInd w:val="0"/>
        <w:snapToGrid w:val="0"/>
        <w:spacing w:line="240" w:lineRule="auto"/>
        <w:rPr>
          <w:sz w:val="24"/>
          <w:szCs w:val="24"/>
        </w:rPr>
      </w:pPr>
      <w:hyperlink w:anchor="_Toc153351583" w:history="1">
        <w:r w:rsidR="008437B1" w:rsidRPr="00E16719">
          <w:rPr>
            <w:rStyle w:val="Hyperlink"/>
            <w:color w:val="auto"/>
            <w:sz w:val="24"/>
            <w:szCs w:val="24"/>
          </w:rPr>
          <w:t>A.1.</w:t>
        </w:r>
        <w:r w:rsidR="008437B1" w:rsidRPr="00E16719">
          <w:rPr>
            <w:sz w:val="24"/>
            <w:szCs w:val="24"/>
          </w:rPr>
          <w:tab/>
        </w:r>
        <w:r w:rsidR="008437B1" w:rsidRPr="00E16719">
          <w:rPr>
            <w:rStyle w:val="Hyperlink"/>
            <w:color w:val="auto"/>
            <w:sz w:val="24"/>
            <w:szCs w:val="24"/>
          </w:rPr>
          <w:t>Circumstances Making the Collection of Information Necessary</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_Toc153351583 \h </w:instrText>
        </w:r>
        <w:r w:rsidR="00513F5F" w:rsidRPr="00E16719">
          <w:rPr>
            <w:webHidden/>
            <w:sz w:val="24"/>
            <w:szCs w:val="24"/>
          </w:rPr>
        </w:r>
        <w:r w:rsidR="00513F5F" w:rsidRPr="00E16719">
          <w:rPr>
            <w:webHidden/>
            <w:sz w:val="24"/>
            <w:szCs w:val="24"/>
          </w:rPr>
          <w:fldChar w:fldCharType="separate"/>
        </w:r>
        <w:r>
          <w:rPr>
            <w:webHidden/>
            <w:sz w:val="24"/>
            <w:szCs w:val="24"/>
          </w:rPr>
          <w:t>2</w:t>
        </w:r>
        <w:r w:rsidR="00513F5F" w:rsidRPr="00E16719">
          <w:rPr>
            <w:webHidden/>
            <w:sz w:val="24"/>
            <w:szCs w:val="24"/>
          </w:rPr>
          <w:fldChar w:fldCharType="end"/>
        </w:r>
      </w:hyperlink>
    </w:p>
    <w:p w14:paraId="46985326" w14:textId="77777777" w:rsidR="008437B1" w:rsidRPr="00E16719" w:rsidRDefault="00E12F33" w:rsidP="002A11DC">
      <w:pPr>
        <w:pStyle w:val="TOC4"/>
        <w:widowControl w:val="0"/>
        <w:adjustRightInd w:val="0"/>
        <w:snapToGrid w:val="0"/>
        <w:spacing w:line="240" w:lineRule="auto"/>
        <w:rPr>
          <w:sz w:val="24"/>
          <w:szCs w:val="24"/>
        </w:rPr>
      </w:pPr>
      <w:hyperlink w:anchor="_Toc153351585" w:history="1">
        <w:r w:rsidR="008437B1" w:rsidRPr="00E16719">
          <w:rPr>
            <w:rStyle w:val="Hyperlink"/>
            <w:color w:val="auto"/>
            <w:sz w:val="24"/>
            <w:szCs w:val="24"/>
          </w:rPr>
          <w:t>A.2.</w:t>
        </w:r>
        <w:r w:rsidR="008437B1" w:rsidRPr="00E16719">
          <w:rPr>
            <w:sz w:val="24"/>
            <w:szCs w:val="24"/>
          </w:rPr>
          <w:tab/>
        </w:r>
        <w:r w:rsidR="008437B1" w:rsidRPr="00E16719">
          <w:rPr>
            <w:rStyle w:val="Hyperlink"/>
            <w:color w:val="auto"/>
            <w:sz w:val="24"/>
            <w:szCs w:val="24"/>
          </w:rPr>
          <w:t>Purpose and Use of the Information</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_Toc153351585 \h </w:instrText>
        </w:r>
        <w:r w:rsidR="00513F5F" w:rsidRPr="00E16719">
          <w:rPr>
            <w:webHidden/>
            <w:sz w:val="24"/>
            <w:szCs w:val="24"/>
          </w:rPr>
        </w:r>
        <w:r w:rsidR="00513F5F" w:rsidRPr="00E16719">
          <w:rPr>
            <w:webHidden/>
            <w:sz w:val="24"/>
            <w:szCs w:val="24"/>
          </w:rPr>
          <w:fldChar w:fldCharType="separate"/>
        </w:r>
        <w:r>
          <w:rPr>
            <w:webHidden/>
            <w:sz w:val="24"/>
            <w:szCs w:val="24"/>
          </w:rPr>
          <w:t>3</w:t>
        </w:r>
        <w:r w:rsidR="00513F5F" w:rsidRPr="00E16719">
          <w:rPr>
            <w:webHidden/>
            <w:sz w:val="24"/>
            <w:szCs w:val="24"/>
          </w:rPr>
          <w:fldChar w:fldCharType="end"/>
        </w:r>
      </w:hyperlink>
    </w:p>
    <w:p w14:paraId="5CBAC4B3" w14:textId="77777777" w:rsidR="008437B1" w:rsidRPr="00E16719" w:rsidRDefault="00E12F33" w:rsidP="002A11DC">
      <w:pPr>
        <w:pStyle w:val="TOC4"/>
        <w:widowControl w:val="0"/>
        <w:adjustRightInd w:val="0"/>
        <w:snapToGrid w:val="0"/>
        <w:spacing w:line="240" w:lineRule="auto"/>
        <w:rPr>
          <w:sz w:val="24"/>
          <w:szCs w:val="24"/>
        </w:rPr>
      </w:pPr>
      <w:hyperlink w:anchor="_Toc153351586" w:history="1">
        <w:r w:rsidR="008437B1" w:rsidRPr="00E16719">
          <w:rPr>
            <w:rStyle w:val="Hyperlink"/>
            <w:color w:val="auto"/>
            <w:sz w:val="24"/>
            <w:szCs w:val="24"/>
          </w:rPr>
          <w:t>A.3.</w:t>
        </w:r>
        <w:r w:rsidR="008437B1" w:rsidRPr="00E16719">
          <w:rPr>
            <w:rStyle w:val="Hyperlink"/>
            <w:color w:val="auto"/>
            <w:sz w:val="24"/>
            <w:szCs w:val="24"/>
          </w:rPr>
          <w:tab/>
          <w:t>Use of Information Technology and Burden Reduction</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_Toc153351586 \h </w:instrText>
        </w:r>
        <w:r w:rsidR="00513F5F" w:rsidRPr="00E16719">
          <w:rPr>
            <w:webHidden/>
            <w:sz w:val="24"/>
            <w:szCs w:val="24"/>
          </w:rPr>
        </w:r>
        <w:r w:rsidR="00513F5F" w:rsidRPr="00E16719">
          <w:rPr>
            <w:webHidden/>
            <w:sz w:val="24"/>
            <w:szCs w:val="24"/>
          </w:rPr>
          <w:fldChar w:fldCharType="separate"/>
        </w:r>
        <w:r>
          <w:rPr>
            <w:webHidden/>
            <w:sz w:val="24"/>
            <w:szCs w:val="24"/>
          </w:rPr>
          <w:t>4</w:t>
        </w:r>
        <w:r w:rsidR="00513F5F" w:rsidRPr="00E16719">
          <w:rPr>
            <w:webHidden/>
            <w:sz w:val="24"/>
            <w:szCs w:val="24"/>
          </w:rPr>
          <w:fldChar w:fldCharType="end"/>
        </w:r>
      </w:hyperlink>
    </w:p>
    <w:p w14:paraId="0418F673" w14:textId="54F6DA77" w:rsidR="008437B1" w:rsidRPr="00E16719" w:rsidRDefault="00E12F33" w:rsidP="002A11DC">
      <w:pPr>
        <w:pStyle w:val="TOC4"/>
        <w:widowControl w:val="0"/>
        <w:adjustRightInd w:val="0"/>
        <w:snapToGrid w:val="0"/>
        <w:spacing w:line="240" w:lineRule="auto"/>
        <w:rPr>
          <w:sz w:val="24"/>
          <w:szCs w:val="24"/>
        </w:rPr>
      </w:pPr>
      <w:hyperlink w:anchor="_Toc153351587" w:history="1">
        <w:r w:rsidR="008437B1" w:rsidRPr="00E16719">
          <w:rPr>
            <w:rStyle w:val="Hyperlink"/>
            <w:color w:val="auto"/>
            <w:sz w:val="24"/>
            <w:szCs w:val="24"/>
          </w:rPr>
          <w:t>A.4.</w:t>
        </w:r>
        <w:r w:rsidR="008437B1" w:rsidRPr="00E16719">
          <w:rPr>
            <w:sz w:val="24"/>
            <w:szCs w:val="24"/>
          </w:rPr>
          <w:tab/>
        </w:r>
        <w:r w:rsidR="008437B1" w:rsidRPr="00E16719">
          <w:rPr>
            <w:rStyle w:val="Hyperlink"/>
            <w:color w:val="auto"/>
            <w:sz w:val="24"/>
            <w:szCs w:val="24"/>
          </w:rPr>
          <w:t>Efforts to Identify Duplication and Use of Similar Information</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_Toc153351587 \h </w:instrText>
        </w:r>
        <w:r w:rsidR="00513F5F" w:rsidRPr="00E16719">
          <w:rPr>
            <w:webHidden/>
            <w:sz w:val="24"/>
            <w:szCs w:val="24"/>
          </w:rPr>
        </w:r>
        <w:r w:rsidR="00513F5F" w:rsidRPr="00E16719">
          <w:rPr>
            <w:webHidden/>
            <w:sz w:val="24"/>
            <w:szCs w:val="24"/>
          </w:rPr>
          <w:fldChar w:fldCharType="separate"/>
        </w:r>
        <w:r>
          <w:rPr>
            <w:webHidden/>
            <w:sz w:val="24"/>
            <w:szCs w:val="24"/>
          </w:rPr>
          <w:t>5</w:t>
        </w:r>
        <w:r w:rsidR="00513F5F" w:rsidRPr="00E16719">
          <w:rPr>
            <w:webHidden/>
            <w:sz w:val="24"/>
            <w:szCs w:val="24"/>
          </w:rPr>
          <w:fldChar w:fldCharType="end"/>
        </w:r>
      </w:hyperlink>
    </w:p>
    <w:p w14:paraId="4CB35113" w14:textId="77777777" w:rsidR="008437B1" w:rsidRPr="00E16719" w:rsidRDefault="00E12F33" w:rsidP="002A11DC">
      <w:pPr>
        <w:pStyle w:val="TOC4"/>
        <w:widowControl w:val="0"/>
        <w:adjustRightInd w:val="0"/>
        <w:snapToGrid w:val="0"/>
        <w:spacing w:line="240" w:lineRule="auto"/>
        <w:rPr>
          <w:sz w:val="24"/>
          <w:szCs w:val="24"/>
        </w:rPr>
      </w:pPr>
      <w:hyperlink w:anchor="_Toc153351588" w:history="1">
        <w:r w:rsidR="008437B1" w:rsidRPr="00E16719">
          <w:rPr>
            <w:rStyle w:val="Hyperlink"/>
            <w:color w:val="auto"/>
            <w:sz w:val="24"/>
            <w:szCs w:val="24"/>
          </w:rPr>
          <w:t>A.5.</w:t>
        </w:r>
        <w:r w:rsidR="008437B1" w:rsidRPr="00E16719">
          <w:rPr>
            <w:sz w:val="24"/>
            <w:szCs w:val="24"/>
          </w:rPr>
          <w:tab/>
        </w:r>
        <w:r w:rsidR="008437B1" w:rsidRPr="00E16719">
          <w:rPr>
            <w:rStyle w:val="Hyperlink"/>
            <w:color w:val="auto"/>
            <w:sz w:val="24"/>
            <w:szCs w:val="24"/>
          </w:rPr>
          <w:t>Impact on Small Businesses or Other Small Entities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_Toc153351588 \h </w:instrText>
        </w:r>
        <w:r w:rsidR="00513F5F" w:rsidRPr="00E16719">
          <w:rPr>
            <w:webHidden/>
            <w:sz w:val="24"/>
            <w:szCs w:val="24"/>
          </w:rPr>
        </w:r>
        <w:r w:rsidR="00513F5F" w:rsidRPr="00E16719">
          <w:rPr>
            <w:webHidden/>
            <w:sz w:val="24"/>
            <w:szCs w:val="24"/>
          </w:rPr>
          <w:fldChar w:fldCharType="separate"/>
        </w:r>
        <w:r>
          <w:rPr>
            <w:webHidden/>
            <w:sz w:val="24"/>
            <w:szCs w:val="24"/>
          </w:rPr>
          <w:t>5</w:t>
        </w:r>
        <w:r w:rsidR="00513F5F" w:rsidRPr="00E16719">
          <w:rPr>
            <w:webHidden/>
            <w:sz w:val="24"/>
            <w:szCs w:val="24"/>
          </w:rPr>
          <w:fldChar w:fldCharType="end"/>
        </w:r>
      </w:hyperlink>
    </w:p>
    <w:p w14:paraId="163A21B1" w14:textId="77777777" w:rsidR="008437B1" w:rsidRPr="00E16719" w:rsidRDefault="00E12F33" w:rsidP="002A11DC">
      <w:pPr>
        <w:pStyle w:val="TOC4"/>
        <w:widowControl w:val="0"/>
        <w:adjustRightInd w:val="0"/>
        <w:snapToGrid w:val="0"/>
        <w:spacing w:line="240" w:lineRule="auto"/>
        <w:rPr>
          <w:sz w:val="24"/>
          <w:szCs w:val="24"/>
        </w:rPr>
      </w:pPr>
      <w:hyperlink w:anchor="_Toc153351589" w:history="1">
        <w:r w:rsidR="008437B1" w:rsidRPr="00E16719">
          <w:rPr>
            <w:rStyle w:val="Hyperlink"/>
            <w:color w:val="auto"/>
            <w:sz w:val="24"/>
            <w:szCs w:val="24"/>
          </w:rPr>
          <w:t>A.6.</w:t>
        </w:r>
        <w:r w:rsidR="008437B1" w:rsidRPr="00E16719">
          <w:rPr>
            <w:sz w:val="24"/>
            <w:szCs w:val="24"/>
          </w:rPr>
          <w:tab/>
        </w:r>
        <w:r w:rsidR="008437B1" w:rsidRPr="00E16719">
          <w:rPr>
            <w:rStyle w:val="Hyperlink"/>
            <w:color w:val="auto"/>
            <w:sz w:val="24"/>
            <w:szCs w:val="24"/>
          </w:rPr>
          <w:t>Consequences of Collecting the Information at a Chosen Frequency</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_Toc153351589 \h </w:instrText>
        </w:r>
        <w:r w:rsidR="00513F5F" w:rsidRPr="00E16719">
          <w:rPr>
            <w:webHidden/>
            <w:sz w:val="24"/>
            <w:szCs w:val="24"/>
          </w:rPr>
        </w:r>
        <w:r w:rsidR="00513F5F" w:rsidRPr="00E16719">
          <w:rPr>
            <w:webHidden/>
            <w:sz w:val="24"/>
            <w:szCs w:val="24"/>
          </w:rPr>
          <w:fldChar w:fldCharType="separate"/>
        </w:r>
        <w:r>
          <w:rPr>
            <w:webHidden/>
            <w:sz w:val="24"/>
            <w:szCs w:val="24"/>
          </w:rPr>
          <w:t>5</w:t>
        </w:r>
        <w:r w:rsidR="00513F5F" w:rsidRPr="00E16719">
          <w:rPr>
            <w:webHidden/>
            <w:sz w:val="24"/>
            <w:szCs w:val="24"/>
          </w:rPr>
          <w:fldChar w:fldCharType="end"/>
        </w:r>
      </w:hyperlink>
    </w:p>
    <w:p w14:paraId="4F2B4A55" w14:textId="1D27ED96" w:rsidR="008437B1" w:rsidRPr="00E16719" w:rsidRDefault="00E12F33" w:rsidP="002A11DC">
      <w:pPr>
        <w:pStyle w:val="TOC4"/>
        <w:widowControl w:val="0"/>
        <w:adjustRightInd w:val="0"/>
        <w:snapToGrid w:val="0"/>
        <w:spacing w:line="240" w:lineRule="auto"/>
        <w:rPr>
          <w:sz w:val="24"/>
          <w:szCs w:val="24"/>
        </w:rPr>
      </w:pPr>
      <w:hyperlink w:anchor="_Toc153351590" w:history="1">
        <w:r w:rsidR="008437B1" w:rsidRPr="00E16719">
          <w:rPr>
            <w:rStyle w:val="Hyperlink"/>
            <w:color w:val="auto"/>
            <w:sz w:val="24"/>
            <w:szCs w:val="24"/>
          </w:rPr>
          <w:t>A.7.</w:t>
        </w:r>
        <w:r w:rsidR="008437B1" w:rsidRPr="00E16719">
          <w:rPr>
            <w:sz w:val="24"/>
            <w:szCs w:val="24"/>
          </w:rPr>
          <w:tab/>
        </w:r>
        <w:r w:rsidR="008437B1" w:rsidRPr="00E16719">
          <w:rPr>
            <w:rStyle w:val="Hyperlink"/>
            <w:color w:val="auto"/>
            <w:sz w:val="24"/>
            <w:szCs w:val="24"/>
          </w:rPr>
          <w:t>Special Circumstances Relating to the Guidelines of 5 CFR 1320.5</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_Toc153351590 \h </w:instrText>
        </w:r>
        <w:r w:rsidR="00513F5F" w:rsidRPr="00E16719">
          <w:rPr>
            <w:webHidden/>
            <w:sz w:val="24"/>
            <w:szCs w:val="24"/>
          </w:rPr>
        </w:r>
        <w:r w:rsidR="00513F5F" w:rsidRPr="00E16719">
          <w:rPr>
            <w:webHidden/>
            <w:sz w:val="24"/>
            <w:szCs w:val="24"/>
          </w:rPr>
          <w:fldChar w:fldCharType="separate"/>
        </w:r>
        <w:r>
          <w:rPr>
            <w:webHidden/>
            <w:sz w:val="24"/>
            <w:szCs w:val="24"/>
          </w:rPr>
          <w:t>6</w:t>
        </w:r>
        <w:r w:rsidR="00513F5F" w:rsidRPr="00E16719">
          <w:rPr>
            <w:webHidden/>
            <w:sz w:val="24"/>
            <w:szCs w:val="24"/>
          </w:rPr>
          <w:fldChar w:fldCharType="end"/>
        </w:r>
      </w:hyperlink>
    </w:p>
    <w:p w14:paraId="4ACF8036" w14:textId="1FD24B9E" w:rsidR="008437B1" w:rsidRPr="00E16719" w:rsidRDefault="00E12F33" w:rsidP="002A11DC">
      <w:pPr>
        <w:pStyle w:val="TOC4"/>
        <w:widowControl w:val="0"/>
        <w:adjustRightInd w:val="0"/>
        <w:snapToGrid w:val="0"/>
        <w:spacing w:line="240" w:lineRule="auto"/>
        <w:rPr>
          <w:sz w:val="24"/>
          <w:szCs w:val="24"/>
        </w:rPr>
      </w:pPr>
      <w:hyperlink w:anchor="_Toc153351591" w:history="1">
        <w:r w:rsidR="008437B1" w:rsidRPr="00E16719">
          <w:rPr>
            <w:rStyle w:val="Hyperlink"/>
            <w:color w:val="auto"/>
            <w:sz w:val="24"/>
            <w:szCs w:val="24"/>
          </w:rPr>
          <w:t>A.8.</w:t>
        </w:r>
        <w:r w:rsidR="008437B1" w:rsidRPr="00E16719">
          <w:rPr>
            <w:sz w:val="24"/>
            <w:szCs w:val="24"/>
          </w:rPr>
          <w:tab/>
        </w:r>
        <w:r w:rsidR="008437B1" w:rsidRPr="00E16719">
          <w:rPr>
            <w:rStyle w:val="Hyperlink"/>
            <w:color w:val="auto"/>
            <w:sz w:val="24"/>
            <w:szCs w:val="24"/>
          </w:rPr>
          <w:t>Comments in Response t</w:t>
        </w:r>
        <w:bookmarkStart w:id="0" w:name="_GoBack"/>
        <w:bookmarkEnd w:id="0"/>
        <w:r w:rsidR="008437B1" w:rsidRPr="00E16719">
          <w:rPr>
            <w:rStyle w:val="Hyperlink"/>
            <w:color w:val="auto"/>
            <w:sz w:val="24"/>
            <w:szCs w:val="24"/>
          </w:rPr>
          <w:t>o the Federal Register Notice and Efforts to Consult Outside Agency</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_Toc153351591 \h </w:instrText>
        </w:r>
        <w:r w:rsidR="00513F5F" w:rsidRPr="00E16719">
          <w:rPr>
            <w:webHidden/>
            <w:sz w:val="24"/>
            <w:szCs w:val="24"/>
          </w:rPr>
        </w:r>
        <w:r w:rsidR="00513F5F" w:rsidRPr="00E16719">
          <w:rPr>
            <w:webHidden/>
            <w:sz w:val="24"/>
            <w:szCs w:val="24"/>
          </w:rPr>
          <w:fldChar w:fldCharType="separate"/>
        </w:r>
        <w:r>
          <w:rPr>
            <w:webHidden/>
            <w:sz w:val="24"/>
            <w:szCs w:val="24"/>
          </w:rPr>
          <w:t>6</w:t>
        </w:r>
        <w:r w:rsidR="00513F5F" w:rsidRPr="00E16719">
          <w:rPr>
            <w:webHidden/>
            <w:sz w:val="24"/>
            <w:szCs w:val="24"/>
          </w:rPr>
          <w:fldChar w:fldCharType="end"/>
        </w:r>
      </w:hyperlink>
    </w:p>
    <w:p w14:paraId="15766F96" w14:textId="77777777" w:rsidR="008437B1" w:rsidRPr="00E16719" w:rsidRDefault="00E12F33" w:rsidP="002A11DC">
      <w:pPr>
        <w:pStyle w:val="TOC4"/>
        <w:widowControl w:val="0"/>
        <w:adjustRightInd w:val="0"/>
        <w:snapToGrid w:val="0"/>
        <w:spacing w:line="240" w:lineRule="auto"/>
        <w:rPr>
          <w:sz w:val="24"/>
          <w:szCs w:val="24"/>
        </w:rPr>
      </w:pPr>
      <w:hyperlink w:anchor="_Toc153351592" w:history="1">
        <w:r w:rsidR="008437B1" w:rsidRPr="00E16719">
          <w:rPr>
            <w:rStyle w:val="Hyperlink"/>
            <w:color w:val="auto"/>
            <w:sz w:val="24"/>
            <w:szCs w:val="24"/>
          </w:rPr>
          <w:t>A.9.</w:t>
        </w:r>
        <w:r w:rsidR="008437B1" w:rsidRPr="00E16719">
          <w:rPr>
            <w:rStyle w:val="Hyperlink"/>
            <w:color w:val="auto"/>
            <w:sz w:val="24"/>
            <w:szCs w:val="24"/>
          </w:rPr>
          <w:tab/>
          <w:t>Explanation of Any Payment or Gifts to Respondents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_Toc153351592 \h </w:instrText>
        </w:r>
        <w:r w:rsidR="00513F5F" w:rsidRPr="00E16719">
          <w:rPr>
            <w:webHidden/>
            <w:sz w:val="24"/>
            <w:szCs w:val="24"/>
          </w:rPr>
        </w:r>
        <w:r w:rsidR="00513F5F" w:rsidRPr="00E16719">
          <w:rPr>
            <w:webHidden/>
            <w:sz w:val="24"/>
            <w:szCs w:val="24"/>
          </w:rPr>
          <w:fldChar w:fldCharType="separate"/>
        </w:r>
        <w:r>
          <w:rPr>
            <w:webHidden/>
            <w:sz w:val="24"/>
            <w:szCs w:val="24"/>
          </w:rPr>
          <w:t>6</w:t>
        </w:r>
        <w:r w:rsidR="00513F5F" w:rsidRPr="00E16719">
          <w:rPr>
            <w:webHidden/>
            <w:sz w:val="24"/>
            <w:szCs w:val="24"/>
          </w:rPr>
          <w:fldChar w:fldCharType="end"/>
        </w:r>
      </w:hyperlink>
    </w:p>
    <w:p w14:paraId="7BA38A68" w14:textId="77777777" w:rsidR="008437B1" w:rsidRPr="00E16719" w:rsidRDefault="008437B1" w:rsidP="001937C4">
      <w:pPr>
        <w:pStyle w:val="TOC4"/>
        <w:widowControl w:val="0"/>
        <w:adjustRightInd w:val="0"/>
        <w:snapToGrid w:val="0"/>
        <w:spacing w:line="240" w:lineRule="auto"/>
        <w:rPr>
          <w:webHidden/>
          <w:sz w:val="24"/>
          <w:szCs w:val="24"/>
        </w:rPr>
      </w:pPr>
      <w:r w:rsidRPr="00E16719">
        <w:rPr>
          <w:rStyle w:val="Hyperlink"/>
          <w:color w:val="auto"/>
          <w:sz w:val="24"/>
          <w:szCs w:val="24"/>
          <w:u w:val="none"/>
        </w:rPr>
        <w:t>A.10.</w:t>
      </w:r>
      <w:r w:rsidRPr="00E16719">
        <w:rPr>
          <w:sz w:val="24"/>
          <w:szCs w:val="24"/>
        </w:rPr>
        <w:tab/>
      </w:r>
      <w:r w:rsidRPr="00E16719">
        <w:rPr>
          <w:rStyle w:val="Hyperlink"/>
          <w:color w:val="auto"/>
          <w:sz w:val="24"/>
          <w:szCs w:val="24"/>
          <w:u w:val="none"/>
        </w:rPr>
        <w:t xml:space="preserve">Assurance of </w:t>
      </w:r>
      <w:r w:rsidR="001937C4" w:rsidRPr="00E16719">
        <w:rPr>
          <w:rStyle w:val="Hyperlink"/>
          <w:color w:val="auto"/>
          <w:sz w:val="24"/>
          <w:szCs w:val="24"/>
          <w:u w:val="none"/>
        </w:rPr>
        <w:t xml:space="preserve">Privacy </w:t>
      </w:r>
      <w:r w:rsidRPr="00E16719">
        <w:rPr>
          <w:rStyle w:val="Hyperlink"/>
          <w:color w:val="auto"/>
          <w:sz w:val="24"/>
          <w:szCs w:val="24"/>
          <w:u w:val="none"/>
        </w:rPr>
        <w:t>Provided to Respondents</w:t>
      </w:r>
      <w:r w:rsidRPr="00E16719">
        <w:rPr>
          <w:webHidden/>
          <w:sz w:val="24"/>
          <w:szCs w:val="24"/>
        </w:rPr>
        <w:tab/>
        <w:t>6</w:t>
      </w:r>
    </w:p>
    <w:p w14:paraId="4C01AB78" w14:textId="77777777" w:rsidR="008437B1" w:rsidRPr="00E16719" w:rsidRDefault="00E12F33" w:rsidP="002A11DC">
      <w:pPr>
        <w:pStyle w:val="TOC4"/>
        <w:widowControl w:val="0"/>
        <w:adjustRightInd w:val="0"/>
        <w:snapToGrid w:val="0"/>
        <w:spacing w:line="240" w:lineRule="auto"/>
        <w:rPr>
          <w:sz w:val="24"/>
          <w:szCs w:val="24"/>
        </w:rPr>
      </w:pPr>
      <w:hyperlink w:anchor="_Toc153351594" w:history="1">
        <w:r w:rsidR="008437B1" w:rsidRPr="00E16719">
          <w:rPr>
            <w:rStyle w:val="Hyperlink"/>
            <w:color w:val="auto"/>
            <w:sz w:val="24"/>
            <w:szCs w:val="24"/>
          </w:rPr>
          <w:t>A.11.</w:t>
        </w:r>
        <w:r w:rsidR="008437B1" w:rsidRPr="00E16719">
          <w:rPr>
            <w:sz w:val="24"/>
            <w:szCs w:val="24"/>
          </w:rPr>
          <w:tab/>
        </w:r>
        <w:r w:rsidR="008437B1" w:rsidRPr="00E16719">
          <w:rPr>
            <w:rStyle w:val="Hyperlink"/>
            <w:color w:val="auto"/>
            <w:sz w:val="24"/>
            <w:szCs w:val="24"/>
          </w:rPr>
          <w:t>Justification for Sensitive Questions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_Toc153351594 \h </w:instrText>
        </w:r>
        <w:r w:rsidR="00513F5F" w:rsidRPr="00E16719">
          <w:rPr>
            <w:webHidden/>
            <w:sz w:val="24"/>
            <w:szCs w:val="24"/>
          </w:rPr>
        </w:r>
        <w:r w:rsidR="00513F5F" w:rsidRPr="00E16719">
          <w:rPr>
            <w:webHidden/>
            <w:sz w:val="24"/>
            <w:szCs w:val="24"/>
          </w:rPr>
          <w:fldChar w:fldCharType="separate"/>
        </w:r>
        <w:r>
          <w:rPr>
            <w:webHidden/>
            <w:sz w:val="24"/>
            <w:szCs w:val="24"/>
          </w:rPr>
          <w:t>7</w:t>
        </w:r>
        <w:r w:rsidR="00513F5F" w:rsidRPr="00E16719">
          <w:rPr>
            <w:webHidden/>
            <w:sz w:val="24"/>
            <w:szCs w:val="24"/>
          </w:rPr>
          <w:fldChar w:fldCharType="end"/>
        </w:r>
      </w:hyperlink>
    </w:p>
    <w:p w14:paraId="771C05D0" w14:textId="77777777" w:rsidR="008437B1" w:rsidRPr="00E16719" w:rsidRDefault="00E12F33" w:rsidP="002A11DC">
      <w:pPr>
        <w:pStyle w:val="TOC4"/>
        <w:widowControl w:val="0"/>
        <w:adjustRightInd w:val="0"/>
        <w:snapToGrid w:val="0"/>
        <w:spacing w:line="240" w:lineRule="auto"/>
        <w:rPr>
          <w:sz w:val="24"/>
          <w:szCs w:val="24"/>
        </w:rPr>
      </w:pPr>
      <w:hyperlink w:anchor="_Toc153351595" w:history="1">
        <w:r w:rsidR="008437B1" w:rsidRPr="00E16719">
          <w:rPr>
            <w:rStyle w:val="Hyperlink"/>
            <w:color w:val="auto"/>
            <w:sz w:val="24"/>
            <w:szCs w:val="24"/>
          </w:rPr>
          <w:t>A.12.</w:t>
        </w:r>
        <w:r w:rsidR="008437B1" w:rsidRPr="00E16719">
          <w:rPr>
            <w:sz w:val="24"/>
            <w:szCs w:val="24"/>
          </w:rPr>
          <w:tab/>
        </w:r>
        <w:r w:rsidR="008437B1" w:rsidRPr="00E16719">
          <w:rPr>
            <w:rStyle w:val="Hyperlink"/>
            <w:color w:val="auto"/>
            <w:sz w:val="24"/>
            <w:szCs w:val="24"/>
          </w:rPr>
          <w:t xml:space="preserve">Estimates of Burden </w:t>
        </w:r>
        <w:r w:rsidR="008C524C" w:rsidRPr="00E16719">
          <w:rPr>
            <w:rStyle w:val="Hyperlink"/>
            <w:color w:val="auto"/>
            <w:sz w:val="24"/>
            <w:szCs w:val="24"/>
          </w:rPr>
          <w:t xml:space="preserve">Hours </w:t>
        </w:r>
        <w:r w:rsidR="008437B1" w:rsidRPr="00E16719">
          <w:rPr>
            <w:rStyle w:val="Hyperlink"/>
            <w:color w:val="auto"/>
            <w:sz w:val="24"/>
            <w:szCs w:val="24"/>
          </w:rPr>
          <w:t>Including Annualized Hourly Costs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_Toc153351595 \h </w:instrText>
        </w:r>
        <w:r w:rsidR="00513F5F" w:rsidRPr="00E16719">
          <w:rPr>
            <w:webHidden/>
            <w:sz w:val="24"/>
            <w:szCs w:val="24"/>
          </w:rPr>
        </w:r>
        <w:r w:rsidR="00513F5F" w:rsidRPr="00E16719">
          <w:rPr>
            <w:webHidden/>
            <w:sz w:val="24"/>
            <w:szCs w:val="24"/>
          </w:rPr>
          <w:fldChar w:fldCharType="separate"/>
        </w:r>
        <w:r>
          <w:rPr>
            <w:webHidden/>
            <w:sz w:val="24"/>
            <w:szCs w:val="24"/>
          </w:rPr>
          <w:t>7</w:t>
        </w:r>
        <w:r w:rsidR="00513F5F" w:rsidRPr="00E16719">
          <w:rPr>
            <w:webHidden/>
            <w:sz w:val="24"/>
            <w:szCs w:val="24"/>
          </w:rPr>
          <w:fldChar w:fldCharType="end"/>
        </w:r>
      </w:hyperlink>
    </w:p>
    <w:p w14:paraId="0917F9FF" w14:textId="77777777" w:rsidR="008437B1" w:rsidRPr="00E16719" w:rsidRDefault="00E12F33" w:rsidP="004909FD">
      <w:pPr>
        <w:pStyle w:val="TOC4"/>
        <w:widowControl w:val="0"/>
        <w:adjustRightInd w:val="0"/>
        <w:snapToGrid w:val="0"/>
        <w:spacing w:line="240" w:lineRule="auto"/>
        <w:rPr>
          <w:sz w:val="24"/>
          <w:szCs w:val="24"/>
        </w:rPr>
      </w:pPr>
      <w:hyperlink w:anchor="_Toc153351596" w:history="1">
        <w:r w:rsidR="008437B1" w:rsidRPr="00E16719">
          <w:rPr>
            <w:rStyle w:val="Hyperlink"/>
            <w:color w:val="auto"/>
            <w:sz w:val="24"/>
            <w:szCs w:val="24"/>
          </w:rPr>
          <w:t>A.13.</w:t>
        </w:r>
        <w:r w:rsidR="008437B1" w:rsidRPr="00E16719">
          <w:rPr>
            <w:sz w:val="24"/>
            <w:szCs w:val="24"/>
          </w:rPr>
          <w:tab/>
        </w:r>
        <w:r w:rsidR="008437B1" w:rsidRPr="00E16719">
          <w:rPr>
            <w:rStyle w:val="Hyperlink"/>
            <w:color w:val="auto"/>
            <w:sz w:val="24"/>
            <w:szCs w:val="24"/>
          </w:rPr>
          <w:t>Estimates of Other Total Annual Cost Burden to Respondents or Record Keepers</w:t>
        </w:r>
        <w:r w:rsidR="004909FD" w:rsidRPr="00E16719">
          <w:rPr>
            <w:rStyle w:val="Hyperlink"/>
            <w:color w:val="auto"/>
            <w:sz w:val="24"/>
            <w:szCs w:val="24"/>
          </w:rPr>
          <w:t xml:space="preserve"> …....</w:t>
        </w:r>
        <w:r w:rsidR="004909FD"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_Toc153351596 \h </w:instrText>
        </w:r>
        <w:r w:rsidR="00513F5F" w:rsidRPr="00E16719">
          <w:rPr>
            <w:webHidden/>
            <w:sz w:val="24"/>
            <w:szCs w:val="24"/>
          </w:rPr>
        </w:r>
        <w:r w:rsidR="00513F5F" w:rsidRPr="00E16719">
          <w:rPr>
            <w:webHidden/>
            <w:sz w:val="24"/>
            <w:szCs w:val="24"/>
          </w:rPr>
          <w:fldChar w:fldCharType="separate"/>
        </w:r>
        <w:r>
          <w:rPr>
            <w:webHidden/>
            <w:sz w:val="24"/>
            <w:szCs w:val="24"/>
          </w:rPr>
          <w:t>8</w:t>
        </w:r>
        <w:r w:rsidR="00513F5F" w:rsidRPr="00E16719">
          <w:rPr>
            <w:webHidden/>
            <w:sz w:val="24"/>
            <w:szCs w:val="24"/>
          </w:rPr>
          <w:fldChar w:fldCharType="end"/>
        </w:r>
      </w:hyperlink>
    </w:p>
    <w:p w14:paraId="77DE61CF" w14:textId="61ABA1BF" w:rsidR="008437B1" w:rsidRPr="00E16719" w:rsidRDefault="00E12F33" w:rsidP="002A11DC">
      <w:pPr>
        <w:pStyle w:val="TOC4"/>
        <w:widowControl w:val="0"/>
        <w:adjustRightInd w:val="0"/>
        <w:snapToGrid w:val="0"/>
        <w:spacing w:line="240" w:lineRule="auto"/>
        <w:rPr>
          <w:sz w:val="24"/>
          <w:szCs w:val="24"/>
        </w:rPr>
      </w:pPr>
      <w:hyperlink w:anchor="_Toc153351597" w:history="1">
        <w:r w:rsidR="008437B1" w:rsidRPr="00E16719">
          <w:rPr>
            <w:rStyle w:val="Hyperlink"/>
            <w:color w:val="auto"/>
            <w:sz w:val="24"/>
            <w:szCs w:val="24"/>
          </w:rPr>
          <w:t>A.14.</w:t>
        </w:r>
        <w:r w:rsidR="008437B1" w:rsidRPr="00E16719">
          <w:rPr>
            <w:sz w:val="24"/>
            <w:szCs w:val="24"/>
          </w:rPr>
          <w:tab/>
        </w:r>
        <w:r w:rsidR="008437B1" w:rsidRPr="00E16719">
          <w:rPr>
            <w:rStyle w:val="Hyperlink"/>
            <w:color w:val="auto"/>
            <w:sz w:val="24"/>
            <w:szCs w:val="24"/>
          </w:rPr>
          <w:t>Annualized Cost to the Federal Government</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_Toc153351597 \h </w:instrText>
        </w:r>
        <w:r w:rsidR="00513F5F" w:rsidRPr="00E16719">
          <w:rPr>
            <w:webHidden/>
            <w:sz w:val="24"/>
            <w:szCs w:val="24"/>
          </w:rPr>
        </w:r>
        <w:r w:rsidR="00513F5F" w:rsidRPr="00E16719">
          <w:rPr>
            <w:webHidden/>
            <w:sz w:val="24"/>
            <w:szCs w:val="24"/>
          </w:rPr>
          <w:fldChar w:fldCharType="separate"/>
        </w:r>
        <w:r>
          <w:rPr>
            <w:webHidden/>
            <w:sz w:val="24"/>
            <w:szCs w:val="24"/>
          </w:rPr>
          <w:t>9</w:t>
        </w:r>
        <w:r w:rsidR="00513F5F" w:rsidRPr="00E16719">
          <w:rPr>
            <w:webHidden/>
            <w:sz w:val="24"/>
            <w:szCs w:val="24"/>
          </w:rPr>
          <w:fldChar w:fldCharType="end"/>
        </w:r>
      </w:hyperlink>
    </w:p>
    <w:p w14:paraId="295B288E" w14:textId="77777777" w:rsidR="008437B1" w:rsidRPr="00E16719" w:rsidRDefault="00E12F33" w:rsidP="002A11DC">
      <w:pPr>
        <w:pStyle w:val="TOC4"/>
        <w:widowControl w:val="0"/>
        <w:adjustRightInd w:val="0"/>
        <w:snapToGrid w:val="0"/>
        <w:spacing w:line="240" w:lineRule="auto"/>
        <w:rPr>
          <w:sz w:val="24"/>
          <w:szCs w:val="24"/>
        </w:rPr>
      </w:pPr>
      <w:hyperlink w:anchor="_Toc153351598" w:history="1">
        <w:r w:rsidR="008437B1" w:rsidRPr="00E16719">
          <w:rPr>
            <w:rStyle w:val="Hyperlink"/>
            <w:color w:val="auto"/>
            <w:sz w:val="24"/>
            <w:szCs w:val="24"/>
          </w:rPr>
          <w:t>A.15.</w:t>
        </w:r>
        <w:r w:rsidR="008437B1" w:rsidRPr="00E16719">
          <w:rPr>
            <w:sz w:val="24"/>
            <w:szCs w:val="24"/>
          </w:rPr>
          <w:tab/>
        </w:r>
        <w:r w:rsidR="008437B1" w:rsidRPr="00E16719">
          <w:rPr>
            <w:rStyle w:val="Hyperlink"/>
            <w:color w:val="auto"/>
            <w:sz w:val="24"/>
            <w:szCs w:val="24"/>
          </w:rPr>
          <w:t>Explanation for Program Changes or Adjustments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_Toc153351598 \h </w:instrText>
        </w:r>
        <w:r w:rsidR="00513F5F" w:rsidRPr="00E16719">
          <w:rPr>
            <w:webHidden/>
            <w:sz w:val="24"/>
            <w:szCs w:val="24"/>
          </w:rPr>
        </w:r>
        <w:r w:rsidR="00513F5F" w:rsidRPr="00E16719">
          <w:rPr>
            <w:webHidden/>
            <w:sz w:val="24"/>
            <w:szCs w:val="24"/>
          </w:rPr>
          <w:fldChar w:fldCharType="separate"/>
        </w:r>
        <w:r>
          <w:rPr>
            <w:webHidden/>
            <w:sz w:val="24"/>
            <w:szCs w:val="24"/>
          </w:rPr>
          <w:t>10</w:t>
        </w:r>
        <w:r w:rsidR="00513F5F" w:rsidRPr="00E16719">
          <w:rPr>
            <w:webHidden/>
            <w:sz w:val="24"/>
            <w:szCs w:val="24"/>
          </w:rPr>
          <w:fldChar w:fldCharType="end"/>
        </w:r>
      </w:hyperlink>
    </w:p>
    <w:p w14:paraId="292F87DC" w14:textId="77777777" w:rsidR="008437B1" w:rsidRPr="00E16719" w:rsidRDefault="00E12F33" w:rsidP="002A11DC">
      <w:pPr>
        <w:pStyle w:val="TOC4"/>
        <w:widowControl w:val="0"/>
        <w:adjustRightInd w:val="0"/>
        <w:snapToGrid w:val="0"/>
        <w:spacing w:line="240" w:lineRule="auto"/>
        <w:rPr>
          <w:sz w:val="24"/>
          <w:szCs w:val="24"/>
        </w:rPr>
      </w:pPr>
      <w:hyperlink w:anchor="_Toc153351599" w:history="1">
        <w:r w:rsidR="008437B1" w:rsidRPr="00E16719">
          <w:rPr>
            <w:rStyle w:val="Hyperlink"/>
            <w:color w:val="auto"/>
            <w:sz w:val="24"/>
            <w:szCs w:val="24"/>
          </w:rPr>
          <w:t>A.16.</w:t>
        </w:r>
        <w:r w:rsidR="008437B1" w:rsidRPr="00E16719">
          <w:rPr>
            <w:sz w:val="24"/>
            <w:szCs w:val="24"/>
          </w:rPr>
          <w:tab/>
        </w:r>
        <w:r w:rsidR="008437B1" w:rsidRPr="00E16719">
          <w:rPr>
            <w:rStyle w:val="Hyperlink"/>
            <w:color w:val="auto"/>
            <w:sz w:val="24"/>
            <w:szCs w:val="24"/>
          </w:rPr>
          <w:t>Plans for Tabulation and Publication and Project Time Schedule</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_Toc153351599 \h </w:instrText>
        </w:r>
        <w:r w:rsidR="00513F5F" w:rsidRPr="00E16719">
          <w:rPr>
            <w:webHidden/>
            <w:sz w:val="24"/>
            <w:szCs w:val="24"/>
          </w:rPr>
        </w:r>
        <w:r w:rsidR="00513F5F" w:rsidRPr="00E16719">
          <w:rPr>
            <w:webHidden/>
            <w:sz w:val="24"/>
            <w:szCs w:val="24"/>
          </w:rPr>
          <w:fldChar w:fldCharType="separate"/>
        </w:r>
        <w:r>
          <w:rPr>
            <w:webHidden/>
            <w:sz w:val="24"/>
            <w:szCs w:val="24"/>
          </w:rPr>
          <w:t>10</w:t>
        </w:r>
        <w:r w:rsidR="00513F5F" w:rsidRPr="00E16719">
          <w:rPr>
            <w:webHidden/>
            <w:sz w:val="24"/>
            <w:szCs w:val="24"/>
          </w:rPr>
          <w:fldChar w:fldCharType="end"/>
        </w:r>
      </w:hyperlink>
    </w:p>
    <w:p w14:paraId="1F7BC636" w14:textId="106902D1" w:rsidR="008437B1" w:rsidRPr="00E16719" w:rsidRDefault="00E12F33" w:rsidP="002A11DC">
      <w:pPr>
        <w:pStyle w:val="TOC4"/>
        <w:widowControl w:val="0"/>
        <w:adjustRightInd w:val="0"/>
        <w:snapToGrid w:val="0"/>
        <w:spacing w:line="240" w:lineRule="auto"/>
        <w:rPr>
          <w:sz w:val="24"/>
          <w:szCs w:val="24"/>
        </w:rPr>
      </w:pPr>
      <w:hyperlink w:anchor="_Toc153351600" w:history="1">
        <w:r w:rsidR="008437B1" w:rsidRPr="00E16719">
          <w:rPr>
            <w:rStyle w:val="Hyperlink"/>
            <w:color w:val="auto"/>
            <w:sz w:val="24"/>
            <w:szCs w:val="24"/>
          </w:rPr>
          <w:t>A.17.</w:t>
        </w:r>
        <w:r w:rsidR="008437B1" w:rsidRPr="00E16719">
          <w:rPr>
            <w:sz w:val="24"/>
            <w:szCs w:val="24"/>
          </w:rPr>
          <w:tab/>
        </w:r>
        <w:r w:rsidR="008437B1" w:rsidRPr="00E16719">
          <w:rPr>
            <w:rStyle w:val="Hyperlink"/>
            <w:color w:val="auto"/>
            <w:sz w:val="24"/>
            <w:szCs w:val="24"/>
          </w:rPr>
          <w:t>Reason(s) Display of OMB Expiration Date is Inappropriate</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_Toc153351600 \h </w:instrText>
        </w:r>
        <w:r w:rsidR="00513F5F" w:rsidRPr="00E16719">
          <w:rPr>
            <w:webHidden/>
            <w:sz w:val="24"/>
            <w:szCs w:val="24"/>
          </w:rPr>
        </w:r>
        <w:r w:rsidR="00513F5F" w:rsidRPr="00E16719">
          <w:rPr>
            <w:webHidden/>
            <w:sz w:val="24"/>
            <w:szCs w:val="24"/>
          </w:rPr>
          <w:fldChar w:fldCharType="separate"/>
        </w:r>
        <w:r>
          <w:rPr>
            <w:webHidden/>
            <w:sz w:val="24"/>
            <w:szCs w:val="24"/>
          </w:rPr>
          <w:t>10</w:t>
        </w:r>
        <w:r w:rsidR="00513F5F" w:rsidRPr="00E16719">
          <w:rPr>
            <w:webHidden/>
            <w:sz w:val="24"/>
            <w:szCs w:val="24"/>
          </w:rPr>
          <w:fldChar w:fldCharType="end"/>
        </w:r>
      </w:hyperlink>
    </w:p>
    <w:p w14:paraId="6A6FBD70" w14:textId="279DCB04" w:rsidR="008437B1" w:rsidRPr="00E16719" w:rsidRDefault="00E12F33" w:rsidP="007D2DD1">
      <w:pPr>
        <w:pStyle w:val="TOC4"/>
        <w:widowControl w:val="0"/>
        <w:adjustRightInd w:val="0"/>
        <w:snapToGrid w:val="0"/>
        <w:spacing w:line="240" w:lineRule="auto"/>
      </w:pPr>
      <w:hyperlink w:anchor="_Toc153351601" w:history="1">
        <w:r w:rsidR="008437B1" w:rsidRPr="00E16719">
          <w:rPr>
            <w:rStyle w:val="Hyperlink"/>
            <w:color w:val="auto"/>
            <w:sz w:val="24"/>
            <w:szCs w:val="24"/>
          </w:rPr>
          <w:t>A.18.</w:t>
        </w:r>
        <w:r w:rsidR="008437B1" w:rsidRPr="00E16719">
          <w:rPr>
            <w:sz w:val="24"/>
            <w:szCs w:val="24"/>
          </w:rPr>
          <w:tab/>
        </w:r>
        <w:r w:rsidR="008437B1" w:rsidRPr="00E16719">
          <w:rPr>
            <w:rStyle w:val="Hyperlink"/>
            <w:color w:val="auto"/>
            <w:sz w:val="24"/>
            <w:szCs w:val="24"/>
          </w:rPr>
          <w:t>Exceptions to Certification for Paperwork Reduction Act Submissions</w:t>
        </w:r>
        <w:r w:rsidR="008437B1" w:rsidRPr="00E16719">
          <w:rPr>
            <w:webHidden/>
            <w:sz w:val="24"/>
            <w:szCs w:val="24"/>
          </w:rPr>
          <w:tab/>
        </w:r>
        <w:r w:rsidR="00513F5F" w:rsidRPr="00E16719">
          <w:rPr>
            <w:webHidden/>
            <w:sz w:val="24"/>
            <w:szCs w:val="24"/>
          </w:rPr>
          <w:fldChar w:fldCharType="begin"/>
        </w:r>
        <w:r w:rsidR="008437B1" w:rsidRPr="00E16719">
          <w:rPr>
            <w:webHidden/>
            <w:sz w:val="24"/>
            <w:szCs w:val="24"/>
          </w:rPr>
          <w:instrText xml:space="preserve"> PAGEREF _Toc153351601 \h </w:instrText>
        </w:r>
        <w:r w:rsidR="00513F5F" w:rsidRPr="00E16719">
          <w:rPr>
            <w:webHidden/>
            <w:sz w:val="24"/>
            <w:szCs w:val="24"/>
          </w:rPr>
        </w:r>
        <w:r w:rsidR="00513F5F" w:rsidRPr="00E16719">
          <w:rPr>
            <w:webHidden/>
            <w:sz w:val="24"/>
            <w:szCs w:val="24"/>
          </w:rPr>
          <w:fldChar w:fldCharType="separate"/>
        </w:r>
        <w:r>
          <w:rPr>
            <w:webHidden/>
            <w:sz w:val="24"/>
            <w:szCs w:val="24"/>
          </w:rPr>
          <w:t>10</w:t>
        </w:r>
        <w:r w:rsidR="00513F5F" w:rsidRPr="00E16719">
          <w:rPr>
            <w:webHidden/>
            <w:sz w:val="24"/>
            <w:szCs w:val="24"/>
          </w:rPr>
          <w:fldChar w:fldCharType="end"/>
        </w:r>
      </w:hyperlink>
    </w:p>
    <w:p w14:paraId="5BC357E3" w14:textId="77777777" w:rsidR="008437B1" w:rsidRPr="00E16719" w:rsidRDefault="008437B1" w:rsidP="002A11DC">
      <w:pPr>
        <w:pStyle w:val="TOC4"/>
        <w:widowControl w:val="0"/>
        <w:adjustRightInd w:val="0"/>
        <w:snapToGrid w:val="0"/>
        <w:spacing w:line="240" w:lineRule="auto"/>
        <w:rPr>
          <w:rStyle w:val="Hyperlink"/>
          <w:color w:val="auto"/>
          <w:sz w:val="24"/>
          <w:szCs w:val="24"/>
        </w:rPr>
      </w:pPr>
    </w:p>
    <w:p w14:paraId="700F9660" w14:textId="77777777" w:rsidR="008437B1" w:rsidRPr="00E16719" w:rsidRDefault="008437B1" w:rsidP="00667E50">
      <w:pPr>
        <w:pStyle w:val="TOC4"/>
        <w:widowControl w:val="0"/>
        <w:adjustRightInd w:val="0"/>
        <w:snapToGrid w:val="0"/>
        <w:spacing w:line="240" w:lineRule="auto"/>
        <w:rPr>
          <w:sz w:val="24"/>
          <w:szCs w:val="24"/>
        </w:rPr>
      </w:pPr>
      <w:r w:rsidRPr="00E16719">
        <w:rPr>
          <w:rStyle w:val="Hyperlink"/>
          <w:color w:val="auto"/>
          <w:sz w:val="24"/>
          <w:szCs w:val="24"/>
          <w:u w:val="none"/>
        </w:rPr>
        <w:t>REFERENCES</w:t>
      </w:r>
      <w:r w:rsidR="007E61A1" w:rsidRPr="00E16719">
        <w:rPr>
          <w:webHidden/>
          <w:sz w:val="24"/>
          <w:szCs w:val="24"/>
        </w:rPr>
        <w:t>………………………………………………………</w:t>
      </w:r>
      <w:r w:rsidR="006670D9" w:rsidRPr="00E16719">
        <w:rPr>
          <w:webHidden/>
          <w:sz w:val="24"/>
          <w:szCs w:val="24"/>
        </w:rPr>
        <w:t>………</w:t>
      </w:r>
      <w:r w:rsidRPr="00E16719">
        <w:rPr>
          <w:webHidden/>
          <w:sz w:val="24"/>
          <w:szCs w:val="24"/>
        </w:rPr>
        <w:t>…………...1</w:t>
      </w:r>
      <w:r w:rsidR="00667E50" w:rsidRPr="00E16719">
        <w:rPr>
          <w:webHidden/>
          <w:sz w:val="24"/>
          <w:szCs w:val="24"/>
        </w:rPr>
        <w:t>1</w:t>
      </w:r>
    </w:p>
    <w:p w14:paraId="2108C4D5" w14:textId="77777777" w:rsidR="008437B1" w:rsidRPr="00E16719" w:rsidRDefault="00513F5F" w:rsidP="002A11DC">
      <w:pPr>
        <w:widowControl w:val="0"/>
        <w:adjustRightInd w:val="0"/>
        <w:snapToGrid w:val="0"/>
      </w:pPr>
      <w:r w:rsidRPr="00E16719">
        <w:rPr>
          <w:b/>
        </w:rPr>
        <w:fldChar w:fldCharType="end"/>
      </w:r>
    </w:p>
    <w:p w14:paraId="5C2C9DFD" w14:textId="77777777" w:rsidR="00A52231" w:rsidRPr="00E16719" w:rsidRDefault="00A52231" w:rsidP="00A52231">
      <w:pPr>
        <w:widowControl w:val="0"/>
        <w:adjustRightInd w:val="0"/>
        <w:snapToGrid w:val="0"/>
      </w:pPr>
      <w:r w:rsidRPr="00E16719">
        <w:t>ATTACHMENTS</w:t>
      </w:r>
    </w:p>
    <w:p w14:paraId="36B5CC60" w14:textId="77777777" w:rsidR="00A52231" w:rsidRPr="00E16719" w:rsidRDefault="00A52231" w:rsidP="00A52231">
      <w:pPr>
        <w:widowControl w:val="0"/>
        <w:adjustRightInd w:val="0"/>
        <w:snapToGrid w:val="0"/>
        <w:ind w:left="1080" w:hanging="360"/>
      </w:pPr>
      <w:r w:rsidRPr="00E16719">
        <w:t>Attachment 1: Brazil HIV SCD Risk Factor Assessment English</w:t>
      </w:r>
    </w:p>
    <w:p w14:paraId="776E5411" w14:textId="77777777" w:rsidR="00A52231" w:rsidRPr="00E16719" w:rsidRDefault="00A52231" w:rsidP="00A52231">
      <w:pPr>
        <w:widowControl w:val="0"/>
        <w:adjustRightInd w:val="0"/>
        <w:snapToGrid w:val="0"/>
        <w:ind w:left="1080" w:hanging="360"/>
      </w:pPr>
      <w:r w:rsidRPr="00E16719">
        <w:t>Attachment 2.1: Brazil HIV SCD Objective 1 Risk Factor Assessment Informed Consents</w:t>
      </w:r>
      <w:r w:rsidRPr="00E16719" w:rsidDel="00F75765">
        <w:t xml:space="preserve"> </w:t>
      </w:r>
      <w:r w:rsidRPr="00E16719">
        <w:t>English</w:t>
      </w:r>
    </w:p>
    <w:p w14:paraId="5E9BFE2B" w14:textId="77777777" w:rsidR="00A52231" w:rsidRPr="00E16719" w:rsidRDefault="00A52231" w:rsidP="00A52231">
      <w:pPr>
        <w:widowControl w:val="0"/>
        <w:adjustRightInd w:val="0"/>
        <w:snapToGrid w:val="0"/>
        <w:ind w:left="1080" w:hanging="360"/>
      </w:pPr>
      <w:r w:rsidRPr="00E16719">
        <w:t>Attachment 2.2: Brazil HIV SCD Objective 2 Risk Factor Assessment Informed Consent</w:t>
      </w:r>
      <w:r w:rsidRPr="00E16719" w:rsidDel="00F75765">
        <w:t xml:space="preserve"> </w:t>
      </w:r>
      <w:r w:rsidRPr="00E16719">
        <w:t>English</w:t>
      </w:r>
    </w:p>
    <w:p w14:paraId="2172AA57" w14:textId="77777777" w:rsidR="00A52231" w:rsidRPr="00E16719" w:rsidRDefault="00A52231" w:rsidP="00A52231">
      <w:pPr>
        <w:widowControl w:val="0"/>
        <w:adjustRightInd w:val="0"/>
        <w:snapToGrid w:val="0"/>
        <w:ind w:left="1080" w:hanging="360"/>
      </w:pPr>
      <w:r w:rsidRPr="00E16719">
        <w:t>Attachment 3: Supporting Documents</w:t>
      </w:r>
    </w:p>
    <w:p w14:paraId="46FD829A" w14:textId="77777777" w:rsidR="00A52231" w:rsidRPr="00E16719" w:rsidRDefault="00A52231" w:rsidP="00A52231">
      <w:pPr>
        <w:widowControl w:val="0"/>
        <w:adjustRightInd w:val="0"/>
        <w:snapToGrid w:val="0"/>
        <w:ind w:left="900"/>
      </w:pPr>
      <w:r w:rsidRPr="00E16719">
        <w:tab/>
        <w:t>3.1 OSMB members</w:t>
      </w:r>
    </w:p>
    <w:p w14:paraId="0688343A" w14:textId="77777777" w:rsidR="00A52231" w:rsidRPr="00E16719" w:rsidRDefault="00A52231" w:rsidP="00A52231">
      <w:pPr>
        <w:widowControl w:val="0"/>
        <w:adjustRightInd w:val="0"/>
        <w:snapToGrid w:val="0"/>
        <w:ind w:left="900"/>
      </w:pPr>
      <w:r w:rsidRPr="00E16719">
        <w:tab/>
        <w:t xml:space="preserve">3.2 Brazil HIV SCD Risk Factor Assessment: Description of each item, source, </w:t>
      </w:r>
      <w:r w:rsidRPr="00E16719">
        <w:tab/>
      </w:r>
      <w:r w:rsidRPr="00E16719">
        <w:tab/>
        <w:t>and goal</w:t>
      </w:r>
    </w:p>
    <w:p w14:paraId="32484639" w14:textId="77777777" w:rsidR="00A52231" w:rsidRPr="00E16719" w:rsidRDefault="00A52231" w:rsidP="00A52231">
      <w:pPr>
        <w:widowControl w:val="0"/>
        <w:adjustRightInd w:val="0"/>
        <w:snapToGrid w:val="0"/>
        <w:ind w:left="900"/>
      </w:pPr>
      <w:r w:rsidRPr="00E16719">
        <w:tab/>
        <w:t>3.3 IAC members</w:t>
      </w:r>
    </w:p>
    <w:p w14:paraId="19BAD88B" w14:textId="41D80925" w:rsidR="00A52231" w:rsidRPr="00E16719" w:rsidRDefault="00A52231" w:rsidP="00B45019">
      <w:pPr>
        <w:widowControl w:val="0"/>
        <w:adjustRightInd w:val="0"/>
        <w:snapToGrid w:val="0"/>
        <w:ind w:left="720"/>
      </w:pPr>
      <w:r w:rsidRPr="00E16719">
        <w:t xml:space="preserve">Attachment 4: </w:t>
      </w:r>
      <w:r w:rsidR="00B45019" w:rsidRPr="00E16719">
        <w:t>Brazil SCD P</w:t>
      </w:r>
      <w:r w:rsidRPr="00E16719">
        <w:t>rotocol</w:t>
      </w:r>
    </w:p>
    <w:p w14:paraId="30120C30" w14:textId="77777777" w:rsidR="00A52231" w:rsidRPr="00E16719" w:rsidRDefault="00A52231" w:rsidP="00A52231">
      <w:pPr>
        <w:widowControl w:val="0"/>
        <w:adjustRightInd w:val="0"/>
        <w:snapToGrid w:val="0"/>
        <w:ind w:left="720"/>
      </w:pPr>
      <w:r w:rsidRPr="00E16719">
        <w:t>Attachment 5: Brazil HIV SCD Risk Factor Assessment Portuguese</w:t>
      </w:r>
    </w:p>
    <w:p w14:paraId="3F6A500D" w14:textId="25A27E96" w:rsidR="00A52231" w:rsidRPr="00E16719" w:rsidRDefault="00A52231" w:rsidP="000B6FCF">
      <w:pPr>
        <w:widowControl w:val="0"/>
        <w:adjustRightInd w:val="0"/>
        <w:snapToGrid w:val="0"/>
        <w:ind w:left="720"/>
      </w:pPr>
      <w:r w:rsidRPr="00E16719">
        <w:t>Attachment 6: Brazil HIV SCD</w:t>
      </w:r>
      <w:r w:rsidR="000B6FCF" w:rsidRPr="00E16719">
        <w:t xml:space="preserve"> Objective 1</w:t>
      </w:r>
      <w:r w:rsidRPr="00E16719">
        <w:t xml:space="preserve"> Risk Factor Assessment Informed Consents Portuguese</w:t>
      </w:r>
    </w:p>
    <w:p w14:paraId="7F0D900D" w14:textId="44F4BCFA" w:rsidR="000B6FCF" w:rsidRPr="00E16719" w:rsidRDefault="000B6FCF" w:rsidP="00DB1B19">
      <w:pPr>
        <w:widowControl w:val="0"/>
        <w:adjustRightInd w:val="0"/>
        <w:snapToGrid w:val="0"/>
        <w:ind w:left="1080" w:hanging="360"/>
      </w:pPr>
      <w:r w:rsidRPr="00E16719">
        <w:t>Attachment 7: Brazil HIV SCD Objective 2 Risk Factor Assessment Informed Consent</w:t>
      </w:r>
      <w:r w:rsidRPr="00E16719" w:rsidDel="00F75765">
        <w:t xml:space="preserve"> </w:t>
      </w:r>
      <w:r w:rsidR="00DB1B19" w:rsidRPr="00E16719">
        <w:t>Portuguese</w:t>
      </w:r>
    </w:p>
    <w:p w14:paraId="5B9B778D" w14:textId="77777777" w:rsidR="000B6FCF" w:rsidRPr="00E16719" w:rsidRDefault="000B6FCF" w:rsidP="00A52231">
      <w:pPr>
        <w:widowControl w:val="0"/>
        <w:adjustRightInd w:val="0"/>
        <w:snapToGrid w:val="0"/>
        <w:ind w:left="720"/>
      </w:pPr>
    </w:p>
    <w:p w14:paraId="65649190" w14:textId="77777777" w:rsidR="008437B1" w:rsidRPr="00E16719" w:rsidRDefault="008437B1" w:rsidP="002A11DC">
      <w:pPr>
        <w:widowControl w:val="0"/>
        <w:adjustRightInd w:val="0"/>
        <w:snapToGrid w:val="0"/>
        <w:rPr>
          <w:b/>
        </w:rPr>
        <w:sectPr w:rsidR="008437B1" w:rsidRPr="00E16719" w:rsidSect="007E61A1">
          <w:footerReference w:type="even" r:id="rId9"/>
          <w:footerReference w:type="default" r:id="rId10"/>
          <w:pgSz w:w="12240" w:h="15840"/>
          <w:pgMar w:top="1440" w:right="1440" w:bottom="1440" w:left="1440" w:header="720" w:footer="720" w:gutter="0"/>
          <w:cols w:space="720"/>
          <w:docGrid w:linePitch="360"/>
        </w:sectPr>
      </w:pPr>
    </w:p>
    <w:p w14:paraId="5E312557" w14:textId="77777777" w:rsidR="008437B1" w:rsidRPr="00E16719" w:rsidRDefault="008437B1" w:rsidP="00E43A95">
      <w:pPr>
        <w:pStyle w:val="Heading3"/>
        <w:keepNext w:val="0"/>
        <w:widowControl w:val="0"/>
        <w:adjustRightInd w:val="0"/>
        <w:snapToGrid w:val="0"/>
        <w:spacing w:before="0" w:after="0"/>
        <w:jc w:val="center"/>
        <w:rPr>
          <w:rFonts w:ascii="Times New Roman" w:hAnsi="Times New Roman" w:cs="Times New Roman"/>
          <w:sz w:val="24"/>
          <w:szCs w:val="24"/>
        </w:rPr>
      </w:pPr>
      <w:bookmarkStart w:id="1" w:name="_Toc153351580"/>
      <w:r w:rsidRPr="00E16719">
        <w:rPr>
          <w:rFonts w:ascii="Times New Roman" w:hAnsi="Times New Roman" w:cs="Times New Roman"/>
          <w:sz w:val="24"/>
          <w:szCs w:val="24"/>
        </w:rPr>
        <w:lastRenderedPageBreak/>
        <w:t>SUPPORTING STATEMENT</w:t>
      </w:r>
      <w:bookmarkEnd w:id="1"/>
    </w:p>
    <w:p w14:paraId="1E726741" w14:textId="77777777" w:rsidR="00E43A95" w:rsidRPr="00E16719" w:rsidRDefault="00E43A95" w:rsidP="00E43A95">
      <w:pPr>
        <w:pStyle w:val="Heading3"/>
        <w:keepNext w:val="0"/>
        <w:widowControl w:val="0"/>
        <w:adjustRightInd w:val="0"/>
        <w:snapToGrid w:val="0"/>
        <w:spacing w:before="0" w:after="0"/>
        <w:rPr>
          <w:rFonts w:ascii="Times New Roman" w:hAnsi="Times New Roman" w:cs="Times New Roman"/>
          <w:sz w:val="24"/>
          <w:szCs w:val="24"/>
          <w:u w:val="single"/>
        </w:rPr>
      </w:pPr>
      <w:bookmarkStart w:id="2" w:name="_Toc153351581"/>
    </w:p>
    <w:p w14:paraId="25EFEAA1" w14:textId="77777777" w:rsidR="008437B1" w:rsidRPr="00E16719" w:rsidRDefault="008437B1" w:rsidP="00E43A95">
      <w:pPr>
        <w:pStyle w:val="Heading3"/>
        <w:keepNext w:val="0"/>
        <w:widowControl w:val="0"/>
        <w:adjustRightInd w:val="0"/>
        <w:snapToGrid w:val="0"/>
        <w:spacing w:before="0" w:after="0"/>
        <w:rPr>
          <w:rFonts w:ascii="Times New Roman" w:hAnsi="Times New Roman" w:cs="Times New Roman"/>
          <w:sz w:val="24"/>
          <w:szCs w:val="24"/>
        </w:rPr>
      </w:pPr>
      <w:r w:rsidRPr="00E16719">
        <w:rPr>
          <w:rFonts w:ascii="Times New Roman" w:hAnsi="Times New Roman" w:cs="Times New Roman"/>
          <w:sz w:val="24"/>
          <w:szCs w:val="24"/>
        </w:rPr>
        <w:t>Introduction and Summary</w:t>
      </w:r>
      <w:bookmarkEnd w:id="2"/>
      <w:r w:rsidRPr="00E16719">
        <w:rPr>
          <w:rFonts w:ascii="Times New Roman" w:hAnsi="Times New Roman" w:cs="Times New Roman"/>
          <w:sz w:val="24"/>
          <w:szCs w:val="24"/>
        </w:rPr>
        <w:br/>
      </w:r>
    </w:p>
    <w:p w14:paraId="0008D6F1" w14:textId="0BE118F5" w:rsidR="004B4054" w:rsidRPr="00E16719" w:rsidRDefault="00C945F6" w:rsidP="00AA0784">
      <w:pPr>
        <w:widowControl w:val="0"/>
        <w:adjustRightInd w:val="0"/>
        <w:snapToGrid w:val="0"/>
        <w:ind w:firstLine="720"/>
        <w:rPr>
          <w:color w:val="000000"/>
        </w:rPr>
      </w:pPr>
      <w:r w:rsidRPr="00E16719">
        <w:t>The Retrovirus Epidemiology Donor Study (REDS) program</w:t>
      </w:r>
      <w:r w:rsidR="0079484D" w:rsidRPr="00E16719">
        <w:t xml:space="preserve"> and</w:t>
      </w:r>
      <w:r w:rsidRPr="00E16719">
        <w:t xml:space="preserve"> </w:t>
      </w:r>
      <w:r w:rsidR="005F41F8" w:rsidRPr="00E16719">
        <w:t>successor programs,</w:t>
      </w:r>
      <w:r w:rsidR="0079484D" w:rsidRPr="00E16719">
        <w:t xml:space="preserve"> REDS-II</w:t>
      </w:r>
      <w:r w:rsidR="005F41F8" w:rsidRPr="00E16719">
        <w:t xml:space="preserve"> and the current Recipient Epidemiology and Donor Evaluation Study-III (REDS-III) program</w:t>
      </w:r>
      <w:r w:rsidRPr="00E16719">
        <w:t xml:space="preserve"> have conducted research focused on </w:t>
      </w:r>
      <w:r w:rsidR="00F76FB7" w:rsidRPr="00E16719">
        <w:t xml:space="preserve">the </w:t>
      </w:r>
      <w:r w:rsidRPr="00E16719">
        <w:t xml:space="preserve">safety of the blood supply and </w:t>
      </w:r>
      <w:r w:rsidR="005F41F8" w:rsidRPr="00E16719">
        <w:t xml:space="preserve">the </w:t>
      </w:r>
      <w:r w:rsidRPr="00E16719">
        <w:t>epidemiology of human immunodeficiency virus (HIV).  REDS-III</w:t>
      </w:r>
      <w:r w:rsidR="0079484D" w:rsidRPr="00E16719">
        <w:t xml:space="preserve"> </w:t>
      </w:r>
      <w:r w:rsidR="00F76FB7" w:rsidRPr="00E16719">
        <w:t xml:space="preserve">which is </w:t>
      </w:r>
      <w:r w:rsidR="005F41F8" w:rsidRPr="00E16719">
        <w:t xml:space="preserve">currently </w:t>
      </w:r>
      <w:r w:rsidR="0079484D" w:rsidRPr="00E16719">
        <w:t>conducted in the United States, Brazil, China and South Africa,</w:t>
      </w:r>
      <w:r w:rsidRPr="00E16719">
        <w:t xml:space="preserve"> has continued to </w:t>
      </w:r>
      <w:r w:rsidR="00F91707" w:rsidRPr="00E16719">
        <w:t>perform</w:t>
      </w:r>
      <w:r w:rsidRPr="00E16719">
        <w:t xml:space="preserve"> research related to HIV and blood safety </w:t>
      </w:r>
      <w:r w:rsidR="005F41F8" w:rsidRPr="00E16719">
        <w:t>and</w:t>
      </w:r>
      <w:r w:rsidRPr="00E16719">
        <w:t xml:space="preserve"> </w:t>
      </w:r>
      <w:r w:rsidR="0079484D" w:rsidRPr="00E16719">
        <w:t>has expanded to include</w:t>
      </w:r>
      <w:r w:rsidRPr="00E16719">
        <w:t xml:space="preserve"> </w:t>
      </w:r>
      <w:r w:rsidR="00690FC9" w:rsidRPr="00E16719">
        <w:t>a focus on the recipients of blood products</w:t>
      </w:r>
      <w:r w:rsidR="0079484D" w:rsidRPr="00E16719">
        <w:t>.</w:t>
      </w:r>
      <w:r w:rsidR="001F1773" w:rsidRPr="00E16719">
        <w:t xml:space="preserve"> </w:t>
      </w:r>
      <w:r w:rsidR="001F1773" w:rsidRPr="00E16719">
        <w:rPr>
          <w:color w:val="000000"/>
        </w:rPr>
        <w:t>Sickle cell disease</w:t>
      </w:r>
      <w:r w:rsidR="0079484D" w:rsidRPr="00E16719">
        <w:rPr>
          <w:color w:val="000000"/>
        </w:rPr>
        <w:t xml:space="preserve"> (SCD)</w:t>
      </w:r>
      <w:r w:rsidR="001F1773" w:rsidRPr="00E16719">
        <w:rPr>
          <w:color w:val="000000"/>
        </w:rPr>
        <w:t xml:space="preserve"> is a blood disorder that affects thousands </w:t>
      </w:r>
      <w:r w:rsidR="00D32BA5" w:rsidRPr="00E16719">
        <w:rPr>
          <w:color w:val="000000"/>
        </w:rPr>
        <w:t xml:space="preserve">of people </w:t>
      </w:r>
      <w:r w:rsidR="001F1773" w:rsidRPr="00E16719">
        <w:rPr>
          <w:color w:val="000000"/>
        </w:rPr>
        <w:t>in the United States</w:t>
      </w:r>
      <w:r w:rsidR="0079484D" w:rsidRPr="00E16719">
        <w:rPr>
          <w:color w:val="000000"/>
        </w:rPr>
        <w:t xml:space="preserve"> and Brazil</w:t>
      </w:r>
      <w:r w:rsidR="001F1773" w:rsidRPr="00E16719">
        <w:rPr>
          <w:color w:val="000000"/>
        </w:rPr>
        <w:t xml:space="preserve">.  </w:t>
      </w:r>
      <w:r w:rsidR="0079484D" w:rsidRPr="00E16719">
        <w:rPr>
          <w:color w:val="000000"/>
        </w:rPr>
        <w:t xml:space="preserve">Patients with SCD are </w:t>
      </w:r>
      <w:r w:rsidR="00350753" w:rsidRPr="00E16719">
        <w:rPr>
          <w:color w:val="000000"/>
        </w:rPr>
        <w:t>high</w:t>
      </w:r>
      <w:r w:rsidR="0079484D" w:rsidRPr="00E16719">
        <w:rPr>
          <w:color w:val="000000"/>
        </w:rPr>
        <w:t xml:space="preserve"> utilizers of blood both domestically and internationally and one component of the REDS-III research program in Brazil is to establish a cohort of SCD subjects that would provide the infrastructure to study transfusion outcomes and infectious diseases such as HIV </w:t>
      </w:r>
      <w:r w:rsidR="008D2FE5" w:rsidRPr="00E16719">
        <w:rPr>
          <w:color w:val="000000"/>
        </w:rPr>
        <w:t>in the SCD population.</w:t>
      </w:r>
    </w:p>
    <w:p w14:paraId="72984762" w14:textId="7A68B8E4" w:rsidR="008D2FE5" w:rsidRPr="00E16719" w:rsidRDefault="008562D8" w:rsidP="00B85A38">
      <w:pPr>
        <w:widowControl w:val="0"/>
        <w:adjustRightInd w:val="0"/>
        <w:snapToGrid w:val="0"/>
        <w:ind w:firstLine="720"/>
        <w:rPr>
          <w:color w:val="000000"/>
        </w:rPr>
      </w:pPr>
      <w:r w:rsidRPr="00E16719">
        <w:rPr>
          <w:color w:val="000000"/>
        </w:rPr>
        <w:t>Sick</w:t>
      </w:r>
      <w:r w:rsidR="00A67CDA" w:rsidRPr="00E16719">
        <w:rPr>
          <w:color w:val="000000"/>
        </w:rPr>
        <w:t>le</w:t>
      </w:r>
      <w:r w:rsidRPr="00E16719">
        <w:rPr>
          <w:color w:val="000000"/>
        </w:rPr>
        <w:t xml:space="preserve"> cell disease</w:t>
      </w:r>
      <w:r w:rsidR="00350753" w:rsidRPr="00E16719">
        <w:rPr>
          <w:color w:val="000000"/>
        </w:rPr>
        <w:t xml:space="preserve"> predominantly affects persons</w:t>
      </w:r>
      <w:r w:rsidR="00B31C91" w:rsidRPr="00E16719">
        <w:rPr>
          <w:color w:val="000000"/>
        </w:rPr>
        <w:t xml:space="preserve"> with ancestry</w:t>
      </w:r>
      <w:r w:rsidR="00350753" w:rsidRPr="00E16719">
        <w:rPr>
          <w:color w:val="000000"/>
        </w:rPr>
        <w:t xml:space="preserve"> of sub-Saharan Afri</w:t>
      </w:r>
      <w:r w:rsidR="00B31C91" w:rsidRPr="00E16719">
        <w:rPr>
          <w:color w:val="000000"/>
        </w:rPr>
        <w:t>ca</w:t>
      </w:r>
      <w:r w:rsidR="00FB609C" w:rsidRPr="00E16719">
        <w:rPr>
          <w:color w:val="000000"/>
        </w:rPr>
        <w:t xml:space="preserve"> and other malaria-endemic regions </w:t>
      </w:r>
      <w:r w:rsidR="00350753" w:rsidRPr="00E16719">
        <w:rPr>
          <w:color w:val="000000"/>
        </w:rPr>
        <w:t xml:space="preserve">as the heterozygous carrier state confers a survival advantage </w:t>
      </w:r>
      <w:r w:rsidR="00FB609C" w:rsidRPr="00E16719">
        <w:rPr>
          <w:color w:val="000000"/>
        </w:rPr>
        <w:t xml:space="preserve">for malaria.  Sub-Saharan Africa, where most people </w:t>
      </w:r>
      <w:r w:rsidR="00696877" w:rsidRPr="00E16719">
        <w:rPr>
          <w:color w:val="000000"/>
        </w:rPr>
        <w:t xml:space="preserve">with </w:t>
      </w:r>
      <w:r w:rsidR="00FB609C" w:rsidRPr="00E16719">
        <w:rPr>
          <w:color w:val="000000"/>
        </w:rPr>
        <w:t xml:space="preserve">SCD in the world live, remains one of the </w:t>
      </w:r>
      <w:r w:rsidR="00696877" w:rsidRPr="00E16719">
        <w:rPr>
          <w:color w:val="000000"/>
        </w:rPr>
        <w:t>regions</w:t>
      </w:r>
      <w:r w:rsidR="00B31C91" w:rsidRPr="00E16719">
        <w:rPr>
          <w:color w:val="000000"/>
        </w:rPr>
        <w:t xml:space="preserve"> most severely affected by HIV, with nearly 1 in every 20 adults living with </w:t>
      </w:r>
      <w:r w:rsidR="006A6F3A" w:rsidRPr="00E16719">
        <w:rPr>
          <w:color w:val="000000"/>
        </w:rPr>
        <w:t>the virus</w:t>
      </w:r>
      <w:r w:rsidR="00B31C91" w:rsidRPr="00E16719">
        <w:rPr>
          <w:color w:val="000000"/>
        </w:rPr>
        <w:t>.  In the</w:t>
      </w:r>
      <w:r w:rsidR="00310E86" w:rsidRPr="00E16719">
        <w:rPr>
          <w:color w:val="000000"/>
        </w:rPr>
        <w:t xml:space="preserve"> United States</w:t>
      </w:r>
      <w:r w:rsidR="00696877" w:rsidRPr="00E16719">
        <w:rPr>
          <w:color w:val="000000"/>
        </w:rPr>
        <w:t>,</w:t>
      </w:r>
      <w:r w:rsidR="00B31C91" w:rsidRPr="00E16719">
        <w:rPr>
          <w:color w:val="000000"/>
        </w:rPr>
        <w:t xml:space="preserve"> </w:t>
      </w:r>
      <w:r w:rsidR="00F91707" w:rsidRPr="00E16719">
        <w:rPr>
          <w:color w:val="000000"/>
        </w:rPr>
        <w:t>HIV disproportionately affects pe</w:t>
      </w:r>
      <w:r w:rsidR="00696877" w:rsidRPr="00E16719">
        <w:rPr>
          <w:color w:val="000000"/>
        </w:rPr>
        <w:t xml:space="preserve">rsons with African ancestry.  </w:t>
      </w:r>
      <w:r w:rsidR="00310E86" w:rsidRPr="00E16719">
        <w:rPr>
          <w:color w:val="000000"/>
        </w:rPr>
        <w:t xml:space="preserve">Despite the diseases’ occurrence in similar populations and the fact that both HIV and SCD are independent predictors of outcomes such as stroke, there is </w:t>
      </w:r>
      <w:r w:rsidR="007649EE" w:rsidRPr="00E16719">
        <w:rPr>
          <w:color w:val="000000"/>
        </w:rPr>
        <w:t xml:space="preserve">a paucity of data </w:t>
      </w:r>
      <w:r w:rsidR="00DF3DF0" w:rsidRPr="00E16719">
        <w:rPr>
          <w:color w:val="000000"/>
        </w:rPr>
        <w:t xml:space="preserve">to </w:t>
      </w:r>
      <w:r w:rsidR="00310E86" w:rsidRPr="00E16719">
        <w:rPr>
          <w:color w:val="000000"/>
        </w:rPr>
        <w:t>elucidate how</w:t>
      </w:r>
      <w:r w:rsidR="007649EE" w:rsidRPr="00E16719">
        <w:rPr>
          <w:color w:val="000000"/>
        </w:rPr>
        <w:t xml:space="preserve"> interaction </w:t>
      </w:r>
      <w:r w:rsidR="00310E86" w:rsidRPr="00E16719">
        <w:rPr>
          <w:color w:val="000000"/>
        </w:rPr>
        <w:t xml:space="preserve">between the two may </w:t>
      </w:r>
      <w:r w:rsidR="00DF3DF0" w:rsidRPr="00E16719">
        <w:rPr>
          <w:color w:val="000000"/>
        </w:rPr>
        <w:t>alter clinical outcomes in patients with co-existing</w:t>
      </w:r>
      <w:r w:rsidR="00310E86" w:rsidRPr="00E16719">
        <w:rPr>
          <w:color w:val="000000"/>
        </w:rPr>
        <w:t xml:space="preserve"> disease</w:t>
      </w:r>
      <w:r w:rsidR="00DF3DF0" w:rsidRPr="00E16719">
        <w:rPr>
          <w:color w:val="000000"/>
        </w:rPr>
        <w:t xml:space="preserve">.  </w:t>
      </w:r>
      <w:r w:rsidR="00B85A38" w:rsidRPr="00E16719">
        <w:rPr>
          <w:color w:val="000000"/>
        </w:rPr>
        <w:t xml:space="preserve"> </w:t>
      </w:r>
      <w:r w:rsidR="00DF3DF0" w:rsidRPr="00E16719">
        <w:rPr>
          <w:color w:val="000000"/>
        </w:rPr>
        <w:t>The proposed study will seek to understand the risk of HIV in the</w:t>
      </w:r>
      <w:r w:rsidR="0046563F">
        <w:rPr>
          <w:color w:val="000000"/>
        </w:rPr>
        <w:t xml:space="preserve"> Brazilian</w:t>
      </w:r>
      <w:r w:rsidR="00DF3DF0" w:rsidRPr="00E16719">
        <w:rPr>
          <w:color w:val="000000"/>
        </w:rPr>
        <w:t xml:space="preserve"> SCD population, describe HIV outcomes in SCD </w:t>
      </w:r>
      <w:r w:rsidR="0046563F">
        <w:rPr>
          <w:color w:val="000000"/>
        </w:rPr>
        <w:t xml:space="preserve">in Brazil, </w:t>
      </w:r>
      <w:r w:rsidR="00DF3DF0" w:rsidRPr="00E16719">
        <w:rPr>
          <w:color w:val="000000"/>
        </w:rPr>
        <w:t>and compare SCD outcomes between HIV positive and HIV negative SCD patients</w:t>
      </w:r>
      <w:r w:rsidR="0046563F">
        <w:rPr>
          <w:color w:val="000000"/>
        </w:rPr>
        <w:t xml:space="preserve"> in Brazil</w:t>
      </w:r>
      <w:r w:rsidR="00DF3DF0" w:rsidRPr="00E16719">
        <w:rPr>
          <w:color w:val="000000"/>
        </w:rPr>
        <w:t xml:space="preserve"> using the</w:t>
      </w:r>
      <w:r w:rsidR="00B85A38" w:rsidRPr="00E16719">
        <w:rPr>
          <w:color w:val="000000"/>
        </w:rPr>
        <w:t xml:space="preserve"> infrastructure established by the REDS-III SCD Cohort</w:t>
      </w:r>
      <w:r w:rsidR="0046563F">
        <w:rPr>
          <w:color w:val="000000"/>
        </w:rPr>
        <w:t xml:space="preserve"> in Brazil</w:t>
      </w:r>
      <w:r w:rsidR="00B85A38" w:rsidRPr="00E16719">
        <w:rPr>
          <w:color w:val="000000"/>
        </w:rPr>
        <w:t xml:space="preserve">.  </w:t>
      </w:r>
    </w:p>
    <w:p w14:paraId="62A91058" w14:textId="77777777" w:rsidR="003A0658" w:rsidRPr="00E16719" w:rsidRDefault="00DC4D64" w:rsidP="00D40956">
      <w:pPr>
        <w:widowControl w:val="0"/>
        <w:adjustRightInd w:val="0"/>
        <w:snapToGrid w:val="0"/>
        <w:ind w:firstLine="720"/>
        <w:rPr>
          <w:color w:val="000000"/>
        </w:rPr>
      </w:pPr>
      <w:r w:rsidRPr="00E16719">
        <w:rPr>
          <w:color w:val="000000"/>
        </w:rPr>
        <w:t xml:space="preserve">The limited studies focused on HIV in SCD have suggested a lower prevalence of HIV in SCD compared to a non-SCD population.  While some investigators have suggested that perhaps SCD pathophysiology has a unique effect on HIV infection or replication, none of the studies adequately measured risk of HIV in SCD. </w:t>
      </w:r>
      <w:r w:rsidR="003A0658" w:rsidRPr="00E16719">
        <w:rPr>
          <w:color w:val="000000"/>
        </w:rPr>
        <w:t xml:space="preserve"> The study has two main objectives:</w:t>
      </w:r>
    </w:p>
    <w:p w14:paraId="0AD7B11B" w14:textId="70D46C43" w:rsidR="003A0658" w:rsidRPr="00E16719" w:rsidRDefault="00DC4D64" w:rsidP="00D40956">
      <w:pPr>
        <w:widowControl w:val="0"/>
        <w:adjustRightInd w:val="0"/>
        <w:snapToGrid w:val="0"/>
        <w:ind w:firstLine="720"/>
        <w:rPr>
          <w:color w:val="000000"/>
        </w:rPr>
      </w:pPr>
      <w:r w:rsidRPr="00E16719">
        <w:rPr>
          <w:color w:val="000000"/>
        </w:rPr>
        <w:t xml:space="preserve"> Objective 1 of the proposed study is to compare HIV risk factors between 150</w:t>
      </w:r>
      <w:r w:rsidR="003A0658" w:rsidRPr="00E16719">
        <w:rPr>
          <w:color w:val="000000"/>
        </w:rPr>
        <w:t xml:space="preserve"> patients with</w:t>
      </w:r>
      <w:r w:rsidRPr="00E16719">
        <w:rPr>
          <w:color w:val="000000"/>
        </w:rPr>
        <w:t xml:space="preserve"> SCD </w:t>
      </w:r>
      <w:r w:rsidR="003A0658" w:rsidRPr="00E16719">
        <w:rPr>
          <w:color w:val="000000"/>
        </w:rPr>
        <w:t>(</w:t>
      </w:r>
      <w:r w:rsidRPr="00E16719">
        <w:rPr>
          <w:color w:val="000000"/>
        </w:rPr>
        <w:t>cases</w:t>
      </w:r>
      <w:r w:rsidR="003A0658" w:rsidRPr="00E16719">
        <w:rPr>
          <w:color w:val="000000"/>
        </w:rPr>
        <w:t>)</w:t>
      </w:r>
      <w:r w:rsidRPr="00E16719">
        <w:rPr>
          <w:color w:val="000000"/>
        </w:rPr>
        <w:t xml:space="preserve"> randomly selected from the REDS-III Cohort and 150 </w:t>
      </w:r>
      <w:r w:rsidR="008D7A25">
        <w:rPr>
          <w:color w:val="000000"/>
        </w:rPr>
        <w:t xml:space="preserve">age </w:t>
      </w:r>
      <w:r w:rsidR="006C566B">
        <w:rPr>
          <w:color w:val="000000"/>
        </w:rPr>
        <w:t xml:space="preserve">matched </w:t>
      </w:r>
      <w:r w:rsidRPr="00E16719">
        <w:rPr>
          <w:color w:val="000000"/>
        </w:rPr>
        <w:t>controls from a demographically similar population.  A</w:t>
      </w:r>
      <w:r w:rsidR="007525AD" w:rsidRPr="00E16719">
        <w:rPr>
          <w:color w:val="000000"/>
        </w:rPr>
        <w:t>n</w:t>
      </w:r>
      <w:r w:rsidRPr="00E16719">
        <w:rPr>
          <w:color w:val="000000"/>
        </w:rPr>
        <w:t xml:space="preserve"> </w:t>
      </w:r>
      <w:r w:rsidR="00DD2B03" w:rsidRPr="00E16719">
        <w:rPr>
          <w:color w:val="000000"/>
        </w:rPr>
        <w:t>assessment</w:t>
      </w:r>
      <w:r w:rsidRPr="00E16719">
        <w:rPr>
          <w:color w:val="000000"/>
        </w:rPr>
        <w:t xml:space="preserve"> that has been well validated in previous REDS</w:t>
      </w:r>
      <w:r w:rsidR="003A0658" w:rsidRPr="00E16719">
        <w:rPr>
          <w:color w:val="000000"/>
        </w:rPr>
        <w:t>/REDS-II</w:t>
      </w:r>
      <w:r w:rsidRPr="00E16719">
        <w:rPr>
          <w:color w:val="000000"/>
        </w:rPr>
        <w:t xml:space="preserve"> HIV studies has been modified for the SCD population and will be used to collect data regarding HIV risk behaviors</w:t>
      </w:r>
      <w:r w:rsidR="008D7A25">
        <w:rPr>
          <w:color w:val="000000"/>
        </w:rPr>
        <w:t>.</w:t>
      </w:r>
      <w:r w:rsidR="006C566B">
        <w:rPr>
          <w:color w:val="000000"/>
        </w:rPr>
        <w:t xml:space="preserve"> </w:t>
      </w:r>
      <w:r w:rsidR="008D7A25">
        <w:rPr>
          <w:color w:val="000000"/>
        </w:rPr>
        <w:t>B</w:t>
      </w:r>
      <w:r w:rsidR="006C566B">
        <w:rPr>
          <w:color w:val="000000"/>
        </w:rPr>
        <w:t xml:space="preserve">lood samples </w:t>
      </w:r>
      <w:r w:rsidR="008D7A25">
        <w:rPr>
          <w:color w:val="000000"/>
        </w:rPr>
        <w:t xml:space="preserve">will be tested </w:t>
      </w:r>
      <w:r w:rsidR="006C566B">
        <w:rPr>
          <w:color w:val="000000"/>
        </w:rPr>
        <w:t>to confirm HIV status in all participants</w:t>
      </w:r>
      <w:r w:rsidRPr="00E16719">
        <w:rPr>
          <w:color w:val="000000"/>
        </w:rPr>
        <w:t>.</w:t>
      </w:r>
    </w:p>
    <w:p w14:paraId="117D5009" w14:textId="219A2BDA" w:rsidR="008562D8" w:rsidRPr="00E16719" w:rsidRDefault="00DC4D64" w:rsidP="00D40956">
      <w:pPr>
        <w:widowControl w:val="0"/>
        <w:adjustRightInd w:val="0"/>
        <w:snapToGrid w:val="0"/>
        <w:ind w:firstLine="720"/>
        <w:rPr>
          <w:color w:val="000000"/>
        </w:rPr>
      </w:pPr>
      <w:r w:rsidRPr="00E16719">
        <w:rPr>
          <w:color w:val="000000"/>
        </w:rPr>
        <w:t xml:space="preserve">Objective 2 will seek to enroll approximately 25 SCD patients diagnosed with HIV infection </w:t>
      </w:r>
      <w:r w:rsidR="00367D8B" w:rsidRPr="00E16719">
        <w:rPr>
          <w:color w:val="000000"/>
        </w:rPr>
        <w:t>as part of routine clinical care at</w:t>
      </w:r>
      <w:r w:rsidR="00AA1354" w:rsidRPr="00E16719">
        <w:rPr>
          <w:color w:val="000000"/>
        </w:rPr>
        <w:t xml:space="preserve"> </w:t>
      </w:r>
      <w:r w:rsidRPr="00E16719">
        <w:rPr>
          <w:color w:val="000000"/>
        </w:rPr>
        <w:t>REDS-III participating centers in the previous 10 years</w:t>
      </w:r>
      <w:r w:rsidR="00367D8B" w:rsidRPr="00E16719">
        <w:rPr>
          <w:color w:val="000000"/>
        </w:rPr>
        <w:t xml:space="preserve"> and abstract detailed information regarding the HIV infection</w:t>
      </w:r>
      <w:r w:rsidR="00B63651" w:rsidRPr="00E16719">
        <w:rPr>
          <w:color w:val="000000"/>
        </w:rPr>
        <w:t xml:space="preserve"> and SCD </w:t>
      </w:r>
      <w:r w:rsidR="003A0658" w:rsidRPr="00E16719">
        <w:rPr>
          <w:color w:val="000000"/>
        </w:rPr>
        <w:t xml:space="preserve">outcomes </w:t>
      </w:r>
      <w:r w:rsidR="00367D8B" w:rsidRPr="00E16719">
        <w:rPr>
          <w:color w:val="000000"/>
        </w:rPr>
        <w:t>from medi</w:t>
      </w:r>
      <w:r w:rsidR="009544AE" w:rsidRPr="00E16719">
        <w:rPr>
          <w:color w:val="000000"/>
        </w:rPr>
        <w:t>c</w:t>
      </w:r>
      <w:r w:rsidR="00367D8B" w:rsidRPr="00E16719">
        <w:rPr>
          <w:color w:val="000000"/>
        </w:rPr>
        <w:t>al records</w:t>
      </w:r>
      <w:r w:rsidRPr="00E16719">
        <w:rPr>
          <w:color w:val="000000"/>
        </w:rPr>
        <w:t>.  This will allow a detailed case series description of HIV outcomes in this population</w:t>
      </w:r>
      <w:r w:rsidR="00863BB7" w:rsidRPr="00E16719">
        <w:rPr>
          <w:color w:val="000000"/>
        </w:rPr>
        <w:t xml:space="preserve"> (Objective 2a)</w:t>
      </w:r>
      <w:r w:rsidRPr="00E16719">
        <w:rPr>
          <w:color w:val="000000"/>
        </w:rPr>
        <w:t>.  Finally, HIV negative controls matched</w:t>
      </w:r>
      <w:r w:rsidR="006F2E0C" w:rsidRPr="00E16719">
        <w:rPr>
          <w:color w:val="000000"/>
        </w:rPr>
        <w:t xml:space="preserve"> in a 2:1 ratio</w:t>
      </w:r>
      <w:r w:rsidRPr="00E16719">
        <w:rPr>
          <w:color w:val="000000"/>
        </w:rPr>
        <w:t xml:space="preserve"> on age</w:t>
      </w:r>
      <w:r w:rsidR="006F2E0C" w:rsidRPr="00E16719">
        <w:rPr>
          <w:color w:val="000000"/>
        </w:rPr>
        <w:t xml:space="preserve"> (± 2 years)</w:t>
      </w:r>
      <w:r w:rsidRPr="00E16719">
        <w:rPr>
          <w:color w:val="000000"/>
        </w:rPr>
        <w:t xml:space="preserve">, gender, SCD type and </w:t>
      </w:r>
      <w:r w:rsidR="00DB1B19" w:rsidRPr="00E16719">
        <w:rPr>
          <w:color w:val="000000"/>
        </w:rPr>
        <w:t>H</w:t>
      </w:r>
      <w:r w:rsidR="006F2E0C" w:rsidRPr="00E16719">
        <w:rPr>
          <w:color w:val="000000"/>
        </w:rPr>
        <w:t>emo</w:t>
      </w:r>
      <w:r w:rsidRPr="00E16719">
        <w:rPr>
          <w:color w:val="000000"/>
        </w:rPr>
        <w:t xml:space="preserve">center </w:t>
      </w:r>
      <w:r w:rsidR="00367D8B" w:rsidRPr="00E16719">
        <w:rPr>
          <w:color w:val="000000"/>
        </w:rPr>
        <w:t xml:space="preserve">to the identified objective 2 HIV sero-positive SCD patients </w:t>
      </w:r>
      <w:r w:rsidRPr="00E16719">
        <w:rPr>
          <w:color w:val="000000"/>
        </w:rPr>
        <w:t>will be selected from the REDS-III cohort to compare SCD outcomes between HIV positive and HIV negative subjects</w:t>
      </w:r>
      <w:r w:rsidR="00863BB7" w:rsidRPr="00E16719">
        <w:rPr>
          <w:color w:val="000000"/>
        </w:rPr>
        <w:t xml:space="preserve"> (Objective 2b)</w:t>
      </w:r>
      <w:r w:rsidRPr="00E16719">
        <w:rPr>
          <w:color w:val="000000"/>
        </w:rPr>
        <w:t>.  The HIV negative controls</w:t>
      </w:r>
      <w:r w:rsidR="00863BB7" w:rsidRPr="00E16719">
        <w:rPr>
          <w:color w:val="000000"/>
        </w:rPr>
        <w:t xml:space="preserve"> to be included in the </w:t>
      </w:r>
      <w:r w:rsidR="003A0658" w:rsidRPr="00E16719">
        <w:rPr>
          <w:color w:val="000000"/>
        </w:rPr>
        <w:t xml:space="preserve">Objective </w:t>
      </w:r>
      <w:r w:rsidR="00863BB7" w:rsidRPr="00E16719">
        <w:rPr>
          <w:color w:val="000000"/>
        </w:rPr>
        <w:t>2b analysis</w:t>
      </w:r>
      <w:r w:rsidRPr="00E16719">
        <w:rPr>
          <w:color w:val="000000"/>
        </w:rPr>
        <w:t xml:space="preserve"> have already consented to participate in REDS-III research</w:t>
      </w:r>
      <w:r w:rsidR="00D40664" w:rsidRPr="00E16719">
        <w:rPr>
          <w:color w:val="000000"/>
        </w:rPr>
        <w:t xml:space="preserve">; </w:t>
      </w:r>
      <w:r w:rsidRPr="00E16719">
        <w:rPr>
          <w:color w:val="000000"/>
        </w:rPr>
        <w:t>therefore</w:t>
      </w:r>
      <w:r w:rsidR="00D40664" w:rsidRPr="00E16719">
        <w:rPr>
          <w:color w:val="000000"/>
        </w:rPr>
        <w:t>,</w:t>
      </w:r>
      <w:r w:rsidRPr="00E16719">
        <w:rPr>
          <w:color w:val="000000"/>
        </w:rPr>
        <w:t xml:space="preserve"> their SCD outcomes will be extracted from the REDS-III </w:t>
      </w:r>
      <w:r w:rsidR="00EC0390" w:rsidRPr="00E16719">
        <w:rPr>
          <w:color w:val="000000"/>
        </w:rPr>
        <w:t xml:space="preserve">SCD </w:t>
      </w:r>
      <w:r w:rsidRPr="00E16719">
        <w:rPr>
          <w:color w:val="000000"/>
        </w:rPr>
        <w:t>database.  No re-contact will be required</w:t>
      </w:r>
      <w:r w:rsidR="00EC0390" w:rsidRPr="00E16719">
        <w:rPr>
          <w:color w:val="000000"/>
        </w:rPr>
        <w:t>,</w:t>
      </w:r>
      <w:r w:rsidRPr="00E16719">
        <w:rPr>
          <w:color w:val="000000"/>
        </w:rPr>
        <w:t xml:space="preserve"> and no </w:t>
      </w:r>
      <w:r w:rsidR="00DD2B03" w:rsidRPr="00E16719">
        <w:rPr>
          <w:color w:val="000000"/>
        </w:rPr>
        <w:t>assessment</w:t>
      </w:r>
      <w:r w:rsidRPr="00E16719">
        <w:rPr>
          <w:color w:val="000000"/>
        </w:rPr>
        <w:t xml:space="preserve"> will be administered to th</w:t>
      </w:r>
      <w:r w:rsidR="00EC0390" w:rsidRPr="00E16719">
        <w:rPr>
          <w:color w:val="000000"/>
        </w:rPr>
        <w:t xml:space="preserve">is group of </w:t>
      </w:r>
      <w:r w:rsidR="00863BB7" w:rsidRPr="00E16719">
        <w:rPr>
          <w:color w:val="000000"/>
        </w:rPr>
        <w:t>HIV negative controls selected from the REDS-III SCD</w:t>
      </w:r>
      <w:r w:rsidR="00EC0390" w:rsidRPr="00E16719">
        <w:rPr>
          <w:color w:val="000000"/>
        </w:rPr>
        <w:t xml:space="preserve"> database.</w:t>
      </w:r>
      <w:r w:rsidRPr="00E16719">
        <w:rPr>
          <w:color w:val="000000"/>
        </w:rPr>
        <w:t xml:space="preserve"> This study will provide critical information to guide the management and future research for patients with HIV and SCD in Brazil, the United States</w:t>
      </w:r>
      <w:r w:rsidR="003A0658" w:rsidRPr="00E16719">
        <w:rPr>
          <w:color w:val="000000"/>
        </w:rPr>
        <w:t>,</w:t>
      </w:r>
      <w:r w:rsidRPr="00E16719">
        <w:rPr>
          <w:color w:val="000000"/>
        </w:rPr>
        <w:t xml:space="preserve"> and worldwide.</w:t>
      </w:r>
    </w:p>
    <w:p w14:paraId="56F781D9" w14:textId="77777777" w:rsidR="008437B1" w:rsidRPr="00E16719" w:rsidRDefault="001E5C5B" w:rsidP="004B4054">
      <w:pPr>
        <w:widowControl w:val="0"/>
        <w:adjustRightInd w:val="0"/>
        <w:snapToGrid w:val="0"/>
        <w:rPr>
          <w:color w:val="000000"/>
        </w:rPr>
      </w:pPr>
      <w:r w:rsidRPr="00E16719">
        <w:rPr>
          <w:color w:val="000000"/>
        </w:rPr>
        <w:t xml:space="preserve"> </w:t>
      </w:r>
    </w:p>
    <w:p w14:paraId="703D366C" w14:textId="77777777" w:rsidR="0034606F" w:rsidRPr="00E16719" w:rsidRDefault="008437B1" w:rsidP="0034606F">
      <w:pPr>
        <w:rPr>
          <w:b/>
        </w:rPr>
      </w:pPr>
      <w:bookmarkStart w:id="3" w:name="_Toc153351582"/>
      <w:r w:rsidRPr="00E16719">
        <w:rPr>
          <w:b/>
        </w:rPr>
        <w:t>A. Justification</w:t>
      </w:r>
      <w:bookmarkEnd w:id="3"/>
    </w:p>
    <w:p w14:paraId="775DD035" w14:textId="77777777" w:rsidR="008437B1" w:rsidRPr="00E16719" w:rsidRDefault="008437B1" w:rsidP="002A11DC">
      <w:pPr>
        <w:widowControl w:val="0"/>
        <w:adjustRightInd w:val="0"/>
        <w:snapToGrid w:val="0"/>
      </w:pPr>
    </w:p>
    <w:p w14:paraId="65096E93" w14:textId="77777777" w:rsidR="008437B1" w:rsidRPr="00E16719" w:rsidRDefault="008437B1" w:rsidP="002A11DC">
      <w:pPr>
        <w:pStyle w:val="E-mailSignature"/>
        <w:widowControl w:val="0"/>
        <w:adjustRightInd w:val="0"/>
        <w:snapToGrid w:val="0"/>
      </w:pPr>
      <w:bookmarkStart w:id="4" w:name="_Toc153351583"/>
      <w:r w:rsidRPr="00E16719">
        <w:rPr>
          <w:b/>
        </w:rPr>
        <w:t>A.1.</w:t>
      </w:r>
      <w:r w:rsidRPr="00E16719">
        <w:rPr>
          <w:b/>
        </w:rPr>
        <w:tab/>
        <w:t>Circumstances Making the Collection of Information Necessary</w:t>
      </w:r>
      <w:bookmarkEnd w:id="4"/>
    </w:p>
    <w:p w14:paraId="35E3D7D7" w14:textId="77777777" w:rsidR="00E43A95" w:rsidRPr="00E16719" w:rsidRDefault="00E43A95" w:rsidP="002A11DC">
      <w:pPr>
        <w:widowControl w:val="0"/>
        <w:autoSpaceDE w:val="0"/>
        <w:autoSpaceDN w:val="0"/>
        <w:adjustRightInd w:val="0"/>
        <w:snapToGrid w:val="0"/>
      </w:pPr>
    </w:p>
    <w:p w14:paraId="56B7C0C4" w14:textId="3FDB7514" w:rsidR="008437B1" w:rsidRPr="00E16719" w:rsidRDefault="008437B1" w:rsidP="006A5DF1">
      <w:pPr>
        <w:widowControl w:val="0"/>
        <w:autoSpaceDE w:val="0"/>
        <w:autoSpaceDN w:val="0"/>
        <w:adjustRightInd w:val="0"/>
        <w:snapToGrid w:val="0"/>
      </w:pPr>
      <w:r w:rsidRPr="00E16719">
        <w:tab/>
      </w:r>
      <w:r w:rsidR="006A5DF1" w:rsidRPr="00E16719">
        <w:t xml:space="preserve">As noted in </w:t>
      </w:r>
      <w:r w:rsidR="00B61F0F" w:rsidRPr="00E16719">
        <w:t xml:space="preserve">Worksheet </w:t>
      </w:r>
      <w:r w:rsidR="006A5DF1" w:rsidRPr="00E16719">
        <w:t>Part 1, u</w:t>
      </w:r>
      <w:r w:rsidR="00C6762F" w:rsidRPr="00E16719">
        <w:t xml:space="preserve">nder </w:t>
      </w:r>
      <w:hyperlink r:id="rId11" w:tooltip="Title 42 - THE PUBLIC HEALTH AND WELFARE" w:history="1">
        <w:r w:rsidR="00C6762F" w:rsidRPr="00E16719">
          <w:rPr>
            <w:rStyle w:val="Hyperlink"/>
          </w:rPr>
          <w:t>Title 42</w:t>
        </w:r>
      </w:hyperlink>
      <w:r w:rsidR="00C6762F" w:rsidRPr="00E16719">
        <w:t xml:space="preserve"> › </w:t>
      </w:r>
      <w:hyperlink r:id="rId12" w:tooltip="Chapter 6A - PUBLIC HEALTH SERVICE" w:history="1">
        <w:r w:rsidR="00C6762F" w:rsidRPr="00E16719">
          <w:rPr>
            <w:rStyle w:val="Hyperlink"/>
          </w:rPr>
          <w:t>Chapter 6A</w:t>
        </w:r>
      </w:hyperlink>
      <w:r w:rsidR="00C6762F" w:rsidRPr="00E16719">
        <w:t xml:space="preserve"> › </w:t>
      </w:r>
      <w:hyperlink r:id="rId13" w:tooltip="Subchapter III - NATIONAL RESEARCH INSTITUTES" w:history="1">
        <w:r w:rsidR="00C6762F" w:rsidRPr="00E16719">
          <w:rPr>
            <w:rStyle w:val="Hyperlink"/>
          </w:rPr>
          <w:t>Subchapter III</w:t>
        </w:r>
      </w:hyperlink>
      <w:r w:rsidR="00C6762F" w:rsidRPr="00E16719">
        <w:t xml:space="preserve"> › </w:t>
      </w:r>
      <w:hyperlink r:id="rId14" w:tooltip="Part C - Specific Provisions Respecting National Research Institutes" w:history="1">
        <w:r w:rsidR="00C6762F" w:rsidRPr="00E16719">
          <w:rPr>
            <w:rStyle w:val="Hyperlink"/>
          </w:rPr>
          <w:t>Part C</w:t>
        </w:r>
      </w:hyperlink>
      <w:r w:rsidR="00C6762F" w:rsidRPr="00E16719">
        <w:t xml:space="preserve"> › </w:t>
      </w:r>
      <w:hyperlink r:id="rId15" w:tooltip="Subpart 2 - national heart, lung, and blood institute" w:history="1">
        <w:r w:rsidR="00C6762F" w:rsidRPr="00E16719">
          <w:rPr>
            <w:rStyle w:val="Hyperlink"/>
          </w:rPr>
          <w:t>Subpart 2</w:t>
        </w:r>
      </w:hyperlink>
      <w:r w:rsidR="00C6762F" w:rsidRPr="00E16719">
        <w:t xml:space="preserve"> › § 285b–1</w:t>
      </w:r>
      <w:r w:rsidR="006A5DF1" w:rsidRPr="00E16719">
        <w:t xml:space="preserve"> </w:t>
      </w:r>
      <w:r w:rsidR="00C6762F" w:rsidRPr="00E16719">
        <w:t xml:space="preserve">the Director of the National Heart, </w:t>
      </w:r>
      <w:r w:rsidR="00095A03" w:rsidRPr="00E16719">
        <w:t xml:space="preserve">Lung and </w:t>
      </w:r>
      <w:r w:rsidR="00C6762F" w:rsidRPr="00E16719">
        <w:t xml:space="preserve">Blood Institute </w:t>
      </w:r>
      <w:r w:rsidR="00095A03" w:rsidRPr="00E16719">
        <w:t xml:space="preserve">(NHLBI) </w:t>
      </w:r>
      <w:r w:rsidR="00C6762F" w:rsidRPr="00E16719">
        <w:t xml:space="preserve">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w:t>
      </w:r>
      <w:r w:rsidR="009D4BBE" w:rsidRPr="00E16719">
        <w:t>“</w:t>
      </w:r>
      <w:r w:rsidR="00744E7E" w:rsidRPr="00E16719">
        <w:t>Characterization of risk of HIV and HIV outcomes in the Brazilian SCD population and comparison of SCD outcomes between HIV sero-positive and negative SCD patients</w:t>
      </w:r>
      <w:r w:rsidR="009D4BBE" w:rsidRPr="00E16719">
        <w:t>”</w:t>
      </w:r>
      <w:r w:rsidR="00C6762F" w:rsidRPr="00E16719">
        <w:t xml:space="preserve">, fits within the NHLBI’s research agenda as described here and in the other supporting documents.  </w:t>
      </w:r>
    </w:p>
    <w:p w14:paraId="2768FC0D" w14:textId="44BFDE92" w:rsidR="002C3270" w:rsidRPr="00E16719" w:rsidRDefault="00C51463" w:rsidP="00A67CDA">
      <w:pPr>
        <w:widowControl w:val="0"/>
        <w:autoSpaceDE w:val="0"/>
        <w:autoSpaceDN w:val="0"/>
        <w:adjustRightInd w:val="0"/>
        <w:snapToGrid w:val="0"/>
      </w:pPr>
      <w:r w:rsidRPr="00E16719">
        <w:tab/>
        <w:t xml:space="preserve">There </w:t>
      </w:r>
      <w:r w:rsidR="003A0658" w:rsidRPr="00E16719">
        <w:t>are</w:t>
      </w:r>
      <w:r w:rsidRPr="00E16719">
        <w:t xml:space="preserve"> limited data regarding the interaction between HIV and SCD, therefore this will be the first large study to provide answers </w:t>
      </w:r>
      <w:r w:rsidR="00481994" w:rsidRPr="00E16719">
        <w:t xml:space="preserve">to open questions regarding the risk, outcomes and management of these patients.  A few studies have compared the prevalence of HIV in SCD to a non-SCD population and have suggested a lower prevalence of HIV in SCD.  This has led to speculation that SCD pathophysiology may have some unique ability to inhibit HIV infection and/or replication. </w:t>
      </w:r>
      <w:r w:rsidR="002E66E1" w:rsidRPr="00E16719">
        <w:t>T</w:t>
      </w:r>
      <w:r w:rsidR="00481994" w:rsidRPr="00E16719">
        <w:t xml:space="preserve">his would be incredibly important to </w:t>
      </w:r>
      <w:r w:rsidR="002E66E1" w:rsidRPr="00E16719">
        <w:t>explore in order to shed light on potential mechanisms of resistance to HIV infection that may have implications for new therapeutic targets.  However, no studies have adequately investigated the risk of HIV in SCD</w:t>
      </w:r>
      <w:r w:rsidR="003A0658" w:rsidRPr="00E16719">
        <w:t>;</w:t>
      </w:r>
      <w:r w:rsidR="002E66E1" w:rsidRPr="00E16719">
        <w:t xml:space="preserve"> therefore</w:t>
      </w:r>
      <w:r w:rsidR="003A0658" w:rsidRPr="00E16719">
        <w:t>,</w:t>
      </w:r>
      <w:r w:rsidR="002E66E1" w:rsidRPr="00E16719">
        <w:t xml:space="preserve"> it is unknown if the</w:t>
      </w:r>
      <w:r w:rsidR="0085267E" w:rsidRPr="00E16719">
        <w:t xml:space="preserve"> suggested</w:t>
      </w:r>
      <w:r w:rsidR="002E66E1" w:rsidRPr="00E16719">
        <w:t xml:space="preserve"> lower prevalence of HIV is simply due to lower risk of acquisition rather than an impact of SCD pathophysiology </w:t>
      </w:r>
      <w:r w:rsidR="0085267E" w:rsidRPr="00E16719">
        <w:t xml:space="preserve">on the virus.  This study will administer a detailed HIV risk </w:t>
      </w:r>
      <w:r w:rsidR="00D31DFC" w:rsidRPr="00E16719">
        <w:t xml:space="preserve">assessment </w:t>
      </w:r>
      <w:r w:rsidR="0085267E" w:rsidRPr="00E16719">
        <w:t>to 150 SCD patient</w:t>
      </w:r>
      <w:r w:rsidR="00DC4D64" w:rsidRPr="00E16719">
        <w:t xml:space="preserve"> cases</w:t>
      </w:r>
      <w:r w:rsidR="0085267E" w:rsidRPr="00E16719">
        <w:t xml:space="preserve"> randomly selected from the REDS-III SCD Cohort</w:t>
      </w:r>
      <w:r w:rsidR="003129EE" w:rsidRPr="00E16719">
        <w:t xml:space="preserve"> (Establishing a Brazilian SCD Cohort and Identifying Molecular Determinants of Response to Transfusions, and</w:t>
      </w:r>
      <w:r w:rsidR="00D31DFC" w:rsidRPr="00E16719">
        <w:t xml:space="preserve"> </w:t>
      </w:r>
      <w:r w:rsidR="003129EE" w:rsidRPr="00E16719">
        <w:t xml:space="preserve">Genetic Determinants of Alloimmunization, clinical exemption number 2013-03-001) </w:t>
      </w:r>
      <w:r w:rsidR="0085267E" w:rsidRPr="00E16719">
        <w:t xml:space="preserve">and 150 </w:t>
      </w:r>
      <w:r w:rsidR="001E6BAC" w:rsidRPr="00E16719">
        <w:t xml:space="preserve">frequency matched </w:t>
      </w:r>
      <w:r w:rsidR="0085267E" w:rsidRPr="00E16719">
        <w:t>controls</w:t>
      </w:r>
      <w:r w:rsidR="001E6BAC" w:rsidRPr="00E16719">
        <w:t xml:space="preserve"> selected from SCD patient advocacy associations at each Hemocenter.  Selection of cases and controls will be stratified on Hemocenter and age, with age divided into 5-year intervals.  The goal is to have the number of controls in a stratum match the number of cases</w:t>
      </w:r>
      <w:r w:rsidR="0085267E" w:rsidRPr="00E16719">
        <w:t>.  These data regarding risk of HIV will provide important context to the reported prevalence of HIV in SCD.  If similar risk behaviors exist between SCD and a well-matched population without SCD, this would lend support to the hypothesis of an interaction between SCD pathophysiology and viral infectivity/replication and help drive the direction of future research in this area.</w:t>
      </w:r>
    </w:p>
    <w:p w14:paraId="77266F11" w14:textId="405C1057" w:rsidR="0085267E" w:rsidRPr="00E16719" w:rsidRDefault="0085267E" w:rsidP="00744E7E">
      <w:pPr>
        <w:widowControl w:val="0"/>
        <w:autoSpaceDE w:val="0"/>
        <w:autoSpaceDN w:val="0"/>
        <w:adjustRightInd w:val="0"/>
        <w:snapToGrid w:val="0"/>
      </w:pPr>
      <w:r w:rsidRPr="00E16719">
        <w:tab/>
      </w:r>
      <w:r w:rsidR="007525AD" w:rsidRPr="00E16719">
        <w:t>While objective 1 will measure</w:t>
      </w:r>
      <w:r w:rsidRPr="00E16719">
        <w:t xml:space="preserve"> risk of HIV in SCD</w:t>
      </w:r>
      <w:r w:rsidR="007525AD" w:rsidRPr="00E16719">
        <w:t xml:space="preserve"> and non-SCD controls</w:t>
      </w:r>
      <w:r w:rsidR="008825D8">
        <w:t xml:space="preserve"> in a sampled population within Brazil</w:t>
      </w:r>
      <w:r w:rsidRPr="00E16719">
        <w:t xml:space="preserve">, </w:t>
      </w:r>
      <w:r w:rsidR="007525AD" w:rsidRPr="00E16719">
        <w:t xml:space="preserve">objective 2 of this </w:t>
      </w:r>
      <w:r w:rsidRPr="00E16719">
        <w:t>study will enroll</w:t>
      </w:r>
      <w:r w:rsidR="007525AD" w:rsidRPr="00E16719">
        <w:t xml:space="preserve"> a different study population:</w:t>
      </w:r>
      <w:r w:rsidRPr="00E16719">
        <w:t xml:space="preserve"> all SCD patients diagnosed with HIV </w:t>
      </w:r>
      <w:r w:rsidR="00046DC2" w:rsidRPr="00E16719">
        <w:t xml:space="preserve">through routine clinical care </w:t>
      </w:r>
      <w:r w:rsidRPr="00E16719">
        <w:t xml:space="preserve">in </w:t>
      </w:r>
      <w:r w:rsidR="00B75B91" w:rsidRPr="00E16719">
        <w:t xml:space="preserve">the </w:t>
      </w:r>
      <w:r w:rsidRPr="00E16719">
        <w:t>10 years</w:t>
      </w:r>
      <w:r w:rsidR="00B75B91" w:rsidRPr="00E16719">
        <w:t xml:space="preserve"> prior to study initiation</w:t>
      </w:r>
      <w:r w:rsidRPr="00E16719">
        <w:t xml:space="preserve"> at the REDS-III </w:t>
      </w:r>
      <w:r w:rsidR="008825D8">
        <w:t xml:space="preserve">Brazil </w:t>
      </w:r>
      <w:r w:rsidRPr="00E16719">
        <w:t>participating centers: Hemorio in Rio de Janeiro, Hemominas in Belo Horizonte, Juiz de Fora and Montes Claros and Hemope in Recife, Brazil.</w:t>
      </w:r>
      <w:r w:rsidR="007525AD" w:rsidRPr="00E16719">
        <w:t xml:space="preserve"> </w:t>
      </w:r>
      <w:r w:rsidR="00B75B91" w:rsidRPr="00E16719">
        <w:t xml:space="preserve">A detailed medical record review to capture HIV and SCD outcomes </w:t>
      </w:r>
      <w:r w:rsidR="005003A2" w:rsidRPr="00E16719">
        <w:t xml:space="preserve">and laboratory assessments relevant for HIV outcomes </w:t>
      </w:r>
      <w:r w:rsidR="00B75B91" w:rsidRPr="00E16719">
        <w:t xml:space="preserve">will be performed. </w:t>
      </w:r>
      <w:r w:rsidR="00863BB7" w:rsidRPr="00E16719">
        <w:t xml:space="preserve">The goal of objective 2a is to describe outcomes of HIV in the SCD population.  </w:t>
      </w:r>
      <w:r w:rsidR="00700216" w:rsidRPr="00E16719">
        <w:t>In order to limit survival bias in the analysis that would suggest improved outcomes in HIV in SCD simply if all patients with poor outcomes were deceased and not included in the analysis, we will seek ethical committee approval to perform a medical record review of all HIV positive SCD patients deceased or lost to follow up at the</w:t>
      </w:r>
      <w:r w:rsidR="000B388B" w:rsidRPr="00E16719">
        <w:t xml:space="preserve"> time of study start in addition to recruiting all HIV positive SCD patients followed by the Hemocenters.  Therefore this will likely be the largest, and most comprehensive, case series desc</w:t>
      </w:r>
      <w:r w:rsidR="00CE30AB" w:rsidRPr="00E16719">
        <w:t xml:space="preserve">ription of HIV in SCD to date, contributing significantly to the current lack of understanding </w:t>
      </w:r>
      <w:r w:rsidR="008047A7" w:rsidRPr="00E16719">
        <w:t xml:space="preserve">regarding </w:t>
      </w:r>
      <w:r w:rsidR="00CE30AB" w:rsidRPr="00E16719">
        <w:t xml:space="preserve">HIV outcomes in this population.  </w:t>
      </w:r>
    </w:p>
    <w:p w14:paraId="3785365D" w14:textId="26EBB924" w:rsidR="0085267E" w:rsidRPr="00E16719" w:rsidRDefault="00CE30AB" w:rsidP="00744E7E">
      <w:pPr>
        <w:widowControl w:val="0"/>
        <w:autoSpaceDE w:val="0"/>
        <w:autoSpaceDN w:val="0"/>
        <w:adjustRightInd w:val="0"/>
        <w:snapToGrid w:val="0"/>
      </w:pPr>
      <w:r w:rsidRPr="00E16719">
        <w:tab/>
        <w:t xml:space="preserve">The final objective </w:t>
      </w:r>
      <w:r w:rsidR="00863BB7" w:rsidRPr="00E16719">
        <w:t xml:space="preserve">(objective 2b) </w:t>
      </w:r>
      <w:r w:rsidRPr="00E16719">
        <w:t>of the study is to compare key SCD outcomes between HIV positive and HIV negative SCD patients</w:t>
      </w:r>
      <w:r w:rsidR="008825D8">
        <w:t xml:space="preserve"> in Brazil</w:t>
      </w:r>
      <w:r w:rsidR="00863BB7" w:rsidRPr="00E16719">
        <w:t>.</w:t>
      </w:r>
      <w:r w:rsidRPr="00E16719">
        <w:t xml:space="preserve"> </w:t>
      </w:r>
      <w:r w:rsidR="00863BB7" w:rsidRPr="00E16719">
        <w:t xml:space="preserve"> We will </w:t>
      </w:r>
      <w:r w:rsidRPr="00E16719">
        <w:t>select</w:t>
      </w:r>
      <w:r w:rsidR="00863BB7" w:rsidRPr="00E16719">
        <w:t xml:space="preserve"> </w:t>
      </w:r>
      <w:r w:rsidRPr="00E16719">
        <w:t xml:space="preserve">HIV negative controls from the REDS-III </w:t>
      </w:r>
      <w:r w:rsidR="00ED7326" w:rsidRPr="00E16719">
        <w:t xml:space="preserve">SCD </w:t>
      </w:r>
      <w:r w:rsidRPr="00E16719">
        <w:t xml:space="preserve">Cohort database who are matched </w:t>
      </w:r>
      <w:r w:rsidR="006F2E0C" w:rsidRPr="00E16719">
        <w:t xml:space="preserve">in a 2:1 ratio </w:t>
      </w:r>
      <w:r w:rsidRPr="00E16719">
        <w:t>for age</w:t>
      </w:r>
      <w:r w:rsidR="00362D0E" w:rsidRPr="00E16719">
        <w:t xml:space="preserve"> </w:t>
      </w:r>
      <w:r w:rsidR="006F2E0C" w:rsidRPr="00E16719">
        <w:t>(± 2 years)</w:t>
      </w:r>
      <w:r w:rsidRPr="00E16719">
        <w:t xml:space="preserve">, gender, SCD type and </w:t>
      </w:r>
      <w:r w:rsidR="006F2E0C" w:rsidRPr="00E16719">
        <w:t>hemocenter</w:t>
      </w:r>
      <w:r w:rsidRPr="00E16719">
        <w:t xml:space="preserve"> to the identified HIV positive SCD patients </w:t>
      </w:r>
      <w:r w:rsidR="00863BB7" w:rsidRPr="00E16719">
        <w:t xml:space="preserve">enrolled </w:t>
      </w:r>
      <w:r w:rsidRPr="00E16719">
        <w:t xml:space="preserve">in objective 2.  Both HIV and SCD are known to be independent predictors of stroke, </w:t>
      </w:r>
      <w:r w:rsidR="0030142F" w:rsidRPr="00E16719">
        <w:t>pulmonary hypertension, avascular necrosis and other outcomes.  It is presumed HIV and SCD may interact to increase the odds of these complications, but no studies have specifically investigated this.  Understanding the odds of these outcomes in patients with co-existing disease has important implications for the management and monitoring of patients.</w:t>
      </w:r>
      <w:r w:rsidR="00EA3348" w:rsidRPr="00E16719">
        <w:t xml:space="preserve">  Therefore collecting all information required for this research is necessary to provide important data</w:t>
      </w:r>
      <w:r w:rsidR="005004C3" w:rsidRPr="00E16719">
        <w:t xml:space="preserve"> to guide future </w:t>
      </w:r>
      <w:r w:rsidR="00916FB6" w:rsidRPr="00E16719">
        <w:t>treatment strategies for this group of patients.</w:t>
      </w:r>
    </w:p>
    <w:p w14:paraId="626B14D7" w14:textId="77777777" w:rsidR="00252AB3" w:rsidRPr="00E16719" w:rsidRDefault="00252AB3" w:rsidP="002A11DC">
      <w:pPr>
        <w:widowControl w:val="0"/>
        <w:tabs>
          <w:tab w:val="left" w:pos="720"/>
          <w:tab w:val="left" w:pos="6732"/>
        </w:tabs>
        <w:adjustRightInd w:val="0"/>
        <w:snapToGrid w:val="0"/>
        <w:jc w:val="both"/>
        <w:rPr>
          <w:b/>
        </w:rPr>
      </w:pPr>
      <w:bookmarkStart w:id="5" w:name="_Toc153351585"/>
    </w:p>
    <w:p w14:paraId="410B5CB0" w14:textId="77777777" w:rsidR="008437B1" w:rsidRPr="00E16719" w:rsidRDefault="008437B1" w:rsidP="002A11DC">
      <w:pPr>
        <w:widowControl w:val="0"/>
        <w:tabs>
          <w:tab w:val="left" w:pos="720"/>
          <w:tab w:val="left" w:pos="6732"/>
        </w:tabs>
        <w:adjustRightInd w:val="0"/>
        <w:snapToGrid w:val="0"/>
        <w:jc w:val="both"/>
        <w:rPr>
          <w:b/>
        </w:rPr>
      </w:pPr>
      <w:r w:rsidRPr="00E16719">
        <w:rPr>
          <w:b/>
        </w:rPr>
        <w:t>A.2. Purpose and use of the information</w:t>
      </w:r>
      <w:bookmarkEnd w:id="5"/>
    </w:p>
    <w:p w14:paraId="6BEFAAF2" w14:textId="77777777" w:rsidR="00E43A95" w:rsidRPr="00E16719" w:rsidRDefault="00E43A95" w:rsidP="009C0F80">
      <w:pPr>
        <w:widowControl w:val="0"/>
        <w:adjustRightInd w:val="0"/>
        <w:snapToGrid w:val="0"/>
        <w:ind w:left="90" w:firstLine="630"/>
        <w:jc w:val="both"/>
      </w:pPr>
    </w:p>
    <w:p w14:paraId="647DEC0A" w14:textId="372A7FC8" w:rsidR="0072239F" w:rsidRPr="00E16719" w:rsidRDefault="00D4311E" w:rsidP="009D4BBE">
      <w:pPr>
        <w:widowControl w:val="0"/>
        <w:adjustRightInd w:val="0"/>
        <w:snapToGrid w:val="0"/>
        <w:ind w:firstLine="634"/>
        <w:jc w:val="both"/>
        <w:rPr>
          <w:color w:val="000000"/>
        </w:rPr>
      </w:pPr>
      <w:r w:rsidRPr="00E16719">
        <w:rPr>
          <w:color w:val="000000"/>
        </w:rPr>
        <w:t>T</w:t>
      </w:r>
      <w:r w:rsidR="008437B1" w:rsidRPr="00E16719">
        <w:rPr>
          <w:color w:val="000000"/>
        </w:rPr>
        <w:t xml:space="preserve">he </w:t>
      </w:r>
      <w:r w:rsidRPr="00E16719">
        <w:rPr>
          <w:color w:val="000000"/>
        </w:rPr>
        <w:t xml:space="preserve">specific </w:t>
      </w:r>
      <w:r w:rsidR="008437B1" w:rsidRPr="00E16719">
        <w:rPr>
          <w:color w:val="000000"/>
        </w:rPr>
        <w:t xml:space="preserve">objectives </w:t>
      </w:r>
      <w:r w:rsidR="00916FB6" w:rsidRPr="00E16719">
        <w:rPr>
          <w:color w:val="000000"/>
        </w:rPr>
        <w:t xml:space="preserve">of this research </w:t>
      </w:r>
      <w:r w:rsidR="008437B1" w:rsidRPr="00E16719">
        <w:rPr>
          <w:color w:val="000000"/>
        </w:rPr>
        <w:t xml:space="preserve">are to 1) </w:t>
      </w:r>
      <w:r w:rsidR="00916FB6" w:rsidRPr="00E16719">
        <w:rPr>
          <w:color w:val="000000"/>
        </w:rPr>
        <w:t>measure the risk of HIV in the</w:t>
      </w:r>
      <w:r w:rsidR="008102F6">
        <w:rPr>
          <w:color w:val="000000"/>
        </w:rPr>
        <w:t xml:space="preserve"> Brazilian</w:t>
      </w:r>
      <w:r w:rsidR="00916FB6" w:rsidRPr="00E16719">
        <w:rPr>
          <w:color w:val="000000"/>
        </w:rPr>
        <w:t xml:space="preserve"> SCD population, 2</w:t>
      </w:r>
      <w:r w:rsidR="006A684E" w:rsidRPr="00E16719">
        <w:rPr>
          <w:color w:val="000000"/>
        </w:rPr>
        <w:t>a</w:t>
      </w:r>
      <w:r w:rsidR="00916FB6" w:rsidRPr="00E16719">
        <w:rPr>
          <w:color w:val="000000"/>
        </w:rPr>
        <w:t>) charac</w:t>
      </w:r>
      <w:r w:rsidR="006A684E" w:rsidRPr="00E16719">
        <w:rPr>
          <w:color w:val="000000"/>
        </w:rPr>
        <w:t xml:space="preserve">terize HIV outcomes in SCD </w:t>
      </w:r>
      <w:r w:rsidR="008102F6">
        <w:rPr>
          <w:color w:val="000000"/>
        </w:rPr>
        <w:t xml:space="preserve">in Brazil </w:t>
      </w:r>
      <w:r w:rsidR="006A684E" w:rsidRPr="00E16719">
        <w:rPr>
          <w:color w:val="000000"/>
        </w:rPr>
        <w:t>and 2b</w:t>
      </w:r>
      <w:r w:rsidR="00916FB6" w:rsidRPr="00E16719">
        <w:rPr>
          <w:color w:val="000000"/>
        </w:rPr>
        <w:t>) compare SCD outcomes between HIV positive and HIV negative SCD patients</w:t>
      </w:r>
      <w:r w:rsidR="008102F6">
        <w:rPr>
          <w:color w:val="000000"/>
        </w:rPr>
        <w:t xml:space="preserve"> in Brazil</w:t>
      </w:r>
      <w:r w:rsidR="00916FB6" w:rsidRPr="00E16719">
        <w:rPr>
          <w:color w:val="000000"/>
        </w:rPr>
        <w:t xml:space="preserve">.  </w:t>
      </w:r>
    </w:p>
    <w:p w14:paraId="0D4B1921" w14:textId="7E5D4112" w:rsidR="000B1A31" w:rsidRPr="00E16719" w:rsidRDefault="000B1A31" w:rsidP="00DD2B03">
      <w:pPr>
        <w:widowControl w:val="0"/>
        <w:adjustRightInd w:val="0"/>
        <w:snapToGrid w:val="0"/>
        <w:ind w:firstLine="634"/>
        <w:jc w:val="both"/>
        <w:rPr>
          <w:color w:val="000000"/>
        </w:rPr>
      </w:pPr>
      <w:r w:rsidRPr="00E16719">
        <w:rPr>
          <w:color w:val="000000"/>
        </w:rPr>
        <w:tab/>
        <w:t>The information collected to achieve objective 1 will include answers to a</w:t>
      </w:r>
      <w:r w:rsidR="007525AD" w:rsidRPr="00E16719">
        <w:rPr>
          <w:color w:val="000000"/>
        </w:rPr>
        <w:t>n</w:t>
      </w:r>
      <w:r w:rsidRPr="00E16719">
        <w:rPr>
          <w:color w:val="000000"/>
        </w:rPr>
        <w:t xml:space="preserve"> </w:t>
      </w:r>
      <w:r w:rsidR="00DD2B03" w:rsidRPr="00E16719">
        <w:rPr>
          <w:color w:val="000000"/>
        </w:rPr>
        <w:t xml:space="preserve">assessment </w:t>
      </w:r>
      <w:r w:rsidR="00BD5BD2" w:rsidRPr="00E16719">
        <w:rPr>
          <w:color w:val="000000"/>
        </w:rPr>
        <w:t xml:space="preserve">designed to measure HIV risk behaviors.  The </w:t>
      </w:r>
      <w:r w:rsidR="00DD2B03" w:rsidRPr="00E16719">
        <w:rPr>
          <w:color w:val="000000"/>
        </w:rPr>
        <w:t xml:space="preserve">assessment </w:t>
      </w:r>
      <w:r w:rsidR="00BD5BD2" w:rsidRPr="00E16719">
        <w:rPr>
          <w:color w:val="000000"/>
        </w:rPr>
        <w:t>is based upon an instrument previously utilized and validated by the US Centers for Disease Control and Prevention (CDC) in its HIV surveillance at U.S. blood banks and has been modified for use in th</w:t>
      </w:r>
      <w:r w:rsidR="00D276ED" w:rsidRPr="00E16719">
        <w:rPr>
          <w:color w:val="000000"/>
        </w:rPr>
        <w:t>is Study’s</w:t>
      </w:r>
      <w:r w:rsidR="00BD5BD2" w:rsidRPr="00E16719">
        <w:rPr>
          <w:color w:val="000000"/>
        </w:rPr>
        <w:t xml:space="preserve"> Brazilian setting for </w:t>
      </w:r>
      <w:r w:rsidR="00BE292E" w:rsidRPr="00E16719">
        <w:rPr>
          <w:color w:val="000000"/>
        </w:rPr>
        <w:t>the</w:t>
      </w:r>
      <w:r w:rsidR="00BD5BD2" w:rsidRPr="00E16719">
        <w:rPr>
          <w:color w:val="000000"/>
        </w:rPr>
        <w:t xml:space="preserve"> REDS </w:t>
      </w:r>
      <w:r w:rsidR="00046DC2" w:rsidRPr="00E16719">
        <w:rPr>
          <w:color w:val="000000"/>
        </w:rPr>
        <w:t>study “Prevalence, Incidence, Epidemiology and Molecular Variants of HIV in Blood Donors in Brazil” (OMB control number 0925-0597)</w:t>
      </w:r>
      <w:r w:rsidR="00BD5BD2" w:rsidRPr="00E16719">
        <w:rPr>
          <w:color w:val="000000"/>
        </w:rPr>
        <w:t xml:space="preserve">.  The </w:t>
      </w:r>
      <w:r w:rsidR="00DD2B03" w:rsidRPr="00E16719">
        <w:rPr>
          <w:color w:val="000000"/>
        </w:rPr>
        <w:t xml:space="preserve">assessment </w:t>
      </w:r>
      <w:r w:rsidR="00BD5BD2" w:rsidRPr="00E16719">
        <w:rPr>
          <w:color w:val="000000"/>
        </w:rPr>
        <w:t xml:space="preserve">was further modified for the Brazilian SCD population with input from Brazilian physicians, nurses and research assistants familiar with the population.  Questions will capture </w:t>
      </w:r>
      <w:r w:rsidR="006769C2" w:rsidRPr="00E16719">
        <w:rPr>
          <w:color w:val="000000"/>
        </w:rPr>
        <w:t>data regarding known HIV risk factors such as number of sexual partners (lifetime and previous 12 months), intravenous drug use (IVDU), sex with known HIV positive persons, men who have sex with men (MSM) and other risk factors.  The prevalence of the risk factors in the SCD population will be compared to a</w:t>
      </w:r>
      <w:r w:rsidR="006F2E0C" w:rsidRPr="00E16719">
        <w:rPr>
          <w:color w:val="000000"/>
        </w:rPr>
        <w:t xml:space="preserve"> frequency</w:t>
      </w:r>
      <w:r w:rsidR="006769C2" w:rsidRPr="00E16719">
        <w:rPr>
          <w:color w:val="000000"/>
        </w:rPr>
        <w:t xml:space="preserve"> matched population of similar age</w:t>
      </w:r>
      <w:r w:rsidR="006F2E0C" w:rsidRPr="00E16719">
        <w:rPr>
          <w:color w:val="000000"/>
        </w:rPr>
        <w:t xml:space="preserve"> and coming from a similar</w:t>
      </w:r>
      <w:r w:rsidR="006769C2" w:rsidRPr="00E16719">
        <w:rPr>
          <w:color w:val="000000"/>
        </w:rPr>
        <w:t xml:space="preserve"> region. </w:t>
      </w:r>
      <w:r w:rsidR="006A684E" w:rsidRPr="00E16719">
        <w:rPr>
          <w:color w:val="000000"/>
        </w:rPr>
        <w:t>The purpose of the information is to allow a comparison of the prevalence of HIV risk factors in the two populations, thereby providing an assessment of the risk of HIV in the SCD population.</w:t>
      </w:r>
    </w:p>
    <w:p w14:paraId="2A71553E" w14:textId="73EFF46C" w:rsidR="006A684E" w:rsidRPr="00E16719" w:rsidRDefault="006A684E" w:rsidP="009D4BBE">
      <w:pPr>
        <w:widowControl w:val="0"/>
        <w:adjustRightInd w:val="0"/>
        <w:snapToGrid w:val="0"/>
        <w:ind w:firstLine="634"/>
        <w:jc w:val="both"/>
        <w:rPr>
          <w:color w:val="000000"/>
        </w:rPr>
      </w:pPr>
      <w:r w:rsidRPr="00E16719">
        <w:rPr>
          <w:color w:val="000000"/>
        </w:rPr>
        <w:tab/>
        <w:t>The information collected to achieve objective 2 will include outcomes relevant for SCD and HIV.  The medical record of each participant</w:t>
      </w:r>
      <w:r w:rsidR="007525AD" w:rsidRPr="00E16719">
        <w:rPr>
          <w:color w:val="000000"/>
        </w:rPr>
        <w:t xml:space="preserve"> enrolled in objective 2a (HIV sero-positive SCD patients)</w:t>
      </w:r>
      <w:r w:rsidRPr="00E16719">
        <w:rPr>
          <w:color w:val="000000"/>
        </w:rPr>
        <w:t xml:space="preserve"> will be reviewed to abstract these outcomes.  Key clinical and laboratory outcomes related to HIV will include method of HIV acquisition, prevalence of AIDS defining illnesses, CD4 count at time of diagnosis and most recent contact and details of HIV therapy.  The purpose of this information is to provide a detailed, comprehensive description of HIV outcomes in SCD.  </w:t>
      </w:r>
      <w:r w:rsidR="00953D6E" w:rsidRPr="00E16719">
        <w:rPr>
          <w:color w:val="000000"/>
        </w:rPr>
        <w:t xml:space="preserve">The information collected regarding SCD will include presence of stroke, avascular necrosis, pulmonary hypertension and frequency of pain episodes and acute chest syndrome as well as other key indicators of disease severity.  </w:t>
      </w:r>
      <w:r w:rsidR="007525AD" w:rsidRPr="00E16719">
        <w:rPr>
          <w:color w:val="000000"/>
        </w:rPr>
        <w:t>SCD o</w:t>
      </w:r>
      <w:r w:rsidR="00953D6E" w:rsidRPr="00E16719">
        <w:rPr>
          <w:color w:val="000000"/>
        </w:rPr>
        <w:t xml:space="preserve">utcomes </w:t>
      </w:r>
      <w:r w:rsidR="007525AD" w:rsidRPr="00E16719">
        <w:rPr>
          <w:color w:val="000000"/>
        </w:rPr>
        <w:t xml:space="preserve">in HIV sero-positive Objective 2 participants </w:t>
      </w:r>
      <w:r w:rsidRPr="00E16719">
        <w:rPr>
          <w:color w:val="000000"/>
        </w:rPr>
        <w:t xml:space="preserve">will be </w:t>
      </w:r>
      <w:r w:rsidR="00953D6E" w:rsidRPr="00E16719">
        <w:rPr>
          <w:color w:val="000000"/>
        </w:rPr>
        <w:t xml:space="preserve">compared to HIV negative SCD subjects from the REDS-III </w:t>
      </w:r>
      <w:r w:rsidR="00EE41CD" w:rsidRPr="00E16719">
        <w:rPr>
          <w:color w:val="000000"/>
        </w:rPr>
        <w:t xml:space="preserve">SCD </w:t>
      </w:r>
      <w:r w:rsidR="00953D6E" w:rsidRPr="00E16719">
        <w:rPr>
          <w:color w:val="000000"/>
        </w:rPr>
        <w:t>cohort for the purpose of understanding how HIV and SCD interac</w:t>
      </w:r>
      <w:r w:rsidR="00237F85" w:rsidRPr="00E16719">
        <w:rPr>
          <w:color w:val="000000"/>
        </w:rPr>
        <w:t xml:space="preserve">t to alter odds of key outcomes.  Current guidelines exist for monitoring and treatment of various SCD complications.  However, there </w:t>
      </w:r>
      <w:r w:rsidR="00EE41CD" w:rsidRPr="00E16719">
        <w:rPr>
          <w:color w:val="000000"/>
        </w:rPr>
        <w:t>are</w:t>
      </w:r>
      <w:r w:rsidR="00237F85" w:rsidRPr="00E16719">
        <w:rPr>
          <w:color w:val="000000"/>
        </w:rPr>
        <w:t xml:space="preserve"> no data to support how these guidelines might be modified to optimize patient care for persons with comorbidities such as HIV.  The information collected for this research used to analyze both HIV outcomes in SCD</w:t>
      </w:r>
      <w:r w:rsidR="007525AD" w:rsidRPr="00E16719">
        <w:rPr>
          <w:color w:val="000000"/>
        </w:rPr>
        <w:t xml:space="preserve"> (Objective 2a)</w:t>
      </w:r>
      <w:r w:rsidR="00237F85" w:rsidRPr="00E16719">
        <w:rPr>
          <w:color w:val="000000"/>
        </w:rPr>
        <w:t xml:space="preserve"> and SCD outcomes with co-existing HIV </w:t>
      </w:r>
      <w:r w:rsidR="007525AD" w:rsidRPr="00E16719">
        <w:rPr>
          <w:color w:val="000000"/>
        </w:rPr>
        <w:t xml:space="preserve">(Objective 2b) </w:t>
      </w:r>
      <w:r w:rsidR="00237F85" w:rsidRPr="00E16719">
        <w:rPr>
          <w:color w:val="000000"/>
        </w:rPr>
        <w:t xml:space="preserve">will provide critical </w:t>
      </w:r>
      <w:r w:rsidR="003E235C" w:rsidRPr="00E16719">
        <w:rPr>
          <w:color w:val="000000"/>
        </w:rPr>
        <w:t xml:space="preserve">data to help guide </w:t>
      </w:r>
      <w:r w:rsidR="00237F85" w:rsidRPr="00E16719">
        <w:rPr>
          <w:color w:val="000000"/>
        </w:rPr>
        <w:t xml:space="preserve">management for monitoring and treatment </w:t>
      </w:r>
      <w:r w:rsidR="003E235C" w:rsidRPr="00E16719">
        <w:rPr>
          <w:color w:val="000000"/>
        </w:rPr>
        <w:t>of this patient population.</w:t>
      </w:r>
    </w:p>
    <w:p w14:paraId="066DA351" w14:textId="54663F34" w:rsidR="00046DC2" w:rsidRPr="00E16719" w:rsidRDefault="00046DC2" w:rsidP="009D4BBE">
      <w:pPr>
        <w:widowControl w:val="0"/>
        <w:adjustRightInd w:val="0"/>
        <w:snapToGrid w:val="0"/>
        <w:ind w:firstLine="634"/>
        <w:jc w:val="both"/>
        <w:rPr>
          <w:color w:val="000000"/>
        </w:rPr>
      </w:pPr>
      <w:r w:rsidRPr="00E16719">
        <w:rPr>
          <w:color w:val="000000"/>
        </w:rPr>
        <w:t xml:space="preserve">All SCD cases and non-SCD controls enrolled in </w:t>
      </w:r>
      <w:r w:rsidR="007525AD" w:rsidRPr="00E16719">
        <w:rPr>
          <w:color w:val="000000"/>
        </w:rPr>
        <w:t>O</w:t>
      </w:r>
      <w:r w:rsidRPr="00E16719">
        <w:rPr>
          <w:color w:val="000000"/>
        </w:rPr>
        <w:t xml:space="preserve">bjective 1 will have blood collected to confirm HIV status at time of enrollment.  Any subjects found to be HIV sero-positive will be called to return to the Hemocenter for </w:t>
      </w:r>
      <w:r w:rsidR="000F51AC" w:rsidRPr="00E16719">
        <w:rPr>
          <w:color w:val="000000"/>
        </w:rPr>
        <w:t>the same repeat confirmatory testing and counseling that is provided to SCD patients or blood donors with a positive HIV screening test</w:t>
      </w:r>
      <w:r w:rsidR="00BE292E" w:rsidRPr="00E16719">
        <w:rPr>
          <w:color w:val="000000"/>
        </w:rPr>
        <w:t xml:space="preserve"> at the Hemocenter</w:t>
      </w:r>
      <w:r w:rsidR="000F51AC" w:rsidRPr="00E16719">
        <w:rPr>
          <w:color w:val="000000"/>
        </w:rPr>
        <w:t xml:space="preserve">.  Blood from all non-SCD controls </w:t>
      </w:r>
      <w:r w:rsidR="007525AD" w:rsidRPr="00E16719">
        <w:rPr>
          <w:color w:val="000000"/>
        </w:rPr>
        <w:t xml:space="preserve">enrolled in Objective 1 </w:t>
      </w:r>
      <w:r w:rsidR="000F51AC" w:rsidRPr="00E16719">
        <w:rPr>
          <w:color w:val="000000"/>
        </w:rPr>
        <w:t xml:space="preserve">will also be tested for hemoglobin S by electrophoresis to confirm subjects do not have sickle cell disease.  All HIV sero-positive SCD cases enrolled in </w:t>
      </w:r>
      <w:r w:rsidR="007525AD" w:rsidRPr="00E16719">
        <w:rPr>
          <w:color w:val="000000"/>
        </w:rPr>
        <w:t>O</w:t>
      </w:r>
      <w:r w:rsidR="000F51AC" w:rsidRPr="00E16719">
        <w:rPr>
          <w:color w:val="000000"/>
        </w:rPr>
        <w:t>bjective 2 will have blood collected to determine the viral load of HIV in addition to the genotype and drug resistance patterns</w:t>
      </w:r>
      <w:r w:rsidR="001E6BAC" w:rsidRPr="00E16719">
        <w:rPr>
          <w:color w:val="000000"/>
        </w:rPr>
        <w:t xml:space="preserve"> and CD4 count</w:t>
      </w:r>
      <w:r w:rsidR="000F51AC" w:rsidRPr="00E16719">
        <w:rPr>
          <w:color w:val="000000"/>
        </w:rPr>
        <w:t xml:space="preserve">.  </w:t>
      </w:r>
    </w:p>
    <w:p w14:paraId="387D3E2B" w14:textId="77777777" w:rsidR="008562D8" w:rsidRPr="00E16719" w:rsidRDefault="008562D8" w:rsidP="009D4BBE">
      <w:pPr>
        <w:widowControl w:val="0"/>
        <w:adjustRightInd w:val="0"/>
        <w:snapToGrid w:val="0"/>
        <w:ind w:firstLine="634"/>
        <w:jc w:val="both"/>
        <w:rPr>
          <w:color w:val="000000"/>
        </w:rPr>
      </w:pPr>
    </w:p>
    <w:p w14:paraId="4A849C55" w14:textId="0EF3A825" w:rsidR="006A684E" w:rsidRPr="00E16719" w:rsidRDefault="006A684E" w:rsidP="009D4BBE">
      <w:pPr>
        <w:widowControl w:val="0"/>
        <w:adjustRightInd w:val="0"/>
        <w:snapToGrid w:val="0"/>
        <w:ind w:firstLine="634"/>
        <w:jc w:val="both"/>
        <w:rPr>
          <w:color w:val="000000"/>
        </w:rPr>
      </w:pPr>
      <w:r w:rsidRPr="00E16719">
        <w:rPr>
          <w:color w:val="000000"/>
        </w:rPr>
        <w:tab/>
      </w:r>
    </w:p>
    <w:p w14:paraId="54878AB4" w14:textId="637F6A79" w:rsidR="008437B1" w:rsidRPr="00E16719" w:rsidRDefault="008437B1" w:rsidP="00237F85">
      <w:pPr>
        <w:widowControl w:val="0"/>
        <w:adjustRightInd w:val="0"/>
        <w:snapToGrid w:val="0"/>
        <w:rPr>
          <w:color w:val="000000"/>
        </w:rPr>
      </w:pPr>
      <w:bookmarkStart w:id="6" w:name="_Toc153351586"/>
      <w:r w:rsidRPr="00E16719">
        <w:rPr>
          <w:b/>
        </w:rPr>
        <w:t>A.3. Use of Information Technology and Burden Reduction</w:t>
      </w:r>
      <w:bookmarkEnd w:id="6"/>
    </w:p>
    <w:p w14:paraId="6EE10E55" w14:textId="77777777" w:rsidR="00E43A95" w:rsidRPr="00E16719" w:rsidRDefault="00E43A95" w:rsidP="002A11DC">
      <w:pPr>
        <w:widowControl w:val="0"/>
        <w:adjustRightInd w:val="0"/>
        <w:snapToGrid w:val="0"/>
        <w:ind w:firstLine="720"/>
        <w:rPr>
          <w:color w:val="000000"/>
        </w:rPr>
      </w:pPr>
    </w:p>
    <w:p w14:paraId="4AEFB5C9" w14:textId="05425331" w:rsidR="008437B1" w:rsidRPr="00E16719" w:rsidRDefault="00A222DC" w:rsidP="00A56174">
      <w:pPr>
        <w:widowControl w:val="0"/>
        <w:adjustRightInd w:val="0"/>
        <w:snapToGrid w:val="0"/>
        <w:ind w:firstLine="720"/>
      </w:pPr>
      <w:r w:rsidRPr="00E16719">
        <w:rPr>
          <w:color w:val="000000"/>
        </w:rPr>
        <w:t xml:space="preserve">The </w:t>
      </w:r>
      <w:r w:rsidR="008437B1" w:rsidRPr="00E16719">
        <w:rPr>
          <w:color w:val="000000"/>
        </w:rPr>
        <w:t>detailed HIV</w:t>
      </w:r>
      <w:r w:rsidRPr="00E16719">
        <w:rPr>
          <w:color w:val="000000"/>
        </w:rPr>
        <w:t xml:space="preserve"> risk factor </w:t>
      </w:r>
      <w:r w:rsidR="00DD2B03" w:rsidRPr="00E16719">
        <w:rPr>
          <w:color w:val="000000"/>
        </w:rPr>
        <w:t xml:space="preserve">assessment </w:t>
      </w:r>
      <w:r w:rsidRPr="00E16719">
        <w:rPr>
          <w:color w:val="000000"/>
        </w:rPr>
        <w:t>will</w:t>
      </w:r>
      <w:r w:rsidR="00BA64EB" w:rsidRPr="00E16719">
        <w:rPr>
          <w:color w:val="000000"/>
        </w:rPr>
        <w:t xml:space="preserve"> be</w:t>
      </w:r>
      <w:r w:rsidR="008437B1" w:rsidRPr="00E16719">
        <w:rPr>
          <w:color w:val="000000"/>
        </w:rPr>
        <w:t xml:space="preserve"> administered to all </w:t>
      </w:r>
      <w:r w:rsidR="007525AD" w:rsidRPr="00E16719">
        <w:rPr>
          <w:color w:val="000000"/>
        </w:rPr>
        <w:t>O</w:t>
      </w:r>
      <w:r w:rsidRPr="00E16719">
        <w:rPr>
          <w:color w:val="000000"/>
        </w:rPr>
        <w:t>bjective 1 subjects</w:t>
      </w:r>
      <w:r w:rsidR="007525AD" w:rsidRPr="00E16719">
        <w:rPr>
          <w:color w:val="000000"/>
        </w:rPr>
        <w:t xml:space="preserve"> (SCD cases and non-SCD controls)</w:t>
      </w:r>
      <w:r w:rsidRPr="00E16719">
        <w:rPr>
          <w:color w:val="000000"/>
        </w:rPr>
        <w:t xml:space="preserve"> and </w:t>
      </w:r>
      <w:r w:rsidR="00B43EE0" w:rsidRPr="00E16719">
        <w:rPr>
          <w:color w:val="000000"/>
        </w:rPr>
        <w:t xml:space="preserve">consenting </w:t>
      </w:r>
      <w:r w:rsidRPr="00E16719">
        <w:rPr>
          <w:color w:val="000000"/>
        </w:rPr>
        <w:t xml:space="preserve">HIV positive objective 2 subjects (See Attachment </w:t>
      </w:r>
      <w:r w:rsidR="00A90A82" w:rsidRPr="00E16719">
        <w:rPr>
          <w:color w:val="000000"/>
        </w:rPr>
        <w:t>1</w:t>
      </w:r>
      <w:r w:rsidR="00081106" w:rsidRPr="00E16719">
        <w:rPr>
          <w:color w:val="000000"/>
        </w:rPr>
        <w:t>)</w:t>
      </w:r>
      <w:r w:rsidRPr="00E16719">
        <w:rPr>
          <w:color w:val="000000"/>
        </w:rPr>
        <w:t xml:space="preserve"> at</w:t>
      </w:r>
      <w:r w:rsidR="00B43EE0" w:rsidRPr="00E16719">
        <w:rPr>
          <w:color w:val="000000"/>
        </w:rPr>
        <w:t xml:space="preserve"> the</w:t>
      </w:r>
      <w:r w:rsidR="003E235C" w:rsidRPr="00E16719">
        <w:rPr>
          <w:color w:val="000000"/>
        </w:rPr>
        <w:t xml:space="preserve"> 5</w:t>
      </w:r>
      <w:r w:rsidR="008437B1" w:rsidRPr="00E16719">
        <w:rPr>
          <w:color w:val="000000"/>
        </w:rPr>
        <w:t xml:space="preserve"> Brazilian </w:t>
      </w:r>
      <w:r w:rsidR="00347BC4" w:rsidRPr="00E16719">
        <w:rPr>
          <w:color w:val="000000"/>
        </w:rPr>
        <w:t>hemocenters</w:t>
      </w:r>
      <w:r w:rsidR="00B43EE0" w:rsidRPr="00E16719">
        <w:rPr>
          <w:color w:val="000000"/>
        </w:rPr>
        <w:t xml:space="preserve"> in </w:t>
      </w:r>
      <w:r w:rsidRPr="00E16719">
        <w:rPr>
          <w:color w:val="000000"/>
        </w:rPr>
        <w:t>Recife, Belo Horizonte</w:t>
      </w:r>
      <w:r w:rsidR="003E235C" w:rsidRPr="00E16719">
        <w:rPr>
          <w:color w:val="000000"/>
        </w:rPr>
        <w:t>, Montes Claros, Juiz de Fora</w:t>
      </w:r>
      <w:r w:rsidRPr="00E16719">
        <w:rPr>
          <w:color w:val="000000"/>
        </w:rPr>
        <w:t xml:space="preserve"> </w:t>
      </w:r>
      <w:r w:rsidR="00B43EE0" w:rsidRPr="00E16719">
        <w:rPr>
          <w:color w:val="000000"/>
        </w:rPr>
        <w:t>and Rio de Janeiro</w:t>
      </w:r>
      <w:r w:rsidR="008437B1" w:rsidRPr="00E16719">
        <w:rPr>
          <w:color w:val="000000"/>
        </w:rPr>
        <w:t>. The</w:t>
      </w:r>
      <w:r w:rsidR="00DD2B03" w:rsidRPr="00E16719">
        <w:rPr>
          <w:color w:val="000000"/>
        </w:rPr>
        <w:t xml:space="preserve"> assessment</w:t>
      </w:r>
      <w:r w:rsidR="000D461C" w:rsidRPr="00E16719">
        <w:rPr>
          <w:color w:val="000000"/>
        </w:rPr>
        <w:t xml:space="preserve"> </w:t>
      </w:r>
      <w:r w:rsidR="008437B1" w:rsidRPr="00E16719">
        <w:rPr>
          <w:color w:val="000000"/>
        </w:rPr>
        <w:t xml:space="preserve">will be </w:t>
      </w:r>
      <w:r w:rsidR="008562D8" w:rsidRPr="00E16719">
        <w:rPr>
          <w:color w:val="000000"/>
        </w:rPr>
        <w:t xml:space="preserve">administered to respondents </w:t>
      </w:r>
      <w:r w:rsidR="008437B1" w:rsidRPr="00E16719">
        <w:rPr>
          <w:color w:val="000000"/>
        </w:rPr>
        <w:t>using a self-administered audio computer-assisted self-interview (ACASI</w:t>
      </w:r>
      <w:r w:rsidR="00255915" w:rsidRPr="00E16719">
        <w:rPr>
          <w:color w:val="000000"/>
        </w:rPr>
        <w:t xml:space="preserve">). </w:t>
      </w:r>
      <w:r w:rsidR="008437B1" w:rsidRPr="00E16719">
        <w:rPr>
          <w:color w:val="000000"/>
        </w:rPr>
        <w:t xml:space="preserve"> </w:t>
      </w:r>
      <w:r w:rsidR="00255915" w:rsidRPr="00E16719">
        <w:rPr>
          <w:color w:val="000000"/>
        </w:rPr>
        <w:t xml:space="preserve">We chose the ACASI to maximize reporting of stigmatized risk behaviors and to streamline the interview.  The ACASI has built in skip patterns depending on initial responses so that participants are only prompted to answer questions about the details of a specific risk factor if they report having the risk. The ACASI format also uses electronic data capture which reduces data entry errors. </w:t>
      </w:r>
      <w:r w:rsidR="00255915" w:rsidRPr="00E16719">
        <w:t>The ACASI program demonstrated very good performance in previous REDS</w:t>
      </w:r>
      <w:r w:rsidR="00347BC4" w:rsidRPr="00E16719">
        <w:t>-II</w:t>
      </w:r>
      <w:r w:rsidR="00255915" w:rsidRPr="00E16719">
        <w:t xml:space="preserve"> research.  These studies demonstrated that</w:t>
      </w:r>
      <w:r w:rsidR="00255915" w:rsidRPr="00E16719">
        <w:rPr>
          <w:color w:val="000000"/>
        </w:rPr>
        <w:t xml:space="preserve"> young Brazilian subjects adapted easily to the computer interview, while older or illiterate subjects relied more heavily on the audio component.  </w:t>
      </w:r>
      <w:r w:rsidR="008437B1" w:rsidRPr="00E16719">
        <w:rPr>
          <w:color w:val="000000"/>
        </w:rPr>
        <w:t xml:space="preserve">A research assistant or nurse will </w:t>
      </w:r>
      <w:r w:rsidR="002A287F" w:rsidRPr="00E16719">
        <w:rPr>
          <w:color w:val="000000"/>
        </w:rPr>
        <w:t>direct the partici</w:t>
      </w:r>
      <w:r w:rsidR="008254D6" w:rsidRPr="00E16719">
        <w:rPr>
          <w:color w:val="000000"/>
        </w:rPr>
        <w:t xml:space="preserve">pant to a private room where </w:t>
      </w:r>
      <w:r w:rsidR="008437B1" w:rsidRPr="00E16719">
        <w:rPr>
          <w:color w:val="000000"/>
        </w:rPr>
        <w:t xml:space="preserve">the ACASI </w:t>
      </w:r>
      <w:r w:rsidR="002A287F" w:rsidRPr="00E16719">
        <w:rPr>
          <w:color w:val="000000"/>
        </w:rPr>
        <w:t>computer</w:t>
      </w:r>
      <w:r w:rsidR="00255915" w:rsidRPr="00E16719">
        <w:rPr>
          <w:color w:val="000000"/>
        </w:rPr>
        <w:t xml:space="preserve"> with headphones </w:t>
      </w:r>
      <w:r w:rsidR="002A287F" w:rsidRPr="00E16719">
        <w:rPr>
          <w:color w:val="000000"/>
        </w:rPr>
        <w:t>is located at each</w:t>
      </w:r>
      <w:r w:rsidR="00106E88" w:rsidRPr="00E16719">
        <w:rPr>
          <w:color w:val="000000"/>
        </w:rPr>
        <w:t xml:space="preserve"> </w:t>
      </w:r>
      <w:r w:rsidR="008437B1" w:rsidRPr="00E16719">
        <w:rPr>
          <w:color w:val="000000"/>
        </w:rPr>
        <w:t>blood center. The study subject will be shown how to use the computer to complete the</w:t>
      </w:r>
      <w:r w:rsidR="00E94B83" w:rsidRPr="00E16719">
        <w:rPr>
          <w:color w:val="000000"/>
        </w:rPr>
        <w:t xml:space="preserve"> assessment</w:t>
      </w:r>
      <w:r w:rsidR="008437B1" w:rsidRPr="00E16719">
        <w:rPr>
          <w:color w:val="000000"/>
        </w:rPr>
        <w:t xml:space="preserve"> by </w:t>
      </w:r>
      <w:r w:rsidR="008437B1" w:rsidRPr="00E16719">
        <w:rPr>
          <w:rStyle w:val="PageNumber"/>
          <w:color w:val="000000"/>
        </w:rPr>
        <w:t xml:space="preserve">entering basic demographic data with the help of the </w:t>
      </w:r>
      <w:r w:rsidR="004D3CE9" w:rsidRPr="00E16719">
        <w:rPr>
          <w:rStyle w:val="PageNumber"/>
          <w:color w:val="000000"/>
        </w:rPr>
        <w:t>research staff</w:t>
      </w:r>
      <w:r w:rsidR="008437B1" w:rsidRPr="00E16719">
        <w:rPr>
          <w:color w:val="000000"/>
        </w:rPr>
        <w:t xml:space="preserve">, but will be given privacy to complete the rest of the </w:t>
      </w:r>
      <w:r w:rsidR="00DD2B03" w:rsidRPr="00E16719">
        <w:rPr>
          <w:color w:val="000000"/>
        </w:rPr>
        <w:t>assessment</w:t>
      </w:r>
      <w:r w:rsidR="008437B1" w:rsidRPr="00E16719">
        <w:rPr>
          <w:color w:val="000000"/>
        </w:rPr>
        <w:t xml:space="preserve">. The research assistant or nurse will remain available to answer questions and provide help as necessary. </w:t>
      </w:r>
    </w:p>
    <w:p w14:paraId="691DB0DD" w14:textId="3191B1E3" w:rsidR="008437B1" w:rsidRPr="00E16719" w:rsidRDefault="008437B1" w:rsidP="001937C4">
      <w:pPr>
        <w:widowControl w:val="0"/>
        <w:adjustRightInd w:val="0"/>
        <w:snapToGrid w:val="0"/>
      </w:pPr>
      <w:r w:rsidRPr="00E16719">
        <w:tab/>
      </w:r>
      <w:r w:rsidR="000857C5" w:rsidRPr="00E16719">
        <w:t>Subject</w:t>
      </w:r>
      <w:r w:rsidRPr="00E16719">
        <w:t xml:space="preserve"> will </w:t>
      </w:r>
      <w:r w:rsidR="0013432C" w:rsidRPr="00E16719">
        <w:t xml:space="preserve">be </w:t>
      </w:r>
      <w:r w:rsidRPr="00E16719">
        <w:t xml:space="preserve">assured of the </w:t>
      </w:r>
      <w:r w:rsidR="001937C4" w:rsidRPr="00E16719">
        <w:t xml:space="preserve">privacy </w:t>
      </w:r>
      <w:r w:rsidRPr="00E16719">
        <w:t xml:space="preserve">of their responses. Use of a Subject ID on the </w:t>
      </w:r>
      <w:r w:rsidR="00DD2B03" w:rsidRPr="00E16719">
        <w:t>assessment</w:t>
      </w:r>
      <w:r w:rsidRPr="00E16719">
        <w:t xml:space="preserve"> will allow for tracking of survey responses without entering</w:t>
      </w:r>
      <w:r w:rsidR="000C42A2" w:rsidRPr="00E16719">
        <w:t xml:space="preserve"> any personally</w:t>
      </w:r>
      <w:r w:rsidRPr="00E16719">
        <w:t xml:space="preserve"> identifying information into the study database. The link between the Subject ID number and the identity of the </w:t>
      </w:r>
      <w:r w:rsidR="000857C5" w:rsidRPr="00E16719">
        <w:t>subject</w:t>
      </w:r>
      <w:r w:rsidRPr="00E16719">
        <w:t xml:space="preserve"> is only maintained by the </w:t>
      </w:r>
      <w:r w:rsidR="000857C5" w:rsidRPr="00E16719">
        <w:t>lead investigator and designate</w:t>
      </w:r>
      <w:r w:rsidR="003E235C" w:rsidRPr="00E16719">
        <w:t>d key personnel at each c</w:t>
      </w:r>
      <w:r w:rsidR="000857C5" w:rsidRPr="00E16719">
        <w:t>enter</w:t>
      </w:r>
      <w:r w:rsidRPr="00E16719">
        <w:t xml:space="preserve">. The </w:t>
      </w:r>
      <w:r w:rsidR="00D03313" w:rsidRPr="00E16719">
        <w:t xml:space="preserve">US-based </w:t>
      </w:r>
      <w:r w:rsidRPr="00E16719">
        <w:t xml:space="preserve">Coordinating Center (CC) will not have access to any </w:t>
      </w:r>
      <w:r w:rsidR="003E235C" w:rsidRPr="00E16719">
        <w:t>patient</w:t>
      </w:r>
      <w:r w:rsidRPr="00E16719">
        <w:t xml:space="preserve"> identifying information.</w:t>
      </w:r>
    </w:p>
    <w:p w14:paraId="33170E1D" w14:textId="77777777" w:rsidR="008437B1" w:rsidRPr="00E16719" w:rsidRDefault="008437B1" w:rsidP="002A11DC">
      <w:pPr>
        <w:widowControl w:val="0"/>
        <w:adjustRightInd w:val="0"/>
        <w:snapToGrid w:val="0"/>
      </w:pPr>
    </w:p>
    <w:p w14:paraId="168543BB" w14:textId="77777777" w:rsidR="008437B1" w:rsidRPr="00E16719" w:rsidRDefault="008437B1" w:rsidP="002A11DC">
      <w:pPr>
        <w:pStyle w:val="E-mailSignature"/>
        <w:widowControl w:val="0"/>
        <w:adjustRightInd w:val="0"/>
        <w:snapToGrid w:val="0"/>
        <w:rPr>
          <w:b/>
        </w:rPr>
      </w:pPr>
      <w:bookmarkStart w:id="7" w:name="_Toc153351587"/>
      <w:r w:rsidRPr="00E16719">
        <w:rPr>
          <w:b/>
        </w:rPr>
        <w:t>A.4.</w:t>
      </w:r>
      <w:r w:rsidRPr="00E16719">
        <w:rPr>
          <w:b/>
        </w:rPr>
        <w:tab/>
        <w:t>Efforts to Identify Duplication and Use of Similar Information</w:t>
      </w:r>
      <w:bookmarkEnd w:id="7"/>
    </w:p>
    <w:p w14:paraId="11842491" w14:textId="77777777" w:rsidR="00E43A95" w:rsidRPr="00E16719" w:rsidRDefault="008437B1" w:rsidP="002A11DC">
      <w:pPr>
        <w:widowControl w:val="0"/>
        <w:tabs>
          <w:tab w:val="left" w:pos="720"/>
        </w:tabs>
        <w:adjustRightInd w:val="0"/>
        <w:snapToGrid w:val="0"/>
        <w:jc w:val="both"/>
      </w:pPr>
      <w:r w:rsidRPr="00E16719">
        <w:tab/>
      </w:r>
    </w:p>
    <w:p w14:paraId="7D5F38E3" w14:textId="3547FF20" w:rsidR="009F4208" w:rsidRPr="00E16719" w:rsidRDefault="00E43A95" w:rsidP="0064286E">
      <w:pPr>
        <w:widowControl w:val="0"/>
        <w:tabs>
          <w:tab w:val="left" w:pos="720"/>
        </w:tabs>
        <w:adjustRightInd w:val="0"/>
        <w:snapToGrid w:val="0"/>
        <w:jc w:val="both"/>
      </w:pPr>
      <w:r w:rsidRPr="00E16719">
        <w:tab/>
      </w:r>
      <w:r w:rsidR="005536A5" w:rsidRPr="00E16719">
        <w:t>The</w:t>
      </w:r>
      <w:r w:rsidR="008437B1" w:rsidRPr="00E16719">
        <w:t xml:space="preserve"> detailed risk factor</w:t>
      </w:r>
      <w:r w:rsidR="00DD2B03" w:rsidRPr="00E16719">
        <w:t xml:space="preserve"> assessment</w:t>
      </w:r>
      <w:r w:rsidR="008437B1" w:rsidRPr="00E16719">
        <w:t xml:space="preserve"> information </w:t>
      </w:r>
      <w:r w:rsidR="007A64A3" w:rsidRPr="00E16719">
        <w:t xml:space="preserve">to be used in objective 1 </w:t>
      </w:r>
      <w:r w:rsidR="008437B1" w:rsidRPr="00E16719">
        <w:t xml:space="preserve">is not routinely collected </w:t>
      </w:r>
      <w:r w:rsidR="007A64A3" w:rsidRPr="00E16719">
        <w:t>by treating centers.  While</w:t>
      </w:r>
      <w:r w:rsidR="007F4D36" w:rsidRPr="00E16719">
        <w:t xml:space="preserve"> some physicians may ask a few questions regarding HIV risk, this is highly physician-specific and if information is collected, it is typically limited in scope and not </w:t>
      </w:r>
      <w:r w:rsidR="005536A5" w:rsidRPr="00E16719">
        <w:t xml:space="preserve">collected in a standardized way.  A thorough review of the literature revealed no other publications reporting comprehensive assessment of HIV risk in the SCD population.  </w:t>
      </w:r>
      <w:r w:rsidR="009F4208" w:rsidRPr="00E16719">
        <w:rPr>
          <w:color w:val="000000" w:themeColor="text1"/>
        </w:rPr>
        <w:t>A 1984 survey administered to 52 females with SCD and 80 controls demonstrated 39% of SCD subjects were sexually active compared to 81% of controls, and the mean age at first sexual encounter was 17.7 years in the SCD group vs. 17.0 years in the control population</w:t>
      </w:r>
      <w:r w:rsidR="003761F2" w:rsidRPr="00E16719">
        <w:rPr>
          <w:color w:val="000000" w:themeColor="text1"/>
        </w:rPr>
        <w:fldChar w:fldCharType="begin"/>
      </w:r>
      <w:r w:rsidR="003761F2" w:rsidRPr="00E16719">
        <w:rPr>
          <w:color w:val="000000" w:themeColor="text1"/>
        </w:rPr>
        <w:instrText xml:space="preserve"> ADDIN EN.CITE &lt;EndNote&gt;&lt;Cite&gt;&lt;Author&gt;Samuels-Reid&lt;/Author&gt;&lt;Year&gt;1984&lt;/Year&gt;&lt;RecNum&gt;47&lt;/RecNum&gt;&lt;DisplayText&gt;&lt;style face="superscript"&gt;1&lt;/style&gt;&lt;/DisplayText&gt;&lt;record&gt;&lt;rec-number&gt;47&lt;/rec-number&gt;&lt;foreign-keys&gt;&lt;key app="EN" db-id="9x9fvdzskztzeievdt050ft75e00055rvw9p" timestamp="1418700917"&gt;47&lt;/key&gt;&lt;/foreign-keys&gt;&lt;ref-type name="Journal Article"&gt;17&lt;/ref-type&gt;&lt;contributors&gt;&lt;authors&gt;&lt;author&gt;Samuels-Reid, J. H.&lt;/author&gt;&lt;author&gt;Scott, R. B.&lt;/author&gt;&lt;author&gt;Brown, W. E.&lt;/author&gt;&lt;/authors&gt;&lt;/contributors&gt;&lt;titles&gt;&lt;title&gt;Contraceptive practices and reproductive patterns in sickle cell disease&lt;/title&gt;&lt;secondary-title&gt;J Natl Med Assoc&lt;/secondary-title&gt;&lt;alt-title&gt;Journal of the National Medical Association&lt;/alt-title&gt;&lt;/titles&gt;&lt;periodical&gt;&lt;full-title&gt;J Natl Med Assoc&lt;/full-title&gt;&lt;abbr-1&gt;Journal of the National Medical Association&lt;/abbr-1&gt;&lt;/periodical&gt;&lt;alt-periodical&gt;&lt;full-title&gt;J Natl Med Assoc&lt;/full-title&gt;&lt;abbr-1&gt;Journal of the National Medical Association&lt;/abbr-1&gt;&lt;/alt-periodical&gt;&lt;pages&gt;879-83&lt;/pages&gt;&lt;volume&gt;76&lt;/volume&gt;&lt;number&gt;9&lt;/number&gt;&lt;keywords&gt;&lt;keyword&gt;Abortion, Spontaneous&lt;/keyword&gt;&lt;keyword&gt;Adolescent&lt;/keyword&gt;&lt;keyword&gt;Adult&lt;/keyword&gt;&lt;keyword&gt;Anemia, Sickle Cell/*psychology&lt;/keyword&gt;&lt;keyword&gt;Contraception/*psychology&lt;/keyword&gt;&lt;keyword&gt;Family&lt;/keyword&gt;&lt;keyword&gt;Female&lt;/keyword&gt;&lt;keyword&gt;Humans&lt;/keyword&gt;&lt;keyword&gt;Middle Aged&lt;/keyword&gt;&lt;keyword&gt;Pregnancy&lt;/keyword&gt;&lt;keyword&gt;*Reproduction&lt;/keyword&gt;&lt;keyword&gt;Sexual Behavior&lt;/keyword&gt;&lt;/keywords&gt;&lt;dates&gt;&lt;year&gt;1984&lt;/year&gt;&lt;pub-dates&gt;&lt;date&gt;Sep&lt;/date&gt;&lt;/pub-dates&gt;&lt;/dates&gt;&lt;isbn&gt;0027-9684 (Print)&amp;#xD;0027-9684 (Linking)&lt;/isbn&gt;&lt;accession-num&gt;6492180&lt;/accession-num&gt;&lt;urls&gt;&lt;related-urls&gt;&lt;url&gt;http://www.ncbi.nlm.nih.gov/pubmed/6492180&lt;/url&gt;&lt;/related-urls&gt;&lt;/urls&gt;&lt;custom2&gt;2561668&lt;/custom2&gt;&lt;/record&gt;&lt;/Cite&gt;&lt;/EndNote&gt;</w:instrText>
      </w:r>
      <w:r w:rsidR="003761F2" w:rsidRPr="00E16719">
        <w:rPr>
          <w:color w:val="000000" w:themeColor="text1"/>
        </w:rPr>
        <w:fldChar w:fldCharType="separate"/>
      </w:r>
      <w:r w:rsidR="003761F2" w:rsidRPr="00E16719">
        <w:rPr>
          <w:noProof/>
          <w:color w:val="000000" w:themeColor="text1"/>
          <w:vertAlign w:val="superscript"/>
        </w:rPr>
        <w:t>1</w:t>
      </w:r>
      <w:r w:rsidR="003761F2" w:rsidRPr="00E16719">
        <w:rPr>
          <w:color w:val="000000" w:themeColor="text1"/>
        </w:rPr>
        <w:fldChar w:fldCharType="end"/>
      </w:r>
      <w:r w:rsidR="009F4208" w:rsidRPr="00E16719">
        <w:rPr>
          <w:color w:val="000000" w:themeColor="text1"/>
        </w:rPr>
        <w:t>.  Updated and more comprehensive assessments of</w:t>
      </w:r>
      <w:r w:rsidR="00125223" w:rsidRPr="00E16719">
        <w:rPr>
          <w:color w:val="000000" w:themeColor="text1"/>
        </w:rPr>
        <w:t xml:space="preserve"> HIV risk in this population have</w:t>
      </w:r>
      <w:r w:rsidR="009F4208" w:rsidRPr="00E16719">
        <w:rPr>
          <w:color w:val="000000" w:themeColor="text1"/>
        </w:rPr>
        <w:t xml:space="preserve"> not been performed. </w:t>
      </w:r>
      <w:r w:rsidR="007A64A3" w:rsidRPr="00E16719">
        <w:t xml:space="preserve"> </w:t>
      </w:r>
    </w:p>
    <w:p w14:paraId="41F738E7" w14:textId="54B6E20B" w:rsidR="008437B1" w:rsidRPr="00E16719" w:rsidRDefault="00255915" w:rsidP="007F18CB">
      <w:pPr>
        <w:widowControl w:val="0"/>
        <w:tabs>
          <w:tab w:val="left" w:pos="720"/>
        </w:tabs>
        <w:adjustRightInd w:val="0"/>
        <w:snapToGrid w:val="0"/>
        <w:jc w:val="both"/>
        <w:rPr>
          <w:color w:val="000000"/>
        </w:rPr>
      </w:pPr>
      <w:r w:rsidRPr="00E16719">
        <w:tab/>
      </w:r>
      <w:r w:rsidR="00125223" w:rsidRPr="00E16719">
        <w:t xml:space="preserve">The information regarding HIV </w:t>
      </w:r>
      <w:r w:rsidR="009F4208" w:rsidRPr="00E16719">
        <w:t>and SCD outcomes has already been recorded in the medical record</w:t>
      </w:r>
      <w:r w:rsidR="00125223" w:rsidRPr="00E16719">
        <w:t xml:space="preserve"> and will be abstracted from this primary source</w:t>
      </w:r>
      <w:r w:rsidR="007F18CB" w:rsidRPr="00E16719">
        <w:t>,</w:t>
      </w:r>
      <w:r w:rsidR="009F4208" w:rsidRPr="00E16719">
        <w:t xml:space="preserve"> no additional information will </w:t>
      </w:r>
      <w:r w:rsidR="00125223" w:rsidRPr="00E16719">
        <w:t xml:space="preserve">be collected.  Only two previous studies have reported HIV outcomes in SCD patients. </w:t>
      </w:r>
      <w:r w:rsidR="00125223" w:rsidRPr="00E16719">
        <w:rPr>
          <w:color w:val="000000" w:themeColor="text1"/>
        </w:rPr>
        <w:t xml:space="preserve">Godeau et al identified 8 HIV+ of 283 (2.8%) screened adults with SCD and reported 0 of 8 had progressed to AIDS, even without antiretroviral therapy (ART), with a mean follow up of 4.6 years. </w:t>
      </w:r>
      <w:r w:rsidR="00125223" w:rsidRPr="00E16719">
        <w:rPr>
          <w:color w:val="000000" w:themeColor="text1"/>
        </w:rPr>
        <w:fldChar w:fldCharType="begin">
          <w:fldData xml:space="preserve">PEVuZE5vdGU+PENpdGU+PEF1dGhvcj5Hb2RlYXU8L0F1dGhvcj48WWVhcj4xOTkyPC9ZZWFyPjxS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</w:fldData>
        </w:fldChar>
      </w:r>
      <w:r w:rsidR="003761F2" w:rsidRPr="00E16719">
        <w:rPr>
          <w:color w:val="000000" w:themeColor="text1"/>
        </w:rPr>
        <w:instrText xml:space="preserve"> ADDIN EN.CITE </w:instrText>
      </w:r>
      <w:r w:rsidR="003761F2" w:rsidRPr="00E16719">
        <w:rPr>
          <w:color w:val="000000" w:themeColor="text1"/>
        </w:rPr>
        <w:fldChar w:fldCharType="begin">
          <w:fldData xml:space="preserve">PEVuZE5vdGU+PENpdGU+PEF1dGhvcj5Hb2RlYXU8L0F1dGhvcj48WWVhcj4xOTkyPC9ZZWFyPjxS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</w:fldData>
        </w:fldChar>
      </w:r>
      <w:r w:rsidR="003761F2" w:rsidRPr="00E16719">
        <w:rPr>
          <w:color w:val="000000" w:themeColor="text1"/>
        </w:rPr>
        <w:instrText xml:space="preserve"> ADDIN EN.CITE.DATA </w:instrText>
      </w:r>
      <w:r w:rsidR="003761F2" w:rsidRPr="00E16719">
        <w:rPr>
          <w:color w:val="000000" w:themeColor="text1"/>
        </w:rPr>
      </w:r>
      <w:r w:rsidR="003761F2" w:rsidRPr="00E16719">
        <w:rPr>
          <w:color w:val="000000" w:themeColor="text1"/>
        </w:rPr>
        <w:fldChar w:fldCharType="end"/>
      </w:r>
      <w:r w:rsidR="00125223" w:rsidRPr="00E16719">
        <w:rPr>
          <w:color w:val="000000" w:themeColor="text1"/>
        </w:rPr>
      </w:r>
      <w:r w:rsidR="00125223" w:rsidRPr="00E16719">
        <w:rPr>
          <w:color w:val="000000" w:themeColor="text1"/>
        </w:rPr>
        <w:fldChar w:fldCharType="separate"/>
      </w:r>
      <w:r w:rsidR="003761F2" w:rsidRPr="00E16719">
        <w:rPr>
          <w:noProof/>
          <w:color w:val="000000" w:themeColor="text1"/>
          <w:vertAlign w:val="superscript"/>
        </w:rPr>
        <w:t>2</w:t>
      </w:r>
      <w:r w:rsidR="00125223" w:rsidRPr="00E16719">
        <w:rPr>
          <w:color w:val="000000" w:themeColor="text1"/>
        </w:rPr>
        <w:fldChar w:fldCharType="end"/>
      </w:r>
      <w:r w:rsidR="00125223" w:rsidRPr="00E16719">
        <w:rPr>
          <w:color w:val="000000" w:themeColor="text1"/>
        </w:rPr>
        <w:t>.  Bagasra et al compared 18 HIV+ SCD patients (all HIV+ patients identified at 5 US SCD Centers) to 36 HIV+ non-SCD controls matched for age, race</w:t>
      </w:r>
      <w:r w:rsidR="00B222C0" w:rsidRPr="00E16719">
        <w:rPr>
          <w:color w:val="000000" w:themeColor="text1"/>
        </w:rPr>
        <w:t>/ethnicity</w:t>
      </w:r>
      <w:r w:rsidR="00125223" w:rsidRPr="00E16719">
        <w:rPr>
          <w:color w:val="000000" w:themeColor="text1"/>
        </w:rPr>
        <w:t xml:space="preserve"> and gender.  They reported 8 of 18 (44%) SCD cases were long-term non-progressors (LTNP= asymptomatic with low viral load and CD4&gt;500/mm without ART for at least 10 years) compared to 5 of 36 (13.9%) LTNP in controls with an average follow up of 10 years (p=0.0193).  Death due to AIDS occurred in 5 of 18 (23%) HIV+ SCD patients vs. 22 of 36 (61%) of HIV+ controls</w:t>
      </w:r>
      <w:r w:rsidR="00144B9D" w:rsidRPr="00E16719">
        <w:rPr>
          <w:color w:val="000000" w:themeColor="text1"/>
        </w:rPr>
        <w:t xml:space="preserve"> </w:t>
      </w:r>
      <w:r w:rsidR="00125223" w:rsidRPr="00E16719">
        <w:rPr>
          <w:color w:val="000000" w:themeColor="text1"/>
        </w:rPr>
        <w:fldChar w:fldCharType="begin">
          <w:fldData xml:space="preserve">PEVuZE5vdGU+PENpdGU+PEF1dGhvcj5CYWdhc3JhPC9BdXRob3I+PFllYXI+MTk5ODwvWWVhcj48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=
</w:fldData>
        </w:fldChar>
      </w:r>
      <w:r w:rsidR="003761F2" w:rsidRPr="00E16719">
        <w:rPr>
          <w:color w:val="000000" w:themeColor="text1"/>
        </w:rPr>
        <w:instrText xml:space="preserve"> ADDIN EN.CITE </w:instrText>
      </w:r>
      <w:r w:rsidR="003761F2" w:rsidRPr="00E16719">
        <w:rPr>
          <w:color w:val="000000" w:themeColor="text1"/>
        </w:rPr>
        <w:fldChar w:fldCharType="begin">
          <w:fldData xml:space="preserve">PEVuZE5vdGU+PENpdGU+PEF1dGhvcj5CYWdhc3JhPC9BdXRob3I+PFllYXI+MTk5ODwvWWVhcj48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=
</w:fldData>
        </w:fldChar>
      </w:r>
      <w:r w:rsidR="003761F2" w:rsidRPr="00E16719">
        <w:rPr>
          <w:color w:val="000000" w:themeColor="text1"/>
        </w:rPr>
        <w:instrText xml:space="preserve"> ADDIN EN.CITE.DATA </w:instrText>
      </w:r>
      <w:r w:rsidR="003761F2" w:rsidRPr="00E16719">
        <w:rPr>
          <w:color w:val="000000" w:themeColor="text1"/>
        </w:rPr>
      </w:r>
      <w:r w:rsidR="003761F2" w:rsidRPr="00E16719">
        <w:rPr>
          <w:color w:val="000000" w:themeColor="text1"/>
        </w:rPr>
        <w:fldChar w:fldCharType="end"/>
      </w:r>
      <w:r w:rsidR="00125223" w:rsidRPr="00E16719">
        <w:rPr>
          <w:color w:val="000000" w:themeColor="text1"/>
        </w:rPr>
      </w:r>
      <w:r w:rsidR="00125223" w:rsidRPr="00E16719">
        <w:rPr>
          <w:color w:val="000000" w:themeColor="text1"/>
        </w:rPr>
        <w:fldChar w:fldCharType="separate"/>
      </w:r>
      <w:r w:rsidR="003761F2" w:rsidRPr="00E16719">
        <w:rPr>
          <w:noProof/>
          <w:color w:val="000000" w:themeColor="text1"/>
          <w:vertAlign w:val="superscript"/>
        </w:rPr>
        <w:t>3</w:t>
      </w:r>
      <w:r w:rsidR="00125223" w:rsidRPr="00E16719">
        <w:rPr>
          <w:color w:val="000000" w:themeColor="text1"/>
        </w:rPr>
        <w:fldChar w:fldCharType="end"/>
      </w:r>
      <w:r w:rsidR="00125223" w:rsidRPr="00E16719">
        <w:rPr>
          <w:color w:val="000000" w:themeColor="text1"/>
        </w:rPr>
        <w:t xml:space="preserve">.   </w:t>
      </w:r>
      <w:r w:rsidR="00125223" w:rsidRPr="00E16719">
        <w:t xml:space="preserve"> </w:t>
      </w:r>
      <w:r w:rsidR="007F18CB" w:rsidRPr="00E16719">
        <w:t xml:space="preserve">No studies have reported impact of HIV status on odds of SCD complications.  </w:t>
      </w:r>
    </w:p>
    <w:p w14:paraId="444EDC32" w14:textId="77777777" w:rsidR="008437B1" w:rsidRPr="00E16719" w:rsidRDefault="008437B1" w:rsidP="002A11DC">
      <w:pPr>
        <w:widowControl w:val="0"/>
        <w:tabs>
          <w:tab w:val="left" w:pos="720"/>
        </w:tabs>
        <w:adjustRightInd w:val="0"/>
        <w:snapToGrid w:val="0"/>
        <w:jc w:val="both"/>
      </w:pPr>
    </w:p>
    <w:p w14:paraId="206241AF" w14:textId="77777777" w:rsidR="008437B1" w:rsidRPr="00E16719" w:rsidRDefault="008437B1" w:rsidP="002A11DC">
      <w:pPr>
        <w:widowControl w:val="0"/>
        <w:tabs>
          <w:tab w:val="left" w:pos="720"/>
        </w:tabs>
        <w:adjustRightInd w:val="0"/>
        <w:snapToGrid w:val="0"/>
        <w:jc w:val="both"/>
        <w:rPr>
          <w:b/>
        </w:rPr>
      </w:pPr>
      <w:bookmarkStart w:id="8" w:name="_Toc153351588"/>
      <w:r w:rsidRPr="00E16719">
        <w:rPr>
          <w:b/>
        </w:rPr>
        <w:t>A.5.</w:t>
      </w:r>
      <w:r w:rsidRPr="00E16719">
        <w:rPr>
          <w:b/>
        </w:rPr>
        <w:tab/>
        <w:t>Impact on Small Businesses or Other Small Entities</w:t>
      </w:r>
      <w:bookmarkEnd w:id="8"/>
    </w:p>
    <w:p w14:paraId="747E900B" w14:textId="77777777" w:rsidR="00E43A95" w:rsidRPr="00E16719" w:rsidRDefault="00E43A95" w:rsidP="002A11DC">
      <w:pPr>
        <w:widowControl w:val="0"/>
        <w:adjustRightInd w:val="0"/>
        <w:snapToGrid w:val="0"/>
        <w:jc w:val="both"/>
      </w:pPr>
    </w:p>
    <w:p w14:paraId="3668DC0D" w14:textId="1BD3D42F" w:rsidR="008437B1" w:rsidRPr="00E16719" w:rsidRDefault="008437B1" w:rsidP="002A11DC">
      <w:pPr>
        <w:widowControl w:val="0"/>
        <w:adjustRightInd w:val="0"/>
        <w:snapToGrid w:val="0"/>
        <w:jc w:val="both"/>
      </w:pPr>
      <w:r w:rsidRPr="00E16719">
        <w:tab/>
        <w:t xml:space="preserve">Small businesses or entities are not involved. </w:t>
      </w:r>
      <w:r w:rsidR="007A64A3" w:rsidRPr="00E16719">
        <w:t>All respondents are individuals with SCD or non-SCD controls</w:t>
      </w:r>
      <w:r w:rsidRPr="00E16719">
        <w:t>.</w:t>
      </w:r>
    </w:p>
    <w:p w14:paraId="6FCEA17B" w14:textId="77777777" w:rsidR="0077356E" w:rsidRPr="00E16719" w:rsidRDefault="0077356E" w:rsidP="002A11DC">
      <w:pPr>
        <w:pStyle w:val="E-mailSignature"/>
        <w:widowControl w:val="0"/>
        <w:adjustRightInd w:val="0"/>
        <w:snapToGrid w:val="0"/>
        <w:rPr>
          <w:b/>
        </w:rPr>
      </w:pPr>
      <w:bookmarkStart w:id="9" w:name="_Toc153351589"/>
    </w:p>
    <w:p w14:paraId="6515E5D1" w14:textId="77777777" w:rsidR="008437B1" w:rsidRPr="00E16719" w:rsidRDefault="008437B1" w:rsidP="002A11DC">
      <w:pPr>
        <w:pStyle w:val="E-mailSignature"/>
        <w:widowControl w:val="0"/>
        <w:adjustRightInd w:val="0"/>
        <w:snapToGrid w:val="0"/>
        <w:rPr>
          <w:b/>
        </w:rPr>
      </w:pPr>
      <w:r w:rsidRPr="00E16719">
        <w:rPr>
          <w:b/>
        </w:rPr>
        <w:t>A.6.</w:t>
      </w:r>
      <w:r w:rsidRPr="00E16719">
        <w:rPr>
          <w:b/>
        </w:rPr>
        <w:tab/>
        <w:t>Consequences of Collecting the Information at a Chosen Frequency</w:t>
      </w:r>
      <w:bookmarkEnd w:id="9"/>
    </w:p>
    <w:p w14:paraId="141E5FC4" w14:textId="77777777" w:rsidR="00E43A95" w:rsidRPr="00E16719" w:rsidRDefault="00E43A95" w:rsidP="002A11DC">
      <w:pPr>
        <w:pStyle w:val="E-mailSignature"/>
        <w:widowControl w:val="0"/>
        <w:adjustRightInd w:val="0"/>
        <w:snapToGrid w:val="0"/>
        <w:rPr>
          <w:b/>
        </w:rPr>
      </w:pPr>
    </w:p>
    <w:p w14:paraId="6C4C97B3" w14:textId="77A03DF9" w:rsidR="008437B1" w:rsidRPr="00E16719" w:rsidRDefault="008437B1" w:rsidP="00DD2B03">
      <w:pPr>
        <w:pStyle w:val="E-mailSignature"/>
        <w:widowControl w:val="0"/>
        <w:adjustRightInd w:val="0"/>
        <w:snapToGrid w:val="0"/>
      </w:pPr>
      <w:r w:rsidRPr="00E16719">
        <w:rPr>
          <w:b/>
        </w:rPr>
        <w:t xml:space="preserve"> </w:t>
      </w:r>
      <w:r w:rsidRPr="00E16719">
        <w:tab/>
      </w:r>
      <w:r w:rsidR="00DD2B03" w:rsidRPr="00E16719">
        <w:t xml:space="preserve">The risk factor assessments </w:t>
      </w:r>
      <w:r w:rsidRPr="00E16719">
        <w:t xml:space="preserve">will be administered only once to all subjects in an ACASI format on a computer. The content of this interview includes respondent demographics, history of previous HIV testing, sexual history, risks related to sexual partners, alcohol and drug use, medical history, other potential risk factors, work place exposures, and treatment. </w:t>
      </w:r>
      <w:r w:rsidR="00AC3138" w:rsidRPr="00E16719">
        <w:t xml:space="preserve">A total of </w:t>
      </w:r>
      <w:r w:rsidR="00AC3138" w:rsidRPr="00E16719">
        <w:rPr>
          <w:color w:val="000000"/>
        </w:rPr>
        <w:t>12</w:t>
      </w:r>
      <w:r w:rsidRPr="00E16719">
        <w:rPr>
          <w:color w:val="000000"/>
        </w:rPr>
        <w:t xml:space="preserve">ml of blood will be drawn at the time of the enrollment and interview.  Data collected from each respondent during this interview are essential to understanding the </w:t>
      </w:r>
      <w:r w:rsidR="00AC3138" w:rsidRPr="00E16719">
        <w:rPr>
          <w:color w:val="000000"/>
        </w:rPr>
        <w:t xml:space="preserve">risk of HIV in </w:t>
      </w:r>
      <w:r w:rsidRPr="00E16719">
        <w:rPr>
          <w:color w:val="000000"/>
        </w:rPr>
        <w:t xml:space="preserve">the study population; the interview itself constitutes a minimal level of burden on </w:t>
      </w:r>
      <w:r w:rsidR="00C43CC4" w:rsidRPr="00E16719">
        <w:rPr>
          <w:color w:val="000000"/>
        </w:rPr>
        <w:t xml:space="preserve">the </w:t>
      </w:r>
      <w:r w:rsidRPr="00E16719">
        <w:rPr>
          <w:color w:val="000000"/>
        </w:rPr>
        <w:t xml:space="preserve">respondents. </w:t>
      </w:r>
    </w:p>
    <w:p w14:paraId="5164A264" w14:textId="77777777" w:rsidR="0077356E" w:rsidRPr="00E16719" w:rsidRDefault="0077356E" w:rsidP="002A11DC">
      <w:pPr>
        <w:pStyle w:val="E-mailSignature"/>
        <w:widowControl w:val="0"/>
        <w:adjustRightInd w:val="0"/>
        <w:snapToGrid w:val="0"/>
        <w:rPr>
          <w:b/>
        </w:rPr>
      </w:pPr>
      <w:bookmarkStart w:id="10" w:name="_Toc153351590"/>
    </w:p>
    <w:p w14:paraId="1CB6B39E" w14:textId="77777777" w:rsidR="00281870" w:rsidRPr="00E16719" w:rsidRDefault="00281870" w:rsidP="002A11DC">
      <w:pPr>
        <w:pStyle w:val="E-mailSignature"/>
        <w:widowControl w:val="0"/>
        <w:adjustRightInd w:val="0"/>
        <w:snapToGrid w:val="0"/>
        <w:rPr>
          <w:b/>
        </w:rPr>
      </w:pPr>
    </w:p>
    <w:p w14:paraId="28156D59" w14:textId="77777777" w:rsidR="008437B1" w:rsidRPr="00E16719" w:rsidRDefault="008437B1" w:rsidP="002A11DC">
      <w:pPr>
        <w:pStyle w:val="E-mailSignature"/>
        <w:widowControl w:val="0"/>
        <w:adjustRightInd w:val="0"/>
        <w:snapToGrid w:val="0"/>
        <w:rPr>
          <w:b/>
        </w:rPr>
      </w:pPr>
      <w:r w:rsidRPr="00E16719">
        <w:rPr>
          <w:b/>
        </w:rPr>
        <w:t>A.7.</w:t>
      </w:r>
      <w:r w:rsidRPr="00E16719">
        <w:rPr>
          <w:b/>
        </w:rPr>
        <w:tab/>
        <w:t>Special Circumstances Relating to the Guidelines of 5 CFR 1320.5</w:t>
      </w:r>
      <w:bookmarkEnd w:id="10"/>
    </w:p>
    <w:p w14:paraId="5910A49B" w14:textId="77777777" w:rsidR="00E43A95" w:rsidRPr="00E16719" w:rsidRDefault="00E43A95" w:rsidP="002A11DC">
      <w:pPr>
        <w:widowControl w:val="0"/>
        <w:adjustRightInd w:val="0"/>
        <w:snapToGrid w:val="0"/>
        <w:jc w:val="both"/>
      </w:pPr>
    </w:p>
    <w:p w14:paraId="6E87ADC4" w14:textId="77777777" w:rsidR="0077356E" w:rsidRPr="00E16719" w:rsidRDefault="008437B1" w:rsidP="002A11DC">
      <w:pPr>
        <w:widowControl w:val="0"/>
        <w:adjustRightInd w:val="0"/>
        <w:snapToGrid w:val="0"/>
        <w:jc w:val="both"/>
      </w:pPr>
      <w:r w:rsidRPr="00E16719">
        <w:tab/>
        <w:t>The proposed data collection is consistent with 5 CFR 1320.5.</w:t>
      </w:r>
    </w:p>
    <w:p w14:paraId="662221C6" w14:textId="77777777" w:rsidR="008437B1" w:rsidRPr="00E16719" w:rsidRDefault="008437B1" w:rsidP="002A11DC">
      <w:pPr>
        <w:widowControl w:val="0"/>
        <w:adjustRightInd w:val="0"/>
        <w:snapToGrid w:val="0"/>
        <w:jc w:val="both"/>
      </w:pPr>
      <w:r w:rsidRPr="00E16719">
        <w:t xml:space="preserve"> </w:t>
      </w:r>
    </w:p>
    <w:p w14:paraId="4676A696" w14:textId="77777777" w:rsidR="008437B1" w:rsidRPr="00E16719" w:rsidRDefault="008437B1" w:rsidP="002A11DC">
      <w:pPr>
        <w:pStyle w:val="E-mailSignature"/>
        <w:widowControl w:val="0"/>
        <w:adjustRightInd w:val="0"/>
        <w:snapToGrid w:val="0"/>
        <w:rPr>
          <w:b/>
        </w:rPr>
      </w:pPr>
      <w:bookmarkStart w:id="11" w:name="_Toc153351591"/>
      <w:r w:rsidRPr="00E16719">
        <w:rPr>
          <w:b/>
        </w:rPr>
        <w:t>A.8.</w:t>
      </w:r>
      <w:r w:rsidRPr="00E16719">
        <w:rPr>
          <w:b/>
        </w:rPr>
        <w:tab/>
        <w:t>Comments in Response to the Federal Register Notice and Efforts to Consult Outside Agency</w:t>
      </w:r>
      <w:bookmarkEnd w:id="11"/>
    </w:p>
    <w:p w14:paraId="50E1936B" w14:textId="77777777" w:rsidR="00E43A95" w:rsidRPr="00E16719" w:rsidRDefault="00E43A95" w:rsidP="002A11DC">
      <w:pPr>
        <w:widowControl w:val="0"/>
        <w:tabs>
          <w:tab w:val="left" w:pos="6060"/>
        </w:tabs>
        <w:adjustRightInd w:val="0"/>
        <w:snapToGrid w:val="0"/>
        <w:ind w:firstLine="720"/>
      </w:pPr>
    </w:p>
    <w:p w14:paraId="78E16249" w14:textId="19253015" w:rsidR="008437B1" w:rsidRPr="00E16719" w:rsidRDefault="00B61F0F" w:rsidP="004E6A7A">
      <w:pPr>
        <w:widowControl w:val="0"/>
        <w:tabs>
          <w:tab w:val="left" w:pos="6060"/>
        </w:tabs>
        <w:adjustRightInd w:val="0"/>
        <w:snapToGrid w:val="0"/>
        <w:ind w:firstLine="720"/>
        <w:rPr>
          <w:color w:val="000000"/>
        </w:rPr>
      </w:pPr>
      <w:r w:rsidRPr="00E16719">
        <w:t xml:space="preserve">As noted in Worksheet Part II, </w:t>
      </w:r>
      <w:r w:rsidR="004E6A7A" w:rsidRPr="00E16719">
        <w:t xml:space="preserve">the 60-day Federal Register Notice was published in Volume </w:t>
      </w:r>
      <w:r w:rsidR="00191207" w:rsidRPr="00E16719">
        <w:t>80</w:t>
      </w:r>
      <w:r w:rsidR="004E6A7A" w:rsidRPr="00E16719">
        <w:t xml:space="preserve"> page, </w:t>
      </w:r>
      <w:r w:rsidR="00191207" w:rsidRPr="00E16719">
        <w:t>32388</w:t>
      </w:r>
      <w:r w:rsidR="004E6A7A" w:rsidRPr="00E16719">
        <w:t xml:space="preserve"> on </w:t>
      </w:r>
      <w:r w:rsidR="00191207" w:rsidRPr="00E16719">
        <w:t>June 8, 2015</w:t>
      </w:r>
      <w:r w:rsidR="004E6A7A" w:rsidRPr="00E16719">
        <w:t xml:space="preserve">.   </w:t>
      </w:r>
      <w:r w:rsidR="00191207" w:rsidRPr="00E16719">
        <w:t xml:space="preserve">There were no public comments. </w:t>
      </w:r>
      <w:r w:rsidR="008437B1" w:rsidRPr="00E16719">
        <w:t xml:space="preserve">There </w:t>
      </w:r>
      <w:r w:rsidR="0070280C" w:rsidRPr="00E16719">
        <w:t>was</w:t>
      </w:r>
      <w:r w:rsidR="008437B1" w:rsidRPr="00E16719">
        <w:t xml:space="preserve"> consultation outside of NHLBI to conceptualize and design t</w:t>
      </w:r>
      <w:r w:rsidR="00AC3138" w:rsidRPr="00E16719">
        <w:t>his study</w:t>
      </w:r>
      <w:r w:rsidR="008437B1" w:rsidRPr="00E16719">
        <w:t>. The final study design was developed, reviewed, and approved by the REDS-II</w:t>
      </w:r>
      <w:r w:rsidR="009620A1" w:rsidRPr="00E16719">
        <w:t>I</w:t>
      </w:r>
      <w:r w:rsidR="008437B1" w:rsidRPr="00E16719">
        <w:t xml:space="preserve"> </w:t>
      </w:r>
      <w:r w:rsidR="00AC3138" w:rsidRPr="00E16719">
        <w:t>investigators</w:t>
      </w:r>
      <w:r w:rsidR="008437B1" w:rsidRPr="00E16719">
        <w:t>, the REDS-II</w:t>
      </w:r>
      <w:r w:rsidR="00FB7B5E" w:rsidRPr="00E16719">
        <w:t>I</w:t>
      </w:r>
      <w:r w:rsidR="00AC3138" w:rsidRPr="00E16719">
        <w:t xml:space="preserve"> International Advisory Committee (IAC) (See Attachment </w:t>
      </w:r>
      <w:r w:rsidR="00DD489C" w:rsidRPr="00E16719">
        <w:t>3.3</w:t>
      </w:r>
      <w:r w:rsidR="00AC3138" w:rsidRPr="00E16719">
        <w:t xml:space="preserve"> for a complete list of members)</w:t>
      </w:r>
      <w:r w:rsidR="008437B1" w:rsidRPr="00E16719">
        <w:t xml:space="preserve"> and the Observational Study Monitoring Board (OSMB)</w:t>
      </w:r>
      <w:r w:rsidR="00AC3138" w:rsidRPr="00E16719">
        <w:t xml:space="preserve"> (See Attachment </w:t>
      </w:r>
      <w:r w:rsidR="00DD489C" w:rsidRPr="00E16719">
        <w:t>3.1</w:t>
      </w:r>
      <w:r w:rsidR="00AC3138" w:rsidRPr="00E16719">
        <w:t xml:space="preserve"> for a complete list of members).  </w:t>
      </w:r>
    </w:p>
    <w:p w14:paraId="7984725E" w14:textId="77777777" w:rsidR="00C62EB1" w:rsidRPr="00E16719" w:rsidRDefault="00C62EB1" w:rsidP="002A11DC">
      <w:pPr>
        <w:pStyle w:val="E-mailSignature"/>
        <w:widowControl w:val="0"/>
        <w:adjustRightInd w:val="0"/>
        <w:snapToGrid w:val="0"/>
        <w:rPr>
          <w:b/>
        </w:rPr>
      </w:pPr>
      <w:bookmarkStart w:id="12" w:name="_Toc153351592"/>
    </w:p>
    <w:p w14:paraId="6924770F" w14:textId="77777777" w:rsidR="008437B1" w:rsidRPr="00E16719" w:rsidRDefault="008437B1" w:rsidP="002A11DC">
      <w:pPr>
        <w:pStyle w:val="E-mailSignature"/>
        <w:widowControl w:val="0"/>
        <w:adjustRightInd w:val="0"/>
        <w:snapToGrid w:val="0"/>
        <w:rPr>
          <w:b/>
        </w:rPr>
      </w:pPr>
      <w:r w:rsidRPr="00E16719">
        <w:rPr>
          <w:b/>
        </w:rPr>
        <w:t>A.9. Explanation of Any Payment or Gifts to Respondents</w:t>
      </w:r>
      <w:bookmarkEnd w:id="12"/>
    </w:p>
    <w:p w14:paraId="36F85E7B" w14:textId="77777777" w:rsidR="00E43A95" w:rsidRPr="00E16719" w:rsidRDefault="00E43A95" w:rsidP="002A11DC">
      <w:pPr>
        <w:pStyle w:val="E-mailSignature"/>
        <w:widowControl w:val="0"/>
        <w:adjustRightInd w:val="0"/>
        <w:snapToGrid w:val="0"/>
        <w:rPr>
          <w:b/>
        </w:rPr>
      </w:pPr>
    </w:p>
    <w:p w14:paraId="714D5AF7" w14:textId="1B64EB8A" w:rsidR="005D7DCB" w:rsidRPr="00E16719" w:rsidRDefault="008437B1" w:rsidP="0011074C">
      <w:pPr>
        <w:pStyle w:val="E-mailSignature"/>
        <w:widowControl w:val="0"/>
        <w:adjustRightInd w:val="0"/>
        <w:snapToGrid w:val="0"/>
        <w:rPr>
          <w:b/>
        </w:rPr>
      </w:pPr>
      <w:r w:rsidRPr="00E16719">
        <w:rPr>
          <w:b/>
        </w:rPr>
        <w:tab/>
      </w:r>
      <w:r w:rsidRPr="00E16719">
        <w:t xml:space="preserve">The project will </w:t>
      </w:r>
      <w:r w:rsidR="00AC3138" w:rsidRPr="00E16719">
        <w:t>pay R$6</w:t>
      </w:r>
      <w:r w:rsidR="000F51AC" w:rsidRPr="00E16719">
        <w:t>0</w:t>
      </w:r>
      <w:r w:rsidR="00AC3138" w:rsidRPr="00E16719">
        <w:t xml:space="preserve">.00 </w:t>
      </w:r>
      <w:r w:rsidR="00BE292E" w:rsidRPr="00E16719">
        <w:t>(~US$20)</w:t>
      </w:r>
      <w:r w:rsidR="00DD489C" w:rsidRPr="00E16719">
        <w:t xml:space="preserve"> </w:t>
      </w:r>
      <w:r w:rsidR="00AC3138" w:rsidRPr="00E16719">
        <w:t xml:space="preserve">to each study participant.  </w:t>
      </w:r>
      <w:r w:rsidR="001119D1" w:rsidRPr="00E16719">
        <w:t xml:space="preserve"> </w:t>
      </w:r>
      <w:r w:rsidR="000F51AC" w:rsidRPr="00E16719">
        <w:t xml:space="preserve">It is estimated that the majority of SCD patients or non-SCD controls recruited from similar communities would earn minimum wage in Brazil (R$4/hour).  It is estimated approximately 1 hour would be required to complete study activities </w:t>
      </w:r>
      <w:r w:rsidR="00B755AB" w:rsidRPr="00E16719">
        <w:t>(informed consent and</w:t>
      </w:r>
      <w:r w:rsidR="000F51AC" w:rsidRPr="00E16719">
        <w:t xml:space="preserve"> completion of </w:t>
      </w:r>
      <w:r w:rsidR="00DD2B03" w:rsidRPr="00E16719">
        <w:t>assessment</w:t>
      </w:r>
      <w:r w:rsidR="000F51AC" w:rsidRPr="00E16719">
        <w:t xml:space="preserve">) in addition to 1.5 hour travel time to/from Hemocenter.  Therefore total time lost from work is estimated at 2.5 hour = R$10.  The estimated cost of travel to/from Hemocenter is R$30 and estimated cost of 1 meal during this time is </w:t>
      </w:r>
      <w:r w:rsidR="00A67CDA" w:rsidRPr="00E16719">
        <w:t>R</w:t>
      </w:r>
      <w:r w:rsidR="000F51AC" w:rsidRPr="00E16719">
        <w:t xml:space="preserve">$20.  Total </w:t>
      </w:r>
      <w:r w:rsidR="00BD7D78" w:rsidRPr="00E16719">
        <w:t>payment to be provided to respondents is therefore R$60 (~US$20).</w:t>
      </w:r>
      <w:r w:rsidR="000F51AC" w:rsidRPr="00E16719">
        <w:t xml:space="preserve"> </w:t>
      </w:r>
    </w:p>
    <w:p w14:paraId="3FA79E1B" w14:textId="77777777" w:rsidR="0011074C" w:rsidRPr="00E16719" w:rsidRDefault="0011074C" w:rsidP="0011074C">
      <w:pPr>
        <w:pStyle w:val="E-mailSignature"/>
        <w:widowControl w:val="0"/>
        <w:adjustRightInd w:val="0"/>
        <w:snapToGrid w:val="0"/>
        <w:rPr>
          <w:b/>
        </w:rPr>
      </w:pPr>
    </w:p>
    <w:p w14:paraId="1C694CB3" w14:textId="77777777" w:rsidR="008437B1" w:rsidRPr="00E16719" w:rsidRDefault="008437B1" w:rsidP="002A11DC">
      <w:pPr>
        <w:pStyle w:val="E-mailSignature"/>
        <w:widowControl w:val="0"/>
        <w:adjustRightInd w:val="0"/>
        <w:snapToGrid w:val="0"/>
        <w:rPr>
          <w:b/>
        </w:rPr>
      </w:pPr>
      <w:r w:rsidRPr="00E16719">
        <w:rPr>
          <w:b/>
        </w:rPr>
        <w:t>A.10. Assurance of Confidentiality Provided to Respondents</w:t>
      </w:r>
    </w:p>
    <w:p w14:paraId="0EB02F2B" w14:textId="77777777" w:rsidR="00E43A95" w:rsidRPr="00E16719" w:rsidRDefault="00E43A95" w:rsidP="002A11DC">
      <w:pPr>
        <w:widowControl w:val="0"/>
        <w:adjustRightInd w:val="0"/>
        <w:snapToGrid w:val="0"/>
        <w:jc w:val="both"/>
      </w:pPr>
    </w:p>
    <w:p w14:paraId="180E4AAF" w14:textId="37DBB396" w:rsidR="008437B1" w:rsidRPr="00E16719" w:rsidRDefault="008437B1" w:rsidP="00DF5D6E">
      <w:pPr>
        <w:widowControl w:val="0"/>
        <w:autoSpaceDE w:val="0"/>
        <w:autoSpaceDN w:val="0"/>
        <w:adjustRightInd w:val="0"/>
      </w:pPr>
      <w:r w:rsidRPr="00E16719">
        <w:tab/>
      </w:r>
      <w:r w:rsidR="003531AF" w:rsidRPr="00E16719">
        <w:rPr>
          <w:bCs/>
        </w:rPr>
        <w:t xml:space="preserve">All respondents will be assured of the actions taken to safeguard </w:t>
      </w:r>
      <w:r w:rsidR="00987B4D" w:rsidRPr="00E16719">
        <w:rPr>
          <w:bCs/>
        </w:rPr>
        <w:t>their privacy</w:t>
      </w:r>
      <w:r w:rsidR="0098093A" w:rsidRPr="00E16719">
        <w:rPr>
          <w:bCs/>
        </w:rPr>
        <w:t xml:space="preserve"> </w:t>
      </w:r>
      <w:r w:rsidR="00DE7E5F" w:rsidRPr="00E16719">
        <w:rPr>
          <w:bCs/>
        </w:rPr>
        <w:t xml:space="preserve">and all </w:t>
      </w:r>
      <w:r w:rsidR="00DE7E5F" w:rsidRPr="00E16719">
        <w:t>e</w:t>
      </w:r>
      <w:r w:rsidR="0069537F" w:rsidRPr="00E16719">
        <w:t xml:space="preserve">fforts will be made to </w:t>
      </w:r>
      <w:r w:rsidR="00CA7744" w:rsidRPr="00E16719">
        <w:t xml:space="preserve">secure </w:t>
      </w:r>
      <w:r w:rsidR="0069537F" w:rsidRPr="00E16719">
        <w:t xml:space="preserve">the </w:t>
      </w:r>
      <w:r w:rsidR="00DE7E5F" w:rsidRPr="00E16719">
        <w:t xml:space="preserve">privacy </w:t>
      </w:r>
      <w:r w:rsidR="0069537F" w:rsidRPr="00E16719">
        <w:t xml:space="preserve">of </w:t>
      </w:r>
      <w:r w:rsidR="004E6BE2" w:rsidRPr="00E16719">
        <w:t xml:space="preserve">respondent </w:t>
      </w:r>
      <w:r w:rsidR="00AC3138" w:rsidRPr="00E16719">
        <w:t>patients</w:t>
      </w:r>
      <w:r w:rsidR="00CA7744" w:rsidRPr="00E16719">
        <w:t xml:space="preserve"> to the extent permitted by law</w:t>
      </w:r>
      <w:r w:rsidR="004E6BE2" w:rsidRPr="00E16719">
        <w:t>.  They</w:t>
      </w:r>
      <w:r w:rsidR="007B2A84" w:rsidRPr="00E16719">
        <w:t xml:space="preserve"> will be shown how to use the computer to complete the interview by entering basic demographic data with the help of the research assistant or nurse, but will be given privacy to complete the rest of the </w:t>
      </w:r>
      <w:r w:rsidR="00DD2B03" w:rsidRPr="00E16719">
        <w:t>assessment</w:t>
      </w:r>
      <w:r w:rsidR="007B2A84" w:rsidRPr="00E16719">
        <w:t>.</w:t>
      </w:r>
      <w:r w:rsidR="0069537F" w:rsidRPr="00E16719">
        <w:t xml:space="preserve"> Use of a Subject ID on the </w:t>
      </w:r>
      <w:r w:rsidR="00DD2B03" w:rsidRPr="00E16719">
        <w:t>assessment</w:t>
      </w:r>
      <w:r w:rsidR="0069537F" w:rsidRPr="00E16719">
        <w:t xml:space="preserve"> will allow for tracking of survey responses without entering identifying information into the study database. The link between the Subject ID number and the identity of the </w:t>
      </w:r>
      <w:r w:rsidR="00AC3138" w:rsidRPr="00E16719">
        <w:t>patients</w:t>
      </w:r>
      <w:r w:rsidR="0069537F" w:rsidRPr="00E16719">
        <w:t xml:space="preserve"> is only maintained by the blood centers. </w:t>
      </w:r>
      <w:r w:rsidR="00BD7D78" w:rsidRPr="00E16719">
        <w:t xml:space="preserve">The link is maintained so any HIV positive participants can be re-contacted to return to </w:t>
      </w:r>
      <w:r w:rsidR="00493A79" w:rsidRPr="00E16719">
        <w:t xml:space="preserve">the </w:t>
      </w:r>
      <w:r w:rsidR="00BD7D78" w:rsidRPr="00E16719">
        <w:t xml:space="preserve">Hemocenter for appropriate counseling and referral.  </w:t>
      </w:r>
      <w:r w:rsidR="007624E4">
        <w:t>Patient identifying information is already collected by the Hemocenters as part of regular procedures and routine care of SCD patients.  However, t</w:t>
      </w:r>
      <w:r w:rsidR="004E6BE2" w:rsidRPr="00E16719">
        <w:t>he Coordinati</w:t>
      </w:r>
      <w:r w:rsidR="0069537F" w:rsidRPr="00E16719">
        <w:t>ng Center (</w:t>
      </w:r>
      <w:r w:rsidR="00493A79" w:rsidRPr="00E16719">
        <w:t>RTI, US</w:t>
      </w:r>
      <w:r w:rsidR="0069537F" w:rsidRPr="00E16719">
        <w:t xml:space="preserve">) will not have access to any </w:t>
      </w:r>
      <w:r w:rsidR="00AC3138" w:rsidRPr="00E16719">
        <w:t>patient</w:t>
      </w:r>
      <w:r w:rsidR="0069537F" w:rsidRPr="00E16719">
        <w:t xml:space="preserve"> identifying information.</w:t>
      </w:r>
      <w:r w:rsidR="007624E4">
        <w:t xml:space="preserve"> </w:t>
      </w:r>
    </w:p>
    <w:p w14:paraId="7753C8AE" w14:textId="77777777" w:rsidR="002D4198" w:rsidRPr="00E16719" w:rsidRDefault="002D4198" w:rsidP="002A11DC">
      <w:pPr>
        <w:pStyle w:val="E-mailSignature"/>
        <w:widowControl w:val="0"/>
        <w:adjustRightInd w:val="0"/>
        <w:snapToGrid w:val="0"/>
        <w:rPr>
          <w:b/>
        </w:rPr>
      </w:pPr>
      <w:bookmarkStart w:id="13" w:name="_Toc153351594"/>
    </w:p>
    <w:p w14:paraId="6446A263" w14:textId="77777777" w:rsidR="00816B03" w:rsidRDefault="00816B03" w:rsidP="002A11DC">
      <w:pPr>
        <w:pStyle w:val="E-mailSignature"/>
        <w:widowControl w:val="0"/>
        <w:adjustRightInd w:val="0"/>
        <w:snapToGrid w:val="0"/>
        <w:rPr>
          <w:b/>
        </w:rPr>
      </w:pPr>
    </w:p>
    <w:p w14:paraId="1C7CBE72" w14:textId="77777777" w:rsidR="00E12F33" w:rsidRPr="00E16719" w:rsidRDefault="00E12F33" w:rsidP="002A11DC">
      <w:pPr>
        <w:pStyle w:val="E-mailSignature"/>
        <w:widowControl w:val="0"/>
        <w:adjustRightInd w:val="0"/>
        <w:snapToGrid w:val="0"/>
        <w:rPr>
          <w:b/>
        </w:rPr>
      </w:pPr>
    </w:p>
    <w:p w14:paraId="04D08E74" w14:textId="77777777" w:rsidR="008437B1" w:rsidRPr="00E16719" w:rsidRDefault="008437B1" w:rsidP="002A11DC">
      <w:pPr>
        <w:pStyle w:val="E-mailSignature"/>
        <w:widowControl w:val="0"/>
        <w:adjustRightInd w:val="0"/>
        <w:snapToGrid w:val="0"/>
        <w:rPr>
          <w:b/>
        </w:rPr>
      </w:pPr>
      <w:r w:rsidRPr="00E16719">
        <w:rPr>
          <w:b/>
        </w:rPr>
        <w:t>A.11.</w:t>
      </w:r>
      <w:r w:rsidRPr="00E16719">
        <w:rPr>
          <w:b/>
        </w:rPr>
        <w:tab/>
        <w:t>Justification for Sensitive Questions</w:t>
      </w:r>
      <w:bookmarkEnd w:id="13"/>
    </w:p>
    <w:p w14:paraId="4FF5AD7D" w14:textId="77777777" w:rsidR="00E43A95" w:rsidRPr="00E16719" w:rsidRDefault="00E43A95" w:rsidP="002A11DC">
      <w:pPr>
        <w:widowControl w:val="0"/>
        <w:adjustRightInd w:val="0"/>
        <w:snapToGrid w:val="0"/>
        <w:jc w:val="both"/>
      </w:pPr>
    </w:p>
    <w:p w14:paraId="01BADAC2" w14:textId="318CA286" w:rsidR="008437B1" w:rsidRPr="00E16719" w:rsidRDefault="008437B1" w:rsidP="002A11DC">
      <w:pPr>
        <w:widowControl w:val="0"/>
        <w:adjustRightInd w:val="0"/>
        <w:snapToGrid w:val="0"/>
        <w:jc w:val="both"/>
      </w:pPr>
      <w:r w:rsidRPr="00E16719">
        <w:tab/>
      </w:r>
      <w:r w:rsidR="00C03E5C" w:rsidRPr="00E16719">
        <w:t xml:space="preserve">The primary </w:t>
      </w:r>
      <w:r w:rsidR="00BE292E" w:rsidRPr="00E16719">
        <w:t xml:space="preserve">goal of objective 1 </w:t>
      </w:r>
      <w:r w:rsidR="00C03E5C" w:rsidRPr="00E16719">
        <w:t xml:space="preserve">of this research is to determine the risk of HIV in SCD, necessitating the inclusion of sensitive questions.  </w:t>
      </w:r>
      <w:r w:rsidR="005F1541" w:rsidRPr="00E16719">
        <w:t>Therefore, s</w:t>
      </w:r>
      <w:r w:rsidRPr="00E16719">
        <w:t>pecial attention has been devoted to carefully desig</w:t>
      </w:r>
      <w:r w:rsidR="00062FCC" w:rsidRPr="00E16719">
        <w:t>ning</w:t>
      </w:r>
      <w:r w:rsidRPr="00E16719">
        <w:t xml:space="preserve"> </w:t>
      </w:r>
      <w:r w:rsidR="005F1541" w:rsidRPr="00E16719">
        <w:t>these</w:t>
      </w:r>
      <w:r w:rsidRPr="00E16719">
        <w:t xml:space="preserve"> questions in a straightforward and non-judgmental way.</w:t>
      </w:r>
      <w:r w:rsidR="00070179" w:rsidRPr="00E16719">
        <w:rPr>
          <w:color w:val="000000"/>
        </w:rPr>
        <w:t xml:space="preserve"> </w:t>
      </w:r>
      <w:r w:rsidR="005F1541" w:rsidRPr="00E16719">
        <w:rPr>
          <w:color w:val="000000"/>
        </w:rPr>
        <w:t xml:space="preserve">In many countries including Brazil, the path of HIV spread has moved from homosexual to heterosexual transmission. </w:t>
      </w:r>
      <w:r w:rsidRPr="00E16719">
        <w:rPr>
          <w:color w:val="000000"/>
        </w:rPr>
        <w:t xml:space="preserve">Sexual lifestyle, including the </w:t>
      </w:r>
      <w:r w:rsidR="005F1541" w:rsidRPr="00E16719">
        <w:rPr>
          <w:color w:val="000000"/>
        </w:rPr>
        <w:t xml:space="preserve">lifetime </w:t>
      </w:r>
      <w:r w:rsidRPr="00E16719">
        <w:rPr>
          <w:color w:val="000000"/>
        </w:rPr>
        <w:t>number of sexual partners</w:t>
      </w:r>
      <w:r w:rsidR="009E4344" w:rsidRPr="00E16719">
        <w:rPr>
          <w:color w:val="000000"/>
        </w:rPr>
        <w:t xml:space="preserve"> and sex without condoms</w:t>
      </w:r>
      <w:r w:rsidRPr="00E16719">
        <w:rPr>
          <w:color w:val="000000"/>
        </w:rPr>
        <w:t xml:space="preserve">, increases the odds of having </w:t>
      </w:r>
      <w:r w:rsidR="00C03E5C" w:rsidRPr="00E16719">
        <w:rPr>
          <w:color w:val="000000"/>
        </w:rPr>
        <w:t>HIV,</w:t>
      </w:r>
      <w:r w:rsidRPr="00E16719">
        <w:rPr>
          <w:color w:val="000000"/>
        </w:rPr>
        <w:t xml:space="preserve"> as well </w:t>
      </w:r>
      <w:r w:rsidR="00D93607" w:rsidRPr="00E16719">
        <w:rPr>
          <w:color w:val="000000"/>
        </w:rPr>
        <w:t xml:space="preserve">as </w:t>
      </w:r>
      <w:r w:rsidRPr="00E16719">
        <w:rPr>
          <w:color w:val="000000"/>
        </w:rPr>
        <w:t>its spread</w:t>
      </w:r>
      <w:r w:rsidR="009E4344" w:rsidRPr="00E16719">
        <w:rPr>
          <w:color w:val="000000"/>
        </w:rPr>
        <w:t>.  T</w:t>
      </w:r>
      <w:r w:rsidR="005F1541" w:rsidRPr="00E16719">
        <w:rPr>
          <w:color w:val="000000"/>
        </w:rPr>
        <w:t>herefore questions regarding sexual history are critical to understanding the risk of HIV.</w:t>
      </w:r>
      <w:r w:rsidR="005F1541" w:rsidRPr="00E16719">
        <w:t xml:space="preserve">  </w:t>
      </w:r>
      <w:r w:rsidRPr="00E16719">
        <w:rPr>
          <w:color w:val="000000"/>
        </w:rPr>
        <w:t>The section on drug use was included</w:t>
      </w:r>
      <w:r w:rsidR="005F1541" w:rsidRPr="00E16719">
        <w:rPr>
          <w:color w:val="000000"/>
        </w:rPr>
        <w:t xml:space="preserve"> as </w:t>
      </w:r>
      <w:r w:rsidR="00303751" w:rsidRPr="00E16719">
        <w:rPr>
          <w:color w:val="000000"/>
        </w:rPr>
        <w:t xml:space="preserve">this </w:t>
      </w:r>
      <w:r w:rsidR="005F1541" w:rsidRPr="00E16719">
        <w:rPr>
          <w:color w:val="000000"/>
        </w:rPr>
        <w:t xml:space="preserve">is also a known risk factor for HIV.  </w:t>
      </w:r>
    </w:p>
    <w:p w14:paraId="2AA70DC7" w14:textId="77777777" w:rsidR="009E4344" w:rsidRPr="00E16719" w:rsidRDefault="008437B1" w:rsidP="002A11DC">
      <w:pPr>
        <w:widowControl w:val="0"/>
        <w:adjustRightInd w:val="0"/>
        <w:snapToGrid w:val="0"/>
        <w:jc w:val="both"/>
        <w:rPr>
          <w:color w:val="000000"/>
        </w:rPr>
      </w:pPr>
      <w:r w:rsidRPr="00E16719">
        <w:rPr>
          <w:color w:val="000000"/>
        </w:rPr>
        <w:tab/>
        <w:t>The section on other potential risk factors will obtain data related to rare risk factors for HIV infection and includes questions related to tattoos</w:t>
      </w:r>
      <w:r w:rsidR="00A859D4" w:rsidRPr="00E16719">
        <w:rPr>
          <w:color w:val="000000"/>
        </w:rPr>
        <w:t>,</w:t>
      </w:r>
      <w:r w:rsidRPr="00E16719">
        <w:rPr>
          <w:color w:val="000000"/>
        </w:rPr>
        <w:t xml:space="preserve"> acupuncture treatment</w:t>
      </w:r>
      <w:r w:rsidR="00A859D4" w:rsidRPr="00E16719">
        <w:rPr>
          <w:color w:val="000000"/>
        </w:rPr>
        <w:t>,</w:t>
      </w:r>
      <w:r w:rsidRPr="00E16719">
        <w:rPr>
          <w:color w:val="000000"/>
        </w:rPr>
        <w:t xml:space="preserve"> time spent in jail, prison, or a detention center</w:t>
      </w:r>
      <w:r w:rsidR="009E4344" w:rsidRPr="00E16719">
        <w:rPr>
          <w:color w:val="000000"/>
        </w:rPr>
        <w:t xml:space="preserve"> and</w:t>
      </w:r>
      <w:r w:rsidRPr="00E16719">
        <w:rPr>
          <w:color w:val="000000"/>
        </w:rPr>
        <w:t xml:space="preserve"> body piercings</w:t>
      </w:r>
      <w:r w:rsidR="009E4344" w:rsidRPr="00E16719">
        <w:rPr>
          <w:color w:val="000000"/>
        </w:rPr>
        <w:t xml:space="preserve"> or work place exposures for patients/controls who may work in professions that could lead to exposure to blood or body fluids</w:t>
      </w:r>
      <w:r w:rsidRPr="00E16719">
        <w:rPr>
          <w:color w:val="000000"/>
        </w:rPr>
        <w:t>.</w:t>
      </w:r>
    </w:p>
    <w:p w14:paraId="5B38A0E1" w14:textId="3E32279A" w:rsidR="009E4344" w:rsidRPr="00E16719" w:rsidRDefault="009E4344" w:rsidP="003129EE">
      <w:pPr>
        <w:widowControl w:val="0"/>
        <w:adjustRightInd w:val="0"/>
        <w:snapToGrid w:val="0"/>
        <w:ind w:firstLine="720"/>
      </w:pPr>
      <w:r w:rsidRPr="00E16719">
        <w:rPr>
          <w:color w:val="000000"/>
        </w:rPr>
        <w:t>In addition to specific HIV risk behaviors, other potentially sensitive questions include questions regarding race</w:t>
      </w:r>
      <w:r w:rsidR="00B222C0" w:rsidRPr="00E16719">
        <w:rPr>
          <w:color w:val="000000"/>
        </w:rPr>
        <w:t>/ethnicity</w:t>
      </w:r>
      <w:r w:rsidRPr="00E16719">
        <w:rPr>
          <w:color w:val="000000"/>
        </w:rPr>
        <w:t xml:space="preserve"> and income of participants.  These data are included to allow a comparison of the demographics of the SCD and control population to determine if the study populations are relatively similar, except for SCD status. Note that the r</w:t>
      </w:r>
      <w:r w:rsidRPr="00E16719">
        <w:t>ace</w:t>
      </w:r>
      <w:r w:rsidR="00B222C0" w:rsidRPr="00E16719">
        <w:t>/ethnicity</w:t>
      </w:r>
      <w:r w:rsidRPr="00E16719">
        <w:t xml:space="preserve"> categories asked of respondents in the </w:t>
      </w:r>
      <w:r w:rsidR="00DD2B03" w:rsidRPr="00E16719">
        <w:t>assessment</w:t>
      </w:r>
      <w:r w:rsidRPr="00E16719">
        <w:t xml:space="preserve"> are consistent with the Federal Government</w:t>
      </w:r>
      <w:r w:rsidR="000539A6" w:rsidRPr="00E16719">
        <w:t xml:space="preserve"> </w:t>
      </w:r>
      <w:r w:rsidRPr="00E16719">
        <w:t xml:space="preserve">of Brazil Census categories (IBGE). </w:t>
      </w:r>
      <w:hyperlink r:id="rId16" w:history="1">
        <w:r w:rsidRPr="00E16719">
          <w:rPr>
            <w:rStyle w:val="Hyperlink"/>
          </w:rPr>
          <w:t>http://www.ibge.gov.br/home/estatistica/populacao/caracteristicas_raciais/default_raciais.shtm</w:t>
        </w:r>
      </w:hyperlink>
    </w:p>
    <w:p w14:paraId="3664FC87" w14:textId="77777777" w:rsidR="009E4344" w:rsidRPr="00E16719" w:rsidRDefault="009E4344" w:rsidP="002A11DC">
      <w:pPr>
        <w:widowControl w:val="0"/>
        <w:adjustRightInd w:val="0"/>
        <w:snapToGrid w:val="0"/>
        <w:jc w:val="both"/>
        <w:rPr>
          <w:color w:val="000000"/>
        </w:rPr>
      </w:pPr>
    </w:p>
    <w:p w14:paraId="786704E9" w14:textId="2459D186" w:rsidR="008437B1" w:rsidRPr="00E16719" w:rsidRDefault="008437B1" w:rsidP="009E4344">
      <w:pPr>
        <w:widowControl w:val="0"/>
        <w:adjustRightInd w:val="0"/>
        <w:snapToGrid w:val="0"/>
        <w:ind w:firstLine="720"/>
        <w:jc w:val="both"/>
        <w:rPr>
          <w:color w:val="000000"/>
        </w:rPr>
      </w:pPr>
      <w:r w:rsidRPr="00E16719">
        <w:rPr>
          <w:color w:val="000000"/>
        </w:rPr>
        <w:t xml:space="preserve">Please see Attachment </w:t>
      </w:r>
      <w:r w:rsidR="00DD489C" w:rsidRPr="00E16719">
        <w:rPr>
          <w:color w:val="000000"/>
        </w:rPr>
        <w:t>3.2</w:t>
      </w:r>
      <w:r w:rsidR="009E4344" w:rsidRPr="00E16719">
        <w:rPr>
          <w:color w:val="000000"/>
        </w:rPr>
        <w:t xml:space="preserve"> </w:t>
      </w:r>
      <w:r w:rsidRPr="00E16719">
        <w:rPr>
          <w:color w:val="000000"/>
        </w:rPr>
        <w:t>for a detailed justification for each question.</w:t>
      </w:r>
    </w:p>
    <w:p w14:paraId="233466F2" w14:textId="77777777" w:rsidR="008437B1" w:rsidRPr="00E16719" w:rsidRDefault="008437B1" w:rsidP="00987B4D">
      <w:pPr>
        <w:widowControl w:val="0"/>
        <w:adjustRightInd w:val="0"/>
        <w:snapToGrid w:val="0"/>
        <w:jc w:val="both"/>
        <w:rPr>
          <w:color w:val="000000"/>
        </w:rPr>
      </w:pPr>
      <w:r w:rsidRPr="00E16719">
        <w:rPr>
          <w:color w:val="000000"/>
        </w:rPr>
        <w:tab/>
      </w:r>
      <w:r w:rsidR="00987B4D" w:rsidRPr="00E16719">
        <w:rPr>
          <w:color w:val="000000"/>
        </w:rPr>
        <w:t>I</w:t>
      </w:r>
      <w:r w:rsidRPr="00E16719">
        <w:rPr>
          <w:color w:val="000000"/>
        </w:rPr>
        <w:t xml:space="preserve">n awareness of the possible sensitive nature of the questions, the following steps will be taken to ensure the </w:t>
      </w:r>
      <w:r w:rsidR="00987B4D" w:rsidRPr="00E16719">
        <w:rPr>
          <w:color w:val="000000"/>
        </w:rPr>
        <w:t xml:space="preserve">privacy </w:t>
      </w:r>
      <w:r w:rsidRPr="00E16719">
        <w:rPr>
          <w:color w:val="000000"/>
        </w:rPr>
        <w:t>of respondents</w:t>
      </w:r>
      <w:r w:rsidR="00AF5078" w:rsidRPr="00E16719">
        <w:rPr>
          <w:color w:val="000000"/>
        </w:rPr>
        <w:t xml:space="preserve"> although personal identifiable information is not collected:</w:t>
      </w:r>
    </w:p>
    <w:p w14:paraId="2C5E058B" w14:textId="2C445566" w:rsidR="008437B1" w:rsidRPr="00E16719" w:rsidRDefault="008437B1" w:rsidP="002A11DC">
      <w:pPr>
        <w:widowControl w:val="0"/>
        <w:numPr>
          <w:ilvl w:val="0"/>
          <w:numId w:val="17"/>
        </w:numPr>
        <w:adjustRightInd w:val="0"/>
        <w:snapToGrid w:val="0"/>
        <w:jc w:val="both"/>
      </w:pPr>
      <w:r w:rsidRPr="00E16719">
        <w:rPr>
          <w:color w:val="000000"/>
        </w:rPr>
        <w:t xml:space="preserve">The </w:t>
      </w:r>
      <w:r w:rsidR="00DD2B03" w:rsidRPr="00E16719">
        <w:rPr>
          <w:color w:val="000000"/>
        </w:rPr>
        <w:t>assessment</w:t>
      </w:r>
      <w:r w:rsidRPr="00E16719">
        <w:rPr>
          <w:color w:val="000000"/>
        </w:rPr>
        <w:t xml:space="preserve"> is administered using audio computer-administered </w:t>
      </w:r>
      <w:r w:rsidR="00861D14" w:rsidRPr="00E16719">
        <w:rPr>
          <w:color w:val="000000"/>
        </w:rPr>
        <w:t>self-interview</w:t>
      </w:r>
      <w:r w:rsidRPr="00E16719">
        <w:rPr>
          <w:color w:val="000000"/>
        </w:rPr>
        <w:t xml:space="preserve"> (ACASI) program. The purpose of using a self-administered instrument is to ensure that potentially stigmatizing behaviors will be reported as honestly as possible without fear or concern that an interviewer would stand in judgment. </w:t>
      </w:r>
    </w:p>
    <w:p w14:paraId="2E075EBE" w14:textId="17E9DC2D" w:rsidR="008437B1" w:rsidRPr="00E16719" w:rsidRDefault="008437B1" w:rsidP="002A11DC">
      <w:pPr>
        <w:widowControl w:val="0"/>
        <w:numPr>
          <w:ilvl w:val="0"/>
          <w:numId w:val="6"/>
        </w:numPr>
        <w:adjustRightInd w:val="0"/>
        <w:snapToGrid w:val="0"/>
        <w:jc w:val="both"/>
      </w:pPr>
      <w:r w:rsidRPr="00E16719">
        <w:t xml:space="preserve">All data will be stored </w:t>
      </w:r>
      <w:r w:rsidR="00426FD4" w:rsidRPr="00E16719">
        <w:t xml:space="preserve">on password protected computers and </w:t>
      </w:r>
      <w:r w:rsidRPr="00E16719">
        <w:t>in a secure location, accessible only to authorized study personnel.</w:t>
      </w:r>
      <w:r w:rsidR="00426FD4" w:rsidRPr="00E16719">
        <w:t xml:space="preserve"> One designated research assistant in Hemominas Belo Horizonte will be responsible for up load of files to the DCC through a secure, encrypted FTP site on the private REDS-III website.  No personal identifying information is included in files transferred to the DCC.</w:t>
      </w:r>
    </w:p>
    <w:p w14:paraId="6BCA702B" w14:textId="256E4D89" w:rsidR="008437B1" w:rsidRPr="00E16719" w:rsidRDefault="009E4344" w:rsidP="004B0499">
      <w:pPr>
        <w:widowControl w:val="0"/>
        <w:numPr>
          <w:ilvl w:val="0"/>
          <w:numId w:val="6"/>
        </w:numPr>
        <w:adjustRightInd w:val="0"/>
        <w:snapToGrid w:val="0"/>
        <w:jc w:val="both"/>
      </w:pPr>
      <w:r w:rsidRPr="00E16719">
        <w:t>Participants</w:t>
      </w:r>
      <w:r w:rsidR="008437B1" w:rsidRPr="00E16719">
        <w:t xml:space="preserve"> are advised of the voluntary nature of their participation in the study and of the steps taken to ensure the </w:t>
      </w:r>
      <w:r w:rsidR="00987B4D" w:rsidRPr="00E16719">
        <w:t xml:space="preserve">privacy </w:t>
      </w:r>
      <w:r w:rsidR="008437B1" w:rsidRPr="00E16719">
        <w:t xml:space="preserve">of the information collected. </w:t>
      </w:r>
      <w:r w:rsidR="004B0499" w:rsidRPr="00E16719">
        <w:t>See Informed Consent</w:t>
      </w:r>
      <w:r w:rsidRPr="00E16719">
        <w:t>, Attachment</w:t>
      </w:r>
      <w:r w:rsidR="009544AE" w:rsidRPr="00E16719">
        <w:t>s</w:t>
      </w:r>
      <w:r w:rsidRPr="00E16719">
        <w:t xml:space="preserve"> </w:t>
      </w:r>
      <w:r w:rsidR="00DD489C" w:rsidRPr="00E16719">
        <w:t>2</w:t>
      </w:r>
      <w:r w:rsidR="008437B1" w:rsidRPr="00E16719">
        <w:t>.</w:t>
      </w:r>
      <w:r w:rsidR="009544AE" w:rsidRPr="00E16719">
        <w:t>1 and 2.2.</w:t>
      </w:r>
    </w:p>
    <w:p w14:paraId="503E16F5" w14:textId="77777777" w:rsidR="00A859D4" w:rsidRPr="00E16719" w:rsidRDefault="00A859D4" w:rsidP="002A11DC">
      <w:pPr>
        <w:pStyle w:val="E-mailSignature"/>
        <w:widowControl w:val="0"/>
        <w:adjustRightInd w:val="0"/>
        <w:snapToGrid w:val="0"/>
        <w:rPr>
          <w:b/>
        </w:rPr>
      </w:pPr>
      <w:bookmarkStart w:id="14" w:name="_Toc153351595"/>
    </w:p>
    <w:p w14:paraId="7903A039" w14:textId="77777777" w:rsidR="008437B1" w:rsidRPr="00E16719" w:rsidRDefault="008437B1" w:rsidP="002A11DC">
      <w:pPr>
        <w:pStyle w:val="E-mailSignature"/>
        <w:widowControl w:val="0"/>
        <w:adjustRightInd w:val="0"/>
        <w:snapToGrid w:val="0"/>
        <w:rPr>
          <w:b/>
        </w:rPr>
      </w:pPr>
      <w:r w:rsidRPr="00E16719">
        <w:rPr>
          <w:b/>
        </w:rPr>
        <w:t>A.12.</w:t>
      </w:r>
      <w:r w:rsidRPr="00E16719">
        <w:rPr>
          <w:b/>
        </w:rPr>
        <w:tab/>
        <w:t>Estimates of Burden Hour</w:t>
      </w:r>
      <w:r w:rsidR="00D93607" w:rsidRPr="00E16719">
        <w:rPr>
          <w:b/>
        </w:rPr>
        <w:t>s</w:t>
      </w:r>
      <w:r w:rsidRPr="00E16719">
        <w:rPr>
          <w:b/>
        </w:rPr>
        <w:t xml:space="preserve"> Including Annualized Hourly Costs</w:t>
      </w:r>
      <w:bookmarkEnd w:id="14"/>
    </w:p>
    <w:p w14:paraId="3E3E8FFE" w14:textId="77777777" w:rsidR="00BE292E" w:rsidRPr="00E16719" w:rsidRDefault="00BE292E" w:rsidP="002A11DC">
      <w:pPr>
        <w:widowControl w:val="0"/>
        <w:adjustRightInd w:val="0"/>
        <w:snapToGrid w:val="0"/>
        <w:jc w:val="both"/>
        <w:rPr>
          <w:b/>
        </w:rPr>
      </w:pPr>
    </w:p>
    <w:p w14:paraId="1B26A824" w14:textId="6F916156" w:rsidR="00E43A95" w:rsidRPr="00E16719" w:rsidRDefault="00BE292E" w:rsidP="00F0219D">
      <w:pPr>
        <w:widowControl w:val="0"/>
        <w:adjustRightInd w:val="0"/>
        <w:snapToGrid w:val="0"/>
        <w:jc w:val="both"/>
        <w:rPr>
          <w:bCs/>
        </w:rPr>
      </w:pPr>
      <w:r w:rsidRPr="00E16719">
        <w:rPr>
          <w:bCs/>
        </w:rPr>
        <w:t xml:space="preserve">The annualized </w:t>
      </w:r>
      <w:r w:rsidR="009544AE" w:rsidRPr="00E16719">
        <w:rPr>
          <w:bCs/>
        </w:rPr>
        <w:t>burden hours</w:t>
      </w:r>
      <w:r w:rsidR="0001249C" w:rsidRPr="00E16719">
        <w:rPr>
          <w:bCs/>
        </w:rPr>
        <w:t xml:space="preserve"> for all respondents</w:t>
      </w:r>
      <w:r w:rsidR="00F0219D" w:rsidRPr="00E16719">
        <w:rPr>
          <w:bCs/>
        </w:rPr>
        <w:t xml:space="preserve"> </w:t>
      </w:r>
      <w:r w:rsidR="0001249C" w:rsidRPr="00E16719">
        <w:rPr>
          <w:bCs/>
        </w:rPr>
        <w:t>are 325</w:t>
      </w:r>
      <w:r w:rsidR="009544AE" w:rsidRPr="00E16719">
        <w:rPr>
          <w:bCs/>
        </w:rPr>
        <w:t xml:space="preserve">. The annualized </w:t>
      </w:r>
      <w:r w:rsidRPr="00E16719">
        <w:rPr>
          <w:bCs/>
        </w:rPr>
        <w:t xml:space="preserve">cost to </w:t>
      </w:r>
      <w:r w:rsidR="00D30CED" w:rsidRPr="00E16719">
        <w:rPr>
          <w:bCs/>
        </w:rPr>
        <w:t xml:space="preserve">all </w:t>
      </w:r>
      <w:r w:rsidRPr="00E16719">
        <w:rPr>
          <w:bCs/>
        </w:rPr>
        <w:t>respondents is estimated at $</w:t>
      </w:r>
      <w:r w:rsidR="00E60123" w:rsidRPr="00E16719">
        <w:rPr>
          <w:bCs/>
        </w:rPr>
        <w:t>4</w:t>
      </w:r>
      <w:r w:rsidR="002B7013" w:rsidRPr="00E16719">
        <w:rPr>
          <w:bCs/>
        </w:rPr>
        <w:t>32</w:t>
      </w:r>
      <w:r w:rsidRPr="00E16719">
        <w:rPr>
          <w:bCs/>
        </w:rPr>
        <w:t xml:space="preserve"> based on $</w:t>
      </w:r>
      <w:r w:rsidR="00045EAB" w:rsidRPr="00E16719">
        <w:rPr>
          <w:bCs/>
        </w:rPr>
        <w:t>1.33</w:t>
      </w:r>
      <w:r w:rsidRPr="00E16719">
        <w:rPr>
          <w:bCs/>
        </w:rPr>
        <w:t xml:space="preserve"> per hour.  It is estimated that each respondent will spend about 15 minutes completing the consent and about 45 minutes completing the </w:t>
      </w:r>
      <w:r w:rsidR="00DD2B03" w:rsidRPr="00E16719">
        <w:rPr>
          <w:bCs/>
        </w:rPr>
        <w:t>assessment</w:t>
      </w:r>
      <w:r w:rsidRPr="00E16719">
        <w:rPr>
          <w:bCs/>
        </w:rPr>
        <w:t xml:space="preserve">.  The Brazilian </w:t>
      </w:r>
      <w:r w:rsidR="007C3591" w:rsidRPr="00E16719">
        <w:rPr>
          <w:bCs/>
        </w:rPr>
        <w:t xml:space="preserve">average </w:t>
      </w:r>
      <w:r w:rsidRPr="00E16719">
        <w:rPr>
          <w:bCs/>
        </w:rPr>
        <w:t>minimum wage $R4/hour translates to approximately $</w:t>
      </w:r>
      <w:r w:rsidR="00045EAB" w:rsidRPr="00E16719">
        <w:rPr>
          <w:bCs/>
        </w:rPr>
        <w:t>1.33/hour.  Physicians and nurses familiar with the study population estimate the majority of SCD patients will earn minimum wage.</w:t>
      </w:r>
    </w:p>
    <w:p w14:paraId="350D2341" w14:textId="5B722454" w:rsidR="008437B1" w:rsidRPr="00E16719" w:rsidRDefault="008437B1" w:rsidP="004B0499">
      <w:pPr>
        <w:widowControl w:val="0"/>
        <w:adjustRightInd w:val="0"/>
        <w:snapToGrid w:val="0"/>
        <w:jc w:val="both"/>
        <w:rPr>
          <w:bCs/>
        </w:rPr>
      </w:pPr>
      <w:r w:rsidRPr="00E16719">
        <w:rPr>
          <w:bCs/>
        </w:rPr>
        <w:tab/>
      </w:r>
    </w:p>
    <w:p w14:paraId="55BB4208" w14:textId="77777777" w:rsidR="00AA0784" w:rsidRPr="00E16719" w:rsidRDefault="00AA0784" w:rsidP="004B0499">
      <w:pPr>
        <w:widowControl w:val="0"/>
        <w:adjustRightInd w:val="0"/>
        <w:snapToGrid w:val="0"/>
        <w:jc w:val="both"/>
        <w:rPr>
          <w:bCs/>
          <w:color w:val="000000"/>
        </w:rPr>
      </w:pPr>
    </w:p>
    <w:p w14:paraId="653F9BAC" w14:textId="77777777" w:rsidR="004538B1" w:rsidRPr="00E16719" w:rsidRDefault="004538B1" w:rsidP="002A11DC">
      <w:pPr>
        <w:widowControl w:val="0"/>
        <w:adjustRightInd w:val="0"/>
        <w:snapToGrid w:val="0"/>
        <w:jc w:val="both"/>
        <w:rPr>
          <w:color w:val="000000"/>
        </w:rPr>
      </w:pPr>
    </w:p>
    <w:p w14:paraId="5443FC5C" w14:textId="77777777" w:rsidR="003F30EF" w:rsidRPr="00E16719" w:rsidRDefault="003F30EF" w:rsidP="002A11DC">
      <w:pPr>
        <w:widowControl w:val="0"/>
        <w:adjustRightInd w:val="0"/>
        <w:snapToGrid w:val="0"/>
        <w:jc w:val="both"/>
        <w:rPr>
          <w:color w:val="000000"/>
        </w:rPr>
      </w:pPr>
    </w:p>
    <w:p w14:paraId="4F353E52" w14:textId="77777777" w:rsidR="008437B1" w:rsidRPr="00E16719" w:rsidRDefault="003F30EF" w:rsidP="003F30EF">
      <w:pPr>
        <w:widowControl w:val="0"/>
        <w:adjustRightInd w:val="0"/>
        <w:snapToGrid w:val="0"/>
        <w:jc w:val="center"/>
        <w:rPr>
          <w:b/>
          <w:caps/>
          <w:sz w:val="22"/>
          <w:szCs w:val="22"/>
        </w:rPr>
      </w:pPr>
      <w:r w:rsidRPr="00E16719">
        <w:rPr>
          <w:b/>
          <w:sz w:val="22"/>
          <w:szCs w:val="22"/>
        </w:rPr>
        <w:t xml:space="preserve">A.12.1 – </w:t>
      </w:r>
      <w:r w:rsidRPr="00E16719">
        <w:rPr>
          <w:b/>
          <w:caps/>
          <w:sz w:val="22"/>
          <w:szCs w:val="22"/>
        </w:rPr>
        <w:t>Annualized Burden Hours to Respondents</w:t>
      </w:r>
    </w:p>
    <w:tbl>
      <w:tblPr>
        <w:tblW w:w="92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913"/>
        <w:gridCol w:w="1710"/>
        <w:gridCol w:w="1450"/>
        <w:gridCol w:w="1260"/>
        <w:gridCol w:w="1340"/>
      </w:tblGrid>
      <w:tr w:rsidR="003C021A" w:rsidRPr="00E16719" w14:paraId="513A4A4B" w14:textId="77777777" w:rsidTr="00994ACB">
        <w:trPr>
          <w:trHeight w:val="1603"/>
        </w:trPr>
        <w:tc>
          <w:tcPr>
            <w:tcW w:w="1597" w:type="dxa"/>
          </w:tcPr>
          <w:p w14:paraId="48A4B504" w14:textId="77777777" w:rsidR="00816B03" w:rsidRPr="00E16719" w:rsidRDefault="00816B03" w:rsidP="00F31D89">
            <w:pPr>
              <w:jc w:val="center"/>
            </w:pPr>
            <w:r w:rsidRPr="00E16719">
              <w:t>Form Name</w:t>
            </w:r>
          </w:p>
        </w:tc>
        <w:tc>
          <w:tcPr>
            <w:tcW w:w="1913" w:type="dxa"/>
          </w:tcPr>
          <w:p w14:paraId="71C14380" w14:textId="77777777" w:rsidR="00816B03" w:rsidRPr="00E16719" w:rsidRDefault="00816B03" w:rsidP="00F31D89">
            <w:pPr>
              <w:jc w:val="center"/>
            </w:pPr>
            <w:r w:rsidRPr="00E16719">
              <w:t>Type of Respondents</w:t>
            </w:r>
          </w:p>
        </w:tc>
        <w:tc>
          <w:tcPr>
            <w:tcW w:w="1710" w:type="dxa"/>
          </w:tcPr>
          <w:p w14:paraId="1E4778AB" w14:textId="77777777" w:rsidR="00816B03" w:rsidRPr="00E16719" w:rsidRDefault="00816B03" w:rsidP="00F31D89">
            <w:pPr>
              <w:jc w:val="center"/>
            </w:pPr>
            <w:r w:rsidRPr="00E16719">
              <w:t>Number of Respondents</w:t>
            </w:r>
          </w:p>
          <w:p w14:paraId="36ECF2A4" w14:textId="77777777" w:rsidR="00816B03" w:rsidRPr="00E16719" w:rsidRDefault="00816B03" w:rsidP="00F31D89"/>
        </w:tc>
        <w:tc>
          <w:tcPr>
            <w:tcW w:w="1450" w:type="dxa"/>
          </w:tcPr>
          <w:p w14:paraId="3B255219" w14:textId="77777777" w:rsidR="00816B03" w:rsidRPr="00E16719" w:rsidRDefault="00816B03" w:rsidP="00F31D89">
            <w:r w:rsidRPr="00E16719">
              <w:t>Number of Responses per Respondent</w:t>
            </w:r>
          </w:p>
        </w:tc>
        <w:tc>
          <w:tcPr>
            <w:tcW w:w="1260" w:type="dxa"/>
          </w:tcPr>
          <w:p w14:paraId="21CB5EBA" w14:textId="77777777" w:rsidR="00816B03" w:rsidRPr="00E16719" w:rsidRDefault="00816B03" w:rsidP="00F31D89">
            <w:r w:rsidRPr="00E16719">
              <w:t>Average Burden Per Response (in hours)</w:t>
            </w:r>
          </w:p>
        </w:tc>
        <w:tc>
          <w:tcPr>
            <w:tcW w:w="1340" w:type="dxa"/>
          </w:tcPr>
          <w:p w14:paraId="11FDD0A7" w14:textId="77777777" w:rsidR="00816B03" w:rsidRPr="00E16719" w:rsidRDefault="00816B03" w:rsidP="00F31D89">
            <w:r w:rsidRPr="00E16719">
              <w:t>Total Annual Burden Hours</w:t>
            </w:r>
          </w:p>
        </w:tc>
      </w:tr>
      <w:tr w:rsidR="003C021A" w:rsidRPr="00E16719" w14:paraId="1639074A" w14:textId="77777777" w:rsidTr="00994ACB">
        <w:trPr>
          <w:trHeight w:val="1603"/>
        </w:trPr>
        <w:tc>
          <w:tcPr>
            <w:tcW w:w="1597" w:type="dxa"/>
          </w:tcPr>
          <w:p w14:paraId="4440FEDB" w14:textId="155F8DEB" w:rsidR="004B0499" w:rsidRPr="00E16719" w:rsidRDefault="00AA1354" w:rsidP="00EF62D7">
            <w:pPr>
              <w:jc w:val="center"/>
            </w:pPr>
            <w:r w:rsidRPr="00E16719">
              <w:t xml:space="preserve">Objective 1 </w:t>
            </w:r>
            <w:r w:rsidR="004B0499" w:rsidRPr="00E16719">
              <w:t>Risk Factor Informed Consent</w:t>
            </w:r>
            <w:r w:rsidR="0000613C" w:rsidRPr="00E16719">
              <w:t>s</w:t>
            </w:r>
          </w:p>
        </w:tc>
        <w:tc>
          <w:tcPr>
            <w:tcW w:w="1913" w:type="dxa"/>
          </w:tcPr>
          <w:p w14:paraId="0C7DE8B6" w14:textId="24781D0A" w:rsidR="004B0499" w:rsidRPr="00E16719" w:rsidRDefault="00B755AB" w:rsidP="00D40664">
            <w:pPr>
              <w:jc w:val="center"/>
            </w:pPr>
            <w:r w:rsidRPr="00E16719">
              <w:t xml:space="preserve">Adult SCD </w:t>
            </w:r>
            <w:r w:rsidR="0006037B" w:rsidRPr="00E16719">
              <w:t>cases</w:t>
            </w:r>
            <w:r w:rsidRPr="00E16719">
              <w:t xml:space="preserve"> </w:t>
            </w:r>
            <w:r w:rsidR="00D40664" w:rsidRPr="00E16719">
              <w:t xml:space="preserve">and </w:t>
            </w:r>
            <w:r w:rsidR="00863BB7" w:rsidRPr="00E16719">
              <w:t xml:space="preserve">non-SCD </w:t>
            </w:r>
            <w:r w:rsidR="00D40664" w:rsidRPr="00E16719">
              <w:t>controls</w:t>
            </w:r>
          </w:p>
        </w:tc>
        <w:tc>
          <w:tcPr>
            <w:tcW w:w="1710" w:type="dxa"/>
          </w:tcPr>
          <w:p w14:paraId="555536BA" w14:textId="57C131FC" w:rsidR="004B0499" w:rsidRPr="00E16719" w:rsidRDefault="00B755AB" w:rsidP="00F31D89">
            <w:pPr>
              <w:jc w:val="center"/>
            </w:pPr>
            <w:r w:rsidRPr="00E16719">
              <w:t>300</w:t>
            </w:r>
          </w:p>
        </w:tc>
        <w:tc>
          <w:tcPr>
            <w:tcW w:w="1450" w:type="dxa"/>
          </w:tcPr>
          <w:p w14:paraId="412168A5" w14:textId="77777777" w:rsidR="004B0499" w:rsidRPr="00E16719" w:rsidRDefault="004B0499" w:rsidP="00F31D89">
            <w:r w:rsidRPr="00E16719">
              <w:t>1</w:t>
            </w:r>
          </w:p>
        </w:tc>
        <w:tc>
          <w:tcPr>
            <w:tcW w:w="1260" w:type="dxa"/>
          </w:tcPr>
          <w:p w14:paraId="39B84B12" w14:textId="5EAAC129" w:rsidR="004B0499" w:rsidRPr="00E16719" w:rsidRDefault="00B755AB" w:rsidP="00F31D89">
            <w:r w:rsidRPr="00E16719">
              <w:t>15</w:t>
            </w:r>
            <w:r w:rsidR="004B0499" w:rsidRPr="00E16719">
              <w:t>/60</w:t>
            </w:r>
          </w:p>
        </w:tc>
        <w:tc>
          <w:tcPr>
            <w:tcW w:w="1340" w:type="dxa"/>
          </w:tcPr>
          <w:p w14:paraId="6E24D62A" w14:textId="29A78690" w:rsidR="004B0499" w:rsidRPr="00E16719" w:rsidRDefault="00B755AB" w:rsidP="00F31D89">
            <w:r w:rsidRPr="00E16719">
              <w:t>75</w:t>
            </w:r>
          </w:p>
        </w:tc>
      </w:tr>
      <w:tr w:rsidR="004A28EF" w:rsidRPr="00E16719" w14:paraId="49BD8FCA" w14:textId="77777777" w:rsidTr="00994ACB">
        <w:trPr>
          <w:trHeight w:val="1603"/>
        </w:trPr>
        <w:tc>
          <w:tcPr>
            <w:tcW w:w="1597" w:type="dxa"/>
          </w:tcPr>
          <w:p w14:paraId="2E12F274" w14:textId="344FD516" w:rsidR="00AA1354" w:rsidRPr="00E16719" w:rsidRDefault="00AA1354" w:rsidP="004A28EF">
            <w:pPr>
              <w:jc w:val="center"/>
            </w:pPr>
            <w:r w:rsidRPr="00E16719">
              <w:t>Objective 2 Risk Factor Informed Consent</w:t>
            </w:r>
          </w:p>
        </w:tc>
        <w:tc>
          <w:tcPr>
            <w:tcW w:w="1913" w:type="dxa"/>
          </w:tcPr>
          <w:p w14:paraId="27EC1CD7" w14:textId="09443334" w:rsidR="00AA1354" w:rsidRPr="00E16719" w:rsidRDefault="00D40664" w:rsidP="003761F2">
            <w:pPr>
              <w:jc w:val="center"/>
            </w:pPr>
            <w:r w:rsidRPr="00E16719">
              <w:t>Adult HIV</w:t>
            </w:r>
            <w:r w:rsidR="003761F2" w:rsidRPr="00E16719">
              <w:t>-positive</w:t>
            </w:r>
            <w:r w:rsidRPr="00E16719">
              <w:t xml:space="preserve"> SCD patients</w:t>
            </w:r>
          </w:p>
        </w:tc>
        <w:tc>
          <w:tcPr>
            <w:tcW w:w="1710" w:type="dxa"/>
          </w:tcPr>
          <w:p w14:paraId="281B2FA3" w14:textId="037F281C" w:rsidR="00AA1354" w:rsidRPr="00E16719" w:rsidRDefault="004A28EF" w:rsidP="00AA1354">
            <w:pPr>
              <w:jc w:val="center"/>
            </w:pPr>
            <w:r w:rsidRPr="00E16719">
              <w:t>25</w:t>
            </w:r>
          </w:p>
        </w:tc>
        <w:tc>
          <w:tcPr>
            <w:tcW w:w="1450" w:type="dxa"/>
          </w:tcPr>
          <w:p w14:paraId="35FF374A" w14:textId="6A2C64E5" w:rsidR="00AA1354" w:rsidRPr="00E16719" w:rsidRDefault="004A28EF" w:rsidP="00AA1354">
            <w:r w:rsidRPr="00E16719">
              <w:t>1</w:t>
            </w:r>
          </w:p>
        </w:tc>
        <w:tc>
          <w:tcPr>
            <w:tcW w:w="1260" w:type="dxa"/>
          </w:tcPr>
          <w:p w14:paraId="1AF8D8C4" w14:textId="22E52791" w:rsidR="00AA1354" w:rsidRPr="00E16719" w:rsidRDefault="004A28EF" w:rsidP="00AA1354">
            <w:r w:rsidRPr="00E16719">
              <w:t>15/60</w:t>
            </w:r>
          </w:p>
        </w:tc>
        <w:tc>
          <w:tcPr>
            <w:tcW w:w="1340" w:type="dxa"/>
          </w:tcPr>
          <w:p w14:paraId="57A0AA99" w14:textId="41E3E4B7" w:rsidR="00AA1354" w:rsidRPr="00E16719" w:rsidRDefault="004A28EF" w:rsidP="00AA1354">
            <w:r w:rsidRPr="00E16719">
              <w:t>6</w:t>
            </w:r>
          </w:p>
        </w:tc>
      </w:tr>
      <w:tr w:rsidR="00AA1354" w:rsidRPr="00E16719" w14:paraId="5CEF277E" w14:textId="77777777" w:rsidTr="00994ACB">
        <w:trPr>
          <w:trHeight w:val="1603"/>
        </w:trPr>
        <w:tc>
          <w:tcPr>
            <w:tcW w:w="1597" w:type="dxa"/>
          </w:tcPr>
          <w:p w14:paraId="24D96971" w14:textId="1261F992" w:rsidR="00AA1354" w:rsidRPr="00E16719" w:rsidRDefault="00AA1354" w:rsidP="00AA1354">
            <w:pPr>
              <w:jc w:val="center"/>
            </w:pPr>
            <w:r w:rsidRPr="00E16719">
              <w:t>Objectives 1 and 2 Risk Factor Assessment</w:t>
            </w:r>
          </w:p>
        </w:tc>
        <w:tc>
          <w:tcPr>
            <w:tcW w:w="1913" w:type="dxa"/>
          </w:tcPr>
          <w:p w14:paraId="43AED96F" w14:textId="186D06DE" w:rsidR="00AA1354" w:rsidRPr="00E16719" w:rsidRDefault="00D40664" w:rsidP="003761F2">
            <w:pPr>
              <w:jc w:val="center"/>
            </w:pPr>
            <w:r w:rsidRPr="00E16719">
              <w:t>Adult SCD cases and controls</w:t>
            </w:r>
            <w:r w:rsidR="003761F2" w:rsidRPr="00E16719">
              <w:t xml:space="preserve"> (Objective 1)</w:t>
            </w:r>
            <w:r w:rsidRPr="00E16719">
              <w:t>, and Adult HIV</w:t>
            </w:r>
            <w:r w:rsidR="003761F2" w:rsidRPr="00E16719">
              <w:t xml:space="preserve"> positive</w:t>
            </w:r>
            <w:r w:rsidRPr="00E16719">
              <w:t xml:space="preserve"> SCD patients</w:t>
            </w:r>
            <w:r w:rsidR="003761F2" w:rsidRPr="00E16719">
              <w:t xml:space="preserve"> (Objective 2)</w:t>
            </w:r>
          </w:p>
        </w:tc>
        <w:tc>
          <w:tcPr>
            <w:tcW w:w="1710" w:type="dxa"/>
          </w:tcPr>
          <w:p w14:paraId="25D858CF" w14:textId="0384A235" w:rsidR="00AA1354" w:rsidRPr="00E16719" w:rsidRDefault="00AA1354" w:rsidP="00AA1354">
            <w:pPr>
              <w:jc w:val="center"/>
            </w:pPr>
            <w:r w:rsidRPr="00E16719">
              <w:t>325</w:t>
            </w:r>
          </w:p>
        </w:tc>
        <w:tc>
          <w:tcPr>
            <w:tcW w:w="1450" w:type="dxa"/>
          </w:tcPr>
          <w:p w14:paraId="77D3BCBC" w14:textId="0BDDBEB7" w:rsidR="00AA1354" w:rsidRPr="00E16719" w:rsidRDefault="00AA1354" w:rsidP="00AA1354">
            <w:r w:rsidRPr="00E16719">
              <w:t>1</w:t>
            </w:r>
          </w:p>
        </w:tc>
        <w:tc>
          <w:tcPr>
            <w:tcW w:w="1260" w:type="dxa"/>
          </w:tcPr>
          <w:p w14:paraId="10FC79B4" w14:textId="2B40A3E8" w:rsidR="00AA1354" w:rsidRPr="00E16719" w:rsidRDefault="00AA1354" w:rsidP="00AA1354">
            <w:r w:rsidRPr="00E16719">
              <w:t>45/60</w:t>
            </w:r>
          </w:p>
        </w:tc>
        <w:tc>
          <w:tcPr>
            <w:tcW w:w="1340" w:type="dxa"/>
          </w:tcPr>
          <w:p w14:paraId="40D5962E" w14:textId="183B4196" w:rsidR="00AA1354" w:rsidRPr="00E16719" w:rsidRDefault="004A28EF" w:rsidP="00AA1354">
            <w:r w:rsidRPr="00E16719">
              <w:t>244</w:t>
            </w:r>
          </w:p>
        </w:tc>
      </w:tr>
      <w:tr w:rsidR="0001249C" w:rsidRPr="00E16719" w14:paraId="59C9E2D7" w14:textId="77777777" w:rsidTr="00994ACB">
        <w:trPr>
          <w:trHeight w:val="1603"/>
        </w:trPr>
        <w:tc>
          <w:tcPr>
            <w:tcW w:w="1597" w:type="dxa"/>
          </w:tcPr>
          <w:p w14:paraId="75B8CEFA" w14:textId="77777777" w:rsidR="0001249C" w:rsidRPr="00E16719" w:rsidRDefault="0001249C" w:rsidP="00AA1354">
            <w:pPr>
              <w:jc w:val="center"/>
            </w:pPr>
          </w:p>
        </w:tc>
        <w:tc>
          <w:tcPr>
            <w:tcW w:w="1913" w:type="dxa"/>
          </w:tcPr>
          <w:p w14:paraId="4DE94CCC" w14:textId="77777777" w:rsidR="0001249C" w:rsidRPr="00E16719" w:rsidRDefault="0001249C" w:rsidP="003761F2">
            <w:pPr>
              <w:jc w:val="center"/>
            </w:pPr>
          </w:p>
        </w:tc>
        <w:tc>
          <w:tcPr>
            <w:tcW w:w="1710" w:type="dxa"/>
          </w:tcPr>
          <w:p w14:paraId="0A34113E" w14:textId="77777777" w:rsidR="0001249C" w:rsidRPr="00E16719" w:rsidRDefault="0001249C" w:rsidP="00AA1354">
            <w:pPr>
              <w:jc w:val="center"/>
            </w:pPr>
          </w:p>
        </w:tc>
        <w:tc>
          <w:tcPr>
            <w:tcW w:w="1450" w:type="dxa"/>
          </w:tcPr>
          <w:p w14:paraId="0A8636EB" w14:textId="77777777" w:rsidR="0001249C" w:rsidRPr="00E16719" w:rsidRDefault="0001249C" w:rsidP="00AA1354"/>
        </w:tc>
        <w:tc>
          <w:tcPr>
            <w:tcW w:w="1260" w:type="dxa"/>
          </w:tcPr>
          <w:p w14:paraId="59F57C1C" w14:textId="77777777" w:rsidR="0001249C" w:rsidRPr="00E16719" w:rsidRDefault="0001249C" w:rsidP="00AA1354"/>
        </w:tc>
        <w:tc>
          <w:tcPr>
            <w:tcW w:w="1340" w:type="dxa"/>
          </w:tcPr>
          <w:p w14:paraId="39A7147D" w14:textId="31102D5F" w:rsidR="0001249C" w:rsidRPr="00E16719" w:rsidRDefault="0001249C" w:rsidP="00AA1354">
            <w:r w:rsidRPr="00E16719">
              <w:t>325</w:t>
            </w:r>
          </w:p>
        </w:tc>
      </w:tr>
    </w:tbl>
    <w:p w14:paraId="5DCB033C" w14:textId="77777777" w:rsidR="003F30EF" w:rsidRPr="00E16719" w:rsidRDefault="003F30EF" w:rsidP="002A11DC">
      <w:pPr>
        <w:widowControl w:val="0"/>
        <w:adjustRightInd w:val="0"/>
        <w:snapToGrid w:val="0"/>
        <w:jc w:val="both"/>
      </w:pPr>
    </w:p>
    <w:p w14:paraId="31D58549" w14:textId="77777777" w:rsidR="00045EAB" w:rsidRPr="00E16719" w:rsidRDefault="00045EAB" w:rsidP="002A11DC">
      <w:pPr>
        <w:widowControl w:val="0"/>
        <w:adjustRightInd w:val="0"/>
        <w:snapToGrid w:val="0"/>
        <w:jc w:val="both"/>
      </w:pPr>
    </w:p>
    <w:p w14:paraId="67671D75" w14:textId="77777777" w:rsidR="00045EAB" w:rsidRPr="00E16719" w:rsidRDefault="00045EAB" w:rsidP="002A11DC">
      <w:pPr>
        <w:widowControl w:val="0"/>
        <w:adjustRightInd w:val="0"/>
        <w:snapToGrid w:val="0"/>
        <w:jc w:val="both"/>
      </w:pPr>
    </w:p>
    <w:p w14:paraId="79E1F1F9" w14:textId="77777777" w:rsidR="00045EAB" w:rsidRPr="00E16719" w:rsidRDefault="00045EAB" w:rsidP="002A11DC">
      <w:pPr>
        <w:widowControl w:val="0"/>
        <w:adjustRightInd w:val="0"/>
        <w:snapToGrid w:val="0"/>
        <w:jc w:val="both"/>
      </w:pPr>
    </w:p>
    <w:p w14:paraId="6C0CC528" w14:textId="77777777" w:rsidR="00045EAB" w:rsidRPr="00E16719" w:rsidRDefault="00045EAB" w:rsidP="002A11DC">
      <w:pPr>
        <w:widowControl w:val="0"/>
        <w:adjustRightInd w:val="0"/>
        <w:snapToGrid w:val="0"/>
        <w:jc w:val="both"/>
      </w:pPr>
    </w:p>
    <w:p w14:paraId="5047F54E" w14:textId="42B24A01" w:rsidR="00E8657F" w:rsidRPr="00E16719" w:rsidRDefault="00E8657F" w:rsidP="00A67CDA">
      <w:pPr>
        <w:jc w:val="center"/>
        <w:rPr>
          <w:b/>
          <w:smallCaps/>
        </w:rPr>
      </w:pPr>
      <w:bookmarkStart w:id="15" w:name="_Toc153351596"/>
      <w:r w:rsidRPr="00E16719">
        <w:rPr>
          <w:b/>
          <w:smallCaps/>
        </w:rPr>
        <w:t>A.12</w:t>
      </w:r>
      <w:r w:rsidR="00A67CDA" w:rsidRPr="00E16719">
        <w:rPr>
          <w:b/>
          <w:smallCaps/>
        </w:rPr>
        <w:t>.</w:t>
      </w:r>
      <w:r w:rsidRPr="00E16719">
        <w:rPr>
          <w:b/>
          <w:smallCaps/>
        </w:rPr>
        <w:t>2   Annualized Cost To Respondents</w:t>
      </w:r>
    </w:p>
    <w:tbl>
      <w:tblPr>
        <w:tblW w:w="92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548"/>
        <w:gridCol w:w="1350"/>
        <w:gridCol w:w="1530"/>
        <w:gridCol w:w="1260"/>
        <w:gridCol w:w="990"/>
      </w:tblGrid>
      <w:tr w:rsidR="00816B03" w:rsidRPr="00E16719" w14:paraId="0AC338E4" w14:textId="77777777" w:rsidTr="00045EAB">
        <w:tc>
          <w:tcPr>
            <w:tcW w:w="2592" w:type="dxa"/>
          </w:tcPr>
          <w:p w14:paraId="739A8960" w14:textId="77777777" w:rsidR="00816B03" w:rsidRPr="00E16719" w:rsidRDefault="00816B03" w:rsidP="00F31D89">
            <w:pPr>
              <w:jc w:val="center"/>
            </w:pPr>
            <w:r w:rsidRPr="00E16719">
              <w:t>Form Name</w:t>
            </w:r>
          </w:p>
        </w:tc>
        <w:tc>
          <w:tcPr>
            <w:tcW w:w="1548" w:type="dxa"/>
          </w:tcPr>
          <w:p w14:paraId="0A951220" w14:textId="77777777" w:rsidR="00816B03" w:rsidRPr="00E16719" w:rsidRDefault="00816B03" w:rsidP="00F31D89">
            <w:pPr>
              <w:jc w:val="center"/>
            </w:pPr>
            <w:r w:rsidRPr="00E16719">
              <w:t>Number of Respondents</w:t>
            </w:r>
          </w:p>
          <w:p w14:paraId="13E51EFC" w14:textId="77777777" w:rsidR="00816B03" w:rsidRPr="00E16719" w:rsidRDefault="00816B03" w:rsidP="00F31D89">
            <w:pPr>
              <w:jc w:val="center"/>
            </w:pPr>
          </w:p>
        </w:tc>
        <w:tc>
          <w:tcPr>
            <w:tcW w:w="1350" w:type="dxa"/>
          </w:tcPr>
          <w:p w14:paraId="57E2565A" w14:textId="77777777" w:rsidR="00816B03" w:rsidRPr="00E16719" w:rsidRDefault="00816B03" w:rsidP="00F31D89">
            <w:r w:rsidRPr="00E16719">
              <w:t>Frequency of Response</w:t>
            </w:r>
          </w:p>
        </w:tc>
        <w:tc>
          <w:tcPr>
            <w:tcW w:w="1530" w:type="dxa"/>
          </w:tcPr>
          <w:p w14:paraId="2117AC5D" w14:textId="77777777" w:rsidR="00816B03" w:rsidRPr="00E16719" w:rsidRDefault="00816B03" w:rsidP="00F31D89">
            <w:r w:rsidRPr="00E16719">
              <w:t>Average Time per Respondent</w:t>
            </w:r>
          </w:p>
        </w:tc>
        <w:tc>
          <w:tcPr>
            <w:tcW w:w="1260" w:type="dxa"/>
          </w:tcPr>
          <w:p w14:paraId="243C3451" w14:textId="77777777" w:rsidR="00816B03" w:rsidRPr="00E16719" w:rsidRDefault="00816B03" w:rsidP="00F31D89">
            <w:pPr>
              <w:jc w:val="center"/>
            </w:pPr>
            <w:r w:rsidRPr="00E16719">
              <w:t>Hourly Wage Rate *</w:t>
            </w:r>
          </w:p>
        </w:tc>
        <w:tc>
          <w:tcPr>
            <w:tcW w:w="990" w:type="dxa"/>
          </w:tcPr>
          <w:p w14:paraId="34AFDAAC" w14:textId="77777777" w:rsidR="00816B03" w:rsidRPr="00E16719" w:rsidRDefault="00816B03" w:rsidP="00F31D89">
            <w:r w:rsidRPr="00E16719">
              <w:t>Respondent</w:t>
            </w:r>
          </w:p>
          <w:p w14:paraId="5964CAC1" w14:textId="04F410B2" w:rsidR="00816B03" w:rsidRPr="00E16719" w:rsidRDefault="00816B03" w:rsidP="00F31D89">
            <w:r w:rsidRPr="00E16719">
              <w:t>Cost</w:t>
            </w:r>
            <w:r w:rsidR="00994ACB" w:rsidRPr="00E16719">
              <w:t>s</w:t>
            </w:r>
          </w:p>
        </w:tc>
      </w:tr>
      <w:tr w:rsidR="00D40664" w:rsidRPr="00E16719" w14:paraId="1B3E3FE2" w14:textId="77777777" w:rsidTr="00045EAB">
        <w:tc>
          <w:tcPr>
            <w:tcW w:w="2592" w:type="dxa"/>
          </w:tcPr>
          <w:p w14:paraId="3828F84B" w14:textId="5EE5879E" w:rsidR="00D40664" w:rsidRPr="00E16719" w:rsidRDefault="00D40664" w:rsidP="00D40664">
            <w:pPr>
              <w:jc w:val="center"/>
            </w:pPr>
            <w:r w:rsidRPr="00E16719">
              <w:t>Objective 1 Risk Factor Informed Consents</w:t>
            </w:r>
          </w:p>
        </w:tc>
        <w:tc>
          <w:tcPr>
            <w:tcW w:w="1548" w:type="dxa"/>
          </w:tcPr>
          <w:p w14:paraId="16CA32AF" w14:textId="00E02424" w:rsidR="00D40664" w:rsidRPr="00E16719" w:rsidDel="00AA1354" w:rsidRDefault="00994ACB" w:rsidP="00502E44">
            <w:pPr>
              <w:jc w:val="center"/>
            </w:pPr>
            <w:r w:rsidRPr="00E16719">
              <w:t>3</w:t>
            </w:r>
            <w:r w:rsidR="00502E44" w:rsidRPr="00E16719">
              <w:t>00</w:t>
            </w:r>
          </w:p>
        </w:tc>
        <w:tc>
          <w:tcPr>
            <w:tcW w:w="1350" w:type="dxa"/>
          </w:tcPr>
          <w:p w14:paraId="66072A74" w14:textId="689CAC7A" w:rsidR="00D40664" w:rsidRPr="00E16719" w:rsidRDefault="00994ACB" w:rsidP="00D40664">
            <w:r w:rsidRPr="00E16719">
              <w:t>1</w:t>
            </w:r>
          </w:p>
        </w:tc>
        <w:tc>
          <w:tcPr>
            <w:tcW w:w="1530" w:type="dxa"/>
          </w:tcPr>
          <w:p w14:paraId="3BF49DE6" w14:textId="71B05FC0" w:rsidR="00D40664" w:rsidRPr="00E16719" w:rsidRDefault="00D40664" w:rsidP="00D40664">
            <w:r w:rsidRPr="00E16719">
              <w:t>15/60</w:t>
            </w:r>
          </w:p>
        </w:tc>
        <w:tc>
          <w:tcPr>
            <w:tcW w:w="1260" w:type="dxa"/>
          </w:tcPr>
          <w:p w14:paraId="325A60C4" w14:textId="1BF6C8B9" w:rsidR="00D40664" w:rsidRPr="00E16719" w:rsidRDefault="00D40664" w:rsidP="00D40664">
            <w:pPr>
              <w:jc w:val="center"/>
            </w:pPr>
            <w:r w:rsidRPr="00E16719">
              <w:t>$1.33</w:t>
            </w:r>
          </w:p>
        </w:tc>
        <w:tc>
          <w:tcPr>
            <w:tcW w:w="990" w:type="dxa"/>
          </w:tcPr>
          <w:p w14:paraId="503EFB5F" w14:textId="2414D4F2" w:rsidR="00D40664" w:rsidRPr="00E16719" w:rsidRDefault="00994ACB" w:rsidP="00D40664">
            <w:r w:rsidRPr="00E16719">
              <w:t>$1</w:t>
            </w:r>
            <w:r w:rsidR="00502E44" w:rsidRPr="00E16719">
              <w:t>00</w:t>
            </w:r>
          </w:p>
        </w:tc>
      </w:tr>
      <w:tr w:rsidR="00D40664" w:rsidRPr="00E16719" w14:paraId="4DBE4069" w14:textId="77777777" w:rsidTr="00045EAB">
        <w:tc>
          <w:tcPr>
            <w:tcW w:w="2592" w:type="dxa"/>
          </w:tcPr>
          <w:p w14:paraId="7E6A3015" w14:textId="0F0A76C7" w:rsidR="00D40664" w:rsidRPr="00E16719" w:rsidRDefault="00D40664" w:rsidP="00D40664">
            <w:pPr>
              <w:jc w:val="center"/>
            </w:pPr>
            <w:r w:rsidRPr="00E16719">
              <w:t>Objective 2 Risk Factor Informed Consent</w:t>
            </w:r>
          </w:p>
        </w:tc>
        <w:tc>
          <w:tcPr>
            <w:tcW w:w="1548" w:type="dxa"/>
          </w:tcPr>
          <w:p w14:paraId="4AC38ABE" w14:textId="65A0270F" w:rsidR="00D40664" w:rsidRPr="00E16719" w:rsidRDefault="00D40664" w:rsidP="00D40664">
            <w:pPr>
              <w:jc w:val="center"/>
            </w:pPr>
            <w:r w:rsidRPr="00E16719">
              <w:t xml:space="preserve">25 </w:t>
            </w:r>
          </w:p>
        </w:tc>
        <w:tc>
          <w:tcPr>
            <w:tcW w:w="1350" w:type="dxa"/>
          </w:tcPr>
          <w:p w14:paraId="4AAE7144" w14:textId="77777777" w:rsidR="00D40664" w:rsidRPr="00E16719" w:rsidRDefault="00D40664" w:rsidP="00D40664">
            <w:r w:rsidRPr="00E16719">
              <w:t>1</w:t>
            </w:r>
          </w:p>
        </w:tc>
        <w:tc>
          <w:tcPr>
            <w:tcW w:w="1530" w:type="dxa"/>
          </w:tcPr>
          <w:p w14:paraId="213C1A2B" w14:textId="4C0744BD" w:rsidR="00D40664" w:rsidRPr="00E16719" w:rsidRDefault="00D40664" w:rsidP="00D40664">
            <w:r w:rsidRPr="00E16719">
              <w:t>15/60</w:t>
            </w:r>
          </w:p>
        </w:tc>
        <w:tc>
          <w:tcPr>
            <w:tcW w:w="1260" w:type="dxa"/>
          </w:tcPr>
          <w:p w14:paraId="19C49CA5" w14:textId="6F3588E8" w:rsidR="00D40664" w:rsidRPr="00E16719" w:rsidRDefault="00D40664" w:rsidP="00D40664">
            <w:pPr>
              <w:jc w:val="center"/>
            </w:pPr>
            <w:r w:rsidRPr="00E16719">
              <w:t>$1.33</w:t>
            </w:r>
          </w:p>
        </w:tc>
        <w:tc>
          <w:tcPr>
            <w:tcW w:w="990" w:type="dxa"/>
          </w:tcPr>
          <w:p w14:paraId="26BA2230" w14:textId="24EA84D9" w:rsidR="00D40664" w:rsidRPr="00E16719" w:rsidRDefault="00D40664" w:rsidP="00D40664">
            <w:r w:rsidRPr="00E16719">
              <w:t>$</w:t>
            </w:r>
            <w:r w:rsidR="00502E44" w:rsidRPr="00E16719">
              <w:t>8</w:t>
            </w:r>
          </w:p>
        </w:tc>
      </w:tr>
      <w:tr w:rsidR="00D40664" w:rsidRPr="00E16719" w14:paraId="3C34CECE" w14:textId="77777777" w:rsidTr="00045EAB">
        <w:tc>
          <w:tcPr>
            <w:tcW w:w="2592" w:type="dxa"/>
          </w:tcPr>
          <w:p w14:paraId="16B9E619" w14:textId="5FD04851" w:rsidR="00D40664" w:rsidRPr="00E16719" w:rsidRDefault="00D40664" w:rsidP="00D40664">
            <w:pPr>
              <w:jc w:val="center"/>
            </w:pPr>
            <w:r w:rsidRPr="00E16719">
              <w:t>Objectives 1 and 2 Risk Factor Assessment</w:t>
            </w:r>
          </w:p>
        </w:tc>
        <w:tc>
          <w:tcPr>
            <w:tcW w:w="1548" w:type="dxa"/>
          </w:tcPr>
          <w:p w14:paraId="74BCFA69" w14:textId="7CC5C177" w:rsidR="00D40664" w:rsidRPr="00E16719" w:rsidRDefault="00994ACB" w:rsidP="00D40664">
            <w:pPr>
              <w:jc w:val="center"/>
            </w:pPr>
            <w:r w:rsidRPr="00E16719">
              <w:t>325</w:t>
            </w:r>
          </w:p>
        </w:tc>
        <w:tc>
          <w:tcPr>
            <w:tcW w:w="1350" w:type="dxa"/>
          </w:tcPr>
          <w:p w14:paraId="10DF8A3B" w14:textId="53F7317A" w:rsidR="00D40664" w:rsidRPr="00E16719" w:rsidRDefault="00502E44" w:rsidP="00D40664">
            <w:r w:rsidRPr="00E16719">
              <w:t>1</w:t>
            </w:r>
          </w:p>
        </w:tc>
        <w:tc>
          <w:tcPr>
            <w:tcW w:w="1530" w:type="dxa"/>
          </w:tcPr>
          <w:p w14:paraId="6AC6A51D" w14:textId="75FA9393" w:rsidR="00D40664" w:rsidRPr="00E16719" w:rsidRDefault="00D40664" w:rsidP="00D40664">
            <w:r w:rsidRPr="00E16719">
              <w:t>45/60</w:t>
            </w:r>
          </w:p>
        </w:tc>
        <w:tc>
          <w:tcPr>
            <w:tcW w:w="1260" w:type="dxa"/>
          </w:tcPr>
          <w:p w14:paraId="61B945C4" w14:textId="2E3BB7BD" w:rsidR="00D40664" w:rsidRPr="00E16719" w:rsidRDefault="00D40664" w:rsidP="00D40664">
            <w:pPr>
              <w:jc w:val="center"/>
            </w:pPr>
            <w:r w:rsidRPr="00E16719">
              <w:t>$1.33</w:t>
            </w:r>
          </w:p>
        </w:tc>
        <w:tc>
          <w:tcPr>
            <w:tcW w:w="990" w:type="dxa"/>
          </w:tcPr>
          <w:p w14:paraId="1BB65057" w14:textId="7A0AA1F4" w:rsidR="00D40664" w:rsidRPr="00E16719" w:rsidRDefault="00994ACB" w:rsidP="00D40664">
            <w:r w:rsidRPr="00E16719">
              <w:t>$324</w:t>
            </w:r>
          </w:p>
        </w:tc>
      </w:tr>
      <w:tr w:rsidR="0001249C" w:rsidRPr="00E16719" w14:paraId="10F76FFB" w14:textId="77777777" w:rsidTr="00045EAB">
        <w:tc>
          <w:tcPr>
            <w:tcW w:w="2592" w:type="dxa"/>
          </w:tcPr>
          <w:p w14:paraId="2E499C00" w14:textId="77777777" w:rsidR="0001249C" w:rsidRPr="00E16719" w:rsidRDefault="0001249C" w:rsidP="00D40664">
            <w:pPr>
              <w:jc w:val="center"/>
            </w:pPr>
          </w:p>
        </w:tc>
        <w:tc>
          <w:tcPr>
            <w:tcW w:w="1548" w:type="dxa"/>
          </w:tcPr>
          <w:p w14:paraId="58F27D25" w14:textId="77777777" w:rsidR="0001249C" w:rsidRPr="00E16719" w:rsidRDefault="0001249C" w:rsidP="00D40664">
            <w:pPr>
              <w:jc w:val="center"/>
            </w:pPr>
          </w:p>
        </w:tc>
        <w:tc>
          <w:tcPr>
            <w:tcW w:w="1350" w:type="dxa"/>
          </w:tcPr>
          <w:p w14:paraId="69B7E9C7" w14:textId="77777777" w:rsidR="0001249C" w:rsidRPr="00E16719" w:rsidRDefault="0001249C" w:rsidP="00D40664"/>
        </w:tc>
        <w:tc>
          <w:tcPr>
            <w:tcW w:w="1530" w:type="dxa"/>
          </w:tcPr>
          <w:p w14:paraId="4F90625D" w14:textId="77777777" w:rsidR="0001249C" w:rsidRPr="00E16719" w:rsidRDefault="0001249C" w:rsidP="00D40664"/>
        </w:tc>
        <w:tc>
          <w:tcPr>
            <w:tcW w:w="1260" w:type="dxa"/>
          </w:tcPr>
          <w:p w14:paraId="711A7947" w14:textId="77777777" w:rsidR="0001249C" w:rsidRPr="00E16719" w:rsidRDefault="0001249C" w:rsidP="00D40664">
            <w:pPr>
              <w:jc w:val="center"/>
            </w:pPr>
          </w:p>
        </w:tc>
        <w:tc>
          <w:tcPr>
            <w:tcW w:w="990" w:type="dxa"/>
          </w:tcPr>
          <w:p w14:paraId="1FAB7D6D" w14:textId="7F8F9831" w:rsidR="0001249C" w:rsidRPr="00E16719" w:rsidRDefault="0001249C" w:rsidP="00D40664">
            <w:r w:rsidRPr="00E16719">
              <w:t>$432</w:t>
            </w:r>
          </w:p>
        </w:tc>
      </w:tr>
    </w:tbl>
    <w:p w14:paraId="6AB096D8" w14:textId="37714004" w:rsidR="00E8657F" w:rsidRPr="00E16719" w:rsidRDefault="00F0219D" w:rsidP="002A11DC">
      <w:pPr>
        <w:pStyle w:val="E-mailSignature"/>
        <w:widowControl w:val="0"/>
        <w:adjustRightInd w:val="0"/>
        <w:snapToGrid w:val="0"/>
        <w:ind w:right="-180"/>
        <w:rPr>
          <w:b/>
        </w:rPr>
      </w:pPr>
      <w:r w:rsidRPr="00E16719">
        <w:rPr>
          <w:b/>
        </w:rPr>
        <w:t>http://thebrazilbusiness.com/article/minimum-wage-in-brazil</w:t>
      </w:r>
    </w:p>
    <w:p w14:paraId="1397D9AD" w14:textId="77777777" w:rsidR="00E8657F" w:rsidRPr="00E16719" w:rsidRDefault="00E8657F" w:rsidP="002A11DC">
      <w:pPr>
        <w:pStyle w:val="E-mailSignature"/>
        <w:widowControl w:val="0"/>
        <w:adjustRightInd w:val="0"/>
        <w:snapToGrid w:val="0"/>
        <w:ind w:right="-187"/>
        <w:rPr>
          <w:b/>
        </w:rPr>
      </w:pPr>
    </w:p>
    <w:p w14:paraId="43868954" w14:textId="77777777" w:rsidR="008437B1" w:rsidRPr="00E16719" w:rsidRDefault="008437B1" w:rsidP="002A11DC">
      <w:pPr>
        <w:pStyle w:val="E-mailSignature"/>
        <w:widowControl w:val="0"/>
        <w:adjustRightInd w:val="0"/>
        <w:snapToGrid w:val="0"/>
        <w:ind w:right="-187"/>
        <w:rPr>
          <w:b/>
        </w:rPr>
      </w:pPr>
      <w:r w:rsidRPr="00E16719">
        <w:rPr>
          <w:b/>
        </w:rPr>
        <w:t>A.13.</w:t>
      </w:r>
      <w:r w:rsidRPr="00E16719">
        <w:rPr>
          <w:b/>
        </w:rPr>
        <w:tab/>
        <w:t>Estimates of Other Total Annual Cost Burden to Respondents or Record Keepers</w:t>
      </w:r>
      <w:bookmarkEnd w:id="15"/>
    </w:p>
    <w:p w14:paraId="1B4F404C" w14:textId="77777777" w:rsidR="00E43A95" w:rsidRPr="00E16719" w:rsidRDefault="00E43A95" w:rsidP="002A11DC">
      <w:pPr>
        <w:widowControl w:val="0"/>
        <w:adjustRightInd w:val="0"/>
        <w:snapToGrid w:val="0"/>
        <w:jc w:val="both"/>
      </w:pPr>
    </w:p>
    <w:p w14:paraId="4A6262D9" w14:textId="424F8559" w:rsidR="008437B1" w:rsidRPr="00E16719" w:rsidRDefault="008437B1" w:rsidP="009A3A8E">
      <w:pPr>
        <w:widowControl w:val="0"/>
        <w:adjustRightInd w:val="0"/>
        <w:snapToGrid w:val="0"/>
        <w:jc w:val="both"/>
      </w:pPr>
      <w:r w:rsidRPr="00E16719">
        <w:tab/>
      </w:r>
      <w:r w:rsidR="00045EAB" w:rsidRPr="00E16719">
        <w:t>T</w:t>
      </w:r>
      <w:r w:rsidRPr="00E16719">
        <w:t>here are no capital or start-up costs, and no maintenance or service cost components to report.</w:t>
      </w:r>
    </w:p>
    <w:p w14:paraId="3B77045C" w14:textId="77777777" w:rsidR="005C3C5C" w:rsidRPr="00E16719" w:rsidRDefault="005C3C5C" w:rsidP="002A11DC">
      <w:pPr>
        <w:pStyle w:val="E-mailSignature"/>
        <w:widowControl w:val="0"/>
        <w:adjustRightInd w:val="0"/>
        <w:snapToGrid w:val="0"/>
        <w:rPr>
          <w:b/>
        </w:rPr>
      </w:pPr>
      <w:bookmarkStart w:id="16" w:name="_Toc153351597"/>
    </w:p>
    <w:p w14:paraId="5FEF1BFB" w14:textId="77777777" w:rsidR="00EC156D" w:rsidRPr="00E16719" w:rsidRDefault="00EC156D" w:rsidP="002A11DC">
      <w:pPr>
        <w:pStyle w:val="E-mailSignature"/>
        <w:widowControl w:val="0"/>
        <w:adjustRightInd w:val="0"/>
        <w:snapToGrid w:val="0"/>
        <w:rPr>
          <w:b/>
        </w:rPr>
      </w:pPr>
    </w:p>
    <w:p w14:paraId="73114EDD" w14:textId="77777777" w:rsidR="008437B1" w:rsidRPr="00E16719" w:rsidRDefault="008437B1" w:rsidP="002A11DC">
      <w:pPr>
        <w:pStyle w:val="E-mailSignature"/>
        <w:widowControl w:val="0"/>
        <w:adjustRightInd w:val="0"/>
        <w:snapToGrid w:val="0"/>
        <w:rPr>
          <w:b/>
        </w:rPr>
      </w:pPr>
      <w:r w:rsidRPr="00E16719">
        <w:rPr>
          <w:b/>
        </w:rPr>
        <w:t>A.14.</w:t>
      </w:r>
      <w:r w:rsidRPr="00E16719">
        <w:rPr>
          <w:b/>
        </w:rPr>
        <w:tab/>
        <w:t>Annualized Cost to the Federal Government</w:t>
      </w:r>
      <w:bookmarkEnd w:id="16"/>
    </w:p>
    <w:p w14:paraId="7A0B5696" w14:textId="77777777" w:rsidR="00E43A95" w:rsidRPr="00E16719" w:rsidRDefault="00E43A95" w:rsidP="002A11DC">
      <w:pPr>
        <w:widowControl w:val="0"/>
        <w:adjustRightInd w:val="0"/>
        <w:snapToGrid w:val="0"/>
        <w:jc w:val="both"/>
      </w:pPr>
    </w:p>
    <w:p w14:paraId="2005C4AF" w14:textId="76C37CD0" w:rsidR="008437B1" w:rsidRPr="00E16719" w:rsidRDefault="008437B1" w:rsidP="007309A3">
      <w:pPr>
        <w:widowControl w:val="0"/>
        <w:adjustRightInd w:val="0"/>
        <w:snapToGrid w:val="0"/>
        <w:jc w:val="both"/>
      </w:pPr>
      <w:r w:rsidRPr="00E16719">
        <w:tab/>
        <w:t xml:space="preserve">The </w:t>
      </w:r>
      <w:r w:rsidR="005E7542" w:rsidRPr="00E16719">
        <w:t xml:space="preserve">annualized </w:t>
      </w:r>
      <w:r w:rsidRPr="00E16719">
        <w:t>cost to the Federal Government for the proposed study is estimated to be approximately</w:t>
      </w:r>
      <w:r w:rsidR="00901D44" w:rsidRPr="00E16719">
        <w:t xml:space="preserve"> $</w:t>
      </w:r>
      <w:r w:rsidR="007309A3" w:rsidRPr="00E16719">
        <w:t>38,114</w:t>
      </w:r>
      <w:r w:rsidR="00761A64" w:rsidRPr="00E16719">
        <w:t xml:space="preserve"> for activities in Brazil.</w:t>
      </w:r>
    </w:p>
    <w:p w14:paraId="185741B9" w14:textId="77777777" w:rsidR="005D6C5E" w:rsidRPr="00E16719" w:rsidRDefault="005D6C5E" w:rsidP="005D6C5E">
      <w:pPr>
        <w:snapToGrid w:val="0"/>
      </w:pPr>
    </w:p>
    <w:tbl>
      <w:tblPr>
        <w:tblW w:w="8640" w:type="dxa"/>
        <w:tblInd w:w="108" w:type="dxa"/>
        <w:tblCellMar>
          <w:left w:w="0" w:type="dxa"/>
          <w:right w:w="0" w:type="dxa"/>
        </w:tblCellMar>
        <w:tblLook w:val="04A0" w:firstRow="1" w:lastRow="0" w:firstColumn="1" w:lastColumn="0" w:noHBand="0" w:noVBand="1"/>
      </w:tblPr>
      <w:tblGrid>
        <w:gridCol w:w="3780"/>
        <w:gridCol w:w="1142"/>
        <w:gridCol w:w="1172"/>
        <w:gridCol w:w="1080"/>
        <w:gridCol w:w="1466"/>
      </w:tblGrid>
      <w:tr w:rsidR="005D6C5E" w:rsidRPr="00E16719" w14:paraId="6739B910" w14:textId="77777777" w:rsidTr="005D6C5E">
        <w:trPr>
          <w:trHeight w:val="592"/>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810902" w14:textId="77777777" w:rsidR="005D6C5E" w:rsidRPr="00E16719" w:rsidRDefault="005D6C5E">
            <w:pPr>
              <w:rPr>
                <w:rFonts w:eastAsiaTheme="minorHAnsi"/>
                <w:color w:val="000000"/>
              </w:rPr>
            </w:pPr>
            <w:r w:rsidRPr="00E16719">
              <w:rPr>
                <w:color w:val="000000"/>
              </w:rPr>
              <w:t>Item</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F437168" w14:textId="77777777" w:rsidR="005D6C5E" w:rsidRPr="00E16719" w:rsidRDefault="005D6C5E">
            <w:pPr>
              <w:rPr>
                <w:rFonts w:eastAsiaTheme="minorHAnsi"/>
                <w:color w:val="000000"/>
              </w:rPr>
            </w:pPr>
            <w:r w:rsidRPr="00E16719">
              <w:rPr>
                <w:color w:val="000000"/>
              </w:rPr>
              <w:t>Salary</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962A142" w14:textId="77777777" w:rsidR="005D6C5E" w:rsidRPr="00E16719" w:rsidRDefault="005D6C5E">
            <w:pPr>
              <w:rPr>
                <w:rFonts w:eastAsiaTheme="minorHAnsi"/>
                <w:color w:val="000000"/>
              </w:rPr>
            </w:pPr>
            <w:r w:rsidRPr="00E16719">
              <w:rPr>
                <w:color w:val="000000"/>
              </w:rPr>
              <w:t>Fringe Rate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7D15232" w14:textId="77777777" w:rsidR="005D6C5E" w:rsidRPr="00E16719" w:rsidRDefault="005D6C5E">
            <w:pPr>
              <w:rPr>
                <w:rFonts w:eastAsiaTheme="minorHAnsi"/>
                <w:color w:val="000000"/>
              </w:rPr>
            </w:pPr>
            <w:r w:rsidRPr="00E16719">
              <w:rPr>
                <w:color w:val="000000"/>
              </w:rPr>
              <w:t>% Effort</w:t>
            </w:r>
          </w:p>
        </w:tc>
        <w:tc>
          <w:tcPr>
            <w:tcW w:w="1466" w:type="dxa"/>
            <w:tcBorders>
              <w:top w:val="single" w:sz="8" w:space="0" w:color="auto"/>
              <w:left w:val="nil"/>
              <w:bottom w:val="single" w:sz="8" w:space="0" w:color="auto"/>
              <w:right w:val="single" w:sz="8" w:space="0" w:color="auto"/>
            </w:tcBorders>
            <w:vAlign w:val="bottom"/>
          </w:tcPr>
          <w:p w14:paraId="744B0D3F" w14:textId="77777777" w:rsidR="005D6C5E" w:rsidRPr="00E16719" w:rsidRDefault="005D6C5E">
            <w:pPr>
              <w:jc w:val="center"/>
              <w:rPr>
                <w:rFonts w:eastAsiaTheme="minorHAnsi"/>
                <w:color w:val="000000"/>
              </w:rPr>
            </w:pPr>
          </w:p>
          <w:p w14:paraId="7E4815DB" w14:textId="77777777" w:rsidR="005D6C5E" w:rsidRPr="00E16719" w:rsidRDefault="005D6C5E">
            <w:pPr>
              <w:jc w:val="center"/>
              <w:rPr>
                <w:color w:val="000000"/>
                <w:sz w:val="22"/>
                <w:szCs w:val="22"/>
              </w:rPr>
            </w:pPr>
          </w:p>
          <w:p w14:paraId="2E7B6906" w14:textId="77777777" w:rsidR="005D6C5E" w:rsidRPr="00E16719" w:rsidRDefault="005D6C5E">
            <w:pPr>
              <w:jc w:val="center"/>
              <w:rPr>
                <w:color w:val="000000"/>
              </w:rPr>
            </w:pPr>
            <w:r w:rsidRPr="00E16719">
              <w:rPr>
                <w:color w:val="000000"/>
              </w:rPr>
              <w:t>Annualized</w:t>
            </w:r>
          </w:p>
          <w:p w14:paraId="4F78C566" w14:textId="77777777" w:rsidR="005D6C5E" w:rsidRPr="00E16719" w:rsidRDefault="005D6C5E">
            <w:pPr>
              <w:jc w:val="center"/>
              <w:rPr>
                <w:rFonts w:eastAsiaTheme="minorHAnsi"/>
                <w:color w:val="000000"/>
              </w:rPr>
            </w:pPr>
            <w:r w:rsidRPr="00E16719">
              <w:rPr>
                <w:color w:val="000000"/>
              </w:rPr>
              <w:t>Data Collection Cost</w:t>
            </w:r>
          </w:p>
        </w:tc>
      </w:tr>
      <w:tr w:rsidR="005D6C5E" w:rsidRPr="00E16719" w14:paraId="41307444" w14:textId="77777777" w:rsidTr="005D6C5E">
        <w:trPr>
          <w:trHeight w:val="430"/>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7D80F1" w14:textId="77777777" w:rsidR="005D6C5E" w:rsidRPr="00E16719" w:rsidRDefault="005D6C5E">
            <w:pPr>
              <w:rPr>
                <w:rFonts w:eastAsiaTheme="minorHAnsi"/>
              </w:rPr>
            </w:pPr>
            <w:r w:rsidRPr="00E16719">
              <w:t>NIH Project Oversight Officer - GS15-10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86721" w14:textId="77777777" w:rsidR="005D6C5E" w:rsidRPr="00E16719" w:rsidRDefault="005D6C5E">
            <w:pPr>
              <w:rPr>
                <w:rFonts w:eastAsiaTheme="minorHAnsi"/>
              </w:rPr>
            </w:pPr>
            <w:r w:rsidRPr="00E16719">
              <w:t>157,100</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94510" w14:textId="77777777" w:rsidR="005D6C5E" w:rsidRPr="00E16719" w:rsidRDefault="005D6C5E">
            <w:pPr>
              <w:rPr>
                <w:rFonts w:eastAsiaTheme="minorHAnsi"/>
              </w:rPr>
            </w:pPr>
            <w:r w:rsidRPr="00E16719">
              <w:t>20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B5C1D" w14:textId="77777777" w:rsidR="005D6C5E" w:rsidRPr="00E16719" w:rsidRDefault="005D6C5E">
            <w:pPr>
              <w:rPr>
                <w:rFonts w:eastAsiaTheme="minorHAnsi"/>
              </w:rPr>
            </w:pPr>
            <w:r w:rsidRPr="00E16719">
              <w:t>1.5</w:t>
            </w:r>
          </w:p>
        </w:tc>
        <w:tc>
          <w:tcPr>
            <w:tcW w:w="1466" w:type="dxa"/>
            <w:tcBorders>
              <w:top w:val="nil"/>
              <w:left w:val="nil"/>
              <w:bottom w:val="single" w:sz="8" w:space="0" w:color="auto"/>
              <w:right w:val="single" w:sz="8" w:space="0" w:color="auto"/>
            </w:tcBorders>
            <w:vAlign w:val="center"/>
            <w:hideMark/>
          </w:tcPr>
          <w:p w14:paraId="3C19B48E" w14:textId="77777777" w:rsidR="005D6C5E" w:rsidRPr="00E16719" w:rsidRDefault="005D6C5E">
            <w:pPr>
              <w:jc w:val="center"/>
              <w:rPr>
                <w:rFonts w:eastAsiaTheme="minorHAnsi"/>
              </w:rPr>
            </w:pPr>
            <w:r w:rsidRPr="00E16719">
              <w:t>2,357</w:t>
            </w:r>
          </w:p>
        </w:tc>
      </w:tr>
      <w:tr w:rsidR="005D6C5E" w:rsidRPr="00E16719" w14:paraId="0A09BC86" w14:textId="77777777" w:rsidTr="005D6C5E">
        <w:trPr>
          <w:trHeight w:val="430"/>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935E2" w14:textId="77777777" w:rsidR="005D6C5E" w:rsidRPr="00E16719" w:rsidRDefault="005D6C5E">
            <w:pPr>
              <w:rPr>
                <w:rFonts w:eastAsiaTheme="minorHAnsi"/>
                <w:color w:val="000000"/>
              </w:rPr>
            </w:pPr>
            <w:r w:rsidRPr="00E16719">
              <w:rPr>
                <w:color w:val="000000"/>
              </w:rPr>
              <w:t>1 in-house contractor staff (RTI Staff)</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50F7E" w14:textId="77777777" w:rsidR="005D6C5E" w:rsidRPr="00E16719" w:rsidRDefault="005D6C5E">
            <w:pPr>
              <w:rPr>
                <w:rFonts w:eastAsiaTheme="minorHAnsi"/>
                <w:color w:val="000000"/>
                <w:lang w:eastAsia="zh-CN"/>
              </w:rPr>
            </w:pPr>
            <w:r w:rsidRPr="00E16719">
              <w:rPr>
                <w:color w:val="000000"/>
              </w:rPr>
              <w:t>141,296</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0404C" w14:textId="77777777" w:rsidR="005D6C5E" w:rsidRPr="00E16719" w:rsidRDefault="005D6C5E">
            <w:pPr>
              <w:rPr>
                <w:rFonts w:eastAsiaTheme="minorHAnsi"/>
                <w:color w:val="000000"/>
                <w:lang w:eastAsia="zh-CN"/>
              </w:rPr>
            </w:pPr>
            <w:r w:rsidRPr="00E16719">
              <w:rPr>
                <w:color w:val="000000"/>
              </w:rPr>
              <w:t>39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F7031" w14:textId="77777777" w:rsidR="005D6C5E" w:rsidRPr="00E16719" w:rsidRDefault="005D6C5E">
            <w:pPr>
              <w:rPr>
                <w:rFonts w:eastAsiaTheme="minorHAnsi"/>
                <w:color w:val="000000"/>
                <w:lang w:eastAsia="zh-CN"/>
              </w:rPr>
            </w:pPr>
            <w:r w:rsidRPr="00E16719">
              <w:rPr>
                <w:color w:val="000000"/>
              </w:rPr>
              <w:t>2.6</w:t>
            </w:r>
          </w:p>
        </w:tc>
        <w:tc>
          <w:tcPr>
            <w:tcW w:w="1466" w:type="dxa"/>
            <w:tcBorders>
              <w:top w:val="nil"/>
              <w:left w:val="nil"/>
              <w:bottom w:val="single" w:sz="8" w:space="0" w:color="auto"/>
              <w:right w:val="single" w:sz="8" w:space="0" w:color="auto"/>
            </w:tcBorders>
            <w:vAlign w:val="center"/>
            <w:hideMark/>
          </w:tcPr>
          <w:p w14:paraId="72DFAD56" w14:textId="77777777" w:rsidR="005D6C5E" w:rsidRPr="00E16719" w:rsidRDefault="005D6C5E">
            <w:pPr>
              <w:jc w:val="center"/>
              <w:rPr>
                <w:rFonts w:eastAsiaTheme="minorHAnsi"/>
                <w:color w:val="000000"/>
              </w:rPr>
            </w:pPr>
            <w:r w:rsidRPr="00E16719">
              <w:rPr>
                <w:color w:val="000000"/>
              </w:rPr>
              <w:t>3,674</w:t>
            </w:r>
          </w:p>
        </w:tc>
      </w:tr>
      <w:tr w:rsidR="00420B42" w:rsidRPr="00E16719" w14:paraId="1D2B6B9E" w14:textId="77777777" w:rsidTr="005D6C5E">
        <w:trPr>
          <w:trHeight w:val="41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A41B8F" w14:textId="45BDDC1D" w:rsidR="00420B42" w:rsidRPr="00E16719" w:rsidRDefault="00154ADB">
            <w:pPr>
              <w:rPr>
                <w:color w:val="000000"/>
              </w:rPr>
            </w:pPr>
            <w:r w:rsidRPr="00E16719">
              <w:rPr>
                <w:color w:val="000000"/>
              </w:rPr>
              <w:t xml:space="preserve">5 </w:t>
            </w:r>
            <w:r w:rsidR="00420B42" w:rsidRPr="00E16719">
              <w:rPr>
                <w:color w:val="000000"/>
              </w:rPr>
              <w:t>In – house contractor staff (Brazil)</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2263A" w14:textId="723D132D" w:rsidR="00420B42" w:rsidRPr="00E16719" w:rsidRDefault="00154ADB">
            <w:pPr>
              <w:rPr>
                <w:color w:val="000000"/>
              </w:rPr>
            </w:pPr>
            <w:r w:rsidRPr="00E16719">
              <w:rPr>
                <w:color w:val="000000"/>
              </w:rPr>
              <w:t>45,867</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1516A" w14:textId="00C116BC" w:rsidR="00420B42" w:rsidRPr="00E16719" w:rsidRDefault="00420B42">
            <w:pPr>
              <w:rPr>
                <w:color w:val="000000"/>
              </w:rPr>
            </w:pPr>
            <w:r w:rsidRPr="00E16719">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DD4140" w14:textId="2C158E2D" w:rsidR="00420B42" w:rsidRPr="00E16719" w:rsidRDefault="00154ADB">
            <w:pPr>
              <w:rPr>
                <w:color w:val="000000"/>
              </w:rPr>
            </w:pPr>
            <w:r w:rsidRPr="00E16719">
              <w:rPr>
                <w:color w:val="000000"/>
              </w:rPr>
              <w:t>11.25</w:t>
            </w:r>
          </w:p>
        </w:tc>
        <w:tc>
          <w:tcPr>
            <w:tcW w:w="1466" w:type="dxa"/>
            <w:tcBorders>
              <w:top w:val="nil"/>
              <w:left w:val="nil"/>
              <w:bottom w:val="single" w:sz="8" w:space="0" w:color="auto"/>
              <w:right w:val="single" w:sz="8" w:space="0" w:color="auto"/>
            </w:tcBorders>
            <w:vAlign w:val="center"/>
          </w:tcPr>
          <w:p w14:paraId="3D1D03E6" w14:textId="06F903DB" w:rsidR="00420B42" w:rsidRPr="00E16719" w:rsidRDefault="00420B42">
            <w:pPr>
              <w:jc w:val="center"/>
              <w:rPr>
                <w:color w:val="000000"/>
              </w:rPr>
            </w:pPr>
            <w:r w:rsidRPr="00E16719">
              <w:rPr>
                <w:color w:val="000000"/>
              </w:rPr>
              <w:t>5160</w:t>
            </w:r>
          </w:p>
        </w:tc>
      </w:tr>
      <w:tr w:rsidR="005D6C5E" w:rsidRPr="00E16719" w14:paraId="4A31CF88" w14:textId="77777777" w:rsidTr="005D6C5E">
        <w:trPr>
          <w:trHeight w:val="41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212F5" w14:textId="2CEEDC51" w:rsidR="005D6C5E" w:rsidRPr="00E16719" w:rsidRDefault="00154ADB">
            <w:pPr>
              <w:rPr>
                <w:rFonts w:eastAsiaTheme="minorHAnsi"/>
                <w:color w:val="000000"/>
              </w:rPr>
            </w:pPr>
            <w:r w:rsidRPr="00E16719">
              <w:rPr>
                <w:color w:val="000000"/>
              </w:rPr>
              <w:t>4</w:t>
            </w:r>
            <w:r w:rsidR="005D6C5E" w:rsidRPr="00E16719">
              <w:rPr>
                <w:color w:val="000000"/>
              </w:rPr>
              <w:t xml:space="preserve"> </w:t>
            </w:r>
            <w:r w:rsidR="00045EAB" w:rsidRPr="00E16719">
              <w:rPr>
                <w:color w:val="000000"/>
              </w:rPr>
              <w:t>F</w:t>
            </w:r>
            <w:r w:rsidR="005D6C5E" w:rsidRPr="00E16719">
              <w:rPr>
                <w:color w:val="000000"/>
              </w:rPr>
              <w:t>ield contractor staff</w:t>
            </w:r>
            <w:r w:rsidR="00420B42" w:rsidRPr="00E16719">
              <w:rPr>
                <w:color w:val="000000"/>
              </w:rPr>
              <w:t xml:space="preserve"> (Brazil)</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E1646" w14:textId="3C43DC05" w:rsidR="005D6C5E" w:rsidRPr="00E16719" w:rsidRDefault="005D6C5E">
            <w:pPr>
              <w:rPr>
                <w:rFonts w:eastAsiaTheme="minorHAnsi"/>
                <w:color w:val="000000"/>
              </w:rPr>
            </w:pPr>
            <w:r w:rsidRPr="00E16719">
              <w:rPr>
                <w:color w:val="000000"/>
              </w:rPr>
              <w:t>39,</w:t>
            </w:r>
            <w:r w:rsidR="00154ADB" w:rsidRPr="00E16719">
              <w:rPr>
                <w:color w:val="000000"/>
              </w:rPr>
              <w:t>024</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94A07" w14:textId="77777777" w:rsidR="005D6C5E" w:rsidRPr="00E16719" w:rsidRDefault="005D6C5E">
            <w:pPr>
              <w:rPr>
                <w:rFonts w:eastAsiaTheme="minorHAnsi"/>
                <w:color w:val="000000"/>
              </w:rPr>
            </w:pPr>
            <w:r w:rsidRPr="00E16719">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9DD23" w14:textId="125C8FC6" w:rsidR="005D6C5E" w:rsidRPr="00E16719" w:rsidRDefault="00154ADB">
            <w:pPr>
              <w:rPr>
                <w:rFonts w:eastAsiaTheme="minorHAnsi"/>
                <w:color w:val="000000"/>
              </w:rPr>
            </w:pPr>
            <w:r w:rsidRPr="00E16719">
              <w:rPr>
                <w:color w:val="000000"/>
              </w:rPr>
              <w:t>25</w:t>
            </w:r>
          </w:p>
        </w:tc>
        <w:tc>
          <w:tcPr>
            <w:tcW w:w="1466" w:type="dxa"/>
            <w:tcBorders>
              <w:top w:val="nil"/>
              <w:left w:val="nil"/>
              <w:bottom w:val="single" w:sz="8" w:space="0" w:color="auto"/>
              <w:right w:val="single" w:sz="8" w:space="0" w:color="auto"/>
            </w:tcBorders>
            <w:vAlign w:val="center"/>
            <w:hideMark/>
          </w:tcPr>
          <w:p w14:paraId="1EA56574" w14:textId="04045E40" w:rsidR="005D6C5E" w:rsidRPr="00E16719" w:rsidRDefault="00154ADB">
            <w:pPr>
              <w:jc w:val="center"/>
              <w:rPr>
                <w:rFonts w:eastAsiaTheme="minorHAnsi"/>
                <w:color w:val="000000"/>
              </w:rPr>
            </w:pPr>
            <w:r w:rsidRPr="00E16719">
              <w:rPr>
                <w:color w:val="000000"/>
              </w:rPr>
              <w:t>9756</w:t>
            </w:r>
          </w:p>
        </w:tc>
      </w:tr>
      <w:tr w:rsidR="005D6C5E" w:rsidRPr="00E16719" w14:paraId="4165249A" w14:textId="77777777" w:rsidTr="005D6C5E">
        <w:trPr>
          <w:trHeight w:val="1168"/>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37DAD" w14:textId="77777777" w:rsidR="005D6C5E" w:rsidRPr="00E16719" w:rsidRDefault="005D6C5E">
            <w:pPr>
              <w:rPr>
                <w:rFonts w:eastAsiaTheme="minorHAnsi"/>
              </w:rPr>
            </w:pPr>
            <w:r w:rsidRPr="00E16719">
              <w:t>Operational Costs for Data Collection Activities –Printing, equipment, overhead, respondent reimbursement,, non-labor</w:t>
            </w:r>
          </w:p>
        </w:tc>
        <w:tc>
          <w:tcPr>
            <w:tcW w:w="3394"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F295DEA" w14:textId="77777777" w:rsidR="005D6C5E" w:rsidRPr="00E16719"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14:paraId="5104D4D1" w14:textId="3A0A2CCF" w:rsidR="005D6C5E" w:rsidRPr="00E16719" w:rsidRDefault="00154ADB">
            <w:pPr>
              <w:jc w:val="center"/>
              <w:rPr>
                <w:rFonts w:eastAsiaTheme="minorHAnsi"/>
              </w:rPr>
            </w:pPr>
            <w:r w:rsidRPr="00E16719">
              <w:t>15509</w:t>
            </w:r>
          </w:p>
        </w:tc>
      </w:tr>
      <w:tr w:rsidR="005D6C5E" w:rsidRPr="00E16719" w14:paraId="190ACFBC" w14:textId="77777777"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9F725" w14:textId="77777777" w:rsidR="005D6C5E" w:rsidRPr="00E16719" w:rsidRDefault="005D6C5E">
            <w:pPr>
              <w:rPr>
                <w:rFonts w:eastAsiaTheme="minorHAnsi"/>
              </w:rPr>
            </w:pPr>
            <w:r w:rsidRPr="00E16719">
              <w:t>Other Contractual costs for data collection, non-labor</w:t>
            </w:r>
          </w:p>
        </w:tc>
        <w:tc>
          <w:tcPr>
            <w:tcW w:w="0" w:type="auto"/>
            <w:gridSpan w:val="3"/>
            <w:vMerge/>
            <w:tcBorders>
              <w:top w:val="nil"/>
              <w:left w:val="single" w:sz="8" w:space="0" w:color="auto"/>
              <w:bottom w:val="single" w:sz="8" w:space="0" w:color="auto"/>
              <w:right w:val="single" w:sz="8" w:space="0" w:color="auto"/>
            </w:tcBorders>
            <w:vAlign w:val="center"/>
            <w:hideMark/>
          </w:tcPr>
          <w:p w14:paraId="2ACB200F" w14:textId="77777777" w:rsidR="005D6C5E" w:rsidRPr="00E16719"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14:paraId="4D999C37" w14:textId="3365C1CA" w:rsidR="005D6C5E" w:rsidRPr="00E16719" w:rsidRDefault="00154ADB">
            <w:pPr>
              <w:jc w:val="center"/>
              <w:rPr>
                <w:rFonts w:eastAsiaTheme="minorHAnsi"/>
              </w:rPr>
            </w:pPr>
            <w:r w:rsidRPr="00E16719">
              <w:t>351</w:t>
            </w:r>
          </w:p>
        </w:tc>
      </w:tr>
      <w:tr w:rsidR="005D6C5E" w:rsidRPr="00E16719" w14:paraId="5661048B" w14:textId="77777777" w:rsidTr="005D6C5E">
        <w:trPr>
          <w:trHeight w:val="898"/>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02C66" w14:textId="77777777" w:rsidR="005D6C5E" w:rsidRPr="00E16719" w:rsidRDefault="005D6C5E">
            <w:pPr>
              <w:rPr>
                <w:rFonts w:eastAsiaTheme="minorHAnsi"/>
              </w:rPr>
            </w:pPr>
            <w:r w:rsidRPr="00E16719">
              <w:t>Travel costs associated with data collection and study launch</w:t>
            </w:r>
          </w:p>
        </w:tc>
        <w:tc>
          <w:tcPr>
            <w:tcW w:w="0" w:type="auto"/>
            <w:gridSpan w:val="3"/>
            <w:vMerge/>
            <w:tcBorders>
              <w:top w:val="nil"/>
              <w:left w:val="single" w:sz="8" w:space="0" w:color="auto"/>
              <w:bottom w:val="single" w:sz="8" w:space="0" w:color="auto"/>
              <w:right w:val="single" w:sz="8" w:space="0" w:color="auto"/>
            </w:tcBorders>
            <w:vAlign w:val="center"/>
            <w:hideMark/>
          </w:tcPr>
          <w:p w14:paraId="23441B60" w14:textId="77777777" w:rsidR="005D6C5E" w:rsidRPr="00E16719" w:rsidRDefault="005D6C5E">
            <w:pPr>
              <w:rPr>
                <w:rFonts w:eastAsiaTheme="minorHAnsi"/>
              </w:rPr>
            </w:pPr>
          </w:p>
        </w:tc>
        <w:tc>
          <w:tcPr>
            <w:tcW w:w="1466" w:type="dxa"/>
            <w:tcBorders>
              <w:top w:val="nil"/>
              <w:left w:val="nil"/>
              <w:bottom w:val="single" w:sz="8" w:space="0" w:color="auto"/>
              <w:right w:val="single" w:sz="8" w:space="0" w:color="auto"/>
            </w:tcBorders>
            <w:vAlign w:val="center"/>
          </w:tcPr>
          <w:p w14:paraId="06DAEEF2" w14:textId="77777777" w:rsidR="005D6C5E" w:rsidRPr="00E16719" w:rsidRDefault="005D6C5E">
            <w:pPr>
              <w:ind w:right="440"/>
              <w:jc w:val="center"/>
              <w:rPr>
                <w:rFonts w:eastAsiaTheme="minorHAnsi"/>
              </w:rPr>
            </w:pPr>
          </w:p>
          <w:p w14:paraId="180D6ED1" w14:textId="1412BE77" w:rsidR="005D6C5E" w:rsidRPr="00E16719" w:rsidRDefault="005D6C5E">
            <w:pPr>
              <w:jc w:val="center"/>
              <w:rPr>
                <w:rFonts w:eastAsiaTheme="minorHAnsi"/>
              </w:rPr>
            </w:pPr>
            <w:r w:rsidRPr="00E16719">
              <w:t>1,</w:t>
            </w:r>
            <w:r w:rsidR="00154ADB" w:rsidRPr="00E16719">
              <w:t>307</w:t>
            </w:r>
          </w:p>
        </w:tc>
      </w:tr>
      <w:tr w:rsidR="005D6C5E" w:rsidRPr="00E16719" w14:paraId="1BAEA1CF" w14:textId="77777777"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8204F" w14:textId="77777777" w:rsidR="005D6C5E" w:rsidRPr="00E16719" w:rsidRDefault="005D6C5E">
            <w:pPr>
              <w:rPr>
                <w:rFonts w:eastAsiaTheme="minorHAnsi"/>
              </w:rPr>
            </w:pPr>
            <w:r w:rsidRPr="00E16719">
              <w:t>Other costs, non-labor</w:t>
            </w:r>
          </w:p>
        </w:tc>
        <w:tc>
          <w:tcPr>
            <w:tcW w:w="0" w:type="auto"/>
            <w:gridSpan w:val="3"/>
            <w:vMerge/>
            <w:tcBorders>
              <w:top w:val="nil"/>
              <w:left w:val="single" w:sz="8" w:space="0" w:color="auto"/>
              <w:bottom w:val="single" w:sz="8" w:space="0" w:color="auto"/>
              <w:right w:val="single" w:sz="8" w:space="0" w:color="auto"/>
            </w:tcBorders>
            <w:vAlign w:val="center"/>
            <w:hideMark/>
          </w:tcPr>
          <w:p w14:paraId="63FC7267" w14:textId="77777777" w:rsidR="005D6C5E" w:rsidRPr="00E16719"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14:paraId="66BDD559" w14:textId="309E982C" w:rsidR="005D6C5E" w:rsidRPr="00E16719" w:rsidRDefault="00154ADB">
            <w:pPr>
              <w:jc w:val="center"/>
              <w:rPr>
                <w:rFonts w:eastAsiaTheme="minorHAnsi"/>
              </w:rPr>
            </w:pPr>
            <w:r w:rsidRPr="00E16719">
              <w:t>0</w:t>
            </w:r>
          </w:p>
        </w:tc>
      </w:tr>
      <w:tr w:rsidR="005D6C5E" w:rsidRPr="00E16719" w14:paraId="113C4B8A" w14:textId="77777777"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239F3" w14:textId="77777777" w:rsidR="005D6C5E" w:rsidRPr="00E16719" w:rsidRDefault="005D6C5E">
            <w:pPr>
              <w:rPr>
                <w:rFonts w:eastAsiaTheme="minorHAnsi"/>
              </w:rPr>
            </w:pPr>
            <w:r w:rsidRPr="00E16719">
              <w:t>Total</w:t>
            </w:r>
          </w:p>
        </w:tc>
        <w:tc>
          <w:tcPr>
            <w:tcW w:w="0" w:type="auto"/>
            <w:gridSpan w:val="3"/>
            <w:vMerge/>
            <w:tcBorders>
              <w:top w:val="nil"/>
              <w:left w:val="single" w:sz="8" w:space="0" w:color="auto"/>
              <w:bottom w:val="single" w:sz="8" w:space="0" w:color="auto"/>
              <w:right w:val="single" w:sz="8" w:space="0" w:color="auto"/>
            </w:tcBorders>
            <w:vAlign w:val="center"/>
            <w:hideMark/>
          </w:tcPr>
          <w:p w14:paraId="3FF5D826" w14:textId="77777777" w:rsidR="005D6C5E" w:rsidRPr="00E16719"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14:paraId="5571FE79" w14:textId="292E4FE5" w:rsidR="005D6C5E" w:rsidRPr="00E16719" w:rsidRDefault="00DD489C" w:rsidP="002D0C9A">
            <w:pPr>
              <w:jc w:val="center"/>
              <w:rPr>
                <w:rFonts w:eastAsiaTheme="minorHAnsi"/>
              </w:rPr>
            </w:pPr>
            <w:r w:rsidRPr="00E16719">
              <w:t>$</w:t>
            </w:r>
            <w:r w:rsidR="002D0C9A" w:rsidRPr="00E16719">
              <w:t>38,114</w:t>
            </w:r>
          </w:p>
        </w:tc>
      </w:tr>
    </w:tbl>
    <w:p w14:paraId="512AAFF8" w14:textId="77777777" w:rsidR="005D6C5E" w:rsidRPr="00E16719" w:rsidRDefault="005D6C5E" w:rsidP="005D6C5E">
      <w:pPr>
        <w:rPr>
          <w:rFonts w:ascii="Georgia" w:eastAsiaTheme="minorHAnsi" w:hAnsi="Georgia" w:cs="Calibri"/>
        </w:rPr>
      </w:pPr>
    </w:p>
    <w:p w14:paraId="6DAD97D4" w14:textId="77777777" w:rsidR="003951B6" w:rsidRDefault="003951B6" w:rsidP="002A11DC">
      <w:pPr>
        <w:pStyle w:val="E-mailSignature"/>
        <w:widowControl w:val="0"/>
        <w:adjustRightInd w:val="0"/>
        <w:snapToGrid w:val="0"/>
        <w:rPr>
          <w:b/>
        </w:rPr>
      </w:pPr>
      <w:bookmarkStart w:id="17" w:name="_Toc153351598"/>
    </w:p>
    <w:p w14:paraId="788A4F05" w14:textId="77777777" w:rsidR="00E12F33" w:rsidRDefault="00E12F33" w:rsidP="002A11DC">
      <w:pPr>
        <w:pStyle w:val="E-mailSignature"/>
        <w:widowControl w:val="0"/>
        <w:adjustRightInd w:val="0"/>
        <w:snapToGrid w:val="0"/>
        <w:rPr>
          <w:b/>
        </w:rPr>
      </w:pPr>
    </w:p>
    <w:p w14:paraId="6D065AF7" w14:textId="77777777" w:rsidR="00E12F33" w:rsidRPr="00E16719" w:rsidRDefault="00E12F33" w:rsidP="002A11DC">
      <w:pPr>
        <w:pStyle w:val="E-mailSignature"/>
        <w:widowControl w:val="0"/>
        <w:adjustRightInd w:val="0"/>
        <w:snapToGrid w:val="0"/>
        <w:rPr>
          <w:b/>
        </w:rPr>
      </w:pPr>
    </w:p>
    <w:p w14:paraId="37A69EF2" w14:textId="77777777" w:rsidR="008437B1" w:rsidRPr="00E16719" w:rsidRDefault="008437B1" w:rsidP="002A11DC">
      <w:pPr>
        <w:pStyle w:val="E-mailSignature"/>
        <w:widowControl w:val="0"/>
        <w:adjustRightInd w:val="0"/>
        <w:snapToGrid w:val="0"/>
        <w:rPr>
          <w:b/>
        </w:rPr>
      </w:pPr>
      <w:r w:rsidRPr="00E16719">
        <w:rPr>
          <w:b/>
        </w:rPr>
        <w:t>A.15.</w:t>
      </w:r>
      <w:r w:rsidRPr="00E16719">
        <w:rPr>
          <w:b/>
        </w:rPr>
        <w:tab/>
        <w:t>Explanation for Program Changes or Adjustments</w:t>
      </w:r>
      <w:bookmarkEnd w:id="17"/>
    </w:p>
    <w:p w14:paraId="0E2C785E" w14:textId="77777777" w:rsidR="00E43A95" w:rsidRPr="00E16719" w:rsidRDefault="00E43A95" w:rsidP="002A11DC">
      <w:pPr>
        <w:widowControl w:val="0"/>
        <w:adjustRightInd w:val="0"/>
        <w:snapToGrid w:val="0"/>
        <w:jc w:val="both"/>
      </w:pPr>
    </w:p>
    <w:p w14:paraId="5B126871" w14:textId="76B4389E" w:rsidR="008437B1" w:rsidRPr="00E16719" w:rsidRDefault="008437B1" w:rsidP="00891484">
      <w:pPr>
        <w:widowControl w:val="0"/>
        <w:adjustRightInd w:val="0"/>
        <w:snapToGrid w:val="0"/>
        <w:jc w:val="both"/>
      </w:pPr>
      <w:r w:rsidRPr="00E16719">
        <w:tab/>
      </w:r>
      <w:r w:rsidR="00901D44" w:rsidRPr="00E16719">
        <w:t>This is an initial application.</w:t>
      </w:r>
    </w:p>
    <w:p w14:paraId="6C3D9D07" w14:textId="77777777" w:rsidR="005C3C5C" w:rsidRPr="00E16719" w:rsidRDefault="005C3C5C" w:rsidP="002A11DC">
      <w:pPr>
        <w:pStyle w:val="E-mailSignature"/>
        <w:widowControl w:val="0"/>
        <w:adjustRightInd w:val="0"/>
        <w:snapToGrid w:val="0"/>
        <w:rPr>
          <w:b/>
        </w:rPr>
      </w:pPr>
      <w:bookmarkStart w:id="18" w:name="_Toc153351599"/>
    </w:p>
    <w:p w14:paraId="12BDF78D" w14:textId="77777777" w:rsidR="008437B1" w:rsidRPr="00E16719" w:rsidRDefault="008437B1" w:rsidP="002A11DC">
      <w:pPr>
        <w:pStyle w:val="E-mailSignature"/>
        <w:widowControl w:val="0"/>
        <w:adjustRightInd w:val="0"/>
        <w:snapToGrid w:val="0"/>
        <w:rPr>
          <w:b/>
        </w:rPr>
      </w:pPr>
      <w:r w:rsidRPr="00E16719">
        <w:rPr>
          <w:b/>
        </w:rPr>
        <w:t>A.16.</w:t>
      </w:r>
      <w:r w:rsidRPr="00E16719">
        <w:rPr>
          <w:b/>
        </w:rPr>
        <w:tab/>
        <w:t>Plans for Tabulation and Publication and Project Time Schedule</w:t>
      </w:r>
      <w:bookmarkEnd w:id="18"/>
    </w:p>
    <w:p w14:paraId="1CCEA62E" w14:textId="77777777" w:rsidR="008437B1" w:rsidRPr="00E16719" w:rsidRDefault="008437B1" w:rsidP="002A11DC">
      <w:pPr>
        <w:pStyle w:val="E-mailSignature"/>
        <w:widowControl w:val="0"/>
        <w:adjustRightInd w:val="0"/>
        <w:snapToGrid w:val="0"/>
        <w:rPr>
          <w:b/>
        </w:rPr>
      </w:pPr>
    </w:p>
    <w:p w14:paraId="3EC9F0E7" w14:textId="77777777" w:rsidR="008437B1" w:rsidRPr="00E16719" w:rsidRDefault="008437B1" w:rsidP="002A11DC">
      <w:pPr>
        <w:widowControl w:val="0"/>
        <w:adjustRightInd w:val="0"/>
        <w:snapToGrid w:val="0"/>
        <w:jc w:val="both"/>
      </w:pPr>
      <w:r w:rsidRPr="00E16719">
        <w:tab/>
        <w:t>The schedule for study ac</w:t>
      </w:r>
      <w:r w:rsidR="009C0F80" w:rsidRPr="00E16719">
        <w:t>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328"/>
      </w:tblGrid>
      <w:tr w:rsidR="008437B1" w:rsidRPr="00E16719" w14:paraId="1D250789" w14:textId="77777777" w:rsidTr="00794894">
        <w:tc>
          <w:tcPr>
            <w:tcW w:w="3528" w:type="dxa"/>
          </w:tcPr>
          <w:p w14:paraId="642B9E9D" w14:textId="77777777" w:rsidR="008437B1" w:rsidRPr="00E16719" w:rsidRDefault="008437B1" w:rsidP="002A11DC">
            <w:pPr>
              <w:widowControl w:val="0"/>
              <w:adjustRightInd w:val="0"/>
              <w:snapToGrid w:val="0"/>
              <w:jc w:val="center"/>
              <w:rPr>
                <w:b/>
              </w:rPr>
            </w:pPr>
            <w:r w:rsidRPr="00E16719">
              <w:rPr>
                <w:b/>
              </w:rPr>
              <w:t>Activity</w:t>
            </w:r>
          </w:p>
        </w:tc>
        <w:tc>
          <w:tcPr>
            <w:tcW w:w="5328" w:type="dxa"/>
          </w:tcPr>
          <w:p w14:paraId="7870DEEC" w14:textId="77777777" w:rsidR="008437B1" w:rsidRPr="00E16719" w:rsidRDefault="008437B1" w:rsidP="002A11DC">
            <w:pPr>
              <w:widowControl w:val="0"/>
              <w:adjustRightInd w:val="0"/>
              <w:snapToGrid w:val="0"/>
              <w:jc w:val="center"/>
              <w:rPr>
                <w:b/>
              </w:rPr>
            </w:pPr>
            <w:r w:rsidRPr="00E16719">
              <w:rPr>
                <w:b/>
              </w:rPr>
              <w:t>Time Schedule</w:t>
            </w:r>
          </w:p>
        </w:tc>
      </w:tr>
      <w:tr w:rsidR="008437B1" w:rsidRPr="00E16719" w14:paraId="5E5F42E9" w14:textId="77777777" w:rsidTr="00794894">
        <w:tc>
          <w:tcPr>
            <w:tcW w:w="3528" w:type="dxa"/>
          </w:tcPr>
          <w:p w14:paraId="309ED9BA" w14:textId="77777777" w:rsidR="008437B1" w:rsidRPr="00E16719" w:rsidRDefault="008437B1" w:rsidP="002A11DC">
            <w:pPr>
              <w:widowControl w:val="0"/>
              <w:adjustRightInd w:val="0"/>
              <w:snapToGrid w:val="0"/>
              <w:jc w:val="both"/>
            </w:pPr>
            <w:r w:rsidRPr="00E16719">
              <w:rPr>
                <w:color w:val="000000"/>
              </w:rPr>
              <w:t>Initiate Study Recruitment Activities</w:t>
            </w:r>
          </w:p>
        </w:tc>
        <w:tc>
          <w:tcPr>
            <w:tcW w:w="5328" w:type="dxa"/>
          </w:tcPr>
          <w:p w14:paraId="59138EEF" w14:textId="77777777" w:rsidR="008437B1" w:rsidRPr="00E16719" w:rsidRDefault="0046024C" w:rsidP="002A11DC">
            <w:pPr>
              <w:widowControl w:val="0"/>
              <w:adjustRightInd w:val="0"/>
              <w:snapToGrid w:val="0"/>
              <w:jc w:val="center"/>
            </w:pPr>
            <w:r w:rsidRPr="00E16719">
              <w:t>Immediately following OMB approval</w:t>
            </w:r>
          </w:p>
        </w:tc>
      </w:tr>
      <w:tr w:rsidR="008437B1" w:rsidRPr="00E16719" w14:paraId="2035BC8F" w14:textId="77777777" w:rsidTr="00794894">
        <w:tc>
          <w:tcPr>
            <w:tcW w:w="3528" w:type="dxa"/>
          </w:tcPr>
          <w:p w14:paraId="0796C78E" w14:textId="77777777" w:rsidR="008437B1" w:rsidRPr="00E16719" w:rsidRDefault="008437B1" w:rsidP="002A11DC">
            <w:pPr>
              <w:widowControl w:val="0"/>
              <w:adjustRightInd w:val="0"/>
              <w:snapToGrid w:val="0"/>
              <w:jc w:val="both"/>
              <w:rPr>
                <w:color w:val="000000"/>
              </w:rPr>
            </w:pPr>
            <w:r w:rsidRPr="00E16719">
              <w:rPr>
                <w:color w:val="000000"/>
              </w:rPr>
              <w:t xml:space="preserve">Participant Enrollment and </w:t>
            </w:r>
          </w:p>
          <w:p w14:paraId="3E723D12" w14:textId="77777777" w:rsidR="008437B1" w:rsidRPr="00E16719" w:rsidRDefault="008437B1" w:rsidP="00A26A97">
            <w:pPr>
              <w:widowControl w:val="0"/>
              <w:adjustRightInd w:val="0"/>
              <w:snapToGrid w:val="0"/>
              <w:jc w:val="both"/>
            </w:pPr>
            <w:r w:rsidRPr="00E16719">
              <w:rPr>
                <w:color w:val="000000"/>
              </w:rPr>
              <w:t>Data Collection (</w:t>
            </w:r>
            <w:r w:rsidR="00816B03" w:rsidRPr="00E16719">
              <w:rPr>
                <w:color w:val="000000"/>
              </w:rPr>
              <w:t>2</w:t>
            </w:r>
            <w:r w:rsidRPr="00E16719">
              <w:rPr>
                <w:color w:val="000000"/>
              </w:rPr>
              <w:t xml:space="preserve"> years)</w:t>
            </w:r>
          </w:p>
        </w:tc>
        <w:tc>
          <w:tcPr>
            <w:tcW w:w="5328" w:type="dxa"/>
          </w:tcPr>
          <w:p w14:paraId="3F9DB501" w14:textId="73166A04" w:rsidR="008437B1" w:rsidRPr="00E16719" w:rsidRDefault="0046024C" w:rsidP="00901D44">
            <w:pPr>
              <w:widowControl w:val="0"/>
              <w:adjustRightInd w:val="0"/>
              <w:snapToGrid w:val="0"/>
              <w:jc w:val="center"/>
            </w:pPr>
            <w:r w:rsidRPr="00E16719">
              <w:t xml:space="preserve">Two </w:t>
            </w:r>
            <w:r w:rsidR="00901D44" w:rsidRPr="00E16719">
              <w:t>years</w:t>
            </w:r>
            <w:r w:rsidRPr="00E16719">
              <w:t xml:space="preserve"> from OMB approval.</w:t>
            </w:r>
          </w:p>
        </w:tc>
      </w:tr>
      <w:tr w:rsidR="008437B1" w:rsidRPr="00E16719" w14:paraId="578B350B" w14:textId="77777777" w:rsidTr="00794894">
        <w:tc>
          <w:tcPr>
            <w:tcW w:w="3528" w:type="dxa"/>
          </w:tcPr>
          <w:p w14:paraId="488F8195" w14:textId="77777777" w:rsidR="008437B1" w:rsidRPr="00E16719" w:rsidRDefault="008437B1" w:rsidP="002A11DC">
            <w:pPr>
              <w:widowControl w:val="0"/>
              <w:adjustRightInd w:val="0"/>
              <w:snapToGrid w:val="0"/>
              <w:jc w:val="both"/>
            </w:pPr>
            <w:r w:rsidRPr="00E16719">
              <w:rPr>
                <w:color w:val="000000"/>
              </w:rPr>
              <w:t>Data Management and Analysis</w:t>
            </w:r>
          </w:p>
        </w:tc>
        <w:tc>
          <w:tcPr>
            <w:tcW w:w="5328" w:type="dxa"/>
          </w:tcPr>
          <w:p w14:paraId="446AFD7B" w14:textId="57B5F32B" w:rsidR="008437B1" w:rsidRPr="00E16719" w:rsidRDefault="008437B1" w:rsidP="00DB1B19">
            <w:pPr>
              <w:widowControl w:val="0"/>
              <w:adjustRightInd w:val="0"/>
              <w:snapToGrid w:val="0"/>
              <w:jc w:val="center"/>
            </w:pPr>
            <w:r w:rsidRPr="00E16719">
              <w:rPr>
                <w:color w:val="000000"/>
              </w:rPr>
              <w:t>Ongoing through December 201</w:t>
            </w:r>
            <w:r w:rsidR="00DB1B19" w:rsidRPr="00E16719">
              <w:rPr>
                <w:color w:val="000000"/>
              </w:rPr>
              <w:t>8</w:t>
            </w:r>
          </w:p>
        </w:tc>
      </w:tr>
    </w:tbl>
    <w:p w14:paraId="127ECD47" w14:textId="77777777" w:rsidR="00EC156D" w:rsidRPr="00E16719" w:rsidRDefault="008437B1" w:rsidP="002A11DC">
      <w:pPr>
        <w:widowControl w:val="0"/>
        <w:adjustRightInd w:val="0"/>
        <w:snapToGrid w:val="0"/>
        <w:jc w:val="both"/>
      </w:pPr>
      <w:r w:rsidRPr="00E16719">
        <w:tab/>
      </w:r>
    </w:p>
    <w:p w14:paraId="2595CDF3" w14:textId="3C1F1CFB" w:rsidR="008437B1" w:rsidRPr="00E16719" w:rsidRDefault="008437B1" w:rsidP="002A11DC">
      <w:pPr>
        <w:widowControl w:val="0"/>
        <w:adjustRightInd w:val="0"/>
        <w:snapToGrid w:val="0"/>
        <w:jc w:val="both"/>
      </w:pPr>
      <w:r w:rsidRPr="00E16719">
        <w:t xml:space="preserve">Subject to NHLBI </w:t>
      </w:r>
      <w:r w:rsidR="004052A5" w:rsidRPr="00E16719">
        <w:t>review</w:t>
      </w:r>
      <w:r w:rsidRPr="00E16719">
        <w:t>, data will be dis</w:t>
      </w:r>
      <w:r w:rsidR="00901D44" w:rsidRPr="00E16719">
        <w:t xml:space="preserve">seminated to the scientific </w:t>
      </w:r>
      <w:r w:rsidRPr="00E16719">
        <w:t>community and others through peer-review journal publications, and presentations at government (</w:t>
      </w:r>
      <w:r w:rsidR="008C133A" w:rsidRPr="00E16719">
        <w:t xml:space="preserve">e.g. </w:t>
      </w:r>
      <w:r w:rsidRPr="00E16719">
        <w:t>FDA Blood Products Advisory Committee) and professional meetings (</w:t>
      </w:r>
      <w:r w:rsidR="008C133A" w:rsidRPr="00E16719">
        <w:t xml:space="preserve">e.g. </w:t>
      </w:r>
      <w:r w:rsidR="00901D44" w:rsidRPr="00E16719">
        <w:t>American Society of Hematology</w:t>
      </w:r>
      <w:r w:rsidRPr="00E16719">
        <w:t>).</w:t>
      </w:r>
    </w:p>
    <w:p w14:paraId="7F0A9CBE" w14:textId="77777777" w:rsidR="005400EB" w:rsidRPr="00E16719" w:rsidRDefault="005400EB" w:rsidP="002A11DC">
      <w:pPr>
        <w:widowControl w:val="0"/>
        <w:adjustRightInd w:val="0"/>
        <w:snapToGrid w:val="0"/>
        <w:rPr>
          <w:b/>
        </w:rPr>
      </w:pPr>
      <w:bookmarkStart w:id="19" w:name="_Toc153351600"/>
    </w:p>
    <w:p w14:paraId="4107DCE1" w14:textId="77777777" w:rsidR="00B61D39" w:rsidRPr="00E16719" w:rsidRDefault="00B61D39" w:rsidP="002A11DC">
      <w:pPr>
        <w:widowControl w:val="0"/>
        <w:adjustRightInd w:val="0"/>
        <w:snapToGrid w:val="0"/>
        <w:rPr>
          <w:b/>
        </w:rPr>
      </w:pPr>
    </w:p>
    <w:p w14:paraId="65B184C5" w14:textId="77777777" w:rsidR="00B61D39" w:rsidRPr="00E16719" w:rsidRDefault="00B61D39" w:rsidP="002A11DC">
      <w:pPr>
        <w:widowControl w:val="0"/>
        <w:adjustRightInd w:val="0"/>
        <w:snapToGrid w:val="0"/>
        <w:rPr>
          <w:b/>
        </w:rPr>
      </w:pPr>
    </w:p>
    <w:p w14:paraId="552C3170" w14:textId="77777777" w:rsidR="008437B1" w:rsidRPr="00E16719" w:rsidRDefault="008437B1" w:rsidP="002A11DC">
      <w:pPr>
        <w:widowControl w:val="0"/>
        <w:adjustRightInd w:val="0"/>
        <w:snapToGrid w:val="0"/>
        <w:rPr>
          <w:b/>
        </w:rPr>
      </w:pPr>
      <w:r w:rsidRPr="00E16719">
        <w:rPr>
          <w:b/>
        </w:rPr>
        <w:t>A.17.</w:t>
      </w:r>
      <w:r w:rsidRPr="00E16719">
        <w:rPr>
          <w:b/>
        </w:rPr>
        <w:tab/>
        <w:t>Reason(s) Display of OMB Expiration Date is Inappropriate</w:t>
      </w:r>
      <w:bookmarkEnd w:id="19"/>
    </w:p>
    <w:p w14:paraId="1B717ED0" w14:textId="77777777" w:rsidR="00E43A95" w:rsidRPr="00E16719" w:rsidRDefault="00E43A95" w:rsidP="002A11DC">
      <w:pPr>
        <w:widowControl w:val="0"/>
        <w:adjustRightInd w:val="0"/>
        <w:snapToGrid w:val="0"/>
        <w:jc w:val="both"/>
        <w:rPr>
          <w:b/>
        </w:rPr>
      </w:pPr>
    </w:p>
    <w:p w14:paraId="6C1AC554" w14:textId="405F9F6D" w:rsidR="008437B1" w:rsidRPr="00E16719" w:rsidRDefault="008437B1" w:rsidP="002A11DC">
      <w:pPr>
        <w:widowControl w:val="0"/>
        <w:adjustRightInd w:val="0"/>
        <w:snapToGrid w:val="0"/>
        <w:jc w:val="both"/>
      </w:pPr>
      <w:r w:rsidRPr="00E16719">
        <w:rPr>
          <w:b/>
        </w:rPr>
        <w:tab/>
      </w:r>
      <w:r w:rsidRPr="00E16719">
        <w:t xml:space="preserve">The OMB expiration date will be displayed in the upper-right hand corner of the </w:t>
      </w:r>
      <w:r w:rsidR="00DD2B03" w:rsidRPr="00E16719">
        <w:t>assessment</w:t>
      </w:r>
      <w:r w:rsidRPr="00E16719">
        <w:t>.</w:t>
      </w:r>
    </w:p>
    <w:p w14:paraId="5A112A90" w14:textId="77777777" w:rsidR="006A2EC8" w:rsidRPr="00E16719" w:rsidRDefault="006A2EC8" w:rsidP="002A11DC">
      <w:pPr>
        <w:pStyle w:val="E-mailSignature"/>
        <w:widowControl w:val="0"/>
        <w:adjustRightInd w:val="0"/>
        <w:snapToGrid w:val="0"/>
        <w:rPr>
          <w:b/>
        </w:rPr>
      </w:pPr>
      <w:bookmarkStart w:id="20" w:name="_Toc153351601"/>
    </w:p>
    <w:p w14:paraId="5F9ACAAD" w14:textId="77777777" w:rsidR="008437B1" w:rsidRPr="00E16719" w:rsidRDefault="008437B1" w:rsidP="002A11DC">
      <w:pPr>
        <w:pStyle w:val="E-mailSignature"/>
        <w:widowControl w:val="0"/>
        <w:adjustRightInd w:val="0"/>
        <w:snapToGrid w:val="0"/>
        <w:rPr>
          <w:b/>
        </w:rPr>
      </w:pPr>
      <w:r w:rsidRPr="00E16719">
        <w:rPr>
          <w:b/>
        </w:rPr>
        <w:t>A.18.</w:t>
      </w:r>
      <w:r w:rsidRPr="00E16719">
        <w:rPr>
          <w:b/>
        </w:rPr>
        <w:tab/>
        <w:t>Exceptions to Certification for Paperwork Reduction Act Submissions</w:t>
      </w:r>
      <w:bookmarkEnd w:id="20"/>
    </w:p>
    <w:p w14:paraId="505E2C0F" w14:textId="77777777" w:rsidR="00E43A95" w:rsidRPr="00E16719" w:rsidRDefault="00E43A95" w:rsidP="009C0F80">
      <w:pPr>
        <w:widowControl w:val="0"/>
        <w:adjustRightInd w:val="0"/>
        <w:snapToGrid w:val="0"/>
        <w:jc w:val="both"/>
      </w:pPr>
    </w:p>
    <w:p w14:paraId="47CD13CA" w14:textId="77777777" w:rsidR="000245C4" w:rsidRPr="00E16719" w:rsidRDefault="008437B1" w:rsidP="00667E50">
      <w:pPr>
        <w:widowControl w:val="0"/>
        <w:adjustRightInd w:val="0"/>
        <w:snapToGrid w:val="0"/>
        <w:jc w:val="both"/>
        <w:rPr>
          <w:b/>
          <w:bCs/>
        </w:rPr>
      </w:pPr>
      <w:r w:rsidRPr="00E16719">
        <w:tab/>
        <w:t>There are no exceptions to the certification statement of OMB Form 83-I.</w:t>
      </w:r>
      <w:r w:rsidR="000245C4" w:rsidRPr="00E16719">
        <w:br w:type="page"/>
      </w:r>
    </w:p>
    <w:p w14:paraId="217D0C25" w14:textId="77777777" w:rsidR="000245C4" w:rsidRPr="00E16719" w:rsidRDefault="000245C4" w:rsidP="000245C4">
      <w:pPr>
        <w:pStyle w:val="Heading3"/>
        <w:keepNext w:val="0"/>
        <w:widowControl w:val="0"/>
        <w:adjustRightInd w:val="0"/>
        <w:snapToGrid w:val="0"/>
        <w:jc w:val="center"/>
        <w:rPr>
          <w:rFonts w:ascii="Times New Roman" w:hAnsi="Times New Roman" w:cs="Times New Roman"/>
          <w:sz w:val="24"/>
          <w:szCs w:val="24"/>
        </w:rPr>
      </w:pPr>
      <w:r w:rsidRPr="00E16719">
        <w:rPr>
          <w:rFonts w:ascii="Times New Roman" w:hAnsi="Times New Roman" w:cs="Times New Roman"/>
          <w:sz w:val="24"/>
          <w:szCs w:val="24"/>
        </w:rPr>
        <w:t>REFERENCES</w:t>
      </w:r>
    </w:p>
    <w:p w14:paraId="5547A029" w14:textId="77777777" w:rsidR="000245C4" w:rsidRPr="00E16719" w:rsidRDefault="000245C4" w:rsidP="000245C4">
      <w:pPr>
        <w:widowControl w:val="0"/>
        <w:adjustRightInd w:val="0"/>
        <w:snapToGrid w:val="0"/>
      </w:pPr>
    </w:p>
    <w:p w14:paraId="552FB478" w14:textId="77777777" w:rsidR="003129EE" w:rsidRPr="00E16719" w:rsidRDefault="003129EE" w:rsidP="003129EE">
      <w:pPr>
        <w:widowControl w:val="0"/>
        <w:adjustRightInd w:val="0"/>
        <w:snapToGrid w:val="0"/>
      </w:pPr>
    </w:p>
    <w:p w14:paraId="70807AE6" w14:textId="77777777" w:rsidR="003129EE" w:rsidRPr="00E16719" w:rsidRDefault="003129EE" w:rsidP="00A81E4B"/>
    <w:p w14:paraId="02EF2253" w14:textId="77777777" w:rsidR="003761F2" w:rsidRPr="00E16719" w:rsidRDefault="003129EE" w:rsidP="003761F2">
      <w:pPr>
        <w:pStyle w:val="EndNoteBibliography"/>
        <w:rPr>
          <w:noProof/>
        </w:rPr>
      </w:pPr>
      <w:r w:rsidRPr="00E16719">
        <w:fldChar w:fldCharType="begin"/>
      </w:r>
      <w:r w:rsidRPr="00E16719">
        <w:instrText xml:space="preserve"> ADDIN EN.REFLIST </w:instrText>
      </w:r>
      <w:r w:rsidRPr="00E16719">
        <w:fldChar w:fldCharType="separate"/>
      </w:r>
      <w:r w:rsidR="003761F2" w:rsidRPr="00E16719">
        <w:rPr>
          <w:noProof/>
        </w:rPr>
        <w:t>1.</w:t>
      </w:r>
      <w:r w:rsidR="003761F2" w:rsidRPr="00E16719">
        <w:rPr>
          <w:noProof/>
        </w:rPr>
        <w:tab/>
        <w:t>Samuels-Reid JH, Scott RB, Brown WE. Contraceptive practices and reproductive patterns in sickle cell disease. Journal of the National Medical Association 1984;76:879-83.</w:t>
      </w:r>
    </w:p>
    <w:p w14:paraId="56BC989B" w14:textId="77777777" w:rsidR="003761F2" w:rsidRPr="00E16719" w:rsidRDefault="003761F2" w:rsidP="003761F2">
      <w:pPr>
        <w:pStyle w:val="EndNoteBibliography"/>
        <w:rPr>
          <w:noProof/>
        </w:rPr>
      </w:pPr>
      <w:r w:rsidRPr="00E16719">
        <w:rPr>
          <w:noProof/>
        </w:rPr>
        <w:t>2.</w:t>
      </w:r>
      <w:r w:rsidRPr="00E16719">
        <w:rPr>
          <w:noProof/>
        </w:rPr>
        <w:tab/>
        <w:t>Godeau B, Bachir D, Schaeffer A, et al. Severe pneumococcal sepsis and meningitis in human immunodeficiency virus-infected adults with sickle cell disease. Clinical infectious diseases : an official publication of the Infectious Diseases Society of America 1992;15:327-9.</w:t>
      </w:r>
    </w:p>
    <w:p w14:paraId="1D9FB877" w14:textId="77777777" w:rsidR="003761F2" w:rsidRPr="00E16719" w:rsidRDefault="003761F2" w:rsidP="003761F2">
      <w:pPr>
        <w:pStyle w:val="EndNoteBibliography"/>
        <w:rPr>
          <w:noProof/>
        </w:rPr>
      </w:pPr>
      <w:r w:rsidRPr="00E16719">
        <w:rPr>
          <w:noProof/>
        </w:rPr>
        <w:t>3.</w:t>
      </w:r>
      <w:r w:rsidRPr="00E16719">
        <w:rPr>
          <w:noProof/>
        </w:rPr>
        <w:tab/>
        <w:t>Bagasra O, Steiner RM, Ballas SK, et al. Viral burden and disease progression in HIV-1-infected patients with sickle cell anemia. American journal of hematology 1998;59:199-207.</w:t>
      </w:r>
    </w:p>
    <w:p w14:paraId="4F669F07" w14:textId="1B5B7D7E" w:rsidR="00A81E4B" w:rsidRPr="0064053B" w:rsidRDefault="003129EE" w:rsidP="00A81E4B">
      <w:r w:rsidRPr="00E16719">
        <w:fldChar w:fldCharType="end"/>
      </w:r>
    </w:p>
    <w:sectPr w:rsidR="00A81E4B" w:rsidRPr="0064053B" w:rsidSect="000B0FCC">
      <w:footerReference w:type="default" r:id="rId17"/>
      <w:pgSz w:w="12240" w:h="15840"/>
      <w:pgMar w:top="1440" w:right="1800" w:bottom="990" w:left="180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4C921" w14:textId="77777777" w:rsidR="00350719" w:rsidRDefault="00350719">
      <w:r>
        <w:separator/>
      </w:r>
    </w:p>
  </w:endnote>
  <w:endnote w:type="continuationSeparator" w:id="0">
    <w:p w14:paraId="3A8F2184" w14:textId="77777777" w:rsidR="00350719" w:rsidRDefault="0035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3799" w14:textId="77777777" w:rsidR="00350719" w:rsidRDefault="00350719" w:rsidP="00033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69251" w14:textId="77777777" w:rsidR="00350719" w:rsidRDefault="00350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61DD" w14:textId="77777777" w:rsidR="00350719" w:rsidRDefault="00350719" w:rsidP="005D17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65175"/>
      <w:docPartObj>
        <w:docPartGallery w:val="Page Numbers (Bottom of Page)"/>
        <w:docPartUnique/>
      </w:docPartObj>
    </w:sdtPr>
    <w:sdtEndPr/>
    <w:sdtContent>
      <w:p w14:paraId="203661FA" w14:textId="77777777" w:rsidR="00350719" w:rsidRDefault="00350719">
        <w:pPr>
          <w:pStyle w:val="Footer"/>
          <w:jc w:val="center"/>
        </w:pPr>
        <w:r>
          <w:fldChar w:fldCharType="begin"/>
        </w:r>
        <w:r>
          <w:instrText xml:space="preserve"> PAGE   \* MERGEFORMAT </w:instrText>
        </w:r>
        <w:r>
          <w:fldChar w:fldCharType="separate"/>
        </w:r>
        <w:r w:rsidR="00E12F33">
          <w:rPr>
            <w:noProof/>
          </w:rPr>
          <w:t>11</w:t>
        </w:r>
        <w:r>
          <w:rPr>
            <w:noProof/>
          </w:rPr>
          <w:fldChar w:fldCharType="end"/>
        </w:r>
      </w:p>
    </w:sdtContent>
  </w:sdt>
  <w:p w14:paraId="61597921" w14:textId="77777777" w:rsidR="00350719" w:rsidRPr="002A4759" w:rsidRDefault="00350719" w:rsidP="005D17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B094" w14:textId="77777777" w:rsidR="00350719" w:rsidRDefault="00350719">
      <w:r>
        <w:separator/>
      </w:r>
    </w:p>
  </w:footnote>
  <w:footnote w:type="continuationSeparator" w:id="0">
    <w:p w14:paraId="44939A53" w14:textId="77777777" w:rsidR="00350719" w:rsidRDefault="00350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B7F"/>
    <w:multiLevelType w:val="hybridMultilevel"/>
    <w:tmpl w:val="1974D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85869"/>
    <w:multiLevelType w:val="hybridMultilevel"/>
    <w:tmpl w:val="EBFC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C250C2"/>
    <w:multiLevelType w:val="hybridMultilevel"/>
    <w:tmpl w:val="E8940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D276B"/>
    <w:multiLevelType w:val="hybridMultilevel"/>
    <w:tmpl w:val="7EA863B6"/>
    <w:lvl w:ilvl="0" w:tplc="0040F70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EEF6957"/>
    <w:multiLevelType w:val="hybridMultilevel"/>
    <w:tmpl w:val="63AE6048"/>
    <w:lvl w:ilvl="0" w:tplc="1A48AE7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A5028E"/>
    <w:multiLevelType w:val="hybridMultilevel"/>
    <w:tmpl w:val="6D467494"/>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3A78EB"/>
    <w:multiLevelType w:val="multilevel"/>
    <w:tmpl w:val="A07C46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905EC"/>
    <w:multiLevelType w:val="hybridMultilevel"/>
    <w:tmpl w:val="BDCA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63A4D"/>
    <w:multiLevelType w:val="hybridMultilevel"/>
    <w:tmpl w:val="A07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97401"/>
    <w:multiLevelType w:val="hybridMultilevel"/>
    <w:tmpl w:val="2B0E2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9C7196"/>
    <w:multiLevelType w:val="hybridMultilevel"/>
    <w:tmpl w:val="4708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12782F"/>
    <w:multiLevelType w:val="hybridMultilevel"/>
    <w:tmpl w:val="FD9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997377"/>
    <w:multiLevelType w:val="hybridMultilevel"/>
    <w:tmpl w:val="CE0E964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883FB2"/>
    <w:multiLevelType w:val="hybridMultilevel"/>
    <w:tmpl w:val="A6E65EF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FF13C6"/>
    <w:multiLevelType w:val="hybridMultilevel"/>
    <w:tmpl w:val="8014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771C0D"/>
    <w:multiLevelType w:val="hybridMultilevel"/>
    <w:tmpl w:val="B64E6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C1888"/>
    <w:multiLevelType w:val="hybridMultilevel"/>
    <w:tmpl w:val="BF769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73BC8"/>
    <w:multiLevelType w:val="hybridMultilevel"/>
    <w:tmpl w:val="7C9E49C2"/>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6450D5E"/>
    <w:multiLevelType w:val="hybridMultilevel"/>
    <w:tmpl w:val="6B32D58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7E0015DF"/>
    <w:multiLevelType w:val="hybridMultilevel"/>
    <w:tmpl w:val="6FD24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7"/>
  </w:num>
  <w:num w:numId="3">
    <w:abstractNumId w:val="15"/>
  </w:num>
  <w:num w:numId="4">
    <w:abstractNumId w:val="11"/>
  </w:num>
  <w:num w:numId="5">
    <w:abstractNumId w:val="8"/>
  </w:num>
  <w:num w:numId="6">
    <w:abstractNumId w:val="16"/>
  </w:num>
  <w:num w:numId="7">
    <w:abstractNumId w:val="19"/>
  </w:num>
  <w:num w:numId="8">
    <w:abstractNumId w:val="4"/>
  </w:num>
  <w:num w:numId="9">
    <w:abstractNumId w:val="1"/>
  </w:num>
  <w:num w:numId="10">
    <w:abstractNumId w:val="13"/>
  </w:num>
  <w:num w:numId="11">
    <w:abstractNumId w:val="7"/>
  </w:num>
  <w:num w:numId="12">
    <w:abstractNumId w:val="3"/>
  </w:num>
  <w:num w:numId="13">
    <w:abstractNumId w:val="6"/>
  </w:num>
  <w:num w:numId="14">
    <w:abstractNumId w:val="0"/>
  </w:num>
  <w:num w:numId="15">
    <w:abstractNumId w:val="9"/>
  </w:num>
  <w:num w:numId="16">
    <w:abstractNumId w:val="18"/>
  </w:num>
  <w:num w:numId="17">
    <w:abstractNumId w:val="5"/>
  </w:num>
  <w:num w:numId="18">
    <w:abstractNumId w:val="12"/>
  </w:num>
  <w:num w:numId="19">
    <w:abstractNumId w:val="2"/>
  </w:num>
  <w:num w:numId="20">
    <w:abstractNumId w:val="20"/>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9fvdzskztzeievdt050ft75e00055rvw9p&quot;&gt;Aim D&lt;record-ids&gt;&lt;item&gt;37&lt;/item&gt;&lt;item&gt;46&lt;/item&gt;&lt;item&gt;47&lt;/item&gt;&lt;/record-ids&gt;&lt;/item&gt;&lt;/Libraries&gt;"/>
  </w:docVars>
  <w:rsids>
    <w:rsidRoot w:val="000F5E4B"/>
    <w:rsid w:val="00002BAC"/>
    <w:rsid w:val="00003F0B"/>
    <w:rsid w:val="00005DDA"/>
    <w:rsid w:val="00005FF4"/>
    <w:rsid w:val="0000613C"/>
    <w:rsid w:val="00006F63"/>
    <w:rsid w:val="0001249C"/>
    <w:rsid w:val="00014218"/>
    <w:rsid w:val="00014407"/>
    <w:rsid w:val="00020468"/>
    <w:rsid w:val="00020F0C"/>
    <w:rsid w:val="00021DCC"/>
    <w:rsid w:val="000245C4"/>
    <w:rsid w:val="00024FEF"/>
    <w:rsid w:val="000259B9"/>
    <w:rsid w:val="00026864"/>
    <w:rsid w:val="0002754C"/>
    <w:rsid w:val="000276AB"/>
    <w:rsid w:val="00030A14"/>
    <w:rsid w:val="00030A9F"/>
    <w:rsid w:val="000330D3"/>
    <w:rsid w:val="000337C1"/>
    <w:rsid w:val="00041450"/>
    <w:rsid w:val="0004257E"/>
    <w:rsid w:val="00045B81"/>
    <w:rsid w:val="00045EAB"/>
    <w:rsid w:val="00046AFF"/>
    <w:rsid w:val="00046C97"/>
    <w:rsid w:val="00046DC2"/>
    <w:rsid w:val="00050A33"/>
    <w:rsid w:val="00053040"/>
    <w:rsid w:val="000539A6"/>
    <w:rsid w:val="0005590D"/>
    <w:rsid w:val="0006037B"/>
    <w:rsid w:val="000615CA"/>
    <w:rsid w:val="00062FCC"/>
    <w:rsid w:val="00070036"/>
    <w:rsid w:val="00070179"/>
    <w:rsid w:val="00071E56"/>
    <w:rsid w:val="00076007"/>
    <w:rsid w:val="00077033"/>
    <w:rsid w:val="000800E7"/>
    <w:rsid w:val="00081106"/>
    <w:rsid w:val="000857C5"/>
    <w:rsid w:val="00094A9B"/>
    <w:rsid w:val="00095A03"/>
    <w:rsid w:val="000A1741"/>
    <w:rsid w:val="000A1A0C"/>
    <w:rsid w:val="000A350F"/>
    <w:rsid w:val="000A7387"/>
    <w:rsid w:val="000A75C5"/>
    <w:rsid w:val="000B0E6C"/>
    <w:rsid w:val="000B0FCC"/>
    <w:rsid w:val="000B1A31"/>
    <w:rsid w:val="000B2749"/>
    <w:rsid w:val="000B2851"/>
    <w:rsid w:val="000B388B"/>
    <w:rsid w:val="000B6FCF"/>
    <w:rsid w:val="000B7A6A"/>
    <w:rsid w:val="000C0CC3"/>
    <w:rsid w:val="000C0E51"/>
    <w:rsid w:val="000C146F"/>
    <w:rsid w:val="000C1FE5"/>
    <w:rsid w:val="000C42A2"/>
    <w:rsid w:val="000C5765"/>
    <w:rsid w:val="000D461C"/>
    <w:rsid w:val="000D4B36"/>
    <w:rsid w:val="000D6645"/>
    <w:rsid w:val="000E01AE"/>
    <w:rsid w:val="000E07EC"/>
    <w:rsid w:val="000F0504"/>
    <w:rsid w:val="000F30D3"/>
    <w:rsid w:val="000F34A3"/>
    <w:rsid w:val="000F3F75"/>
    <w:rsid w:val="000F51AC"/>
    <w:rsid w:val="000F564D"/>
    <w:rsid w:val="000F5E4B"/>
    <w:rsid w:val="000F645A"/>
    <w:rsid w:val="000F64DF"/>
    <w:rsid w:val="001057EB"/>
    <w:rsid w:val="00106E88"/>
    <w:rsid w:val="0011074C"/>
    <w:rsid w:val="001119D1"/>
    <w:rsid w:val="00111BAF"/>
    <w:rsid w:val="00113564"/>
    <w:rsid w:val="0011722C"/>
    <w:rsid w:val="00120258"/>
    <w:rsid w:val="0012072E"/>
    <w:rsid w:val="001212CA"/>
    <w:rsid w:val="00123690"/>
    <w:rsid w:val="0012481B"/>
    <w:rsid w:val="00125223"/>
    <w:rsid w:val="00125F9E"/>
    <w:rsid w:val="00126EC3"/>
    <w:rsid w:val="0013094F"/>
    <w:rsid w:val="00132A0F"/>
    <w:rsid w:val="00133693"/>
    <w:rsid w:val="00133921"/>
    <w:rsid w:val="0013432C"/>
    <w:rsid w:val="0013565E"/>
    <w:rsid w:val="00135CA5"/>
    <w:rsid w:val="00135F5B"/>
    <w:rsid w:val="0014098A"/>
    <w:rsid w:val="00142E8F"/>
    <w:rsid w:val="00144B9D"/>
    <w:rsid w:val="001515D4"/>
    <w:rsid w:val="001524FC"/>
    <w:rsid w:val="00152A03"/>
    <w:rsid w:val="00154ADB"/>
    <w:rsid w:val="001553B6"/>
    <w:rsid w:val="0016446A"/>
    <w:rsid w:val="00167046"/>
    <w:rsid w:val="001674EA"/>
    <w:rsid w:val="00167727"/>
    <w:rsid w:val="00170D00"/>
    <w:rsid w:val="00181072"/>
    <w:rsid w:val="00182B1E"/>
    <w:rsid w:val="00182FB8"/>
    <w:rsid w:val="00184637"/>
    <w:rsid w:val="00185E49"/>
    <w:rsid w:val="001900F3"/>
    <w:rsid w:val="00191207"/>
    <w:rsid w:val="001922D2"/>
    <w:rsid w:val="00192B29"/>
    <w:rsid w:val="001936BE"/>
    <w:rsid w:val="001937C4"/>
    <w:rsid w:val="001954EF"/>
    <w:rsid w:val="00195F89"/>
    <w:rsid w:val="001A274F"/>
    <w:rsid w:val="001A293F"/>
    <w:rsid w:val="001A6353"/>
    <w:rsid w:val="001A64AB"/>
    <w:rsid w:val="001A700D"/>
    <w:rsid w:val="001A7485"/>
    <w:rsid w:val="001B6776"/>
    <w:rsid w:val="001C0618"/>
    <w:rsid w:val="001C062C"/>
    <w:rsid w:val="001C1475"/>
    <w:rsid w:val="001C2FF8"/>
    <w:rsid w:val="001C34DF"/>
    <w:rsid w:val="001C59FE"/>
    <w:rsid w:val="001D1A8F"/>
    <w:rsid w:val="001E105B"/>
    <w:rsid w:val="001E3CF9"/>
    <w:rsid w:val="001E46E0"/>
    <w:rsid w:val="001E5A5F"/>
    <w:rsid w:val="001E5C5B"/>
    <w:rsid w:val="001E6BAC"/>
    <w:rsid w:val="001F00AE"/>
    <w:rsid w:val="001F0FD2"/>
    <w:rsid w:val="001F1773"/>
    <w:rsid w:val="001F2542"/>
    <w:rsid w:val="001F42E3"/>
    <w:rsid w:val="001F56C7"/>
    <w:rsid w:val="00200087"/>
    <w:rsid w:val="002019A0"/>
    <w:rsid w:val="0020429B"/>
    <w:rsid w:val="0021129A"/>
    <w:rsid w:val="00211E79"/>
    <w:rsid w:val="00216EF7"/>
    <w:rsid w:val="00216F35"/>
    <w:rsid w:val="002170CE"/>
    <w:rsid w:val="002173EA"/>
    <w:rsid w:val="002214F3"/>
    <w:rsid w:val="0022424F"/>
    <w:rsid w:val="0022581D"/>
    <w:rsid w:val="00225DC9"/>
    <w:rsid w:val="002265B0"/>
    <w:rsid w:val="002279B5"/>
    <w:rsid w:val="00227AD8"/>
    <w:rsid w:val="00230808"/>
    <w:rsid w:val="00232072"/>
    <w:rsid w:val="00232998"/>
    <w:rsid w:val="00234185"/>
    <w:rsid w:val="00234804"/>
    <w:rsid w:val="002372A3"/>
    <w:rsid w:val="00237F85"/>
    <w:rsid w:val="00237FA2"/>
    <w:rsid w:val="002404B2"/>
    <w:rsid w:val="00241449"/>
    <w:rsid w:val="0024344A"/>
    <w:rsid w:val="00245AFB"/>
    <w:rsid w:val="00246FA7"/>
    <w:rsid w:val="002474EC"/>
    <w:rsid w:val="002509F7"/>
    <w:rsid w:val="00250D2F"/>
    <w:rsid w:val="00251F3A"/>
    <w:rsid w:val="00252AB3"/>
    <w:rsid w:val="00253AC1"/>
    <w:rsid w:val="00255915"/>
    <w:rsid w:val="00280159"/>
    <w:rsid w:val="002805A4"/>
    <w:rsid w:val="00281551"/>
    <w:rsid w:val="00281870"/>
    <w:rsid w:val="00281D4F"/>
    <w:rsid w:val="00283051"/>
    <w:rsid w:val="00283A37"/>
    <w:rsid w:val="00290E75"/>
    <w:rsid w:val="00291A15"/>
    <w:rsid w:val="002936EF"/>
    <w:rsid w:val="00294480"/>
    <w:rsid w:val="0029694E"/>
    <w:rsid w:val="002A11DC"/>
    <w:rsid w:val="002A287F"/>
    <w:rsid w:val="002A2932"/>
    <w:rsid w:val="002A307D"/>
    <w:rsid w:val="002A4349"/>
    <w:rsid w:val="002A4759"/>
    <w:rsid w:val="002A502D"/>
    <w:rsid w:val="002B6564"/>
    <w:rsid w:val="002B7013"/>
    <w:rsid w:val="002B7E3F"/>
    <w:rsid w:val="002C1CD0"/>
    <w:rsid w:val="002C1D35"/>
    <w:rsid w:val="002C2301"/>
    <w:rsid w:val="002C3270"/>
    <w:rsid w:val="002D0C9A"/>
    <w:rsid w:val="002D2539"/>
    <w:rsid w:val="002D4198"/>
    <w:rsid w:val="002D4A51"/>
    <w:rsid w:val="002D4A6A"/>
    <w:rsid w:val="002D6EE8"/>
    <w:rsid w:val="002E4034"/>
    <w:rsid w:val="002E66E1"/>
    <w:rsid w:val="002F0807"/>
    <w:rsid w:val="002F1C92"/>
    <w:rsid w:val="002F2FEF"/>
    <w:rsid w:val="002F433B"/>
    <w:rsid w:val="002F574F"/>
    <w:rsid w:val="0030089D"/>
    <w:rsid w:val="0030142F"/>
    <w:rsid w:val="00301D13"/>
    <w:rsid w:val="00303751"/>
    <w:rsid w:val="00303A5F"/>
    <w:rsid w:val="0030426B"/>
    <w:rsid w:val="00306EF2"/>
    <w:rsid w:val="00310338"/>
    <w:rsid w:val="00310E86"/>
    <w:rsid w:val="003129EE"/>
    <w:rsid w:val="0031658B"/>
    <w:rsid w:val="003222B3"/>
    <w:rsid w:val="00323378"/>
    <w:rsid w:val="0032410C"/>
    <w:rsid w:val="00324C1E"/>
    <w:rsid w:val="0032511F"/>
    <w:rsid w:val="003254A2"/>
    <w:rsid w:val="00326460"/>
    <w:rsid w:val="00330D38"/>
    <w:rsid w:val="00330F6D"/>
    <w:rsid w:val="00331075"/>
    <w:rsid w:val="003316A4"/>
    <w:rsid w:val="00331A9B"/>
    <w:rsid w:val="00333EEE"/>
    <w:rsid w:val="0033406E"/>
    <w:rsid w:val="003358A7"/>
    <w:rsid w:val="00336B5F"/>
    <w:rsid w:val="0034606F"/>
    <w:rsid w:val="003472D3"/>
    <w:rsid w:val="00347BC4"/>
    <w:rsid w:val="00350660"/>
    <w:rsid w:val="00350719"/>
    <w:rsid w:val="00350753"/>
    <w:rsid w:val="003531AF"/>
    <w:rsid w:val="0035411C"/>
    <w:rsid w:val="003547C2"/>
    <w:rsid w:val="003564B1"/>
    <w:rsid w:val="0035651E"/>
    <w:rsid w:val="00357D22"/>
    <w:rsid w:val="00362D0E"/>
    <w:rsid w:val="00364734"/>
    <w:rsid w:val="00364C0E"/>
    <w:rsid w:val="00367D8B"/>
    <w:rsid w:val="00371517"/>
    <w:rsid w:val="00374D39"/>
    <w:rsid w:val="0037589F"/>
    <w:rsid w:val="00375C85"/>
    <w:rsid w:val="003761F2"/>
    <w:rsid w:val="00377DC3"/>
    <w:rsid w:val="00385C3E"/>
    <w:rsid w:val="0039026F"/>
    <w:rsid w:val="00390ED1"/>
    <w:rsid w:val="00394243"/>
    <w:rsid w:val="003951B6"/>
    <w:rsid w:val="00395A58"/>
    <w:rsid w:val="003972AE"/>
    <w:rsid w:val="003A0658"/>
    <w:rsid w:val="003A06A4"/>
    <w:rsid w:val="003A0D85"/>
    <w:rsid w:val="003A0E67"/>
    <w:rsid w:val="003A5481"/>
    <w:rsid w:val="003A5C56"/>
    <w:rsid w:val="003A7482"/>
    <w:rsid w:val="003B11FE"/>
    <w:rsid w:val="003B12AE"/>
    <w:rsid w:val="003B2D32"/>
    <w:rsid w:val="003B4A00"/>
    <w:rsid w:val="003B50C1"/>
    <w:rsid w:val="003B52F0"/>
    <w:rsid w:val="003B6326"/>
    <w:rsid w:val="003B7B32"/>
    <w:rsid w:val="003C021A"/>
    <w:rsid w:val="003C1713"/>
    <w:rsid w:val="003C2A3A"/>
    <w:rsid w:val="003C327F"/>
    <w:rsid w:val="003C4BE6"/>
    <w:rsid w:val="003C4CD1"/>
    <w:rsid w:val="003D6332"/>
    <w:rsid w:val="003D7FF3"/>
    <w:rsid w:val="003E0E9A"/>
    <w:rsid w:val="003E1AE1"/>
    <w:rsid w:val="003E1C57"/>
    <w:rsid w:val="003E235C"/>
    <w:rsid w:val="003E2E82"/>
    <w:rsid w:val="003E732A"/>
    <w:rsid w:val="003F0737"/>
    <w:rsid w:val="003F1DFA"/>
    <w:rsid w:val="003F2586"/>
    <w:rsid w:val="003F30EF"/>
    <w:rsid w:val="004052A5"/>
    <w:rsid w:val="004067A4"/>
    <w:rsid w:val="004110B9"/>
    <w:rsid w:val="0041115F"/>
    <w:rsid w:val="00414BF1"/>
    <w:rsid w:val="00415D56"/>
    <w:rsid w:val="00420B42"/>
    <w:rsid w:val="00421DC7"/>
    <w:rsid w:val="0042373E"/>
    <w:rsid w:val="00426FD4"/>
    <w:rsid w:val="00427559"/>
    <w:rsid w:val="00427644"/>
    <w:rsid w:val="004327F8"/>
    <w:rsid w:val="004402ED"/>
    <w:rsid w:val="00440DE1"/>
    <w:rsid w:val="00443FCA"/>
    <w:rsid w:val="00445AE2"/>
    <w:rsid w:val="00450A4C"/>
    <w:rsid w:val="004517D4"/>
    <w:rsid w:val="0045191F"/>
    <w:rsid w:val="00452A23"/>
    <w:rsid w:val="004538B1"/>
    <w:rsid w:val="00454809"/>
    <w:rsid w:val="00455443"/>
    <w:rsid w:val="00456F89"/>
    <w:rsid w:val="0046024C"/>
    <w:rsid w:val="004626AB"/>
    <w:rsid w:val="0046563F"/>
    <w:rsid w:val="00466DB1"/>
    <w:rsid w:val="0047010B"/>
    <w:rsid w:val="00473A3E"/>
    <w:rsid w:val="00475208"/>
    <w:rsid w:val="00481994"/>
    <w:rsid w:val="00482289"/>
    <w:rsid w:val="00482CB9"/>
    <w:rsid w:val="00485CB6"/>
    <w:rsid w:val="00487169"/>
    <w:rsid w:val="004909FD"/>
    <w:rsid w:val="00490E31"/>
    <w:rsid w:val="00492AFD"/>
    <w:rsid w:val="00492D61"/>
    <w:rsid w:val="0049336C"/>
    <w:rsid w:val="00493A79"/>
    <w:rsid w:val="00495573"/>
    <w:rsid w:val="00495C4C"/>
    <w:rsid w:val="004A28EF"/>
    <w:rsid w:val="004A2929"/>
    <w:rsid w:val="004A6AE5"/>
    <w:rsid w:val="004B0499"/>
    <w:rsid w:val="004B2E3B"/>
    <w:rsid w:val="004B2EB4"/>
    <w:rsid w:val="004B3869"/>
    <w:rsid w:val="004B4054"/>
    <w:rsid w:val="004B5C45"/>
    <w:rsid w:val="004C1DDD"/>
    <w:rsid w:val="004C204A"/>
    <w:rsid w:val="004C4443"/>
    <w:rsid w:val="004C5F61"/>
    <w:rsid w:val="004D0058"/>
    <w:rsid w:val="004D0C7B"/>
    <w:rsid w:val="004D3CE9"/>
    <w:rsid w:val="004D43C0"/>
    <w:rsid w:val="004D640B"/>
    <w:rsid w:val="004E51D7"/>
    <w:rsid w:val="004E6A7A"/>
    <w:rsid w:val="004E6BE2"/>
    <w:rsid w:val="004F08B7"/>
    <w:rsid w:val="004F28D7"/>
    <w:rsid w:val="004F369D"/>
    <w:rsid w:val="004F5E56"/>
    <w:rsid w:val="005003A2"/>
    <w:rsid w:val="005004C3"/>
    <w:rsid w:val="00501634"/>
    <w:rsid w:val="00501701"/>
    <w:rsid w:val="00502060"/>
    <w:rsid w:val="00502E44"/>
    <w:rsid w:val="005066B9"/>
    <w:rsid w:val="00507EFB"/>
    <w:rsid w:val="00512061"/>
    <w:rsid w:val="00513F5F"/>
    <w:rsid w:val="005168C0"/>
    <w:rsid w:val="0051694B"/>
    <w:rsid w:val="005175C3"/>
    <w:rsid w:val="0052030B"/>
    <w:rsid w:val="005212FF"/>
    <w:rsid w:val="005222DA"/>
    <w:rsid w:val="005222EA"/>
    <w:rsid w:val="00522B7D"/>
    <w:rsid w:val="00523204"/>
    <w:rsid w:val="0052631E"/>
    <w:rsid w:val="005276F2"/>
    <w:rsid w:val="005336BE"/>
    <w:rsid w:val="00535D1F"/>
    <w:rsid w:val="005400EB"/>
    <w:rsid w:val="005419C6"/>
    <w:rsid w:val="005458E7"/>
    <w:rsid w:val="005477D1"/>
    <w:rsid w:val="00550B76"/>
    <w:rsid w:val="005522DB"/>
    <w:rsid w:val="005536A5"/>
    <w:rsid w:val="00554F98"/>
    <w:rsid w:val="0055761C"/>
    <w:rsid w:val="00562F62"/>
    <w:rsid w:val="00566BDE"/>
    <w:rsid w:val="00576498"/>
    <w:rsid w:val="00583232"/>
    <w:rsid w:val="005850AD"/>
    <w:rsid w:val="00585A58"/>
    <w:rsid w:val="00590137"/>
    <w:rsid w:val="00594A3D"/>
    <w:rsid w:val="00597296"/>
    <w:rsid w:val="005A063A"/>
    <w:rsid w:val="005A1C53"/>
    <w:rsid w:val="005A4462"/>
    <w:rsid w:val="005B0970"/>
    <w:rsid w:val="005B1237"/>
    <w:rsid w:val="005B7DBA"/>
    <w:rsid w:val="005C05F7"/>
    <w:rsid w:val="005C3C5C"/>
    <w:rsid w:val="005C5130"/>
    <w:rsid w:val="005C5C5E"/>
    <w:rsid w:val="005C6BB3"/>
    <w:rsid w:val="005D1735"/>
    <w:rsid w:val="005D2894"/>
    <w:rsid w:val="005D3C0B"/>
    <w:rsid w:val="005D6C5E"/>
    <w:rsid w:val="005D7086"/>
    <w:rsid w:val="005D7995"/>
    <w:rsid w:val="005D7DCB"/>
    <w:rsid w:val="005E21DC"/>
    <w:rsid w:val="005E3D7E"/>
    <w:rsid w:val="005E4780"/>
    <w:rsid w:val="005E4CCC"/>
    <w:rsid w:val="005E4F63"/>
    <w:rsid w:val="005E7542"/>
    <w:rsid w:val="005F1541"/>
    <w:rsid w:val="005F215E"/>
    <w:rsid w:val="005F2F90"/>
    <w:rsid w:val="005F30EE"/>
    <w:rsid w:val="005F41F8"/>
    <w:rsid w:val="005F4DC5"/>
    <w:rsid w:val="0060033B"/>
    <w:rsid w:val="0060141A"/>
    <w:rsid w:val="00605B32"/>
    <w:rsid w:val="00605D99"/>
    <w:rsid w:val="00606BA4"/>
    <w:rsid w:val="00607D8D"/>
    <w:rsid w:val="0061128E"/>
    <w:rsid w:val="00621155"/>
    <w:rsid w:val="0062151E"/>
    <w:rsid w:val="00624972"/>
    <w:rsid w:val="00625DD4"/>
    <w:rsid w:val="0062646B"/>
    <w:rsid w:val="0062694B"/>
    <w:rsid w:val="006315E0"/>
    <w:rsid w:val="006322F5"/>
    <w:rsid w:val="006332AF"/>
    <w:rsid w:val="00636B63"/>
    <w:rsid w:val="0064053B"/>
    <w:rsid w:val="00640FF2"/>
    <w:rsid w:val="0064286E"/>
    <w:rsid w:val="0064402C"/>
    <w:rsid w:val="006502CD"/>
    <w:rsid w:val="006557E4"/>
    <w:rsid w:val="00656E66"/>
    <w:rsid w:val="00657F80"/>
    <w:rsid w:val="0066005D"/>
    <w:rsid w:val="00663A30"/>
    <w:rsid w:val="00663BC4"/>
    <w:rsid w:val="006648ED"/>
    <w:rsid w:val="006651BC"/>
    <w:rsid w:val="00665F20"/>
    <w:rsid w:val="006670D9"/>
    <w:rsid w:val="00667E50"/>
    <w:rsid w:val="006738C1"/>
    <w:rsid w:val="006745DC"/>
    <w:rsid w:val="00675F26"/>
    <w:rsid w:val="006769C2"/>
    <w:rsid w:val="006805A7"/>
    <w:rsid w:val="00681A88"/>
    <w:rsid w:val="00683846"/>
    <w:rsid w:val="00683CB7"/>
    <w:rsid w:val="00685CC4"/>
    <w:rsid w:val="00685F81"/>
    <w:rsid w:val="00690783"/>
    <w:rsid w:val="00690FC9"/>
    <w:rsid w:val="00691051"/>
    <w:rsid w:val="00692842"/>
    <w:rsid w:val="006944BE"/>
    <w:rsid w:val="0069537F"/>
    <w:rsid w:val="006967BD"/>
    <w:rsid w:val="00696877"/>
    <w:rsid w:val="00697EA7"/>
    <w:rsid w:val="006A0E27"/>
    <w:rsid w:val="006A1719"/>
    <w:rsid w:val="006A24DE"/>
    <w:rsid w:val="006A2EC8"/>
    <w:rsid w:val="006A5DF1"/>
    <w:rsid w:val="006A684E"/>
    <w:rsid w:val="006A6F3A"/>
    <w:rsid w:val="006B3B33"/>
    <w:rsid w:val="006B65F4"/>
    <w:rsid w:val="006B6FC8"/>
    <w:rsid w:val="006C3384"/>
    <w:rsid w:val="006C566B"/>
    <w:rsid w:val="006C73B0"/>
    <w:rsid w:val="006D709B"/>
    <w:rsid w:val="006D714E"/>
    <w:rsid w:val="006E2EBB"/>
    <w:rsid w:val="006E428C"/>
    <w:rsid w:val="006E659B"/>
    <w:rsid w:val="006E75D9"/>
    <w:rsid w:val="006F2E0C"/>
    <w:rsid w:val="006F601D"/>
    <w:rsid w:val="00700216"/>
    <w:rsid w:val="0070280C"/>
    <w:rsid w:val="00702D04"/>
    <w:rsid w:val="00702F0E"/>
    <w:rsid w:val="00710B61"/>
    <w:rsid w:val="00712343"/>
    <w:rsid w:val="00712BFA"/>
    <w:rsid w:val="00713A8F"/>
    <w:rsid w:val="00713D78"/>
    <w:rsid w:val="00715E33"/>
    <w:rsid w:val="00716A67"/>
    <w:rsid w:val="007202FA"/>
    <w:rsid w:val="0072239F"/>
    <w:rsid w:val="007223B1"/>
    <w:rsid w:val="00723A06"/>
    <w:rsid w:val="00725A49"/>
    <w:rsid w:val="00726B4A"/>
    <w:rsid w:val="007273FE"/>
    <w:rsid w:val="00727ED2"/>
    <w:rsid w:val="007309A3"/>
    <w:rsid w:val="0073629B"/>
    <w:rsid w:val="00740276"/>
    <w:rsid w:val="00744040"/>
    <w:rsid w:val="00744476"/>
    <w:rsid w:val="00744E7E"/>
    <w:rsid w:val="00745785"/>
    <w:rsid w:val="00746E1D"/>
    <w:rsid w:val="0075095F"/>
    <w:rsid w:val="007525AD"/>
    <w:rsid w:val="00753411"/>
    <w:rsid w:val="007539FB"/>
    <w:rsid w:val="007554CB"/>
    <w:rsid w:val="00761A64"/>
    <w:rsid w:val="00761EF0"/>
    <w:rsid w:val="007624E4"/>
    <w:rsid w:val="007649EE"/>
    <w:rsid w:val="007664ED"/>
    <w:rsid w:val="00767C23"/>
    <w:rsid w:val="00770BBB"/>
    <w:rsid w:val="0077356E"/>
    <w:rsid w:val="00777586"/>
    <w:rsid w:val="007801F1"/>
    <w:rsid w:val="007804EB"/>
    <w:rsid w:val="00781E8A"/>
    <w:rsid w:val="00790F64"/>
    <w:rsid w:val="0079484D"/>
    <w:rsid w:val="00794894"/>
    <w:rsid w:val="00796055"/>
    <w:rsid w:val="00796E38"/>
    <w:rsid w:val="00797EB9"/>
    <w:rsid w:val="007A275B"/>
    <w:rsid w:val="007A34DD"/>
    <w:rsid w:val="007A44DF"/>
    <w:rsid w:val="007A57BC"/>
    <w:rsid w:val="007A64A3"/>
    <w:rsid w:val="007B2A84"/>
    <w:rsid w:val="007B5A40"/>
    <w:rsid w:val="007C2C96"/>
    <w:rsid w:val="007C3591"/>
    <w:rsid w:val="007C3B08"/>
    <w:rsid w:val="007C6A06"/>
    <w:rsid w:val="007C6B24"/>
    <w:rsid w:val="007D1D0A"/>
    <w:rsid w:val="007D1F9F"/>
    <w:rsid w:val="007D2DD1"/>
    <w:rsid w:val="007D4076"/>
    <w:rsid w:val="007D4674"/>
    <w:rsid w:val="007D5A21"/>
    <w:rsid w:val="007E029F"/>
    <w:rsid w:val="007E0607"/>
    <w:rsid w:val="007E26ED"/>
    <w:rsid w:val="007E2943"/>
    <w:rsid w:val="007E37FC"/>
    <w:rsid w:val="007E3DB7"/>
    <w:rsid w:val="007E61A1"/>
    <w:rsid w:val="007F0408"/>
    <w:rsid w:val="007F0839"/>
    <w:rsid w:val="007F0CEE"/>
    <w:rsid w:val="007F165D"/>
    <w:rsid w:val="007F18CB"/>
    <w:rsid w:val="007F1B33"/>
    <w:rsid w:val="007F29A1"/>
    <w:rsid w:val="007F4D36"/>
    <w:rsid w:val="007F7E66"/>
    <w:rsid w:val="00801C78"/>
    <w:rsid w:val="00801FF9"/>
    <w:rsid w:val="008026B8"/>
    <w:rsid w:val="008028F9"/>
    <w:rsid w:val="008047A7"/>
    <w:rsid w:val="008067C1"/>
    <w:rsid w:val="008102F6"/>
    <w:rsid w:val="00810D1E"/>
    <w:rsid w:val="00816B03"/>
    <w:rsid w:val="00816D3F"/>
    <w:rsid w:val="0082034E"/>
    <w:rsid w:val="008218A8"/>
    <w:rsid w:val="00821BA3"/>
    <w:rsid w:val="00823195"/>
    <w:rsid w:val="008254D6"/>
    <w:rsid w:val="008265E7"/>
    <w:rsid w:val="00831857"/>
    <w:rsid w:val="00832B45"/>
    <w:rsid w:val="00836CCE"/>
    <w:rsid w:val="008403C9"/>
    <w:rsid w:val="008437B1"/>
    <w:rsid w:val="00850DAA"/>
    <w:rsid w:val="00852298"/>
    <w:rsid w:val="0085267E"/>
    <w:rsid w:val="0085493D"/>
    <w:rsid w:val="00855969"/>
    <w:rsid w:val="008562D8"/>
    <w:rsid w:val="008563D6"/>
    <w:rsid w:val="00861B0F"/>
    <w:rsid w:val="00861D14"/>
    <w:rsid w:val="00863BB7"/>
    <w:rsid w:val="0086420A"/>
    <w:rsid w:val="008679A4"/>
    <w:rsid w:val="00870187"/>
    <w:rsid w:val="00870E46"/>
    <w:rsid w:val="008752DC"/>
    <w:rsid w:val="00875C50"/>
    <w:rsid w:val="00880654"/>
    <w:rsid w:val="008825D8"/>
    <w:rsid w:val="008866F0"/>
    <w:rsid w:val="00886AC3"/>
    <w:rsid w:val="00886DDD"/>
    <w:rsid w:val="00891484"/>
    <w:rsid w:val="00891E31"/>
    <w:rsid w:val="0089480E"/>
    <w:rsid w:val="00897B05"/>
    <w:rsid w:val="008A06E8"/>
    <w:rsid w:val="008A2450"/>
    <w:rsid w:val="008A2536"/>
    <w:rsid w:val="008A551D"/>
    <w:rsid w:val="008A570E"/>
    <w:rsid w:val="008A5D20"/>
    <w:rsid w:val="008A604B"/>
    <w:rsid w:val="008A6B91"/>
    <w:rsid w:val="008B414C"/>
    <w:rsid w:val="008B568F"/>
    <w:rsid w:val="008B5A92"/>
    <w:rsid w:val="008C133A"/>
    <w:rsid w:val="008C18BE"/>
    <w:rsid w:val="008C1E7C"/>
    <w:rsid w:val="008C29C8"/>
    <w:rsid w:val="008C325D"/>
    <w:rsid w:val="008C4586"/>
    <w:rsid w:val="008C524C"/>
    <w:rsid w:val="008C5415"/>
    <w:rsid w:val="008D2FE5"/>
    <w:rsid w:val="008D59D0"/>
    <w:rsid w:val="008D7A25"/>
    <w:rsid w:val="008D7CC3"/>
    <w:rsid w:val="008E4195"/>
    <w:rsid w:val="008E4FA8"/>
    <w:rsid w:val="008E6FAF"/>
    <w:rsid w:val="008E7C5C"/>
    <w:rsid w:val="008F0067"/>
    <w:rsid w:val="008F3367"/>
    <w:rsid w:val="008F42D6"/>
    <w:rsid w:val="008F6D2E"/>
    <w:rsid w:val="009015DD"/>
    <w:rsid w:val="00901D44"/>
    <w:rsid w:val="00902081"/>
    <w:rsid w:val="0090287E"/>
    <w:rsid w:val="009046C8"/>
    <w:rsid w:val="0090656E"/>
    <w:rsid w:val="00911BFA"/>
    <w:rsid w:val="00916FB6"/>
    <w:rsid w:val="0092420F"/>
    <w:rsid w:val="00927410"/>
    <w:rsid w:val="00935BBA"/>
    <w:rsid w:val="00940854"/>
    <w:rsid w:val="00942279"/>
    <w:rsid w:val="00950E85"/>
    <w:rsid w:val="00951428"/>
    <w:rsid w:val="009522A0"/>
    <w:rsid w:val="00953D6E"/>
    <w:rsid w:val="009544AE"/>
    <w:rsid w:val="009601E5"/>
    <w:rsid w:val="009620A1"/>
    <w:rsid w:val="0096256D"/>
    <w:rsid w:val="00964B67"/>
    <w:rsid w:val="0097030A"/>
    <w:rsid w:val="0097524D"/>
    <w:rsid w:val="009760F8"/>
    <w:rsid w:val="009765E0"/>
    <w:rsid w:val="00980733"/>
    <w:rsid w:val="0098093A"/>
    <w:rsid w:val="00980B8E"/>
    <w:rsid w:val="00982421"/>
    <w:rsid w:val="00984013"/>
    <w:rsid w:val="00984196"/>
    <w:rsid w:val="00984EA1"/>
    <w:rsid w:val="00986D68"/>
    <w:rsid w:val="00987B4D"/>
    <w:rsid w:val="00991F59"/>
    <w:rsid w:val="00993ABA"/>
    <w:rsid w:val="00994094"/>
    <w:rsid w:val="009949BC"/>
    <w:rsid w:val="00994ACB"/>
    <w:rsid w:val="00997882"/>
    <w:rsid w:val="009A39B3"/>
    <w:rsid w:val="009A3A8E"/>
    <w:rsid w:val="009A461D"/>
    <w:rsid w:val="009A5EDA"/>
    <w:rsid w:val="009B04F6"/>
    <w:rsid w:val="009B26E6"/>
    <w:rsid w:val="009B456A"/>
    <w:rsid w:val="009B7734"/>
    <w:rsid w:val="009B7CC2"/>
    <w:rsid w:val="009B7E27"/>
    <w:rsid w:val="009C0F80"/>
    <w:rsid w:val="009C4D9B"/>
    <w:rsid w:val="009C5645"/>
    <w:rsid w:val="009D03B8"/>
    <w:rsid w:val="009D4BBE"/>
    <w:rsid w:val="009D7862"/>
    <w:rsid w:val="009E0476"/>
    <w:rsid w:val="009E1B49"/>
    <w:rsid w:val="009E1BAD"/>
    <w:rsid w:val="009E394A"/>
    <w:rsid w:val="009E4344"/>
    <w:rsid w:val="009F0D94"/>
    <w:rsid w:val="009F0E15"/>
    <w:rsid w:val="009F115F"/>
    <w:rsid w:val="009F4208"/>
    <w:rsid w:val="009F6A88"/>
    <w:rsid w:val="00A00B6C"/>
    <w:rsid w:val="00A05B23"/>
    <w:rsid w:val="00A05CE9"/>
    <w:rsid w:val="00A12E91"/>
    <w:rsid w:val="00A1486D"/>
    <w:rsid w:val="00A15B11"/>
    <w:rsid w:val="00A17C91"/>
    <w:rsid w:val="00A17D66"/>
    <w:rsid w:val="00A20E93"/>
    <w:rsid w:val="00A21607"/>
    <w:rsid w:val="00A222DC"/>
    <w:rsid w:val="00A2232E"/>
    <w:rsid w:val="00A26A97"/>
    <w:rsid w:val="00A27F1C"/>
    <w:rsid w:val="00A3247F"/>
    <w:rsid w:val="00A33023"/>
    <w:rsid w:val="00A333BC"/>
    <w:rsid w:val="00A33AB6"/>
    <w:rsid w:val="00A36140"/>
    <w:rsid w:val="00A36C57"/>
    <w:rsid w:val="00A428C4"/>
    <w:rsid w:val="00A5094F"/>
    <w:rsid w:val="00A51002"/>
    <w:rsid w:val="00A52231"/>
    <w:rsid w:val="00A5323C"/>
    <w:rsid w:val="00A54FF9"/>
    <w:rsid w:val="00A56174"/>
    <w:rsid w:val="00A56299"/>
    <w:rsid w:val="00A63847"/>
    <w:rsid w:val="00A639B6"/>
    <w:rsid w:val="00A67CDA"/>
    <w:rsid w:val="00A71453"/>
    <w:rsid w:val="00A714C9"/>
    <w:rsid w:val="00A738FE"/>
    <w:rsid w:val="00A745E0"/>
    <w:rsid w:val="00A746D9"/>
    <w:rsid w:val="00A81E4B"/>
    <w:rsid w:val="00A81F3F"/>
    <w:rsid w:val="00A839BB"/>
    <w:rsid w:val="00A85930"/>
    <w:rsid w:val="00A859D4"/>
    <w:rsid w:val="00A85EC4"/>
    <w:rsid w:val="00A90A82"/>
    <w:rsid w:val="00A91940"/>
    <w:rsid w:val="00A922A3"/>
    <w:rsid w:val="00A929F0"/>
    <w:rsid w:val="00A9354F"/>
    <w:rsid w:val="00A94F22"/>
    <w:rsid w:val="00A950A6"/>
    <w:rsid w:val="00A96032"/>
    <w:rsid w:val="00AA0784"/>
    <w:rsid w:val="00AA1133"/>
    <w:rsid w:val="00AA1354"/>
    <w:rsid w:val="00AA2793"/>
    <w:rsid w:val="00AA7F66"/>
    <w:rsid w:val="00AB1343"/>
    <w:rsid w:val="00AB195C"/>
    <w:rsid w:val="00AB1B5A"/>
    <w:rsid w:val="00AC2AFB"/>
    <w:rsid w:val="00AC3138"/>
    <w:rsid w:val="00AC3C44"/>
    <w:rsid w:val="00AC4918"/>
    <w:rsid w:val="00AC5416"/>
    <w:rsid w:val="00AC59B4"/>
    <w:rsid w:val="00AC7B5E"/>
    <w:rsid w:val="00AD097B"/>
    <w:rsid w:val="00AD187A"/>
    <w:rsid w:val="00AD2BBF"/>
    <w:rsid w:val="00AD55FB"/>
    <w:rsid w:val="00AD6DA0"/>
    <w:rsid w:val="00AE3A94"/>
    <w:rsid w:val="00AE3EF0"/>
    <w:rsid w:val="00AE7947"/>
    <w:rsid w:val="00AE7AD7"/>
    <w:rsid w:val="00AF1743"/>
    <w:rsid w:val="00AF3036"/>
    <w:rsid w:val="00AF506D"/>
    <w:rsid w:val="00AF5078"/>
    <w:rsid w:val="00AF7079"/>
    <w:rsid w:val="00B0187B"/>
    <w:rsid w:val="00B03580"/>
    <w:rsid w:val="00B073AA"/>
    <w:rsid w:val="00B10C07"/>
    <w:rsid w:val="00B14179"/>
    <w:rsid w:val="00B14756"/>
    <w:rsid w:val="00B169A1"/>
    <w:rsid w:val="00B21E46"/>
    <w:rsid w:val="00B222C0"/>
    <w:rsid w:val="00B307F8"/>
    <w:rsid w:val="00B30FB0"/>
    <w:rsid w:val="00B3108E"/>
    <w:rsid w:val="00B3135F"/>
    <w:rsid w:val="00B31C91"/>
    <w:rsid w:val="00B352D8"/>
    <w:rsid w:val="00B370B1"/>
    <w:rsid w:val="00B41E28"/>
    <w:rsid w:val="00B43EE0"/>
    <w:rsid w:val="00B444C9"/>
    <w:rsid w:val="00B44A60"/>
    <w:rsid w:val="00B44D2A"/>
    <w:rsid w:val="00B44E91"/>
    <w:rsid w:val="00B45019"/>
    <w:rsid w:val="00B45D6E"/>
    <w:rsid w:val="00B46EBE"/>
    <w:rsid w:val="00B47E8C"/>
    <w:rsid w:val="00B50C3D"/>
    <w:rsid w:val="00B53457"/>
    <w:rsid w:val="00B55587"/>
    <w:rsid w:val="00B56563"/>
    <w:rsid w:val="00B61D39"/>
    <w:rsid w:val="00B61F0F"/>
    <w:rsid w:val="00B63651"/>
    <w:rsid w:val="00B664CB"/>
    <w:rsid w:val="00B66B9B"/>
    <w:rsid w:val="00B70488"/>
    <w:rsid w:val="00B755AB"/>
    <w:rsid w:val="00B75B91"/>
    <w:rsid w:val="00B762C9"/>
    <w:rsid w:val="00B77DF0"/>
    <w:rsid w:val="00B800FB"/>
    <w:rsid w:val="00B85A38"/>
    <w:rsid w:val="00B9160B"/>
    <w:rsid w:val="00B930DF"/>
    <w:rsid w:val="00B96513"/>
    <w:rsid w:val="00B971F7"/>
    <w:rsid w:val="00BA1AEB"/>
    <w:rsid w:val="00BA1D9D"/>
    <w:rsid w:val="00BA3567"/>
    <w:rsid w:val="00BA389A"/>
    <w:rsid w:val="00BA64EB"/>
    <w:rsid w:val="00BB36BB"/>
    <w:rsid w:val="00BB3876"/>
    <w:rsid w:val="00BB4D2A"/>
    <w:rsid w:val="00BC56D9"/>
    <w:rsid w:val="00BD3B2E"/>
    <w:rsid w:val="00BD4BAE"/>
    <w:rsid w:val="00BD4FDD"/>
    <w:rsid w:val="00BD5BD2"/>
    <w:rsid w:val="00BD7D78"/>
    <w:rsid w:val="00BE292E"/>
    <w:rsid w:val="00BE2C32"/>
    <w:rsid w:val="00BE2C93"/>
    <w:rsid w:val="00BE3371"/>
    <w:rsid w:val="00BF1DDE"/>
    <w:rsid w:val="00BF3524"/>
    <w:rsid w:val="00BF3FB5"/>
    <w:rsid w:val="00BF4B92"/>
    <w:rsid w:val="00BF4D88"/>
    <w:rsid w:val="00BF7A88"/>
    <w:rsid w:val="00C03E5C"/>
    <w:rsid w:val="00C05233"/>
    <w:rsid w:val="00C103B3"/>
    <w:rsid w:val="00C12566"/>
    <w:rsid w:val="00C143C2"/>
    <w:rsid w:val="00C15B5F"/>
    <w:rsid w:val="00C164C1"/>
    <w:rsid w:val="00C227A2"/>
    <w:rsid w:val="00C237F3"/>
    <w:rsid w:val="00C24D3A"/>
    <w:rsid w:val="00C30C06"/>
    <w:rsid w:val="00C34808"/>
    <w:rsid w:val="00C34FEA"/>
    <w:rsid w:val="00C371FF"/>
    <w:rsid w:val="00C40887"/>
    <w:rsid w:val="00C41F86"/>
    <w:rsid w:val="00C43CC4"/>
    <w:rsid w:val="00C44DA0"/>
    <w:rsid w:val="00C50690"/>
    <w:rsid w:val="00C50B21"/>
    <w:rsid w:val="00C51075"/>
    <w:rsid w:val="00C51463"/>
    <w:rsid w:val="00C54132"/>
    <w:rsid w:val="00C62EB1"/>
    <w:rsid w:val="00C670F3"/>
    <w:rsid w:val="00C6762F"/>
    <w:rsid w:val="00C71852"/>
    <w:rsid w:val="00C72E92"/>
    <w:rsid w:val="00C739FB"/>
    <w:rsid w:val="00C741A7"/>
    <w:rsid w:val="00C76DD9"/>
    <w:rsid w:val="00C83696"/>
    <w:rsid w:val="00C8548A"/>
    <w:rsid w:val="00C86422"/>
    <w:rsid w:val="00C8673E"/>
    <w:rsid w:val="00C87F8F"/>
    <w:rsid w:val="00C91691"/>
    <w:rsid w:val="00C937F0"/>
    <w:rsid w:val="00C94273"/>
    <w:rsid w:val="00C945F6"/>
    <w:rsid w:val="00C96B65"/>
    <w:rsid w:val="00C97C07"/>
    <w:rsid w:val="00C97ED4"/>
    <w:rsid w:val="00CA2A77"/>
    <w:rsid w:val="00CA6D42"/>
    <w:rsid w:val="00CA7744"/>
    <w:rsid w:val="00CB5024"/>
    <w:rsid w:val="00CC0504"/>
    <w:rsid w:val="00CC5650"/>
    <w:rsid w:val="00CC5908"/>
    <w:rsid w:val="00CC6065"/>
    <w:rsid w:val="00CC7F12"/>
    <w:rsid w:val="00CD0152"/>
    <w:rsid w:val="00CD1442"/>
    <w:rsid w:val="00CD35E9"/>
    <w:rsid w:val="00CD3A30"/>
    <w:rsid w:val="00CE2148"/>
    <w:rsid w:val="00CE30AB"/>
    <w:rsid w:val="00CE611B"/>
    <w:rsid w:val="00CF3AA2"/>
    <w:rsid w:val="00CF72FF"/>
    <w:rsid w:val="00D00AA4"/>
    <w:rsid w:val="00D00DE3"/>
    <w:rsid w:val="00D00F5B"/>
    <w:rsid w:val="00D03313"/>
    <w:rsid w:val="00D043A5"/>
    <w:rsid w:val="00D06488"/>
    <w:rsid w:val="00D066FA"/>
    <w:rsid w:val="00D1100E"/>
    <w:rsid w:val="00D16514"/>
    <w:rsid w:val="00D220FE"/>
    <w:rsid w:val="00D230B8"/>
    <w:rsid w:val="00D276ED"/>
    <w:rsid w:val="00D30773"/>
    <w:rsid w:val="00D30CED"/>
    <w:rsid w:val="00D31DFC"/>
    <w:rsid w:val="00D32BA5"/>
    <w:rsid w:val="00D33A5A"/>
    <w:rsid w:val="00D34661"/>
    <w:rsid w:val="00D34A16"/>
    <w:rsid w:val="00D36EE8"/>
    <w:rsid w:val="00D40664"/>
    <w:rsid w:val="00D40956"/>
    <w:rsid w:val="00D4311E"/>
    <w:rsid w:val="00D44079"/>
    <w:rsid w:val="00D45812"/>
    <w:rsid w:val="00D469BA"/>
    <w:rsid w:val="00D46B9D"/>
    <w:rsid w:val="00D50FA8"/>
    <w:rsid w:val="00D53D0D"/>
    <w:rsid w:val="00D63CB8"/>
    <w:rsid w:val="00D64E58"/>
    <w:rsid w:val="00D70C91"/>
    <w:rsid w:val="00D729C1"/>
    <w:rsid w:val="00D730EC"/>
    <w:rsid w:val="00D77221"/>
    <w:rsid w:val="00D805F3"/>
    <w:rsid w:val="00D807AB"/>
    <w:rsid w:val="00D8126C"/>
    <w:rsid w:val="00D826C4"/>
    <w:rsid w:val="00D834AE"/>
    <w:rsid w:val="00D86DCE"/>
    <w:rsid w:val="00D9188F"/>
    <w:rsid w:val="00D9264B"/>
    <w:rsid w:val="00D92F60"/>
    <w:rsid w:val="00D93607"/>
    <w:rsid w:val="00D97AFF"/>
    <w:rsid w:val="00DA00C4"/>
    <w:rsid w:val="00DA5D14"/>
    <w:rsid w:val="00DA71BD"/>
    <w:rsid w:val="00DA777F"/>
    <w:rsid w:val="00DB1B19"/>
    <w:rsid w:val="00DB474E"/>
    <w:rsid w:val="00DB4A68"/>
    <w:rsid w:val="00DB6BEF"/>
    <w:rsid w:val="00DB79E0"/>
    <w:rsid w:val="00DC16A0"/>
    <w:rsid w:val="00DC4D64"/>
    <w:rsid w:val="00DD0465"/>
    <w:rsid w:val="00DD2B03"/>
    <w:rsid w:val="00DD343C"/>
    <w:rsid w:val="00DD3882"/>
    <w:rsid w:val="00DD3D3E"/>
    <w:rsid w:val="00DD489C"/>
    <w:rsid w:val="00DD5952"/>
    <w:rsid w:val="00DD6A14"/>
    <w:rsid w:val="00DD7298"/>
    <w:rsid w:val="00DE3A8A"/>
    <w:rsid w:val="00DE4B0A"/>
    <w:rsid w:val="00DE7E5F"/>
    <w:rsid w:val="00DF29CB"/>
    <w:rsid w:val="00DF3DF0"/>
    <w:rsid w:val="00DF466B"/>
    <w:rsid w:val="00DF46DA"/>
    <w:rsid w:val="00DF4C12"/>
    <w:rsid w:val="00DF572E"/>
    <w:rsid w:val="00DF5D6E"/>
    <w:rsid w:val="00DF62D4"/>
    <w:rsid w:val="00E07EC5"/>
    <w:rsid w:val="00E12F33"/>
    <w:rsid w:val="00E15594"/>
    <w:rsid w:val="00E166C0"/>
    <w:rsid w:val="00E16719"/>
    <w:rsid w:val="00E2210D"/>
    <w:rsid w:val="00E23706"/>
    <w:rsid w:val="00E3117E"/>
    <w:rsid w:val="00E312D2"/>
    <w:rsid w:val="00E34176"/>
    <w:rsid w:val="00E3531A"/>
    <w:rsid w:val="00E3575F"/>
    <w:rsid w:val="00E36A21"/>
    <w:rsid w:val="00E370D6"/>
    <w:rsid w:val="00E420BA"/>
    <w:rsid w:val="00E43A95"/>
    <w:rsid w:val="00E54056"/>
    <w:rsid w:val="00E55063"/>
    <w:rsid w:val="00E57455"/>
    <w:rsid w:val="00E57881"/>
    <w:rsid w:val="00E60123"/>
    <w:rsid w:val="00E613CD"/>
    <w:rsid w:val="00E66CF0"/>
    <w:rsid w:val="00E67C8A"/>
    <w:rsid w:val="00E67DC0"/>
    <w:rsid w:val="00E7334F"/>
    <w:rsid w:val="00E733A4"/>
    <w:rsid w:val="00E747A2"/>
    <w:rsid w:val="00E825BA"/>
    <w:rsid w:val="00E84EBC"/>
    <w:rsid w:val="00E8657F"/>
    <w:rsid w:val="00E94B83"/>
    <w:rsid w:val="00E9653D"/>
    <w:rsid w:val="00E96C9A"/>
    <w:rsid w:val="00E976C4"/>
    <w:rsid w:val="00EA3348"/>
    <w:rsid w:val="00EA6973"/>
    <w:rsid w:val="00EB02C6"/>
    <w:rsid w:val="00EB03E6"/>
    <w:rsid w:val="00EB3ED7"/>
    <w:rsid w:val="00EB47DF"/>
    <w:rsid w:val="00EB6D4A"/>
    <w:rsid w:val="00EC0190"/>
    <w:rsid w:val="00EC0390"/>
    <w:rsid w:val="00EC156D"/>
    <w:rsid w:val="00EC7FD7"/>
    <w:rsid w:val="00ED0168"/>
    <w:rsid w:val="00ED1F55"/>
    <w:rsid w:val="00ED3313"/>
    <w:rsid w:val="00ED7326"/>
    <w:rsid w:val="00EE0699"/>
    <w:rsid w:val="00EE41CD"/>
    <w:rsid w:val="00EE5600"/>
    <w:rsid w:val="00EF2A65"/>
    <w:rsid w:val="00EF3CB0"/>
    <w:rsid w:val="00EF62D7"/>
    <w:rsid w:val="00EF63BC"/>
    <w:rsid w:val="00EF6805"/>
    <w:rsid w:val="00EF74D1"/>
    <w:rsid w:val="00F0219D"/>
    <w:rsid w:val="00F03527"/>
    <w:rsid w:val="00F07826"/>
    <w:rsid w:val="00F1128B"/>
    <w:rsid w:val="00F12748"/>
    <w:rsid w:val="00F1296E"/>
    <w:rsid w:val="00F146F5"/>
    <w:rsid w:val="00F15764"/>
    <w:rsid w:val="00F16C61"/>
    <w:rsid w:val="00F177C0"/>
    <w:rsid w:val="00F252E7"/>
    <w:rsid w:val="00F264F1"/>
    <w:rsid w:val="00F30437"/>
    <w:rsid w:val="00F30A70"/>
    <w:rsid w:val="00F31D89"/>
    <w:rsid w:val="00F349D5"/>
    <w:rsid w:val="00F35B53"/>
    <w:rsid w:val="00F375BD"/>
    <w:rsid w:val="00F44433"/>
    <w:rsid w:val="00F4470C"/>
    <w:rsid w:val="00F45B7D"/>
    <w:rsid w:val="00F55CBE"/>
    <w:rsid w:val="00F55CFE"/>
    <w:rsid w:val="00F61F22"/>
    <w:rsid w:val="00F62AAE"/>
    <w:rsid w:val="00F64283"/>
    <w:rsid w:val="00F65F0D"/>
    <w:rsid w:val="00F73AE7"/>
    <w:rsid w:val="00F75765"/>
    <w:rsid w:val="00F76FB7"/>
    <w:rsid w:val="00F77FC0"/>
    <w:rsid w:val="00F81369"/>
    <w:rsid w:val="00F825A9"/>
    <w:rsid w:val="00F837E3"/>
    <w:rsid w:val="00F85607"/>
    <w:rsid w:val="00F863F7"/>
    <w:rsid w:val="00F90C56"/>
    <w:rsid w:val="00F91128"/>
    <w:rsid w:val="00F91707"/>
    <w:rsid w:val="00F922E0"/>
    <w:rsid w:val="00FA031C"/>
    <w:rsid w:val="00FA0C26"/>
    <w:rsid w:val="00FA3506"/>
    <w:rsid w:val="00FA663D"/>
    <w:rsid w:val="00FA7868"/>
    <w:rsid w:val="00FB4146"/>
    <w:rsid w:val="00FB58D9"/>
    <w:rsid w:val="00FB609C"/>
    <w:rsid w:val="00FB7B5E"/>
    <w:rsid w:val="00FD06B1"/>
    <w:rsid w:val="00FD1975"/>
    <w:rsid w:val="00FD2A15"/>
    <w:rsid w:val="00FD2EE9"/>
    <w:rsid w:val="00FD3648"/>
    <w:rsid w:val="00FD509D"/>
    <w:rsid w:val="00FD71AB"/>
    <w:rsid w:val="00FD764D"/>
    <w:rsid w:val="00FE49EA"/>
    <w:rsid w:val="00FE71BD"/>
    <w:rsid w:val="00FF13C6"/>
    <w:rsid w:val="00FF1E41"/>
    <w:rsid w:val="00FF3EE6"/>
    <w:rsid w:val="00FF44FA"/>
    <w:rsid w:val="00FF733D"/>
    <w:rsid w:val="00FF73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E97190"/>
  <w15:docId w15:val="{744EFBD1-C1F6-4E51-9E1B-45503650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C1"/>
    <w:rPr>
      <w:sz w:val="24"/>
      <w:szCs w:val="24"/>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uiPriority w:val="99"/>
    <w:rsid w:val="00071E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 w:type="paragraph" w:styleId="Revision">
    <w:name w:val="Revision"/>
    <w:hidden/>
    <w:uiPriority w:val="99"/>
    <w:semiHidden/>
    <w:rsid w:val="00816B03"/>
    <w:rPr>
      <w:sz w:val="24"/>
      <w:szCs w:val="24"/>
    </w:rPr>
  </w:style>
  <w:style w:type="character" w:customStyle="1" w:styleId="element-citation">
    <w:name w:val="element-citation"/>
    <w:basedOn w:val="DefaultParagraphFont"/>
    <w:rsid w:val="0064053B"/>
  </w:style>
  <w:style w:type="character" w:customStyle="1" w:styleId="ref-journal">
    <w:name w:val="ref-journal"/>
    <w:basedOn w:val="DefaultParagraphFont"/>
    <w:rsid w:val="0064053B"/>
  </w:style>
  <w:style w:type="character" w:customStyle="1" w:styleId="ref-vol">
    <w:name w:val="ref-vol"/>
    <w:basedOn w:val="DefaultParagraphFont"/>
    <w:rsid w:val="0064053B"/>
  </w:style>
  <w:style w:type="paragraph" w:customStyle="1" w:styleId="EndNoteBibliographyTitle">
    <w:name w:val="EndNote Bibliography Title"/>
    <w:basedOn w:val="Normal"/>
    <w:rsid w:val="003129EE"/>
    <w:pPr>
      <w:jc w:val="center"/>
    </w:pPr>
  </w:style>
  <w:style w:type="paragraph" w:customStyle="1" w:styleId="EndNoteBibliography">
    <w:name w:val="EndNote Bibliography"/>
    <w:basedOn w:val="Normal"/>
    <w:rsid w:val="0031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26477">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15503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13" Type="http://schemas.openxmlformats.org/officeDocument/2006/relationships/hyperlink" Target="http://www.law.cornell.edu/uscode/text/42/usc_sup_01_42_10_6A_20_I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text/42/usc_sup_01_42_10_6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bge.gov.br/home/estatistica/populacao/caracteristicas_raciais/default_raciais.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42/usc_sup_01_42" TargetMode="External"/><Relationship Id="rId5" Type="http://schemas.openxmlformats.org/officeDocument/2006/relationships/webSettings" Target="webSettings.xml"/><Relationship Id="rId15" Type="http://schemas.openxmlformats.org/officeDocument/2006/relationships/hyperlink" Target="http://www.law.cornell.edu/uscode/text/42/usc_sup_01_42_10_6A_20_III_30_C_40_2"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w.cornell.edu/uscode/text/42/usc_sup_01_42_10_6A_20_III_3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2B56-B720-4A24-8FA8-FBFCF490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34554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Vibha Vij</dc:creator>
  <cp:lastModifiedBy>Thornburg, Vanessa E.</cp:lastModifiedBy>
  <cp:revision>8</cp:revision>
  <cp:lastPrinted>2015-01-30T20:09:00Z</cp:lastPrinted>
  <dcterms:created xsi:type="dcterms:W3CDTF">2016-02-19T15:28:00Z</dcterms:created>
  <dcterms:modified xsi:type="dcterms:W3CDTF">2016-03-10T22:08:00Z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