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D8C91" w14:textId="77777777" w:rsidR="00725EC6" w:rsidRPr="00E50580" w:rsidRDefault="00725EC6" w:rsidP="00DD03DB">
      <w:pPr>
        <w:ind w:left="720" w:hanging="720"/>
        <w:jc w:val="center"/>
        <w:rPr>
          <w:rFonts w:ascii="Cambria" w:hAnsi="Cambria"/>
          <w:sz w:val="32"/>
          <w:szCs w:val="32"/>
        </w:rPr>
      </w:pPr>
      <w:bookmarkStart w:id="0" w:name="_GoBack"/>
      <w:bookmarkEnd w:id="0"/>
      <w:r w:rsidRPr="00E50580">
        <w:rPr>
          <w:rFonts w:ascii="Cambria" w:hAnsi="Cambria"/>
          <w:sz w:val="32"/>
          <w:szCs w:val="32"/>
        </w:rPr>
        <w:t>Supporting Statement B for</w:t>
      </w:r>
    </w:p>
    <w:p w14:paraId="790687D0" w14:textId="77777777" w:rsidR="007F64DE" w:rsidRPr="00E50580" w:rsidRDefault="007F64DE" w:rsidP="00E50580">
      <w:pPr>
        <w:jc w:val="center"/>
        <w:rPr>
          <w:rFonts w:ascii="Cambria" w:hAnsi="Cambria"/>
          <w:sz w:val="32"/>
          <w:szCs w:val="32"/>
        </w:rPr>
      </w:pPr>
    </w:p>
    <w:p w14:paraId="0A95418F" w14:textId="77777777" w:rsidR="007F64DE" w:rsidRPr="00E50580" w:rsidRDefault="007F64DE" w:rsidP="00E50580">
      <w:pPr>
        <w:jc w:val="center"/>
        <w:rPr>
          <w:rFonts w:ascii="Cambria" w:hAnsi="Cambria"/>
          <w:sz w:val="32"/>
          <w:szCs w:val="32"/>
        </w:rPr>
      </w:pPr>
    </w:p>
    <w:p w14:paraId="1B00BC54" w14:textId="77777777" w:rsidR="00725EC6" w:rsidRPr="00E50580" w:rsidRDefault="00725EC6" w:rsidP="00E50580">
      <w:pPr>
        <w:jc w:val="center"/>
        <w:rPr>
          <w:rFonts w:ascii="Cambria" w:hAnsi="Cambria"/>
          <w:sz w:val="32"/>
          <w:szCs w:val="32"/>
        </w:rPr>
      </w:pPr>
    </w:p>
    <w:p w14:paraId="0645B0E5" w14:textId="77777777" w:rsidR="00725EC6" w:rsidRPr="00E50580" w:rsidRDefault="00725EC6" w:rsidP="00E50580">
      <w:pPr>
        <w:jc w:val="center"/>
        <w:rPr>
          <w:rFonts w:ascii="Cambria" w:hAnsi="Cambria"/>
          <w:sz w:val="32"/>
          <w:szCs w:val="32"/>
        </w:rPr>
      </w:pPr>
    </w:p>
    <w:p w14:paraId="3A9FF485" w14:textId="77777777" w:rsidR="00725EC6" w:rsidRPr="00E50580" w:rsidRDefault="00725EC6" w:rsidP="00E50580">
      <w:pPr>
        <w:jc w:val="center"/>
        <w:rPr>
          <w:rFonts w:ascii="Cambria" w:hAnsi="Cambria"/>
          <w:sz w:val="32"/>
          <w:szCs w:val="32"/>
        </w:rPr>
      </w:pPr>
    </w:p>
    <w:p w14:paraId="2574560E" w14:textId="77777777" w:rsidR="00725EC6" w:rsidRPr="00E50580" w:rsidRDefault="00725EC6" w:rsidP="00E50580">
      <w:pPr>
        <w:jc w:val="center"/>
        <w:rPr>
          <w:rFonts w:ascii="Cambria" w:hAnsi="Cambria"/>
          <w:sz w:val="32"/>
          <w:szCs w:val="32"/>
        </w:rPr>
      </w:pPr>
    </w:p>
    <w:p w14:paraId="7B16125A" w14:textId="77777777" w:rsidR="00725EC6" w:rsidRPr="00E50580" w:rsidRDefault="00725EC6" w:rsidP="00E50580">
      <w:pPr>
        <w:jc w:val="center"/>
        <w:rPr>
          <w:rFonts w:ascii="Cambria" w:hAnsi="Cambria"/>
          <w:sz w:val="32"/>
          <w:szCs w:val="32"/>
        </w:rPr>
      </w:pPr>
    </w:p>
    <w:p w14:paraId="18CAFA8A" w14:textId="77777777" w:rsidR="00725EC6" w:rsidRPr="00F13B23" w:rsidRDefault="00725EC6" w:rsidP="00E50580">
      <w:pPr>
        <w:jc w:val="center"/>
        <w:rPr>
          <w:rFonts w:asciiTheme="majorHAnsi" w:hAnsiTheme="majorHAnsi"/>
          <w:b/>
          <w:color w:val="FF0000"/>
          <w:sz w:val="32"/>
          <w:szCs w:val="32"/>
        </w:rPr>
      </w:pPr>
    </w:p>
    <w:p w14:paraId="3DFA2CB7" w14:textId="0873C299" w:rsidR="00F13B23" w:rsidRPr="00F13B23" w:rsidRDefault="00F13B23" w:rsidP="00F13B23">
      <w:pPr>
        <w:jc w:val="center"/>
        <w:rPr>
          <w:rFonts w:asciiTheme="majorHAnsi" w:hAnsiTheme="majorHAnsi"/>
          <w:b/>
          <w:color w:val="000000"/>
          <w:sz w:val="32"/>
          <w:szCs w:val="32"/>
        </w:rPr>
      </w:pPr>
      <w:r w:rsidRPr="00F13B23">
        <w:rPr>
          <w:rFonts w:asciiTheme="majorHAnsi" w:hAnsiTheme="majorHAnsi"/>
          <w:b/>
          <w:color w:val="000000"/>
          <w:sz w:val="32"/>
          <w:szCs w:val="32"/>
        </w:rPr>
        <w:t>Human Influenza Surveillance of Health Care Centers in the United States and Taiwan</w:t>
      </w:r>
      <w:r w:rsidR="0075212A">
        <w:rPr>
          <w:rFonts w:asciiTheme="majorHAnsi" w:hAnsiTheme="majorHAnsi"/>
          <w:b/>
          <w:color w:val="000000"/>
          <w:sz w:val="32"/>
          <w:szCs w:val="32"/>
        </w:rPr>
        <w:t xml:space="preserve"> (NIAID)</w:t>
      </w:r>
    </w:p>
    <w:p w14:paraId="4192453E" w14:textId="77777777" w:rsidR="00725EC6" w:rsidRDefault="00725EC6" w:rsidP="00DC66D6">
      <w:pPr>
        <w:jc w:val="center"/>
        <w:rPr>
          <w:color w:val="0000FF"/>
          <w:sz w:val="32"/>
          <w:szCs w:val="32"/>
        </w:rPr>
      </w:pPr>
    </w:p>
    <w:p w14:paraId="2377306B" w14:textId="77777777" w:rsidR="00725EC6" w:rsidRDefault="00725EC6" w:rsidP="00725EC6">
      <w:pPr>
        <w:rPr>
          <w:color w:val="0000FF"/>
          <w:sz w:val="32"/>
          <w:szCs w:val="32"/>
        </w:rPr>
      </w:pPr>
    </w:p>
    <w:p w14:paraId="2E894AFE" w14:textId="77777777" w:rsidR="00725EC6" w:rsidRDefault="00725EC6" w:rsidP="00725EC6">
      <w:pPr>
        <w:rPr>
          <w:color w:val="0000FF"/>
          <w:sz w:val="32"/>
          <w:szCs w:val="32"/>
        </w:rPr>
      </w:pPr>
    </w:p>
    <w:p w14:paraId="640ECF1C" w14:textId="77777777" w:rsidR="00725EC6" w:rsidRDefault="00725EC6" w:rsidP="00725EC6">
      <w:pPr>
        <w:rPr>
          <w:color w:val="0000FF"/>
          <w:sz w:val="32"/>
          <w:szCs w:val="32"/>
        </w:rPr>
      </w:pPr>
    </w:p>
    <w:p w14:paraId="272C4109" w14:textId="77777777" w:rsidR="00725EC6" w:rsidRDefault="00725EC6" w:rsidP="00725EC6">
      <w:pPr>
        <w:rPr>
          <w:color w:val="0000FF"/>
          <w:sz w:val="32"/>
          <w:szCs w:val="32"/>
        </w:rPr>
      </w:pPr>
    </w:p>
    <w:p w14:paraId="67C7C445" w14:textId="77777777" w:rsidR="00E4331A" w:rsidRDefault="00E4331A" w:rsidP="00E4331A">
      <w:pPr>
        <w:rPr>
          <w:color w:val="000000"/>
          <w:sz w:val="32"/>
          <w:szCs w:val="32"/>
        </w:rPr>
      </w:pPr>
    </w:p>
    <w:p w14:paraId="75C16846" w14:textId="77777777" w:rsidR="00E4331A" w:rsidRDefault="00E4331A" w:rsidP="00E4331A">
      <w:pPr>
        <w:rPr>
          <w:color w:val="000000"/>
          <w:sz w:val="32"/>
          <w:szCs w:val="32"/>
        </w:rPr>
      </w:pPr>
    </w:p>
    <w:p w14:paraId="17CA4423" w14:textId="77777777" w:rsidR="00E4331A" w:rsidRDefault="00E4331A" w:rsidP="00E4331A">
      <w:pPr>
        <w:rPr>
          <w:color w:val="000000"/>
          <w:sz w:val="32"/>
          <w:szCs w:val="32"/>
        </w:rPr>
      </w:pPr>
    </w:p>
    <w:p w14:paraId="45A4AC2F" w14:textId="77777777" w:rsidR="00E4331A" w:rsidRDefault="00E4331A" w:rsidP="00E4331A">
      <w:pPr>
        <w:rPr>
          <w:color w:val="000000"/>
          <w:sz w:val="32"/>
          <w:szCs w:val="32"/>
        </w:rPr>
      </w:pPr>
    </w:p>
    <w:p w14:paraId="596E6D20" w14:textId="77777777" w:rsidR="00F13B23" w:rsidRDefault="00F13B23" w:rsidP="00F13B23">
      <w:pPr>
        <w:rPr>
          <w:sz w:val="32"/>
          <w:szCs w:val="32"/>
        </w:rPr>
      </w:pPr>
      <w:r>
        <w:rPr>
          <w:sz w:val="32"/>
          <w:szCs w:val="32"/>
        </w:rPr>
        <w:t>Name:</w:t>
      </w:r>
      <w:r>
        <w:rPr>
          <w:sz w:val="32"/>
          <w:szCs w:val="32"/>
        </w:rPr>
        <w:tab/>
        <w:t>Rich Gorman, MD</w:t>
      </w:r>
    </w:p>
    <w:p w14:paraId="7C5D4D99" w14:textId="77777777" w:rsidR="00F13B23" w:rsidRDefault="00F13B23" w:rsidP="00F13B23">
      <w:pPr>
        <w:rPr>
          <w:sz w:val="32"/>
          <w:szCs w:val="32"/>
        </w:rPr>
      </w:pPr>
      <w:r>
        <w:rPr>
          <w:sz w:val="32"/>
          <w:szCs w:val="32"/>
        </w:rPr>
        <w:t xml:space="preserve">Address: </w:t>
      </w:r>
      <w:r>
        <w:rPr>
          <w:sz w:val="32"/>
          <w:szCs w:val="32"/>
        </w:rPr>
        <w:tab/>
        <w:t>5601 Fishers Lane, Bethesda MD</w:t>
      </w:r>
    </w:p>
    <w:p w14:paraId="2276D2C8" w14:textId="77777777" w:rsidR="00F13B23" w:rsidRDefault="00F13B23" w:rsidP="00F13B23">
      <w:pPr>
        <w:rPr>
          <w:sz w:val="32"/>
          <w:szCs w:val="32"/>
        </w:rPr>
      </w:pPr>
      <w:r>
        <w:rPr>
          <w:sz w:val="32"/>
          <w:szCs w:val="32"/>
        </w:rPr>
        <w:t>Telephone:  240-627-3261</w:t>
      </w:r>
    </w:p>
    <w:p w14:paraId="43810139" w14:textId="77777777" w:rsidR="00F13B23" w:rsidRDefault="00F13B23" w:rsidP="00F13B23">
      <w:pPr>
        <w:rPr>
          <w:sz w:val="32"/>
          <w:szCs w:val="32"/>
        </w:rPr>
      </w:pPr>
      <w:r>
        <w:rPr>
          <w:sz w:val="32"/>
          <w:szCs w:val="32"/>
        </w:rPr>
        <w:t>Email:</w:t>
      </w:r>
      <w:r>
        <w:rPr>
          <w:sz w:val="32"/>
          <w:szCs w:val="32"/>
        </w:rPr>
        <w:tab/>
        <w:t>gormanr@niaid.nih.gov</w:t>
      </w:r>
    </w:p>
    <w:p w14:paraId="4718B4E2" w14:textId="77777777" w:rsidR="007057F1" w:rsidRDefault="007057F1" w:rsidP="00725EC6">
      <w:pPr>
        <w:rPr>
          <w:sz w:val="32"/>
          <w:szCs w:val="32"/>
        </w:rPr>
        <w:sectPr w:rsidR="007057F1" w:rsidSect="00552DC5">
          <w:footerReference w:type="even" r:id="rId9"/>
          <w:footerReference w:type="default" r:id="rId10"/>
          <w:pgSz w:w="12240" w:h="15840"/>
          <w:pgMar w:top="1440" w:right="1080" w:bottom="1440" w:left="1440" w:header="720" w:footer="720" w:gutter="0"/>
          <w:pgNumType w:start="1"/>
          <w:cols w:space="720"/>
          <w:titlePg/>
          <w:docGrid w:linePitch="360"/>
        </w:sectPr>
      </w:pPr>
    </w:p>
    <w:p w14:paraId="19E01F64" w14:textId="77777777" w:rsidR="00725EC6" w:rsidRPr="00E50580" w:rsidRDefault="00E4331A" w:rsidP="00725EC6">
      <w:pPr>
        <w:pStyle w:val="P1-StandPara"/>
        <w:tabs>
          <w:tab w:val="left" w:pos="720"/>
          <w:tab w:val="right" w:leader="dot" w:pos="9504"/>
        </w:tabs>
        <w:spacing w:before="120" w:after="120" w:line="240" w:lineRule="atLeast"/>
        <w:ind w:firstLine="0"/>
        <w:jc w:val="center"/>
        <w:rPr>
          <w:rFonts w:ascii="Cambria" w:hAnsi="Cambria"/>
          <w:b/>
          <w:sz w:val="28"/>
          <w:szCs w:val="28"/>
        </w:rPr>
      </w:pPr>
      <w:r w:rsidRPr="00E50580">
        <w:rPr>
          <w:rFonts w:ascii="Cambria" w:hAnsi="Cambria"/>
          <w:b/>
          <w:sz w:val="28"/>
          <w:szCs w:val="28"/>
        </w:rPr>
        <w:lastRenderedPageBreak/>
        <w:t>T</w:t>
      </w:r>
      <w:r w:rsidR="00725EC6" w:rsidRPr="00E50580">
        <w:rPr>
          <w:rFonts w:ascii="Cambria" w:hAnsi="Cambria"/>
          <w:b/>
          <w:sz w:val="28"/>
          <w:szCs w:val="28"/>
        </w:rPr>
        <w:t xml:space="preserve">able of </w:t>
      </w:r>
      <w:r w:rsidR="003B5A1D" w:rsidRPr="00E50580">
        <w:rPr>
          <w:rFonts w:ascii="Cambria" w:hAnsi="Cambria"/>
          <w:b/>
          <w:sz w:val="28"/>
          <w:szCs w:val="28"/>
        </w:rPr>
        <w:t>C</w:t>
      </w:r>
      <w:r w:rsidR="00725EC6" w:rsidRPr="00E50580">
        <w:rPr>
          <w:rFonts w:ascii="Cambria" w:hAnsi="Cambria"/>
          <w:b/>
          <w:sz w:val="28"/>
          <w:szCs w:val="28"/>
        </w:rPr>
        <w:t>ontents</w:t>
      </w:r>
    </w:p>
    <w:p w14:paraId="4620F846" w14:textId="77777777" w:rsidR="007057F1" w:rsidRDefault="007057F1" w:rsidP="001F038A">
      <w:pPr>
        <w:pStyle w:val="TOC1"/>
      </w:pPr>
    </w:p>
    <w:p w14:paraId="79E17110" w14:textId="77777777" w:rsidR="00900D93" w:rsidRDefault="003B76F0">
      <w:pPr>
        <w:pStyle w:val="TOC1"/>
        <w:rPr>
          <w:rFonts w:asciiTheme="minorHAnsi" w:eastAsiaTheme="minorEastAsia" w:hAnsiTheme="minorHAnsi" w:cstheme="minorBidi"/>
          <w:caps w:val="0"/>
          <w:sz w:val="22"/>
          <w:szCs w:val="22"/>
        </w:rPr>
      </w:pPr>
      <w:r>
        <w:rPr>
          <w:smallCaps/>
        </w:rPr>
        <w:fldChar w:fldCharType="begin"/>
      </w:r>
      <w:r w:rsidR="000F6932">
        <w:rPr>
          <w:smallCaps/>
        </w:rPr>
        <w:instrText xml:space="preserve"> TOC \o "1-2" \u </w:instrText>
      </w:r>
      <w:r>
        <w:rPr>
          <w:smallCaps/>
        </w:rPr>
        <w:fldChar w:fldCharType="separate"/>
      </w:r>
      <w:r w:rsidR="00900D93">
        <w:t>B.</w:t>
      </w:r>
      <w:r w:rsidR="00900D93">
        <w:rPr>
          <w:rFonts w:asciiTheme="minorHAnsi" w:eastAsiaTheme="minorEastAsia" w:hAnsiTheme="minorHAnsi" w:cstheme="minorBidi"/>
          <w:caps w:val="0"/>
          <w:sz w:val="22"/>
          <w:szCs w:val="22"/>
        </w:rPr>
        <w:tab/>
      </w:r>
      <w:r w:rsidR="00900D93">
        <w:t>COLLECTIONS OF INFORMATION EMPLOYING STATISTICAL METHODS</w:t>
      </w:r>
      <w:r w:rsidR="00900D93">
        <w:tab/>
      </w:r>
      <w:r w:rsidR="00900D93">
        <w:fldChar w:fldCharType="begin"/>
      </w:r>
      <w:r w:rsidR="00900D93">
        <w:instrText xml:space="preserve"> PAGEREF _Toc285098596 \h </w:instrText>
      </w:r>
      <w:r w:rsidR="00900D93">
        <w:fldChar w:fldCharType="separate"/>
      </w:r>
      <w:r w:rsidR="00900D93">
        <w:t>1</w:t>
      </w:r>
      <w:r w:rsidR="00900D93">
        <w:fldChar w:fldCharType="end"/>
      </w:r>
    </w:p>
    <w:p w14:paraId="58BB78A2" w14:textId="77777777" w:rsidR="00900D93" w:rsidRDefault="00900D93">
      <w:pPr>
        <w:pStyle w:val="TOC2"/>
        <w:rPr>
          <w:rFonts w:asciiTheme="minorHAnsi" w:eastAsiaTheme="minorEastAsia" w:hAnsiTheme="minorHAnsi" w:cstheme="minorBidi"/>
          <w:smallCaps w:val="0"/>
          <w:noProof/>
          <w:sz w:val="22"/>
          <w:szCs w:val="22"/>
        </w:rPr>
      </w:pPr>
      <w:r>
        <w:rPr>
          <w:noProof/>
        </w:rPr>
        <w:t>B.1</w:t>
      </w:r>
      <w:r>
        <w:rPr>
          <w:rFonts w:asciiTheme="minorHAnsi" w:eastAsiaTheme="minorEastAsia" w:hAnsiTheme="minorHAnsi" w:cstheme="minorBidi"/>
          <w:smallCaps w:val="0"/>
          <w:noProof/>
          <w:sz w:val="22"/>
          <w:szCs w:val="22"/>
        </w:rPr>
        <w:tab/>
      </w:r>
      <w:r>
        <w:rPr>
          <w:noProof/>
        </w:rPr>
        <w:t>RESPONDENT UNIVERSE AND SAMPLING METHODS</w:t>
      </w:r>
      <w:r>
        <w:rPr>
          <w:noProof/>
        </w:rPr>
        <w:tab/>
      </w:r>
      <w:r>
        <w:rPr>
          <w:noProof/>
        </w:rPr>
        <w:fldChar w:fldCharType="begin"/>
      </w:r>
      <w:r>
        <w:rPr>
          <w:noProof/>
        </w:rPr>
        <w:instrText xml:space="preserve"> PAGEREF _Toc285098597 \h </w:instrText>
      </w:r>
      <w:r>
        <w:rPr>
          <w:noProof/>
        </w:rPr>
      </w:r>
      <w:r>
        <w:rPr>
          <w:noProof/>
        </w:rPr>
        <w:fldChar w:fldCharType="separate"/>
      </w:r>
      <w:r>
        <w:rPr>
          <w:noProof/>
        </w:rPr>
        <w:t>1</w:t>
      </w:r>
      <w:r>
        <w:rPr>
          <w:noProof/>
        </w:rPr>
        <w:fldChar w:fldCharType="end"/>
      </w:r>
    </w:p>
    <w:p w14:paraId="2B0FC894" w14:textId="77777777" w:rsidR="00900D93" w:rsidRDefault="00900D93">
      <w:pPr>
        <w:pStyle w:val="TOC2"/>
        <w:rPr>
          <w:rFonts w:asciiTheme="minorHAnsi" w:eastAsiaTheme="minorEastAsia" w:hAnsiTheme="minorHAnsi" w:cstheme="minorBidi"/>
          <w:smallCaps w:val="0"/>
          <w:noProof/>
          <w:sz w:val="22"/>
          <w:szCs w:val="22"/>
        </w:rPr>
      </w:pPr>
      <w:r>
        <w:rPr>
          <w:noProof/>
        </w:rPr>
        <w:t>B.2</w:t>
      </w:r>
      <w:r>
        <w:rPr>
          <w:rFonts w:asciiTheme="minorHAnsi" w:eastAsiaTheme="minorEastAsia" w:hAnsiTheme="minorHAnsi" w:cstheme="minorBidi"/>
          <w:smallCaps w:val="0"/>
          <w:noProof/>
          <w:sz w:val="22"/>
          <w:szCs w:val="22"/>
        </w:rPr>
        <w:tab/>
      </w:r>
      <w:r>
        <w:rPr>
          <w:noProof/>
        </w:rPr>
        <w:t>PROCEDURES FOR THE COLLECTION OF INFORMATION</w:t>
      </w:r>
      <w:r>
        <w:rPr>
          <w:noProof/>
        </w:rPr>
        <w:tab/>
      </w:r>
      <w:r>
        <w:rPr>
          <w:noProof/>
        </w:rPr>
        <w:fldChar w:fldCharType="begin"/>
      </w:r>
      <w:r>
        <w:rPr>
          <w:noProof/>
        </w:rPr>
        <w:instrText xml:space="preserve"> PAGEREF _Toc285098598 \h </w:instrText>
      </w:r>
      <w:r>
        <w:rPr>
          <w:noProof/>
        </w:rPr>
      </w:r>
      <w:r>
        <w:rPr>
          <w:noProof/>
        </w:rPr>
        <w:fldChar w:fldCharType="separate"/>
      </w:r>
      <w:r>
        <w:rPr>
          <w:noProof/>
        </w:rPr>
        <w:t>3</w:t>
      </w:r>
      <w:r>
        <w:rPr>
          <w:noProof/>
        </w:rPr>
        <w:fldChar w:fldCharType="end"/>
      </w:r>
    </w:p>
    <w:p w14:paraId="178E948F" w14:textId="77777777" w:rsidR="00900D93" w:rsidRDefault="00900D93">
      <w:pPr>
        <w:pStyle w:val="TOC2"/>
        <w:rPr>
          <w:rFonts w:asciiTheme="minorHAnsi" w:eastAsiaTheme="minorEastAsia" w:hAnsiTheme="minorHAnsi" w:cstheme="minorBidi"/>
          <w:smallCaps w:val="0"/>
          <w:noProof/>
          <w:sz w:val="22"/>
          <w:szCs w:val="22"/>
        </w:rPr>
      </w:pPr>
      <w:r>
        <w:rPr>
          <w:noProof/>
        </w:rPr>
        <w:t>B.3</w:t>
      </w:r>
      <w:r>
        <w:rPr>
          <w:rFonts w:asciiTheme="minorHAnsi" w:eastAsiaTheme="minorEastAsia" w:hAnsiTheme="minorHAnsi" w:cstheme="minorBidi"/>
          <w:smallCaps w:val="0"/>
          <w:noProof/>
          <w:sz w:val="22"/>
          <w:szCs w:val="22"/>
        </w:rPr>
        <w:tab/>
      </w:r>
      <w:r>
        <w:rPr>
          <w:noProof/>
        </w:rPr>
        <w:t>METHODS TO MAXIMIZE RESPONSE RATES AND DEAL WITH NON-RESPONSE</w:t>
      </w:r>
      <w:r>
        <w:rPr>
          <w:noProof/>
        </w:rPr>
        <w:tab/>
      </w:r>
      <w:r>
        <w:rPr>
          <w:noProof/>
        </w:rPr>
        <w:fldChar w:fldCharType="begin"/>
      </w:r>
      <w:r>
        <w:rPr>
          <w:noProof/>
        </w:rPr>
        <w:instrText xml:space="preserve"> PAGEREF _Toc285098599 \h </w:instrText>
      </w:r>
      <w:r>
        <w:rPr>
          <w:noProof/>
        </w:rPr>
      </w:r>
      <w:r>
        <w:rPr>
          <w:noProof/>
        </w:rPr>
        <w:fldChar w:fldCharType="separate"/>
      </w:r>
      <w:r>
        <w:rPr>
          <w:noProof/>
        </w:rPr>
        <w:t>4</w:t>
      </w:r>
      <w:r>
        <w:rPr>
          <w:noProof/>
        </w:rPr>
        <w:fldChar w:fldCharType="end"/>
      </w:r>
    </w:p>
    <w:p w14:paraId="53E5EDAB" w14:textId="77777777" w:rsidR="00900D93" w:rsidRDefault="00900D93">
      <w:pPr>
        <w:pStyle w:val="TOC2"/>
        <w:rPr>
          <w:rFonts w:asciiTheme="minorHAnsi" w:eastAsiaTheme="minorEastAsia" w:hAnsiTheme="minorHAnsi" w:cstheme="minorBidi"/>
          <w:smallCaps w:val="0"/>
          <w:noProof/>
          <w:sz w:val="22"/>
          <w:szCs w:val="22"/>
        </w:rPr>
      </w:pPr>
      <w:r>
        <w:rPr>
          <w:noProof/>
        </w:rPr>
        <w:t>B.4</w:t>
      </w:r>
      <w:r>
        <w:rPr>
          <w:rFonts w:asciiTheme="minorHAnsi" w:eastAsiaTheme="minorEastAsia" w:hAnsiTheme="minorHAnsi" w:cstheme="minorBidi"/>
          <w:smallCaps w:val="0"/>
          <w:noProof/>
          <w:sz w:val="22"/>
          <w:szCs w:val="22"/>
        </w:rPr>
        <w:tab/>
      </w:r>
      <w:r>
        <w:rPr>
          <w:noProof/>
        </w:rPr>
        <w:t>TEST OF PROCEDURES OR METHODS TO BE UNDERTAKEN</w:t>
      </w:r>
      <w:r>
        <w:rPr>
          <w:noProof/>
        </w:rPr>
        <w:tab/>
      </w:r>
      <w:r>
        <w:rPr>
          <w:noProof/>
        </w:rPr>
        <w:fldChar w:fldCharType="begin"/>
      </w:r>
      <w:r>
        <w:rPr>
          <w:noProof/>
        </w:rPr>
        <w:instrText xml:space="preserve"> PAGEREF _Toc285098600 \h </w:instrText>
      </w:r>
      <w:r>
        <w:rPr>
          <w:noProof/>
        </w:rPr>
      </w:r>
      <w:r>
        <w:rPr>
          <w:noProof/>
        </w:rPr>
        <w:fldChar w:fldCharType="separate"/>
      </w:r>
      <w:r>
        <w:rPr>
          <w:noProof/>
        </w:rPr>
        <w:t>4</w:t>
      </w:r>
      <w:r>
        <w:rPr>
          <w:noProof/>
        </w:rPr>
        <w:fldChar w:fldCharType="end"/>
      </w:r>
    </w:p>
    <w:p w14:paraId="36DB8A0B" w14:textId="77777777" w:rsidR="00900D93" w:rsidRDefault="00900D93">
      <w:pPr>
        <w:pStyle w:val="TOC2"/>
        <w:rPr>
          <w:rFonts w:asciiTheme="minorHAnsi" w:eastAsiaTheme="minorEastAsia" w:hAnsiTheme="minorHAnsi" w:cstheme="minorBidi"/>
          <w:smallCaps w:val="0"/>
          <w:noProof/>
          <w:sz w:val="22"/>
          <w:szCs w:val="22"/>
        </w:rPr>
      </w:pPr>
      <w:r>
        <w:rPr>
          <w:noProof/>
        </w:rPr>
        <w:t>B.5</w:t>
      </w:r>
      <w:r>
        <w:rPr>
          <w:rFonts w:asciiTheme="minorHAnsi" w:eastAsiaTheme="minorEastAsia" w:hAnsiTheme="minorHAnsi" w:cstheme="minorBidi"/>
          <w:smallCaps w:val="0"/>
          <w:noProof/>
          <w:sz w:val="22"/>
          <w:szCs w:val="22"/>
        </w:rPr>
        <w:tab/>
      </w:r>
      <w:r>
        <w:rPr>
          <w:noProof/>
        </w:rPr>
        <w:t>INDIVIDUALS CONSULTED ON STATISTICAL ASPECTS AND INDIVIDUALS COLLECTING AND/OR ANALYZING DATA</w:t>
      </w:r>
      <w:r>
        <w:rPr>
          <w:noProof/>
        </w:rPr>
        <w:tab/>
      </w:r>
      <w:r>
        <w:rPr>
          <w:noProof/>
        </w:rPr>
        <w:fldChar w:fldCharType="begin"/>
      </w:r>
      <w:r>
        <w:rPr>
          <w:noProof/>
        </w:rPr>
        <w:instrText xml:space="preserve"> PAGEREF _Toc285098601 \h </w:instrText>
      </w:r>
      <w:r>
        <w:rPr>
          <w:noProof/>
        </w:rPr>
      </w:r>
      <w:r>
        <w:rPr>
          <w:noProof/>
        </w:rPr>
        <w:fldChar w:fldCharType="separate"/>
      </w:r>
      <w:r>
        <w:rPr>
          <w:noProof/>
        </w:rPr>
        <w:t>4</w:t>
      </w:r>
      <w:r>
        <w:rPr>
          <w:noProof/>
        </w:rPr>
        <w:fldChar w:fldCharType="end"/>
      </w:r>
    </w:p>
    <w:p w14:paraId="1F4BA86E" w14:textId="77777777" w:rsidR="006D607D" w:rsidRDefault="003B76F0" w:rsidP="000F6932">
      <w:pPr>
        <w:pStyle w:val="P1-StandPara"/>
        <w:tabs>
          <w:tab w:val="left" w:pos="720"/>
        </w:tabs>
        <w:ind w:right="-720"/>
        <w:outlineLvl w:val="0"/>
        <w:rPr>
          <w:smallCaps/>
          <w:noProof/>
          <w:sz w:val="24"/>
          <w:szCs w:val="24"/>
        </w:rPr>
      </w:pPr>
      <w:r>
        <w:rPr>
          <w:smallCaps/>
          <w:noProof/>
          <w:sz w:val="24"/>
          <w:szCs w:val="24"/>
        </w:rPr>
        <w:fldChar w:fldCharType="end"/>
      </w:r>
    </w:p>
    <w:p w14:paraId="34895509" w14:textId="77777777" w:rsidR="00552DC5" w:rsidRDefault="00552DC5" w:rsidP="00995DF8">
      <w:pPr>
        <w:pStyle w:val="P1-StandPara"/>
        <w:tabs>
          <w:tab w:val="left" w:pos="720"/>
        </w:tabs>
        <w:ind w:left="720" w:right="-720" w:hanging="720"/>
        <w:rPr>
          <w:smallCaps/>
          <w:noProof/>
          <w:sz w:val="24"/>
          <w:szCs w:val="24"/>
        </w:rPr>
        <w:sectPr w:rsidR="00552DC5" w:rsidSect="00552DC5">
          <w:pgSz w:w="12240" w:h="15840"/>
          <w:pgMar w:top="1440" w:right="1080" w:bottom="1440" w:left="1440" w:header="720" w:footer="720" w:gutter="0"/>
          <w:pgNumType w:start="1"/>
          <w:cols w:space="720"/>
          <w:titlePg/>
          <w:docGrid w:linePitch="360"/>
        </w:sectPr>
      </w:pPr>
    </w:p>
    <w:p w14:paraId="13900247" w14:textId="77777777" w:rsidR="00E50580" w:rsidRPr="00E50580" w:rsidRDefault="00E50580" w:rsidP="00E50580">
      <w:pPr>
        <w:pStyle w:val="Heading1"/>
      </w:pPr>
      <w:bookmarkStart w:id="1" w:name="_Toc268185585"/>
      <w:bookmarkStart w:id="2" w:name="_Toc285098596"/>
      <w:r w:rsidRPr="00E50580">
        <w:lastRenderedPageBreak/>
        <w:t>B.</w:t>
      </w:r>
      <w:r w:rsidRPr="00E50580">
        <w:tab/>
        <w:t>COLLECTIONS OF INFORMATION EMPLOYING STATISTICAL METHODS</w:t>
      </w:r>
      <w:bookmarkEnd w:id="1"/>
      <w:bookmarkEnd w:id="2"/>
    </w:p>
    <w:p w14:paraId="16B426A0" w14:textId="77777777" w:rsidR="00E112B7" w:rsidRPr="00E50580" w:rsidRDefault="00215E15" w:rsidP="00E50580">
      <w:pPr>
        <w:pStyle w:val="Heading2"/>
      </w:pPr>
      <w:bookmarkStart w:id="3" w:name="_Toc268185586"/>
      <w:bookmarkStart w:id="4" w:name="_Toc285098597"/>
      <w:r w:rsidRPr="00E50580">
        <w:t>B.1</w:t>
      </w:r>
      <w:r w:rsidRPr="00E50580">
        <w:tab/>
        <w:t>RESPONDENT UNIVERSE AND SAMPLING METHODS</w:t>
      </w:r>
      <w:bookmarkEnd w:id="3"/>
      <w:bookmarkEnd w:id="4"/>
    </w:p>
    <w:p w14:paraId="183A90E2" w14:textId="77777777" w:rsidR="00BE1251" w:rsidRDefault="00E112B7" w:rsidP="00E50580">
      <w:r w:rsidRPr="00BE1251">
        <w:t xml:space="preserve">The respondent universe will be separately identified for each </w:t>
      </w:r>
      <w:r w:rsidR="0091090F">
        <w:t xml:space="preserve">data collection effort based on the </w:t>
      </w:r>
      <w:r w:rsidR="00D8529F">
        <w:t>setting</w:t>
      </w:r>
      <w:r w:rsidR="0091090F">
        <w:t xml:space="preserve"> being studied</w:t>
      </w:r>
      <w:r w:rsidRPr="00BE1251">
        <w:t xml:space="preserve">.  </w:t>
      </w:r>
    </w:p>
    <w:p w14:paraId="19D4EFE4" w14:textId="77777777" w:rsidR="00255B5F" w:rsidRDefault="00255B5F" w:rsidP="00255B5F"/>
    <w:p w14:paraId="1903C3BD" w14:textId="777C741C" w:rsidR="00D8529F" w:rsidRPr="00BF6E2C" w:rsidRDefault="00D8529F" w:rsidP="00D8529F">
      <w:pPr>
        <w:rPr>
          <w:color w:val="000000"/>
        </w:rPr>
      </w:pPr>
      <w:r w:rsidRPr="00BF6E2C">
        <w:rPr>
          <w:color w:val="000000"/>
        </w:rPr>
        <w:t xml:space="preserve">The estimated respondents per year </w:t>
      </w:r>
      <w:r w:rsidRPr="00D528A8">
        <w:rPr>
          <w:color w:val="000000"/>
        </w:rPr>
        <w:t xml:space="preserve">are </w:t>
      </w:r>
      <w:r w:rsidR="006A47A9" w:rsidRPr="00043555">
        <w:rPr>
          <w:color w:val="000000"/>
        </w:rPr>
        <w:t>3</w:t>
      </w:r>
      <w:r w:rsidR="00886614" w:rsidRPr="00043555">
        <w:rPr>
          <w:color w:val="000000"/>
        </w:rPr>
        <w:t>0</w:t>
      </w:r>
      <w:r w:rsidR="00F4497C" w:rsidRPr="00043555">
        <w:rPr>
          <w:color w:val="000000"/>
        </w:rPr>
        <w:t>0</w:t>
      </w:r>
      <w:r w:rsidR="00213AEE">
        <w:rPr>
          <w:color w:val="000000"/>
        </w:rPr>
        <w:t>5</w:t>
      </w:r>
      <w:r w:rsidRPr="00043555">
        <w:rPr>
          <w:color w:val="000000"/>
        </w:rPr>
        <w:t xml:space="preserve"> subjects</w:t>
      </w:r>
      <w:r w:rsidRPr="00BF6E2C">
        <w:rPr>
          <w:color w:val="000000"/>
        </w:rPr>
        <w:t xml:space="preserve">. Below are estimated demographic data on the </w:t>
      </w:r>
      <w:r w:rsidR="005A20B1" w:rsidRPr="00AA5B6F">
        <w:rPr>
          <w:color w:val="000000"/>
          <w:highlight w:val="yellow"/>
        </w:rPr>
        <w:t>US</w:t>
      </w:r>
      <w:r w:rsidR="005A20B1">
        <w:rPr>
          <w:color w:val="000000"/>
        </w:rPr>
        <w:t xml:space="preserve"> </w:t>
      </w:r>
      <w:r w:rsidRPr="00BF6E2C">
        <w:rPr>
          <w:color w:val="000000"/>
        </w:rPr>
        <w:t>subjects</w:t>
      </w:r>
      <w:r>
        <w:rPr>
          <w:color w:val="000000"/>
        </w:rPr>
        <w:t xml:space="preserve"> for </w:t>
      </w:r>
      <w:r w:rsidR="00DF48F2">
        <w:rPr>
          <w:color w:val="000000"/>
        </w:rPr>
        <w:t>the studies conducted</w:t>
      </w:r>
      <w:r>
        <w:rPr>
          <w:color w:val="000000"/>
        </w:rPr>
        <w:t xml:space="preserve"> under this generic</w:t>
      </w:r>
      <w:r w:rsidR="00C77EAD">
        <w:rPr>
          <w:color w:val="000000"/>
        </w:rPr>
        <w:t xml:space="preserve"> clearance</w:t>
      </w:r>
      <w:r>
        <w:rPr>
          <w:color w:val="000000"/>
        </w:rPr>
        <w:t>.  Th</w:t>
      </w:r>
      <w:r w:rsidRPr="00BF6E2C">
        <w:rPr>
          <w:color w:val="000000"/>
        </w:rPr>
        <w:t>is protocol intends to enroll based on previous years</w:t>
      </w:r>
      <w:r>
        <w:rPr>
          <w:color w:val="000000"/>
        </w:rPr>
        <w:t>’</w:t>
      </w:r>
      <w:r w:rsidRPr="00BF6E2C">
        <w:rPr>
          <w:color w:val="000000"/>
        </w:rPr>
        <w:t xml:space="preserve"> demographic data. </w:t>
      </w:r>
      <w:r w:rsidR="00DF48F2">
        <w:rPr>
          <w:color w:val="000000"/>
        </w:rPr>
        <w:t xml:space="preserve"> Enrollment will occur in at-risk settings globally and may enroll in locations</w:t>
      </w:r>
      <w:r>
        <w:rPr>
          <w:color w:val="000000"/>
        </w:rPr>
        <w:t xml:space="preserve"> across </w:t>
      </w:r>
      <w:r w:rsidR="00DF48F2">
        <w:rPr>
          <w:color w:val="000000"/>
        </w:rPr>
        <w:t xml:space="preserve">the US as well as Taiwan, </w:t>
      </w:r>
      <w:r>
        <w:rPr>
          <w:color w:val="000000"/>
        </w:rPr>
        <w:t xml:space="preserve">Nicaragua, Chile, Argentina, Egypt, Bangladesh, China, Cambodia, </w:t>
      </w:r>
      <w:r w:rsidR="00DF48F2">
        <w:rPr>
          <w:color w:val="000000"/>
        </w:rPr>
        <w:t>and</w:t>
      </w:r>
      <w:r>
        <w:rPr>
          <w:color w:val="000000"/>
        </w:rPr>
        <w:t xml:space="preserve"> Vietnam.</w:t>
      </w:r>
      <w:r w:rsidR="00164562">
        <w:rPr>
          <w:color w:val="000000"/>
        </w:rPr>
        <w:t xml:space="preserve"> </w:t>
      </w:r>
      <w:r w:rsidR="00164562" w:rsidRPr="00AA5B6F">
        <w:rPr>
          <w:color w:val="000000"/>
          <w:highlight w:val="yellow"/>
        </w:rPr>
        <w:t>The NIH will determine countries to be enrolled in the studies based on the presence of known animal influenza outbreaks or novel strains in the area and/or the severity of the human influenza season in the region.</w:t>
      </w:r>
    </w:p>
    <w:p w14:paraId="4078EF32" w14:textId="77777777" w:rsidR="00D8529F" w:rsidRPr="00BF6E2C" w:rsidRDefault="00D8529F" w:rsidP="00D8529F">
      <w:pPr>
        <w:rPr>
          <w:color w:val="000000"/>
        </w:rPr>
      </w:pPr>
    </w:p>
    <w:tbl>
      <w:tblPr>
        <w:tblW w:w="3215" w:type="dxa"/>
        <w:jc w:val="center"/>
        <w:tblLook w:val="04A0" w:firstRow="1" w:lastRow="0" w:firstColumn="1" w:lastColumn="0" w:noHBand="0" w:noVBand="1"/>
      </w:tblPr>
      <w:tblGrid>
        <w:gridCol w:w="2034"/>
        <w:gridCol w:w="1181"/>
      </w:tblGrid>
      <w:tr w:rsidR="00DF48F2" w:rsidRPr="00F4497C" w14:paraId="07FD664E" w14:textId="77777777" w:rsidTr="00DF48F2">
        <w:trPr>
          <w:trHeight w:val="300"/>
          <w:jc w:val="center"/>
        </w:trPr>
        <w:tc>
          <w:tcPr>
            <w:tcW w:w="2034" w:type="dxa"/>
            <w:tcBorders>
              <w:top w:val="single" w:sz="18" w:space="0" w:color="auto"/>
              <w:left w:val="nil"/>
              <w:bottom w:val="single" w:sz="4" w:space="0" w:color="auto"/>
              <w:right w:val="single" w:sz="4" w:space="0" w:color="auto"/>
            </w:tcBorders>
            <w:shd w:val="clear" w:color="auto" w:fill="auto"/>
            <w:noWrap/>
            <w:vAlign w:val="bottom"/>
            <w:hideMark/>
          </w:tcPr>
          <w:p w14:paraId="7A7D1A37" w14:textId="3373AB39" w:rsidR="00DF48F2" w:rsidRPr="005A20B1" w:rsidRDefault="005A20B1" w:rsidP="00DD03DB">
            <w:pPr>
              <w:rPr>
                <w:b/>
                <w:color w:val="000000"/>
              </w:rPr>
            </w:pPr>
            <w:r>
              <w:rPr>
                <w:b/>
                <w:color w:val="000000"/>
              </w:rPr>
              <w:t>United States*</w:t>
            </w:r>
          </w:p>
        </w:tc>
        <w:tc>
          <w:tcPr>
            <w:tcW w:w="1181" w:type="dxa"/>
            <w:tcBorders>
              <w:top w:val="single" w:sz="18" w:space="0" w:color="auto"/>
              <w:left w:val="single" w:sz="4" w:space="0" w:color="auto"/>
              <w:bottom w:val="single" w:sz="4" w:space="0" w:color="auto"/>
              <w:right w:val="nil"/>
            </w:tcBorders>
            <w:shd w:val="clear" w:color="auto" w:fill="auto"/>
            <w:noWrap/>
            <w:vAlign w:val="bottom"/>
            <w:hideMark/>
          </w:tcPr>
          <w:p w14:paraId="2C63B401" w14:textId="77777777" w:rsidR="00DF48F2" w:rsidRPr="00C77EAD" w:rsidRDefault="00DF48F2" w:rsidP="00DD03DB">
            <w:pPr>
              <w:rPr>
                <w:color w:val="000000"/>
              </w:rPr>
            </w:pPr>
            <w:r w:rsidRPr="00C77EAD">
              <w:rPr>
                <w:color w:val="000000"/>
              </w:rPr>
              <w:t>Total</w:t>
            </w:r>
          </w:p>
        </w:tc>
      </w:tr>
      <w:tr w:rsidR="00DF48F2" w:rsidRPr="00F4497C" w14:paraId="579D964B" w14:textId="77777777" w:rsidTr="00DF48F2">
        <w:trPr>
          <w:trHeight w:val="300"/>
          <w:jc w:val="center"/>
        </w:trPr>
        <w:tc>
          <w:tcPr>
            <w:tcW w:w="2034" w:type="dxa"/>
            <w:tcBorders>
              <w:top w:val="single" w:sz="4" w:space="0" w:color="auto"/>
              <w:left w:val="nil"/>
              <w:bottom w:val="nil"/>
              <w:right w:val="single" w:sz="4" w:space="0" w:color="auto"/>
            </w:tcBorders>
            <w:shd w:val="clear" w:color="auto" w:fill="auto"/>
            <w:noWrap/>
            <w:vAlign w:val="bottom"/>
            <w:hideMark/>
          </w:tcPr>
          <w:p w14:paraId="1F4A6CF2" w14:textId="77777777" w:rsidR="00DF48F2" w:rsidRPr="00C77EAD" w:rsidRDefault="00DF48F2" w:rsidP="00DD03DB">
            <w:pPr>
              <w:rPr>
                <w:color w:val="000000"/>
              </w:rPr>
            </w:pPr>
            <w:r w:rsidRPr="00C77EAD">
              <w:rPr>
                <w:color w:val="000000"/>
              </w:rPr>
              <w:t>Male</w:t>
            </w:r>
          </w:p>
        </w:tc>
        <w:tc>
          <w:tcPr>
            <w:tcW w:w="1181" w:type="dxa"/>
            <w:tcBorders>
              <w:top w:val="single" w:sz="4" w:space="0" w:color="auto"/>
              <w:left w:val="single" w:sz="4" w:space="0" w:color="auto"/>
              <w:bottom w:val="nil"/>
              <w:right w:val="nil"/>
            </w:tcBorders>
            <w:shd w:val="clear" w:color="auto" w:fill="auto"/>
            <w:noWrap/>
            <w:vAlign w:val="bottom"/>
            <w:hideMark/>
          </w:tcPr>
          <w:p w14:paraId="054232A5" w14:textId="5C641E39" w:rsidR="00DF48F2" w:rsidRPr="00AA5B6F" w:rsidRDefault="005A20B1" w:rsidP="00213AEE">
            <w:pPr>
              <w:rPr>
                <w:color w:val="000000"/>
                <w:highlight w:val="yellow"/>
              </w:rPr>
            </w:pPr>
            <w:r w:rsidRPr="00AA5B6F">
              <w:rPr>
                <w:color w:val="000000"/>
                <w:highlight w:val="yellow"/>
              </w:rPr>
              <w:t>850</w:t>
            </w:r>
          </w:p>
        </w:tc>
      </w:tr>
      <w:tr w:rsidR="00DF48F2" w:rsidRPr="00F4497C" w14:paraId="4A4515A6" w14:textId="77777777" w:rsidTr="00DF48F2">
        <w:trPr>
          <w:trHeight w:val="300"/>
          <w:jc w:val="center"/>
        </w:trPr>
        <w:tc>
          <w:tcPr>
            <w:tcW w:w="2034" w:type="dxa"/>
            <w:tcBorders>
              <w:top w:val="nil"/>
              <w:left w:val="nil"/>
              <w:bottom w:val="single" w:sz="4" w:space="0" w:color="auto"/>
              <w:right w:val="single" w:sz="4" w:space="0" w:color="auto"/>
            </w:tcBorders>
            <w:shd w:val="clear" w:color="auto" w:fill="auto"/>
            <w:noWrap/>
            <w:vAlign w:val="bottom"/>
            <w:hideMark/>
          </w:tcPr>
          <w:p w14:paraId="539B977B" w14:textId="77777777" w:rsidR="00DF48F2" w:rsidRPr="00C77EAD" w:rsidRDefault="00DF48F2" w:rsidP="00DD03DB">
            <w:pPr>
              <w:rPr>
                <w:color w:val="000000"/>
              </w:rPr>
            </w:pPr>
            <w:r w:rsidRPr="00C77EAD">
              <w:rPr>
                <w:color w:val="000000"/>
              </w:rPr>
              <w:t>Female</w:t>
            </w:r>
          </w:p>
        </w:tc>
        <w:tc>
          <w:tcPr>
            <w:tcW w:w="1181" w:type="dxa"/>
            <w:tcBorders>
              <w:top w:val="nil"/>
              <w:left w:val="single" w:sz="4" w:space="0" w:color="auto"/>
              <w:bottom w:val="single" w:sz="4" w:space="0" w:color="auto"/>
              <w:right w:val="nil"/>
            </w:tcBorders>
            <w:shd w:val="clear" w:color="auto" w:fill="auto"/>
            <w:noWrap/>
            <w:vAlign w:val="bottom"/>
            <w:hideMark/>
          </w:tcPr>
          <w:p w14:paraId="130F3A87" w14:textId="0D21F1A1" w:rsidR="00DF48F2" w:rsidRPr="00AA5B6F" w:rsidRDefault="005A20B1" w:rsidP="00213AEE">
            <w:pPr>
              <w:rPr>
                <w:color w:val="000000"/>
                <w:highlight w:val="yellow"/>
              </w:rPr>
            </w:pPr>
            <w:r w:rsidRPr="00AA5B6F">
              <w:rPr>
                <w:color w:val="000000"/>
                <w:highlight w:val="yellow"/>
              </w:rPr>
              <w:t>650</w:t>
            </w:r>
          </w:p>
        </w:tc>
      </w:tr>
      <w:tr w:rsidR="00DF48F2" w:rsidRPr="00F4497C" w14:paraId="7D9D7F60" w14:textId="77777777" w:rsidTr="00DF48F2">
        <w:trPr>
          <w:trHeight w:val="300"/>
          <w:jc w:val="center"/>
        </w:trPr>
        <w:tc>
          <w:tcPr>
            <w:tcW w:w="2034" w:type="dxa"/>
            <w:tcBorders>
              <w:top w:val="single" w:sz="4" w:space="0" w:color="auto"/>
              <w:left w:val="nil"/>
              <w:bottom w:val="nil"/>
              <w:right w:val="single" w:sz="4" w:space="0" w:color="auto"/>
            </w:tcBorders>
            <w:shd w:val="clear" w:color="auto" w:fill="auto"/>
            <w:noWrap/>
            <w:vAlign w:val="bottom"/>
            <w:hideMark/>
          </w:tcPr>
          <w:p w14:paraId="575C5B84" w14:textId="77777777" w:rsidR="00DF48F2" w:rsidRPr="00C77EAD" w:rsidRDefault="00DF48F2" w:rsidP="00DD03DB">
            <w:pPr>
              <w:rPr>
                <w:color w:val="000000"/>
              </w:rPr>
            </w:pPr>
            <w:r w:rsidRPr="00C77EAD">
              <w:rPr>
                <w:color w:val="000000"/>
              </w:rPr>
              <w:t>African American</w:t>
            </w:r>
          </w:p>
        </w:tc>
        <w:tc>
          <w:tcPr>
            <w:tcW w:w="1181" w:type="dxa"/>
            <w:tcBorders>
              <w:top w:val="single" w:sz="4" w:space="0" w:color="auto"/>
              <w:left w:val="single" w:sz="4" w:space="0" w:color="auto"/>
              <w:bottom w:val="nil"/>
              <w:right w:val="nil"/>
            </w:tcBorders>
            <w:shd w:val="clear" w:color="auto" w:fill="auto"/>
            <w:noWrap/>
            <w:vAlign w:val="bottom"/>
            <w:hideMark/>
          </w:tcPr>
          <w:p w14:paraId="0D2FCB78" w14:textId="0314AC25" w:rsidR="00DF48F2" w:rsidRPr="00C77EAD" w:rsidRDefault="00C77EAD" w:rsidP="0034626C">
            <w:pPr>
              <w:rPr>
                <w:color w:val="000000"/>
              </w:rPr>
            </w:pPr>
            <w:r w:rsidRPr="00C77EAD">
              <w:rPr>
                <w:color w:val="000000"/>
              </w:rPr>
              <w:t>4</w:t>
            </w:r>
            <w:r w:rsidR="0034626C">
              <w:rPr>
                <w:color w:val="000000"/>
              </w:rPr>
              <w:t>0</w:t>
            </w:r>
            <w:r w:rsidR="00DF48F2" w:rsidRPr="00C77EAD">
              <w:rPr>
                <w:color w:val="000000"/>
              </w:rPr>
              <w:t>0</w:t>
            </w:r>
          </w:p>
        </w:tc>
      </w:tr>
      <w:tr w:rsidR="00DF48F2" w:rsidRPr="00F4497C" w14:paraId="52F3B0A9" w14:textId="77777777" w:rsidTr="00DF48F2">
        <w:trPr>
          <w:trHeight w:val="300"/>
          <w:jc w:val="center"/>
        </w:trPr>
        <w:tc>
          <w:tcPr>
            <w:tcW w:w="2034" w:type="dxa"/>
            <w:tcBorders>
              <w:top w:val="nil"/>
              <w:left w:val="nil"/>
              <w:bottom w:val="nil"/>
              <w:right w:val="single" w:sz="4" w:space="0" w:color="auto"/>
            </w:tcBorders>
            <w:shd w:val="clear" w:color="auto" w:fill="auto"/>
            <w:noWrap/>
            <w:vAlign w:val="bottom"/>
            <w:hideMark/>
          </w:tcPr>
          <w:p w14:paraId="1E2C7C57" w14:textId="77777777" w:rsidR="00DF48F2" w:rsidRPr="00C77EAD" w:rsidRDefault="00DF48F2" w:rsidP="00DD03DB">
            <w:pPr>
              <w:rPr>
                <w:color w:val="000000"/>
              </w:rPr>
            </w:pPr>
            <w:r w:rsidRPr="00C77EAD">
              <w:rPr>
                <w:color w:val="000000"/>
              </w:rPr>
              <w:t>Caucasian</w:t>
            </w:r>
          </w:p>
        </w:tc>
        <w:tc>
          <w:tcPr>
            <w:tcW w:w="1181" w:type="dxa"/>
            <w:tcBorders>
              <w:top w:val="nil"/>
              <w:left w:val="single" w:sz="4" w:space="0" w:color="auto"/>
              <w:bottom w:val="nil"/>
              <w:right w:val="nil"/>
            </w:tcBorders>
            <w:shd w:val="clear" w:color="auto" w:fill="auto"/>
            <w:noWrap/>
            <w:vAlign w:val="bottom"/>
            <w:hideMark/>
          </w:tcPr>
          <w:p w14:paraId="2BAACFD4" w14:textId="1DFEA3D1" w:rsidR="00DF48F2" w:rsidRPr="00AA5B6F" w:rsidRDefault="005A20B1" w:rsidP="005A20B1">
            <w:pPr>
              <w:rPr>
                <w:color w:val="000000"/>
                <w:highlight w:val="yellow"/>
              </w:rPr>
            </w:pPr>
            <w:r w:rsidRPr="00AA5B6F">
              <w:rPr>
                <w:color w:val="000000"/>
                <w:highlight w:val="yellow"/>
              </w:rPr>
              <w:t>750</w:t>
            </w:r>
          </w:p>
        </w:tc>
      </w:tr>
      <w:tr w:rsidR="00DF48F2" w:rsidRPr="00F4497C" w14:paraId="7755A30D" w14:textId="77777777" w:rsidTr="00DF48F2">
        <w:trPr>
          <w:trHeight w:val="300"/>
          <w:jc w:val="center"/>
        </w:trPr>
        <w:tc>
          <w:tcPr>
            <w:tcW w:w="2034" w:type="dxa"/>
            <w:tcBorders>
              <w:top w:val="nil"/>
              <w:left w:val="nil"/>
              <w:bottom w:val="nil"/>
              <w:right w:val="single" w:sz="4" w:space="0" w:color="auto"/>
            </w:tcBorders>
            <w:shd w:val="clear" w:color="auto" w:fill="auto"/>
            <w:noWrap/>
            <w:vAlign w:val="bottom"/>
            <w:hideMark/>
          </w:tcPr>
          <w:p w14:paraId="69CD2985" w14:textId="77777777" w:rsidR="00DF48F2" w:rsidRPr="00C77EAD" w:rsidRDefault="00DF48F2" w:rsidP="00DD03DB">
            <w:pPr>
              <w:rPr>
                <w:color w:val="000000"/>
              </w:rPr>
            </w:pPr>
            <w:r w:rsidRPr="00C77EAD">
              <w:rPr>
                <w:color w:val="000000"/>
              </w:rPr>
              <w:t>Hispanic</w:t>
            </w:r>
          </w:p>
        </w:tc>
        <w:tc>
          <w:tcPr>
            <w:tcW w:w="1181" w:type="dxa"/>
            <w:tcBorders>
              <w:top w:val="nil"/>
              <w:left w:val="single" w:sz="4" w:space="0" w:color="auto"/>
              <w:bottom w:val="nil"/>
              <w:right w:val="nil"/>
            </w:tcBorders>
            <w:shd w:val="clear" w:color="auto" w:fill="auto"/>
            <w:noWrap/>
            <w:vAlign w:val="bottom"/>
            <w:hideMark/>
          </w:tcPr>
          <w:p w14:paraId="7EBEC341" w14:textId="2D4AB401" w:rsidR="00DF48F2" w:rsidRPr="00AA5B6F" w:rsidRDefault="005A20B1" w:rsidP="005A20B1">
            <w:pPr>
              <w:rPr>
                <w:color w:val="000000"/>
                <w:highlight w:val="yellow"/>
              </w:rPr>
            </w:pPr>
            <w:r w:rsidRPr="00AA5B6F">
              <w:rPr>
                <w:color w:val="000000"/>
                <w:highlight w:val="yellow"/>
              </w:rPr>
              <w:t>200</w:t>
            </w:r>
          </w:p>
        </w:tc>
      </w:tr>
      <w:tr w:rsidR="00DF48F2" w:rsidRPr="00F4497C" w14:paraId="5C4C3BF8" w14:textId="77777777" w:rsidTr="00DF48F2">
        <w:trPr>
          <w:trHeight w:val="300"/>
          <w:jc w:val="center"/>
        </w:trPr>
        <w:tc>
          <w:tcPr>
            <w:tcW w:w="2034" w:type="dxa"/>
            <w:tcBorders>
              <w:top w:val="nil"/>
              <w:left w:val="nil"/>
              <w:bottom w:val="nil"/>
              <w:right w:val="single" w:sz="4" w:space="0" w:color="auto"/>
            </w:tcBorders>
            <w:shd w:val="clear" w:color="auto" w:fill="auto"/>
            <w:noWrap/>
            <w:vAlign w:val="bottom"/>
            <w:hideMark/>
          </w:tcPr>
          <w:p w14:paraId="2B5D0F1A" w14:textId="77777777" w:rsidR="00DF48F2" w:rsidRPr="00C77EAD" w:rsidRDefault="00DF48F2" w:rsidP="00DD03DB">
            <w:pPr>
              <w:rPr>
                <w:color w:val="000000"/>
              </w:rPr>
            </w:pPr>
            <w:r w:rsidRPr="00C77EAD">
              <w:rPr>
                <w:color w:val="000000"/>
              </w:rPr>
              <w:t>Asian</w:t>
            </w:r>
          </w:p>
        </w:tc>
        <w:tc>
          <w:tcPr>
            <w:tcW w:w="1181" w:type="dxa"/>
            <w:tcBorders>
              <w:top w:val="nil"/>
              <w:left w:val="single" w:sz="4" w:space="0" w:color="auto"/>
              <w:bottom w:val="nil"/>
              <w:right w:val="nil"/>
            </w:tcBorders>
            <w:shd w:val="clear" w:color="auto" w:fill="auto"/>
            <w:noWrap/>
            <w:vAlign w:val="bottom"/>
            <w:hideMark/>
          </w:tcPr>
          <w:p w14:paraId="2C192925" w14:textId="0AE33837" w:rsidR="00DF48F2" w:rsidRPr="00AA5B6F" w:rsidRDefault="005A20B1" w:rsidP="005A20B1">
            <w:pPr>
              <w:rPr>
                <w:color w:val="000000"/>
                <w:highlight w:val="yellow"/>
              </w:rPr>
            </w:pPr>
            <w:r w:rsidRPr="00AA5B6F">
              <w:rPr>
                <w:color w:val="000000"/>
                <w:highlight w:val="yellow"/>
              </w:rPr>
              <w:t>150</w:t>
            </w:r>
          </w:p>
        </w:tc>
      </w:tr>
      <w:tr w:rsidR="00DF48F2" w:rsidRPr="00BF6E2C" w14:paraId="611B186D" w14:textId="77777777" w:rsidTr="00DF48F2">
        <w:trPr>
          <w:trHeight w:val="300"/>
          <w:jc w:val="center"/>
        </w:trPr>
        <w:tc>
          <w:tcPr>
            <w:tcW w:w="2034" w:type="dxa"/>
            <w:tcBorders>
              <w:top w:val="nil"/>
              <w:left w:val="nil"/>
              <w:bottom w:val="single" w:sz="18" w:space="0" w:color="auto"/>
              <w:right w:val="single" w:sz="4" w:space="0" w:color="auto"/>
            </w:tcBorders>
            <w:shd w:val="clear" w:color="auto" w:fill="auto"/>
            <w:noWrap/>
            <w:vAlign w:val="bottom"/>
          </w:tcPr>
          <w:p w14:paraId="73A57687" w14:textId="77777777" w:rsidR="00DF48F2" w:rsidRPr="00C77EAD" w:rsidRDefault="00DF48F2" w:rsidP="00DD03DB">
            <w:pPr>
              <w:rPr>
                <w:color w:val="000000"/>
              </w:rPr>
            </w:pPr>
            <w:r w:rsidRPr="00C77EAD">
              <w:rPr>
                <w:color w:val="000000"/>
              </w:rPr>
              <w:t>Total</w:t>
            </w:r>
          </w:p>
        </w:tc>
        <w:tc>
          <w:tcPr>
            <w:tcW w:w="1181" w:type="dxa"/>
            <w:tcBorders>
              <w:top w:val="nil"/>
              <w:left w:val="single" w:sz="4" w:space="0" w:color="auto"/>
              <w:bottom w:val="single" w:sz="18" w:space="0" w:color="auto"/>
              <w:right w:val="nil"/>
            </w:tcBorders>
            <w:shd w:val="clear" w:color="auto" w:fill="auto"/>
            <w:noWrap/>
            <w:vAlign w:val="bottom"/>
          </w:tcPr>
          <w:p w14:paraId="2DC1064A" w14:textId="4439EF33" w:rsidR="00DF48F2" w:rsidRPr="00AA5B6F" w:rsidRDefault="005A20B1" w:rsidP="00213AEE">
            <w:pPr>
              <w:rPr>
                <w:color w:val="000000"/>
                <w:highlight w:val="yellow"/>
              </w:rPr>
            </w:pPr>
            <w:r w:rsidRPr="00AA5B6F">
              <w:rPr>
                <w:color w:val="000000"/>
                <w:highlight w:val="yellow"/>
              </w:rPr>
              <w:t>1500</w:t>
            </w:r>
          </w:p>
        </w:tc>
      </w:tr>
    </w:tbl>
    <w:p w14:paraId="6784FBBD" w14:textId="1F8FA590" w:rsidR="00D8529F" w:rsidRDefault="005A20B1" w:rsidP="00D8529F">
      <w:pPr>
        <w:ind w:left="720"/>
        <w:rPr>
          <w:b/>
          <w:color w:val="000000"/>
          <w:sz w:val="20"/>
        </w:rPr>
      </w:pPr>
      <w:r w:rsidRPr="00AA5B6F">
        <w:rPr>
          <w:b/>
          <w:color w:val="000000"/>
          <w:sz w:val="20"/>
          <w:highlight w:val="yellow"/>
        </w:rPr>
        <w:t>*At the sites outside the United States, demographic information is not pertinent to generalizability. Sites outside the United States account for the remainder of the respondents (~1500)</w:t>
      </w:r>
    </w:p>
    <w:p w14:paraId="58643582" w14:textId="77777777" w:rsidR="005A20B1" w:rsidRDefault="005A20B1" w:rsidP="00D8529F">
      <w:pPr>
        <w:rPr>
          <w:color w:val="000000"/>
        </w:rPr>
      </w:pPr>
    </w:p>
    <w:p w14:paraId="73BA824F" w14:textId="677E29A2" w:rsidR="00D8529F" w:rsidRPr="00BF6E2C" w:rsidRDefault="00D8529F" w:rsidP="00D8529F">
      <w:pPr>
        <w:rPr>
          <w:color w:val="000000"/>
        </w:rPr>
      </w:pPr>
      <w:r w:rsidRPr="00BF6E2C">
        <w:rPr>
          <w:color w:val="000000"/>
        </w:rPr>
        <w:t xml:space="preserve">This study will be inclusive of all individuals who meet the Subject Inclusion/Exclusion Criteria, regardless of religion, sex, or ethnic background. </w:t>
      </w:r>
      <w:r w:rsidR="005A20B1" w:rsidRPr="00AA5B6F">
        <w:rPr>
          <w:color w:val="000000"/>
          <w:highlight w:val="yellow"/>
        </w:rPr>
        <w:t xml:space="preserve">We are using a convenience sample to </w:t>
      </w:r>
      <w:r w:rsidR="0046158F" w:rsidRPr="00AA5B6F">
        <w:rPr>
          <w:color w:val="000000"/>
          <w:highlight w:val="yellow"/>
        </w:rPr>
        <w:t xml:space="preserve">examine the </w:t>
      </w:r>
      <w:r w:rsidR="005A20B1" w:rsidRPr="00AA5B6F">
        <w:rPr>
          <w:color w:val="000000"/>
          <w:highlight w:val="yellow"/>
        </w:rPr>
        <w:t>relationships between at-risk settings and influenza transmission</w:t>
      </w:r>
      <w:r w:rsidR="0046158F" w:rsidRPr="00AA5B6F">
        <w:rPr>
          <w:color w:val="000000"/>
          <w:highlight w:val="yellow"/>
        </w:rPr>
        <w:t>,</w:t>
      </w:r>
      <w:r w:rsidR="005A20B1" w:rsidRPr="00AA5B6F">
        <w:rPr>
          <w:color w:val="000000"/>
          <w:highlight w:val="yellow"/>
        </w:rPr>
        <w:t xml:space="preserve"> </w:t>
      </w:r>
      <w:r w:rsidR="00AC406D" w:rsidRPr="00AA5B6F">
        <w:rPr>
          <w:color w:val="000000"/>
          <w:highlight w:val="yellow"/>
        </w:rPr>
        <w:t xml:space="preserve">as well as </w:t>
      </w:r>
      <w:r w:rsidR="005A20B1" w:rsidRPr="00AA5B6F">
        <w:rPr>
          <w:color w:val="000000"/>
          <w:highlight w:val="yellow"/>
        </w:rPr>
        <w:t>identify the types of influenza that are transmitted to humans, but do not expect results to be generalizable.</w:t>
      </w:r>
      <w:r w:rsidR="005A20B1">
        <w:rPr>
          <w:color w:val="000000"/>
        </w:rPr>
        <w:t xml:space="preserve"> </w:t>
      </w:r>
      <w:r w:rsidR="00886614">
        <w:rPr>
          <w:color w:val="000000"/>
        </w:rPr>
        <w:t>W</w:t>
      </w:r>
      <w:r w:rsidR="00DF48F2">
        <w:rPr>
          <w:color w:val="000000"/>
        </w:rPr>
        <w:t>e expect the study will enroll more men than women</w:t>
      </w:r>
      <w:r w:rsidR="00886614">
        <w:rPr>
          <w:color w:val="000000"/>
        </w:rPr>
        <w:t xml:space="preserve"> in the human-animal interface studies due to the demographics of workers in farms and slaughterhouses</w:t>
      </w:r>
      <w:r w:rsidR="00DF48F2">
        <w:rPr>
          <w:color w:val="000000"/>
        </w:rPr>
        <w:t>.</w:t>
      </w:r>
      <w:r w:rsidRPr="00BF6E2C">
        <w:rPr>
          <w:color w:val="000000"/>
        </w:rPr>
        <w:t xml:space="preserve"> </w:t>
      </w:r>
      <w:r w:rsidR="00886614">
        <w:rPr>
          <w:color w:val="000000"/>
        </w:rPr>
        <w:t xml:space="preserve">We expect to enroll more women than men in household transmission studies due to the demographics of households in the countries where those studies will occur. </w:t>
      </w:r>
      <w:r>
        <w:rPr>
          <w:color w:val="000000"/>
        </w:rPr>
        <w:t>We anticipate a retention and completion rate for the follow-up visit of at least 85% based on our historical experience.</w:t>
      </w:r>
    </w:p>
    <w:p w14:paraId="2FAE27BD" w14:textId="77777777" w:rsidR="00E112B7" w:rsidRPr="00D84C5F" w:rsidRDefault="00215E15" w:rsidP="00E50580">
      <w:pPr>
        <w:pStyle w:val="Heading2"/>
      </w:pPr>
      <w:bookmarkStart w:id="5" w:name="_Toc268185589"/>
      <w:bookmarkStart w:id="6" w:name="_Toc285098598"/>
      <w:r w:rsidRPr="00D84C5F">
        <w:t>B.</w:t>
      </w:r>
      <w:r w:rsidR="00E112B7" w:rsidRPr="00D84C5F">
        <w:t>2</w:t>
      </w:r>
      <w:r w:rsidR="00E112B7" w:rsidRPr="00D84C5F">
        <w:tab/>
      </w:r>
      <w:r w:rsidRPr="00D84C5F">
        <w:t>PROCEDURES FOR THE COLLECTION OF INFORMATION</w:t>
      </w:r>
      <w:bookmarkEnd w:id="5"/>
      <w:bookmarkEnd w:id="6"/>
    </w:p>
    <w:p w14:paraId="47374E22" w14:textId="15A41DA7" w:rsidR="00D8529F" w:rsidRDefault="00D8529F" w:rsidP="00D8529F">
      <w:r>
        <w:t xml:space="preserve">This </w:t>
      </w:r>
      <w:r w:rsidR="006A47A9">
        <w:t>generic clearance</w:t>
      </w:r>
      <w:r>
        <w:t xml:space="preserve"> provides the needed samples and data for numerous protocols </w:t>
      </w:r>
      <w:r w:rsidR="006A47A9">
        <w:t>that</w:t>
      </w:r>
      <w:r>
        <w:t xml:space="preserve"> rely upon it</w:t>
      </w:r>
      <w:r w:rsidR="00E8491F">
        <w:t xml:space="preserve"> </w:t>
      </w:r>
      <w:r w:rsidR="00E8491F" w:rsidRPr="00AA5B6F">
        <w:rPr>
          <w:highlight w:val="yellow"/>
        </w:rPr>
        <w:t>(as described in the Supporting Statement A)</w:t>
      </w:r>
      <w:r>
        <w:t xml:space="preserve">.  Hence, there is not a specific sample size calculation for this surveillance population, but </w:t>
      </w:r>
      <w:r w:rsidR="00E8491F" w:rsidRPr="00AA5B6F">
        <w:rPr>
          <w:highlight w:val="yellow"/>
        </w:rPr>
        <w:t>low-end</w:t>
      </w:r>
      <w:r w:rsidR="00E8491F">
        <w:t xml:space="preserve"> </w:t>
      </w:r>
      <w:r>
        <w:t>sample size calculations have been performed for the laboratory analysis associated with serologic and immunologic studies.</w:t>
      </w:r>
    </w:p>
    <w:p w14:paraId="2FBD4B57" w14:textId="77777777" w:rsidR="00D8529F" w:rsidRDefault="00D8529F" w:rsidP="00D8529F"/>
    <w:p w14:paraId="0C000C0B" w14:textId="77777777" w:rsidR="00D8529F" w:rsidRPr="00E3182E" w:rsidRDefault="00D8529F" w:rsidP="00D8529F">
      <w:pPr>
        <w:rPr>
          <w:rFonts w:ascii="Tahoma" w:hAnsi="Tahoma" w:cs="Tahoma"/>
          <w:sz w:val="20"/>
          <w:szCs w:val="20"/>
        </w:rPr>
      </w:pPr>
      <w:r w:rsidRPr="00E3182E">
        <w:t xml:space="preserve">Immunologic analysis will be performed on all patients with positive PCR influenza tests. </w:t>
      </w:r>
      <w:r>
        <w:t>Each protocol will</w:t>
      </w:r>
      <w:r w:rsidRPr="00E3182E">
        <w:t xml:space="preserve"> enroll </w:t>
      </w:r>
      <w:r w:rsidR="00C77EAD">
        <w:t>50-200</w:t>
      </w:r>
      <w:r w:rsidRPr="00E3182E">
        <w:t xml:space="preserve"> PCR influenza positives subjects each year</w:t>
      </w:r>
      <w:r w:rsidR="00C77EAD">
        <w:t xml:space="preserve"> depending on the setting – we expect more positives in hospital and household settings than in human-animal interface settings</w:t>
      </w:r>
      <w:r w:rsidRPr="00E3182E">
        <w:t xml:space="preserve">. </w:t>
      </w:r>
      <w:r w:rsidRPr="00E3182E">
        <w:lastRenderedPageBreak/>
        <w:t>Immunologic outcomes will be assessed based on disease severity</w:t>
      </w:r>
      <w:r w:rsidR="00C77EAD">
        <w:t xml:space="preserve"> in hospital and household settings</w:t>
      </w:r>
      <w:r w:rsidRPr="00E3182E">
        <w:t xml:space="preserve">, with an estimated breakdown of 5% severe disease, 40% moderate disease, and 45% mild disease </w:t>
      </w:r>
      <w:r w:rsidR="00C77EAD">
        <w:t xml:space="preserve">in </w:t>
      </w:r>
      <w:r w:rsidRPr="00E3182E">
        <w:t>each season. With thes</w:t>
      </w:r>
      <w:r w:rsidR="00C77EAD">
        <w:t xml:space="preserve">e distributions we will accrue 60 </w:t>
      </w:r>
      <w:r w:rsidRPr="00E3182E">
        <w:t xml:space="preserve">patients (in the smallest or severe group) over the course of 6 influenza seasons a sample size sufficient to permit analysis and characterization of differences between the groups. Changes in multiple factors that correlate with disease will be the primary analysis. </w:t>
      </w:r>
    </w:p>
    <w:p w14:paraId="78DAC7C0" w14:textId="77777777" w:rsidR="00D8529F" w:rsidRDefault="00D8529F" w:rsidP="00D8529F">
      <w:pPr>
        <w:rPr>
          <w:rFonts w:ascii="Tahoma" w:hAnsi="Tahoma" w:cs="Tahoma"/>
          <w:color w:val="000000"/>
          <w:sz w:val="20"/>
          <w:szCs w:val="20"/>
        </w:rPr>
      </w:pPr>
      <w:r>
        <w:rPr>
          <w:rFonts w:ascii="Tahoma" w:hAnsi="Tahoma" w:cs="Tahoma"/>
          <w:color w:val="000000"/>
          <w:sz w:val="20"/>
          <w:szCs w:val="20"/>
        </w:rPr>
        <w:t> </w:t>
      </w:r>
    </w:p>
    <w:p w14:paraId="7C2E1512" w14:textId="77777777" w:rsidR="00D8529F" w:rsidRDefault="00C77EAD" w:rsidP="00D8529F">
      <w:pPr>
        <w:rPr>
          <w:color w:val="000000"/>
        </w:rPr>
      </w:pPr>
      <w:r>
        <w:rPr>
          <w:color w:val="000000"/>
        </w:rPr>
        <w:t>In hospital and household settings, s</w:t>
      </w:r>
      <w:r w:rsidR="00D8529F">
        <w:rPr>
          <w:color w:val="000000"/>
        </w:rPr>
        <w:t>erologic analysis will be performed on 200 patients including: 1) Those with no clinical symptoms (N=100); 2) those with ILI and evidence of lower airway disease defined as diagnosis of pneumonia (N=40); 3) those who ILI and severe disease resulting in ICU admission, mechanical ventilation or death (N=10) and; 4) randomly selected ILI samples from the remaining subjects (N=50). Serologic analysis will be performed on groups 1-4. Based on our estimated prevalence data from our population, we anticipate that 20 of these (i.e. 20% of those from groups 2-4) will have positive PCR influenza tests. With these numbers, we anticipate that serologic analysis of each of the 4 groups will permit us to detect the added value of serologic testing when combined with PCR for identification of influenza infections. By definition, changes of four fold or greater in antibody titer at 28 days post infection compared to the titer at time of presentation is considered to be a positive response to influenza infection and will be used as the criteria for judging a positive result.</w:t>
      </w:r>
      <w:r>
        <w:rPr>
          <w:color w:val="000000"/>
        </w:rPr>
        <w:t xml:space="preserve"> In human-animal interface settings, serologic analysis will be performed on all individuals to identify possible prior exposure to influenza.</w:t>
      </w:r>
    </w:p>
    <w:p w14:paraId="123BCA46" w14:textId="77777777" w:rsidR="009911DF" w:rsidRPr="009911DF" w:rsidRDefault="009911DF" w:rsidP="00D8529F">
      <w:pPr>
        <w:rPr>
          <w:color w:val="000000"/>
        </w:rPr>
      </w:pPr>
    </w:p>
    <w:p w14:paraId="0EEB4B5A" w14:textId="4F1610B9" w:rsidR="00D8529F" w:rsidRPr="009911DF" w:rsidRDefault="009911DF" w:rsidP="00D8529F">
      <w:r w:rsidRPr="009911DF">
        <w:t xml:space="preserve">In household settings, a sample size of 211 households is needed to detect a relative </w:t>
      </w:r>
      <w:r>
        <w:t xml:space="preserve">transmission </w:t>
      </w:r>
      <w:r w:rsidRPr="009911DF">
        <w:t xml:space="preserve">risk of 1.5 with 80% power and a 5% type I error rate given an average household size of 6.4 persons, a secondary influenza attack rate of 24%, and within-household correlation of 0.3,. Assuming a withdrawal rate of 5%, a total of 299 households will be needed for an individual study. This sample size yields 99% power with a type I error of 5% to detect a secondary attack rate of 0.24 ± 2%. </w:t>
      </w:r>
    </w:p>
    <w:p w14:paraId="7D520851" w14:textId="77777777" w:rsidR="009911DF" w:rsidRPr="009911DF" w:rsidRDefault="009911DF" w:rsidP="00D8529F">
      <w:pPr>
        <w:rPr>
          <w:color w:val="000000"/>
        </w:rPr>
      </w:pPr>
    </w:p>
    <w:p w14:paraId="73B68040" w14:textId="77777777" w:rsidR="00D8529F" w:rsidRDefault="00D8529F" w:rsidP="00D8529F">
      <w:pPr>
        <w:rPr>
          <w:color w:val="000000"/>
        </w:rPr>
      </w:pPr>
      <w:r>
        <w:rPr>
          <w:color w:val="000000"/>
        </w:rPr>
        <w:t xml:space="preserve">Influenza virus genome sequencing will be performed on all influenza positive samples collected from both the immunological and serological study groups. Specific genotypes will be correlated with the clinical disease descriptions described above. </w:t>
      </w:r>
    </w:p>
    <w:p w14:paraId="3B631F2C" w14:textId="77777777" w:rsidR="00D8529F" w:rsidRDefault="00D8529F" w:rsidP="00D8529F">
      <w:pPr>
        <w:rPr>
          <w:color w:val="000000"/>
        </w:rPr>
      </w:pPr>
    </w:p>
    <w:p w14:paraId="64AFA1A4" w14:textId="77777777" w:rsidR="00D8529F" w:rsidRPr="00BF6E2C" w:rsidRDefault="00D8529F" w:rsidP="00D8529F">
      <w:pPr>
        <w:rPr>
          <w:iCs/>
          <w:color w:val="000000"/>
        </w:rPr>
      </w:pPr>
      <w:r w:rsidRPr="00BF6E2C">
        <w:rPr>
          <w:iCs/>
          <w:color w:val="000000"/>
        </w:rPr>
        <w:t xml:space="preserve">The following bullet points explain what information/data will be collected from subjects by a fully trained staff member known as a research coordinator (RC). All subjects will be enrolled for up to 3 weeks after their eligible study start date. </w:t>
      </w:r>
    </w:p>
    <w:p w14:paraId="40D8F56F" w14:textId="77777777" w:rsidR="00D8529F" w:rsidRPr="00BF6E2C" w:rsidRDefault="00D8529F" w:rsidP="00D8529F">
      <w:pPr>
        <w:numPr>
          <w:ilvl w:val="0"/>
          <w:numId w:val="16"/>
        </w:numPr>
        <w:rPr>
          <w:iCs/>
          <w:color w:val="000000"/>
        </w:rPr>
      </w:pPr>
      <w:r w:rsidRPr="00BF6E2C">
        <w:rPr>
          <w:iCs/>
          <w:color w:val="000000"/>
        </w:rPr>
        <w:t>Enrollment</w:t>
      </w:r>
    </w:p>
    <w:p w14:paraId="5E4C6988" w14:textId="77777777" w:rsidR="00D8529F" w:rsidRPr="00BF6E2C" w:rsidRDefault="00D8529F" w:rsidP="00D8529F">
      <w:pPr>
        <w:numPr>
          <w:ilvl w:val="1"/>
          <w:numId w:val="16"/>
        </w:numPr>
        <w:rPr>
          <w:iCs/>
          <w:color w:val="000000"/>
        </w:rPr>
      </w:pPr>
      <w:r w:rsidRPr="00BF6E2C">
        <w:rPr>
          <w:iCs/>
          <w:color w:val="000000"/>
        </w:rPr>
        <w:t>Screening to determine eligibility</w:t>
      </w:r>
    </w:p>
    <w:p w14:paraId="347967D0" w14:textId="77777777" w:rsidR="00D8529F" w:rsidRPr="00BF6E2C" w:rsidRDefault="00D8529F" w:rsidP="00D8529F">
      <w:pPr>
        <w:numPr>
          <w:ilvl w:val="1"/>
          <w:numId w:val="16"/>
        </w:numPr>
        <w:rPr>
          <w:iCs/>
          <w:color w:val="000000"/>
        </w:rPr>
      </w:pPr>
      <w:r w:rsidRPr="00BF6E2C">
        <w:rPr>
          <w:iCs/>
          <w:color w:val="000000"/>
        </w:rPr>
        <w:t>Written consent</w:t>
      </w:r>
    </w:p>
    <w:p w14:paraId="3090757F" w14:textId="77777777" w:rsidR="00D8529F" w:rsidRPr="00BF6E2C" w:rsidRDefault="00D8529F" w:rsidP="00D8529F">
      <w:pPr>
        <w:numPr>
          <w:ilvl w:val="1"/>
          <w:numId w:val="16"/>
        </w:numPr>
        <w:rPr>
          <w:iCs/>
          <w:color w:val="000000"/>
        </w:rPr>
      </w:pPr>
      <w:r w:rsidRPr="00BF6E2C">
        <w:rPr>
          <w:color w:val="000000"/>
        </w:rPr>
        <w:t>Enrollment questionnaire including basic demographic data, vaccination history, co-morbid illness, initial vital signs and history of present illness</w:t>
      </w:r>
      <w:r w:rsidRPr="00BF6E2C">
        <w:rPr>
          <w:iCs/>
          <w:color w:val="000000"/>
        </w:rPr>
        <w:t>.</w:t>
      </w:r>
    </w:p>
    <w:p w14:paraId="30F8684C" w14:textId="77777777" w:rsidR="00D8529F" w:rsidRPr="00BF6E2C" w:rsidRDefault="00D8529F" w:rsidP="00D8529F">
      <w:pPr>
        <w:numPr>
          <w:ilvl w:val="1"/>
          <w:numId w:val="16"/>
        </w:numPr>
        <w:rPr>
          <w:iCs/>
          <w:color w:val="000000"/>
        </w:rPr>
      </w:pPr>
      <w:r w:rsidRPr="00BF6E2C">
        <w:rPr>
          <w:iCs/>
          <w:color w:val="000000"/>
        </w:rPr>
        <w:t>Collection of serum sample</w:t>
      </w:r>
    </w:p>
    <w:p w14:paraId="44C5F94F" w14:textId="77777777" w:rsidR="00D8529F" w:rsidRPr="00BF6E2C" w:rsidRDefault="00D8529F" w:rsidP="00D8529F">
      <w:pPr>
        <w:numPr>
          <w:ilvl w:val="1"/>
          <w:numId w:val="16"/>
        </w:numPr>
        <w:rPr>
          <w:iCs/>
          <w:color w:val="000000"/>
        </w:rPr>
      </w:pPr>
      <w:r w:rsidRPr="00BF6E2C">
        <w:rPr>
          <w:iCs/>
          <w:color w:val="000000"/>
        </w:rPr>
        <w:t>Collection of nasopharyngeal swab sample</w:t>
      </w:r>
    </w:p>
    <w:p w14:paraId="79FA3366" w14:textId="77777777" w:rsidR="00D8529F" w:rsidRPr="00BF6E2C" w:rsidRDefault="00D8529F" w:rsidP="00D8529F">
      <w:pPr>
        <w:numPr>
          <w:ilvl w:val="1"/>
          <w:numId w:val="16"/>
        </w:numPr>
        <w:rPr>
          <w:iCs/>
          <w:color w:val="000000"/>
        </w:rPr>
      </w:pPr>
      <w:r w:rsidRPr="00BF6E2C">
        <w:rPr>
          <w:iCs/>
          <w:color w:val="000000"/>
        </w:rPr>
        <w:t>Collection of nasopharyngeal wash sample (Taiwan only)</w:t>
      </w:r>
    </w:p>
    <w:p w14:paraId="0E92B8E2" w14:textId="77777777" w:rsidR="00D8529F" w:rsidRPr="00BF6E2C" w:rsidRDefault="00D8529F" w:rsidP="00D8529F">
      <w:pPr>
        <w:numPr>
          <w:ilvl w:val="1"/>
          <w:numId w:val="16"/>
        </w:numPr>
        <w:rPr>
          <w:iCs/>
          <w:color w:val="000000"/>
        </w:rPr>
      </w:pPr>
      <w:r w:rsidRPr="00BF6E2C">
        <w:rPr>
          <w:iCs/>
          <w:color w:val="000000"/>
        </w:rPr>
        <w:t>Test for influenza</w:t>
      </w:r>
    </w:p>
    <w:p w14:paraId="2DCB6E13" w14:textId="77777777" w:rsidR="00D8529F" w:rsidRPr="00BF6E2C" w:rsidRDefault="00D8529F" w:rsidP="00D8529F">
      <w:pPr>
        <w:numPr>
          <w:ilvl w:val="1"/>
          <w:numId w:val="16"/>
        </w:numPr>
        <w:rPr>
          <w:iCs/>
          <w:color w:val="000000"/>
        </w:rPr>
      </w:pPr>
      <w:r w:rsidRPr="00BF6E2C">
        <w:rPr>
          <w:iCs/>
          <w:color w:val="000000"/>
        </w:rPr>
        <w:t>If influenza positive, then collect nasopharyngeal wash sample</w:t>
      </w:r>
    </w:p>
    <w:p w14:paraId="704A9CAD" w14:textId="77777777" w:rsidR="00D8529F" w:rsidRPr="00BF6E2C" w:rsidRDefault="00D8529F" w:rsidP="00D8529F">
      <w:pPr>
        <w:numPr>
          <w:ilvl w:val="0"/>
          <w:numId w:val="17"/>
        </w:numPr>
        <w:rPr>
          <w:color w:val="000000"/>
        </w:rPr>
      </w:pPr>
      <w:r w:rsidRPr="00BF6E2C">
        <w:rPr>
          <w:iCs/>
          <w:color w:val="000000"/>
        </w:rPr>
        <w:lastRenderedPageBreak/>
        <w:t>Follow up visit</w:t>
      </w:r>
      <w:r>
        <w:rPr>
          <w:iCs/>
          <w:color w:val="000000"/>
        </w:rPr>
        <w:t xml:space="preserve"> #1-4 (most studies will involve one follow up visit, up to four are possible </w:t>
      </w:r>
      <w:r w:rsidR="00E772F4">
        <w:rPr>
          <w:iCs/>
          <w:color w:val="000000"/>
        </w:rPr>
        <w:t>if an individual is determined to be influenza positive in the initial test</w:t>
      </w:r>
      <w:r>
        <w:rPr>
          <w:iCs/>
          <w:color w:val="000000"/>
        </w:rPr>
        <w:t>)</w:t>
      </w:r>
    </w:p>
    <w:p w14:paraId="79698783" w14:textId="77777777" w:rsidR="00D8529F" w:rsidRPr="00BF6E2C" w:rsidRDefault="00D8529F" w:rsidP="00D8529F">
      <w:pPr>
        <w:numPr>
          <w:ilvl w:val="1"/>
          <w:numId w:val="17"/>
        </w:numPr>
        <w:rPr>
          <w:color w:val="000000"/>
        </w:rPr>
      </w:pPr>
      <w:r w:rsidRPr="00BF6E2C">
        <w:rPr>
          <w:iCs/>
          <w:color w:val="000000"/>
        </w:rPr>
        <w:t>Follow up questionnaire to assess clinical course</w:t>
      </w:r>
    </w:p>
    <w:p w14:paraId="6080B7BB" w14:textId="77777777" w:rsidR="00D8529F" w:rsidRPr="00BF6E2C" w:rsidRDefault="00D8529F" w:rsidP="00D8529F">
      <w:pPr>
        <w:numPr>
          <w:ilvl w:val="1"/>
          <w:numId w:val="17"/>
        </w:numPr>
        <w:rPr>
          <w:color w:val="000000"/>
        </w:rPr>
      </w:pPr>
      <w:r w:rsidRPr="00BF6E2C">
        <w:rPr>
          <w:iCs/>
          <w:color w:val="000000"/>
        </w:rPr>
        <w:t>Collection of serum sample</w:t>
      </w:r>
    </w:p>
    <w:p w14:paraId="4515669C" w14:textId="77777777" w:rsidR="00D8529F" w:rsidRPr="00BF6E2C" w:rsidRDefault="00D8529F" w:rsidP="00D8529F">
      <w:pPr>
        <w:numPr>
          <w:ilvl w:val="1"/>
          <w:numId w:val="17"/>
        </w:numPr>
        <w:rPr>
          <w:color w:val="000000"/>
        </w:rPr>
      </w:pPr>
      <w:r w:rsidRPr="00BF6E2C">
        <w:rPr>
          <w:iCs/>
          <w:color w:val="000000"/>
        </w:rPr>
        <w:t>Medical record review to assess clinical course</w:t>
      </w:r>
    </w:p>
    <w:p w14:paraId="610E5B2B" w14:textId="77777777" w:rsidR="00D8529F" w:rsidRPr="00BF6E2C" w:rsidRDefault="00D8529F" w:rsidP="00D8529F">
      <w:pPr>
        <w:rPr>
          <w:iCs/>
          <w:color w:val="000000"/>
        </w:rPr>
      </w:pPr>
    </w:p>
    <w:p w14:paraId="7ECC5B0E" w14:textId="77777777" w:rsidR="00D8529F" w:rsidRPr="00BF6E2C" w:rsidRDefault="00D8529F" w:rsidP="00D8529F">
      <w:pPr>
        <w:rPr>
          <w:iCs/>
          <w:color w:val="000000"/>
        </w:rPr>
      </w:pPr>
      <w:r w:rsidRPr="00BF6E2C">
        <w:rPr>
          <w:iCs/>
          <w:color w:val="000000"/>
        </w:rPr>
        <w:t>Quality Management Plan:</w:t>
      </w:r>
    </w:p>
    <w:p w14:paraId="00CE3182" w14:textId="77777777" w:rsidR="00D8529F" w:rsidRPr="00BF6E2C" w:rsidRDefault="00D8529F" w:rsidP="00D8529F">
      <w:pPr>
        <w:rPr>
          <w:iCs/>
          <w:color w:val="000000"/>
        </w:rPr>
      </w:pPr>
      <w:r w:rsidRPr="00BF6E2C">
        <w:rPr>
          <w:iCs/>
          <w:color w:val="000000"/>
        </w:rPr>
        <w:tab/>
        <w:t>This protocol has a DMID-approved quality management plan and a DMID-approved site specific quality management plan. These approved plans outline in detail the plan for quality control and quality assurance of all data entered in</w:t>
      </w:r>
      <w:r w:rsidR="000702BC">
        <w:rPr>
          <w:iCs/>
          <w:color w:val="000000"/>
        </w:rPr>
        <w:t xml:space="preserve"> a 21CFR11 compliant database</w:t>
      </w:r>
      <w:r w:rsidRPr="00BF6E2C">
        <w:rPr>
          <w:iCs/>
          <w:color w:val="000000"/>
        </w:rPr>
        <w:t xml:space="preserve">. </w:t>
      </w:r>
    </w:p>
    <w:p w14:paraId="014E00CD" w14:textId="77777777" w:rsidR="00D8529F" w:rsidRPr="00292477" w:rsidRDefault="00D8529F" w:rsidP="00D8529F">
      <w:pPr>
        <w:rPr>
          <w:iCs/>
        </w:rPr>
      </w:pPr>
      <w:r w:rsidRPr="00BF6E2C">
        <w:rPr>
          <w:iCs/>
          <w:color w:val="000000"/>
        </w:rPr>
        <w:tab/>
        <w:t xml:space="preserve">All data collection is the responsibility of the research coordinator and must be captured correctly, and consistent between all research coordinators </w:t>
      </w:r>
      <w:r w:rsidR="000702BC">
        <w:rPr>
          <w:iCs/>
          <w:color w:val="000000"/>
        </w:rPr>
        <w:t xml:space="preserve">across sites. The data manager </w:t>
      </w:r>
      <w:r w:rsidRPr="00BF6E2C">
        <w:rPr>
          <w:iCs/>
          <w:color w:val="000000"/>
        </w:rPr>
        <w:t xml:space="preserve">is responsible for ensuring data integrity of his staff by the </w:t>
      </w:r>
      <w:r w:rsidRPr="00292477">
        <w:rPr>
          <w:iCs/>
        </w:rPr>
        <w:t>methods outlines in the quality management plan which include, but are not limited to the following:</w:t>
      </w:r>
    </w:p>
    <w:p w14:paraId="28817145" w14:textId="3FD3ACFC" w:rsidR="00D8529F" w:rsidRPr="00292477" w:rsidRDefault="00D8529F" w:rsidP="00D8529F">
      <w:pPr>
        <w:numPr>
          <w:ilvl w:val="0"/>
          <w:numId w:val="19"/>
        </w:numPr>
        <w:rPr>
          <w:iCs/>
        </w:rPr>
      </w:pPr>
      <w:r w:rsidRPr="00292477">
        <w:rPr>
          <w:iCs/>
        </w:rPr>
        <w:t>Quality control is the 100% real-time review of day-to-day operations, including all study-related documentation and measurement of the conduct of the protocol in real-time by delegated personnel in the field and associated centers. By front-loading quality management into the daily operations of protocol implementation with real time controls for assuring errors are detected and corrected early, unnecessary or duplicate efforts and resources are minimized, data and protocol timelines are efficiently managed. All source documents must be reviewed by the clinical team and data entry staff, for assuring accuracy and completion. QC Tools include: Form 12</w:t>
      </w:r>
      <w:r w:rsidR="00043555" w:rsidRPr="00292477">
        <w:rPr>
          <w:iCs/>
        </w:rPr>
        <w:t>A</w:t>
      </w:r>
      <w:r w:rsidRPr="00292477">
        <w:rPr>
          <w:iCs/>
        </w:rPr>
        <w:t>, Form 13</w:t>
      </w:r>
      <w:r w:rsidR="00043555" w:rsidRPr="00292477">
        <w:rPr>
          <w:iCs/>
        </w:rPr>
        <w:t>A</w:t>
      </w:r>
      <w:r w:rsidRPr="00292477">
        <w:rPr>
          <w:iCs/>
        </w:rPr>
        <w:t xml:space="preserve">, </w:t>
      </w:r>
      <w:r w:rsidR="00043555" w:rsidRPr="00292477">
        <w:rPr>
          <w:iCs/>
        </w:rPr>
        <w:t xml:space="preserve">and </w:t>
      </w:r>
      <w:r w:rsidRPr="00292477">
        <w:rPr>
          <w:iCs/>
        </w:rPr>
        <w:t>Form 15</w:t>
      </w:r>
      <w:r w:rsidR="00043555" w:rsidRPr="00292477">
        <w:rPr>
          <w:iCs/>
        </w:rPr>
        <w:t>A.</w:t>
      </w:r>
      <w:r w:rsidRPr="00292477">
        <w:rPr>
          <w:iCs/>
        </w:rPr>
        <w:t xml:space="preserve"> </w:t>
      </w:r>
    </w:p>
    <w:p w14:paraId="08E33D45" w14:textId="77777777" w:rsidR="00D8529F" w:rsidRPr="00292477" w:rsidRDefault="00D8529F" w:rsidP="00D8529F">
      <w:pPr>
        <w:rPr>
          <w:iCs/>
        </w:rPr>
      </w:pPr>
    </w:p>
    <w:p w14:paraId="10B2390D" w14:textId="58850933" w:rsidR="00D8529F" w:rsidRPr="00292477" w:rsidRDefault="00D8529F" w:rsidP="00D8529F">
      <w:pPr>
        <w:numPr>
          <w:ilvl w:val="0"/>
          <w:numId w:val="19"/>
        </w:numPr>
        <w:rPr>
          <w:iCs/>
        </w:rPr>
      </w:pPr>
      <w:r w:rsidRPr="00292477">
        <w:rPr>
          <w:iCs/>
        </w:rPr>
        <w:t xml:space="preserve">Quality Assurance is the periodic, </w:t>
      </w:r>
      <w:r w:rsidRPr="00292477">
        <w:rPr>
          <w:b/>
          <w:iCs/>
        </w:rPr>
        <w:t>retrospective</w:t>
      </w:r>
      <w:r w:rsidRPr="00292477">
        <w:rPr>
          <w:iCs/>
        </w:rPr>
        <w:t xml:space="preserve">, and systematic examination of the study processes by selecting a </w:t>
      </w:r>
      <w:r w:rsidRPr="00292477">
        <w:rPr>
          <w:b/>
          <w:iCs/>
        </w:rPr>
        <w:t>review frequency</w:t>
      </w:r>
      <w:r w:rsidRPr="00292477">
        <w:rPr>
          <w:iCs/>
        </w:rPr>
        <w:t xml:space="preserve"> and </w:t>
      </w:r>
      <w:r w:rsidRPr="00292477">
        <w:rPr>
          <w:b/>
          <w:iCs/>
        </w:rPr>
        <w:t>specified sample size</w:t>
      </w:r>
      <w:r w:rsidRPr="00292477">
        <w:rPr>
          <w:iCs/>
        </w:rPr>
        <w:t xml:space="preserve"> (10 %), of records and key areas representing the total work effort. Research processes and systems reviewed for assurance include, </w:t>
      </w:r>
      <w:r w:rsidRPr="00292477">
        <w:rPr>
          <w:i/>
          <w:iCs/>
        </w:rPr>
        <w:t>but are not limited to</w:t>
      </w:r>
      <w:r w:rsidRPr="00292477">
        <w:rPr>
          <w:iCs/>
        </w:rPr>
        <w:t xml:space="preserve"> determining eligibility, informed consent form and process, source data verification, study database quality control efforts, clinical laboratory processes (including processing, documenting, and shipping clinical specimens), and timely reporting of protocol deviations. Site visits conducted by a CEIRS contractor and/or DMID may occur for the purposes of oversight of Administrative and Clinical Site performance.  Issues identified from these sources should be considered toward process improvements.  QA Tools include: Forms 12</w:t>
      </w:r>
      <w:r w:rsidR="00292477" w:rsidRPr="00292477">
        <w:rPr>
          <w:iCs/>
        </w:rPr>
        <w:t>A</w:t>
      </w:r>
      <w:r w:rsidRPr="00292477">
        <w:rPr>
          <w:iCs/>
        </w:rPr>
        <w:t>, 14</w:t>
      </w:r>
      <w:r w:rsidR="00292477" w:rsidRPr="00292477">
        <w:rPr>
          <w:iCs/>
        </w:rPr>
        <w:t>A</w:t>
      </w:r>
      <w:r w:rsidRPr="00292477">
        <w:rPr>
          <w:iCs/>
        </w:rPr>
        <w:t xml:space="preserve">, </w:t>
      </w:r>
      <w:r w:rsidR="00292477" w:rsidRPr="00292477">
        <w:rPr>
          <w:iCs/>
        </w:rPr>
        <w:t xml:space="preserve">and </w:t>
      </w:r>
      <w:r w:rsidRPr="00292477">
        <w:rPr>
          <w:iCs/>
        </w:rPr>
        <w:t>15</w:t>
      </w:r>
      <w:r w:rsidR="00292477" w:rsidRPr="00292477">
        <w:rPr>
          <w:iCs/>
        </w:rPr>
        <w:t>A</w:t>
      </w:r>
      <w:r w:rsidRPr="00292477">
        <w:rPr>
          <w:iCs/>
        </w:rPr>
        <w:t>.</w:t>
      </w:r>
    </w:p>
    <w:p w14:paraId="204373AA" w14:textId="77777777" w:rsidR="006D7352" w:rsidRPr="00D84C5F" w:rsidRDefault="006D7352" w:rsidP="00E50580">
      <w:pPr>
        <w:tabs>
          <w:tab w:val="left" w:pos="-1440"/>
          <w:tab w:val="left" w:pos="360"/>
        </w:tabs>
        <w:ind w:left="360" w:hanging="360"/>
      </w:pPr>
    </w:p>
    <w:p w14:paraId="56B90AF9" w14:textId="77777777" w:rsidR="00E112B7" w:rsidRPr="00D84C5F" w:rsidRDefault="000F6932" w:rsidP="00E50580">
      <w:pPr>
        <w:pStyle w:val="Heading2"/>
      </w:pPr>
      <w:bookmarkStart w:id="7" w:name="_Toc268185590"/>
      <w:bookmarkStart w:id="8" w:name="_Toc285098599"/>
      <w:r w:rsidRPr="00D84C5F">
        <w:t>B.3</w:t>
      </w:r>
      <w:r w:rsidRPr="00D84C5F">
        <w:tab/>
      </w:r>
      <w:r w:rsidR="00AC44D3" w:rsidRPr="00D84C5F">
        <w:t>METHODS TO MAXIMIZE RESPONSE RATES AND DEAL WITH NON-RESPONSE</w:t>
      </w:r>
      <w:bookmarkEnd w:id="7"/>
      <w:bookmarkEnd w:id="8"/>
    </w:p>
    <w:p w14:paraId="13E6DC39" w14:textId="2EEA9540" w:rsidR="00D8529F" w:rsidRPr="00E4064A" w:rsidRDefault="00D8529F" w:rsidP="00D8529F">
      <w:pPr>
        <w:pStyle w:val="P1-StandPara"/>
        <w:tabs>
          <w:tab w:val="left" w:pos="720"/>
          <w:tab w:val="right" w:leader="dot" w:pos="9504"/>
        </w:tabs>
        <w:spacing w:before="120" w:after="120" w:line="240" w:lineRule="auto"/>
        <w:ind w:firstLine="0"/>
        <w:rPr>
          <w:color w:val="000000"/>
          <w:sz w:val="24"/>
          <w:szCs w:val="24"/>
        </w:rPr>
      </w:pPr>
      <w:bookmarkStart w:id="9" w:name="_Toc268185591"/>
      <w:bookmarkStart w:id="10" w:name="_Toc285098600"/>
      <w:r w:rsidRPr="00BF6E2C">
        <w:rPr>
          <w:color w:val="000000"/>
          <w:sz w:val="24"/>
          <w:szCs w:val="24"/>
        </w:rPr>
        <w:t xml:space="preserve">Subjects are informed in detail what the study requests of them prior to enrolling the subject so the subject is made aware of all effort and benefits to them. Subjects are reminded they are in no way required to participate, and may withdraw at any moment. </w:t>
      </w:r>
      <w:r w:rsidR="00FF45E0" w:rsidRPr="00AA5B6F">
        <w:rPr>
          <w:color w:val="000000"/>
          <w:sz w:val="24"/>
          <w:szCs w:val="24"/>
          <w:highlight w:val="yellow"/>
        </w:rPr>
        <w:t>F</w:t>
      </w:r>
      <w:r w:rsidR="006B3F5D" w:rsidRPr="00AA5B6F">
        <w:rPr>
          <w:color w:val="000000"/>
          <w:sz w:val="24"/>
          <w:szCs w:val="24"/>
          <w:highlight w:val="yellow"/>
        </w:rPr>
        <w:t>ollow-up</w:t>
      </w:r>
      <w:r w:rsidR="00FF45E0" w:rsidRPr="00AA5B6F">
        <w:rPr>
          <w:color w:val="000000"/>
          <w:sz w:val="24"/>
          <w:szCs w:val="24"/>
          <w:highlight w:val="yellow"/>
        </w:rPr>
        <w:t>/</w:t>
      </w:r>
      <w:r w:rsidR="006B3F5D" w:rsidRPr="00AA5B6F">
        <w:rPr>
          <w:color w:val="000000"/>
          <w:sz w:val="24"/>
          <w:szCs w:val="24"/>
          <w:highlight w:val="yellow"/>
        </w:rPr>
        <w:t xml:space="preserve"> response</w:t>
      </w:r>
      <w:r w:rsidR="00E70521" w:rsidRPr="00AA5B6F">
        <w:rPr>
          <w:color w:val="000000"/>
          <w:sz w:val="24"/>
          <w:szCs w:val="24"/>
          <w:highlight w:val="yellow"/>
        </w:rPr>
        <w:t xml:space="preserve"> rates for the </w:t>
      </w:r>
      <w:r w:rsidR="00E07925" w:rsidRPr="00AA5B6F">
        <w:rPr>
          <w:color w:val="000000"/>
          <w:sz w:val="24"/>
          <w:szCs w:val="24"/>
          <w:highlight w:val="yellow"/>
        </w:rPr>
        <w:t>current</w:t>
      </w:r>
      <w:r w:rsidR="00E70521" w:rsidRPr="00AA5B6F">
        <w:rPr>
          <w:color w:val="000000"/>
          <w:sz w:val="24"/>
          <w:szCs w:val="24"/>
          <w:highlight w:val="yellow"/>
        </w:rPr>
        <w:t xml:space="preserve"> emergency </w:t>
      </w:r>
      <w:r w:rsidR="00E07925" w:rsidRPr="00AA5B6F">
        <w:rPr>
          <w:color w:val="000000"/>
          <w:sz w:val="24"/>
          <w:szCs w:val="24"/>
          <w:highlight w:val="yellow"/>
        </w:rPr>
        <w:t xml:space="preserve">exemption </w:t>
      </w:r>
      <w:r w:rsidR="00E70521" w:rsidRPr="00AA5B6F">
        <w:rPr>
          <w:color w:val="000000"/>
          <w:sz w:val="24"/>
          <w:szCs w:val="24"/>
          <w:highlight w:val="yellow"/>
        </w:rPr>
        <w:t xml:space="preserve">collection conducted for the </w:t>
      </w:r>
      <w:r w:rsidR="00E07925" w:rsidRPr="00AA5B6F">
        <w:rPr>
          <w:color w:val="000000"/>
          <w:sz w:val="24"/>
          <w:szCs w:val="24"/>
          <w:highlight w:val="yellow"/>
        </w:rPr>
        <w:t>2015-2016</w:t>
      </w:r>
      <w:r w:rsidR="00E70521" w:rsidRPr="00AA5B6F">
        <w:rPr>
          <w:color w:val="000000"/>
          <w:sz w:val="24"/>
          <w:szCs w:val="24"/>
          <w:highlight w:val="yellow"/>
        </w:rPr>
        <w:t xml:space="preserve"> influenza season </w:t>
      </w:r>
      <w:r w:rsidR="00E07925" w:rsidRPr="00AA5B6F">
        <w:rPr>
          <w:color w:val="000000"/>
          <w:sz w:val="24"/>
          <w:szCs w:val="24"/>
          <w:highlight w:val="yellow"/>
        </w:rPr>
        <w:t>is 91</w:t>
      </w:r>
      <w:r w:rsidR="00E70521" w:rsidRPr="00AA5B6F">
        <w:rPr>
          <w:color w:val="000000"/>
          <w:sz w:val="24"/>
          <w:szCs w:val="24"/>
          <w:highlight w:val="yellow"/>
        </w:rPr>
        <w:t>%.</w:t>
      </w:r>
    </w:p>
    <w:p w14:paraId="1A9B25C4" w14:textId="6E673A6B" w:rsidR="00D8529F" w:rsidRPr="00BF6E2C" w:rsidRDefault="00D8529F" w:rsidP="00D8529F">
      <w:pPr>
        <w:pStyle w:val="P1-StandPara"/>
        <w:tabs>
          <w:tab w:val="left" w:pos="720"/>
          <w:tab w:val="right" w:leader="dot" w:pos="9504"/>
        </w:tabs>
        <w:spacing w:before="120" w:line="240" w:lineRule="auto"/>
        <w:ind w:firstLine="0"/>
        <w:rPr>
          <w:color w:val="000000"/>
          <w:sz w:val="24"/>
          <w:szCs w:val="24"/>
        </w:rPr>
      </w:pPr>
      <w:r w:rsidRPr="00BF6E2C">
        <w:rPr>
          <w:color w:val="000000"/>
          <w:sz w:val="24"/>
          <w:szCs w:val="24"/>
        </w:rPr>
        <w:t xml:space="preserve">In order to maximize the collection of all data points, fully trained </w:t>
      </w:r>
      <w:proofErr w:type="gramStart"/>
      <w:r w:rsidRPr="00BF6E2C">
        <w:rPr>
          <w:color w:val="000000"/>
          <w:sz w:val="24"/>
          <w:szCs w:val="24"/>
        </w:rPr>
        <w:t xml:space="preserve">staff </w:t>
      </w:r>
      <w:r>
        <w:rPr>
          <w:color w:val="000000"/>
          <w:sz w:val="24"/>
          <w:szCs w:val="24"/>
        </w:rPr>
        <w:t>(</w:t>
      </w:r>
      <w:r w:rsidRPr="00BF6E2C">
        <w:rPr>
          <w:color w:val="000000"/>
          <w:sz w:val="24"/>
          <w:szCs w:val="24"/>
        </w:rPr>
        <w:t>research coordinators</w:t>
      </w:r>
      <w:r>
        <w:rPr>
          <w:color w:val="000000"/>
          <w:sz w:val="24"/>
          <w:szCs w:val="24"/>
        </w:rPr>
        <w:t>) who are</w:t>
      </w:r>
      <w:proofErr w:type="gramEnd"/>
      <w:r>
        <w:rPr>
          <w:color w:val="000000"/>
          <w:sz w:val="24"/>
          <w:szCs w:val="24"/>
        </w:rPr>
        <w:t xml:space="preserve"> familiar with the acute care environment</w:t>
      </w:r>
      <w:r w:rsidRPr="00BF6E2C">
        <w:rPr>
          <w:color w:val="000000"/>
          <w:sz w:val="24"/>
          <w:szCs w:val="24"/>
        </w:rPr>
        <w:t xml:space="preserve"> will verbally ask each subject to respond to the listed </w:t>
      </w:r>
      <w:r>
        <w:rPr>
          <w:color w:val="000000"/>
          <w:sz w:val="24"/>
          <w:szCs w:val="24"/>
        </w:rPr>
        <w:lastRenderedPageBreak/>
        <w:t xml:space="preserve">structured </w:t>
      </w:r>
      <w:r w:rsidRPr="00BF6E2C">
        <w:rPr>
          <w:color w:val="000000"/>
          <w:sz w:val="24"/>
          <w:szCs w:val="24"/>
        </w:rPr>
        <w:t xml:space="preserve">questions in a step by-step manner.  After completion of the </w:t>
      </w:r>
      <w:r>
        <w:rPr>
          <w:color w:val="000000"/>
          <w:sz w:val="24"/>
          <w:szCs w:val="24"/>
        </w:rPr>
        <w:t xml:space="preserve">structured </w:t>
      </w:r>
      <w:r w:rsidRPr="00BF6E2C">
        <w:rPr>
          <w:color w:val="000000"/>
          <w:sz w:val="24"/>
          <w:szCs w:val="24"/>
        </w:rPr>
        <w:t xml:space="preserve">clinical data form, research coordinators will immediately review the subject’s past medical history with what is reported in the medical record.  Any discrepancy between subjects report and the medical record will be brought to the subject’s attention and corrected on the enrollment form as appropriate based upon the subject’s report. No data points </w:t>
      </w:r>
      <w:r>
        <w:rPr>
          <w:color w:val="000000"/>
          <w:sz w:val="24"/>
          <w:szCs w:val="24"/>
        </w:rPr>
        <w:t xml:space="preserve">will be </w:t>
      </w:r>
      <w:r w:rsidRPr="00BF6E2C">
        <w:rPr>
          <w:color w:val="000000"/>
          <w:sz w:val="24"/>
          <w:szCs w:val="24"/>
        </w:rPr>
        <w:t xml:space="preserve">left blank on a data collection form. If unknown or not applicable values exist, they should be marked as “999” to indicate a value does not exist. </w:t>
      </w:r>
      <w:r>
        <w:rPr>
          <w:color w:val="000000"/>
          <w:sz w:val="24"/>
          <w:szCs w:val="24"/>
        </w:rPr>
        <w:t>Quality assurance checks on data entry will be carried out according to our QA/QC plan which was reviewed and approved by experts from NIAID. Our quality control plan allows us to estimate an 85% successful response rate. Methods to assure reliable follow-up include collection of multiple contact numbers for subjects, return phone call reminders, and flexible scheduling of return visits and/or phone follow-up calls to fit the patients’ schedules within a 3 week period</w:t>
      </w:r>
      <w:r w:rsidR="00B610DA">
        <w:rPr>
          <w:color w:val="000000"/>
          <w:sz w:val="24"/>
          <w:szCs w:val="24"/>
        </w:rPr>
        <w:t xml:space="preserve"> </w:t>
      </w:r>
      <w:r w:rsidR="00B610DA" w:rsidRPr="00AA5B6F">
        <w:rPr>
          <w:color w:val="000000"/>
          <w:sz w:val="24"/>
          <w:szCs w:val="24"/>
          <w:highlight w:val="yellow"/>
        </w:rPr>
        <w:t xml:space="preserve">has resulted in a 91% successful </w:t>
      </w:r>
      <w:r w:rsidR="006B3F5D" w:rsidRPr="00AA5B6F">
        <w:rPr>
          <w:color w:val="000000"/>
          <w:sz w:val="24"/>
          <w:szCs w:val="24"/>
          <w:highlight w:val="yellow"/>
        </w:rPr>
        <w:t>follow-up</w:t>
      </w:r>
      <w:r w:rsidR="00FF45E0" w:rsidRPr="00AA5B6F">
        <w:rPr>
          <w:color w:val="000000"/>
          <w:sz w:val="24"/>
          <w:szCs w:val="24"/>
          <w:highlight w:val="yellow"/>
        </w:rPr>
        <w:t>/</w:t>
      </w:r>
      <w:r w:rsidR="006B3F5D" w:rsidRPr="00AA5B6F">
        <w:rPr>
          <w:color w:val="000000"/>
          <w:sz w:val="24"/>
          <w:szCs w:val="24"/>
          <w:highlight w:val="yellow"/>
        </w:rPr>
        <w:t xml:space="preserve"> response</w:t>
      </w:r>
      <w:r w:rsidR="00B610DA" w:rsidRPr="00AA5B6F">
        <w:rPr>
          <w:color w:val="000000"/>
          <w:sz w:val="24"/>
          <w:szCs w:val="24"/>
          <w:highlight w:val="yellow"/>
        </w:rPr>
        <w:t xml:space="preserve"> rate at the Johns Hopkins University location. </w:t>
      </w:r>
    </w:p>
    <w:p w14:paraId="4D048660" w14:textId="77777777" w:rsidR="00E112B7" w:rsidRPr="00D84C5F" w:rsidRDefault="00215E15" w:rsidP="00E50580">
      <w:pPr>
        <w:pStyle w:val="Heading2"/>
      </w:pPr>
      <w:r w:rsidRPr="00D84C5F">
        <w:t>B.</w:t>
      </w:r>
      <w:r w:rsidR="00E112B7" w:rsidRPr="00D84C5F">
        <w:t>4</w:t>
      </w:r>
      <w:r w:rsidR="00E112B7" w:rsidRPr="00D84C5F">
        <w:tab/>
      </w:r>
      <w:r w:rsidR="00AC44D3" w:rsidRPr="00D84C5F">
        <w:t>TEST OF PROCEDURES OR METHODS TO BE UNDERTAKEN</w:t>
      </w:r>
      <w:bookmarkEnd w:id="9"/>
      <w:bookmarkEnd w:id="10"/>
    </w:p>
    <w:p w14:paraId="41A3F73A" w14:textId="77777777" w:rsidR="00D8529F" w:rsidRPr="00CE24AF" w:rsidRDefault="00D8529F" w:rsidP="00D8529F">
      <w:bookmarkStart w:id="11" w:name="_Toc268185592"/>
      <w:bookmarkStart w:id="12" w:name="_Toc285098601"/>
      <w:r>
        <w:t>The research teams</w:t>
      </w:r>
      <w:r w:rsidRPr="00CE24AF">
        <w:t xml:space="preserve"> design the content and format for collection of samples and key data elements based on prior successful influenza studies. Those methods have been found to permit accurate and reliable collection of samples and reporting of data. The study coordinators </w:t>
      </w:r>
      <w:r>
        <w:t>will be</w:t>
      </w:r>
      <w:r w:rsidRPr="00CE24AF">
        <w:t xml:space="preserve"> directly trained by the PI and regular oversight will be provided by a Senior Coordinator (trained by the PI) to ensure consistency with procedures associated with the study.</w:t>
      </w:r>
    </w:p>
    <w:p w14:paraId="4A504A8E" w14:textId="77777777" w:rsidR="00E112B7" w:rsidRPr="00D84C5F" w:rsidRDefault="00215E15" w:rsidP="00E50580">
      <w:pPr>
        <w:pStyle w:val="Heading2"/>
      </w:pPr>
      <w:r w:rsidRPr="00D84C5F">
        <w:t>B.</w:t>
      </w:r>
      <w:r w:rsidR="00E112B7" w:rsidRPr="00D84C5F">
        <w:t>5</w:t>
      </w:r>
      <w:r w:rsidR="00E112B7" w:rsidRPr="00D84C5F">
        <w:tab/>
      </w:r>
      <w:r w:rsidR="00AC44D3" w:rsidRPr="00D84C5F">
        <w:t>INDIVIDUALS CONSULTED ON STATISTICAL ASPECTS AND INDIVIDUALS COLLECTING AND/OR ANALYZING DATA</w:t>
      </w:r>
      <w:bookmarkEnd w:id="11"/>
      <w:bookmarkEnd w:id="12"/>
    </w:p>
    <w:p w14:paraId="0549054D" w14:textId="77777777" w:rsidR="00725EC6" w:rsidRDefault="00E112B7">
      <w:r w:rsidRPr="00D84C5F">
        <w:t xml:space="preserve">Each </w:t>
      </w:r>
      <w:r w:rsidR="00770EF1" w:rsidRPr="00D84C5F">
        <w:t xml:space="preserve">data collection </w:t>
      </w:r>
      <w:r w:rsidR="0031556E" w:rsidRPr="00D84C5F">
        <w:t xml:space="preserve">team </w:t>
      </w:r>
      <w:r w:rsidR="00D8529F">
        <w:t>will obtain input from physicians, researchers, and statisticians.</w:t>
      </w:r>
    </w:p>
    <w:sectPr w:rsidR="00725EC6" w:rsidSect="00552DC5">
      <w:pgSz w:w="12240" w:h="15840"/>
      <w:pgMar w:top="1440" w:right="108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42014" w14:textId="77777777" w:rsidR="00C74B6A" w:rsidRDefault="00C74B6A">
      <w:r>
        <w:separator/>
      </w:r>
    </w:p>
  </w:endnote>
  <w:endnote w:type="continuationSeparator" w:id="0">
    <w:p w14:paraId="4EAE8D0C" w14:textId="77777777" w:rsidR="00C74B6A" w:rsidRDefault="00C7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08490" w14:textId="77777777" w:rsidR="00C34497" w:rsidRDefault="00C34497" w:rsidP="00D62E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2A7B1B" w14:textId="77777777" w:rsidR="00C34497" w:rsidRDefault="00C34497" w:rsidP="004B03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32615" w14:textId="77777777" w:rsidR="00C34497" w:rsidRDefault="00C34497" w:rsidP="00D62E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0F77">
      <w:rPr>
        <w:rStyle w:val="PageNumber"/>
        <w:noProof/>
      </w:rPr>
      <w:t>4</w:t>
    </w:r>
    <w:r>
      <w:rPr>
        <w:rStyle w:val="PageNumber"/>
      </w:rPr>
      <w:fldChar w:fldCharType="end"/>
    </w:r>
  </w:p>
  <w:p w14:paraId="2C18F1E2" w14:textId="77777777" w:rsidR="00C34497" w:rsidRDefault="00C34497" w:rsidP="004B039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F3EAA" w14:textId="77777777" w:rsidR="00C74B6A" w:rsidRDefault="00C74B6A">
      <w:r>
        <w:separator/>
      </w:r>
    </w:p>
  </w:footnote>
  <w:footnote w:type="continuationSeparator" w:id="0">
    <w:p w14:paraId="54645F90" w14:textId="77777777" w:rsidR="00C74B6A" w:rsidRDefault="00C74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F403FA"/>
    <w:lvl w:ilvl="0">
      <w:start w:val="1"/>
      <w:numFmt w:val="decimal"/>
      <w:lvlText w:val="%1."/>
      <w:lvlJc w:val="left"/>
      <w:pPr>
        <w:tabs>
          <w:tab w:val="num" w:pos="1800"/>
        </w:tabs>
        <w:ind w:left="1800" w:hanging="360"/>
      </w:pPr>
    </w:lvl>
  </w:abstractNum>
  <w:abstractNum w:abstractNumId="1">
    <w:nsid w:val="FFFFFF7D"/>
    <w:multiLevelType w:val="singleLevel"/>
    <w:tmpl w:val="4874D726"/>
    <w:lvl w:ilvl="0">
      <w:start w:val="1"/>
      <w:numFmt w:val="decimal"/>
      <w:lvlText w:val="%1."/>
      <w:lvlJc w:val="left"/>
      <w:pPr>
        <w:tabs>
          <w:tab w:val="num" w:pos="1440"/>
        </w:tabs>
        <w:ind w:left="1440" w:hanging="360"/>
      </w:pPr>
    </w:lvl>
  </w:abstractNum>
  <w:abstractNum w:abstractNumId="2">
    <w:nsid w:val="FFFFFF7E"/>
    <w:multiLevelType w:val="singleLevel"/>
    <w:tmpl w:val="0268C30C"/>
    <w:lvl w:ilvl="0">
      <w:start w:val="1"/>
      <w:numFmt w:val="decimal"/>
      <w:lvlText w:val="%1."/>
      <w:lvlJc w:val="left"/>
      <w:pPr>
        <w:tabs>
          <w:tab w:val="num" w:pos="1080"/>
        </w:tabs>
        <w:ind w:left="1080" w:hanging="360"/>
      </w:pPr>
    </w:lvl>
  </w:abstractNum>
  <w:abstractNum w:abstractNumId="3">
    <w:nsid w:val="FFFFFF7F"/>
    <w:multiLevelType w:val="singleLevel"/>
    <w:tmpl w:val="21D692CC"/>
    <w:lvl w:ilvl="0">
      <w:start w:val="1"/>
      <w:numFmt w:val="decimal"/>
      <w:lvlText w:val="%1."/>
      <w:lvlJc w:val="left"/>
      <w:pPr>
        <w:tabs>
          <w:tab w:val="num" w:pos="720"/>
        </w:tabs>
        <w:ind w:left="720" w:hanging="360"/>
      </w:pPr>
    </w:lvl>
  </w:abstractNum>
  <w:abstractNum w:abstractNumId="4">
    <w:nsid w:val="FFFFFF80"/>
    <w:multiLevelType w:val="singleLevel"/>
    <w:tmpl w:val="70E6A3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AF67E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67037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BE91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9209CE"/>
    <w:lvl w:ilvl="0">
      <w:start w:val="1"/>
      <w:numFmt w:val="decimal"/>
      <w:lvlText w:val="%1."/>
      <w:lvlJc w:val="left"/>
      <w:pPr>
        <w:tabs>
          <w:tab w:val="num" w:pos="360"/>
        </w:tabs>
        <w:ind w:left="360" w:hanging="360"/>
      </w:pPr>
    </w:lvl>
  </w:abstractNum>
  <w:abstractNum w:abstractNumId="9">
    <w:nsid w:val="FFFFFF89"/>
    <w:multiLevelType w:val="singleLevel"/>
    <w:tmpl w:val="191245AE"/>
    <w:lvl w:ilvl="0">
      <w:start w:val="1"/>
      <w:numFmt w:val="bullet"/>
      <w:lvlText w:val=""/>
      <w:lvlJc w:val="left"/>
      <w:pPr>
        <w:tabs>
          <w:tab w:val="num" w:pos="360"/>
        </w:tabs>
        <w:ind w:left="360" w:hanging="360"/>
      </w:pPr>
      <w:rPr>
        <w:rFonts w:ascii="Symbol" w:hAnsi="Symbol" w:hint="default"/>
      </w:rPr>
    </w:lvl>
  </w:abstractNum>
  <w:abstractNum w:abstractNumId="10">
    <w:nsid w:val="16602129"/>
    <w:multiLevelType w:val="hybridMultilevel"/>
    <w:tmpl w:val="900C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BA3C30"/>
    <w:multiLevelType w:val="hybridMultilevel"/>
    <w:tmpl w:val="C3648FD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25DC145F"/>
    <w:multiLevelType w:val="hybridMultilevel"/>
    <w:tmpl w:val="7DD2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FC724E"/>
    <w:multiLevelType w:val="hybridMultilevel"/>
    <w:tmpl w:val="7EC60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ED1516F"/>
    <w:multiLevelType w:val="hybridMultilevel"/>
    <w:tmpl w:val="90B289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B600DC"/>
    <w:multiLevelType w:val="hybridMultilevel"/>
    <w:tmpl w:val="65222A9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61A5102"/>
    <w:multiLevelType w:val="hybridMultilevel"/>
    <w:tmpl w:val="EABE2D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A8F3B30"/>
    <w:multiLevelType w:val="hybridMultilevel"/>
    <w:tmpl w:val="9E1AFCA0"/>
    <w:lvl w:ilvl="0" w:tplc="397C974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9434EC"/>
    <w:multiLevelType w:val="hybridMultilevel"/>
    <w:tmpl w:val="BE229C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0"/>
  </w:num>
  <w:num w:numId="17">
    <w:abstractNumId w:val="18"/>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C6"/>
    <w:rsid w:val="00013936"/>
    <w:rsid w:val="00020F77"/>
    <w:rsid w:val="00036D3C"/>
    <w:rsid w:val="00040B0A"/>
    <w:rsid w:val="00043555"/>
    <w:rsid w:val="000702BC"/>
    <w:rsid w:val="00086D73"/>
    <w:rsid w:val="00097CD2"/>
    <w:rsid w:val="000A61AF"/>
    <w:rsid w:val="000B47E2"/>
    <w:rsid w:val="000F6932"/>
    <w:rsid w:val="000F78F2"/>
    <w:rsid w:val="001510F4"/>
    <w:rsid w:val="00164562"/>
    <w:rsid w:val="00192C80"/>
    <w:rsid w:val="001972CC"/>
    <w:rsid w:val="001F038A"/>
    <w:rsid w:val="002059DA"/>
    <w:rsid w:val="002078EE"/>
    <w:rsid w:val="00213AEE"/>
    <w:rsid w:val="00215E15"/>
    <w:rsid w:val="00217431"/>
    <w:rsid w:val="002302B7"/>
    <w:rsid w:val="00230D87"/>
    <w:rsid w:val="00255B5F"/>
    <w:rsid w:val="00290D16"/>
    <w:rsid w:val="00290DE3"/>
    <w:rsid w:val="00292477"/>
    <w:rsid w:val="002A65B8"/>
    <w:rsid w:val="002C5446"/>
    <w:rsid w:val="002F3A28"/>
    <w:rsid w:val="00307FD0"/>
    <w:rsid w:val="0031556E"/>
    <w:rsid w:val="00331A30"/>
    <w:rsid w:val="003356FB"/>
    <w:rsid w:val="0033673E"/>
    <w:rsid w:val="0034626C"/>
    <w:rsid w:val="00363303"/>
    <w:rsid w:val="00376715"/>
    <w:rsid w:val="00381FA1"/>
    <w:rsid w:val="003B5A1D"/>
    <w:rsid w:val="003B76F0"/>
    <w:rsid w:val="003C1BC6"/>
    <w:rsid w:val="00417E19"/>
    <w:rsid w:val="0045503D"/>
    <w:rsid w:val="004571B6"/>
    <w:rsid w:val="004575E4"/>
    <w:rsid w:val="0046158F"/>
    <w:rsid w:val="004B0395"/>
    <w:rsid w:val="004C36BA"/>
    <w:rsid w:val="004F2312"/>
    <w:rsid w:val="004F2BA6"/>
    <w:rsid w:val="004F3AF2"/>
    <w:rsid w:val="00515048"/>
    <w:rsid w:val="00552DC5"/>
    <w:rsid w:val="00552F18"/>
    <w:rsid w:val="00577C59"/>
    <w:rsid w:val="00583F3E"/>
    <w:rsid w:val="0058559D"/>
    <w:rsid w:val="005A1544"/>
    <w:rsid w:val="005A20B1"/>
    <w:rsid w:val="005C1158"/>
    <w:rsid w:val="005D2F1E"/>
    <w:rsid w:val="005D50D6"/>
    <w:rsid w:val="005E747C"/>
    <w:rsid w:val="005F156C"/>
    <w:rsid w:val="00611C90"/>
    <w:rsid w:val="006519F2"/>
    <w:rsid w:val="00685A11"/>
    <w:rsid w:val="006A47A9"/>
    <w:rsid w:val="006B3F5D"/>
    <w:rsid w:val="006D607D"/>
    <w:rsid w:val="006D7352"/>
    <w:rsid w:val="006F17B0"/>
    <w:rsid w:val="007057F1"/>
    <w:rsid w:val="00725EC6"/>
    <w:rsid w:val="0075212A"/>
    <w:rsid w:val="00770EF1"/>
    <w:rsid w:val="00771AE2"/>
    <w:rsid w:val="00794567"/>
    <w:rsid w:val="007D52D0"/>
    <w:rsid w:val="007D7876"/>
    <w:rsid w:val="007E7796"/>
    <w:rsid w:val="007F353D"/>
    <w:rsid w:val="007F5E4B"/>
    <w:rsid w:val="007F64DE"/>
    <w:rsid w:val="0086537D"/>
    <w:rsid w:val="00870D3A"/>
    <w:rsid w:val="00886614"/>
    <w:rsid w:val="00897664"/>
    <w:rsid w:val="008F3B48"/>
    <w:rsid w:val="00900D93"/>
    <w:rsid w:val="0091090F"/>
    <w:rsid w:val="00915C33"/>
    <w:rsid w:val="00925702"/>
    <w:rsid w:val="00970E06"/>
    <w:rsid w:val="00972BED"/>
    <w:rsid w:val="00981F55"/>
    <w:rsid w:val="009911DF"/>
    <w:rsid w:val="00995DF8"/>
    <w:rsid w:val="009A76A1"/>
    <w:rsid w:val="009B179D"/>
    <w:rsid w:val="009C36C6"/>
    <w:rsid w:val="009C509B"/>
    <w:rsid w:val="009F58F6"/>
    <w:rsid w:val="00A05ACE"/>
    <w:rsid w:val="00A074F8"/>
    <w:rsid w:val="00A124E6"/>
    <w:rsid w:val="00A24302"/>
    <w:rsid w:val="00A37CD6"/>
    <w:rsid w:val="00AA5B6F"/>
    <w:rsid w:val="00AC406D"/>
    <w:rsid w:val="00AC44D3"/>
    <w:rsid w:val="00AD0784"/>
    <w:rsid w:val="00B02B88"/>
    <w:rsid w:val="00B04531"/>
    <w:rsid w:val="00B23EDE"/>
    <w:rsid w:val="00B610DA"/>
    <w:rsid w:val="00B71662"/>
    <w:rsid w:val="00B971DF"/>
    <w:rsid w:val="00BC32FF"/>
    <w:rsid w:val="00BE1251"/>
    <w:rsid w:val="00BF454F"/>
    <w:rsid w:val="00C34497"/>
    <w:rsid w:val="00C676B6"/>
    <w:rsid w:val="00C70A79"/>
    <w:rsid w:val="00C72042"/>
    <w:rsid w:val="00C74B6A"/>
    <w:rsid w:val="00C77EAD"/>
    <w:rsid w:val="00CB2E10"/>
    <w:rsid w:val="00CB493E"/>
    <w:rsid w:val="00CD5225"/>
    <w:rsid w:val="00CE0118"/>
    <w:rsid w:val="00D46DE3"/>
    <w:rsid w:val="00D62EAD"/>
    <w:rsid w:val="00D73EE6"/>
    <w:rsid w:val="00D81284"/>
    <w:rsid w:val="00D84C5F"/>
    <w:rsid w:val="00D8529F"/>
    <w:rsid w:val="00DA55E5"/>
    <w:rsid w:val="00DB6A7E"/>
    <w:rsid w:val="00DC39D5"/>
    <w:rsid w:val="00DC66D6"/>
    <w:rsid w:val="00DD03DB"/>
    <w:rsid w:val="00DF2A89"/>
    <w:rsid w:val="00DF48F2"/>
    <w:rsid w:val="00DF503E"/>
    <w:rsid w:val="00E07925"/>
    <w:rsid w:val="00E112B7"/>
    <w:rsid w:val="00E4064A"/>
    <w:rsid w:val="00E4331A"/>
    <w:rsid w:val="00E50580"/>
    <w:rsid w:val="00E54582"/>
    <w:rsid w:val="00E545ED"/>
    <w:rsid w:val="00E70521"/>
    <w:rsid w:val="00E772F4"/>
    <w:rsid w:val="00E82B44"/>
    <w:rsid w:val="00E8491F"/>
    <w:rsid w:val="00EB41E0"/>
    <w:rsid w:val="00EE298D"/>
    <w:rsid w:val="00EE3310"/>
    <w:rsid w:val="00EF32A6"/>
    <w:rsid w:val="00F06FF9"/>
    <w:rsid w:val="00F13B23"/>
    <w:rsid w:val="00F146FE"/>
    <w:rsid w:val="00F4497C"/>
    <w:rsid w:val="00F71B66"/>
    <w:rsid w:val="00F9199D"/>
    <w:rsid w:val="00FA0A0E"/>
    <w:rsid w:val="00FA5829"/>
    <w:rsid w:val="00FF4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E4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580"/>
    <w:rPr>
      <w:sz w:val="24"/>
      <w:szCs w:val="24"/>
    </w:rPr>
  </w:style>
  <w:style w:type="paragraph" w:styleId="Heading1">
    <w:name w:val="heading 1"/>
    <w:basedOn w:val="Normal"/>
    <w:next w:val="Normal"/>
    <w:link w:val="Heading1Char"/>
    <w:qFormat/>
    <w:rsid w:val="00E50580"/>
    <w:pPr>
      <w:keepNext/>
      <w:spacing w:before="240" w:after="60"/>
      <w:outlineLvl w:val="0"/>
    </w:pPr>
    <w:rPr>
      <w:rFonts w:ascii="Cambria" w:hAnsi="Cambria"/>
      <w:b/>
      <w:bCs/>
      <w:kern w:val="32"/>
      <w:sz w:val="28"/>
      <w:szCs w:val="28"/>
    </w:rPr>
  </w:style>
  <w:style w:type="paragraph" w:styleId="Heading2">
    <w:name w:val="heading 2"/>
    <w:basedOn w:val="Normal"/>
    <w:next w:val="Normal"/>
    <w:link w:val="Heading2Char"/>
    <w:unhideWhenUsed/>
    <w:qFormat/>
    <w:rsid w:val="00E50580"/>
    <w:pPr>
      <w:keepNext/>
      <w:spacing w:before="240" w:after="60"/>
      <w:outlineLvl w:val="1"/>
    </w:pPr>
    <w:rPr>
      <w:rFonts w:ascii="Cambria" w:hAnsi="Cambria"/>
      <w:b/>
      <w:bCs/>
      <w:iCs/>
      <w:noProof/>
      <w:sz w:val="26"/>
      <w:szCs w:val="26"/>
    </w:rPr>
  </w:style>
  <w:style w:type="paragraph" w:styleId="Heading3">
    <w:name w:val="heading 3"/>
    <w:basedOn w:val="Normal"/>
    <w:next w:val="Normal"/>
    <w:link w:val="Heading3Char"/>
    <w:unhideWhenUsed/>
    <w:qFormat/>
    <w:rsid w:val="00E50580"/>
    <w:pPr>
      <w:keepNext/>
      <w:spacing w:before="240" w:after="60"/>
      <w:ind w:left="720" w:right="1080"/>
      <w:jc w:val="center"/>
      <w:outlineLvl w:val="2"/>
    </w:pPr>
    <w:rPr>
      <w:rFonts w:ascii="Cambria" w:hAnsi="Cambri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qFormat/>
    <w:rsid w:val="001F038A"/>
    <w:pPr>
      <w:tabs>
        <w:tab w:val="left" w:pos="0"/>
        <w:tab w:val="left" w:pos="720"/>
        <w:tab w:val="right" w:leader="dot" w:pos="9494"/>
      </w:tabs>
      <w:spacing w:before="120" w:after="120" w:line="480" w:lineRule="auto"/>
      <w:jc w:val="both"/>
    </w:pPr>
    <w:rPr>
      <w:caps/>
      <w:noProof/>
      <w:sz w:val="24"/>
      <w:szCs w:val="24"/>
    </w:rPr>
  </w:style>
  <w:style w:type="paragraph" w:styleId="TOC2">
    <w:name w:val="toc 2"/>
    <w:autoRedefine/>
    <w:uiPriority w:val="39"/>
    <w:qFormat/>
    <w:rsid w:val="00725EC6"/>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725EC6"/>
    <w:pPr>
      <w:spacing w:line="480" w:lineRule="auto"/>
      <w:ind w:firstLine="720"/>
    </w:pPr>
    <w:rPr>
      <w:sz w:val="22"/>
    </w:rPr>
  </w:style>
  <w:style w:type="paragraph" w:styleId="Footer">
    <w:name w:val="footer"/>
    <w:basedOn w:val="Normal"/>
    <w:rsid w:val="004B0395"/>
    <w:pPr>
      <w:tabs>
        <w:tab w:val="center" w:pos="4320"/>
        <w:tab w:val="right" w:pos="8640"/>
      </w:tabs>
    </w:pPr>
  </w:style>
  <w:style w:type="character" w:styleId="PageNumber">
    <w:name w:val="page number"/>
    <w:basedOn w:val="DefaultParagraphFont"/>
    <w:rsid w:val="004B0395"/>
  </w:style>
  <w:style w:type="table" w:styleId="TableGrid">
    <w:name w:val="Table Grid"/>
    <w:basedOn w:val="TableNormal"/>
    <w:rsid w:val="005C1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1556E"/>
    <w:rPr>
      <w:sz w:val="16"/>
      <w:szCs w:val="16"/>
    </w:rPr>
  </w:style>
  <w:style w:type="paragraph" w:styleId="CommentText">
    <w:name w:val="annotation text"/>
    <w:basedOn w:val="Normal"/>
    <w:semiHidden/>
    <w:rsid w:val="0031556E"/>
    <w:rPr>
      <w:sz w:val="20"/>
      <w:szCs w:val="20"/>
    </w:rPr>
  </w:style>
  <w:style w:type="paragraph" w:styleId="BalloonText">
    <w:name w:val="Balloon Text"/>
    <w:basedOn w:val="Normal"/>
    <w:semiHidden/>
    <w:rsid w:val="0031556E"/>
    <w:rPr>
      <w:rFonts w:ascii="Tahoma" w:hAnsi="Tahoma" w:cs="Tahoma"/>
      <w:sz w:val="16"/>
      <w:szCs w:val="16"/>
    </w:rPr>
  </w:style>
  <w:style w:type="paragraph" w:styleId="CommentSubject">
    <w:name w:val="annotation subject"/>
    <w:basedOn w:val="CommentText"/>
    <w:next w:val="CommentText"/>
    <w:semiHidden/>
    <w:rsid w:val="0031556E"/>
    <w:rPr>
      <w:b/>
      <w:bCs/>
    </w:rPr>
  </w:style>
  <w:style w:type="character" w:customStyle="1" w:styleId="Heading1Char">
    <w:name w:val="Heading 1 Char"/>
    <w:basedOn w:val="DefaultParagraphFont"/>
    <w:link w:val="Heading1"/>
    <w:rsid w:val="00E50580"/>
    <w:rPr>
      <w:rFonts w:ascii="Cambria" w:eastAsia="Times New Roman" w:hAnsi="Cambria" w:cs="Times New Roman"/>
      <w:b/>
      <w:bCs/>
      <w:kern w:val="32"/>
      <w:sz w:val="28"/>
      <w:szCs w:val="28"/>
    </w:rPr>
  </w:style>
  <w:style w:type="character" w:customStyle="1" w:styleId="Heading2Char">
    <w:name w:val="Heading 2 Char"/>
    <w:basedOn w:val="DefaultParagraphFont"/>
    <w:link w:val="Heading2"/>
    <w:rsid w:val="00E50580"/>
    <w:rPr>
      <w:rFonts w:ascii="Cambria" w:eastAsia="Times New Roman" w:hAnsi="Cambria" w:cs="Times New Roman"/>
      <w:b/>
      <w:bCs/>
      <w:iCs/>
      <w:noProof/>
      <w:sz w:val="26"/>
      <w:szCs w:val="26"/>
    </w:rPr>
  </w:style>
  <w:style w:type="character" w:customStyle="1" w:styleId="Heading3Char">
    <w:name w:val="Heading 3 Char"/>
    <w:basedOn w:val="DefaultParagraphFont"/>
    <w:link w:val="Heading3"/>
    <w:rsid w:val="00E50580"/>
    <w:rPr>
      <w:rFonts w:ascii="Cambria" w:eastAsia="Times New Roman" w:hAnsi="Cambria" w:cs="Times New Roman"/>
      <w:bCs/>
      <w:sz w:val="24"/>
      <w:szCs w:val="24"/>
    </w:rPr>
  </w:style>
  <w:style w:type="paragraph" w:styleId="TOCHeading">
    <w:name w:val="TOC Heading"/>
    <w:basedOn w:val="Heading1"/>
    <w:next w:val="Normal"/>
    <w:uiPriority w:val="39"/>
    <w:semiHidden/>
    <w:unhideWhenUsed/>
    <w:qFormat/>
    <w:rsid w:val="00E50580"/>
    <w:pPr>
      <w:keepLines/>
      <w:spacing w:before="480" w:after="0" w:line="276" w:lineRule="auto"/>
      <w:outlineLvl w:val="9"/>
    </w:pPr>
    <w:rPr>
      <w:color w:val="365F91"/>
      <w:kern w:val="0"/>
    </w:rPr>
  </w:style>
  <w:style w:type="paragraph" w:styleId="TOC3">
    <w:name w:val="toc 3"/>
    <w:basedOn w:val="Normal"/>
    <w:next w:val="Normal"/>
    <w:autoRedefine/>
    <w:uiPriority w:val="39"/>
    <w:qFormat/>
    <w:rsid w:val="00E50580"/>
    <w:pPr>
      <w:ind w:left="480"/>
    </w:pPr>
  </w:style>
  <w:style w:type="character" w:styleId="Hyperlink">
    <w:name w:val="Hyperlink"/>
    <w:basedOn w:val="DefaultParagraphFont"/>
    <w:uiPriority w:val="99"/>
    <w:unhideWhenUsed/>
    <w:rsid w:val="00E50580"/>
    <w:rPr>
      <w:color w:val="0000FF"/>
      <w:u w:val="single"/>
    </w:rPr>
  </w:style>
  <w:style w:type="paragraph" w:styleId="ListParagraph">
    <w:name w:val="List Paragraph"/>
    <w:basedOn w:val="Normal"/>
    <w:uiPriority w:val="34"/>
    <w:qFormat/>
    <w:rsid w:val="006D7352"/>
    <w:pPr>
      <w:ind w:left="720"/>
      <w:contextualSpacing/>
    </w:pPr>
  </w:style>
  <w:style w:type="paragraph" w:styleId="Header">
    <w:name w:val="header"/>
    <w:basedOn w:val="Normal"/>
    <w:link w:val="HeaderChar"/>
    <w:unhideWhenUsed/>
    <w:rsid w:val="002A65B8"/>
    <w:pPr>
      <w:tabs>
        <w:tab w:val="center" w:pos="4680"/>
        <w:tab w:val="right" w:pos="9360"/>
      </w:tabs>
    </w:pPr>
  </w:style>
  <w:style w:type="character" w:customStyle="1" w:styleId="HeaderChar">
    <w:name w:val="Header Char"/>
    <w:basedOn w:val="DefaultParagraphFont"/>
    <w:link w:val="Header"/>
    <w:rsid w:val="002A65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580"/>
    <w:rPr>
      <w:sz w:val="24"/>
      <w:szCs w:val="24"/>
    </w:rPr>
  </w:style>
  <w:style w:type="paragraph" w:styleId="Heading1">
    <w:name w:val="heading 1"/>
    <w:basedOn w:val="Normal"/>
    <w:next w:val="Normal"/>
    <w:link w:val="Heading1Char"/>
    <w:qFormat/>
    <w:rsid w:val="00E50580"/>
    <w:pPr>
      <w:keepNext/>
      <w:spacing w:before="240" w:after="60"/>
      <w:outlineLvl w:val="0"/>
    </w:pPr>
    <w:rPr>
      <w:rFonts w:ascii="Cambria" w:hAnsi="Cambria"/>
      <w:b/>
      <w:bCs/>
      <w:kern w:val="32"/>
      <w:sz w:val="28"/>
      <w:szCs w:val="28"/>
    </w:rPr>
  </w:style>
  <w:style w:type="paragraph" w:styleId="Heading2">
    <w:name w:val="heading 2"/>
    <w:basedOn w:val="Normal"/>
    <w:next w:val="Normal"/>
    <w:link w:val="Heading2Char"/>
    <w:unhideWhenUsed/>
    <w:qFormat/>
    <w:rsid w:val="00E50580"/>
    <w:pPr>
      <w:keepNext/>
      <w:spacing w:before="240" w:after="60"/>
      <w:outlineLvl w:val="1"/>
    </w:pPr>
    <w:rPr>
      <w:rFonts w:ascii="Cambria" w:hAnsi="Cambria"/>
      <w:b/>
      <w:bCs/>
      <w:iCs/>
      <w:noProof/>
      <w:sz w:val="26"/>
      <w:szCs w:val="26"/>
    </w:rPr>
  </w:style>
  <w:style w:type="paragraph" w:styleId="Heading3">
    <w:name w:val="heading 3"/>
    <w:basedOn w:val="Normal"/>
    <w:next w:val="Normal"/>
    <w:link w:val="Heading3Char"/>
    <w:unhideWhenUsed/>
    <w:qFormat/>
    <w:rsid w:val="00E50580"/>
    <w:pPr>
      <w:keepNext/>
      <w:spacing w:before="240" w:after="60"/>
      <w:ind w:left="720" w:right="1080"/>
      <w:jc w:val="center"/>
      <w:outlineLvl w:val="2"/>
    </w:pPr>
    <w:rPr>
      <w:rFonts w:ascii="Cambria" w:hAnsi="Cambri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qFormat/>
    <w:rsid w:val="001F038A"/>
    <w:pPr>
      <w:tabs>
        <w:tab w:val="left" w:pos="0"/>
        <w:tab w:val="left" w:pos="720"/>
        <w:tab w:val="right" w:leader="dot" w:pos="9494"/>
      </w:tabs>
      <w:spacing w:before="120" w:after="120" w:line="480" w:lineRule="auto"/>
      <w:jc w:val="both"/>
    </w:pPr>
    <w:rPr>
      <w:caps/>
      <w:noProof/>
      <w:sz w:val="24"/>
      <w:szCs w:val="24"/>
    </w:rPr>
  </w:style>
  <w:style w:type="paragraph" w:styleId="TOC2">
    <w:name w:val="toc 2"/>
    <w:autoRedefine/>
    <w:uiPriority w:val="39"/>
    <w:qFormat/>
    <w:rsid w:val="00725EC6"/>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725EC6"/>
    <w:pPr>
      <w:spacing w:line="480" w:lineRule="auto"/>
      <w:ind w:firstLine="720"/>
    </w:pPr>
    <w:rPr>
      <w:sz w:val="22"/>
    </w:rPr>
  </w:style>
  <w:style w:type="paragraph" w:styleId="Footer">
    <w:name w:val="footer"/>
    <w:basedOn w:val="Normal"/>
    <w:rsid w:val="004B0395"/>
    <w:pPr>
      <w:tabs>
        <w:tab w:val="center" w:pos="4320"/>
        <w:tab w:val="right" w:pos="8640"/>
      </w:tabs>
    </w:pPr>
  </w:style>
  <w:style w:type="character" w:styleId="PageNumber">
    <w:name w:val="page number"/>
    <w:basedOn w:val="DefaultParagraphFont"/>
    <w:rsid w:val="004B0395"/>
  </w:style>
  <w:style w:type="table" w:styleId="TableGrid">
    <w:name w:val="Table Grid"/>
    <w:basedOn w:val="TableNormal"/>
    <w:rsid w:val="005C1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1556E"/>
    <w:rPr>
      <w:sz w:val="16"/>
      <w:szCs w:val="16"/>
    </w:rPr>
  </w:style>
  <w:style w:type="paragraph" w:styleId="CommentText">
    <w:name w:val="annotation text"/>
    <w:basedOn w:val="Normal"/>
    <w:semiHidden/>
    <w:rsid w:val="0031556E"/>
    <w:rPr>
      <w:sz w:val="20"/>
      <w:szCs w:val="20"/>
    </w:rPr>
  </w:style>
  <w:style w:type="paragraph" w:styleId="BalloonText">
    <w:name w:val="Balloon Text"/>
    <w:basedOn w:val="Normal"/>
    <w:semiHidden/>
    <w:rsid w:val="0031556E"/>
    <w:rPr>
      <w:rFonts w:ascii="Tahoma" w:hAnsi="Tahoma" w:cs="Tahoma"/>
      <w:sz w:val="16"/>
      <w:szCs w:val="16"/>
    </w:rPr>
  </w:style>
  <w:style w:type="paragraph" w:styleId="CommentSubject">
    <w:name w:val="annotation subject"/>
    <w:basedOn w:val="CommentText"/>
    <w:next w:val="CommentText"/>
    <w:semiHidden/>
    <w:rsid w:val="0031556E"/>
    <w:rPr>
      <w:b/>
      <w:bCs/>
    </w:rPr>
  </w:style>
  <w:style w:type="character" w:customStyle="1" w:styleId="Heading1Char">
    <w:name w:val="Heading 1 Char"/>
    <w:basedOn w:val="DefaultParagraphFont"/>
    <w:link w:val="Heading1"/>
    <w:rsid w:val="00E50580"/>
    <w:rPr>
      <w:rFonts w:ascii="Cambria" w:eastAsia="Times New Roman" w:hAnsi="Cambria" w:cs="Times New Roman"/>
      <w:b/>
      <w:bCs/>
      <w:kern w:val="32"/>
      <w:sz w:val="28"/>
      <w:szCs w:val="28"/>
    </w:rPr>
  </w:style>
  <w:style w:type="character" w:customStyle="1" w:styleId="Heading2Char">
    <w:name w:val="Heading 2 Char"/>
    <w:basedOn w:val="DefaultParagraphFont"/>
    <w:link w:val="Heading2"/>
    <w:rsid w:val="00E50580"/>
    <w:rPr>
      <w:rFonts w:ascii="Cambria" w:eastAsia="Times New Roman" w:hAnsi="Cambria" w:cs="Times New Roman"/>
      <w:b/>
      <w:bCs/>
      <w:iCs/>
      <w:noProof/>
      <w:sz w:val="26"/>
      <w:szCs w:val="26"/>
    </w:rPr>
  </w:style>
  <w:style w:type="character" w:customStyle="1" w:styleId="Heading3Char">
    <w:name w:val="Heading 3 Char"/>
    <w:basedOn w:val="DefaultParagraphFont"/>
    <w:link w:val="Heading3"/>
    <w:rsid w:val="00E50580"/>
    <w:rPr>
      <w:rFonts w:ascii="Cambria" w:eastAsia="Times New Roman" w:hAnsi="Cambria" w:cs="Times New Roman"/>
      <w:bCs/>
      <w:sz w:val="24"/>
      <w:szCs w:val="24"/>
    </w:rPr>
  </w:style>
  <w:style w:type="paragraph" w:styleId="TOCHeading">
    <w:name w:val="TOC Heading"/>
    <w:basedOn w:val="Heading1"/>
    <w:next w:val="Normal"/>
    <w:uiPriority w:val="39"/>
    <w:semiHidden/>
    <w:unhideWhenUsed/>
    <w:qFormat/>
    <w:rsid w:val="00E50580"/>
    <w:pPr>
      <w:keepLines/>
      <w:spacing w:before="480" w:after="0" w:line="276" w:lineRule="auto"/>
      <w:outlineLvl w:val="9"/>
    </w:pPr>
    <w:rPr>
      <w:color w:val="365F91"/>
      <w:kern w:val="0"/>
    </w:rPr>
  </w:style>
  <w:style w:type="paragraph" w:styleId="TOC3">
    <w:name w:val="toc 3"/>
    <w:basedOn w:val="Normal"/>
    <w:next w:val="Normal"/>
    <w:autoRedefine/>
    <w:uiPriority w:val="39"/>
    <w:qFormat/>
    <w:rsid w:val="00E50580"/>
    <w:pPr>
      <w:ind w:left="480"/>
    </w:pPr>
  </w:style>
  <w:style w:type="character" w:styleId="Hyperlink">
    <w:name w:val="Hyperlink"/>
    <w:basedOn w:val="DefaultParagraphFont"/>
    <w:uiPriority w:val="99"/>
    <w:unhideWhenUsed/>
    <w:rsid w:val="00E50580"/>
    <w:rPr>
      <w:color w:val="0000FF"/>
      <w:u w:val="single"/>
    </w:rPr>
  </w:style>
  <w:style w:type="paragraph" w:styleId="ListParagraph">
    <w:name w:val="List Paragraph"/>
    <w:basedOn w:val="Normal"/>
    <w:uiPriority w:val="34"/>
    <w:qFormat/>
    <w:rsid w:val="006D7352"/>
    <w:pPr>
      <w:ind w:left="720"/>
      <w:contextualSpacing/>
    </w:pPr>
  </w:style>
  <w:style w:type="paragraph" w:styleId="Header">
    <w:name w:val="header"/>
    <w:basedOn w:val="Normal"/>
    <w:link w:val="HeaderChar"/>
    <w:unhideWhenUsed/>
    <w:rsid w:val="002A65B8"/>
    <w:pPr>
      <w:tabs>
        <w:tab w:val="center" w:pos="4680"/>
        <w:tab w:val="right" w:pos="9360"/>
      </w:tabs>
    </w:pPr>
  </w:style>
  <w:style w:type="character" w:customStyle="1" w:styleId="HeaderChar">
    <w:name w:val="Header Char"/>
    <w:basedOn w:val="DefaultParagraphFont"/>
    <w:link w:val="Header"/>
    <w:rsid w:val="002A65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3EF42-7102-499F-B0C1-8DBC4096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2016-03-22T14:47:00Z</dcterms:created>
  <dcterms:modified xsi:type="dcterms:W3CDTF">2016-03-22T14:47:00Z</dcterms:modified>
</cp:coreProperties>
</file>