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p>
    <w:p w:rsidR="005C3DC2" w:rsidRDefault="005C3DC2" w:rsidP="005C3DC2">
      <w:pPr>
        <w:ind w:left="1440" w:firstLine="720"/>
      </w:pPr>
    </w:p>
    <w:p w:rsidR="005C3DC2" w:rsidRDefault="005C3DC2" w:rsidP="005C3DC2">
      <w:pPr>
        <w:ind w:left="1440" w:firstLine="720"/>
      </w:pPr>
    </w:p>
    <w:p w:rsidR="005C3DC2" w:rsidRPr="00CA02BF" w:rsidRDefault="00CA02BF" w:rsidP="005C3DC2">
      <w:pPr>
        <w:ind w:left="1440" w:firstLine="720"/>
        <w:rPr>
          <w:sz w:val="32"/>
          <w:szCs w:val="32"/>
        </w:rPr>
      </w:pPr>
      <w:r>
        <w:t xml:space="preserve">       </w:t>
      </w:r>
      <w:r w:rsidR="005C3DC2" w:rsidRPr="00CA02BF">
        <w:rPr>
          <w:sz w:val="32"/>
          <w:szCs w:val="32"/>
        </w:rPr>
        <w:t>Supporting Statement A for</w:t>
      </w:r>
    </w:p>
    <w:p w:rsidR="005C3DC2" w:rsidRDefault="005C3DC2" w:rsidP="005C3DC2">
      <w:pPr>
        <w:ind w:left="1440" w:firstLine="720"/>
        <w:rPr>
          <w:sz w:val="28"/>
          <w:szCs w:val="28"/>
        </w:rPr>
      </w:pPr>
    </w:p>
    <w:p w:rsidR="00680E77" w:rsidRDefault="005C3DC2" w:rsidP="005C3DC2">
      <w:pPr>
        <w:ind w:left="1440" w:firstLine="720"/>
        <w:rPr>
          <w:sz w:val="28"/>
          <w:szCs w:val="28"/>
        </w:rPr>
      </w:pPr>
      <w:r>
        <w:rPr>
          <w:sz w:val="28"/>
          <w:szCs w:val="28"/>
        </w:rPr>
        <w:t xml:space="preserve">         </w:t>
      </w:r>
    </w:p>
    <w:p w:rsidR="00CA02BF" w:rsidRDefault="00680E77" w:rsidP="005C3DC2">
      <w:pPr>
        <w:ind w:left="1440" w:firstLine="720"/>
        <w:rPr>
          <w:sz w:val="28"/>
          <w:szCs w:val="28"/>
        </w:rPr>
      </w:pPr>
      <w:r>
        <w:rPr>
          <w:sz w:val="28"/>
          <w:szCs w:val="28"/>
        </w:rPr>
        <w:t xml:space="preserve">          </w:t>
      </w:r>
      <w:r w:rsidR="005974BD">
        <w:rPr>
          <w:sz w:val="28"/>
          <w:szCs w:val="28"/>
        </w:rPr>
        <w:t xml:space="preserve">    </w:t>
      </w:r>
    </w:p>
    <w:p w:rsidR="00CA02BF" w:rsidRDefault="00CA02BF" w:rsidP="005C3DC2">
      <w:pPr>
        <w:ind w:left="1440" w:firstLine="720"/>
        <w:rPr>
          <w:sz w:val="28"/>
          <w:szCs w:val="28"/>
        </w:rPr>
      </w:pPr>
    </w:p>
    <w:p w:rsidR="005C3DC2" w:rsidRPr="00967AAE" w:rsidRDefault="0081552F" w:rsidP="007F7277">
      <w:pPr>
        <w:jc w:val="center"/>
        <w:rPr>
          <w:sz w:val="32"/>
          <w:szCs w:val="32"/>
        </w:rPr>
      </w:pPr>
      <w:r>
        <w:rPr>
          <w:sz w:val="32"/>
          <w:szCs w:val="32"/>
        </w:rPr>
        <w:t>Population Sciences</w:t>
      </w:r>
      <w:r w:rsidR="007F7277" w:rsidRPr="007F7277">
        <w:rPr>
          <w:sz w:val="32"/>
          <w:szCs w:val="32"/>
        </w:rPr>
        <w:t xml:space="preserve"> </w:t>
      </w:r>
      <w:proofErr w:type="spellStart"/>
      <w:r w:rsidR="007F7277" w:rsidRPr="007F7277">
        <w:rPr>
          <w:sz w:val="32"/>
          <w:szCs w:val="32"/>
        </w:rPr>
        <w:t>Biospecimen</w:t>
      </w:r>
      <w:proofErr w:type="spellEnd"/>
      <w:r w:rsidR="007F7277" w:rsidRPr="007F7277">
        <w:rPr>
          <w:sz w:val="32"/>
          <w:szCs w:val="32"/>
        </w:rPr>
        <w:t xml:space="preserve"> Catalog</w:t>
      </w:r>
      <w:r>
        <w:rPr>
          <w:sz w:val="32"/>
          <w:szCs w:val="32"/>
        </w:rPr>
        <w:t xml:space="preserve"> (PSBC)</w:t>
      </w:r>
      <w:r w:rsidR="007F7277" w:rsidRPr="007F7277">
        <w:rPr>
          <w:sz w:val="32"/>
          <w:szCs w:val="32"/>
        </w:rPr>
        <w:t xml:space="preserve"> (NCI)</w:t>
      </w:r>
    </w:p>
    <w:p w:rsidR="00967AAE" w:rsidRDefault="00967AAE" w:rsidP="00967AAE">
      <w:pPr>
        <w:ind w:left="1440" w:firstLine="720"/>
        <w:rPr>
          <w:sz w:val="32"/>
          <w:szCs w:val="32"/>
        </w:rPr>
      </w:pPr>
      <w:r>
        <w:rPr>
          <w:sz w:val="32"/>
          <w:szCs w:val="32"/>
        </w:rPr>
        <w:t xml:space="preserve">                    </w:t>
      </w:r>
    </w:p>
    <w:p w:rsidR="00967AAE" w:rsidRDefault="00967AAE" w:rsidP="00967AAE">
      <w:pPr>
        <w:ind w:left="1440" w:firstLine="720"/>
        <w:rPr>
          <w:sz w:val="32"/>
          <w:szCs w:val="32"/>
        </w:rPr>
      </w:pPr>
    </w:p>
    <w:p w:rsidR="00967AAE" w:rsidRDefault="004C56CA" w:rsidP="007F7277">
      <w:pPr>
        <w:jc w:val="center"/>
        <w:rPr>
          <w:sz w:val="32"/>
          <w:szCs w:val="32"/>
        </w:rPr>
      </w:pPr>
      <w:r>
        <w:rPr>
          <w:sz w:val="32"/>
          <w:szCs w:val="32"/>
        </w:rPr>
        <w:t>September 8</w:t>
      </w:r>
      <w:bookmarkStart w:id="0" w:name="_GoBack"/>
      <w:bookmarkEnd w:id="0"/>
      <w:r w:rsidR="00AC2F0B">
        <w:rPr>
          <w:sz w:val="32"/>
          <w:szCs w:val="32"/>
        </w:rPr>
        <w:t xml:space="preserve">, </w:t>
      </w:r>
      <w:r w:rsidR="007F7277">
        <w:rPr>
          <w:sz w:val="32"/>
          <w:szCs w:val="32"/>
        </w:rPr>
        <w:t>2015</w:t>
      </w:r>
    </w:p>
    <w:p w:rsidR="00967AAE" w:rsidRDefault="00967AAE" w:rsidP="00967AAE">
      <w:pPr>
        <w:ind w:left="1440" w:firstLine="720"/>
        <w:rPr>
          <w:sz w:val="32"/>
          <w:szCs w:val="32"/>
        </w:rPr>
      </w:pPr>
    </w:p>
    <w:p w:rsidR="00967AAE" w:rsidRPr="00967AAE" w:rsidRDefault="00967AAE" w:rsidP="00967AAE">
      <w:pPr>
        <w:rPr>
          <w:color w:val="0000FF"/>
          <w:sz w:val="32"/>
          <w:szCs w:val="32"/>
        </w:rPr>
      </w:pPr>
    </w:p>
    <w:p w:rsidR="005C3DC2" w:rsidRPr="00680E77" w:rsidRDefault="005C3DC2" w:rsidP="005C3DC2">
      <w:pPr>
        <w:rPr>
          <w:color w:val="FF0000"/>
          <w:sz w:val="32"/>
          <w:szCs w:val="32"/>
        </w:rPr>
      </w:pPr>
    </w:p>
    <w:p w:rsidR="005C3DC2" w:rsidRDefault="005C3DC2" w:rsidP="005C3DC2">
      <w:pPr>
        <w:rPr>
          <w:color w:val="0000FF"/>
          <w:sz w:val="32"/>
          <w:szCs w:val="32"/>
        </w:rPr>
      </w:pPr>
    </w:p>
    <w:p w:rsidR="005C3DC2" w:rsidRPr="009228D6" w:rsidRDefault="009228D6" w:rsidP="009228D6">
      <w:pPr>
        <w:jc w:val="center"/>
        <w:rPr>
          <w:sz w:val="32"/>
          <w:szCs w:val="32"/>
        </w:rPr>
      </w:pPr>
      <w:r w:rsidRPr="009228D6">
        <w:rPr>
          <w:sz w:val="32"/>
          <w:szCs w:val="32"/>
        </w:rPr>
        <w:t>Danielle Carrick</w:t>
      </w:r>
    </w:p>
    <w:p w:rsidR="009228D6" w:rsidRPr="009228D6" w:rsidRDefault="009228D6" w:rsidP="009228D6">
      <w:pPr>
        <w:jc w:val="center"/>
        <w:rPr>
          <w:sz w:val="32"/>
          <w:szCs w:val="32"/>
        </w:rPr>
      </w:pPr>
      <w:r w:rsidRPr="009228D6">
        <w:rPr>
          <w:sz w:val="32"/>
          <w:szCs w:val="32"/>
        </w:rPr>
        <w:t>Program Director</w:t>
      </w:r>
    </w:p>
    <w:p w:rsidR="009228D6" w:rsidRDefault="009228D6" w:rsidP="009228D6">
      <w:pPr>
        <w:jc w:val="center"/>
        <w:rPr>
          <w:sz w:val="32"/>
          <w:szCs w:val="32"/>
        </w:rPr>
      </w:pPr>
      <w:r w:rsidRPr="009228D6">
        <w:rPr>
          <w:sz w:val="32"/>
          <w:szCs w:val="32"/>
        </w:rPr>
        <w:t>Epidemiology and Genomics Research Program</w:t>
      </w:r>
    </w:p>
    <w:p w:rsidR="009228D6" w:rsidRDefault="009228D6" w:rsidP="009228D6">
      <w:pPr>
        <w:jc w:val="center"/>
        <w:rPr>
          <w:sz w:val="32"/>
          <w:szCs w:val="32"/>
        </w:rPr>
      </w:pPr>
      <w:r>
        <w:rPr>
          <w:sz w:val="32"/>
          <w:szCs w:val="32"/>
        </w:rPr>
        <w:t>Division of Cancer Control and Population Sciences (DCCPS)</w:t>
      </w:r>
    </w:p>
    <w:p w:rsidR="009228D6" w:rsidRDefault="009228D6" w:rsidP="009228D6">
      <w:pPr>
        <w:jc w:val="center"/>
        <w:rPr>
          <w:sz w:val="32"/>
          <w:szCs w:val="32"/>
        </w:rPr>
      </w:pPr>
      <w:r>
        <w:rPr>
          <w:sz w:val="32"/>
          <w:szCs w:val="32"/>
        </w:rPr>
        <w:t>National Cancer Institute (NCI)</w:t>
      </w:r>
    </w:p>
    <w:p w:rsidR="009228D6" w:rsidRDefault="009228D6" w:rsidP="009228D6">
      <w:pPr>
        <w:jc w:val="center"/>
        <w:rPr>
          <w:sz w:val="32"/>
          <w:szCs w:val="32"/>
        </w:rPr>
      </w:pPr>
    </w:p>
    <w:p w:rsidR="009228D6" w:rsidRPr="009228D6" w:rsidRDefault="009228D6" w:rsidP="009228D6">
      <w:pPr>
        <w:jc w:val="center"/>
        <w:rPr>
          <w:sz w:val="32"/>
          <w:szCs w:val="32"/>
        </w:rPr>
      </w:pPr>
    </w:p>
    <w:p w:rsidR="005C3DC2" w:rsidRPr="009228D6" w:rsidRDefault="009228D6" w:rsidP="009228D6">
      <w:pPr>
        <w:jc w:val="center"/>
        <w:rPr>
          <w:sz w:val="32"/>
          <w:szCs w:val="32"/>
        </w:rPr>
      </w:pPr>
      <w:r w:rsidRPr="009228D6">
        <w:rPr>
          <w:sz w:val="32"/>
          <w:szCs w:val="32"/>
        </w:rPr>
        <w:t>9609 Medical Center Dr., 4E224</w:t>
      </w:r>
    </w:p>
    <w:p w:rsidR="009228D6" w:rsidRPr="009228D6" w:rsidRDefault="009228D6" w:rsidP="009228D6">
      <w:pPr>
        <w:jc w:val="center"/>
        <w:rPr>
          <w:sz w:val="32"/>
          <w:szCs w:val="32"/>
        </w:rPr>
      </w:pPr>
      <w:r w:rsidRPr="009228D6">
        <w:rPr>
          <w:sz w:val="32"/>
          <w:szCs w:val="32"/>
        </w:rPr>
        <w:t>Rockville, MD 20892</w:t>
      </w:r>
    </w:p>
    <w:p w:rsidR="009228D6" w:rsidRPr="009228D6" w:rsidRDefault="009228D6" w:rsidP="009228D6">
      <w:pPr>
        <w:jc w:val="center"/>
        <w:rPr>
          <w:sz w:val="32"/>
          <w:szCs w:val="32"/>
        </w:rPr>
      </w:pPr>
    </w:p>
    <w:p w:rsidR="009228D6" w:rsidRPr="009228D6" w:rsidRDefault="009228D6" w:rsidP="009228D6">
      <w:pPr>
        <w:jc w:val="center"/>
        <w:rPr>
          <w:sz w:val="32"/>
          <w:szCs w:val="32"/>
        </w:rPr>
      </w:pPr>
      <w:r w:rsidRPr="009228D6">
        <w:rPr>
          <w:sz w:val="32"/>
          <w:szCs w:val="32"/>
        </w:rPr>
        <w:t>Phone: 240-276-6749</w:t>
      </w:r>
    </w:p>
    <w:p w:rsidR="009228D6" w:rsidRPr="009228D6" w:rsidRDefault="009228D6" w:rsidP="009228D6">
      <w:pPr>
        <w:jc w:val="center"/>
        <w:rPr>
          <w:sz w:val="32"/>
          <w:szCs w:val="32"/>
        </w:rPr>
      </w:pPr>
      <w:r w:rsidRPr="009228D6">
        <w:rPr>
          <w:sz w:val="32"/>
          <w:szCs w:val="32"/>
        </w:rPr>
        <w:t>Danielle.Carrick@nih.gov</w:t>
      </w: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EF5CAC" w:rsidRDefault="00EF5CAC" w:rsidP="00253C78">
      <w:pPr>
        <w:tabs>
          <w:tab w:val="left" w:pos="3510"/>
        </w:tabs>
        <w:jc w:val="center"/>
      </w:pPr>
    </w:p>
    <w:p w:rsidR="00EF5CAC" w:rsidRDefault="00EF5CAC" w:rsidP="00253C78">
      <w:pPr>
        <w:tabs>
          <w:tab w:val="left" w:pos="3510"/>
        </w:tabs>
        <w:jc w:val="center"/>
      </w:pPr>
    </w:p>
    <w:p w:rsidR="00EF5CAC" w:rsidRDefault="009228D6" w:rsidP="00253C78">
      <w:pPr>
        <w:tabs>
          <w:tab w:val="left" w:pos="3510"/>
        </w:tabs>
        <w:jc w:val="center"/>
      </w:pPr>
      <w:r>
        <w:br w:type="page"/>
      </w:r>
    </w:p>
    <w:p w:rsidR="00253C78" w:rsidRDefault="00253C78" w:rsidP="00253C78">
      <w:pPr>
        <w:tabs>
          <w:tab w:val="left" w:pos="3510"/>
        </w:tabs>
        <w:jc w:val="center"/>
      </w:pPr>
      <w:r w:rsidRPr="00C37610">
        <w:lastRenderedPageBreak/>
        <w:t xml:space="preserve">Table of </w:t>
      </w:r>
      <w:r w:rsidR="009B2F7C">
        <w:t>C</w:t>
      </w:r>
      <w:r w:rsidRPr="00C37610">
        <w:t>ontents</w:t>
      </w:r>
    </w:p>
    <w:p w:rsidR="009B2F7C" w:rsidRPr="00C37610" w:rsidRDefault="009B2F7C" w:rsidP="00253C78">
      <w:pPr>
        <w:tabs>
          <w:tab w:val="left" w:pos="3510"/>
        </w:tabs>
        <w:jc w:val="center"/>
      </w:pPr>
    </w:p>
    <w:p w:rsidR="00253C78" w:rsidRPr="005B07A6" w:rsidRDefault="00B227E4" w:rsidP="00253C78">
      <w:pPr>
        <w:pStyle w:val="TOC1"/>
      </w:pPr>
      <w:r w:rsidRPr="005B07A6">
        <w:fldChar w:fldCharType="begin"/>
      </w:r>
      <w:r w:rsidR="00253C78" w:rsidRPr="005B07A6">
        <w:instrText xml:space="preserve"> TOC \o "1-2" \u </w:instrText>
      </w:r>
      <w:r w:rsidRPr="005B07A6">
        <w:fldChar w:fldCharType="separate"/>
      </w:r>
      <w:r w:rsidR="00253C78" w:rsidRPr="005B07A6">
        <w:t>A.</w:t>
      </w:r>
      <w:r w:rsidR="00253C78">
        <w:tab/>
      </w:r>
      <w:r w:rsidR="00253C78" w:rsidRPr="005B07A6">
        <w:t>JUSTIFICATION</w:t>
      </w:r>
      <w:r w:rsidR="00253C78" w:rsidRPr="005B07A6">
        <w:tab/>
      </w:r>
    </w:p>
    <w:p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rsidR="005C3DC2" w:rsidRDefault="00B227E4" w:rsidP="00253C78">
      <w:pPr>
        <w:rPr>
          <w:caps/>
          <w:noProof/>
        </w:rPr>
      </w:pPr>
      <w:r w:rsidRPr="005B07A6">
        <w:rPr>
          <w:caps/>
          <w:noProof/>
        </w:rPr>
        <w:fldChar w:fldCharType="end"/>
      </w: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4A70E1" w:rsidRDefault="004A70E1" w:rsidP="00253C78">
      <w:pPr>
        <w:rPr>
          <w:b/>
          <w:caps/>
          <w:noProof/>
          <w:color w:val="FF0000"/>
          <w:sz w:val="20"/>
        </w:rPr>
      </w:pPr>
    </w:p>
    <w:p w:rsidR="002D2CA0" w:rsidRDefault="002D2CA0" w:rsidP="004A70E1">
      <w:pPr>
        <w:pStyle w:val="P1-StandPara"/>
        <w:ind w:right="-216" w:firstLine="0"/>
        <w:jc w:val="center"/>
        <w:rPr>
          <w:b/>
          <w:caps/>
          <w:noProof/>
          <w:color w:val="FF0000"/>
          <w:sz w:val="24"/>
          <w:szCs w:val="24"/>
        </w:rPr>
      </w:pPr>
    </w:p>
    <w:p w:rsidR="002D2CA0" w:rsidRDefault="006077F0" w:rsidP="004A70E1">
      <w:pPr>
        <w:pStyle w:val="P1-StandPara"/>
        <w:ind w:right="-216" w:firstLine="0"/>
        <w:jc w:val="center"/>
        <w:rPr>
          <w:b/>
          <w:caps/>
          <w:noProof/>
          <w:color w:val="FF0000"/>
          <w:sz w:val="24"/>
          <w:szCs w:val="24"/>
        </w:rPr>
      </w:pPr>
      <w:r>
        <w:rPr>
          <w:b/>
          <w:caps/>
          <w:noProof/>
          <w:color w:val="FF0000"/>
          <w:sz w:val="24"/>
          <w:szCs w:val="24"/>
        </w:rPr>
        <w:br w:type="page"/>
      </w:r>
    </w:p>
    <w:p w:rsidR="004A70E1" w:rsidRPr="00EB4568" w:rsidRDefault="004A70E1" w:rsidP="004A70E1">
      <w:pPr>
        <w:pStyle w:val="P1-StandPara"/>
        <w:ind w:right="-216" w:firstLine="0"/>
        <w:jc w:val="center"/>
        <w:rPr>
          <w:color w:val="000000"/>
          <w:sz w:val="24"/>
          <w:szCs w:val="24"/>
        </w:rPr>
      </w:pPr>
      <w:r w:rsidRPr="00EB4568">
        <w:rPr>
          <w:b/>
          <w:caps/>
          <w:noProof/>
          <w:color w:val="000000"/>
          <w:sz w:val="24"/>
          <w:szCs w:val="24"/>
        </w:rPr>
        <w:lastRenderedPageBreak/>
        <w:t>List of Attachments</w:t>
      </w:r>
    </w:p>
    <w:p w:rsidR="00E35DB6" w:rsidRPr="00120E49" w:rsidRDefault="00BE40F0" w:rsidP="00BE40F0">
      <w:pPr>
        <w:pStyle w:val="P1-StandPara"/>
        <w:ind w:right="-216" w:firstLine="0"/>
        <w:rPr>
          <w:color w:val="000000"/>
          <w:sz w:val="24"/>
          <w:szCs w:val="24"/>
        </w:rPr>
      </w:pPr>
      <w:proofErr w:type="gramStart"/>
      <w:r w:rsidRPr="00120E49">
        <w:rPr>
          <w:color w:val="000000"/>
          <w:sz w:val="24"/>
          <w:szCs w:val="24"/>
        </w:rPr>
        <w:t>Attachment 1</w:t>
      </w:r>
      <w:r w:rsidR="0007152E" w:rsidRPr="00120E49">
        <w:rPr>
          <w:color w:val="000000"/>
          <w:sz w:val="24"/>
          <w:szCs w:val="24"/>
        </w:rPr>
        <w:t>.</w:t>
      </w:r>
      <w:proofErr w:type="gramEnd"/>
      <w:r w:rsidR="00944537" w:rsidRPr="00120E49">
        <w:rPr>
          <w:sz w:val="24"/>
          <w:szCs w:val="24"/>
        </w:rPr>
        <w:t xml:space="preserve"> </w:t>
      </w:r>
      <w:r w:rsidR="00602210" w:rsidRPr="00120E49">
        <w:rPr>
          <w:sz w:val="24"/>
          <w:szCs w:val="24"/>
        </w:rPr>
        <w:t xml:space="preserve">Population Sciences </w:t>
      </w:r>
      <w:proofErr w:type="spellStart"/>
      <w:r w:rsidR="00602210" w:rsidRPr="00120E49">
        <w:rPr>
          <w:sz w:val="24"/>
          <w:szCs w:val="24"/>
        </w:rPr>
        <w:t>Biospecimen</w:t>
      </w:r>
      <w:proofErr w:type="spellEnd"/>
      <w:r w:rsidR="00602210" w:rsidRPr="00120E49">
        <w:rPr>
          <w:sz w:val="24"/>
          <w:szCs w:val="24"/>
        </w:rPr>
        <w:t xml:space="preserve"> Catalog </w:t>
      </w:r>
    </w:p>
    <w:p w:rsidR="00BE40F0" w:rsidRPr="00EB4568" w:rsidRDefault="00E35DB6" w:rsidP="00E35DB6">
      <w:pPr>
        <w:pStyle w:val="P1-StandPara"/>
        <w:ind w:right="-216" w:firstLine="0"/>
        <w:rPr>
          <w:color w:val="000000"/>
          <w:sz w:val="24"/>
          <w:szCs w:val="24"/>
        </w:rPr>
      </w:pPr>
      <w:proofErr w:type="gramStart"/>
      <w:r w:rsidRPr="00EB4568">
        <w:rPr>
          <w:color w:val="000000"/>
          <w:sz w:val="24"/>
          <w:szCs w:val="24"/>
        </w:rPr>
        <w:t xml:space="preserve">Attachment </w:t>
      </w:r>
      <w:r w:rsidR="00524EDB">
        <w:rPr>
          <w:color w:val="000000"/>
          <w:sz w:val="24"/>
          <w:szCs w:val="24"/>
        </w:rPr>
        <w:t>2</w:t>
      </w:r>
      <w:r w:rsidR="0007152E">
        <w:rPr>
          <w:color w:val="000000"/>
          <w:sz w:val="24"/>
          <w:szCs w:val="24"/>
        </w:rPr>
        <w:t>.</w:t>
      </w:r>
      <w:proofErr w:type="gramEnd"/>
      <w:r w:rsidR="00FF1C7C">
        <w:rPr>
          <w:color w:val="000000"/>
          <w:sz w:val="24"/>
          <w:szCs w:val="24"/>
        </w:rPr>
        <w:t xml:space="preserve"> L</w:t>
      </w:r>
      <w:r w:rsidR="00BE40F0" w:rsidRPr="00EB4568">
        <w:rPr>
          <w:color w:val="000000"/>
          <w:sz w:val="24"/>
          <w:szCs w:val="24"/>
        </w:rPr>
        <w:t>etter to PIs</w:t>
      </w:r>
      <w:r w:rsidR="0007152E">
        <w:rPr>
          <w:color w:val="000000"/>
          <w:sz w:val="24"/>
          <w:szCs w:val="24"/>
        </w:rPr>
        <w:t xml:space="preserve"> </w:t>
      </w:r>
    </w:p>
    <w:p w:rsidR="00BE40F0" w:rsidRPr="00EB4568" w:rsidRDefault="00BE40F0" w:rsidP="00524EDB">
      <w:pPr>
        <w:pStyle w:val="P1-StandPara"/>
        <w:ind w:right="-216" w:firstLine="0"/>
        <w:rPr>
          <w:color w:val="000000"/>
          <w:sz w:val="24"/>
          <w:szCs w:val="24"/>
        </w:rPr>
      </w:pPr>
      <w:r w:rsidRPr="00EB4568">
        <w:rPr>
          <w:color w:val="000000"/>
          <w:sz w:val="24"/>
          <w:szCs w:val="24"/>
        </w:rPr>
        <w:t>Attachment</w:t>
      </w:r>
      <w:r w:rsidR="00E35DB6" w:rsidRPr="00EB4568">
        <w:rPr>
          <w:color w:val="000000"/>
          <w:sz w:val="24"/>
          <w:szCs w:val="24"/>
        </w:rPr>
        <w:t xml:space="preserve"> </w:t>
      </w:r>
      <w:r w:rsidR="00602210">
        <w:rPr>
          <w:color w:val="000000"/>
          <w:sz w:val="24"/>
          <w:szCs w:val="24"/>
        </w:rPr>
        <w:t>3</w:t>
      </w:r>
      <w:r w:rsidR="0007152E">
        <w:rPr>
          <w:color w:val="000000"/>
          <w:sz w:val="24"/>
          <w:szCs w:val="24"/>
        </w:rPr>
        <w:t>.</w:t>
      </w:r>
      <w:r w:rsidRPr="00EB4568">
        <w:rPr>
          <w:color w:val="000000"/>
          <w:sz w:val="24"/>
          <w:szCs w:val="24"/>
        </w:rPr>
        <w:t xml:space="preserve">Annual </w:t>
      </w:r>
      <w:r w:rsidR="00461BA9">
        <w:rPr>
          <w:color w:val="000000"/>
          <w:sz w:val="24"/>
          <w:szCs w:val="24"/>
        </w:rPr>
        <w:t>U</w:t>
      </w:r>
      <w:r w:rsidRPr="00EB4568">
        <w:rPr>
          <w:color w:val="000000"/>
          <w:sz w:val="24"/>
          <w:szCs w:val="24"/>
        </w:rPr>
        <w:t xml:space="preserve">pdate </w:t>
      </w:r>
      <w:r w:rsidR="00461BA9">
        <w:rPr>
          <w:color w:val="000000"/>
          <w:sz w:val="24"/>
          <w:szCs w:val="24"/>
        </w:rPr>
        <w:t>L</w:t>
      </w:r>
      <w:r w:rsidR="0007152E" w:rsidRPr="00EB4568">
        <w:rPr>
          <w:color w:val="000000"/>
          <w:sz w:val="24"/>
          <w:szCs w:val="24"/>
        </w:rPr>
        <w:t xml:space="preserve">etter </w:t>
      </w:r>
      <w:r w:rsidRPr="00EB4568">
        <w:rPr>
          <w:color w:val="000000"/>
          <w:sz w:val="24"/>
          <w:szCs w:val="24"/>
        </w:rPr>
        <w:t xml:space="preserve">to </w:t>
      </w:r>
      <w:r w:rsidR="0007152E">
        <w:rPr>
          <w:color w:val="000000"/>
          <w:sz w:val="24"/>
          <w:szCs w:val="24"/>
        </w:rPr>
        <w:t xml:space="preserve">PIs </w:t>
      </w:r>
    </w:p>
    <w:p w:rsidR="009B2F7C" w:rsidRDefault="00524EDB" w:rsidP="009B2F7C">
      <w:pPr>
        <w:pStyle w:val="P1-StandPara"/>
        <w:tabs>
          <w:tab w:val="left" w:pos="720"/>
          <w:tab w:val="right" w:leader="dot" w:pos="9504"/>
        </w:tabs>
        <w:spacing w:before="120" w:after="120"/>
        <w:ind w:firstLine="0"/>
        <w:rPr>
          <w:b/>
          <w:sz w:val="24"/>
          <w:szCs w:val="24"/>
        </w:rPr>
      </w:pPr>
      <w:r>
        <w:rPr>
          <w:b/>
          <w:sz w:val="24"/>
          <w:szCs w:val="24"/>
        </w:rPr>
        <w:br w:type="page"/>
      </w:r>
      <w:r w:rsidR="009B2F7C" w:rsidRPr="009B2F7C">
        <w:rPr>
          <w:b/>
          <w:sz w:val="24"/>
          <w:szCs w:val="24"/>
        </w:rPr>
        <w:lastRenderedPageBreak/>
        <w:t>A.</w:t>
      </w:r>
      <w:r w:rsidR="009B2F7C">
        <w:rPr>
          <w:b/>
          <w:sz w:val="24"/>
          <w:szCs w:val="24"/>
        </w:rPr>
        <w:t xml:space="preserve"> Justification</w:t>
      </w:r>
    </w:p>
    <w:p w:rsidR="009B2F7C" w:rsidRDefault="009B2F7C" w:rsidP="009B2F7C">
      <w:pPr>
        <w:pStyle w:val="P1-StandPara"/>
        <w:tabs>
          <w:tab w:val="left" w:pos="720"/>
          <w:tab w:val="right" w:leader="dot" w:pos="9504"/>
        </w:tabs>
        <w:spacing w:before="120" w:after="120"/>
        <w:ind w:firstLine="0"/>
        <w:rPr>
          <w:b/>
          <w:sz w:val="24"/>
          <w:szCs w:val="24"/>
        </w:rPr>
      </w:pPr>
      <w:r>
        <w:rPr>
          <w:b/>
          <w:sz w:val="24"/>
          <w:szCs w:val="24"/>
        </w:rPr>
        <w:t>Abstract</w:t>
      </w:r>
    </w:p>
    <w:p w:rsidR="00C46E61" w:rsidRPr="00120E49" w:rsidRDefault="00C46E61" w:rsidP="00490C08">
      <w:pPr>
        <w:pStyle w:val="P1-StandPara"/>
        <w:tabs>
          <w:tab w:val="left" w:pos="720"/>
          <w:tab w:val="right" w:leader="dot" w:pos="9504"/>
        </w:tabs>
        <w:spacing w:before="120" w:after="120" w:line="276" w:lineRule="auto"/>
        <w:ind w:firstLine="0"/>
        <w:rPr>
          <w:b/>
          <w:sz w:val="24"/>
          <w:szCs w:val="24"/>
        </w:rPr>
      </w:pPr>
      <w:r w:rsidRPr="00120E49">
        <w:rPr>
          <w:sz w:val="24"/>
          <w:szCs w:val="24"/>
        </w:rPr>
        <w:t xml:space="preserve">This is a request for approval of a new collection. The National Cancer Institute (NCI) Division of Cancer Control and Population Sciences (DCCPS) has previously demonstrated that approximately 60% of population based studies funded by the division use existing </w:t>
      </w:r>
      <w:proofErr w:type="spellStart"/>
      <w:r w:rsidRPr="00120E49">
        <w:rPr>
          <w:sz w:val="24"/>
          <w:szCs w:val="24"/>
        </w:rPr>
        <w:t>biospecimens</w:t>
      </w:r>
      <w:proofErr w:type="spellEnd"/>
      <w:r w:rsidRPr="00120E49">
        <w:rPr>
          <w:sz w:val="24"/>
          <w:szCs w:val="24"/>
        </w:rPr>
        <w:t xml:space="preserve"> from other collections, and that those studies are more cost and time efficient than studies collecting new specimens. Yet, it is difficult for researchers to identify potentially appropriate sources for </w:t>
      </w:r>
      <w:proofErr w:type="spellStart"/>
      <w:r w:rsidRPr="00120E49">
        <w:rPr>
          <w:sz w:val="24"/>
          <w:szCs w:val="24"/>
        </w:rPr>
        <w:t>biospecimens</w:t>
      </w:r>
      <w:proofErr w:type="spellEnd"/>
      <w:r w:rsidRPr="00120E49">
        <w:rPr>
          <w:sz w:val="24"/>
          <w:szCs w:val="24"/>
        </w:rPr>
        <w:t xml:space="preserve"> and accompanying epidemiologic and exposure data. </w:t>
      </w:r>
      <w:r w:rsidR="00E747FB" w:rsidRPr="00120E49">
        <w:rPr>
          <w:sz w:val="24"/>
          <w:szCs w:val="24"/>
        </w:rPr>
        <w:t>D</w:t>
      </w:r>
      <w:r w:rsidRPr="00120E49">
        <w:rPr>
          <w:sz w:val="24"/>
          <w:szCs w:val="24"/>
        </w:rPr>
        <w:t xml:space="preserve">evelopment of a searchable inventory of population-based </w:t>
      </w:r>
      <w:proofErr w:type="spellStart"/>
      <w:r w:rsidRPr="00120E49">
        <w:rPr>
          <w:sz w:val="24"/>
          <w:szCs w:val="24"/>
        </w:rPr>
        <w:t>biospecimen</w:t>
      </w:r>
      <w:proofErr w:type="spellEnd"/>
      <w:r w:rsidRPr="00120E49">
        <w:rPr>
          <w:sz w:val="24"/>
          <w:szCs w:val="24"/>
        </w:rPr>
        <w:t xml:space="preserve"> resources was a major recommendation resulting from an NCI </w:t>
      </w:r>
      <w:r w:rsidR="00E747FB" w:rsidRPr="00120E49">
        <w:rPr>
          <w:sz w:val="24"/>
          <w:szCs w:val="24"/>
        </w:rPr>
        <w:t>think tank</w:t>
      </w:r>
      <w:r w:rsidRPr="00120E49">
        <w:rPr>
          <w:sz w:val="24"/>
          <w:szCs w:val="24"/>
        </w:rPr>
        <w:t xml:space="preserve"> </w:t>
      </w:r>
      <w:r w:rsidR="00E747FB" w:rsidRPr="00120E49">
        <w:rPr>
          <w:sz w:val="24"/>
          <w:szCs w:val="24"/>
        </w:rPr>
        <w:t xml:space="preserve">held in </w:t>
      </w:r>
      <w:r w:rsidR="00E747FB" w:rsidRPr="00120E49">
        <w:rPr>
          <w:rFonts w:cs="Calibri"/>
          <w:sz w:val="24"/>
          <w:szCs w:val="24"/>
        </w:rPr>
        <w:t xml:space="preserve">August 2013 (“Utilizing Existing Clinical and Population </w:t>
      </w:r>
      <w:proofErr w:type="spellStart"/>
      <w:r w:rsidR="00E747FB" w:rsidRPr="00120E49">
        <w:rPr>
          <w:rFonts w:cs="Calibri"/>
          <w:sz w:val="24"/>
          <w:szCs w:val="24"/>
        </w:rPr>
        <w:t>Biospecimen</w:t>
      </w:r>
      <w:proofErr w:type="spellEnd"/>
      <w:r w:rsidR="00E747FB" w:rsidRPr="00120E49">
        <w:rPr>
          <w:rFonts w:cs="Calibri"/>
          <w:sz w:val="24"/>
          <w:szCs w:val="24"/>
        </w:rPr>
        <w:t xml:space="preserve"> Resources for Discovery or Validation of Markers for Early Cancer Detection”) and </w:t>
      </w:r>
      <w:r w:rsidRPr="00120E49">
        <w:rPr>
          <w:rFonts w:cs="Calibri"/>
          <w:sz w:val="24"/>
          <w:szCs w:val="24"/>
        </w:rPr>
        <w:t>would also be directly addressing four of the key recommendations that emerged in an NCI sponsored workshop titled “Trends in 21</w:t>
      </w:r>
      <w:r w:rsidRPr="00120E49">
        <w:rPr>
          <w:rFonts w:cs="Calibri"/>
          <w:sz w:val="24"/>
          <w:szCs w:val="24"/>
          <w:vertAlign w:val="superscript"/>
        </w:rPr>
        <w:t>st</w:t>
      </w:r>
      <w:r w:rsidRPr="00120E49">
        <w:rPr>
          <w:rFonts w:cs="Calibri"/>
          <w:sz w:val="24"/>
          <w:szCs w:val="24"/>
        </w:rPr>
        <w:t xml:space="preserve"> Century Epidemiology: From Scientific Discoveries to Population Health” (</w:t>
      </w:r>
      <w:r w:rsidRPr="00120E49">
        <w:rPr>
          <w:rFonts w:cs="Calibri"/>
          <w:i/>
          <w:sz w:val="24"/>
          <w:szCs w:val="24"/>
        </w:rPr>
        <w:t>CEBP</w:t>
      </w:r>
      <w:r w:rsidRPr="00120E49">
        <w:rPr>
          <w:rFonts w:cs="Calibri"/>
          <w:sz w:val="24"/>
          <w:szCs w:val="24"/>
        </w:rPr>
        <w:t xml:space="preserve">, 2013, issue 22, page 508).  </w:t>
      </w:r>
      <w:r w:rsidR="00E747FB" w:rsidRPr="00120E49">
        <w:rPr>
          <w:rFonts w:cs="Calibri"/>
          <w:sz w:val="24"/>
          <w:szCs w:val="24"/>
        </w:rPr>
        <w:t xml:space="preserve">In response to this, NCI DCCPS is developing a </w:t>
      </w:r>
      <w:proofErr w:type="spellStart"/>
      <w:r w:rsidR="00E747FB" w:rsidRPr="00120E49">
        <w:rPr>
          <w:rFonts w:cs="Calibri"/>
          <w:sz w:val="24"/>
          <w:szCs w:val="24"/>
        </w:rPr>
        <w:t>biospecimen</w:t>
      </w:r>
      <w:proofErr w:type="spellEnd"/>
      <w:r w:rsidR="00E747FB" w:rsidRPr="00120E49">
        <w:rPr>
          <w:rFonts w:cs="Calibri"/>
          <w:sz w:val="24"/>
          <w:szCs w:val="24"/>
        </w:rPr>
        <w:t xml:space="preserve"> inventory and online searchable catalog (or “Population Sciences </w:t>
      </w:r>
      <w:proofErr w:type="spellStart"/>
      <w:r w:rsidR="00E747FB" w:rsidRPr="00120E49">
        <w:rPr>
          <w:rFonts w:cs="Calibri"/>
          <w:sz w:val="24"/>
          <w:szCs w:val="24"/>
        </w:rPr>
        <w:t>Biospecimen</w:t>
      </w:r>
      <w:proofErr w:type="spellEnd"/>
      <w:r w:rsidR="00E747FB" w:rsidRPr="00120E49">
        <w:rPr>
          <w:rFonts w:cs="Calibri"/>
          <w:sz w:val="24"/>
          <w:szCs w:val="24"/>
        </w:rPr>
        <w:t xml:space="preserve"> Catalog (PSBC)”). The PSBC allows scientists in the research community and the NCI to locate specimens appropriate for their population based research projects. It is not NCI’s intent to collect </w:t>
      </w:r>
      <w:proofErr w:type="spellStart"/>
      <w:r w:rsidR="00E747FB" w:rsidRPr="00120E49">
        <w:rPr>
          <w:rFonts w:cs="Calibri"/>
          <w:sz w:val="24"/>
          <w:szCs w:val="24"/>
        </w:rPr>
        <w:t>biospecimens</w:t>
      </w:r>
      <w:proofErr w:type="spellEnd"/>
      <w:r w:rsidR="00E747FB" w:rsidRPr="00120E49">
        <w:rPr>
          <w:rFonts w:cs="Calibri"/>
          <w:sz w:val="24"/>
          <w:szCs w:val="24"/>
        </w:rPr>
        <w:t xml:space="preserve">; rather the collections are descriptions of the available data that can act as a resource and be shared with researchers and scientists who are interested. This submission is </w:t>
      </w:r>
      <w:r w:rsidR="005139D1" w:rsidRPr="00120E49">
        <w:rPr>
          <w:rFonts w:cs="Calibri"/>
          <w:sz w:val="24"/>
          <w:szCs w:val="24"/>
        </w:rPr>
        <w:t>via</w:t>
      </w:r>
      <w:r w:rsidR="00E747FB" w:rsidRPr="00120E49">
        <w:rPr>
          <w:rFonts w:cs="Calibri"/>
          <w:sz w:val="24"/>
          <w:szCs w:val="24"/>
        </w:rPr>
        <w:t xml:space="preserve"> data </w:t>
      </w:r>
      <w:r w:rsidR="000F635B" w:rsidRPr="00120E49">
        <w:rPr>
          <w:rFonts w:cs="Calibri"/>
          <w:sz w:val="24"/>
          <w:szCs w:val="24"/>
        </w:rPr>
        <w:t xml:space="preserve">upload </w:t>
      </w:r>
      <w:r w:rsidR="00E747FB" w:rsidRPr="00120E49">
        <w:rPr>
          <w:rFonts w:cs="Calibri"/>
          <w:sz w:val="24"/>
          <w:szCs w:val="24"/>
        </w:rPr>
        <w:t>to the secure website</w:t>
      </w:r>
      <w:r w:rsidR="000F635B" w:rsidRPr="00120E49">
        <w:rPr>
          <w:rFonts w:cs="Calibri"/>
          <w:sz w:val="24"/>
          <w:szCs w:val="24"/>
        </w:rPr>
        <w:t xml:space="preserve"> in order </w:t>
      </w:r>
      <w:r w:rsidR="005139D1" w:rsidRPr="00120E49">
        <w:rPr>
          <w:rFonts w:cs="Calibri"/>
          <w:sz w:val="24"/>
          <w:szCs w:val="24"/>
        </w:rPr>
        <w:t xml:space="preserve">to </w:t>
      </w:r>
      <w:r w:rsidR="00E747FB" w:rsidRPr="00120E49">
        <w:rPr>
          <w:rFonts w:cs="Calibri"/>
          <w:sz w:val="24"/>
          <w:szCs w:val="24"/>
        </w:rPr>
        <w:t xml:space="preserve">collect information to manage and improve a program and its resources for the use by all scientists. </w:t>
      </w:r>
    </w:p>
    <w:p w:rsidR="00490C08" w:rsidRDefault="00490C08" w:rsidP="00BF4042">
      <w:pPr>
        <w:pStyle w:val="P1-StandPara"/>
        <w:tabs>
          <w:tab w:val="left" w:pos="720"/>
          <w:tab w:val="right" w:leader="dot" w:pos="9504"/>
        </w:tabs>
        <w:spacing w:before="120" w:after="120"/>
        <w:ind w:firstLine="0"/>
        <w:rPr>
          <w:b/>
          <w:sz w:val="24"/>
          <w:szCs w:val="24"/>
        </w:rPr>
      </w:pPr>
    </w:p>
    <w:p w:rsidR="00BF4042" w:rsidRPr="00C37610" w:rsidRDefault="00BF4042" w:rsidP="00BF4042">
      <w:pPr>
        <w:pStyle w:val="P1-StandPara"/>
        <w:tabs>
          <w:tab w:val="left" w:pos="720"/>
          <w:tab w:val="right" w:leader="dot" w:pos="9504"/>
        </w:tabs>
        <w:spacing w:before="120" w:after="120"/>
        <w:ind w:firstLine="0"/>
        <w:rPr>
          <w:b/>
          <w:sz w:val="24"/>
          <w:szCs w:val="24"/>
        </w:rPr>
      </w:pPr>
      <w:r w:rsidRPr="00C37610">
        <w:rPr>
          <w:b/>
          <w:sz w:val="24"/>
          <w:szCs w:val="24"/>
        </w:rPr>
        <w:t>A.1</w:t>
      </w:r>
      <w:r w:rsidRPr="00C37610">
        <w:rPr>
          <w:b/>
          <w:sz w:val="24"/>
          <w:szCs w:val="24"/>
        </w:rPr>
        <w:tab/>
        <w:t>Circumstances Making the Collection of Information Necessary</w:t>
      </w:r>
    </w:p>
    <w:p w:rsidR="00373F7A" w:rsidRDefault="0081552F" w:rsidP="00373F7A">
      <w:pPr>
        <w:tabs>
          <w:tab w:val="num" w:pos="720"/>
        </w:tabs>
        <w:spacing w:line="480" w:lineRule="auto"/>
        <w:rPr>
          <w:rFonts w:cs="Calibri"/>
        </w:rPr>
      </w:pPr>
      <w:r w:rsidRPr="00AF2770">
        <w:rPr>
          <w:color w:val="000000"/>
        </w:rPr>
        <w:t xml:space="preserve">Section 410 of the Public Health Service Act (42 USC </w:t>
      </w:r>
      <w:r w:rsidRPr="00AF2770">
        <w:rPr>
          <w:i/>
          <w:iCs/>
          <w:color w:val="000000"/>
        </w:rPr>
        <w:t>§</w:t>
      </w:r>
      <w:r w:rsidRPr="00AF2770">
        <w:rPr>
          <w:color w:val="000000"/>
        </w:rPr>
        <w:t xml:space="preserve"> 285) authorizes the collection of the information.  </w:t>
      </w:r>
      <w:r w:rsidRPr="00BE79BC">
        <w:rPr>
          <w:rFonts w:cs="Calibri"/>
        </w:rPr>
        <w:t xml:space="preserve">The Division of Cancer Control and Population Sciences (DCCPS) and the National Cancer Institute (NCI) have been committed to fostering collaboration and sharing of resources. Over the past several years, it has become apparent that to promote such collaborations involving </w:t>
      </w:r>
      <w:proofErr w:type="spellStart"/>
      <w:r w:rsidRPr="00BE79BC">
        <w:rPr>
          <w:rFonts w:cs="Calibri"/>
        </w:rPr>
        <w:t>biospecimens</w:t>
      </w:r>
      <w:proofErr w:type="spellEnd"/>
      <w:r>
        <w:rPr>
          <w:rFonts w:cs="Calibri"/>
        </w:rPr>
        <w:t xml:space="preserve"> for population research studies</w:t>
      </w:r>
      <w:r w:rsidRPr="00BE79BC">
        <w:rPr>
          <w:rFonts w:cs="Calibri"/>
        </w:rPr>
        <w:t xml:space="preserve">, investigators and program directors would greatly benefit from having a clearer understanding of </w:t>
      </w:r>
      <w:proofErr w:type="spellStart"/>
      <w:r w:rsidRPr="00BE79BC">
        <w:rPr>
          <w:rFonts w:cs="Calibri"/>
        </w:rPr>
        <w:lastRenderedPageBreak/>
        <w:t>biospecimen</w:t>
      </w:r>
      <w:proofErr w:type="spellEnd"/>
      <w:r w:rsidRPr="00BE79BC">
        <w:rPr>
          <w:rFonts w:cs="Calibri"/>
        </w:rPr>
        <w:t xml:space="preserve">-related epidemiologic resources funded by NCI. This is exemplified with specific recommendations from an August 2013 think tank (“Utilizing Existing Clinical and Population </w:t>
      </w:r>
      <w:proofErr w:type="spellStart"/>
      <w:r w:rsidRPr="00BE79BC">
        <w:rPr>
          <w:rFonts w:cs="Calibri"/>
        </w:rPr>
        <w:t>Biospecimen</w:t>
      </w:r>
      <w:proofErr w:type="spellEnd"/>
      <w:r w:rsidRPr="00BE79BC">
        <w:rPr>
          <w:rFonts w:cs="Calibri"/>
        </w:rPr>
        <w:t xml:space="preserve"> Resources for Discovery or Validation of Markers for Early Cancer Detection”) that was held by DCCPS and the Division of Cancer Prevention (DCP). The purpose of the meeting was to learn whether ongoing NCI-funded projects, e.g. cohort studies, HMOs, or clinical trials, might be leveraged for unbiased studies of biomarker study and validation.  All participants at the think tank agreed that leveraging existing </w:t>
      </w:r>
      <w:proofErr w:type="spellStart"/>
      <w:r w:rsidRPr="00BE79BC">
        <w:rPr>
          <w:rFonts w:cs="Calibri"/>
        </w:rPr>
        <w:t>biospecimen</w:t>
      </w:r>
      <w:proofErr w:type="spellEnd"/>
      <w:r w:rsidRPr="00BE79BC">
        <w:rPr>
          <w:rFonts w:cs="Calibri"/>
        </w:rPr>
        <w:t xml:space="preserve"> resources from </w:t>
      </w:r>
      <w:r>
        <w:rPr>
          <w:rFonts w:cs="Calibri"/>
        </w:rPr>
        <w:t xml:space="preserve">population based </w:t>
      </w:r>
      <w:r w:rsidRPr="00BE79BC">
        <w:rPr>
          <w:rFonts w:cs="Calibri"/>
        </w:rPr>
        <w:t xml:space="preserve">cohorts, RCTs, and case-control was essential not only for biomarker validation but also to extend the reach of epidemiology beyond etiology. However, during meeting discussions, it became apparent that participants were unaware of existing resources that were funded by NCI (and NIH) and what types of </w:t>
      </w:r>
      <w:proofErr w:type="spellStart"/>
      <w:r w:rsidRPr="00BE79BC">
        <w:rPr>
          <w:rFonts w:cs="Calibri"/>
        </w:rPr>
        <w:t>biospecimens</w:t>
      </w:r>
      <w:proofErr w:type="spellEnd"/>
      <w:r w:rsidRPr="00BE79BC">
        <w:rPr>
          <w:rFonts w:cs="Calibri"/>
        </w:rPr>
        <w:t xml:space="preserve"> were available for research purposes. One major recommendation resulting from the meeting was to create a searchable inventory of population-based </w:t>
      </w:r>
      <w:proofErr w:type="spellStart"/>
      <w:r w:rsidRPr="00BE79BC">
        <w:rPr>
          <w:rFonts w:cs="Calibri"/>
        </w:rPr>
        <w:t>biospecimen</w:t>
      </w:r>
      <w:proofErr w:type="spellEnd"/>
      <w:r w:rsidRPr="00BE79BC">
        <w:rPr>
          <w:rFonts w:cs="Calibri"/>
        </w:rPr>
        <w:t xml:space="preserve"> resources that were created using NCI funding.</w:t>
      </w:r>
      <w:r w:rsidR="00373F7A">
        <w:rPr>
          <w:rFonts w:cs="Calibri"/>
        </w:rPr>
        <w:t xml:space="preserve"> Such an inventory would also be </w:t>
      </w:r>
      <w:r w:rsidR="00373F7A" w:rsidRPr="00BE79BC">
        <w:rPr>
          <w:rFonts w:cs="Calibri"/>
        </w:rPr>
        <w:t xml:space="preserve">directly </w:t>
      </w:r>
      <w:r w:rsidR="00373F7A">
        <w:rPr>
          <w:rFonts w:cs="Calibri"/>
        </w:rPr>
        <w:t>addressing</w:t>
      </w:r>
      <w:r w:rsidR="00373F7A" w:rsidRPr="00BE79BC">
        <w:rPr>
          <w:rFonts w:cs="Calibri"/>
        </w:rPr>
        <w:t xml:space="preserve"> four of the key recommendations that emerged in an NCI sponsored workshop titled “Trends in 21</w:t>
      </w:r>
      <w:r w:rsidR="00373F7A" w:rsidRPr="00BE79BC">
        <w:rPr>
          <w:rFonts w:cs="Calibri"/>
          <w:vertAlign w:val="superscript"/>
        </w:rPr>
        <w:t>st</w:t>
      </w:r>
      <w:r w:rsidR="00373F7A" w:rsidRPr="00BE79BC">
        <w:rPr>
          <w:rFonts w:cs="Calibri"/>
        </w:rPr>
        <w:t xml:space="preserve"> Century Epidemiology: From Scientific Discoveries to Population Health” (</w:t>
      </w:r>
      <w:r w:rsidR="00373F7A" w:rsidRPr="00BE79BC">
        <w:rPr>
          <w:rFonts w:cs="Calibri"/>
          <w:i/>
        </w:rPr>
        <w:t>CEBP</w:t>
      </w:r>
      <w:r w:rsidR="00373F7A" w:rsidRPr="00BE79BC">
        <w:rPr>
          <w:rFonts w:cs="Calibri"/>
        </w:rPr>
        <w:t xml:space="preserve">, 2013, issue 22, page 508).  </w:t>
      </w:r>
    </w:p>
    <w:p w:rsidR="0081552F" w:rsidRDefault="0081552F" w:rsidP="0081552F">
      <w:pPr>
        <w:tabs>
          <w:tab w:val="num" w:pos="720"/>
        </w:tabs>
        <w:spacing w:line="480" w:lineRule="auto"/>
        <w:rPr>
          <w:rFonts w:cs="Calibri"/>
        </w:rPr>
      </w:pPr>
    </w:p>
    <w:p w:rsidR="0081552F" w:rsidRDefault="00373F7A" w:rsidP="0081552F">
      <w:pPr>
        <w:tabs>
          <w:tab w:val="num" w:pos="720"/>
        </w:tabs>
        <w:spacing w:line="480" w:lineRule="auto"/>
        <w:rPr>
          <w:rFonts w:cs="Calibri"/>
        </w:rPr>
      </w:pPr>
      <w:r>
        <w:rPr>
          <w:rFonts w:cs="Calibri"/>
        </w:rPr>
        <w:t xml:space="preserve">Therefore, NCI’s Epidemiology and Genomics Research Program is creating </w:t>
      </w:r>
      <w:r w:rsidR="0081552F" w:rsidRPr="00BE79BC">
        <w:rPr>
          <w:rFonts w:cs="Calibri"/>
        </w:rPr>
        <w:t xml:space="preserve">a </w:t>
      </w:r>
      <w:proofErr w:type="spellStart"/>
      <w:r w:rsidR="0081552F" w:rsidRPr="00BE79BC">
        <w:rPr>
          <w:rFonts w:cs="Calibri"/>
        </w:rPr>
        <w:t>biospecimen</w:t>
      </w:r>
      <w:proofErr w:type="spellEnd"/>
      <w:r w:rsidR="0081552F" w:rsidRPr="00BE79BC">
        <w:rPr>
          <w:rFonts w:cs="Calibri"/>
        </w:rPr>
        <w:t xml:space="preserve"> inventory </w:t>
      </w:r>
      <w:r w:rsidR="00910B0B">
        <w:rPr>
          <w:rFonts w:cs="Calibri"/>
        </w:rPr>
        <w:t xml:space="preserve">and online, searchable catalog </w:t>
      </w:r>
      <w:r w:rsidR="0081552F" w:rsidRPr="00BE79BC">
        <w:rPr>
          <w:rFonts w:cs="Calibri"/>
        </w:rPr>
        <w:t>(or “</w:t>
      </w:r>
      <w:r w:rsidR="0081552F">
        <w:rPr>
          <w:rFonts w:cs="Calibri"/>
        </w:rPr>
        <w:t xml:space="preserve">Population Sciences </w:t>
      </w:r>
      <w:proofErr w:type="spellStart"/>
      <w:r w:rsidR="0081552F">
        <w:rPr>
          <w:rFonts w:cs="Calibri"/>
        </w:rPr>
        <w:t>B</w:t>
      </w:r>
      <w:r w:rsidR="0081552F" w:rsidRPr="00BE79BC">
        <w:rPr>
          <w:rFonts w:cs="Calibri"/>
        </w:rPr>
        <w:t>iospecimen</w:t>
      </w:r>
      <w:proofErr w:type="spellEnd"/>
      <w:r w:rsidR="0081552F" w:rsidRPr="00BE79BC">
        <w:rPr>
          <w:rFonts w:cs="Calibri"/>
        </w:rPr>
        <w:t xml:space="preserve"> </w:t>
      </w:r>
      <w:r w:rsidR="0081552F">
        <w:rPr>
          <w:rFonts w:cs="Calibri"/>
        </w:rPr>
        <w:t>C</w:t>
      </w:r>
      <w:r w:rsidR="0081552F" w:rsidRPr="00BE79BC">
        <w:rPr>
          <w:rFonts w:cs="Calibri"/>
        </w:rPr>
        <w:t>atalog</w:t>
      </w:r>
      <w:r w:rsidR="0081552F">
        <w:rPr>
          <w:rFonts w:cs="Calibri"/>
        </w:rPr>
        <w:t xml:space="preserve"> (PSBC)</w:t>
      </w:r>
      <w:r w:rsidR="0081552F" w:rsidRPr="00BE79BC">
        <w:rPr>
          <w:rFonts w:cs="Calibri"/>
        </w:rPr>
        <w:t>”)</w:t>
      </w:r>
      <w:r>
        <w:rPr>
          <w:rFonts w:cs="Calibri"/>
        </w:rPr>
        <w:t xml:space="preserve">. The PSBC allows scientists in the research community and the NCI to locate specimens appropriate for their population based research projects. It is not NCI’s intent to collect </w:t>
      </w:r>
      <w:proofErr w:type="spellStart"/>
      <w:r>
        <w:rPr>
          <w:rFonts w:cs="Calibri"/>
        </w:rPr>
        <w:t>biospecimens</w:t>
      </w:r>
      <w:proofErr w:type="spellEnd"/>
      <w:r>
        <w:rPr>
          <w:rFonts w:cs="Calibri"/>
        </w:rPr>
        <w:t xml:space="preserve">; rather the collections are descriptions of the </w:t>
      </w:r>
      <w:r>
        <w:rPr>
          <w:rFonts w:cs="Calibri"/>
        </w:rPr>
        <w:lastRenderedPageBreak/>
        <w:t xml:space="preserve">available data that can act as a resource and be shared with researchers and scientists who are interested. </w:t>
      </w:r>
    </w:p>
    <w:p w:rsidR="0081552F" w:rsidRDefault="0081552F" w:rsidP="0081552F">
      <w:pPr>
        <w:tabs>
          <w:tab w:val="num" w:pos="720"/>
        </w:tabs>
        <w:spacing w:line="480" w:lineRule="auto"/>
        <w:rPr>
          <w:color w:val="000000"/>
        </w:rPr>
      </w:pPr>
    </w:p>
    <w:p w:rsidR="006E557B" w:rsidRPr="00D61E21" w:rsidRDefault="006E557B"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r>
        <w:rPr>
          <w:sz w:val="24"/>
          <w:szCs w:val="24"/>
        </w:rPr>
        <w:t xml:space="preserve">A.2    </w:t>
      </w:r>
      <w:r w:rsidRPr="00D61E21">
        <w:rPr>
          <w:sz w:val="24"/>
          <w:szCs w:val="24"/>
        </w:rPr>
        <w:t>Purpose and Use of the Information</w:t>
      </w:r>
      <w:bookmarkEnd w:id="1"/>
      <w:bookmarkEnd w:id="2"/>
      <w:bookmarkEnd w:id="3"/>
      <w:bookmarkEnd w:id="4"/>
      <w:r w:rsidRPr="00D61E21">
        <w:rPr>
          <w:sz w:val="24"/>
          <w:szCs w:val="24"/>
        </w:rPr>
        <w:t xml:space="preserve"> Collection</w:t>
      </w:r>
    </w:p>
    <w:p w:rsidR="00206031" w:rsidRDefault="00615326" w:rsidP="0082379F">
      <w:pPr>
        <w:spacing w:line="480" w:lineRule="auto"/>
      </w:pPr>
      <w:r>
        <w:t>The purpose of this</w:t>
      </w:r>
      <w:r w:rsidR="00206031">
        <w:t xml:space="preserve"> information </w:t>
      </w:r>
      <w:r>
        <w:t>collection is to</w:t>
      </w:r>
      <w:r w:rsidR="00206031">
        <w:t xml:space="preserve"> characterize the </w:t>
      </w:r>
      <w:proofErr w:type="spellStart"/>
      <w:r w:rsidR="00206031">
        <w:t>biospecimen</w:t>
      </w:r>
      <w:proofErr w:type="spellEnd"/>
      <w:r w:rsidR="00206031">
        <w:t xml:space="preserve"> inventory of the respondents. The information collected will allow scientists to search the database for specimen collections with particular characteristics and accompanying data needed for their population based research study. We previously demonstrated that approximately 60% of population based studies funded by NCI DCCPS use existing </w:t>
      </w:r>
      <w:proofErr w:type="spellStart"/>
      <w:r w:rsidR="00206031">
        <w:t>biospecimens</w:t>
      </w:r>
      <w:proofErr w:type="spellEnd"/>
      <w:r w:rsidR="00206031">
        <w:t xml:space="preserve"> from </w:t>
      </w:r>
      <w:r w:rsidR="00C53D2A">
        <w:t xml:space="preserve"> biorepositories that were established for prior research studies</w:t>
      </w:r>
      <w:r w:rsidR="00206031">
        <w:t xml:space="preserve">, and that those study are more cost and time efficient than studies collecting new specimens.  Yet, it is difficult for researchers to identify potentially appropriate sources for </w:t>
      </w:r>
      <w:proofErr w:type="spellStart"/>
      <w:r w:rsidR="00206031">
        <w:t>biospecimens</w:t>
      </w:r>
      <w:proofErr w:type="spellEnd"/>
      <w:r w:rsidR="00206031">
        <w:t xml:space="preserve"> and accompanying epidemiology, environmental, dietary (etc.) data.  </w:t>
      </w:r>
    </w:p>
    <w:p w:rsidR="00206031" w:rsidRDefault="00206031" w:rsidP="0082379F">
      <w:pPr>
        <w:spacing w:line="480" w:lineRule="auto"/>
      </w:pPr>
    </w:p>
    <w:p w:rsidR="0013784F" w:rsidRDefault="00206031" w:rsidP="0082379F">
      <w:pPr>
        <w:spacing w:line="480" w:lineRule="auto"/>
      </w:pPr>
      <w:r>
        <w:t>The PSBC will provide a mechanism for investigators to easily search in a single location for such resources. However, in order to do so, researchers with such collections need to contribute the data to the PSBC.</w:t>
      </w:r>
      <w:r w:rsidR="00071629">
        <w:t xml:space="preserve"> The</w:t>
      </w:r>
      <w:r>
        <w:t xml:space="preserve"> </w:t>
      </w:r>
      <w:r w:rsidR="00071629">
        <w:t>r</w:t>
      </w:r>
      <w:r>
        <w:t xml:space="preserve">espondents </w:t>
      </w:r>
      <w:r w:rsidR="00071629">
        <w:t xml:space="preserve">are </w:t>
      </w:r>
      <w:r w:rsidR="00195984">
        <w:t>principle investigators of NCI grants, biorepository managers, and study managers associated with the NCI grant</w:t>
      </w:r>
      <w:r w:rsidR="00071629">
        <w:t>. They</w:t>
      </w:r>
      <w:r>
        <w:t xml:space="preserve"> will be sent an initial letter/email requesting they complete the information about the </w:t>
      </w:r>
      <w:proofErr w:type="spellStart"/>
      <w:r>
        <w:t>biospecimens</w:t>
      </w:r>
      <w:proofErr w:type="spellEnd"/>
      <w:r>
        <w:t xml:space="preserve"> in their inventory </w:t>
      </w:r>
      <w:r w:rsidRPr="0031171E">
        <w:rPr>
          <w:b/>
        </w:rPr>
        <w:t>(Attachment 2)</w:t>
      </w:r>
      <w:r>
        <w:t>. The letter includes a link to provide the requested information</w:t>
      </w:r>
      <w:r w:rsidR="0031171E">
        <w:t xml:space="preserve"> </w:t>
      </w:r>
      <w:r w:rsidR="0031171E" w:rsidRPr="0031171E">
        <w:rPr>
          <w:b/>
        </w:rPr>
        <w:t>(Attachment 1)</w:t>
      </w:r>
      <w:r>
        <w:t xml:space="preserve">, either as an upload (Excel file) or </w:t>
      </w:r>
      <w:r w:rsidR="00910B0B">
        <w:t xml:space="preserve">automatically through an Application Program Interface </w:t>
      </w:r>
      <w:r>
        <w:t xml:space="preserve">(API) data delivery to the PSBC. </w:t>
      </w:r>
    </w:p>
    <w:p w:rsidR="008F7B68" w:rsidRDefault="008F7B68" w:rsidP="0082379F">
      <w:pPr>
        <w:spacing w:line="480" w:lineRule="auto"/>
      </w:pPr>
    </w:p>
    <w:p w:rsidR="0013784F" w:rsidRDefault="0013784F" w:rsidP="0082379F">
      <w:pPr>
        <w:spacing w:line="480" w:lineRule="auto"/>
      </w:pPr>
    </w:p>
    <w:p w:rsidR="00206031" w:rsidRDefault="0031171E" w:rsidP="006E557B">
      <w:r>
        <w:t>The requested information includes:</w:t>
      </w:r>
    </w:p>
    <w:p w:rsidR="0031171E" w:rsidRDefault="0031171E" w:rsidP="006E557B"/>
    <w:p w:rsidR="005B120A" w:rsidRDefault="005B120A" w:rsidP="0031171E">
      <w:pPr>
        <w:numPr>
          <w:ilvl w:val="0"/>
          <w:numId w:val="1"/>
        </w:numPr>
      </w:pPr>
      <w:r>
        <w:t>Specimen collection contact information</w:t>
      </w:r>
    </w:p>
    <w:p w:rsidR="0031171E" w:rsidRDefault="0031171E" w:rsidP="0031171E">
      <w:pPr>
        <w:numPr>
          <w:ilvl w:val="0"/>
          <w:numId w:val="1"/>
        </w:numPr>
      </w:pPr>
      <w:r>
        <w:t>Study design (e.g. case/control, cohort, survivor cohort, case only, family study, nested case-control)</w:t>
      </w:r>
    </w:p>
    <w:p w:rsidR="005B120A" w:rsidRDefault="005B120A" w:rsidP="0031171E">
      <w:pPr>
        <w:numPr>
          <w:ilvl w:val="0"/>
          <w:numId w:val="1"/>
        </w:numPr>
      </w:pPr>
      <w:r>
        <w:t>Collection features (e.g. metastases included)</w:t>
      </w:r>
    </w:p>
    <w:p w:rsidR="0031171E" w:rsidRDefault="0031171E" w:rsidP="0031171E">
      <w:pPr>
        <w:numPr>
          <w:ilvl w:val="0"/>
          <w:numId w:val="1"/>
        </w:numPr>
      </w:pPr>
      <w:r>
        <w:t>Specimen collection frequency (i.e. serial collection)</w:t>
      </w:r>
    </w:p>
    <w:p w:rsidR="005B120A" w:rsidRDefault="005B120A" w:rsidP="0031171E">
      <w:pPr>
        <w:numPr>
          <w:ilvl w:val="0"/>
          <w:numId w:val="1"/>
        </w:numPr>
      </w:pPr>
      <w:r>
        <w:t xml:space="preserve">Specimens (collected from which cancer site; specimen type, e.g. whole blood, serum, plasma, </w:t>
      </w:r>
      <w:proofErr w:type="spellStart"/>
      <w:r>
        <w:t>guthrie</w:t>
      </w:r>
      <w:proofErr w:type="spellEnd"/>
      <w:r>
        <w:t xml:space="preserve"> cards/blood spots, </w:t>
      </w:r>
      <w:proofErr w:type="spellStart"/>
      <w:r>
        <w:t>etc</w:t>
      </w:r>
      <w:proofErr w:type="spellEnd"/>
      <w:r>
        <w:t>; how many cases are specimens from; were specimens collected for this study)</w:t>
      </w:r>
    </w:p>
    <w:p w:rsidR="005B120A" w:rsidRDefault="0031171E" w:rsidP="0031171E">
      <w:pPr>
        <w:numPr>
          <w:ilvl w:val="0"/>
          <w:numId w:val="1"/>
        </w:numPr>
      </w:pPr>
      <w:r>
        <w:t xml:space="preserve">Additional </w:t>
      </w:r>
      <w:r w:rsidR="005B120A">
        <w:t>data (e.g. d</w:t>
      </w:r>
      <w:r>
        <w:t xml:space="preserve">ietary information collected, environmental exposures assessed, codebook of variable available, linkage to electronic medical records available, </w:t>
      </w:r>
      <w:r w:rsidR="005B120A">
        <w:t>and more)</w:t>
      </w:r>
    </w:p>
    <w:p w:rsidR="0013784F" w:rsidRPr="00EB4568" w:rsidRDefault="0013784F" w:rsidP="004A70E1">
      <w:pPr>
        <w:pStyle w:val="P1-StandPara"/>
        <w:ind w:right="-216" w:firstLine="0"/>
        <w:rPr>
          <w:color w:val="000000"/>
          <w:sz w:val="24"/>
          <w:szCs w:val="24"/>
        </w:rPr>
      </w:pPr>
    </w:p>
    <w:p w:rsidR="005B120A" w:rsidRDefault="005B120A" w:rsidP="004A70E1">
      <w:pPr>
        <w:pStyle w:val="P1-StandPara"/>
        <w:ind w:right="-216" w:firstLine="0"/>
        <w:rPr>
          <w:color w:val="000000"/>
          <w:sz w:val="24"/>
          <w:szCs w:val="24"/>
        </w:rPr>
      </w:pPr>
      <w:r w:rsidRPr="00EB4568">
        <w:rPr>
          <w:color w:val="000000"/>
          <w:sz w:val="24"/>
          <w:szCs w:val="24"/>
        </w:rPr>
        <w:t xml:space="preserve">The information collected will be reviewed by the DCCPS </w:t>
      </w:r>
      <w:proofErr w:type="spellStart"/>
      <w:r w:rsidRPr="00EB4568">
        <w:rPr>
          <w:color w:val="000000"/>
          <w:sz w:val="24"/>
          <w:szCs w:val="24"/>
        </w:rPr>
        <w:t>Biospecimen</w:t>
      </w:r>
      <w:proofErr w:type="spellEnd"/>
      <w:r w:rsidRPr="00EB4568">
        <w:rPr>
          <w:color w:val="000000"/>
          <w:sz w:val="24"/>
          <w:szCs w:val="24"/>
        </w:rPr>
        <w:t xml:space="preserve"> Coordinator and the administrator of the website. The collected information will be used for the management of the website to benefit the research community. Additionally, the information will be available to investigators, via queries to the PSBC (via an existing EGRP </w:t>
      </w:r>
      <w:r w:rsidR="00A14932" w:rsidRPr="00EB4568">
        <w:rPr>
          <w:color w:val="000000"/>
          <w:sz w:val="24"/>
          <w:szCs w:val="24"/>
        </w:rPr>
        <w:t xml:space="preserve">web-based database, Cancer Genomics and Epidemiology Navigator (CGEN; </w:t>
      </w:r>
      <w:hyperlink r:id="rId9" w:history="1">
        <w:r w:rsidR="00A14932" w:rsidRPr="009D0F22">
          <w:rPr>
            <w:rStyle w:val="Hyperlink"/>
            <w:sz w:val="24"/>
            <w:szCs w:val="24"/>
          </w:rPr>
          <w:t>http://epi.grants.cancer.gov/cgen/)</w:t>
        </w:r>
      </w:hyperlink>
      <w:r w:rsidR="00A14932">
        <w:rPr>
          <w:color w:val="000000"/>
          <w:sz w:val="24"/>
          <w:szCs w:val="24"/>
        </w:rPr>
        <w:t xml:space="preserve">. </w:t>
      </w:r>
    </w:p>
    <w:p w:rsidR="00A14932" w:rsidRDefault="00A14932" w:rsidP="004A70E1">
      <w:pPr>
        <w:pStyle w:val="P1-StandPara"/>
        <w:ind w:right="-216" w:firstLine="0"/>
        <w:rPr>
          <w:color w:val="000000"/>
          <w:sz w:val="24"/>
          <w:szCs w:val="24"/>
        </w:rPr>
      </w:pPr>
    </w:p>
    <w:p w:rsidR="00602210" w:rsidRDefault="00A14932" w:rsidP="00602210">
      <w:pPr>
        <w:spacing w:line="480" w:lineRule="auto"/>
        <w:rPr>
          <w:color w:val="000000"/>
        </w:rPr>
      </w:pPr>
      <w:r>
        <w:rPr>
          <w:color w:val="000000"/>
        </w:rPr>
        <w:t xml:space="preserve">An annual update of the information will be requested by email of the </w:t>
      </w:r>
      <w:r w:rsidRPr="00524EDB">
        <w:rPr>
          <w:color w:val="000000"/>
        </w:rPr>
        <w:t xml:space="preserve">respondents to ensure that the </w:t>
      </w:r>
      <w:proofErr w:type="spellStart"/>
      <w:r w:rsidRPr="00524EDB">
        <w:rPr>
          <w:color w:val="000000"/>
        </w:rPr>
        <w:t>biospecimens</w:t>
      </w:r>
      <w:proofErr w:type="spellEnd"/>
      <w:r w:rsidRPr="00524EDB">
        <w:rPr>
          <w:color w:val="000000"/>
        </w:rPr>
        <w:t xml:space="preserve"> inventory remains up to date, accurate and available </w:t>
      </w:r>
      <w:r w:rsidRPr="00524EDB">
        <w:rPr>
          <w:b/>
          <w:color w:val="000000"/>
        </w:rPr>
        <w:t xml:space="preserve">(Attachment </w:t>
      </w:r>
      <w:r w:rsidR="00602210">
        <w:rPr>
          <w:b/>
          <w:color w:val="000000"/>
        </w:rPr>
        <w:t>3</w:t>
      </w:r>
      <w:r w:rsidR="00B77D6E" w:rsidRPr="00524EDB">
        <w:rPr>
          <w:b/>
          <w:color w:val="000000"/>
        </w:rPr>
        <w:t>).</w:t>
      </w:r>
      <w:r w:rsidR="00B77D6E">
        <w:rPr>
          <w:color w:val="000000"/>
        </w:rPr>
        <w:t xml:space="preserve"> </w:t>
      </w:r>
      <w:r w:rsidR="00602210">
        <w:rPr>
          <w:color w:val="000000"/>
        </w:rPr>
        <w:t xml:space="preserve">The respondents will be asked to log on to the PSBC and confirm that the information entered is still correct or, if needed, make changes via an excel file and resending it to CGEN. Additionally, the respondents have the option of simply rerunning their program code (which would have already been written for the initial request) to push their data through to the database electronically through an API. Majority of the </w:t>
      </w:r>
      <w:r w:rsidR="00602210">
        <w:rPr>
          <w:color w:val="000000"/>
        </w:rPr>
        <w:lastRenderedPageBreak/>
        <w:t xml:space="preserve">information will be pre-populated and thus a very short amount of time is needed to provide the update. </w:t>
      </w:r>
    </w:p>
    <w:p w:rsidR="006E557B" w:rsidRDefault="006E557B" w:rsidP="006E557B">
      <w:pPr>
        <w:pStyle w:val="Heading2"/>
        <w:spacing w:after="0" w:line="480" w:lineRule="auto"/>
        <w:ind w:left="0" w:firstLine="0"/>
        <w:rPr>
          <w:b w:val="0"/>
          <w:color w:val="FF0000"/>
          <w:sz w:val="24"/>
          <w:szCs w:val="24"/>
        </w:rPr>
      </w:pPr>
      <w:bookmarkStart w:id="5" w:name="_Toc443881744"/>
      <w:bookmarkStart w:id="6" w:name="_Toc451592233"/>
      <w:bookmarkStart w:id="7" w:name="_Toc5610274"/>
      <w:bookmarkStart w:id="8" w:name="_Toc99178780"/>
    </w:p>
    <w:p w:rsidR="006E557B" w:rsidRPr="00D61E21" w:rsidRDefault="006E557B" w:rsidP="006E557B">
      <w:pPr>
        <w:pStyle w:val="Heading2"/>
        <w:spacing w:after="0" w:line="480" w:lineRule="auto"/>
        <w:ind w:left="0" w:firstLine="0"/>
        <w:rPr>
          <w:sz w:val="24"/>
          <w:szCs w:val="24"/>
        </w:rPr>
      </w:pPr>
      <w:r>
        <w:rPr>
          <w:sz w:val="24"/>
          <w:szCs w:val="24"/>
        </w:rPr>
        <w:t xml:space="preserve">A.3     </w:t>
      </w:r>
      <w:r w:rsidRPr="00D61E21">
        <w:rPr>
          <w:sz w:val="24"/>
          <w:szCs w:val="24"/>
        </w:rPr>
        <w:t>Use of Information Technology and Burden Reduction</w:t>
      </w:r>
      <w:bookmarkEnd w:id="5"/>
      <w:bookmarkEnd w:id="6"/>
      <w:bookmarkEnd w:id="7"/>
      <w:bookmarkEnd w:id="8"/>
    </w:p>
    <w:p w:rsidR="0013784F" w:rsidRDefault="0013784F" w:rsidP="006E557B"/>
    <w:p w:rsidR="0013784F" w:rsidRDefault="0013784F" w:rsidP="00C64CBB">
      <w:pPr>
        <w:spacing w:line="480" w:lineRule="auto"/>
        <w:rPr>
          <w:color w:val="000000"/>
        </w:rPr>
      </w:pPr>
      <w:r w:rsidRPr="0013784F">
        <w:rPr>
          <w:color w:val="000000"/>
        </w:rPr>
        <w:t xml:space="preserve">To reduce the burden for the respondents, </w:t>
      </w:r>
      <w:r w:rsidR="008621B0">
        <w:rPr>
          <w:color w:val="000000"/>
        </w:rPr>
        <w:t xml:space="preserve">several things will be done. First, the PSBC will be integrated with the existing CGEN </w:t>
      </w:r>
      <w:r w:rsidR="00B77D6E">
        <w:rPr>
          <w:color w:val="000000"/>
        </w:rPr>
        <w:t xml:space="preserve">web-based interface and </w:t>
      </w:r>
      <w:r w:rsidR="008621B0">
        <w:rPr>
          <w:color w:val="000000"/>
        </w:rPr>
        <w:t xml:space="preserve">database. Doing so will enable </w:t>
      </w:r>
      <w:r w:rsidRPr="0013784F">
        <w:rPr>
          <w:color w:val="000000"/>
        </w:rPr>
        <w:t xml:space="preserve">the PSBC </w:t>
      </w:r>
      <w:r w:rsidR="008621B0">
        <w:rPr>
          <w:color w:val="000000"/>
        </w:rPr>
        <w:t>to</w:t>
      </w:r>
      <w:r w:rsidRPr="0013784F">
        <w:rPr>
          <w:color w:val="000000"/>
        </w:rPr>
        <w:t xml:space="preserve"> be pre-populated, when possible, with information pulled from NIH grants associated with the </w:t>
      </w:r>
      <w:proofErr w:type="spellStart"/>
      <w:r w:rsidRPr="0013784F">
        <w:rPr>
          <w:color w:val="000000"/>
        </w:rPr>
        <w:t>biospecimen</w:t>
      </w:r>
      <w:proofErr w:type="spellEnd"/>
      <w:r w:rsidRPr="0013784F">
        <w:rPr>
          <w:color w:val="000000"/>
        </w:rPr>
        <w:t xml:space="preserve"> collection.</w:t>
      </w:r>
      <w:r w:rsidR="008621B0">
        <w:rPr>
          <w:color w:val="000000"/>
        </w:rPr>
        <w:t xml:space="preserve"> Second, several options will be given to respondents to allow them to provide the information in electronic formats. They may choose to provide the information in an Excel file format, or as a download from their own database. Information Management Services, Inc. (IMS), a NCI contractor, serves as the website administrator. They have developed an API to allow a specimen resource institute’s IT personnel to create a code that can then be easily run to automatically provide updates to the PSBC. </w:t>
      </w:r>
    </w:p>
    <w:p w:rsidR="00B33DF1" w:rsidRDefault="00B33DF1" w:rsidP="00C64CBB">
      <w:pPr>
        <w:spacing w:line="480" w:lineRule="auto"/>
      </w:pPr>
    </w:p>
    <w:p w:rsidR="00524EDB" w:rsidRDefault="00524EDB" w:rsidP="00C64CBB">
      <w:pPr>
        <w:spacing w:line="480" w:lineRule="auto"/>
      </w:pPr>
      <w:r>
        <w:t xml:space="preserve">The </w:t>
      </w:r>
      <w:proofErr w:type="spellStart"/>
      <w:r>
        <w:t>biospecimen</w:t>
      </w:r>
      <w:proofErr w:type="spellEnd"/>
      <w:r>
        <w:t xml:space="preserve"> catalog will be added as a tab on the existing CGEN </w:t>
      </w:r>
      <w:proofErr w:type="gramStart"/>
      <w:r>
        <w:t xml:space="preserve">website </w:t>
      </w:r>
      <w:r w:rsidR="00236D5A">
        <w:t xml:space="preserve"> (</w:t>
      </w:r>
      <w:proofErr w:type="gramEnd"/>
      <w:r w:rsidR="000C2657">
        <w:fldChar w:fldCharType="begin"/>
      </w:r>
      <w:r w:rsidR="000C2657">
        <w:instrText xml:space="preserve"> HYPERLINK "http://epi.grants.cancer.gov/cgen/" </w:instrText>
      </w:r>
      <w:r w:rsidR="000C2657">
        <w:fldChar w:fldCharType="separate"/>
      </w:r>
      <w:r w:rsidR="00236D5A" w:rsidRPr="0086626A">
        <w:rPr>
          <w:rStyle w:val="Hyperlink"/>
        </w:rPr>
        <w:t>http://epi.grants.cancer.gov/cgen/</w:t>
      </w:r>
      <w:r w:rsidR="000C2657">
        <w:rPr>
          <w:rStyle w:val="Hyperlink"/>
        </w:rPr>
        <w:fldChar w:fldCharType="end"/>
      </w:r>
      <w:r w:rsidR="00236D5A">
        <w:t xml:space="preserve">) </w:t>
      </w:r>
      <w:r>
        <w:t xml:space="preserve">that is hosted on the NCI EGRP webpage. The websites have already been assessed with a PIA and are approved. </w:t>
      </w:r>
    </w:p>
    <w:p w:rsidR="006E557B" w:rsidRDefault="006E557B" w:rsidP="006E557B"/>
    <w:p w:rsidR="006E557B" w:rsidRDefault="006E557B" w:rsidP="006E557B">
      <w:pPr>
        <w:rPr>
          <w:color w:val="FF0000"/>
        </w:rPr>
      </w:pPr>
    </w:p>
    <w:p w:rsidR="006E557B" w:rsidRPr="00D61E21" w:rsidRDefault="006E557B" w:rsidP="006E557B">
      <w:pPr>
        <w:pStyle w:val="Heading2"/>
        <w:spacing w:after="0" w:line="480" w:lineRule="auto"/>
        <w:ind w:left="720" w:hanging="720"/>
        <w:rPr>
          <w:sz w:val="24"/>
          <w:szCs w:val="24"/>
        </w:rPr>
      </w:pPr>
      <w:bookmarkStart w:id="9" w:name="_Toc443881745"/>
      <w:bookmarkStart w:id="10" w:name="_Toc451592234"/>
      <w:bookmarkStart w:id="11" w:name="_Toc5610275"/>
      <w:bookmarkStart w:id="12" w:name="_Toc99178781"/>
      <w:r>
        <w:rPr>
          <w:sz w:val="24"/>
          <w:szCs w:val="24"/>
        </w:rPr>
        <w:t>A.4</w:t>
      </w:r>
      <w:r w:rsidRPr="00D61E21">
        <w:rPr>
          <w:sz w:val="24"/>
          <w:szCs w:val="24"/>
        </w:rPr>
        <w:tab/>
        <w:t>Efforts to Identify Duplication and Use of Similar Information</w:t>
      </w:r>
      <w:bookmarkEnd w:id="9"/>
      <w:bookmarkEnd w:id="10"/>
      <w:bookmarkEnd w:id="11"/>
      <w:bookmarkEnd w:id="12"/>
    </w:p>
    <w:p w:rsidR="00615326" w:rsidRPr="00BE79BC" w:rsidRDefault="0082379F" w:rsidP="00615326">
      <w:pPr>
        <w:tabs>
          <w:tab w:val="num" w:pos="720"/>
        </w:tabs>
        <w:spacing w:line="480" w:lineRule="auto"/>
        <w:rPr>
          <w:rFonts w:cs="Calibri"/>
        </w:rPr>
      </w:pPr>
      <w:r w:rsidRPr="00AF2770">
        <w:rPr>
          <w:color w:val="000000"/>
        </w:rPr>
        <w:t xml:space="preserve">The </w:t>
      </w:r>
      <w:r>
        <w:rPr>
          <w:color w:val="000000"/>
        </w:rPr>
        <w:t>PSBC</w:t>
      </w:r>
      <w:r w:rsidRPr="00AF2770">
        <w:rPr>
          <w:color w:val="000000"/>
        </w:rPr>
        <w:t xml:space="preserve"> is a uniq</w:t>
      </w:r>
      <w:r>
        <w:rPr>
          <w:color w:val="000000"/>
        </w:rPr>
        <w:t xml:space="preserve">ue website that collects </w:t>
      </w:r>
      <w:r w:rsidR="00B77D6E">
        <w:rPr>
          <w:color w:val="000000"/>
        </w:rPr>
        <w:t xml:space="preserve">detailed </w:t>
      </w:r>
      <w:r>
        <w:rPr>
          <w:color w:val="000000"/>
        </w:rPr>
        <w:t>descriptions of population</w:t>
      </w:r>
      <w:r w:rsidR="00B77D6E">
        <w:rPr>
          <w:color w:val="000000"/>
        </w:rPr>
        <w:t xml:space="preserve">- </w:t>
      </w:r>
      <w:r>
        <w:rPr>
          <w:color w:val="000000"/>
        </w:rPr>
        <w:t xml:space="preserve">based </w:t>
      </w:r>
      <w:proofErr w:type="spellStart"/>
      <w:r w:rsidRPr="00AF2770">
        <w:rPr>
          <w:color w:val="000000"/>
        </w:rPr>
        <w:t>biospecimen</w:t>
      </w:r>
      <w:proofErr w:type="spellEnd"/>
      <w:r w:rsidRPr="00AF2770">
        <w:rPr>
          <w:color w:val="000000"/>
        </w:rPr>
        <w:t xml:space="preserve"> resources</w:t>
      </w:r>
      <w:r>
        <w:rPr>
          <w:color w:val="000000"/>
        </w:rPr>
        <w:t xml:space="preserve"> and accompanying data,</w:t>
      </w:r>
      <w:r w:rsidRPr="00AF2770">
        <w:rPr>
          <w:color w:val="000000"/>
        </w:rPr>
        <w:t xml:space="preserve"> and makes them available to the scientific community. </w:t>
      </w:r>
      <w:r w:rsidR="00615326">
        <w:t>There are two</w:t>
      </w:r>
      <w:r w:rsidR="00615326" w:rsidRPr="00A22EAB">
        <w:t xml:space="preserve"> existing </w:t>
      </w:r>
      <w:r w:rsidR="00615326">
        <w:t>NCI-</w:t>
      </w:r>
      <w:r w:rsidR="00615326" w:rsidRPr="00A22EAB">
        <w:t>resources</w:t>
      </w:r>
      <w:r w:rsidR="00615326">
        <w:t xml:space="preserve"> that will be leveraged when </w:t>
      </w:r>
      <w:r w:rsidR="00615326">
        <w:lastRenderedPageBreak/>
        <w:t xml:space="preserve">developing the PSBC: 1) </w:t>
      </w:r>
      <w:r w:rsidR="00615326" w:rsidRPr="00A22EAB">
        <w:t xml:space="preserve">Specimen Resource </w:t>
      </w:r>
      <w:r w:rsidR="00615326">
        <w:t>Locator (SRL) supported by</w:t>
      </w:r>
      <w:r w:rsidR="00615326" w:rsidRPr="00A22EAB">
        <w:t xml:space="preserve"> </w:t>
      </w:r>
      <w:r w:rsidR="00615326">
        <w:t>the Division of Cancer Treatment and Diagnosis (</w:t>
      </w:r>
      <w:r w:rsidR="00615326" w:rsidRPr="00A22EAB">
        <w:t>DCTD</w:t>
      </w:r>
      <w:r w:rsidR="00615326">
        <w:t xml:space="preserve">), NCI </w:t>
      </w:r>
      <w:r w:rsidR="00615326" w:rsidRPr="00A22EAB">
        <w:t xml:space="preserve">and </w:t>
      </w:r>
      <w:r w:rsidR="00615326">
        <w:t>2) the Cancer Genomics and Epidemiology Navigator (</w:t>
      </w:r>
      <w:r w:rsidR="00615326" w:rsidRPr="00A22EAB">
        <w:t>CGEN)</w:t>
      </w:r>
      <w:r w:rsidR="00615326">
        <w:t xml:space="preserve">. The </w:t>
      </w:r>
      <w:proofErr w:type="spellStart"/>
      <w:r w:rsidR="00615326">
        <w:t>biospecimen</w:t>
      </w:r>
      <w:proofErr w:type="spellEnd"/>
      <w:r w:rsidR="00615326" w:rsidRPr="00A22EAB">
        <w:t xml:space="preserve"> </w:t>
      </w:r>
      <w:r w:rsidR="00615326">
        <w:t xml:space="preserve">catalog will be accessed through the CGEN interface and macro-level data from the </w:t>
      </w:r>
      <w:proofErr w:type="spellStart"/>
      <w:r w:rsidR="00615326">
        <w:t>biospecimen</w:t>
      </w:r>
      <w:proofErr w:type="spellEnd"/>
      <w:r w:rsidR="00615326">
        <w:t xml:space="preserve"> catalog will be added to the SRL. The PSBC captures more detailed information about the </w:t>
      </w:r>
      <w:proofErr w:type="spellStart"/>
      <w:r w:rsidR="00615326">
        <w:t>biospecimen</w:t>
      </w:r>
      <w:proofErr w:type="spellEnd"/>
      <w:r w:rsidR="00615326">
        <w:t xml:space="preserve"> collections compared with the SRL. Specifically, the PSBC includes the following information that is essential for population studies, but is not captured in the SRL: study design (e.g. case/control, cohort, survivor cohort, case only, family study, nested case-control), specimen collection frequency (i.e. serial collection), dietary information collected, environmental exposures assessed, codebook of variable available, linkage to electronic medical records available, physical activity assessed, genomic data available, lifestyle factors recorded, other non-cancer medical conditions recorded, clinical data available, and additional specimens (such as feces, </w:t>
      </w:r>
      <w:proofErr w:type="spellStart"/>
      <w:r w:rsidR="00615326">
        <w:t>guthrie</w:t>
      </w:r>
      <w:proofErr w:type="spellEnd"/>
      <w:r w:rsidR="00615326">
        <w:t xml:space="preserve"> cards/blood spots, tissue culture, saliva for biomarkers); see </w:t>
      </w:r>
      <w:r w:rsidR="00615326" w:rsidRPr="00373F7A">
        <w:rPr>
          <w:b/>
        </w:rPr>
        <w:t>Attachment 1</w:t>
      </w:r>
      <w:r w:rsidR="00BD7B0C">
        <w:rPr>
          <w:b/>
        </w:rPr>
        <w:t>.</w:t>
      </w:r>
    </w:p>
    <w:p w:rsidR="0082379F" w:rsidRPr="00BE79BC" w:rsidRDefault="0082379F" w:rsidP="0082379F">
      <w:pPr>
        <w:spacing w:line="480" w:lineRule="auto"/>
        <w:ind w:firstLine="720"/>
        <w:rPr>
          <w:rFonts w:cs="Calibri"/>
        </w:rPr>
      </w:pPr>
      <w:r>
        <w:rPr>
          <w:color w:val="000000"/>
        </w:rPr>
        <w:t xml:space="preserve">The SRL </w:t>
      </w:r>
      <w:r w:rsidR="00B77D6E">
        <w:rPr>
          <w:color w:val="000000"/>
        </w:rPr>
        <w:t xml:space="preserve">does </w:t>
      </w:r>
      <w:r>
        <w:rPr>
          <w:color w:val="000000"/>
        </w:rPr>
        <w:t xml:space="preserve">not accommodate the specific </w:t>
      </w:r>
      <w:proofErr w:type="spellStart"/>
      <w:r>
        <w:rPr>
          <w:color w:val="000000"/>
        </w:rPr>
        <w:t>biospecimen</w:t>
      </w:r>
      <w:proofErr w:type="spellEnd"/>
      <w:r>
        <w:rPr>
          <w:color w:val="000000"/>
        </w:rPr>
        <w:t xml:space="preserve"> and </w:t>
      </w:r>
      <w:r w:rsidR="002B6A73">
        <w:rPr>
          <w:color w:val="000000"/>
        </w:rPr>
        <w:t xml:space="preserve">related </w:t>
      </w:r>
      <w:r>
        <w:rPr>
          <w:color w:val="000000"/>
        </w:rPr>
        <w:t>data information associated with population</w:t>
      </w:r>
      <w:r w:rsidR="00B77D6E">
        <w:rPr>
          <w:color w:val="000000"/>
        </w:rPr>
        <w:t>-</w:t>
      </w:r>
      <w:r>
        <w:rPr>
          <w:color w:val="000000"/>
        </w:rPr>
        <w:t>based studies</w:t>
      </w:r>
      <w:r w:rsidR="002B6A73">
        <w:rPr>
          <w:color w:val="000000"/>
        </w:rPr>
        <w:t>. T</w:t>
      </w:r>
      <w:r>
        <w:rPr>
          <w:color w:val="000000"/>
        </w:rPr>
        <w:t xml:space="preserve">herefore, NCI EGRP has developed the PSBC to capture the </w:t>
      </w:r>
      <w:proofErr w:type="spellStart"/>
      <w:r>
        <w:rPr>
          <w:color w:val="000000"/>
        </w:rPr>
        <w:t>biospecimen</w:t>
      </w:r>
      <w:proofErr w:type="spellEnd"/>
      <w:r>
        <w:rPr>
          <w:color w:val="000000"/>
        </w:rPr>
        <w:t xml:space="preserve"> and related data information that is essential for population</w:t>
      </w:r>
      <w:r w:rsidR="00B77D6E">
        <w:rPr>
          <w:color w:val="000000"/>
        </w:rPr>
        <w:t>-</w:t>
      </w:r>
      <w:r>
        <w:rPr>
          <w:color w:val="000000"/>
        </w:rPr>
        <w:t xml:space="preserve">based researchers to search for appropriate </w:t>
      </w:r>
      <w:proofErr w:type="spellStart"/>
      <w:r>
        <w:rPr>
          <w:color w:val="000000"/>
        </w:rPr>
        <w:t>biospecimen</w:t>
      </w:r>
      <w:proofErr w:type="spellEnd"/>
      <w:r>
        <w:rPr>
          <w:color w:val="000000"/>
        </w:rPr>
        <w:t xml:space="preserve"> </w:t>
      </w:r>
      <w:proofErr w:type="gramStart"/>
      <w:r>
        <w:rPr>
          <w:color w:val="000000"/>
        </w:rPr>
        <w:t>resources</w:t>
      </w:r>
      <w:r w:rsidR="00524EDB">
        <w:rPr>
          <w:color w:val="000000"/>
        </w:rPr>
        <w:t xml:space="preserve"> </w:t>
      </w:r>
      <w:r>
        <w:rPr>
          <w:color w:val="000000"/>
        </w:rPr>
        <w:t>.</w:t>
      </w:r>
      <w:proofErr w:type="gramEnd"/>
    </w:p>
    <w:p w:rsidR="006E557B" w:rsidRDefault="006E557B" w:rsidP="006E557B"/>
    <w:p w:rsidR="00B41EC6" w:rsidRDefault="00B41EC6" w:rsidP="006E557B"/>
    <w:p w:rsidR="00B41EC6" w:rsidRDefault="00B41EC6" w:rsidP="006E557B"/>
    <w:p w:rsidR="00B41EC6" w:rsidRDefault="00B41EC6" w:rsidP="00B41EC6">
      <w:pPr>
        <w:pStyle w:val="Heading2"/>
        <w:spacing w:after="0" w:line="480" w:lineRule="auto"/>
        <w:ind w:left="720" w:hanging="720"/>
        <w:rPr>
          <w:sz w:val="24"/>
          <w:szCs w:val="24"/>
        </w:rPr>
      </w:pPr>
      <w:bookmarkStart w:id="13" w:name="_Toc443881746"/>
      <w:bookmarkStart w:id="14" w:name="_Toc451592235"/>
      <w:bookmarkStart w:id="15" w:name="_Toc5610276"/>
      <w:bookmarkStart w:id="16" w:name="_Toc99178782"/>
      <w:r>
        <w:rPr>
          <w:sz w:val="24"/>
          <w:szCs w:val="24"/>
        </w:rPr>
        <w:t>A.5</w:t>
      </w:r>
      <w:r w:rsidRPr="00D61E21">
        <w:rPr>
          <w:sz w:val="24"/>
          <w:szCs w:val="24"/>
        </w:rPr>
        <w:tab/>
        <w:t>Impact on Small Businesses or Other Small Entities</w:t>
      </w:r>
      <w:bookmarkEnd w:id="13"/>
      <w:bookmarkEnd w:id="14"/>
      <w:bookmarkEnd w:id="15"/>
      <w:bookmarkEnd w:id="16"/>
    </w:p>
    <w:p w:rsidR="00273E4A" w:rsidRPr="00AF2770" w:rsidRDefault="00273E4A" w:rsidP="00273E4A">
      <w:pPr>
        <w:spacing w:line="480" w:lineRule="auto"/>
        <w:ind w:firstLine="720"/>
        <w:rPr>
          <w:color w:val="000000"/>
        </w:rPr>
      </w:pPr>
      <w:r w:rsidRPr="00AF2770">
        <w:rPr>
          <w:color w:val="000000"/>
        </w:rPr>
        <w:t>No small businesses will be involved.</w:t>
      </w:r>
    </w:p>
    <w:p w:rsidR="00B41EC6" w:rsidRDefault="00B41EC6" w:rsidP="006E557B"/>
    <w:p w:rsidR="00B41EC6" w:rsidRDefault="00B41EC6" w:rsidP="006E557B"/>
    <w:p w:rsidR="00B41EC6" w:rsidRPr="00D61E21" w:rsidRDefault="00B41EC6" w:rsidP="00B41EC6">
      <w:pPr>
        <w:pStyle w:val="Heading2"/>
        <w:spacing w:after="0" w:line="480" w:lineRule="auto"/>
        <w:ind w:left="720" w:hanging="720"/>
        <w:rPr>
          <w:sz w:val="24"/>
          <w:szCs w:val="24"/>
        </w:rPr>
      </w:pPr>
      <w:bookmarkStart w:id="17" w:name="_Toc443881747"/>
      <w:bookmarkStart w:id="18" w:name="_Toc451592236"/>
      <w:bookmarkStart w:id="19" w:name="_Toc5610277"/>
      <w:bookmarkStart w:id="20" w:name="_Toc99178783"/>
      <w:r>
        <w:rPr>
          <w:sz w:val="24"/>
          <w:szCs w:val="24"/>
        </w:rPr>
        <w:t>A.6</w:t>
      </w:r>
      <w:r w:rsidRPr="00D61E21">
        <w:rPr>
          <w:sz w:val="24"/>
          <w:szCs w:val="24"/>
        </w:rPr>
        <w:tab/>
        <w:t>Consequences of Collecting the Information Less Frequently</w:t>
      </w:r>
      <w:bookmarkEnd w:id="17"/>
      <w:bookmarkEnd w:id="18"/>
      <w:bookmarkEnd w:id="19"/>
      <w:bookmarkEnd w:id="20"/>
    </w:p>
    <w:p w:rsidR="00273E4A" w:rsidRPr="00AF2770" w:rsidRDefault="00273E4A" w:rsidP="00273E4A">
      <w:pPr>
        <w:spacing w:line="480" w:lineRule="auto"/>
        <w:ind w:firstLine="720"/>
        <w:rPr>
          <w:color w:val="000000"/>
        </w:rPr>
      </w:pPr>
      <w:r w:rsidRPr="00AF2770">
        <w:rPr>
          <w:color w:val="000000"/>
        </w:rPr>
        <w:t xml:space="preserve">The respondent </w:t>
      </w:r>
      <w:r>
        <w:rPr>
          <w:color w:val="000000"/>
        </w:rPr>
        <w:t>will</w:t>
      </w:r>
      <w:r w:rsidRPr="00AF2770">
        <w:rPr>
          <w:color w:val="000000"/>
        </w:rPr>
        <w:t xml:space="preserve"> initially be asked to </w:t>
      </w:r>
      <w:r>
        <w:rPr>
          <w:color w:val="000000"/>
        </w:rPr>
        <w:t>provide the information</w:t>
      </w:r>
      <w:r w:rsidRPr="00AF2770">
        <w:rPr>
          <w:color w:val="000000"/>
        </w:rPr>
        <w:t xml:space="preserve"> and then to update the information annually thereafter. The annual updates will keep the </w:t>
      </w:r>
      <w:r>
        <w:rPr>
          <w:color w:val="000000"/>
        </w:rPr>
        <w:t xml:space="preserve">PSBC </w:t>
      </w:r>
      <w:r w:rsidRPr="00AF2770">
        <w:rPr>
          <w:color w:val="000000"/>
        </w:rPr>
        <w:t xml:space="preserve">accurate and up to date on the inventory. The consequences of not updating the inventory may result in inaccurate inventory numbers, available specimens, and </w:t>
      </w:r>
      <w:r>
        <w:rPr>
          <w:color w:val="000000"/>
        </w:rPr>
        <w:t>specimen access information</w:t>
      </w:r>
      <w:r w:rsidRPr="00AF2770">
        <w:rPr>
          <w:color w:val="000000"/>
        </w:rPr>
        <w:t>.</w:t>
      </w:r>
      <w:r w:rsidR="00B77D6E">
        <w:rPr>
          <w:color w:val="000000"/>
        </w:rPr>
        <w:t xml:space="preserve"> We will ease this burden by providing an API and/or an excel spreadsheet for our investigators.</w:t>
      </w:r>
    </w:p>
    <w:p w:rsidR="00B41EC6" w:rsidRDefault="00B41EC6" w:rsidP="006E557B"/>
    <w:p w:rsidR="00B41EC6" w:rsidRDefault="00B41EC6" w:rsidP="006E557B"/>
    <w:p w:rsidR="00B41EC6" w:rsidRPr="00D61E21" w:rsidRDefault="00B41EC6" w:rsidP="0016182C">
      <w:pPr>
        <w:pStyle w:val="Heading2"/>
        <w:spacing w:after="0" w:line="480" w:lineRule="auto"/>
        <w:ind w:left="0" w:firstLine="0"/>
        <w:rPr>
          <w:sz w:val="24"/>
          <w:szCs w:val="24"/>
        </w:rPr>
      </w:pPr>
      <w:bookmarkStart w:id="21" w:name="_Toc443881748"/>
      <w:bookmarkStart w:id="22" w:name="_Toc451592237"/>
      <w:bookmarkStart w:id="23" w:name="_Toc5610278"/>
      <w:bookmarkStart w:id="24" w:name="_Toc99178784"/>
      <w:r>
        <w:rPr>
          <w:sz w:val="24"/>
          <w:szCs w:val="24"/>
        </w:rPr>
        <w:t>A.7</w:t>
      </w:r>
      <w:r w:rsidRPr="00D61E21">
        <w:rPr>
          <w:sz w:val="24"/>
          <w:szCs w:val="24"/>
        </w:rPr>
        <w:tab/>
        <w:t xml:space="preserve">Special Circumstances Relating to the Guidelines of 5 </w:t>
      </w:r>
      <w:smartTag w:uri="urn:schemas-microsoft-com:office:smarttags" w:element="stockticker">
        <w:r w:rsidRPr="00D61E21">
          <w:rPr>
            <w:sz w:val="24"/>
            <w:szCs w:val="24"/>
          </w:rPr>
          <w:t>CFR</w:t>
        </w:r>
      </w:smartTag>
      <w:r w:rsidRPr="00D61E21">
        <w:rPr>
          <w:sz w:val="24"/>
          <w:szCs w:val="24"/>
        </w:rPr>
        <w:t xml:space="preserve"> 1320.5</w:t>
      </w:r>
      <w:bookmarkEnd w:id="21"/>
      <w:bookmarkEnd w:id="22"/>
      <w:bookmarkEnd w:id="23"/>
      <w:bookmarkEnd w:id="24"/>
    </w:p>
    <w:p w:rsidR="00273E4A" w:rsidRPr="00AF2770" w:rsidRDefault="00273E4A" w:rsidP="00273E4A">
      <w:pPr>
        <w:autoSpaceDE w:val="0"/>
        <w:autoSpaceDN w:val="0"/>
        <w:adjustRightInd w:val="0"/>
        <w:spacing w:line="480" w:lineRule="auto"/>
        <w:ind w:firstLine="720"/>
        <w:outlineLvl w:val="0"/>
        <w:rPr>
          <w:color w:val="000000"/>
        </w:rPr>
      </w:pPr>
      <w:r w:rsidRPr="00AF2770">
        <w:rPr>
          <w:color w:val="000000"/>
        </w:rPr>
        <w:t>This project will be implemented in a manner that fully complies with Guidelines of 5 CFR 1320.5</w:t>
      </w:r>
    </w:p>
    <w:p w:rsidR="00B41EC6" w:rsidRDefault="00B41EC6" w:rsidP="006E557B"/>
    <w:p w:rsidR="0005035B" w:rsidRDefault="0005035B" w:rsidP="0005035B">
      <w:pPr>
        <w:pStyle w:val="Heading2"/>
        <w:spacing w:after="0" w:line="480" w:lineRule="auto"/>
        <w:ind w:left="720" w:hanging="720"/>
        <w:rPr>
          <w:sz w:val="24"/>
          <w:szCs w:val="24"/>
        </w:rPr>
      </w:pPr>
      <w:bookmarkStart w:id="25" w:name="_Toc443881749"/>
      <w:bookmarkStart w:id="26" w:name="_Toc451592238"/>
      <w:bookmarkStart w:id="27" w:name="_Toc5610279"/>
      <w:bookmarkStart w:id="28" w:name="_Toc99178785"/>
      <w:r>
        <w:rPr>
          <w:sz w:val="24"/>
          <w:szCs w:val="24"/>
        </w:rPr>
        <w:t>A.8</w:t>
      </w:r>
      <w:r w:rsidRPr="00D61E21">
        <w:rPr>
          <w:sz w:val="24"/>
          <w:szCs w:val="24"/>
        </w:rPr>
        <w:tab/>
        <w:t>Comments in Response to the Federal Register Notice and Efforts to Consult Outside Agency</w:t>
      </w:r>
      <w:bookmarkEnd w:id="25"/>
      <w:bookmarkEnd w:id="26"/>
      <w:bookmarkEnd w:id="27"/>
      <w:bookmarkEnd w:id="28"/>
    </w:p>
    <w:p w:rsidR="003A0BC4" w:rsidRDefault="003A0BC4" w:rsidP="0005035B"/>
    <w:p w:rsidR="00372580" w:rsidRPr="001422CB" w:rsidRDefault="00372580" w:rsidP="00372580">
      <w:pPr>
        <w:spacing w:line="480" w:lineRule="auto"/>
        <w:ind w:firstLine="720"/>
        <w:rPr>
          <w:rFonts w:eastAsia="SimSun"/>
          <w:szCs w:val="22"/>
        </w:rPr>
      </w:pPr>
      <w:r w:rsidRPr="001422CB">
        <w:rPr>
          <w:rFonts w:eastAsia="SimSun"/>
          <w:szCs w:val="22"/>
        </w:rPr>
        <w:t>A 60</w:t>
      </w:r>
      <w:r w:rsidRPr="001422CB">
        <w:rPr>
          <w:rFonts w:eastAsia="SimSun"/>
          <w:szCs w:val="22"/>
        </w:rPr>
        <w:noBreakHyphen/>
        <w:t xml:space="preserve">day Federal Register notice soliciting comments was published in the </w:t>
      </w:r>
      <w:r w:rsidRPr="001422CB">
        <w:rPr>
          <w:rFonts w:eastAsia="SimSun"/>
          <w:szCs w:val="22"/>
          <w:u w:val="single"/>
        </w:rPr>
        <w:t>Federal</w:t>
      </w:r>
      <w:r w:rsidRPr="001422CB">
        <w:rPr>
          <w:rFonts w:eastAsia="SimSun"/>
          <w:szCs w:val="22"/>
        </w:rPr>
        <w:t xml:space="preserve"> </w:t>
      </w:r>
      <w:r w:rsidRPr="001422CB">
        <w:rPr>
          <w:rFonts w:eastAsia="SimSun"/>
          <w:szCs w:val="22"/>
          <w:u w:val="single"/>
        </w:rPr>
        <w:t>Register</w:t>
      </w:r>
      <w:r w:rsidRPr="001422CB">
        <w:rPr>
          <w:rFonts w:eastAsia="SimSun"/>
          <w:szCs w:val="22"/>
        </w:rPr>
        <w:t xml:space="preserve"> on </w:t>
      </w:r>
      <w:r w:rsidR="001422CB" w:rsidRPr="001422CB">
        <w:rPr>
          <w:rFonts w:eastAsia="SimSun"/>
          <w:szCs w:val="22"/>
        </w:rPr>
        <w:t>June 30, 2015</w:t>
      </w:r>
      <w:r w:rsidRPr="001422CB">
        <w:rPr>
          <w:rFonts w:eastAsia="SimSun"/>
          <w:szCs w:val="22"/>
        </w:rPr>
        <w:t xml:space="preserve">, Vol. </w:t>
      </w:r>
      <w:r w:rsidR="001422CB" w:rsidRPr="001422CB">
        <w:rPr>
          <w:rFonts w:eastAsia="SimSun"/>
          <w:szCs w:val="22"/>
        </w:rPr>
        <w:t>80</w:t>
      </w:r>
      <w:r w:rsidR="000F502D" w:rsidRPr="001422CB">
        <w:rPr>
          <w:rFonts w:eastAsia="SimSun"/>
          <w:szCs w:val="22"/>
        </w:rPr>
        <w:t xml:space="preserve">, P. </w:t>
      </w:r>
      <w:r w:rsidR="001422CB" w:rsidRPr="001422CB">
        <w:rPr>
          <w:rFonts w:eastAsia="SimSun"/>
          <w:szCs w:val="22"/>
        </w:rPr>
        <w:t>37280</w:t>
      </w:r>
      <w:r w:rsidRPr="001422CB">
        <w:rPr>
          <w:rFonts w:eastAsia="SimSun"/>
          <w:szCs w:val="22"/>
        </w:rPr>
        <w:t>. No comments were received.</w:t>
      </w:r>
    </w:p>
    <w:p w:rsidR="000F502D" w:rsidRDefault="000F502D" w:rsidP="003A0BC4">
      <w:pPr>
        <w:spacing w:line="480" w:lineRule="auto"/>
      </w:pPr>
    </w:p>
    <w:p w:rsidR="003A0BC4" w:rsidRDefault="003A0BC4" w:rsidP="008564A4">
      <w:pPr>
        <w:spacing w:line="480" w:lineRule="auto"/>
        <w:ind w:firstLine="720"/>
      </w:pPr>
      <w:r>
        <w:t xml:space="preserve">To create this </w:t>
      </w:r>
      <w:proofErr w:type="spellStart"/>
      <w:r>
        <w:t>biospecimen</w:t>
      </w:r>
      <w:proofErr w:type="spellEnd"/>
      <w:r>
        <w:t xml:space="preserve"> catalog, Jean Cyr (the NCI contractor for this project) at IMS (Information Management Services, </w:t>
      </w:r>
      <w:proofErr w:type="spellStart"/>
      <w:r>
        <w:t>Inc</w:t>
      </w:r>
      <w:proofErr w:type="spellEnd"/>
      <w:r>
        <w:t xml:space="preserve">), the Project Manager for this project, was consulted; Jean’s email is: </w:t>
      </w:r>
      <w:hyperlink r:id="rId10" w:history="1">
        <w:r w:rsidRPr="005E6EC7">
          <w:rPr>
            <w:rStyle w:val="Hyperlink"/>
          </w:rPr>
          <w:t>CyrJ@imsweb.com</w:t>
        </w:r>
      </w:hyperlink>
      <w:r>
        <w:t xml:space="preserve">. </w:t>
      </w:r>
    </w:p>
    <w:p w:rsidR="0005035B" w:rsidRDefault="0005035B" w:rsidP="0005035B"/>
    <w:p w:rsidR="004A70E1" w:rsidRDefault="004A70E1" w:rsidP="00253C78">
      <w:pPr>
        <w:rPr>
          <w:sz w:val="32"/>
          <w:szCs w:val="32"/>
        </w:rPr>
      </w:pPr>
    </w:p>
    <w:p w:rsidR="0005035B" w:rsidRPr="00D61E21" w:rsidRDefault="0005035B" w:rsidP="0005035B">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Pr>
          <w:sz w:val="24"/>
          <w:szCs w:val="24"/>
        </w:rPr>
        <w:t>A.9</w:t>
      </w:r>
      <w:r w:rsidRPr="00D61E21">
        <w:rPr>
          <w:sz w:val="24"/>
          <w:szCs w:val="24"/>
        </w:rPr>
        <w:tab/>
        <w:t>Explanation of Any Payment of Gift to Respondents</w:t>
      </w:r>
      <w:bookmarkEnd w:id="29"/>
      <w:bookmarkEnd w:id="30"/>
      <w:bookmarkEnd w:id="31"/>
      <w:bookmarkEnd w:id="32"/>
    </w:p>
    <w:p w:rsidR="0005035B" w:rsidRDefault="00D1549B" w:rsidP="00D1549B">
      <w:pPr>
        <w:autoSpaceDE w:val="0"/>
        <w:autoSpaceDN w:val="0"/>
        <w:adjustRightInd w:val="0"/>
        <w:spacing w:line="480" w:lineRule="auto"/>
        <w:ind w:firstLine="720"/>
        <w:outlineLvl w:val="0"/>
        <w:rPr>
          <w:color w:val="FF0000"/>
          <w:sz w:val="32"/>
          <w:szCs w:val="32"/>
        </w:rPr>
      </w:pPr>
      <w:r w:rsidRPr="00AF2770">
        <w:rPr>
          <w:color w:val="000000"/>
        </w:rPr>
        <w:t>No payment or gifts will be given to the respondents.</w:t>
      </w:r>
      <w:r>
        <w:rPr>
          <w:color w:val="FF0000"/>
          <w:sz w:val="32"/>
          <w:szCs w:val="32"/>
        </w:rPr>
        <w:t xml:space="preserve"> </w:t>
      </w:r>
    </w:p>
    <w:p w:rsidR="0005035B" w:rsidRDefault="0005035B" w:rsidP="00253C78">
      <w:pPr>
        <w:rPr>
          <w:color w:val="FF0000"/>
          <w:sz w:val="32"/>
          <w:szCs w:val="32"/>
        </w:rPr>
      </w:pPr>
    </w:p>
    <w:p w:rsidR="0005035B" w:rsidRPr="00D61E21" w:rsidRDefault="0005035B" w:rsidP="0005035B">
      <w:pPr>
        <w:pStyle w:val="Heading2"/>
        <w:spacing w:after="0" w:line="480" w:lineRule="auto"/>
        <w:ind w:left="720" w:hanging="720"/>
        <w:rPr>
          <w:sz w:val="24"/>
          <w:szCs w:val="24"/>
        </w:rPr>
      </w:pPr>
      <w:bookmarkStart w:id="33" w:name="_Toc443881751"/>
      <w:bookmarkStart w:id="34" w:name="_Toc451592240"/>
      <w:bookmarkStart w:id="35" w:name="_Toc5610281"/>
      <w:bookmarkStart w:id="36" w:name="_Toc99178787"/>
      <w:r>
        <w:rPr>
          <w:sz w:val="24"/>
          <w:szCs w:val="24"/>
        </w:rPr>
        <w:t>A.10</w:t>
      </w:r>
      <w:r w:rsidRPr="00D61E21">
        <w:rPr>
          <w:sz w:val="24"/>
          <w:szCs w:val="24"/>
        </w:rPr>
        <w:tab/>
        <w:t>Assurance of Confidentiality Provided to Respondents</w:t>
      </w:r>
      <w:bookmarkEnd w:id="33"/>
      <w:bookmarkEnd w:id="34"/>
      <w:bookmarkEnd w:id="35"/>
      <w:bookmarkEnd w:id="36"/>
    </w:p>
    <w:p w:rsidR="00D1549B" w:rsidRDefault="007F5AE0" w:rsidP="00D1549B">
      <w:pPr>
        <w:spacing w:line="480" w:lineRule="auto"/>
        <w:ind w:firstLine="720"/>
        <w:rPr>
          <w:color w:val="000000"/>
        </w:rPr>
      </w:pPr>
      <w:r>
        <w:rPr>
          <w:color w:val="000000"/>
        </w:rPr>
        <w:t xml:space="preserve">All information will be kept private to the </w:t>
      </w:r>
      <w:r w:rsidR="00A7744B">
        <w:rPr>
          <w:color w:val="000000"/>
        </w:rPr>
        <w:t>extent</w:t>
      </w:r>
      <w:r>
        <w:rPr>
          <w:color w:val="000000"/>
        </w:rPr>
        <w:t xml:space="preserve"> </w:t>
      </w:r>
      <w:r w:rsidR="00857DAC">
        <w:rPr>
          <w:color w:val="000000"/>
        </w:rPr>
        <w:t>allowable by</w:t>
      </w:r>
      <w:r>
        <w:rPr>
          <w:color w:val="000000"/>
        </w:rPr>
        <w:t xml:space="preserve"> law.</w:t>
      </w:r>
      <w:r w:rsidR="00D1549B" w:rsidRPr="00613581">
        <w:rPr>
          <w:color w:val="000000"/>
        </w:rPr>
        <w:t xml:space="preserve">  Th</w:t>
      </w:r>
      <w:r w:rsidR="00D1549B">
        <w:rPr>
          <w:color w:val="000000"/>
        </w:rPr>
        <w:t>ough</w:t>
      </w:r>
      <w:r w:rsidR="00D1549B" w:rsidRPr="00613581">
        <w:rPr>
          <w:color w:val="000000"/>
        </w:rPr>
        <w:t xml:space="preserve"> name and contact information </w:t>
      </w:r>
      <w:r w:rsidR="00D1549B">
        <w:rPr>
          <w:color w:val="000000"/>
        </w:rPr>
        <w:t>are</w:t>
      </w:r>
      <w:r w:rsidR="00D1549B" w:rsidRPr="00613581">
        <w:rPr>
          <w:color w:val="000000"/>
        </w:rPr>
        <w:t xml:space="preserve"> collected</w:t>
      </w:r>
      <w:r w:rsidR="00D1549B">
        <w:rPr>
          <w:color w:val="000000"/>
        </w:rPr>
        <w:t xml:space="preserve">, the </w:t>
      </w:r>
      <w:proofErr w:type="spellStart"/>
      <w:r w:rsidR="00D1549B">
        <w:rPr>
          <w:color w:val="000000"/>
        </w:rPr>
        <w:t>biospecimen</w:t>
      </w:r>
      <w:proofErr w:type="spellEnd"/>
      <w:r w:rsidR="00D1549B">
        <w:rPr>
          <w:color w:val="000000"/>
        </w:rPr>
        <w:t xml:space="preserve"> resource institutions are</w:t>
      </w:r>
      <w:r w:rsidR="00D1549B" w:rsidRPr="00613581">
        <w:rPr>
          <w:color w:val="000000"/>
        </w:rPr>
        <w:t xml:space="preserve"> responding on behalf of their company not themselves and thus no personally identifiable information (PII) will be collected</w:t>
      </w:r>
      <w:r w:rsidR="00B77D6E">
        <w:rPr>
          <w:color w:val="000000"/>
        </w:rPr>
        <w:t>.</w:t>
      </w:r>
    </w:p>
    <w:p w:rsidR="00D1549B" w:rsidRPr="002D08FF" w:rsidRDefault="00D1549B" w:rsidP="00D1549B">
      <w:pPr>
        <w:spacing w:line="480" w:lineRule="auto"/>
        <w:ind w:firstLine="720"/>
      </w:pPr>
      <w:r w:rsidRPr="002D08FF">
        <w:t xml:space="preserve">Since this is not considered research nor will there be publications, </w:t>
      </w:r>
      <w:r w:rsidR="007F5AE0" w:rsidRPr="002D08FF">
        <w:t>t</w:t>
      </w:r>
      <w:r w:rsidR="007F5AE0">
        <w:t>he</w:t>
      </w:r>
      <w:r w:rsidR="007F5AE0" w:rsidRPr="002D08FF">
        <w:t xml:space="preserve"> </w:t>
      </w:r>
      <w:r w:rsidRPr="002D08FF">
        <w:t xml:space="preserve">Federal regulations for the protection of human subjects do not apply to this activity.  </w:t>
      </w:r>
    </w:p>
    <w:p w:rsidR="0005035B" w:rsidRPr="0005035B" w:rsidRDefault="0005035B" w:rsidP="0005035B">
      <w:pPr>
        <w:rPr>
          <w:color w:val="FF0000"/>
        </w:rPr>
      </w:pPr>
    </w:p>
    <w:p w:rsidR="0005035B" w:rsidRDefault="0005035B" w:rsidP="0005035B"/>
    <w:p w:rsidR="0005035B" w:rsidRPr="00D61E21" w:rsidRDefault="0005035B" w:rsidP="001C142B">
      <w:pPr>
        <w:pStyle w:val="Heading2"/>
        <w:spacing w:after="0" w:line="480" w:lineRule="auto"/>
        <w:ind w:left="0" w:firstLine="0"/>
        <w:rPr>
          <w:sz w:val="24"/>
          <w:szCs w:val="24"/>
        </w:rPr>
      </w:pPr>
      <w:bookmarkStart w:id="37" w:name="_Toc443881752"/>
      <w:bookmarkStart w:id="38" w:name="_Toc451592241"/>
      <w:bookmarkStart w:id="39" w:name="_Toc5610282"/>
      <w:bookmarkStart w:id="40" w:name="_Toc99178788"/>
      <w:r>
        <w:rPr>
          <w:sz w:val="24"/>
          <w:szCs w:val="24"/>
        </w:rPr>
        <w:t>A.11</w:t>
      </w:r>
      <w:r w:rsidRPr="00D61E21">
        <w:rPr>
          <w:sz w:val="24"/>
          <w:szCs w:val="24"/>
        </w:rPr>
        <w:tab/>
        <w:t>Justification for Sensitive Questions</w:t>
      </w:r>
      <w:bookmarkEnd w:id="37"/>
      <w:bookmarkEnd w:id="38"/>
      <w:bookmarkEnd w:id="39"/>
      <w:bookmarkEnd w:id="40"/>
    </w:p>
    <w:p w:rsidR="00D1549B" w:rsidRPr="00AF2770" w:rsidRDefault="00D1549B" w:rsidP="00D1549B">
      <w:pPr>
        <w:autoSpaceDE w:val="0"/>
        <w:autoSpaceDN w:val="0"/>
        <w:adjustRightInd w:val="0"/>
        <w:spacing w:line="480" w:lineRule="auto"/>
        <w:ind w:firstLine="720"/>
        <w:outlineLvl w:val="0"/>
        <w:rPr>
          <w:color w:val="000000"/>
        </w:rPr>
      </w:pPr>
      <w:r>
        <w:rPr>
          <w:color w:val="000000"/>
        </w:rPr>
        <w:t>No</w:t>
      </w:r>
      <w:r w:rsidRPr="00AF2770">
        <w:rPr>
          <w:color w:val="000000"/>
        </w:rPr>
        <w:t xml:space="preserve"> sensitive questions</w:t>
      </w:r>
      <w:r>
        <w:rPr>
          <w:color w:val="000000"/>
        </w:rPr>
        <w:t xml:space="preserve"> or PII are being </w:t>
      </w:r>
      <w:r w:rsidR="007F5AE0">
        <w:rPr>
          <w:color w:val="000000"/>
        </w:rPr>
        <w:t>collected</w:t>
      </w:r>
      <w:r w:rsidRPr="00AF2770">
        <w:rPr>
          <w:color w:val="000000"/>
        </w:rPr>
        <w:t xml:space="preserve">.  </w:t>
      </w:r>
    </w:p>
    <w:p w:rsidR="003E5D3E" w:rsidRDefault="003E5D3E" w:rsidP="00253C78">
      <w:pPr>
        <w:rPr>
          <w:color w:val="FF0000"/>
          <w:sz w:val="32"/>
          <w:szCs w:val="32"/>
        </w:rPr>
      </w:pPr>
    </w:p>
    <w:p w:rsidR="003E5D3E" w:rsidRDefault="003E5D3E" w:rsidP="00253C78">
      <w:pPr>
        <w:rPr>
          <w:color w:val="FF0000"/>
          <w:sz w:val="32"/>
          <w:szCs w:val="32"/>
        </w:rPr>
      </w:pPr>
    </w:p>
    <w:p w:rsidR="007C16BD" w:rsidRDefault="007C16BD" w:rsidP="007C16BD">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rsidR="00393390" w:rsidRDefault="00393390" w:rsidP="00393390">
      <w:pPr>
        <w:spacing w:line="480" w:lineRule="auto"/>
        <w:rPr>
          <w:color w:val="000000"/>
        </w:rPr>
      </w:pPr>
      <w:r w:rsidRPr="00812155">
        <w:rPr>
          <w:color w:val="000000"/>
        </w:rPr>
        <w:t xml:space="preserve"> </w:t>
      </w:r>
      <w:r w:rsidR="00B17859">
        <w:rPr>
          <w:color w:val="000000"/>
        </w:rPr>
        <w:t>T</w:t>
      </w:r>
      <w:r w:rsidRPr="00812155">
        <w:rPr>
          <w:color w:val="000000"/>
        </w:rPr>
        <w:t xml:space="preserve">he annualized hour burden will be </w:t>
      </w:r>
      <w:r w:rsidR="00C82B51">
        <w:rPr>
          <w:color w:val="000000"/>
        </w:rPr>
        <w:t>80</w:t>
      </w:r>
      <w:r w:rsidR="00C82B51" w:rsidRPr="00812155">
        <w:rPr>
          <w:color w:val="000000"/>
        </w:rPr>
        <w:t xml:space="preserve"> </w:t>
      </w:r>
      <w:r w:rsidRPr="00812155">
        <w:rPr>
          <w:color w:val="000000"/>
        </w:rPr>
        <w:t>hours to conduct</w:t>
      </w:r>
      <w:r>
        <w:rPr>
          <w:color w:val="000000"/>
        </w:rPr>
        <w:t xml:space="preserve"> both the initial request and an annual update </w:t>
      </w:r>
      <w:r w:rsidRPr="00E613FA">
        <w:rPr>
          <w:color w:val="000000"/>
        </w:rPr>
        <w:t>(Table A.12-1)</w:t>
      </w:r>
      <w:r w:rsidR="00B17859">
        <w:rPr>
          <w:color w:val="000000"/>
        </w:rPr>
        <w:t xml:space="preserve"> from </w:t>
      </w:r>
      <w:r w:rsidR="00CB4E42">
        <w:rPr>
          <w:color w:val="000000"/>
        </w:rPr>
        <w:t>120</w:t>
      </w:r>
      <w:r w:rsidR="00B17859">
        <w:rPr>
          <w:color w:val="000000"/>
        </w:rPr>
        <w:t xml:space="preserve"> total participants</w:t>
      </w:r>
      <w:r>
        <w:rPr>
          <w:color w:val="000000"/>
        </w:rPr>
        <w:t xml:space="preserve">.  This amounts to </w:t>
      </w:r>
      <w:r w:rsidRPr="00E613FA">
        <w:rPr>
          <w:color w:val="000000"/>
        </w:rPr>
        <w:t xml:space="preserve">approximately </w:t>
      </w:r>
      <w:r w:rsidR="00C82B51">
        <w:rPr>
          <w:color w:val="000000"/>
        </w:rPr>
        <w:t>240</w:t>
      </w:r>
      <w:r w:rsidR="00C82B51" w:rsidRPr="00E613FA">
        <w:rPr>
          <w:color w:val="000000"/>
        </w:rPr>
        <w:t xml:space="preserve"> </w:t>
      </w:r>
      <w:r w:rsidRPr="00E613FA">
        <w:rPr>
          <w:color w:val="000000"/>
        </w:rPr>
        <w:t>hours over the three-year information collection phase</w:t>
      </w:r>
      <w:r w:rsidRPr="00345D7D">
        <w:rPr>
          <w:color w:val="000000"/>
        </w:rPr>
        <w:t xml:space="preserve">.  The respondents include private sector (business or other for-profits and not-for profits institutions), State and Federal Governments.  A majority of the respondents </w:t>
      </w:r>
      <w:r>
        <w:rPr>
          <w:color w:val="000000"/>
        </w:rPr>
        <w:t>are</w:t>
      </w:r>
      <w:r w:rsidRPr="00345D7D">
        <w:rPr>
          <w:color w:val="000000"/>
        </w:rPr>
        <w:t xml:space="preserve"> NCI funded grantees.</w:t>
      </w:r>
      <w:r w:rsidR="006B4097">
        <w:rPr>
          <w:color w:val="000000"/>
        </w:rPr>
        <w:t xml:space="preserve"> The federal government respondents are responding as part of their work functions and are exempt under PRA.</w:t>
      </w:r>
      <w:r w:rsidR="00A02432">
        <w:rPr>
          <w:color w:val="000000"/>
        </w:rPr>
        <w:t xml:space="preserve"> The annual update will be the prepopulated CGEN Population Sciences </w:t>
      </w:r>
      <w:proofErr w:type="spellStart"/>
      <w:r w:rsidR="00A02432">
        <w:rPr>
          <w:color w:val="000000"/>
        </w:rPr>
        <w:t>Biospecimen</w:t>
      </w:r>
      <w:proofErr w:type="spellEnd"/>
      <w:r w:rsidR="00A02432">
        <w:rPr>
          <w:color w:val="000000"/>
        </w:rPr>
        <w:t xml:space="preserve"> </w:t>
      </w:r>
      <w:r w:rsidR="001F010B">
        <w:rPr>
          <w:color w:val="000000"/>
        </w:rPr>
        <w:t>initial request and requires the principal investigators to only review and correct any outdated information.</w:t>
      </w:r>
    </w:p>
    <w:p w:rsidR="006B4097" w:rsidRPr="00E613FA" w:rsidRDefault="006B4097" w:rsidP="00393390">
      <w:pPr>
        <w:spacing w:line="480" w:lineRule="auto"/>
        <w:rPr>
          <w:color w:val="000000"/>
        </w:rPr>
      </w:pPr>
    </w:p>
    <w:p w:rsidR="00393390" w:rsidRPr="00E613FA" w:rsidRDefault="00393390" w:rsidP="00393390">
      <w:pPr>
        <w:autoSpaceDE w:val="0"/>
        <w:autoSpaceDN w:val="0"/>
        <w:adjustRightInd w:val="0"/>
        <w:rPr>
          <w:color w:val="000000"/>
        </w:rPr>
      </w:pPr>
      <w:r w:rsidRPr="00E613FA">
        <w:rPr>
          <w:color w:val="000000"/>
        </w:rPr>
        <w:lastRenderedPageBreak/>
        <w:t>Table A12-1. Estimate</w:t>
      </w:r>
      <w:r>
        <w:rPr>
          <w:color w:val="000000"/>
        </w:rPr>
        <w:t>d Annualized Burden Hours</w:t>
      </w:r>
    </w:p>
    <w:p w:rsidR="00393390" w:rsidRPr="00E613FA" w:rsidRDefault="00393390" w:rsidP="00393390">
      <w:pPr>
        <w:autoSpaceDE w:val="0"/>
        <w:autoSpaceDN w:val="0"/>
        <w:adjustRightInd w:val="0"/>
        <w:rPr>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737"/>
        <w:gridCol w:w="1443"/>
        <w:gridCol w:w="1558"/>
        <w:gridCol w:w="1912"/>
        <w:gridCol w:w="1440"/>
      </w:tblGrid>
      <w:tr w:rsidR="00556069" w:rsidTr="00EB4568">
        <w:tc>
          <w:tcPr>
            <w:tcW w:w="1558" w:type="dxa"/>
            <w:shd w:val="clear" w:color="auto" w:fill="auto"/>
            <w:vAlign w:val="center"/>
          </w:tcPr>
          <w:p w:rsidR="00393390" w:rsidRPr="00623F78" w:rsidRDefault="00393390" w:rsidP="00EB4568">
            <w:pPr>
              <w:jc w:val="center"/>
            </w:pPr>
            <w:r w:rsidRPr="00623F78">
              <w:t>Type of Respondent</w:t>
            </w:r>
          </w:p>
        </w:tc>
        <w:tc>
          <w:tcPr>
            <w:tcW w:w="1737" w:type="dxa"/>
            <w:shd w:val="clear" w:color="auto" w:fill="auto"/>
            <w:vAlign w:val="center"/>
          </w:tcPr>
          <w:p w:rsidR="00393390" w:rsidRPr="00623F78" w:rsidRDefault="00393390" w:rsidP="00EB4568">
            <w:pPr>
              <w:jc w:val="center"/>
            </w:pPr>
            <w:r w:rsidRPr="00623F78">
              <w:t>Form Name</w:t>
            </w:r>
          </w:p>
        </w:tc>
        <w:tc>
          <w:tcPr>
            <w:tcW w:w="1443" w:type="dxa"/>
            <w:shd w:val="clear" w:color="auto" w:fill="auto"/>
            <w:vAlign w:val="center"/>
          </w:tcPr>
          <w:p w:rsidR="00393390" w:rsidRPr="00623F78" w:rsidRDefault="00393390" w:rsidP="00EB4568">
            <w:pPr>
              <w:jc w:val="center"/>
            </w:pPr>
            <w:r w:rsidRPr="00623F78">
              <w:t>Number of Respondents</w:t>
            </w:r>
          </w:p>
        </w:tc>
        <w:tc>
          <w:tcPr>
            <w:tcW w:w="1558" w:type="dxa"/>
            <w:shd w:val="clear" w:color="auto" w:fill="auto"/>
            <w:vAlign w:val="center"/>
          </w:tcPr>
          <w:p w:rsidR="00393390" w:rsidRPr="00623F78" w:rsidRDefault="00393390" w:rsidP="00EB4568">
            <w:pPr>
              <w:jc w:val="center"/>
            </w:pPr>
            <w:r w:rsidRPr="00623F78">
              <w:t>Number of Responses Per Respondent</w:t>
            </w:r>
          </w:p>
        </w:tc>
        <w:tc>
          <w:tcPr>
            <w:tcW w:w="1912" w:type="dxa"/>
            <w:shd w:val="clear" w:color="auto" w:fill="auto"/>
            <w:vAlign w:val="center"/>
          </w:tcPr>
          <w:p w:rsidR="00393390" w:rsidRPr="00623F78" w:rsidRDefault="00393390" w:rsidP="00EB4568">
            <w:pPr>
              <w:jc w:val="center"/>
            </w:pPr>
            <w:r w:rsidRPr="00623F78">
              <w:t>Average Burden Per Response (in hours)</w:t>
            </w:r>
          </w:p>
        </w:tc>
        <w:tc>
          <w:tcPr>
            <w:tcW w:w="1440" w:type="dxa"/>
            <w:shd w:val="clear" w:color="auto" w:fill="auto"/>
            <w:vAlign w:val="center"/>
          </w:tcPr>
          <w:p w:rsidR="00393390" w:rsidRPr="00623F78" w:rsidRDefault="00393390" w:rsidP="00EB4568">
            <w:pPr>
              <w:jc w:val="center"/>
            </w:pPr>
            <w:r w:rsidRPr="00623F78">
              <w:t>Total Burden Hour</w:t>
            </w:r>
          </w:p>
        </w:tc>
      </w:tr>
      <w:tr w:rsidR="00556069" w:rsidTr="00EB4568">
        <w:tc>
          <w:tcPr>
            <w:tcW w:w="1558" w:type="dxa"/>
            <w:shd w:val="clear" w:color="auto" w:fill="auto"/>
            <w:vAlign w:val="center"/>
          </w:tcPr>
          <w:p w:rsidR="00393390" w:rsidRPr="00623F78" w:rsidRDefault="00393390" w:rsidP="00EB4568">
            <w:pPr>
              <w:jc w:val="center"/>
            </w:pPr>
            <w:r w:rsidRPr="00623F78">
              <w:t>Private Sector</w:t>
            </w:r>
          </w:p>
        </w:tc>
        <w:tc>
          <w:tcPr>
            <w:tcW w:w="1737" w:type="dxa"/>
            <w:vMerge w:val="restart"/>
            <w:shd w:val="clear" w:color="auto" w:fill="auto"/>
            <w:vAlign w:val="center"/>
          </w:tcPr>
          <w:p w:rsidR="00393390" w:rsidRPr="00623F78" w:rsidRDefault="00602210" w:rsidP="008F7417">
            <w:pPr>
              <w:jc w:val="center"/>
            </w:pPr>
            <w:r w:rsidRPr="00602210">
              <w:t xml:space="preserve">Population Sciences </w:t>
            </w:r>
            <w:proofErr w:type="spellStart"/>
            <w:r w:rsidRPr="00602210">
              <w:t>Biospecimen</w:t>
            </w:r>
            <w:proofErr w:type="spellEnd"/>
            <w:r w:rsidRPr="00602210">
              <w:t xml:space="preserve"> Catalog </w:t>
            </w:r>
            <w:r w:rsidR="008F7417">
              <w:t>Initial Request</w:t>
            </w:r>
          </w:p>
        </w:tc>
        <w:tc>
          <w:tcPr>
            <w:tcW w:w="1443" w:type="dxa"/>
            <w:shd w:val="clear" w:color="auto" w:fill="auto"/>
            <w:vAlign w:val="center"/>
          </w:tcPr>
          <w:p w:rsidR="00393390" w:rsidRPr="00623F78" w:rsidRDefault="006C1F0C" w:rsidP="00EB4568">
            <w:pPr>
              <w:jc w:val="center"/>
            </w:pPr>
            <w:r>
              <w:t>3</w:t>
            </w:r>
            <w:r w:rsidRPr="00623F78">
              <w:t>0</w:t>
            </w:r>
          </w:p>
        </w:tc>
        <w:tc>
          <w:tcPr>
            <w:tcW w:w="1558" w:type="dxa"/>
            <w:shd w:val="clear" w:color="auto" w:fill="auto"/>
            <w:vAlign w:val="center"/>
          </w:tcPr>
          <w:p w:rsidR="00393390" w:rsidRPr="00623F78" w:rsidRDefault="00393390" w:rsidP="00EB4568">
            <w:pPr>
              <w:jc w:val="center"/>
            </w:pPr>
            <w:r w:rsidRPr="00623F78">
              <w:t>1</w:t>
            </w:r>
          </w:p>
        </w:tc>
        <w:tc>
          <w:tcPr>
            <w:tcW w:w="1912" w:type="dxa"/>
            <w:shd w:val="clear" w:color="auto" w:fill="auto"/>
            <w:vAlign w:val="center"/>
          </w:tcPr>
          <w:p w:rsidR="00393390" w:rsidRPr="00623F78" w:rsidRDefault="00F25DED" w:rsidP="00EB4568">
            <w:pPr>
              <w:jc w:val="center"/>
            </w:pPr>
            <w:r>
              <w:t>1</w:t>
            </w:r>
          </w:p>
        </w:tc>
        <w:tc>
          <w:tcPr>
            <w:tcW w:w="1440" w:type="dxa"/>
            <w:shd w:val="clear" w:color="auto" w:fill="auto"/>
            <w:vAlign w:val="center"/>
          </w:tcPr>
          <w:p w:rsidR="00393390" w:rsidRPr="00623F78" w:rsidRDefault="006C1F0C" w:rsidP="006C1F0C">
            <w:pPr>
              <w:jc w:val="center"/>
            </w:pPr>
            <w:r>
              <w:t>30</w:t>
            </w:r>
          </w:p>
        </w:tc>
      </w:tr>
      <w:tr w:rsidR="00556069" w:rsidTr="00EB4568">
        <w:tc>
          <w:tcPr>
            <w:tcW w:w="1558" w:type="dxa"/>
            <w:shd w:val="clear" w:color="auto" w:fill="auto"/>
            <w:vAlign w:val="center"/>
          </w:tcPr>
          <w:p w:rsidR="00393390" w:rsidRPr="00623F78" w:rsidRDefault="00393390" w:rsidP="00EB4568">
            <w:pPr>
              <w:jc w:val="center"/>
            </w:pPr>
            <w:r w:rsidRPr="00623F78">
              <w:t>State Government</w:t>
            </w:r>
          </w:p>
        </w:tc>
        <w:tc>
          <w:tcPr>
            <w:tcW w:w="1737" w:type="dxa"/>
            <w:vMerge/>
            <w:shd w:val="clear" w:color="auto" w:fill="auto"/>
            <w:vAlign w:val="center"/>
          </w:tcPr>
          <w:p w:rsidR="00393390" w:rsidRPr="00623F78" w:rsidRDefault="00393390" w:rsidP="00EB4568">
            <w:pPr>
              <w:jc w:val="center"/>
            </w:pPr>
          </w:p>
        </w:tc>
        <w:tc>
          <w:tcPr>
            <w:tcW w:w="1443" w:type="dxa"/>
            <w:shd w:val="clear" w:color="auto" w:fill="auto"/>
            <w:vAlign w:val="center"/>
          </w:tcPr>
          <w:p w:rsidR="00393390" w:rsidRPr="00623F78" w:rsidRDefault="006C1F0C" w:rsidP="00EB4568">
            <w:pPr>
              <w:jc w:val="center"/>
            </w:pPr>
            <w:r>
              <w:t>3</w:t>
            </w:r>
            <w:r w:rsidRPr="00623F78">
              <w:t>0</w:t>
            </w:r>
          </w:p>
        </w:tc>
        <w:tc>
          <w:tcPr>
            <w:tcW w:w="1558" w:type="dxa"/>
            <w:shd w:val="clear" w:color="auto" w:fill="auto"/>
            <w:vAlign w:val="center"/>
          </w:tcPr>
          <w:p w:rsidR="00393390" w:rsidRPr="00623F78" w:rsidRDefault="00393390" w:rsidP="00EB4568">
            <w:pPr>
              <w:jc w:val="center"/>
            </w:pPr>
            <w:r w:rsidRPr="00623F78">
              <w:t>1</w:t>
            </w:r>
          </w:p>
        </w:tc>
        <w:tc>
          <w:tcPr>
            <w:tcW w:w="1912" w:type="dxa"/>
            <w:shd w:val="clear" w:color="auto" w:fill="auto"/>
            <w:vAlign w:val="center"/>
          </w:tcPr>
          <w:p w:rsidR="00393390" w:rsidRPr="00623F78" w:rsidRDefault="00F25DED" w:rsidP="00EB4568">
            <w:pPr>
              <w:jc w:val="center"/>
            </w:pPr>
            <w:r>
              <w:t>1</w:t>
            </w:r>
          </w:p>
        </w:tc>
        <w:tc>
          <w:tcPr>
            <w:tcW w:w="1440" w:type="dxa"/>
            <w:shd w:val="clear" w:color="auto" w:fill="auto"/>
            <w:vAlign w:val="center"/>
          </w:tcPr>
          <w:p w:rsidR="00393390" w:rsidRPr="00623F78" w:rsidRDefault="006C1F0C" w:rsidP="006C1F0C">
            <w:pPr>
              <w:jc w:val="center"/>
            </w:pPr>
            <w:r>
              <w:t>30</w:t>
            </w:r>
          </w:p>
        </w:tc>
      </w:tr>
      <w:tr w:rsidR="00556069" w:rsidTr="00EB4568">
        <w:tc>
          <w:tcPr>
            <w:tcW w:w="1558" w:type="dxa"/>
            <w:shd w:val="clear" w:color="auto" w:fill="auto"/>
            <w:vAlign w:val="center"/>
          </w:tcPr>
          <w:p w:rsidR="00393390" w:rsidRPr="00623F78" w:rsidRDefault="00393390" w:rsidP="00EB4568">
            <w:pPr>
              <w:jc w:val="center"/>
            </w:pPr>
            <w:r w:rsidRPr="00623F78">
              <w:t>Private Sector</w:t>
            </w:r>
          </w:p>
        </w:tc>
        <w:tc>
          <w:tcPr>
            <w:tcW w:w="1737" w:type="dxa"/>
            <w:vMerge w:val="restart"/>
            <w:shd w:val="clear" w:color="auto" w:fill="auto"/>
            <w:vAlign w:val="center"/>
          </w:tcPr>
          <w:p w:rsidR="00393390" w:rsidRPr="00623F78" w:rsidRDefault="008F7417" w:rsidP="003A0BC4">
            <w:pPr>
              <w:jc w:val="center"/>
            </w:pPr>
            <w:r w:rsidRPr="00602210">
              <w:t xml:space="preserve">Population Sciences </w:t>
            </w:r>
            <w:proofErr w:type="spellStart"/>
            <w:r w:rsidRPr="00602210">
              <w:t>Biospecimen</w:t>
            </w:r>
            <w:proofErr w:type="spellEnd"/>
            <w:r w:rsidRPr="00602210">
              <w:t xml:space="preserve"> Catalog</w:t>
            </w:r>
            <w:r>
              <w:t xml:space="preserve"> </w:t>
            </w:r>
            <w:r w:rsidR="00393390" w:rsidRPr="00623F78">
              <w:t>Annual Update</w:t>
            </w:r>
            <w:r w:rsidR="003A0BC4">
              <w:t xml:space="preserve"> </w:t>
            </w:r>
          </w:p>
        </w:tc>
        <w:tc>
          <w:tcPr>
            <w:tcW w:w="1443" w:type="dxa"/>
            <w:shd w:val="clear" w:color="auto" w:fill="auto"/>
            <w:vAlign w:val="center"/>
          </w:tcPr>
          <w:p w:rsidR="00393390" w:rsidRPr="00623F78" w:rsidRDefault="006C1F0C" w:rsidP="006C1F0C">
            <w:pPr>
              <w:jc w:val="center"/>
            </w:pPr>
            <w:r>
              <w:t>3</w:t>
            </w:r>
            <w:r w:rsidR="00556069" w:rsidRPr="00623F78">
              <w:t>0</w:t>
            </w:r>
          </w:p>
        </w:tc>
        <w:tc>
          <w:tcPr>
            <w:tcW w:w="1558" w:type="dxa"/>
            <w:shd w:val="clear" w:color="auto" w:fill="auto"/>
            <w:vAlign w:val="center"/>
          </w:tcPr>
          <w:p w:rsidR="00393390" w:rsidRPr="00623F78" w:rsidRDefault="00393390" w:rsidP="00EB4568">
            <w:pPr>
              <w:jc w:val="center"/>
            </w:pPr>
            <w:r w:rsidRPr="00623F78">
              <w:t>1</w:t>
            </w:r>
          </w:p>
        </w:tc>
        <w:tc>
          <w:tcPr>
            <w:tcW w:w="1912" w:type="dxa"/>
            <w:shd w:val="clear" w:color="auto" w:fill="auto"/>
            <w:vAlign w:val="center"/>
          </w:tcPr>
          <w:p w:rsidR="00393390" w:rsidRDefault="00556069" w:rsidP="00EB4568">
            <w:pPr>
              <w:jc w:val="center"/>
            </w:pPr>
            <w:r>
              <w:t>20</w:t>
            </w:r>
            <w:r w:rsidR="00382576">
              <w:t>/60</w:t>
            </w:r>
          </w:p>
          <w:p w:rsidR="00393390" w:rsidRPr="00623F78" w:rsidRDefault="00393390" w:rsidP="00EB4568">
            <w:pPr>
              <w:jc w:val="center"/>
            </w:pPr>
          </w:p>
        </w:tc>
        <w:tc>
          <w:tcPr>
            <w:tcW w:w="1440" w:type="dxa"/>
            <w:shd w:val="clear" w:color="auto" w:fill="auto"/>
            <w:vAlign w:val="center"/>
          </w:tcPr>
          <w:p w:rsidR="00393390" w:rsidRPr="00623F78" w:rsidRDefault="004A7CF7" w:rsidP="00EB4568">
            <w:pPr>
              <w:jc w:val="center"/>
            </w:pPr>
            <w:r>
              <w:t>10</w:t>
            </w:r>
          </w:p>
        </w:tc>
      </w:tr>
      <w:tr w:rsidR="00556069" w:rsidTr="00EB4568">
        <w:tc>
          <w:tcPr>
            <w:tcW w:w="1558" w:type="dxa"/>
            <w:shd w:val="clear" w:color="auto" w:fill="auto"/>
            <w:vAlign w:val="center"/>
          </w:tcPr>
          <w:p w:rsidR="00393390" w:rsidRPr="00623F78" w:rsidRDefault="00393390" w:rsidP="00EB4568">
            <w:pPr>
              <w:jc w:val="center"/>
            </w:pPr>
            <w:r w:rsidRPr="00623F78">
              <w:t>State Government</w:t>
            </w:r>
          </w:p>
        </w:tc>
        <w:tc>
          <w:tcPr>
            <w:tcW w:w="1737" w:type="dxa"/>
            <w:vMerge/>
            <w:shd w:val="clear" w:color="auto" w:fill="auto"/>
            <w:vAlign w:val="center"/>
          </w:tcPr>
          <w:p w:rsidR="00393390" w:rsidRPr="00623F78" w:rsidRDefault="00393390" w:rsidP="00EB4568">
            <w:pPr>
              <w:jc w:val="center"/>
            </w:pPr>
          </w:p>
        </w:tc>
        <w:tc>
          <w:tcPr>
            <w:tcW w:w="1443" w:type="dxa"/>
            <w:shd w:val="clear" w:color="auto" w:fill="auto"/>
            <w:vAlign w:val="center"/>
          </w:tcPr>
          <w:p w:rsidR="00393390" w:rsidRPr="00623F78" w:rsidRDefault="006C1F0C" w:rsidP="006C1F0C">
            <w:pPr>
              <w:jc w:val="center"/>
            </w:pPr>
            <w:r>
              <w:t>3</w:t>
            </w:r>
            <w:r w:rsidR="00556069" w:rsidRPr="00623F78">
              <w:t>0</w:t>
            </w:r>
          </w:p>
        </w:tc>
        <w:tc>
          <w:tcPr>
            <w:tcW w:w="1558" w:type="dxa"/>
            <w:shd w:val="clear" w:color="auto" w:fill="auto"/>
            <w:vAlign w:val="center"/>
          </w:tcPr>
          <w:p w:rsidR="00393390" w:rsidRPr="00623F78" w:rsidRDefault="00393390" w:rsidP="00EB4568">
            <w:pPr>
              <w:jc w:val="center"/>
            </w:pPr>
            <w:r w:rsidRPr="00623F78">
              <w:t>1</w:t>
            </w:r>
          </w:p>
        </w:tc>
        <w:tc>
          <w:tcPr>
            <w:tcW w:w="1912" w:type="dxa"/>
            <w:shd w:val="clear" w:color="auto" w:fill="auto"/>
            <w:vAlign w:val="center"/>
          </w:tcPr>
          <w:p w:rsidR="00393390" w:rsidRPr="00623F78" w:rsidRDefault="00556069" w:rsidP="00EB4568">
            <w:pPr>
              <w:jc w:val="center"/>
            </w:pPr>
            <w:r>
              <w:t>20</w:t>
            </w:r>
            <w:r w:rsidR="00382576">
              <w:t>/60</w:t>
            </w:r>
          </w:p>
        </w:tc>
        <w:tc>
          <w:tcPr>
            <w:tcW w:w="1440" w:type="dxa"/>
            <w:shd w:val="clear" w:color="auto" w:fill="auto"/>
            <w:vAlign w:val="center"/>
          </w:tcPr>
          <w:p w:rsidR="00393390" w:rsidRPr="00623F78" w:rsidRDefault="004A7CF7" w:rsidP="00EB4568">
            <w:pPr>
              <w:jc w:val="center"/>
            </w:pPr>
            <w:r>
              <w:t>10</w:t>
            </w:r>
          </w:p>
        </w:tc>
      </w:tr>
      <w:tr w:rsidR="00556069" w:rsidTr="00EB4568">
        <w:tc>
          <w:tcPr>
            <w:tcW w:w="1558" w:type="dxa"/>
            <w:shd w:val="clear" w:color="auto" w:fill="auto"/>
            <w:vAlign w:val="center"/>
          </w:tcPr>
          <w:p w:rsidR="00393390" w:rsidRPr="00623F78" w:rsidRDefault="00393390" w:rsidP="00EB4568">
            <w:pPr>
              <w:jc w:val="center"/>
            </w:pPr>
            <w:r w:rsidRPr="00623F78">
              <w:t>Total</w:t>
            </w:r>
          </w:p>
        </w:tc>
        <w:tc>
          <w:tcPr>
            <w:tcW w:w="1737" w:type="dxa"/>
            <w:shd w:val="clear" w:color="auto" w:fill="auto"/>
            <w:vAlign w:val="center"/>
          </w:tcPr>
          <w:p w:rsidR="00393390" w:rsidRPr="00623F78" w:rsidRDefault="00393390" w:rsidP="00EB4568">
            <w:pPr>
              <w:jc w:val="center"/>
            </w:pPr>
          </w:p>
        </w:tc>
        <w:tc>
          <w:tcPr>
            <w:tcW w:w="1443" w:type="dxa"/>
            <w:shd w:val="clear" w:color="auto" w:fill="auto"/>
            <w:vAlign w:val="center"/>
          </w:tcPr>
          <w:p w:rsidR="00393390" w:rsidRPr="00623F78" w:rsidRDefault="004A7CF7" w:rsidP="00EB4568">
            <w:pPr>
              <w:jc w:val="center"/>
            </w:pPr>
            <w:r>
              <w:t>120</w:t>
            </w:r>
          </w:p>
        </w:tc>
        <w:tc>
          <w:tcPr>
            <w:tcW w:w="1558" w:type="dxa"/>
            <w:shd w:val="clear" w:color="auto" w:fill="auto"/>
            <w:vAlign w:val="center"/>
          </w:tcPr>
          <w:p w:rsidR="00393390" w:rsidRPr="00623F78" w:rsidRDefault="00393390" w:rsidP="00EB4568">
            <w:pPr>
              <w:jc w:val="center"/>
            </w:pPr>
          </w:p>
        </w:tc>
        <w:tc>
          <w:tcPr>
            <w:tcW w:w="1912" w:type="dxa"/>
            <w:shd w:val="clear" w:color="auto" w:fill="auto"/>
            <w:vAlign w:val="center"/>
          </w:tcPr>
          <w:p w:rsidR="00393390" w:rsidRPr="00623F78" w:rsidRDefault="00393390" w:rsidP="00EB4568">
            <w:pPr>
              <w:jc w:val="center"/>
            </w:pPr>
          </w:p>
        </w:tc>
        <w:tc>
          <w:tcPr>
            <w:tcW w:w="1440" w:type="dxa"/>
            <w:shd w:val="clear" w:color="auto" w:fill="auto"/>
            <w:vAlign w:val="center"/>
          </w:tcPr>
          <w:p w:rsidR="00393390" w:rsidRPr="00623F78" w:rsidRDefault="004A7CF7" w:rsidP="00EB4568">
            <w:pPr>
              <w:jc w:val="center"/>
            </w:pPr>
            <w:r>
              <w:t>80</w:t>
            </w:r>
          </w:p>
        </w:tc>
      </w:tr>
    </w:tbl>
    <w:p w:rsidR="00393390" w:rsidRDefault="00393390" w:rsidP="00393390">
      <w:pPr>
        <w:rPr>
          <w:color w:val="000000"/>
        </w:rPr>
      </w:pPr>
    </w:p>
    <w:p w:rsidR="00382576" w:rsidRPr="0053358D" w:rsidRDefault="00393390" w:rsidP="00E747FB">
      <w:pPr>
        <w:spacing w:line="480" w:lineRule="auto"/>
        <w:rPr>
          <w:color w:val="000000"/>
        </w:rPr>
      </w:pPr>
      <w:r w:rsidRPr="00E613FA">
        <w:rPr>
          <w:color w:val="000000"/>
        </w:rPr>
        <w:t>The annualized estimated cost to respondents is $</w:t>
      </w:r>
      <w:r>
        <w:rPr>
          <w:color w:val="000000"/>
        </w:rPr>
        <w:t>2,</w:t>
      </w:r>
      <w:r w:rsidR="007B3C1C">
        <w:rPr>
          <w:color w:val="000000"/>
        </w:rPr>
        <w:t>695.20</w:t>
      </w:r>
      <w:r w:rsidRPr="00E613FA">
        <w:rPr>
          <w:color w:val="000000"/>
        </w:rPr>
        <w:t>; which is about $</w:t>
      </w:r>
      <w:r w:rsidR="007B3C1C">
        <w:rPr>
          <w:color w:val="000000"/>
        </w:rPr>
        <w:t>8,085.60</w:t>
      </w:r>
      <w:r w:rsidRPr="00E613FA">
        <w:rPr>
          <w:color w:val="000000"/>
        </w:rPr>
        <w:t xml:space="preserve"> over the three-year information collection phase (Table A.12-2).</w:t>
      </w:r>
      <w:r w:rsidR="00382576">
        <w:rPr>
          <w:color w:val="000000"/>
        </w:rPr>
        <w:t>The hourly wage rate was obtained from the most recent data through the Bureau of Labor Statistics,</w:t>
      </w:r>
      <w:r w:rsidR="00382576" w:rsidRPr="00382576">
        <w:rPr>
          <w:color w:val="000000"/>
        </w:rPr>
        <w:t xml:space="preserve"> </w:t>
      </w:r>
      <w:hyperlink r:id="rId11" w:anchor="19-0000" w:history="1">
        <w:r w:rsidR="00382576" w:rsidRPr="00DF5510">
          <w:rPr>
            <w:rStyle w:val="Hyperlink"/>
          </w:rPr>
          <w:t>http://www.bls.gov/oes/current/oes_nat.htm#19-0000</w:t>
        </w:r>
      </w:hyperlink>
      <w:r w:rsidR="00382576" w:rsidRPr="00E613FA">
        <w:rPr>
          <w:color w:val="000000"/>
        </w:rPr>
        <w:t>,</w:t>
      </w:r>
      <w:r w:rsidR="00382576">
        <w:rPr>
          <w:color w:val="000000"/>
        </w:rPr>
        <w:t xml:space="preserve"> Occupation title</w:t>
      </w:r>
      <w:r w:rsidR="00382576" w:rsidRPr="00E613FA">
        <w:rPr>
          <w:color w:val="000000"/>
        </w:rPr>
        <w:t xml:space="preserve"> </w:t>
      </w:r>
      <w:r w:rsidR="00382576">
        <w:rPr>
          <w:color w:val="000000"/>
        </w:rPr>
        <w:t>“</w:t>
      </w:r>
      <w:r w:rsidR="00382576" w:rsidRPr="00E613FA">
        <w:rPr>
          <w:color w:val="000000"/>
        </w:rPr>
        <w:t>Life, Physical and Social Science Technicians</w:t>
      </w:r>
      <w:r w:rsidR="00382576">
        <w:rPr>
          <w:color w:val="000000"/>
        </w:rPr>
        <w:t>”, occupation code 19-0000</w:t>
      </w:r>
      <w:r w:rsidR="00382576" w:rsidRPr="00E613FA">
        <w:rPr>
          <w:color w:val="000000"/>
        </w:rPr>
        <w:t xml:space="preserve">. </w:t>
      </w:r>
    </w:p>
    <w:p w:rsidR="00382576" w:rsidRPr="00E613FA" w:rsidRDefault="00382576" w:rsidP="00393390">
      <w:pPr>
        <w:spacing w:line="480" w:lineRule="auto"/>
        <w:rPr>
          <w:color w:val="000000"/>
        </w:rPr>
      </w:pPr>
    </w:p>
    <w:p w:rsidR="00393390" w:rsidRDefault="00393390" w:rsidP="00393390">
      <w:pPr>
        <w:rPr>
          <w:color w:val="000000"/>
        </w:rPr>
      </w:pPr>
    </w:p>
    <w:p w:rsidR="00393390" w:rsidRPr="00E613FA" w:rsidRDefault="00393390" w:rsidP="00393390">
      <w:pPr>
        <w:rPr>
          <w:color w:val="000000"/>
        </w:rPr>
      </w:pPr>
      <w:r w:rsidRPr="00E613FA">
        <w:rPr>
          <w:color w:val="000000"/>
        </w:rPr>
        <w:t xml:space="preserve">Table A12-2.  </w:t>
      </w:r>
      <w:r>
        <w:rPr>
          <w:color w:val="000000"/>
        </w:rPr>
        <w:t xml:space="preserve">Annualized </w:t>
      </w:r>
      <w:r w:rsidRPr="00E613FA">
        <w:rPr>
          <w:color w:val="000000"/>
        </w:rPr>
        <w:t>Cost to Respondents</w:t>
      </w:r>
    </w:p>
    <w:p w:rsidR="00393390" w:rsidRPr="00E613FA" w:rsidRDefault="00393390" w:rsidP="00393390">
      <w:pPr>
        <w:autoSpaceDE w:val="0"/>
        <w:autoSpaceDN w:val="0"/>
        <w:adjustRightInd w:val="0"/>
        <w:rPr>
          <w:color w:val="000000"/>
          <w:highlight w:val="yellow"/>
        </w:rPr>
      </w:pPr>
    </w:p>
    <w:tbl>
      <w:tblPr>
        <w:tblW w:w="5255" w:type="pct"/>
        <w:tblInd w:w="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916"/>
        <w:gridCol w:w="1749"/>
        <w:gridCol w:w="1997"/>
        <w:gridCol w:w="1749"/>
        <w:gridCol w:w="1911"/>
      </w:tblGrid>
      <w:tr w:rsidR="00393390" w:rsidRPr="00E613FA" w:rsidTr="00EB4568">
        <w:trPr>
          <w:cantSplit/>
          <w:trHeight w:val="880"/>
        </w:trPr>
        <w:tc>
          <w:tcPr>
            <w:tcW w:w="1028" w:type="pct"/>
            <w:shd w:val="clear" w:color="auto" w:fill="auto"/>
            <w:vAlign w:val="center"/>
            <w:hideMark/>
          </w:tcPr>
          <w:p w:rsidR="00393390" w:rsidRPr="00E613FA" w:rsidRDefault="00393390" w:rsidP="00EB4568">
            <w:pPr>
              <w:jc w:val="center"/>
              <w:rPr>
                <w:bCs/>
                <w:color w:val="000000"/>
              </w:rPr>
            </w:pPr>
            <w:r w:rsidRPr="00E613FA">
              <w:rPr>
                <w:bCs/>
                <w:color w:val="000000"/>
              </w:rPr>
              <w:t>Type of Respondent</w:t>
            </w:r>
          </w:p>
        </w:tc>
        <w:tc>
          <w:tcPr>
            <w:tcW w:w="938" w:type="pct"/>
            <w:shd w:val="clear" w:color="auto" w:fill="auto"/>
            <w:vAlign w:val="center"/>
            <w:hideMark/>
          </w:tcPr>
          <w:p w:rsidR="00393390" w:rsidRPr="00E613FA" w:rsidRDefault="00393390" w:rsidP="00EB4568">
            <w:pPr>
              <w:jc w:val="center"/>
              <w:rPr>
                <w:bCs/>
                <w:color w:val="000000"/>
              </w:rPr>
            </w:pPr>
            <w:r w:rsidRPr="00E613FA">
              <w:rPr>
                <w:bCs/>
                <w:color w:val="000000"/>
              </w:rPr>
              <w:t>Number of Respondents</w:t>
            </w:r>
          </w:p>
        </w:tc>
        <w:tc>
          <w:tcPr>
            <w:tcW w:w="1071" w:type="pct"/>
            <w:shd w:val="clear" w:color="auto" w:fill="auto"/>
            <w:vAlign w:val="center"/>
            <w:hideMark/>
          </w:tcPr>
          <w:p w:rsidR="00393390" w:rsidRPr="00E613FA" w:rsidRDefault="00393390" w:rsidP="00EB4568">
            <w:pPr>
              <w:jc w:val="center"/>
              <w:rPr>
                <w:bCs/>
                <w:color w:val="000000"/>
              </w:rPr>
            </w:pPr>
            <w:r w:rsidRPr="00E613FA">
              <w:rPr>
                <w:bCs/>
                <w:color w:val="000000"/>
              </w:rPr>
              <w:t>Total Annual Burden Hours</w:t>
            </w:r>
          </w:p>
        </w:tc>
        <w:tc>
          <w:tcPr>
            <w:tcW w:w="938" w:type="pct"/>
            <w:shd w:val="clear" w:color="auto" w:fill="auto"/>
            <w:vAlign w:val="center"/>
            <w:hideMark/>
          </w:tcPr>
          <w:p w:rsidR="00393390" w:rsidRPr="00E613FA" w:rsidRDefault="00393390" w:rsidP="00EB4568">
            <w:pPr>
              <w:jc w:val="center"/>
              <w:rPr>
                <w:bCs/>
                <w:color w:val="000000"/>
              </w:rPr>
            </w:pPr>
            <w:r w:rsidRPr="00E613FA">
              <w:rPr>
                <w:bCs/>
                <w:color w:val="000000"/>
              </w:rPr>
              <w:t>Wage Rate</w:t>
            </w:r>
          </w:p>
        </w:tc>
        <w:tc>
          <w:tcPr>
            <w:tcW w:w="1025" w:type="pct"/>
            <w:shd w:val="clear" w:color="auto" w:fill="auto"/>
            <w:vAlign w:val="center"/>
            <w:hideMark/>
          </w:tcPr>
          <w:p w:rsidR="00393390" w:rsidRPr="00E613FA" w:rsidRDefault="00393390" w:rsidP="00EB4568">
            <w:pPr>
              <w:jc w:val="center"/>
              <w:rPr>
                <w:bCs/>
                <w:color w:val="000000"/>
              </w:rPr>
            </w:pPr>
            <w:r w:rsidRPr="00E613FA">
              <w:rPr>
                <w:bCs/>
                <w:color w:val="000000"/>
              </w:rPr>
              <w:t>Respondent Cost</w:t>
            </w:r>
          </w:p>
        </w:tc>
      </w:tr>
      <w:tr w:rsidR="00393390" w:rsidRPr="00E613FA" w:rsidTr="00EB4568">
        <w:trPr>
          <w:cantSplit/>
          <w:trHeight w:val="260"/>
        </w:trPr>
        <w:tc>
          <w:tcPr>
            <w:tcW w:w="1028" w:type="pct"/>
            <w:shd w:val="clear" w:color="auto" w:fill="auto"/>
            <w:noWrap/>
            <w:vAlign w:val="center"/>
          </w:tcPr>
          <w:p w:rsidR="00393390" w:rsidRPr="00E613FA" w:rsidRDefault="00393390" w:rsidP="00666D9F">
            <w:pPr>
              <w:jc w:val="center"/>
              <w:rPr>
                <w:color w:val="000000"/>
              </w:rPr>
            </w:pPr>
            <w:r>
              <w:rPr>
                <w:color w:val="000000"/>
              </w:rPr>
              <w:t>Private Sector, State and Federal Governments</w:t>
            </w:r>
          </w:p>
        </w:tc>
        <w:tc>
          <w:tcPr>
            <w:tcW w:w="938" w:type="pct"/>
            <w:shd w:val="clear" w:color="auto" w:fill="auto"/>
            <w:noWrap/>
            <w:vAlign w:val="center"/>
            <w:hideMark/>
          </w:tcPr>
          <w:p w:rsidR="00393390" w:rsidRPr="00E613FA" w:rsidRDefault="007B3C1C" w:rsidP="00EB4568">
            <w:pPr>
              <w:jc w:val="center"/>
              <w:rPr>
                <w:color w:val="000000"/>
              </w:rPr>
            </w:pPr>
            <w:r>
              <w:rPr>
                <w:color w:val="000000"/>
              </w:rPr>
              <w:t>120</w:t>
            </w:r>
          </w:p>
        </w:tc>
        <w:tc>
          <w:tcPr>
            <w:tcW w:w="1071" w:type="pct"/>
            <w:shd w:val="clear" w:color="auto" w:fill="auto"/>
            <w:noWrap/>
            <w:vAlign w:val="center"/>
          </w:tcPr>
          <w:p w:rsidR="00393390" w:rsidRPr="00E613FA" w:rsidRDefault="007B3C1C" w:rsidP="00EB4568">
            <w:pPr>
              <w:jc w:val="center"/>
              <w:rPr>
                <w:color w:val="000000"/>
              </w:rPr>
            </w:pPr>
            <w:r>
              <w:rPr>
                <w:color w:val="000000"/>
              </w:rPr>
              <w:t>80</w:t>
            </w:r>
          </w:p>
        </w:tc>
        <w:tc>
          <w:tcPr>
            <w:tcW w:w="938" w:type="pct"/>
            <w:shd w:val="clear" w:color="auto" w:fill="auto"/>
            <w:vAlign w:val="center"/>
          </w:tcPr>
          <w:p w:rsidR="00393390" w:rsidRPr="00E613FA" w:rsidRDefault="00393390" w:rsidP="00EB4568">
            <w:pPr>
              <w:jc w:val="center"/>
              <w:rPr>
                <w:color w:val="000000"/>
              </w:rPr>
            </w:pPr>
            <w:r>
              <w:rPr>
                <w:color w:val="000000"/>
              </w:rPr>
              <w:t>$</w:t>
            </w:r>
            <w:r w:rsidR="00F25DED">
              <w:rPr>
                <w:color w:val="000000"/>
              </w:rPr>
              <w:t>33.69</w:t>
            </w:r>
          </w:p>
        </w:tc>
        <w:tc>
          <w:tcPr>
            <w:tcW w:w="1025" w:type="pct"/>
            <w:shd w:val="clear" w:color="auto" w:fill="auto"/>
            <w:vAlign w:val="center"/>
          </w:tcPr>
          <w:p w:rsidR="00393390" w:rsidRPr="00E613FA" w:rsidRDefault="00393390" w:rsidP="007B3C1C">
            <w:pPr>
              <w:jc w:val="center"/>
              <w:rPr>
                <w:color w:val="000000"/>
              </w:rPr>
            </w:pPr>
            <w:r w:rsidRPr="00E613FA">
              <w:rPr>
                <w:color w:val="000000"/>
              </w:rPr>
              <w:t>$</w:t>
            </w:r>
            <w:r>
              <w:rPr>
                <w:color w:val="000000"/>
              </w:rPr>
              <w:t>2</w:t>
            </w:r>
            <w:r w:rsidRPr="00E613FA">
              <w:rPr>
                <w:color w:val="000000"/>
              </w:rPr>
              <w:t>,</w:t>
            </w:r>
            <w:r w:rsidR="007B3C1C">
              <w:rPr>
                <w:color w:val="000000"/>
              </w:rPr>
              <w:t>695.20</w:t>
            </w:r>
          </w:p>
        </w:tc>
      </w:tr>
    </w:tbl>
    <w:p w:rsidR="00393390" w:rsidRPr="00E613FA" w:rsidRDefault="00393390" w:rsidP="00393390">
      <w:pPr>
        <w:rPr>
          <w:color w:val="000000"/>
        </w:rPr>
      </w:pPr>
    </w:p>
    <w:p w:rsidR="003E5D3E" w:rsidRPr="007C16BD" w:rsidRDefault="003E5D3E" w:rsidP="00253C78">
      <w:pPr>
        <w:rPr>
          <w:color w:val="FF0000"/>
        </w:rPr>
      </w:pPr>
    </w:p>
    <w:p w:rsidR="0093431F" w:rsidRDefault="0093431F" w:rsidP="00253C78">
      <w:pPr>
        <w:rPr>
          <w:color w:val="FF0000"/>
          <w:sz w:val="32"/>
          <w:szCs w:val="32"/>
        </w:rPr>
      </w:pPr>
    </w:p>
    <w:p w:rsidR="0093431F" w:rsidRDefault="0093431F" w:rsidP="009C2538">
      <w:pPr>
        <w:pStyle w:val="Heading2"/>
        <w:tabs>
          <w:tab w:val="clear" w:pos="1152"/>
          <w:tab w:val="left" w:pos="720"/>
        </w:tabs>
        <w:spacing w:after="0" w:line="480" w:lineRule="auto"/>
        <w:ind w:left="0" w:firstLine="0"/>
        <w:rPr>
          <w:sz w:val="24"/>
          <w:szCs w:val="24"/>
        </w:rPr>
      </w:pPr>
      <w:bookmarkStart w:id="41" w:name="_Toc443881756"/>
      <w:bookmarkStart w:id="42" w:name="_Toc451592243"/>
      <w:bookmarkStart w:id="43" w:name="_Toc5610284"/>
      <w:bookmarkStart w:id="44" w:name="_Toc99178790"/>
      <w:r>
        <w:rPr>
          <w:sz w:val="24"/>
          <w:szCs w:val="24"/>
        </w:rPr>
        <w:lastRenderedPageBreak/>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1"/>
      <w:bookmarkEnd w:id="42"/>
      <w:bookmarkEnd w:id="43"/>
      <w:bookmarkEnd w:id="44"/>
    </w:p>
    <w:p w:rsidR="00D1549B" w:rsidRPr="000206F8" w:rsidRDefault="00D1549B" w:rsidP="00D1549B">
      <w:pPr>
        <w:autoSpaceDE w:val="0"/>
        <w:autoSpaceDN w:val="0"/>
        <w:adjustRightInd w:val="0"/>
        <w:spacing w:line="480" w:lineRule="auto"/>
        <w:ind w:firstLine="720"/>
        <w:outlineLvl w:val="0"/>
        <w:rPr>
          <w:color w:val="000000"/>
        </w:rPr>
      </w:pPr>
      <w:r w:rsidRPr="00E613FA">
        <w:rPr>
          <w:color w:val="000000"/>
        </w:rPr>
        <w:t>There are no capital costs, operating costs, or maintenance costs to report.</w:t>
      </w:r>
    </w:p>
    <w:p w:rsidR="00D1549B" w:rsidRPr="00D1549B" w:rsidRDefault="00D1549B" w:rsidP="00D1549B">
      <w:pPr>
        <w:pStyle w:val="P1-StandPara"/>
      </w:pPr>
    </w:p>
    <w:p w:rsidR="00E36A07" w:rsidRPr="00D61E21" w:rsidRDefault="00E36A07" w:rsidP="00E36A07">
      <w:pPr>
        <w:pStyle w:val="Heading2"/>
        <w:tabs>
          <w:tab w:val="clear" w:pos="1152"/>
          <w:tab w:val="left" w:pos="720"/>
        </w:tabs>
        <w:spacing w:after="0" w:line="480" w:lineRule="auto"/>
        <w:ind w:left="0" w:firstLine="0"/>
        <w:rPr>
          <w:sz w:val="24"/>
          <w:szCs w:val="24"/>
        </w:rPr>
      </w:pPr>
      <w:bookmarkStart w:id="45" w:name="_Toc443881757"/>
      <w:bookmarkStart w:id="46" w:name="_Toc451592244"/>
      <w:bookmarkStart w:id="47" w:name="_Toc5610285"/>
      <w:bookmarkStart w:id="48" w:name="_Toc99178791"/>
      <w:r>
        <w:rPr>
          <w:sz w:val="24"/>
          <w:szCs w:val="24"/>
        </w:rPr>
        <w:t>A.</w:t>
      </w:r>
      <w:r w:rsidRPr="00D61E21">
        <w:rPr>
          <w:sz w:val="24"/>
          <w:szCs w:val="24"/>
        </w:rPr>
        <w:t>14</w:t>
      </w:r>
      <w:r w:rsidRPr="00D61E21">
        <w:rPr>
          <w:sz w:val="24"/>
          <w:szCs w:val="24"/>
        </w:rPr>
        <w:tab/>
        <w:t>Annualized Cost to the Federal Government</w:t>
      </w:r>
      <w:bookmarkEnd w:id="45"/>
      <w:bookmarkEnd w:id="46"/>
      <w:bookmarkEnd w:id="47"/>
      <w:bookmarkEnd w:id="48"/>
      <w:r w:rsidRPr="00D61E21">
        <w:rPr>
          <w:sz w:val="24"/>
          <w:szCs w:val="24"/>
        </w:rPr>
        <w:t xml:space="preserve">  </w:t>
      </w:r>
    </w:p>
    <w:p w:rsidR="00393390" w:rsidRDefault="00B17859" w:rsidP="00393390">
      <w:pPr>
        <w:autoSpaceDE w:val="0"/>
        <w:autoSpaceDN w:val="0"/>
        <w:adjustRightInd w:val="0"/>
        <w:spacing w:line="480" w:lineRule="auto"/>
        <w:ind w:firstLine="720"/>
        <w:outlineLvl w:val="0"/>
        <w:rPr>
          <w:color w:val="000000"/>
        </w:rPr>
      </w:pPr>
      <w:r>
        <w:rPr>
          <w:color w:val="000000"/>
        </w:rPr>
        <w:t>T</w:t>
      </w:r>
      <w:r w:rsidRPr="00B77D6E">
        <w:rPr>
          <w:color w:val="000000"/>
        </w:rPr>
        <w:t xml:space="preserve">he annualized cost to the Federal Government is </w:t>
      </w:r>
      <w:r w:rsidRPr="00524EDB">
        <w:rPr>
          <w:color w:val="000000"/>
        </w:rPr>
        <w:t>$</w:t>
      </w:r>
      <w:r w:rsidRPr="00B77D6E">
        <w:rPr>
          <w:color w:val="000000"/>
        </w:rPr>
        <w:t>30,163.50</w:t>
      </w:r>
      <w:r>
        <w:rPr>
          <w:color w:val="000000"/>
        </w:rPr>
        <w:t xml:space="preserve">. </w:t>
      </w:r>
      <w:r w:rsidR="00393390">
        <w:rPr>
          <w:color w:val="000000"/>
        </w:rPr>
        <w:t xml:space="preserve">The </w:t>
      </w:r>
      <w:r w:rsidR="00393390" w:rsidRPr="00B77D6E">
        <w:rPr>
          <w:color w:val="000000"/>
        </w:rPr>
        <w:t>Federal</w:t>
      </w:r>
      <w:r>
        <w:rPr>
          <w:color w:val="000000"/>
        </w:rPr>
        <w:t xml:space="preserve"> personnel </w:t>
      </w:r>
      <w:r w:rsidR="000F4DD5">
        <w:rPr>
          <w:color w:val="000000"/>
        </w:rPr>
        <w:t xml:space="preserve">cost </w:t>
      </w:r>
      <w:r w:rsidR="000F4DD5" w:rsidRPr="00B77D6E">
        <w:rPr>
          <w:color w:val="000000"/>
        </w:rPr>
        <w:t>is</w:t>
      </w:r>
      <w:r w:rsidR="00393390" w:rsidRPr="00B77D6E">
        <w:rPr>
          <w:color w:val="000000"/>
        </w:rPr>
        <w:t xml:space="preserve"> </w:t>
      </w:r>
      <w:r w:rsidR="00B77D6E" w:rsidRPr="00524EDB">
        <w:rPr>
          <w:color w:val="000000"/>
        </w:rPr>
        <w:t>$</w:t>
      </w:r>
      <w:r w:rsidR="00B77D6E" w:rsidRPr="00B77D6E">
        <w:rPr>
          <w:color w:val="000000"/>
        </w:rPr>
        <w:t>20,163.50</w:t>
      </w:r>
      <w:r>
        <w:rPr>
          <w:color w:val="000000"/>
        </w:rPr>
        <w:t>.</w:t>
      </w:r>
      <w:r w:rsidR="00344534" w:rsidRPr="00344534">
        <w:rPr>
          <w:color w:val="000000"/>
        </w:rPr>
        <w:t xml:space="preserve"> </w:t>
      </w:r>
      <w:r w:rsidR="00344534">
        <w:rPr>
          <w:color w:val="000000"/>
        </w:rPr>
        <w:t xml:space="preserve">Federal personnel will </w:t>
      </w:r>
      <w:r w:rsidR="00602210">
        <w:rPr>
          <w:color w:val="000000"/>
        </w:rPr>
        <w:t>oversee the deposition of information into the database</w:t>
      </w:r>
      <w:r w:rsidR="003A0BC4">
        <w:rPr>
          <w:color w:val="000000"/>
        </w:rPr>
        <w:t xml:space="preserve">. </w:t>
      </w:r>
      <w:r>
        <w:rPr>
          <w:color w:val="000000"/>
        </w:rPr>
        <w:t xml:space="preserve"> The </w:t>
      </w:r>
      <w:r w:rsidR="00393390" w:rsidRPr="00B77D6E">
        <w:rPr>
          <w:color w:val="000000"/>
        </w:rPr>
        <w:t xml:space="preserve"> contractor</w:t>
      </w:r>
      <w:r>
        <w:rPr>
          <w:color w:val="000000"/>
        </w:rPr>
        <w:t xml:space="preserve"> cost</w:t>
      </w:r>
      <w:r w:rsidR="00857DAC">
        <w:rPr>
          <w:color w:val="000000"/>
        </w:rPr>
        <w:t>s are</w:t>
      </w:r>
      <w:r w:rsidR="00393390" w:rsidRPr="00B77D6E">
        <w:rPr>
          <w:color w:val="000000"/>
        </w:rPr>
        <w:t xml:space="preserve"> $10,000 </w:t>
      </w:r>
      <w:r w:rsidR="00B77D6E" w:rsidRPr="00B77D6E">
        <w:rPr>
          <w:color w:val="000000"/>
        </w:rPr>
        <w:t>;</w:t>
      </w:r>
      <w:r w:rsidR="00393390" w:rsidRPr="00B77D6E">
        <w:rPr>
          <w:color w:val="000000"/>
        </w:rPr>
        <w:t xml:space="preserve"> (Table A.14-1).</w:t>
      </w:r>
    </w:p>
    <w:p w:rsidR="00393390" w:rsidRDefault="00393390" w:rsidP="00393390">
      <w:pPr>
        <w:rPr>
          <w:color w:val="000000"/>
        </w:rPr>
      </w:pPr>
    </w:p>
    <w:p w:rsidR="00393390" w:rsidRDefault="00393390" w:rsidP="00393390">
      <w:pPr>
        <w:rPr>
          <w:color w:val="000000"/>
        </w:rPr>
      </w:pPr>
    </w:p>
    <w:p w:rsidR="00393390" w:rsidRPr="00AF2770" w:rsidRDefault="00393390" w:rsidP="00393390">
      <w:pPr>
        <w:rPr>
          <w:color w:val="000000"/>
        </w:rPr>
      </w:pPr>
      <w:r w:rsidRPr="00AF2770">
        <w:rPr>
          <w:color w:val="000000"/>
        </w:rPr>
        <w:t>Table A</w:t>
      </w:r>
      <w:r>
        <w:rPr>
          <w:color w:val="000000"/>
        </w:rPr>
        <w:t>14-1 Annualized Cost to the Federal Government</w:t>
      </w:r>
      <w:r w:rsidRPr="00AF2770">
        <w:rPr>
          <w:color w:val="000000"/>
        </w:rPr>
        <w:t xml:space="preserve"> </w:t>
      </w:r>
    </w:p>
    <w:p w:rsidR="00393390" w:rsidRPr="00AF2770" w:rsidRDefault="00393390" w:rsidP="00393390">
      <w:pPr>
        <w:autoSpaceDE w:val="0"/>
        <w:autoSpaceDN w:val="0"/>
        <w:adjustRightInd w:val="0"/>
        <w:outlineLvl w:val="0"/>
        <w:rPr>
          <w:color w:val="000000"/>
        </w:rPr>
      </w:pPr>
    </w:p>
    <w:tbl>
      <w:tblPr>
        <w:tblW w:w="976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2"/>
        <w:gridCol w:w="6480"/>
        <w:gridCol w:w="2070"/>
      </w:tblGrid>
      <w:tr w:rsidR="00393390" w:rsidRPr="00AF2770" w:rsidTr="00EB4568">
        <w:tc>
          <w:tcPr>
            <w:tcW w:w="1212" w:type="dxa"/>
          </w:tcPr>
          <w:p w:rsidR="00393390" w:rsidRPr="00AF2770" w:rsidRDefault="00393390" w:rsidP="00EB4568">
            <w:pPr>
              <w:jc w:val="center"/>
              <w:rPr>
                <w:b/>
                <w:bCs/>
                <w:color w:val="000000"/>
              </w:rPr>
            </w:pPr>
            <w:r w:rsidRPr="00AF2770">
              <w:rPr>
                <w:b/>
                <w:bCs/>
                <w:color w:val="000000"/>
              </w:rPr>
              <w:t>Staffing</w:t>
            </w:r>
          </w:p>
        </w:tc>
        <w:tc>
          <w:tcPr>
            <w:tcW w:w="6480" w:type="dxa"/>
            <w:tcMar>
              <w:top w:w="0" w:type="dxa"/>
              <w:left w:w="108" w:type="dxa"/>
              <w:bottom w:w="0" w:type="dxa"/>
              <w:right w:w="108" w:type="dxa"/>
            </w:tcMar>
            <w:hideMark/>
          </w:tcPr>
          <w:p w:rsidR="00393390" w:rsidRPr="00AF2770" w:rsidRDefault="00393390" w:rsidP="00EB4568">
            <w:pPr>
              <w:jc w:val="center"/>
              <w:rPr>
                <w:rFonts w:eastAsia="Calibri"/>
                <w:b/>
                <w:bCs/>
                <w:color w:val="000000"/>
              </w:rPr>
            </w:pPr>
            <w:r w:rsidRPr="00AF2770">
              <w:rPr>
                <w:b/>
                <w:bCs/>
                <w:color w:val="000000"/>
              </w:rPr>
              <w:t>Task</w:t>
            </w:r>
          </w:p>
        </w:tc>
        <w:tc>
          <w:tcPr>
            <w:tcW w:w="2070" w:type="dxa"/>
            <w:tcMar>
              <w:top w:w="0" w:type="dxa"/>
              <w:left w:w="108" w:type="dxa"/>
              <w:bottom w:w="0" w:type="dxa"/>
              <w:right w:w="108" w:type="dxa"/>
            </w:tcMar>
            <w:hideMark/>
          </w:tcPr>
          <w:p w:rsidR="00393390" w:rsidRPr="00AF2770" w:rsidRDefault="00393390" w:rsidP="00EB4568">
            <w:pPr>
              <w:jc w:val="center"/>
              <w:rPr>
                <w:rFonts w:eastAsia="Calibri"/>
                <w:b/>
                <w:bCs/>
                <w:color w:val="000000"/>
              </w:rPr>
            </w:pPr>
            <w:r w:rsidRPr="00AF2770">
              <w:rPr>
                <w:b/>
                <w:bCs/>
                <w:color w:val="000000"/>
              </w:rPr>
              <w:t>Annualized Cost</w:t>
            </w:r>
          </w:p>
        </w:tc>
      </w:tr>
      <w:tr w:rsidR="00393390" w:rsidRPr="00AF2770" w:rsidTr="00EB4568">
        <w:trPr>
          <w:trHeight w:val="377"/>
        </w:trPr>
        <w:tc>
          <w:tcPr>
            <w:tcW w:w="1212" w:type="dxa"/>
            <w:vMerge w:val="restart"/>
            <w:vAlign w:val="center"/>
          </w:tcPr>
          <w:p w:rsidR="00393390" w:rsidRPr="00AF2770" w:rsidRDefault="00393390" w:rsidP="00EB4568">
            <w:pPr>
              <w:rPr>
                <w:color w:val="000000"/>
              </w:rPr>
            </w:pPr>
            <w:r w:rsidRPr="00AF2770">
              <w:rPr>
                <w:color w:val="000000"/>
              </w:rPr>
              <w:t>NCI</w:t>
            </w:r>
          </w:p>
        </w:tc>
        <w:tc>
          <w:tcPr>
            <w:tcW w:w="6480" w:type="dxa"/>
            <w:tcMar>
              <w:top w:w="0" w:type="dxa"/>
              <w:left w:w="108" w:type="dxa"/>
              <w:bottom w:w="0" w:type="dxa"/>
              <w:right w:w="108" w:type="dxa"/>
            </w:tcMar>
            <w:vAlign w:val="center"/>
          </w:tcPr>
          <w:p w:rsidR="00393390" w:rsidRPr="00AF2770" w:rsidRDefault="00393390" w:rsidP="00EB4568">
            <w:pPr>
              <w:rPr>
                <w:color w:val="000000"/>
              </w:rPr>
            </w:pPr>
            <w:r w:rsidRPr="00AF2770">
              <w:rPr>
                <w:color w:val="000000"/>
              </w:rPr>
              <w:t>Program Director</w:t>
            </w:r>
            <w:r>
              <w:rPr>
                <w:color w:val="000000"/>
              </w:rPr>
              <w:t xml:space="preserve">, Grade 14, Step </w:t>
            </w:r>
            <w:r w:rsidR="00B77D6E">
              <w:rPr>
                <w:color w:val="000000"/>
              </w:rPr>
              <w:t>5</w:t>
            </w:r>
            <w:r w:rsidR="00B77D6E" w:rsidRPr="00AF2770">
              <w:rPr>
                <w:color w:val="000000"/>
              </w:rPr>
              <w:t xml:space="preserve"> </w:t>
            </w:r>
            <w:r w:rsidRPr="00AF2770">
              <w:rPr>
                <w:color w:val="000000"/>
              </w:rPr>
              <w:t>(10% time for 12 months</w:t>
            </w:r>
            <w:r>
              <w:rPr>
                <w:color w:val="000000"/>
              </w:rPr>
              <w:t xml:space="preserve"> at </w:t>
            </w:r>
          </w:p>
          <w:p w:rsidR="00393390" w:rsidRPr="00AF2770" w:rsidRDefault="00393390" w:rsidP="00812155">
            <w:pPr>
              <w:rPr>
                <w:color w:val="000000"/>
              </w:rPr>
            </w:pPr>
            <w:r>
              <w:rPr>
                <w:color w:val="000000"/>
              </w:rPr>
              <w:t>$</w:t>
            </w:r>
            <w:r w:rsidR="00B77D6E">
              <w:t xml:space="preserve"> 121,635</w:t>
            </w:r>
            <w:r w:rsidRPr="00AF2770">
              <w:rPr>
                <w:color w:val="000000"/>
              </w:rPr>
              <w:t>)</w:t>
            </w:r>
          </w:p>
        </w:tc>
        <w:tc>
          <w:tcPr>
            <w:tcW w:w="2070" w:type="dxa"/>
            <w:tcMar>
              <w:top w:w="0" w:type="dxa"/>
              <w:left w:w="108" w:type="dxa"/>
              <w:bottom w:w="0" w:type="dxa"/>
              <w:right w:w="108" w:type="dxa"/>
            </w:tcMar>
            <w:vAlign w:val="center"/>
          </w:tcPr>
          <w:p w:rsidR="00393390" w:rsidRPr="00AF2770" w:rsidRDefault="00393390" w:rsidP="00812155">
            <w:pPr>
              <w:jc w:val="center"/>
              <w:rPr>
                <w:color w:val="000000"/>
              </w:rPr>
            </w:pPr>
            <w:r w:rsidRPr="00AF2770">
              <w:rPr>
                <w:color w:val="000000"/>
              </w:rPr>
              <w:t>$</w:t>
            </w:r>
            <w:r w:rsidR="00B77D6E">
              <w:rPr>
                <w:color w:val="000000"/>
              </w:rPr>
              <w:t>12,163.50</w:t>
            </w:r>
          </w:p>
        </w:tc>
      </w:tr>
      <w:tr w:rsidR="00393390" w:rsidRPr="00AF2770" w:rsidTr="00EB4568">
        <w:trPr>
          <w:trHeight w:val="440"/>
        </w:trPr>
        <w:tc>
          <w:tcPr>
            <w:tcW w:w="1212" w:type="dxa"/>
            <w:vMerge/>
            <w:vAlign w:val="center"/>
          </w:tcPr>
          <w:p w:rsidR="00393390" w:rsidRPr="00AF2770" w:rsidRDefault="00393390" w:rsidP="00EB4568">
            <w:pPr>
              <w:rPr>
                <w:color w:val="000000"/>
              </w:rPr>
            </w:pPr>
          </w:p>
        </w:tc>
        <w:tc>
          <w:tcPr>
            <w:tcW w:w="6480" w:type="dxa"/>
            <w:tcMar>
              <w:top w:w="0" w:type="dxa"/>
              <w:left w:w="108" w:type="dxa"/>
              <w:bottom w:w="0" w:type="dxa"/>
              <w:right w:w="108" w:type="dxa"/>
            </w:tcMar>
            <w:vAlign w:val="center"/>
            <w:hideMark/>
          </w:tcPr>
          <w:p w:rsidR="00393390" w:rsidRPr="00393390" w:rsidRDefault="00393390" w:rsidP="002F73B3">
            <w:pPr>
              <w:rPr>
                <w:color w:val="000000"/>
                <w:highlight w:val="yellow"/>
              </w:rPr>
            </w:pPr>
            <w:r w:rsidRPr="00524EDB">
              <w:rPr>
                <w:color w:val="000000"/>
              </w:rPr>
              <w:t>Research Associat</w:t>
            </w:r>
            <w:r w:rsidR="002F73B3">
              <w:rPr>
                <w:color w:val="000000"/>
              </w:rPr>
              <w:t>e</w:t>
            </w:r>
            <w:r w:rsidRPr="00524EDB">
              <w:rPr>
                <w:color w:val="000000"/>
              </w:rPr>
              <w:t xml:space="preserve">/Fellow (20% time for 12 months at </w:t>
            </w:r>
            <w:r w:rsidR="00B77D6E" w:rsidRPr="00524EDB">
              <w:rPr>
                <w:color w:val="000000"/>
              </w:rPr>
              <w:t xml:space="preserve">$40,000) </w:t>
            </w:r>
          </w:p>
        </w:tc>
        <w:tc>
          <w:tcPr>
            <w:tcW w:w="2070" w:type="dxa"/>
            <w:tcMar>
              <w:top w:w="0" w:type="dxa"/>
              <w:left w:w="108" w:type="dxa"/>
              <w:bottom w:w="0" w:type="dxa"/>
              <w:right w:w="108" w:type="dxa"/>
            </w:tcMar>
            <w:vAlign w:val="center"/>
            <w:hideMark/>
          </w:tcPr>
          <w:p w:rsidR="00393390" w:rsidRPr="00393390" w:rsidRDefault="00B77D6E" w:rsidP="00EB4568">
            <w:pPr>
              <w:jc w:val="center"/>
              <w:rPr>
                <w:rFonts w:eastAsia="Calibri"/>
                <w:color w:val="000000"/>
                <w:highlight w:val="yellow"/>
              </w:rPr>
            </w:pPr>
            <w:r w:rsidRPr="00524EDB">
              <w:rPr>
                <w:rFonts w:eastAsia="Calibri"/>
                <w:color w:val="000000"/>
              </w:rPr>
              <w:t>8,000</w:t>
            </w:r>
          </w:p>
        </w:tc>
      </w:tr>
      <w:tr w:rsidR="00393390" w:rsidRPr="00AF2770" w:rsidTr="00EB4568">
        <w:trPr>
          <w:trHeight w:val="611"/>
        </w:trPr>
        <w:tc>
          <w:tcPr>
            <w:tcW w:w="1212" w:type="dxa"/>
            <w:vAlign w:val="center"/>
          </w:tcPr>
          <w:p w:rsidR="00393390" w:rsidRPr="00AF2770" w:rsidRDefault="00393390" w:rsidP="00EB4568">
            <w:pPr>
              <w:rPr>
                <w:color w:val="000000"/>
              </w:rPr>
            </w:pPr>
            <w:r w:rsidRPr="00AF2770">
              <w:rPr>
                <w:color w:val="000000"/>
              </w:rPr>
              <w:t>Contractor</w:t>
            </w:r>
          </w:p>
        </w:tc>
        <w:tc>
          <w:tcPr>
            <w:tcW w:w="6480" w:type="dxa"/>
            <w:tcMar>
              <w:top w:w="0" w:type="dxa"/>
              <w:left w:w="108" w:type="dxa"/>
              <w:bottom w:w="0" w:type="dxa"/>
              <w:right w:w="108" w:type="dxa"/>
            </w:tcMar>
            <w:vAlign w:val="center"/>
            <w:hideMark/>
          </w:tcPr>
          <w:p w:rsidR="00393390" w:rsidRPr="00AF2770" w:rsidRDefault="00393390" w:rsidP="00393390">
            <w:pPr>
              <w:rPr>
                <w:rFonts w:eastAsia="Calibri"/>
                <w:color w:val="000000"/>
              </w:rPr>
            </w:pPr>
            <w:r w:rsidRPr="00AF2770">
              <w:rPr>
                <w:color w:val="000000"/>
              </w:rPr>
              <w:t>Project Management Support, Web Management support</w:t>
            </w:r>
          </w:p>
        </w:tc>
        <w:tc>
          <w:tcPr>
            <w:tcW w:w="2070" w:type="dxa"/>
            <w:tcMar>
              <w:top w:w="0" w:type="dxa"/>
              <w:left w:w="108" w:type="dxa"/>
              <w:bottom w:w="0" w:type="dxa"/>
              <w:right w:w="108" w:type="dxa"/>
            </w:tcMar>
            <w:vAlign w:val="center"/>
            <w:hideMark/>
          </w:tcPr>
          <w:p w:rsidR="00393390" w:rsidRPr="00AF2770" w:rsidRDefault="00393390" w:rsidP="00393390">
            <w:pPr>
              <w:jc w:val="center"/>
              <w:rPr>
                <w:rFonts w:eastAsia="Calibri"/>
                <w:color w:val="000000"/>
              </w:rPr>
            </w:pPr>
            <w:r w:rsidRPr="00AF2770">
              <w:rPr>
                <w:color w:val="000000"/>
              </w:rPr>
              <w:t>$</w:t>
            </w:r>
            <w:r>
              <w:rPr>
                <w:color w:val="000000"/>
              </w:rPr>
              <w:t>10,000</w:t>
            </w:r>
          </w:p>
        </w:tc>
      </w:tr>
      <w:tr w:rsidR="00393390" w:rsidRPr="00AF2770" w:rsidTr="00EB4568">
        <w:trPr>
          <w:trHeight w:val="449"/>
        </w:trPr>
        <w:tc>
          <w:tcPr>
            <w:tcW w:w="1212" w:type="dxa"/>
            <w:vAlign w:val="center"/>
          </w:tcPr>
          <w:p w:rsidR="00393390" w:rsidRPr="00AF2770" w:rsidRDefault="00393390" w:rsidP="00EB4568">
            <w:pPr>
              <w:rPr>
                <w:color w:val="000000"/>
              </w:rPr>
            </w:pPr>
            <w:r>
              <w:rPr>
                <w:color w:val="000000"/>
              </w:rPr>
              <w:t>Total</w:t>
            </w:r>
          </w:p>
        </w:tc>
        <w:tc>
          <w:tcPr>
            <w:tcW w:w="6480" w:type="dxa"/>
            <w:tcMar>
              <w:top w:w="0" w:type="dxa"/>
              <w:left w:w="108" w:type="dxa"/>
              <w:bottom w:w="0" w:type="dxa"/>
              <w:right w:w="108" w:type="dxa"/>
            </w:tcMar>
            <w:vAlign w:val="center"/>
          </w:tcPr>
          <w:p w:rsidR="00393390" w:rsidRPr="00AF2770" w:rsidRDefault="00393390" w:rsidP="00EB4568">
            <w:pPr>
              <w:rPr>
                <w:color w:val="000000"/>
              </w:rPr>
            </w:pPr>
          </w:p>
        </w:tc>
        <w:tc>
          <w:tcPr>
            <w:tcW w:w="2070" w:type="dxa"/>
            <w:tcMar>
              <w:top w:w="0" w:type="dxa"/>
              <w:left w:w="108" w:type="dxa"/>
              <w:bottom w:w="0" w:type="dxa"/>
              <w:right w:w="108" w:type="dxa"/>
            </w:tcMar>
            <w:vAlign w:val="center"/>
          </w:tcPr>
          <w:p w:rsidR="00393390" w:rsidRPr="00AF2770" w:rsidRDefault="00556069" w:rsidP="00EB4568">
            <w:pPr>
              <w:jc w:val="center"/>
              <w:rPr>
                <w:color w:val="000000"/>
              </w:rPr>
            </w:pPr>
            <w:r>
              <w:rPr>
                <w:color w:val="000000"/>
              </w:rPr>
              <w:t>$30,163.50</w:t>
            </w:r>
          </w:p>
        </w:tc>
      </w:tr>
    </w:tbl>
    <w:p w:rsidR="00393390" w:rsidRPr="00AF2770" w:rsidRDefault="00393390" w:rsidP="00393390">
      <w:pPr>
        <w:autoSpaceDE w:val="0"/>
        <w:autoSpaceDN w:val="0"/>
        <w:adjustRightInd w:val="0"/>
        <w:outlineLvl w:val="0"/>
        <w:rPr>
          <w:color w:val="000000"/>
        </w:rPr>
      </w:pPr>
    </w:p>
    <w:p w:rsidR="00E36A07" w:rsidRDefault="00E36A07" w:rsidP="00E36A07">
      <w:pPr>
        <w:rPr>
          <w:b/>
        </w:rPr>
      </w:pPr>
    </w:p>
    <w:p w:rsidR="0093431F" w:rsidRPr="00BC4E67" w:rsidRDefault="0093431F" w:rsidP="0093431F">
      <w:pPr>
        <w:rPr>
          <w:b/>
          <w:color w:val="FF0000"/>
        </w:rPr>
      </w:pPr>
    </w:p>
    <w:p w:rsidR="00E36A07" w:rsidRPr="00D61E21" w:rsidRDefault="00E36A07" w:rsidP="00E36A07">
      <w:pPr>
        <w:pStyle w:val="Heading2"/>
        <w:tabs>
          <w:tab w:val="clear" w:pos="1152"/>
          <w:tab w:val="left" w:pos="720"/>
        </w:tabs>
        <w:spacing w:after="0" w:line="480" w:lineRule="auto"/>
        <w:ind w:left="0" w:firstLine="0"/>
        <w:rPr>
          <w:sz w:val="24"/>
          <w:szCs w:val="24"/>
        </w:rPr>
      </w:pPr>
      <w:bookmarkStart w:id="49" w:name="_Toc443881758"/>
      <w:bookmarkStart w:id="50" w:name="_Toc451592245"/>
      <w:bookmarkStart w:id="51" w:name="_Toc5610286"/>
      <w:bookmarkStart w:id="52" w:name="_Toc99178792"/>
      <w:r>
        <w:rPr>
          <w:sz w:val="24"/>
          <w:szCs w:val="24"/>
        </w:rPr>
        <w:t>A.</w:t>
      </w:r>
      <w:r w:rsidRPr="00D61E21">
        <w:rPr>
          <w:sz w:val="24"/>
          <w:szCs w:val="24"/>
        </w:rPr>
        <w:t>15</w:t>
      </w:r>
      <w:r w:rsidRPr="00D61E21">
        <w:rPr>
          <w:sz w:val="24"/>
          <w:szCs w:val="24"/>
        </w:rPr>
        <w:tab/>
        <w:t>Explanation for Program Changes or Adjustments</w:t>
      </w:r>
      <w:bookmarkEnd w:id="49"/>
      <w:bookmarkEnd w:id="50"/>
      <w:bookmarkEnd w:id="51"/>
      <w:bookmarkEnd w:id="52"/>
    </w:p>
    <w:p w:rsidR="00807E31" w:rsidRDefault="00D1549B" w:rsidP="00D1549B">
      <w:r>
        <w:t xml:space="preserve">This is a new </w:t>
      </w:r>
      <w:r w:rsidR="00344534">
        <w:t>information collection</w:t>
      </w:r>
      <w:r>
        <w:t xml:space="preserve">. </w:t>
      </w:r>
    </w:p>
    <w:p w:rsidR="00807E31" w:rsidRDefault="00807E31" w:rsidP="00807E31"/>
    <w:p w:rsidR="00807E31" w:rsidRDefault="00807E31" w:rsidP="0093431F">
      <w:pPr>
        <w:rPr>
          <w:b/>
        </w:rPr>
      </w:pPr>
    </w:p>
    <w:p w:rsidR="0093431F" w:rsidRDefault="0093431F" w:rsidP="0093431F"/>
    <w:p w:rsidR="00807E31" w:rsidRDefault="00807E31" w:rsidP="00807E31">
      <w:pPr>
        <w:pStyle w:val="Heading2"/>
        <w:tabs>
          <w:tab w:val="clear" w:pos="1152"/>
          <w:tab w:val="left" w:pos="720"/>
        </w:tabs>
        <w:spacing w:after="0" w:line="480" w:lineRule="auto"/>
        <w:ind w:left="0" w:firstLine="0"/>
        <w:rPr>
          <w:sz w:val="24"/>
          <w:szCs w:val="24"/>
        </w:rPr>
      </w:pPr>
      <w:bookmarkStart w:id="53" w:name="_Toc443881759"/>
      <w:bookmarkStart w:id="54" w:name="_Toc451592246"/>
      <w:bookmarkStart w:id="55" w:name="_Toc5610287"/>
      <w:bookmarkStart w:id="56" w:name="_Toc99178793"/>
      <w:r>
        <w:rPr>
          <w:sz w:val="24"/>
          <w:szCs w:val="24"/>
        </w:rPr>
        <w:t>A.</w:t>
      </w:r>
      <w:r w:rsidRPr="00D61E21">
        <w:rPr>
          <w:sz w:val="24"/>
          <w:szCs w:val="24"/>
        </w:rPr>
        <w:t>16</w:t>
      </w:r>
      <w:r w:rsidRPr="00D61E21">
        <w:rPr>
          <w:sz w:val="24"/>
          <w:szCs w:val="24"/>
        </w:rPr>
        <w:tab/>
        <w:t>Plans for Tabulation and Publication and Project Time Schedule</w:t>
      </w:r>
      <w:bookmarkEnd w:id="53"/>
      <w:bookmarkEnd w:id="54"/>
      <w:bookmarkEnd w:id="55"/>
      <w:bookmarkEnd w:id="56"/>
    </w:p>
    <w:p w:rsidR="00D1549B" w:rsidRDefault="00D1549B" w:rsidP="00D1549B">
      <w:pPr>
        <w:autoSpaceDE w:val="0"/>
        <w:autoSpaceDN w:val="0"/>
        <w:adjustRightInd w:val="0"/>
        <w:spacing w:line="480" w:lineRule="auto"/>
        <w:ind w:firstLine="720"/>
        <w:outlineLvl w:val="0"/>
        <w:rPr>
          <w:color w:val="000000"/>
        </w:rPr>
      </w:pPr>
      <w:r w:rsidRPr="00AF2770">
        <w:rPr>
          <w:color w:val="000000"/>
        </w:rPr>
        <w:t>There are no plans for detailed statistical analysis of the information collected.  However, descriptive analys</w:t>
      </w:r>
      <w:r>
        <w:rPr>
          <w:color w:val="000000"/>
        </w:rPr>
        <w:t>e</w:t>
      </w:r>
      <w:r w:rsidRPr="00AF2770">
        <w:rPr>
          <w:color w:val="000000"/>
        </w:rPr>
        <w:t xml:space="preserve">s </w:t>
      </w:r>
      <w:r w:rsidR="00DD4676">
        <w:rPr>
          <w:color w:val="000000"/>
        </w:rPr>
        <w:t>will be</w:t>
      </w:r>
      <w:r w:rsidRPr="00AF2770">
        <w:rPr>
          <w:color w:val="000000"/>
        </w:rPr>
        <w:t xml:space="preserve"> used to monitor the metrics such as </w:t>
      </w:r>
      <w:r w:rsidR="00DD4676">
        <w:rPr>
          <w:color w:val="000000"/>
        </w:rPr>
        <w:t xml:space="preserve">total number of specimens by cancer site, environmental data, etc.; </w:t>
      </w:r>
      <w:r w:rsidRPr="00AF2770">
        <w:rPr>
          <w:color w:val="000000"/>
        </w:rPr>
        <w:t xml:space="preserve">queries by </w:t>
      </w:r>
      <w:r w:rsidR="00DD4676">
        <w:rPr>
          <w:color w:val="000000"/>
        </w:rPr>
        <w:t xml:space="preserve">cancer site, specimen </w:t>
      </w:r>
      <w:r w:rsidRPr="00AF2770">
        <w:rPr>
          <w:color w:val="000000"/>
        </w:rPr>
        <w:t>type,</w:t>
      </w:r>
      <w:r w:rsidR="00DB0CBE">
        <w:rPr>
          <w:color w:val="000000"/>
        </w:rPr>
        <w:t xml:space="preserve"> and</w:t>
      </w:r>
      <w:r w:rsidRPr="00AF2770">
        <w:rPr>
          <w:color w:val="000000"/>
        </w:rPr>
        <w:t xml:space="preserve"> successful queries.</w:t>
      </w:r>
    </w:p>
    <w:p w:rsidR="00DD4676" w:rsidRPr="00AF2770" w:rsidRDefault="00DD4676" w:rsidP="00DD4676">
      <w:pPr>
        <w:autoSpaceDE w:val="0"/>
        <w:autoSpaceDN w:val="0"/>
        <w:adjustRightInd w:val="0"/>
        <w:spacing w:line="480" w:lineRule="auto"/>
        <w:ind w:firstLine="720"/>
        <w:outlineLvl w:val="0"/>
        <w:rPr>
          <w:color w:val="000000"/>
        </w:rPr>
      </w:pPr>
      <w:r>
        <w:rPr>
          <w:color w:val="000000"/>
        </w:rPr>
        <w:lastRenderedPageBreak/>
        <w:t>The project time schedule can be seen in Table A16-1.</w:t>
      </w:r>
    </w:p>
    <w:p w:rsidR="00DD4676" w:rsidRDefault="00DD4676" w:rsidP="00DD4676">
      <w:pPr>
        <w:rPr>
          <w:color w:val="000000"/>
        </w:rPr>
      </w:pPr>
    </w:p>
    <w:p w:rsidR="00DD4676" w:rsidRPr="00DD4676" w:rsidRDefault="00DD4676" w:rsidP="00DD4676">
      <w:pPr>
        <w:jc w:val="center"/>
        <w:rPr>
          <w:b/>
          <w:color w:val="000000"/>
        </w:rPr>
      </w:pPr>
      <w:r w:rsidRPr="00DD4676">
        <w:rPr>
          <w:b/>
          <w:color w:val="000000"/>
        </w:rPr>
        <w:t>Table A16-1 Project Time Schedule</w:t>
      </w:r>
    </w:p>
    <w:p w:rsidR="00DD4676" w:rsidRPr="00AF2770" w:rsidRDefault="00DD4676" w:rsidP="00DD4676">
      <w:pPr>
        <w:autoSpaceDE w:val="0"/>
        <w:autoSpaceDN w:val="0"/>
        <w:adjustRightInd w:val="0"/>
        <w:outlineLv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3574"/>
      </w:tblGrid>
      <w:tr w:rsidR="00DD4676" w:rsidRPr="00AF2770" w:rsidTr="00EB4568">
        <w:tc>
          <w:tcPr>
            <w:tcW w:w="5328" w:type="dxa"/>
            <w:shd w:val="clear" w:color="auto" w:fill="auto"/>
            <w:vAlign w:val="center"/>
          </w:tcPr>
          <w:p w:rsidR="00DD4676" w:rsidRPr="00AF2770" w:rsidRDefault="00DD4676" w:rsidP="00EB4568">
            <w:pPr>
              <w:autoSpaceDE w:val="0"/>
              <w:autoSpaceDN w:val="0"/>
              <w:adjustRightInd w:val="0"/>
              <w:spacing w:line="360" w:lineRule="auto"/>
              <w:jc w:val="center"/>
              <w:outlineLvl w:val="0"/>
              <w:rPr>
                <w:color w:val="000000"/>
              </w:rPr>
            </w:pPr>
            <w:r w:rsidRPr="00AF2770">
              <w:rPr>
                <w:color w:val="000000"/>
              </w:rPr>
              <w:t>Task</w:t>
            </w:r>
          </w:p>
        </w:tc>
        <w:tc>
          <w:tcPr>
            <w:tcW w:w="3600" w:type="dxa"/>
            <w:shd w:val="clear" w:color="auto" w:fill="auto"/>
            <w:vAlign w:val="center"/>
          </w:tcPr>
          <w:p w:rsidR="00DD4676" w:rsidRPr="00AF2770" w:rsidRDefault="00DD4676" w:rsidP="00EB4568">
            <w:pPr>
              <w:autoSpaceDE w:val="0"/>
              <w:autoSpaceDN w:val="0"/>
              <w:adjustRightInd w:val="0"/>
              <w:spacing w:line="360" w:lineRule="auto"/>
              <w:jc w:val="center"/>
              <w:outlineLvl w:val="0"/>
              <w:rPr>
                <w:color w:val="000000"/>
              </w:rPr>
            </w:pPr>
            <w:r w:rsidRPr="00AF2770">
              <w:rPr>
                <w:color w:val="000000"/>
              </w:rPr>
              <w:t>Months After OMB Approval</w:t>
            </w:r>
          </w:p>
        </w:tc>
      </w:tr>
      <w:tr w:rsidR="00DD4676" w:rsidRPr="00AF2770" w:rsidTr="00EB4568">
        <w:trPr>
          <w:trHeight w:val="107"/>
        </w:trPr>
        <w:tc>
          <w:tcPr>
            <w:tcW w:w="5328" w:type="dxa"/>
            <w:shd w:val="clear" w:color="auto" w:fill="auto"/>
            <w:vAlign w:val="center"/>
          </w:tcPr>
          <w:p w:rsidR="00DD4676" w:rsidRPr="00AF2770" w:rsidRDefault="00DD4676" w:rsidP="00EB4568">
            <w:pPr>
              <w:autoSpaceDE w:val="0"/>
              <w:autoSpaceDN w:val="0"/>
              <w:adjustRightInd w:val="0"/>
              <w:spacing w:line="360" w:lineRule="auto"/>
              <w:jc w:val="center"/>
              <w:outlineLvl w:val="0"/>
              <w:rPr>
                <w:color w:val="000000"/>
              </w:rPr>
            </w:pPr>
            <w:r w:rsidRPr="00AF2770">
              <w:rPr>
                <w:color w:val="000000"/>
              </w:rPr>
              <w:t xml:space="preserve">Web start up, design, content, </w:t>
            </w:r>
            <w:r>
              <w:rPr>
                <w:color w:val="000000"/>
              </w:rPr>
              <w:t>URL</w:t>
            </w:r>
          </w:p>
        </w:tc>
        <w:tc>
          <w:tcPr>
            <w:tcW w:w="3600" w:type="dxa"/>
            <w:shd w:val="clear" w:color="auto" w:fill="auto"/>
            <w:vAlign w:val="center"/>
          </w:tcPr>
          <w:p w:rsidR="00DD4676" w:rsidRPr="00AF2770" w:rsidRDefault="00DD4676" w:rsidP="00EB4568">
            <w:pPr>
              <w:autoSpaceDE w:val="0"/>
              <w:autoSpaceDN w:val="0"/>
              <w:adjustRightInd w:val="0"/>
              <w:spacing w:line="360" w:lineRule="auto"/>
              <w:jc w:val="center"/>
              <w:outlineLvl w:val="0"/>
              <w:rPr>
                <w:color w:val="000000"/>
              </w:rPr>
            </w:pPr>
            <w:r>
              <w:rPr>
                <w:color w:val="000000"/>
              </w:rPr>
              <w:t>ongoing</w:t>
            </w:r>
          </w:p>
        </w:tc>
      </w:tr>
      <w:tr w:rsidR="00DD4676" w:rsidRPr="00AF2770" w:rsidTr="00EB4568">
        <w:tc>
          <w:tcPr>
            <w:tcW w:w="5328" w:type="dxa"/>
            <w:shd w:val="clear" w:color="auto" w:fill="auto"/>
            <w:vAlign w:val="center"/>
          </w:tcPr>
          <w:p w:rsidR="00DD4676" w:rsidRPr="00AF2770" w:rsidRDefault="00DD4676" w:rsidP="00EB4568">
            <w:pPr>
              <w:autoSpaceDE w:val="0"/>
              <w:autoSpaceDN w:val="0"/>
              <w:adjustRightInd w:val="0"/>
              <w:spacing w:line="360" w:lineRule="auto"/>
              <w:jc w:val="center"/>
              <w:outlineLvl w:val="0"/>
              <w:rPr>
                <w:color w:val="000000"/>
              </w:rPr>
            </w:pPr>
            <w:r>
              <w:rPr>
                <w:color w:val="000000"/>
              </w:rPr>
              <w:t>Email potential respondents with the initial request</w:t>
            </w:r>
          </w:p>
        </w:tc>
        <w:tc>
          <w:tcPr>
            <w:tcW w:w="3600" w:type="dxa"/>
            <w:shd w:val="clear" w:color="auto" w:fill="auto"/>
            <w:vAlign w:val="center"/>
          </w:tcPr>
          <w:p w:rsidR="00DD4676" w:rsidRPr="00AF2770" w:rsidRDefault="00DD4676" w:rsidP="00DD4676">
            <w:pPr>
              <w:autoSpaceDE w:val="0"/>
              <w:autoSpaceDN w:val="0"/>
              <w:adjustRightInd w:val="0"/>
              <w:spacing w:line="360" w:lineRule="auto"/>
              <w:jc w:val="center"/>
              <w:outlineLvl w:val="0"/>
              <w:rPr>
                <w:color w:val="000000"/>
              </w:rPr>
            </w:pPr>
            <w:r>
              <w:rPr>
                <w:color w:val="000000"/>
              </w:rPr>
              <w:t>1-2 months for the first potential respondents; monthly afterwards for additional potential respondents</w:t>
            </w:r>
          </w:p>
        </w:tc>
      </w:tr>
      <w:tr w:rsidR="00DD4676" w:rsidRPr="00AF2770" w:rsidTr="00EB4568">
        <w:tc>
          <w:tcPr>
            <w:tcW w:w="5328" w:type="dxa"/>
            <w:shd w:val="clear" w:color="auto" w:fill="auto"/>
            <w:vAlign w:val="center"/>
          </w:tcPr>
          <w:p w:rsidR="00DD4676" w:rsidRPr="00AF2770" w:rsidRDefault="00DD4676" w:rsidP="00EB4568">
            <w:pPr>
              <w:autoSpaceDE w:val="0"/>
              <w:autoSpaceDN w:val="0"/>
              <w:adjustRightInd w:val="0"/>
              <w:spacing w:line="360" w:lineRule="auto"/>
              <w:jc w:val="center"/>
              <w:outlineLvl w:val="0"/>
              <w:rPr>
                <w:color w:val="000000"/>
              </w:rPr>
            </w:pPr>
            <w:r w:rsidRPr="00AF2770">
              <w:rPr>
                <w:color w:val="000000"/>
              </w:rPr>
              <w:t>Review incoming electronic applications</w:t>
            </w:r>
          </w:p>
        </w:tc>
        <w:tc>
          <w:tcPr>
            <w:tcW w:w="3600" w:type="dxa"/>
            <w:shd w:val="clear" w:color="auto" w:fill="auto"/>
            <w:vAlign w:val="center"/>
          </w:tcPr>
          <w:p w:rsidR="00DD4676" w:rsidRPr="00AF2770" w:rsidRDefault="00354148" w:rsidP="00EB4568">
            <w:pPr>
              <w:autoSpaceDE w:val="0"/>
              <w:autoSpaceDN w:val="0"/>
              <w:adjustRightInd w:val="0"/>
              <w:spacing w:line="360" w:lineRule="auto"/>
              <w:jc w:val="center"/>
              <w:outlineLvl w:val="0"/>
              <w:rPr>
                <w:color w:val="000000"/>
              </w:rPr>
            </w:pPr>
            <w:r>
              <w:rPr>
                <w:color w:val="000000"/>
              </w:rPr>
              <w:t>2-3 months initially; then ongoing thereafter</w:t>
            </w:r>
          </w:p>
        </w:tc>
      </w:tr>
      <w:tr w:rsidR="00DD4676" w:rsidRPr="00AF2770" w:rsidTr="00EB4568">
        <w:tc>
          <w:tcPr>
            <w:tcW w:w="5328" w:type="dxa"/>
            <w:shd w:val="clear" w:color="auto" w:fill="auto"/>
            <w:vAlign w:val="center"/>
          </w:tcPr>
          <w:p w:rsidR="00DD4676" w:rsidRPr="00AF2770" w:rsidRDefault="00DD4676" w:rsidP="00EB4568">
            <w:pPr>
              <w:autoSpaceDE w:val="0"/>
              <w:autoSpaceDN w:val="0"/>
              <w:adjustRightInd w:val="0"/>
              <w:spacing w:line="360" w:lineRule="auto"/>
              <w:jc w:val="center"/>
              <w:outlineLvl w:val="0"/>
              <w:rPr>
                <w:color w:val="000000"/>
              </w:rPr>
            </w:pPr>
            <w:r w:rsidRPr="00AF2770">
              <w:rPr>
                <w:color w:val="000000"/>
              </w:rPr>
              <w:t>Annual updates 2 times per year</w:t>
            </w:r>
            <w:r w:rsidR="00354148">
              <w:rPr>
                <w:color w:val="000000"/>
              </w:rPr>
              <w:t xml:space="preserve"> (March/Sept, depending on when the initial data was provided)</w:t>
            </w:r>
          </w:p>
        </w:tc>
        <w:tc>
          <w:tcPr>
            <w:tcW w:w="3600" w:type="dxa"/>
            <w:shd w:val="clear" w:color="auto" w:fill="auto"/>
            <w:vAlign w:val="center"/>
          </w:tcPr>
          <w:p w:rsidR="00DD4676" w:rsidRPr="00AF2770" w:rsidRDefault="00354148" w:rsidP="00EB4568">
            <w:pPr>
              <w:autoSpaceDE w:val="0"/>
              <w:autoSpaceDN w:val="0"/>
              <w:adjustRightInd w:val="0"/>
              <w:spacing w:line="360" w:lineRule="auto"/>
              <w:jc w:val="center"/>
              <w:outlineLvl w:val="0"/>
              <w:rPr>
                <w:color w:val="000000"/>
              </w:rPr>
            </w:pPr>
            <w:r>
              <w:rPr>
                <w:color w:val="000000"/>
              </w:rPr>
              <w:t>13-36 months</w:t>
            </w:r>
          </w:p>
        </w:tc>
      </w:tr>
    </w:tbl>
    <w:p w:rsidR="00DD4676" w:rsidRDefault="00DD4676" w:rsidP="00807E31">
      <w:pPr>
        <w:pStyle w:val="Heading2"/>
        <w:tabs>
          <w:tab w:val="clear" w:pos="1152"/>
          <w:tab w:val="left" w:pos="720"/>
        </w:tabs>
        <w:spacing w:after="0" w:line="480" w:lineRule="auto"/>
        <w:ind w:left="0" w:firstLine="0"/>
        <w:rPr>
          <w:sz w:val="24"/>
          <w:szCs w:val="24"/>
        </w:rPr>
      </w:pPr>
      <w:bookmarkStart w:id="57" w:name="_Toc443881760"/>
      <w:bookmarkStart w:id="58" w:name="_Toc451592247"/>
      <w:bookmarkStart w:id="59" w:name="_Toc5610288"/>
      <w:bookmarkStart w:id="60" w:name="_Toc99178794"/>
    </w:p>
    <w:p w:rsidR="00807E31" w:rsidRPr="00D61E21" w:rsidRDefault="00807E31" w:rsidP="00807E31">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17</w:t>
      </w:r>
      <w:r w:rsidRPr="00D61E21">
        <w:rPr>
          <w:sz w:val="24"/>
          <w:szCs w:val="24"/>
        </w:rPr>
        <w:tab/>
        <w:t>Reason(s) Display of OMB Expiration Date is Inappropriate</w:t>
      </w:r>
      <w:bookmarkEnd w:id="57"/>
      <w:bookmarkEnd w:id="58"/>
      <w:bookmarkEnd w:id="59"/>
      <w:bookmarkEnd w:id="60"/>
    </w:p>
    <w:p w:rsidR="00D1549B" w:rsidRPr="00AF2770" w:rsidRDefault="00D1549B" w:rsidP="00D1549B">
      <w:pPr>
        <w:autoSpaceDE w:val="0"/>
        <w:autoSpaceDN w:val="0"/>
        <w:adjustRightInd w:val="0"/>
        <w:ind w:firstLine="720"/>
        <w:outlineLvl w:val="0"/>
        <w:rPr>
          <w:color w:val="000000"/>
        </w:rPr>
      </w:pPr>
      <w:r w:rsidRPr="00AF2770">
        <w:rPr>
          <w:color w:val="000000"/>
        </w:rPr>
        <w:t>There is no request for exemption from displaying expiration date for OMB approval.</w:t>
      </w:r>
    </w:p>
    <w:p w:rsidR="00D1549B" w:rsidRPr="00EB4568" w:rsidRDefault="00D1549B" w:rsidP="00807E31">
      <w:pPr>
        <w:pStyle w:val="Heading2"/>
        <w:tabs>
          <w:tab w:val="clear" w:pos="1152"/>
          <w:tab w:val="left" w:pos="720"/>
        </w:tabs>
        <w:spacing w:after="0" w:line="480" w:lineRule="auto"/>
        <w:ind w:left="0" w:firstLine="0"/>
        <w:rPr>
          <w:color w:val="000000"/>
          <w:sz w:val="24"/>
          <w:szCs w:val="24"/>
        </w:rPr>
      </w:pPr>
      <w:bookmarkStart w:id="61" w:name="_Toc443881761"/>
      <w:bookmarkStart w:id="62" w:name="_Toc451592248"/>
      <w:bookmarkStart w:id="63" w:name="_Toc5610289"/>
      <w:bookmarkStart w:id="64" w:name="_Toc99178795"/>
    </w:p>
    <w:p w:rsidR="00807E31" w:rsidRDefault="00807E31" w:rsidP="00807E31">
      <w:pPr>
        <w:pStyle w:val="Heading2"/>
        <w:tabs>
          <w:tab w:val="clear" w:pos="1152"/>
          <w:tab w:val="left" w:pos="720"/>
        </w:tabs>
        <w:spacing w:after="0" w:line="480" w:lineRule="auto"/>
        <w:ind w:left="0" w:firstLine="0"/>
        <w:rPr>
          <w:color w:val="FF0000"/>
          <w:sz w:val="24"/>
          <w:szCs w:val="24"/>
        </w:rPr>
      </w:pPr>
      <w:r w:rsidRPr="00EB4568">
        <w:rPr>
          <w:color w:val="000000"/>
          <w:sz w:val="24"/>
          <w:szCs w:val="24"/>
        </w:rPr>
        <w:t>A.18</w:t>
      </w:r>
      <w:r w:rsidRPr="00EB4568">
        <w:rPr>
          <w:color w:val="000000"/>
          <w:sz w:val="24"/>
          <w:szCs w:val="24"/>
        </w:rPr>
        <w:tab/>
        <w:t>Exceptions to Certification for Paperwork Reduction Act Submissions</w:t>
      </w:r>
      <w:bookmarkEnd w:id="61"/>
      <w:bookmarkEnd w:id="62"/>
      <w:bookmarkEnd w:id="63"/>
      <w:bookmarkEnd w:id="64"/>
    </w:p>
    <w:p w:rsidR="00D1549B" w:rsidRPr="00AF2770" w:rsidRDefault="00D1549B" w:rsidP="00D1549B">
      <w:pPr>
        <w:autoSpaceDE w:val="0"/>
        <w:autoSpaceDN w:val="0"/>
        <w:adjustRightInd w:val="0"/>
        <w:spacing w:line="480" w:lineRule="auto"/>
        <w:ind w:firstLine="720"/>
        <w:outlineLvl w:val="0"/>
        <w:rPr>
          <w:color w:val="000000"/>
        </w:rPr>
      </w:pPr>
      <w:r w:rsidRPr="00AF2770">
        <w:rPr>
          <w:color w:val="000000"/>
        </w:rPr>
        <w:t>These data are collected in a manner consistent with the certification statement. No exceptions are requested.</w:t>
      </w:r>
    </w:p>
    <w:sectPr w:rsidR="00D1549B" w:rsidRPr="00AF2770" w:rsidSect="004F26E3">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657" w:rsidRDefault="000C2657">
      <w:r>
        <w:separator/>
      </w:r>
    </w:p>
  </w:endnote>
  <w:endnote w:type="continuationSeparator" w:id="0">
    <w:p w:rsidR="000C2657" w:rsidRDefault="000C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MathA">
    <w:altName w:val="Symbol"/>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8E" w:rsidRDefault="00B227E4" w:rsidP="004A70E1">
    <w:pPr>
      <w:pStyle w:val="Footer"/>
      <w:framePr w:wrap="around" w:vAnchor="text" w:hAnchor="margin" w:xAlign="center" w:y="1"/>
      <w:rPr>
        <w:rStyle w:val="PageNumber"/>
      </w:rPr>
    </w:pPr>
    <w:r>
      <w:rPr>
        <w:rStyle w:val="PageNumber"/>
      </w:rPr>
      <w:fldChar w:fldCharType="begin"/>
    </w:r>
    <w:r w:rsidR="00106D8E">
      <w:rPr>
        <w:rStyle w:val="PageNumber"/>
      </w:rPr>
      <w:instrText xml:space="preserve">PAGE  </w:instrText>
    </w:r>
    <w:r>
      <w:rPr>
        <w:rStyle w:val="PageNumber"/>
      </w:rPr>
      <w:fldChar w:fldCharType="end"/>
    </w:r>
  </w:p>
  <w:p w:rsidR="00106D8E" w:rsidRDefault="00106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8E" w:rsidRDefault="00B227E4" w:rsidP="004A70E1">
    <w:pPr>
      <w:pStyle w:val="Footer"/>
      <w:framePr w:wrap="around" w:vAnchor="text" w:hAnchor="margin" w:xAlign="center" w:y="1"/>
      <w:rPr>
        <w:rStyle w:val="PageNumber"/>
      </w:rPr>
    </w:pPr>
    <w:r>
      <w:rPr>
        <w:rStyle w:val="PageNumber"/>
      </w:rPr>
      <w:fldChar w:fldCharType="begin"/>
    </w:r>
    <w:r w:rsidR="00106D8E">
      <w:rPr>
        <w:rStyle w:val="PageNumber"/>
      </w:rPr>
      <w:instrText xml:space="preserve">PAGE  </w:instrText>
    </w:r>
    <w:r>
      <w:rPr>
        <w:rStyle w:val="PageNumber"/>
      </w:rPr>
      <w:fldChar w:fldCharType="separate"/>
    </w:r>
    <w:r w:rsidR="004C56CA">
      <w:rPr>
        <w:rStyle w:val="PageNumber"/>
        <w:noProof/>
      </w:rPr>
      <w:t>1</w:t>
    </w:r>
    <w:r>
      <w:rPr>
        <w:rStyle w:val="PageNumber"/>
      </w:rPr>
      <w:fldChar w:fldCharType="end"/>
    </w:r>
  </w:p>
  <w:p w:rsidR="00106D8E" w:rsidRDefault="00106D8E"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657" w:rsidRDefault="000C2657">
      <w:r>
        <w:separator/>
      </w:r>
    </w:p>
  </w:footnote>
  <w:footnote w:type="continuationSeparator" w:id="0">
    <w:p w:rsidR="000C2657" w:rsidRDefault="000C2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D7BA5"/>
    <w:multiLevelType w:val="hybridMultilevel"/>
    <w:tmpl w:val="E4485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9045C"/>
    <w:multiLevelType w:val="hybridMultilevel"/>
    <w:tmpl w:val="406E2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
    <w:nsid w:val="661A5102"/>
    <w:multiLevelType w:val="hybridMultilevel"/>
    <w:tmpl w:val="499E875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7EE75AC"/>
    <w:multiLevelType w:val="hybridMultilevel"/>
    <w:tmpl w:val="A4166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902FE"/>
    <w:multiLevelType w:val="hybridMultilevel"/>
    <w:tmpl w:val="A66E7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1D2F60"/>
    <w:multiLevelType w:val="hybridMultilevel"/>
    <w:tmpl w:val="21840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310E"/>
    <w:rsid w:val="00010B90"/>
    <w:rsid w:val="00011127"/>
    <w:rsid w:val="000378A2"/>
    <w:rsid w:val="00041715"/>
    <w:rsid w:val="0005035B"/>
    <w:rsid w:val="00053D8D"/>
    <w:rsid w:val="00067402"/>
    <w:rsid w:val="0007152E"/>
    <w:rsid w:val="00071629"/>
    <w:rsid w:val="00072B1C"/>
    <w:rsid w:val="000866BD"/>
    <w:rsid w:val="000A51A5"/>
    <w:rsid w:val="000C2657"/>
    <w:rsid w:val="000F4DD5"/>
    <w:rsid w:val="000F502D"/>
    <w:rsid w:val="000F635B"/>
    <w:rsid w:val="001023FD"/>
    <w:rsid w:val="00106D8E"/>
    <w:rsid w:val="00107FC3"/>
    <w:rsid w:val="00120E49"/>
    <w:rsid w:val="0013784F"/>
    <w:rsid w:val="0014129E"/>
    <w:rsid w:val="001422CB"/>
    <w:rsid w:val="00151EB4"/>
    <w:rsid w:val="0016182C"/>
    <w:rsid w:val="001920DD"/>
    <w:rsid w:val="00195984"/>
    <w:rsid w:val="001A45BC"/>
    <w:rsid w:val="001B051F"/>
    <w:rsid w:val="001B7EFC"/>
    <w:rsid w:val="001C142B"/>
    <w:rsid w:val="001E2C04"/>
    <w:rsid w:val="001F010B"/>
    <w:rsid w:val="00206031"/>
    <w:rsid w:val="00215843"/>
    <w:rsid w:val="00221FA9"/>
    <w:rsid w:val="00233626"/>
    <w:rsid w:val="00236D5A"/>
    <w:rsid w:val="0024029C"/>
    <w:rsid w:val="00253C78"/>
    <w:rsid w:val="0026021E"/>
    <w:rsid w:val="00273E4A"/>
    <w:rsid w:val="00286995"/>
    <w:rsid w:val="00295F9A"/>
    <w:rsid w:val="002A5B21"/>
    <w:rsid w:val="002B6A73"/>
    <w:rsid w:val="002B705F"/>
    <w:rsid w:val="002D2CA0"/>
    <w:rsid w:val="002E1650"/>
    <w:rsid w:val="002F73B3"/>
    <w:rsid w:val="0031171E"/>
    <w:rsid w:val="003209BA"/>
    <w:rsid w:val="00326840"/>
    <w:rsid w:val="003353F4"/>
    <w:rsid w:val="00344534"/>
    <w:rsid w:val="00354148"/>
    <w:rsid w:val="00371EE3"/>
    <w:rsid w:val="00372580"/>
    <w:rsid w:val="00373F7A"/>
    <w:rsid w:val="00382576"/>
    <w:rsid w:val="0038462D"/>
    <w:rsid w:val="00393390"/>
    <w:rsid w:val="003A0BC4"/>
    <w:rsid w:val="003B3547"/>
    <w:rsid w:val="003E5D3E"/>
    <w:rsid w:val="00460BCD"/>
    <w:rsid w:val="00461BA9"/>
    <w:rsid w:val="00490C08"/>
    <w:rsid w:val="004A70E1"/>
    <w:rsid w:val="004A7CF7"/>
    <w:rsid w:val="004C16AD"/>
    <w:rsid w:val="004C56CA"/>
    <w:rsid w:val="004F26E3"/>
    <w:rsid w:val="004F4AB7"/>
    <w:rsid w:val="005139D1"/>
    <w:rsid w:val="00524EDB"/>
    <w:rsid w:val="00550727"/>
    <w:rsid w:val="00556069"/>
    <w:rsid w:val="00563174"/>
    <w:rsid w:val="005974BD"/>
    <w:rsid w:val="005B120A"/>
    <w:rsid w:val="005C3DC2"/>
    <w:rsid w:val="005D3103"/>
    <w:rsid w:val="005E35D6"/>
    <w:rsid w:val="005E7971"/>
    <w:rsid w:val="00602210"/>
    <w:rsid w:val="006077F0"/>
    <w:rsid w:val="00615326"/>
    <w:rsid w:val="00633C19"/>
    <w:rsid w:val="00666D9F"/>
    <w:rsid w:val="00680E77"/>
    <w:rsid w:val="006B4097"/>
    <w:rsid w:val="006C1F0C"/>
    <w:rsid w:val="006E557B"/>
    <w:rsid w:val="00741EE3"/>
    <w:rsid w:val="007608BC"/>
    <w:rsid w:val="007B3C1C"/>
    <w:rsid w:val="007C16BD"/>
    <w:rsid w:val="007D1163"/>
    <w:rsid w:val="007F5AE0"/>
    <w:rsid w:val="007F7277"/>
    <w:rsid w:val="00804AF4"/>
    <w:rsid w:val="00807E31"/>
    <w:rsid w:val="00812155"/>
    <w:rsid w:val="0081552F"/>
    <w:rsid w:val="0082379F"/>
    <w:rsid w:val="00835A43"/>
    <w:rsid w:val="008564A4"/>
    <w:rsid w:val="0085671F"/>
    <w:rsid w:val="00856E5B"/>
    <w:rsid w:val="00857DAC"/>
    <w:rsid w:val="008621B0"/>
    <w:rsid w:val="00873E09"/>
    <w:rsid w:val="008B33F7"/>
    <w:rsid w:val="008C310E"/>
    <w:rsid w:val="008F048F"/>
    <w:rsid w:val="008F7417"/>
    <w:rsid w:val="008F7B68"/>
    <w:rsid w:val="00910B0B"/>
    <w:rsid w:val="009228D6"/>
    <w:rsid w:val="0093431F"/>
    <w:rsid w:val="00944537"/>
    <w:rsid w:val="00946C63"/>
    <w:rsid w:val="00955FA6"/>
    <w:rsid w:val="00967AAE"/>
    <w:rsid w:val="009814EE"/>
    <w:rsid w:val="00985E30"/>
    <w:rsid w:val="009900F8"/>
    <w:rsid w:val="009965F7"/>
    <w:rsid w:val="009B01FB"/>
    <w:rsid w:val="009B2F7C"/>
    <w:rsid w:val="009C2538"/>
    <w:rsid w:val="009D3B65"/>
    <w:rsid w:val="009F1069"/>
    <w:rsid w:val="009F1D4B"/>
    <w:rsid w:val="00A00D53"/>
    <w:rsid w:val="00A02432"/>
    <w:rsid w:val="00A10AC6"/>
    <w:rsid w:val="00A14932"/>
    <w:rsid w:val="00A44E7A"/>
    <w:rsid w:val="00A71760"/>
    <w:rsid w:val="00A7744B"/>
    <w:rsid w:val="00AA0A3B"/>
    <w:rsid w:val="00AC2F0B"/>
    <w:rsid w:val="00AC5F21"/>
    <w:rsid w:val="00AD5A25"/>
    <w:rsid w:val="00B06047"/>
    <w:rsid w:val="00B079F2"/>
    <w:rsid w:val="00B11DF2"/>
    <w:rsid w:val="00B17859"/>
    <w:rsid w:val="00B227E4"/>
    <w:rsid w:val="00B26648"/>
    <w:rsid w:val="00B33DF1"/>
    <w:rsid w:val="00B41EC6"/>
    <w:rsid w:val="00B511A2"/>
    <w:rsid w:val="00B56401"/>
    <w:rsid w:val="00B77D6E"/>
    <w:rsid w:val="00B84E4F"/>
    <w:rsid w:val="00BC4E67"/>
    <w:rsid w:val="00BD6179"/>
    <w:rsid w:val="00BD7B0C"/>
    <w:rsid w:val="00BE40F0"/>
    <w:rsid w:val="00BF4042"/>
    <w:rsid w:val="00BF4ED9"/>
    <w:rsid w:val="00C46E61"/>
    <w:rsid w:val="00C53D2A"/>
    <w:rsid w:val="00C64CBB"/>
    <w:rsid w:val="00C72A82"/>
    <w:rsid w:val="00C82B51"/>
    <w:rsid w:val="00C94EE3"/>
    <w:rsid w:val="00CA02BF"/>
    <w:rsid w:val="00CA5E71"/>
    <w:rsid w:val="00CB4E42"/>
    <w:rsid w:val="00CC1116"/>
    <w:rsid w:val="00CD51A6"/>
    <w:rsid w:val="00CD679B"/>
    <w:rsid w:val="00CF55FF"/>
    <w:rsid w:val="00D05880"/>
    <w:rsid w:val="00D1313C"/>
    <w:rsid w:val="00D1549B"/>
    <w:rsid w:val="00D23882"/>
    <w:rsid w:val="00D35576"/>
    <w:rsid w:val="00D5053E"/>
    <w:rsid w:val="00D53DAC"/>
    <w:rsid w:val="00D576BA"/>
    <w:rsid w:val="00D9554B"/>
    <w:rsid w:val="00DB0CBE"/>
    <w:rsid w:val="00DD4676"/>
    <w:rsid w:val="00DE67E8"/>
    <w:rsid w:val="00DF0C00"/>
    <w:rsid w:val="00E3568E"/>
    <w:rsid w:val="00E35DB6"/>
    <w:rsid w:val="00E36A07"/>
    <w:rsid w:val="00E747FB"/>
    <w:rsid w:val="00E96BF6"/>
    <w:rsid w:val="00EB4568"/>
    <w:rsid w:val="00ED5EF0"/>
    <w:rsid w:val="00EE54D4"/>
    <w:rsid w:val="00EF5CAC"/>
    <w:rsid w:val="00F23A50"/>
    <w:rsid w:val="00F25DED"/>
    <w:rsid w:val="00F460A8"/>
    <w:rsid w:val="00F62334"/>
    <w:rsid w:val="00F675F0"/>
    <w:rsid w:val="00FD11FD"/>
    <w:rsid w:val="00FF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6E3"/>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CommentReference">
    <w:name w:val="annotation reference"/>
    <w:rsid w:val="00BE40F0"/>
    <w:rPr>
      <w:sz w:val="16"/>
      <w:szCs w:val="16"/>
    </w:rPr>
  </w:style>
  <w:style w:type="paragraph" w:styleId="CommentText">
    <w:name w:val="annotation text"/>
    <w:basedOn w:val="Normal"/>
    <w:link w:val="CommentTextChar"/>
    <w:rsid w:val="00BE40F0"/>
    <w:rPr>
      <w:sz w:val="20"/>
      <w:szCs w:val="20"/>
    </w:rPr>
  </w:style>
  <w:style w:type="character" w:customStyle="1" w:styleId="CommentTextChar">
    <w:name w:val="Comment Text Char"/>
    <w:basedOn w:val="DefaultParagraphFont"/>
    <w:link w:val="CommentText"/>
    <w:rsid w:val="00BE40F0"/>
  </w:style>
  <w:style w:type="paragraph" w:styleId="CommentSubject">
    <w:name w:val="annotation subject"/>
    <w:basedOn w:val="CommentText"/>
    <w:next w:val="CommentText"/>
    <w:link w:val="CommentSubjectChar"/>
    <w:rsid w:val="00BE40F0"/>
    <w:rPr>
      <w:b/>
      <w:bCs/>
    </w:rPr>
  </w:style>
  <w:style w:type="character" w:customStyle="1" w:styleId="CommentSubjectChar">
    <w:name w:val="Comment Subject Char"/>
    <w:link w:val="CommentSubject"/>
    <w:rsid w:val="00BE40F0"/>
    <w:rPr>
      <w:b/>
      <w:bCs/>
    </w:rPr>
  </w:style>
  <w:style w:type="paragraph" w:styleId="BalloonText">
    <w:name w:val="Balloon Text"/>
    <w:basedOn w:val="Normal"/>
    <w:link w:val="BalloonTextChar"/>
    <w:rsid w:val="00BE40F0"/>
    <w:rPr>
      <w:rFonts w:ascii="Tahoma" w:hAnsi="Tahoma" w:cs="Tahoma"/>
      <w:sz w:val="16"/>
      <w:szCs w:val="16"/>
    </w:rPr>
  </w:style>
  <w:style w:type="character" w:customStyle="1" w:styleId="BalloonTextChar">
    <w:name w:val="Balloon Text Char"/>
    <w:link w:val="BalloonText"/>
    <w:rsid w:val="00BE40F0"/>
    <w:rPr>
      <w:rFonts w:ascii="Tahoma" w:hAnsi="Tahoma" w:cs="Tahoma"/>
      <w:sz w:val="16"/>
      <w:szCs w:val="16"/>
    </w:rPr>
  </w:style>
  <w:style w:type="paragraph" w:styleId="FootnoteText">
    <w:name w:val="footnote text"/>
    <w:aliases w:val="F1"/>
    <w:link w:val="FootnoteTextChar"/>
    <w:rsid w:val="0082379F"/>
    <w:pPr>
      <w:tabs>
        <w:tab w:val="left" w:pos="120"/>
      </w:tabs>
      <w:spacing w:before="120" w:line="200" w:lineRule="atLeast"/>
      <w:ind w:left="115" w:hanging="115"/>
      <w:jc w:val="both"/>
    </w:pPr>
    <w:rPr>
      <w:sz w:val="16"/>
    </w:rPr>
  </w:style>
  <w:style w:type="character" w:customStyle="1" w:styleId="FootnoteTextChar">
    <w:name w:val="Footnote Text Char"/>
    <w:aliases w:val="F1 Char"/>
    <w:link w:val="FootnoteText"/>
    <w:rsid w:val="0082379F"/>
    <w:rPr>
      <w:sz w:val="16"/>
    </w:rPr>
  </w:style>
  <w:style w:type="character" w:styleId="FootnoteReference">
    <w:name w:val="footnote reference"/>
    <w:rsid w:val="0082379F"/>
    <w:rPr>
      <w:vertAlign w:val="superscript"/>
    </w:rPr>
  </w:style>
  <w:style w:type="paragraph" w:styleId="Revision">
    <w:name w:val="Revision"/>
    <w:hidden/>
    <w:uiPriority w:val="99"/>
    <w:semiHidden/>
    <w:rsid w:val="00B77D6E"/>
    <w:rPr>
      <w:sz w:val="24"/>
      <w:szCs w:val="24"/>
    </w:rPr>
  </w:style>
  <w:style w:type="character" w:styleId="FollowedHyperlink">
    <w:name w:val="FollowedHyperlink"/>
    <w:basedOn w:val="DefaultParagraphFont"/>
    <w:rsid w:val="00F25D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CommentReference">
    <w:name w:val="annotation reference"/>
    <w:rsid w:val="00BE40F0"/>
    <w:rPr>
      <w:sz w:val="16"/>
      <w:szCs w:val="16"/>
    </w:rPr>
  </w:style>
  <w:style w:type="paragraph" w:styleId="CommentText">
    <w:name w:val="annotation text"/>
    <w:basedOn w:val="Normal"/>
    <w:link w:val="CommentTextChar"/>
    <w:rsid w:val="00BE40F0"/>
    <w:rPr>
      <w:sz w:val="20"/>
      <w:szCs w:val="20"/>
    </w:rPr>
  </w:style>
  <w:style w:type="character" w:customStyle="1" w:styleId="CommentTextChar">
    <w:name w:val="Comment Text Char"/>
    <w:basedOn w:val="DefaultParagraphFont"/>
    <w:link w:val="CommentText"/>
    <w:rsid w:val="00BE40F0"/>
  </w:style>
  <w:style w:type="paragraph" w:styleId="CommentSubject">
    <w:name w:val="annotation subject"/>
    <w:basedOn w:val="CommentText"/>
    <w:next w:val="CommentText"/>
    <w:link w:val="CommentSubjectChar"/>
    <w:rsid w:val="00BE40F0"/>
    <w:rPr>
      <w:b/>
      <w:bCs/>
    </w:rPr>
  </w:style>
  <w:style w:type="character" w:customStyle="1" w:styleId="CommentSubjectChar">
    <w:name w:val="Comment Subject Char"/>
    <w:link w:val="CommentSubject"/>
    <w:rsid w:val="00BE40F0"/>
    <w:rPr>
      <w:b/>
      <w:bCs/>
    </w:rPr>
  </w:style>
  <w:style w:type="paragraph" w:styleId="BalloonText">
    <w:name w:val="Balloon Text"/>
    <w:basedOn w:val="Normal"/>
    <w:link w:val="BalloonTextChar"/>
    <w:rsid w:val="00BE40F0"/>
    <w:rPr>
      <w:rFonts w:ascii="Tahoma" w:hAnsi="Tahoma" w:cs="Tahoma"/>
      <w:sz w:val="16"/>
      <w:szCs w:val="16"/>
    </w:rPr>
  </w:style>
  <w:style w:type="character" w:customStyle="1" w:styleId="BalloonTextChar">
    <w:name w:val="Balloon Text Char"/>
    <w:link w:val="BalloonText"/>
    <w:rsid w:val="00BE40F0"/>
    <w:rPr>
      <w:rFonts w:ascii="Tahoma" w:hAnsi="Tahoma" w:cs="Tahoma"/>
      <w:sz w:val="16"/>
      <w:szCs w:val="16"/>
    </w:rPr>
  </w:style>
  <w:style w:type="paragraph" w:styleId="FootnoteText">
    <w:name w:val="footnote text"/>
    <w:aliases w:val="F1"/>
    <w:link w:val="FootnoteTextChar"/>
    <w:rsid w:val="0082379F"/>
    <w:pPr>
      <w:tabs>
        <w:tab w:val="left" w:pos="120"/>
      </w:tabs>
      <w:spacing w:before="120" w:line="200" w:lineRule="atLeast"/>
      <w:ind w:left="115" w:hanging="115"/>
      <w:jc w:val="both"/>
    </w:pPr>
    <w:rPr>
      <w:sz w:val="16"/>
    </w:rPr>
  </w:style>
  <w:style w:type="character" w:customStyle="1" w:styleId="FootnoteTextChar">
    <w:name w:val="Footnote Text Char"/>
    <w:aliases w:val="F1 Char"/>
    <w:link w:val="FootnoteText"/>
    <w:rsid w:val="0082379F"/>
    <w:rPr>
      <w:sz w:val="16"/>
    </w:rPr>
  </w:style>
  <w:style w:type="character" w:styleId="FootnoteReference">
    <w:name w:val="footnote reference"/>
    <w:rsid w:val="0082379F"/>
    <w:rPr>
      <w:vertAlign w:val="superscript"/>
    </w:rPr>
  </w:style>
  <w:style w:type="paragraph" w:styleId="Revision">
    <w:name w:val="Revision"/>
    <w:hidden/>
    <w:uiPriority w:val="99"/>
    <w:semiHidden/>
    <w:rsid w:val="00B77D6E"/>
    <w:rPr>
      <w:sz w:val="24"/>
      <w:szCs w:val="24"/>
    </w:rPr>
  </w:style>
  <w:style w:type="character" w:styleId="FollowedHyperlink">
    <w:name w:val="FollowedHyperlink"/>
    <w:basedOn w:val="DefaultParagraphFont"/>
    <w:rsid w:val="00F25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yrJ@imsweb.com" TargetMode="External"/><Relationship Id="rId4" Type="http://schemas.microsoft.com/office/2007/relationships/stylesWithEffects" Target="stylesWithEffects.xml"/><Relationship Id="rId9" Type="http://schemas.openxmlformats.org/officeDocument/2006/relationships/hyperlink" Target="http://epi.grants.cancer.gov/cg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1E32C-8018-45FB-8D95-3A70D0DC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NCI</Company>
  <LinksUpToDate>false</LinksUpToDate>
  <CharactersWithSpaces>18426</CharactersWithSpaces>
  <SharedDoc>false</SharedDoc>
  <HLinks>
    <vt:vector size="12" baseType="variant">
      <vt:variant>
        <vt:i4>852083</vt:i4>
      </vt:variant>
      <vt:variant>
        <vt:i4>6</vt:i4>
      </vt:variant>
      <vt:variant>
        <vt:i4>0</vt:i4>
      </vt:variant>
      <vt:variant>
        <vt:i4>5</vt:i4>
      </vt:variant>
      <vt:variant>
        <vt:lpwstr>http://www.bls.gov/oes/current/oes_nat.htm</vt:lpwstr>
      </vt:variant>
      <vt:variant>
        <vt:lpwstr>19-0000</vt:lpwstr>
      </vt:variant>
      <vt:variant>
        <vt:i4>3342391</vt:i4>
      </vt:variant>
      <vt:variant>
        <vt:i4>3</vt:i4>
      </vt:variant>
      <vt:variant>
        <vt:i4>0</vt:i4>
      </vt:variant>
      <vt:variant>
        <vt:i4>5</vt:i4>
      </vt:variant>
      <vt:variant>
        <vt:lpwstr>http://epi.grants.cancer.gov/cgen/)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Abdelmouti, Tawanda (NIH/NCI) </cp:lastModifiedBy>
  <cp:revision>2</cp:revision>
  <dcterms:created xsi:type="dcterms:W3CDTF">2015-09-16T20:05:00Z</dcterms:created>
  <dcterms:modified xsi:type="dcterms:W3CDTF">2015-09-16T20:05:00Z</dcterms:modified>
</cp:coreProperties>
</file>