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516" w:rsidRDefault="00FF6516" w:rsidP="00485D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Attachment C:</w:t>
      </w:r>
    </w:p>
    <w:p w:rsidR="00FF6516" w:rsidRDefault="00FF6516" w:rsidP="00485D6F">
      <w:pPr>
        <w:jc w:val="center"/>
        <w:rPr>
          <w:b/>
          <w:sz w:val="24"/>
          <w:szCs w:val="24"/>
        </w:rPr>
      </w:pPr>
    </w:p>
    <w:p w:rsidR="00485D6F" w:rsidRPr="009B0C4D" w:rsidRDefault="00485D6F" w:rsidP="00485D6F">
      <w:pPr>
        <w:jc w:val="center"/>
        <w:rPr>
          <w:b/>
          <w:sz w:val="24"/>
          <w:szCs w:val="24"/>
        </w:rPr>
      </w:pPr>
      <w:r w:rsidRPr="00FF6516">
        <w:rPr>
          <w:b/>
          <w:sz w:val="24"/>
          <w:szCs w:val="24"/>
        </w:rPr>
        <w:t>NIOSH Strategic Goals</w:t>
      </w:r>
      <w:r w:rsidR="00FF6516">
        <w:rPr>
          <w:b/>
          <w:sz w:val="24"/>
          <w:szCs w:val="24"/>
        </w:rPr>
        <w:t xml:space="preserve"> Met by Current Project</w:t>
      </w:r>
    </w:p>
    <w:p w:rsidR="00485D6F" w:rsidRPr="009B0C4D" w:rsidRDefault="00485D6F" w:rsidP="00485D6F">
      <w:pPr>
        <w:jc w:val="center"/>
        <w:rPr>
          <w:b/>
          <w:sz w:val="24"/>
          <w:szCs w:val="24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D61907" w:rsidRDefault="00D61907" w:rsidP="00485D6F">
      <w:pPr>
        <w:rPr>
          <w:b/>
          <w:bCs/>
          <w:sz w:val="24"/>
          <w:szCs w:val="24"/>
          <w:u w:val="single"/>
        </w:rPr>
      </w:pPr>
    </w:p>
    <w:p w:rsidR="00485D6F" w:rsidRPr="00FF6516" w:rsidRDefault="00D61907" w:rsidP="00485D6F">
      <w:pPr>
        <w:rPr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 xml:space="preserve">      </w:t>
      </w:r>
      <w:r w:rsidR="00485D6F" w:rsidRPr="00FF6516">
        <w:rPr>
          <w:b/>
          <w:bCs/>
          <w:sz w:val="24"/>
          <w:szCs w:val="24"/>
          <w:u w:val="single"/>
        </w:rPr>
        <w:t xml:space="preserve">Sector Programs Strategic, Intermediate, and Activity/Output Goal(s):  </w:t>
      </w:r>
    </w:p>
    <w:p w:rsidR="00485D6F" w:rsidRPr="009B0C4D" w:rsidRDefault="00485D6F" w:rsidP="00485D6F">
      <w:pPr>
        <w:rPr>
          <w:b/>
          <w:sz w:val="24"/>
          <w:szCs w:val="24"/>
        </w:rPr>
      </w:pPr>
    </w:p>
    <w:tbl>
      <w:tblPr>
        <w:tblW w:w="90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90"/>
        <w:gridCol w:w="5400"/>
      </w:tblGrid>
      <w:tr w:rsidR="00485D6F" w:rsidRPr="009B0C4D" w:rsidTr="00FF6516">
        <w:trPr>
          <w:trHeight w:val="720"/>
        </w:trPr>
        <w:tc>
          <w:tcPr>
            <w:tcW w:w="1800" w:type="dxa"/>
            <w:shd w:val="clear" w:color="auto" w:fill="3366FF"/>
            <w:vAlign w:val="center"/>
          </w:tcPr>
          <w:p w:rsidR="00485D6F" w:rsidRPr="00FF6516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FF6516">
              <w:rPr>
                <w:b/>
                <w:color w:val="FFFFFF"/>
                <w:sz w:val="24"/>
                <w:szCs w:val="24"/>
              </w:rPr>
              <w:t xml:space="preserve">Goal Type </w:t>
            </w:r>
          </w:p>
        </w:tc>
        <w:tc>
          <w:tcPr>
            <w:tcW w:w="1890" w:type="dxa"/>
            <w:shd w:val="clear" w:color="auto" w:fill="3366FF"/>
            <w:vAlign w:val="center"/>
          </w:tcPr>
          <w:p w:rsidR="00485D6F" w:rsidRPr="00FF6516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FF6516">
              <w:rPr>
                <w:b/>
                <w:color w:val="FFFFFF"/>
                <w:sz w:val="24"/>
                <w:szCs w:val="24"/>
              </w:rPr>
              <w:t xml:space="preserve">Goal Number </w:t>
            </w:r>
          </w:p>
          <w:p w:rsidR="00FF6516" w:rsidRPr="00FF6516" w:rsidRDefault="00FF6516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3366FF"/>
            <w:vAlign w:val="center"/>
          </w:tcPr>
          <w:p w:rsidR="00485D6F" w:rsidRPr="00FF6516" w:rsidRDefault="00485D6F" w:rsidP="001A1EE5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FF6516">
              <w:rPr>
                <w:b/>
                <w:color w:val="FFFFFF"/>
                <w:sz w:val="24"/>
                <w:szCs w:val="24"/>
              </w:rPr>
              <w:t>Sector Program Goal Text</w:t>
            </w:r>
          </w:p>
        </w:tc>
      </w:tr>
      <w:tr w:rsidR="00485D6F" w:rsidRPr="009B0C4D" w:rsidTr="00FF6516">
        <w:trPr>
          <w:trHeight w:val="827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09PPWRTSG1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pStyle w:val="CM20"/>
              <w:spacing w:line="276" w:lineRule="atLeast"/>
              <w:ind w:right="695"/>
            </w:pPr>
            <w:r w:rsidRPr="009B0C4D">
              <w:rPr>
                <w:bCs/>
              </w:rPr>
              <w:t>Reduce chronic musculoskeletal disorders (MSDs) in wholesale and retail trade (WRT) workers.</w:t>
            </w:r>
          </w:p>
        </w:tc>
      </w:tr>
      <w:tr w:rsidR="00485D6F" w:rsidRPr="009B0C4D" w:rsidTr="00FF6516">
        <w:trPr>
          <w:trHeight w:val="720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Activity/Output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10PPWRTAOG1.2.4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pStyle w:val="CM20"/>
              <w:spacing w:line="276" w:lineRule="atLeast"/>
              <w:ind w:right="695"/>
            </w:pPr>
            <w:r w:rsidRPr="009B0C4D">
              <w:t>Conduct studies to assess the effectiveness of workplace interventions that are designed to reduce the physical stresses and risk of MSD injuries from manual materials handling.</w:t>
            </w:r>
          </w:p>
        </w:tc>
      </w:tr>
      <w:tr w:rsidR="00485D6F" w:rsidRPr="009B0C4D" w:rsidTr="00FF6516">
        <w:trPr>
          <w:trHeight w:val="720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Activity/Output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10PPWRTAOG1.3.5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Develop tools, surveys, or methods to assess the effectiveness of the MSD outreach campaigns to determine what makes an effective communication campaign</w:t>
            </w:r>
          </w:p>
        </w:tc>
      </w:tr>
    </w:tbl>
    <w:p w:rsidR="00485D6F" w:rsidRPr="009B0C4D" w:rsidRDefault="00485D6F" w:rsidP="00485D6F">
      <w:pPr>
        <w:rPr>
          <w:b/>
          <w:sz w:val="24"/>
          <w:szCs w:val="24"/>
        </w:rPr>
      </w:pPr>
    </w:p>
    <w:p w:rsidR="00485D6F" w:rsidRPr="009B0C4D" w:rsidRDefault="00485D6F" w:rsidP="00485D6F">
      <w:pPr>
        <w:rPr>
          <w:b/>
          <w:bCs/>
          <w:sz w:val="24"/>
          <w:szCs w:val="24"/>
          <w:u w:val="single"/>
        </w:rPr>
      </w:pPr>
    </w:p>
    <w:p w:rsidR="00485D6F" w:rsidRDefault="00485D6F" w:rsidP="00485D6F">
      <w:pPr>
        <w:rPr>
          <w:b/>
          <w:bCs/>
          <w:sz w:val="24"/>
          <w:szCs w:val="24"/>
          <w:u w:val="single"/>
        </w:rPr>
      </w:pPr>
    </w:p>
    <w:p w:rsidR="00FF6516" w:rsidRDefault="00FF6516">
      <w:pPr>
        <w:spacing w:after="200"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:rsidR="00485D6F" w:rsidRDefault="00485D6F" w:rsidP="00485D6F">
      <w:pPr>
        <w:rPr>
          <w:b/>
          <w:bCs/>
          <w:sz w:val="24"/>
          <w:szCs w:val="24"/>
          <w:u w:val="single"/>
        </w:rPr>
      </w:pPr>
      <w:r w:rsidRPr="009B0C4D">
        <w:rPr>
          <w:b/>
          <w:bCs/>
          <w:sz w:val="24"/>
          <w:szCs w:val="24"/>
          <w:u w:val="single"/>
        </w:rPr>
        <w:lastRenderedPageBreak/>
        <w:t>Cross-Sector Health Outcome Programs</w:t>
      </w:r>
    </w:p>
    <w:p w:rsidR="00485D6F" w:rsidRPr="009B0C4D" w:rsidRDefault="00485D6F" w:rsidP="00485D6F">
      <w:pPr>
        <w:rPr>
          <w:b/>
          <w:sz w:val="24"/>
          <w:szCs w:val="24"/>
        </w:rPr>
      </w:pPr>
    </w:p>
    <w:tbl>
      <w:tblPr>
        <w:tblW w:w="90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160"/>
        <w:gridCol w:w="5310"/>
      </w:tblGrid>
      <w:tr w:rsidR="00485D6F" w:rsidRPr="009B0C4D" w:rsidTr="00FF6516">
        <w:trPr>
          <w:trHeight w:val="720"/>
        </w:trPr>
        <w:tc>
          <w:tcPr>
            <w:tcW w:w="1620" w:type="dxa"/>
            <w:shd w:val="clear" w:color="auto" w:fill="3366FF"/>
            <w:vAlign w:val="center"/>
          </w:tcPr>
          <w:p w:rsidR="00485D6F" w:rsidRPr="009B0C4D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 xml:space="preserve">Goal Type </w:t>
            </w:r>
          </w:p>
        </w:tc>
        <w:tc>
          <w:tcPr>
            <w:tcW w:w="2160" w:type="dxa"/>
            <w:shd w:val="clear" w:color="auto" w:fill="3366FF"/>
            <w:vAlign w:val="center"/>
          </w:tcPr>
          <w:p w:rsidR="00485D6F" w:rsidRPr="009B0C4D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 xml:space="preserve">Goal Number </w:t>
            </w:r>
          </w:p>
        </w:tc>
        <w:tc>
          <w:tcPr>
            <w:tcW w:w="5310" w:type="dxa"/>
            <w:shd w:val="clear" w:color="auto" w:fill="3366FF"/>
            <w:vAlign w:val="center"/>
          </w:tcPr>
          <w:p w:rsidR="00485D6F" w:rsidRPr="009B0C4D" w:rsidRDefault="00485D6F" w:rsidP="001A1EE5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>Cross-Sector Health Outcome Program Goal Text</w:t>
            </w:r>
          </w:p>
        </w:tc>
      </w:tr>
      <w:tr w:rsidR="00485D6F" w:rsidRPr="009B0C4D" w:rsidTr="00FF6516">
        <w:trPr>
          <w:trHeight w:val="1178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11PPMSDSG3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>Reduce the incidence of work-related MSDs by implementing practical and effective workplace interventions to reduce MSD risk factors.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7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11PPMSDIG3.1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Safety professionals in public and private industry implement practical and effective workplace interventions for the prevention or mitigation of MSDs on the basis on the best available scientific evidence.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7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11PPMSDIG3.2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 xml:space="preserve">Safety professionals, leaders of labor and trade organizations, and leaders in public and private industry advocate comprehensive approaches to safety that address the multi-factorial nature of the development and mitigation of work-related MSDs.  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548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11PPMSDIG3.3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>Business leaders in public and private industries have access to cost-benefit data regarding the implementation and maintenance of safety programs for the prevention and mitigation of MSDs.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548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>09PPMSDSG5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9B0C4D">
              <w:rPr>
                <w:bCs/>
                <w:iCs/>
                <w:sz w:val="24"/>
                <w:szCs w:val="24"/>
              </w:rPr>
              <w:t>Reduce the incidence of work-related MSDs on the basis of actionable knowledge of the prevalence, incidence, and severity of work-related MSDs.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548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>11PPMSDIG5.1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9B0C4D">
              <w:rPr>
                <w:iCs/>
                <w:sz w:val="24"/>
                <w:szCs w:val="24"/>
              </w:rPr>
              <w:t>Health and safety workers in government, public and private businesses, trade and labor organizations, and academia use clear case definitions as foundations for ongoing surveillance of work-related MSDs.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6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11PPMSDIG5.2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Safety professionals in public and private industry and health and safety workers in government and academia use proven and practical survey tools or methods for ongoing surveillance of work-related MSDs.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6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11PPMSDIG5.3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 xml:space="preserve">Government, public and private businesses, trade and labor organizations, and academia have access to up-to-data surveillance data on the incidence and prevalence of work-related MSDs at local, state, and </w:t>
            </w:r>
            <w:r w:rsidRPr="009B0C4D">
              <w:rPr>
                <w:sz w:val="24"/>
                <w:szCs w:val="24"/>
              </w:rPr>
              <w:lastRenderedPageBreak/>
              <w:t>national levels and across specific industry sectors and occupations.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6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lastRenderedPageBreak/>
              <w:t>Strategic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09PPTRISG1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 xml:space="preserve">Reduce Fall Injuries in the Workplace. </w:t>
            </w:r>
          </w:p>
        </w:tc>
      </w:tr>
      <w:tr w:rsidR="00485D6F" w:rsidRPr="009B0C4D" w:rsidTr="00FF6516">
        <w:trPr>
          <w:trHeight w:val="1547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10PPTRIIG1c.1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Engineers, WRT trade associations, and employers in the WRT industry will implement effective, evidence-based fall prevention and protection designs, technologies, programs, and communication materials for the handling, storage and retrieval of merchandise.</w:t>
            </w:r>
          </w:p>
        </w:tc>
      </w:tr>
    </w:tbl>
    <w:p w:rsidR="00485D6F" w:rsidRPr="009B0C4D" w:rsidRDefault="00485D6F" w:rsidP="00485D6F">
      <w:pPr>
        <w:rPr>
          <w:b/>
          <w:sz w:val="24"/>
          <w:szCs w:val="24"/>
        </w:rPr>
      </w:pPr>
    </w:p>
    <w:p w:rsidR="00485D6F" w:rsidRPr="00FF6516" w:rsidRDefault="00485D6F" w:rsidP="00485D6F">
      <w:pPr>
        <w:rPr>
          <w:bCs/>
          <w:sz w:val="24"/>
          <w:szCs w:val="24"/>
          <w:u w:val="single"/>
        </w:rPr>
      </w:pPr>
      <w:r w:rsidRPr="00FF6516">
        <w:rPr>
          <w:b/>
          <w:bCs/>
          <w:sz w:val="24"/>
          <w:szCs w:val="24"/>
          <w:u w:val="single"/>
        </w:rPr>
        <w:t>Other Cross-Sector Programs Strategic, Intermediate, and Activity/Output Goal</w:t>
      </w:r>
      <w:r w:rsidR="00FF6516" w:rsidRPr="00FF6516">
        <w:rPr>
          <w:b/>
          <w:bCs/>
          <w:sz w:val="24"/>
          <w:szCs w:val="24"/>
          <w:u w:val="single"/>
        </w:rPr>
        <w:t>s</w:t>
      </w:r>
      <w:r w:rsidRPr="00FF6516">
        <w:rPr>
          <w:b/>
          <w:bCs/>
          <w:sz w:val="24"/>
          <w:szCs w:val="24"/>
          <w:u w:val="single"/>
        </w:rPr>
        <w:t>:</w:t>
      </w:r>
    </w:p>
    <w:p w:rsidR="00485D6F" w:rsidRPr="009B0C4D" w:rsidRDefault="00485D6F" w:rsidP="00485D6F">
      <w:pPr>
        <w:rPr>
          <w:b/>
          <w:sz w:val="24"/>
          <w:szCs w:val="24"/>
        </w:rPr>
      </w:pPr>
    </w:p>
    <w:tbl>
      <w:tblPr>
        <w:tblW w:w="90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890"/>
        <w:gridCol w:w="5310"/>
      </w:tblGrid>
      <w:tr w:rsidR="00485D6F" w:rsidRPr="009B0C4D" w:rsidTr="00FF6516">
        <w:trPr>
          <w:trHeight w:val="720"/>
        </w:trPr>
        <w:tc>
          <w:tcPr>
            <w:tcW w:w="1890" w:type="dxa"/>
            <w:shd w:val="clear" w:color="auto" w:fill="3366FF"/>
            <w:vAlign w:val="center"/>
          </w:tcPr>
          <w:p w:rsidR="00485D6F" w:rsidRPr="009B0C4D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 xml:space="preserve">Goal Type </w:t>
            </w:r>
          </w:p>
        </w:tc>
        <w:tc>
          <w:tcPr>
            <w:tcW w:w="1890" w:type="dxa"/>
            <w:shd w:val="clear" w:color="auto" w:fill="3366FF"/>
            <w:vAlign w:val="center"/>
          </w:tcPr>
          <w:p w:rsidR="00485D6F" w:rsidRPr="009B0C4D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 xml:space="preserve">Goal Number </w:t>
            </w:r>
          </w:p>
        </w:tc>
        <w:tc>
          <w:tcPr>
            <w:tcW w:w="5310" w:type="dxa"/>
            <w:shd w:val="clear" w:color="auto" w:fill="3366FF"/>
            <w:vAlign w:val="center"/>
          </w:tcPr>
          <w:p w:rsidR="00485D6F" w:rsidRPr="009B0C4D" w:rsidRDefault="00485D6F" w:rsidP="001A1EE5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>Other Cross-Sector Program Goal Text</w:t>
            </w:r>
          </w:p>
        </w:tc>
      </w:tr>
      <w:tr w:rsidR="00485D6F" w:rsidRPr="009B0C4D" w:rsidTr="00FF6516">
        <w:trPr>
          <w:trHeight w:val="720"/>
        </w:trPr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09PPECNSG1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 xml:space="preserve">Increase the knowledge base on the value of preventing occupational illness and injury.  </w:t>
            </w:r>
          </w:p>
        </w:tc>
      </w:tr>
      <w:tr w:rsidR="00485D6F" w:rsidRPr="009B0C4D" w:rsidTr="00FF6516">
        <w:trPr>
          <w:trHeight w:val="720"/>
        </w:trPr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09PPECNIG1.1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Improve surveillance at the federal, state, and private level to describe the economic burden of occupational illness and injury, identify priorities for research and prevention, and evaluate trends over time.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720"/>
        </w:trPr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09PPECNSG2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Increase the knowledge base on how economic factors, management strategies, and demographic trends affect occupational health and safety.</w:t>
            </w:r>
          </w:p>
        </w:tc>
      </w:tr>
      <w:tr w:rsidR="00485D6F" w:rsidRPr="009B0C4D" w:rsidTr="00FF6516">
        <w:trPr>
          <w:trHeight w:val="720"/>
        </w:trPr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09PPECNIG2.2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Support economic research assessing the relationship of workforce demographics and their changes on the incidence and severity of occupational illness and injury</w:t>
            </w:r>
          </w:p>
        </w:tc>
      </w:tr>
    </w:tbl>
    <w:p w:rsidR="00485D6F" w:rsidRPr="009B0C4D" w:rsidRDefault="00485D6F" w:rsidP="00485D6F">
      <w:pPr>
        <w:rPr>
          <w:b/>
          <w:sz w:val="24"/>
          <w:szCs w:val="24"/>
        </w:rPr>
      </w:pPr>
    </w:p>
    <w:p w:rsidR="00485D6F" w:rsidRPr="009B0C4D" w:rsidRDefault="00485D6F" w:rsidP="00485D6F">
      <w:pPr>
        <w:rPr>
          <w:b/>
          <w:sz w:val="24"/>
          <w:szCs w:val="24"/>
        </w:rPr>
      </w:pPr>
      <w:bookmarkStart w:id="0" w:name="_GoBack"/>
      <w:bookmarkEnd w:id="0"/>
    </w:p>
    <w:sectPr w:rsidR="00485D6F" w:rsidRPr="009B0C4D" w:rsidSect="001F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6F"/>
    <w:rsid w:val="001F0923"/>
    <w:rsid w:val="00485D6F"/>
    <w:rsid w:val="0077664C"/>
    <w:rsid w:val="00D61907"/>
    <w:rsid w:val="00D83A77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13BF3C-8F47-41BA-9971-B4E43548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link w:val="List2Char"/>
    <w:rsid w:val="00485D6F"/>
    <w:pPr>
      <w:ind w:left="720" w:hanging="360"/>
    </w:pPr>
    <w:rPr>
      <w:sz w:val="24"/>
      <w:szCs w:val="24"/>
    </w:rPr>
  </w:style>
  <w:style w:type="character" w:customStyle="1" w:styleId="List2Char">
    <w:name w:val="List 2 Char"/>
    <w:basedOn w:val="DefaultParagraphFont"/>
    <w:link w:val="List2"/>
    <w:rsid w:val="00485D6F"/>
    <w:rPr>
      <w:rFonts w:ascii="Times New Roman" w:eastAsia="Times New Roman" w:hAnsi="Times New Roman" w:cs="Times New Roman"/>
      <w:sz w:val="24"/>
      <w:szCs w:val="24"/>
    </w:rPr>
  </w:style>
  <w:style w:type="paragraph" w:customStyle="1" w:styleId="CM20">
    <w:name w:val="CM20"/>
    <w:basedOn w:val="Normal"/>
    <w:next w:val="Normal"/>
    <w:rsid w:val="00485D6F"/>
    <w:pPr>
      <w:widowControl w:val="0"/>
      <w:autoSpaceDE w:val="0"/>
      <w:autoSpaceDN w:val="0"/>
      <w:adjustRightInd w:val="0"/>
      <w:spacing w:after="278"/>
    </w:pPr>
    <w:rPr>
      <w:rFonts w:eastAsia="MS Mincho"/>
      <w:sz w:val="24"/>
      <w:szCs w:val="24"/>
      <w:lang w:eastAsia="ja-JP"/>
    </w:rPr>
  </w:style>
  <w:style w:type="paragraph" w:customStyle="1" w:styleId="CM22">
    <w:name w:val="CM22"/>
    <w:basedOn w:val="Normal"/>
    <w:next w:val="Normal"/>
    <w:rsid w:val="00485D6F"/>
    <w:pPr>
      <w:widowControl w:val="0"/>
      <w:autoSpaceDE w:val="0"/>
      <w:autoSpaceDN w:val="0"/>
      <w:adjustRightInd w:val="0"/>
      <w:spacing w:after="398"/>
    </w:pPr>
    <w:rPr>
      <w:rFonts w:eastAsia="MS Mincho"/>
      <w:sz w:val="24"/>
      <w:szCs w:val="24"/>
      <w:lang w:eastAsia="ja-JP"/>
    </w:rPr>
  </w:style>
  <w:style w:type="paragraph" w:customStyle="1" w:styleId="CM23">
    <w:name w:val="CM23"/>
    <w:basedOn w:val="Normal"/>
    <w:next w:val="Normal"/>
    <w:rsid w:val="00485D6F"/>
    <w:pPr>
      <w:widowControl w:val="0"/>
      <w:autoSpaceDE w:val="0"/>
      <w:autoSpaceDN w:val="0"/>
      <w:adjustRightInd w:val="0"/>
      <w:spacing w:after="515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Foley, Tamekia (CDC/NIOSH/OD)</cp:lastModifiedBy>
  <cp:revision>3</cp:revision>
  <dcterms:created xsi:type="dcterms:W3CDTF">2015-09-02T14:55:00Z</dcterms:created>
  <dcterms:modified xsi:type="dcterms:W3CDTF">2015-09-02T15:08:00Z</dcterms:modified>
</cp:coreProperties>
</file>