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7795C7" w14:textId="77777777" w:rsidR="001D6F42" w:rsidRDefault="00931D82" w:rsidP="001D6F42">
      <w:pPr>
        <w:spacing w:after="0" w:line="240" w:lineRule="auto"/>
        <w:jc w:val="center"/>
        <w:rPr>
          <w:rFonts w:ascii="Times New Roman" w:eastAsia="Times New Roman" w:hAnsi="Times New Roman"/>
          <w:sz w:val="24"/>
          <w:szCs w:val="24"/>
        </w:rPr>
      </w:pPr>
      <w:r w:rsidRPr="00977AC6">
        <w:rPr>
          <w:rFonts w:ascii="Times New Roman" w:hAnsi="Times New Roman"/>
          <w:sz w:val="24"/>
          <w:szCs w:val="24"/>
        </w:rPr>
        <w:t xml:space="preserve">Guidance for Industry on </w:t>
      </w:r>
      <w:r w:rsidRPr="00A119B2">
        <w:rPr>
          <w:rFonts w:ascii="Times New Roman" w:eastAsia="Times New Roman" w:hAnsi="Times New Roman"/>
          <w:sz w:val="24"/>
          <w:szCs w:val="24"/>
        </w:rPr>
        <w:t>Drug Supply Chain Security Act Implementation:</w:t>
      </w:r>
    </w:p>
    <w:p w14:paraId="337795C8" w14:textId="77777777" w:rsidR="00931D82" w:rsidRDefault="00931D82" w:rsidP="001D6F42">
      <w:pPr>
        <w:spacing w:after="0" w:line="240" w:lineRule="auto"/>
        <w:jc w:val="center"/>
        <w:rPr>
          <w:rFonts w:ascii="Times New Roman" w:eastAsia="Times New Roman" w:hAnsi="Times New Roman"/>
          <w:sz w:val="24"/>
          <w:szCs w:val="24"/>
        </w:rPr>
      </w:pPr>
      <w:r w:rsidRPr="00A119B2">
        <w:rPr>
          <w:rFonts w:ascii="Times New Roman" w:eastAsia="Times New Roman" w:hAnsi="Times New Roman"/>
          <w:sz w:val="24"/>
          <w:szCs w:val="24"/>
        </w:rPr>
        <w:t>Identification of Suspect Product and Notification</w:t>
      </w:r>
    </w:p>
    <w:p w14:paraId="337795C9" w14:textId="77777777" w:rsidR="00931D82" w:rsidRPr="00F13661" w:rsidRDefault="001D6F42" w:rsidP="001D6F42">
      <w:pPr>
        <w:spacing w:after="0" w:line="240" w:lineRule="auto"/>
        <w:jc w:val="center"/>
        <w:rPr>
          <w:rFonts w:ascii="Times New Roman" w:hAnsi="Times New Roman"/>
          <w:sz w:val="24"/>
          <w:szCs w:val="24"/>
        </w:rPr>
      </w:pPr>
      <w:r>
        <w:rPr>
          <w:rFonts w:ascii="Times New Roman" w:hAnsi="Times New Roman"/>
          <w:sz w:val="24"/>
        </w:rPr>
        <w:t>0910-NEW</w:t>
      </w:r>
    </w:p>
    <w:p w14:paraId="337795CA" w14:textId="77777777" w:rsidR="00A259A6" w:rsidRDefault="00A259A6" w:rsidP="00A259A6">
      <w:pPr>
        <w:spacing w:after="0" w:line="480" w:lineRule="auto"/>
        <w:jc w:val="center"/>
        <w:rPr>
          <w:rFonts w:ascii="Times New Roman" w:hAnsi="Times New Roman"/>
          <w:sz w:val="24"/>
          <w:szCs w:val="24"/>
        </w:rPr>
      </w:pPr>
      <w:r>
        <w:rPr>
          <w:rFonts w:ascii="Times New Roman" w:hAnsi="Times New Roman"/>
          <w:sz w:val="24"/>
          <w:szCs w:val="24"/>
        </w:rPr>
        <w:t>Supporting Statement</w:t>
      </w:r>
    </w:p>
    <w:p w14:paraId="337795CB" w14:textId="1FCF208E" w:rsidR="00A259A6" w:rsidRDefault="00A259A6" w:rsidP="00A259A6">
      <w:pPr>
        <w:spacing w:after="0" w:line="480" w:lineRule="auto"/>
        <w:rPr>
          <w:rFonts w:ascii="Times New Roman" w:hAnsi="Times New Roman"/>
          <w:sz w:val="24"/>
          <w:szCs w:val="24"/>
        </w:rPr>
      </w:pPr>
      <w:r w:rsidRPr="00F77F76">
        <w:rPr>
          <w:rFonts w:ascii="Times New Roman" w:hAnsi="Times New Roman"/>
          <w:b/>
          <w:sz w:val="24"/>
          <w:szCs w:val="24"/>
        </w:rPr>
        <w:t>Terms of Clearance</w:t>
      </w:r>
      <w:r w:rsidR="00B572AF" w:rsidRPr="00F77F76">
        <w:rPr>
          <w:rFonts w:ascii="Times New Roman" w:hAnsi="Times New Roman"/>
          <w:b/>
          <w:sz w:val="24"/>
          <w:szCs w:val="24"/>
        </w:rPr>
        <w:t>:</w:t>
      </w:r>
      <w:r>
        <w:rPr>
          <w:rFonts w:ascii="Times New Roman" w:hAnsi="Times New Roman"/>
          <w:sz w:val="24"/>
          <w:szCs w:val="24"/>
        </w:rPr>
        <w:t xml:space="preserve">  None</w:t>
      </w:r>
      <w:r w:rsidR="00B572AF">
        <w:rPr>
          <w:rFonts w:ascii="Times New Roman" w:hAnsi="Times New Roman"/>
          <w:sz w:val="24"/>
          <w:szCs w:val="24"/>
        </w:rPr>
        <w:t>.</w:t>
      </w:r>
    </w:p>
    <w:p w14:paraId="337795CD" w14:textId="2A78CE39" w:rsidR="00A259A6" w:rsidRDefault="00A259A6" w:rsidP="00A259A6">
      <w:pPr>
        <w:spacing w:after="0" w:line="240" w:lineRule="auto"/>
        <w:rPr>
          <w:rFonts w:ascii="Times New Roman" w:hAnsi="Times New Roman"/>
          <w:sz w:val="24"/>
          <w:szCs w:val="24"/>
        </w:rPr>
      </w:pPr>
    </w:p>
    <w:p w14:paraId="337795CE" w14:textId="77777777" w:rsidR="00006A9F" w:rsidRDefault="00A259A6" w:rsidP="00A259A6">
      <w:pPr>
        <w:spacing w:after="0" w:line="480" w:lineRule="auto"/>
        <w:rPr>
          <w:rFonts w:ascii="Times New Roman" w:hAnsi="Times New Roman"/>
          <w:sz w:val="24"/>
          <w:szCs w:val="24"/>
        </w:rPr>
      </w:pPr>
      <w:r w:rsidRPr="004D4A52">
        <w:rPr>
          <w:rFonts w:ascii="Times New Roman" w:hAnsi="Times New Roman"/>
          <w:b/>
          <w:sz w:val="24"/>
          <w:szCs w:val="24"/>
        </w:rPr>
        <w:t>A.</w:t>
      </w:r>
      <w:r>
        <w:rPr>
          <w:rFonts w:ascii="Times New Roman" w:hAnsi="Times New Roman"/>
          <w:sz w:val="24"/>
          <w:szCs w:val="24"/>
        </w:rPr>
        <w:t xml:space="preserve">  </w:t>
      </w:r>
      <w:r w:rsidRPr="003454A2">
        <w:rPr>
          <w:rFonts w:ascii="Times New Roman" w:hAnsi="Times New Roman"/>
          <w:b/>
          <w:sz w:val="24"/>
          <w:szCs w:val="24"/>
        </w:rPr>
        <w:t xml:space="preserve">Justification </w:t>
      </w:r>
    </w:p>
    <w:p w14:paraId="337795CF" w14:textId="77777777" w:rsidR="00A259A6" w:rsidRPr="00006A9F" w:rsidRDefault="00A259A6" w:rsidP="00006A9F">
      <w:pPr>
        <w:spacing w:after="0" w:line="480" w:lineRule="auto"/>
        <w:rPr>
          <w:rFonts w:ascii="Times New Roman" w:hAnsi="Times New Roman"/>
          <w:sz w:val="24"/>
          <w:szCs w:val="24"/>
        </w:rPr>
      </w:pPr>
      <w:r w:rsidRPr="00006A9F">
        <w:rPr>
          <w:rFonts w:ascii="Times New Roman" w:hAnsi="Times New Roman"/>
          <w:sz w:val="24"/>
          <w:szCs w:val="24"/>
        </w:rPr>
        <w:t xml:space="preserve">1.    </w:t>
      </w:r>
      <w:r w:rsidRPr="00006A9F">
        <w:rPr>
          <w:rFonts w:ascii="Times New Roman" w:hAnsi="Times New Roman"/>
          <w:sz w:val="24"/>
          <w:szCs w:val="24"/>
          <w:u w:val="single"/>
        </w:rPr>
        <w:t>Circumstances Making the Collection of Information Necessary</w:t>
      </w:r>
    </w:p>
    <w:p w14:paraId="337795D0" w14:textId="17017901" w:rsidR="00A259A6" w:rsidRPr="00006A9F" w:rsidRDefault="00006A9F" w:rsidP="00365122">
      <w:pPr>
        <w:pStyle w:val="Default"/>
        <w:spacing w:line="480" w:lineRule="auto"/>
        <w:ind w:firstLine="720"/>
      </w:pPr>
      <w:r w:rsidRPr="00006A9F">
        <w:t>On November 27, 2013, the Drug Supply Chain Security Act (DSCSA) (Title II of Public Law 113-54) was signed into law.</w:t>
      </w:r>
      <w:r>
        <w:t xml:space="preserve"> </w:t>
      </w:r>
      <w:r w:rsidRPr="00006A9F">
        <w:t xml:space="preserve"> Section 203 of the DSCSA adds new section 582(h)(2) to the </w:t>
      </w:r>
      <w:r>
        <w:t>Federal Food, Drug, and Cosmetic Act (</w:t>
      </w:r>
      <w:r w:rsidR="00B572AF">
        <w:t xml:space="preserve">the </w:t>
      </w:r>
      <w:r w:rsidRPr="00006A9F">
        <w:t>FD&amp;C Act</w:t>
      </w:r>
      <w:r>
        <w:t>), which requires FDA to</w:t>
      </w:r>
      <w:r w:rsidRPr="00006A9F">
        <w:t xml:space="preserve"> issue guidance to aid trading partners in identifying a suspe</w:t>
      </w:r>
      <w:r>
        <w:t xml:space="preserve">ct product and terminating a </w:t>
      </w:r>
      <w:r w:rsidRPr="00006A9F">
        <w:t xml:space="preserve">notification regarding </w:t>
      </w:r>
      <w:r w:rsidR="002A1508">
        <w:t xml:space="preserve">an </w:t>
      </w:r>
      <w:r w:rsidRPr="00006A9F">
        <w:t>illegitimate product</w:t>
      </w:r>
      <w:r w:rsidR="003058BF">
        <w:t xml:space="preserve"> and,</w:t>
      </w:r>
      <w:r w:rsidR="002A1508">
        <w:t xml:space="preserve"> for a manufacturer</w:t>
      </w:r>
      <w:r w:rsidR="003058BF">
        <w:t>,</w:t>
      </w:r>
      <w:r w:rsidR="002A1508">
        <w:t xml:space="preserve"> a product with a high risk of illegitimacy</w:t>
      </w:r>
      <w:r w:rsidRPr="00006A9F">
        <w:t xml:space="preserve">. </w:t>
      </w:r>
      <w:r>
        <w:t xml:space="preserve"> “</w:t>
      </w:r>
      <w:r w:rsidRPr="00006A9F">
        <w:rPr>
          <w:iCs/>
        </w:rPr>
        <w:t>Suspect product</w:t>
      </w:r>
      <w:r>
        <w:rPr>
          <w:iCs/>
        </w:rPr>
        <w:t>”</w:t>
      </w:r>
      <w:r w:rsidRPr="00006A9F">
        <w:rPr>
          <w:i/>
          <w:iCs/>
        </w:rPr>
        <w:t xml:space="preserve"> </w:t>
      </w:r>
      <w:r w:rsidRPr="00006A9F">
        <w:t>is defin</w:t>
      </w:r>
      <w:r w:rsidR="00881B3F">
        <w:t xml:space="preserve">ed in section 581(21) of the </w:t>
      </w:r>
      <w:r w:rsidRPr="00006A9F">
        <w:t>FD&amp;C Act as a product for which there is reason to believe it</w:t>
      </w:r>
      <w:r w:rsidR="00B572AF">
        <w:t>:</w:t>
      </w:r>
      <w:r w:rsidRPr="00006A9F">
        <w:t xml:space="preserve"> (A)</w:t>
      </w:r>
      <w:r w:rsidR="00881B3F">
        <w:t xml:space="preserve"> is potentially counterfeit, </w:t>
      </w:r>
      <w:r w:rsidRPr="00006A9F">
        <w:t xml:space="preserve">diverted, or stolen; (B) is potentially intentionally adulterated such </w:t>
      </w:r>
      <w:r w:rsidR="00881B3F">
        <w:t xml:space="preserve">that the product would result </w:t>
      </w:r>
      <w:r w:rsidRPr="00006A9F">
        <w:t xml:space="preserve">in serious adverse health consequences or death to humans; (C) is </w:t>
      </w:r>
      <w:r w:rsidR="00881B3F">
        <w:t xml:space="preserve">potentially the subject of a </w:t>
      </w:r>
      <w:r w:rsidRPr="00006A9F">
        <w:t>fraudulent transaction; or (D) appears otherwise unfit for distribution</w:t>
      </w:r>
      <w:r w:rsidR="00881B3F">
        <w:t xml:space="preserve"> such that the product would </w:t>
      </w:r>
      <w:r w:rsidRPr="00006A9F">
        <w:t xml:space="preserve">result in serious adverse health consequences or death to humans. </w:t>
      </w:r>
      <w:r w:rsidR="00881B3F">
        <w:t xml:space="preserve"> Beginning January 1, 2015,</w:t>
      </w:r>
      <w:r w:rsidRPr="00006A9F">
        <w:t xml:space="preserve"> section 582 of the FD&amp;C Act requires</w:t>
      </w:r>
      <w:r w:rsidR="00D57090">
        <w:t xml:space="preserve"> certain</w:t>
      </w:r>
      <w:r w:rsidRPr="00006A9F">
        <w:t xml:space="preserve"> trading partners, upon determining tha</w:t>
      </w:r>
      <w:r w:rsidR="00881B3F">
        <w:t>t a product in their</w:t>
      </w:r>
      <w:r w:rsidRPr="00006A9F">
        <w:t xml:space="preserve"> possession or control is a suspect product, to quarantine the produc</w:t>
      </w:r>
      <w:r w:rsidR="00881B3F">
        <w:t>t while they promptly conduct</w:t>
      </w:r>
      <w:r w:rsidRPr="00006A9F">
        <w:t xml:space="preserve"> an investigation to determine whether the product is an illegitimate product. </w:t>
      </w:r>
      <w:r w:rsidR="00881B3F">
        <w:t xml:space="preserve"> </w:t>
      </w:r>
      <w:r w:rsidR="00881B3F" w:rsidRPr="00881B3F">
        <w:t>“</w:t>
      </w:r>
      <w:r w:rsidRPr="00881B3F">
        <w:rPr>
          <w:iCs/>
        </w:rPr>
        <w:t>Illegitimate product</w:t>
      </w:r>
      <w:r w:rsidR="00881B3F">
        <w:rPr>
          <w:iCs/>
        </w:rPr>
        <w:t>”</w:t>
      </w:r>
      <w:r w:rsidRPr="00881B3F">
        <w:rPr>
          <w:iCs/>
        </w:rPr>
        <w:t xml:space="preserve"> </w:t>
      </w:r>
      <w:r w:rsidRPr="00006A9F">
        <w:t>is defined in section 581(8) of the FD&amp;C Act as a product for which credible evidence shows that it is</w:t>
      </w:r>
      <w:r w:rsidR="00B572AF">
        <w:t>:</w:t>
      </w:r>
      <w:r w:rsidRPr="00006A9F">
        <w:t xml:space="preserve"> (A) counterfeit, diverted, or stolen; (B) intentionally adult</w:t>
      </w:r>
      <w:r w:rsidR="00881B3F">
        <w:t xml:space="preserve">erated such that the product </w:t>
      </w:r>
      <w:r w:rsidRPr="00006A9F">
        <w:t xml:space="preserve">would result in serious adverse health consequences or death to humans; (C) is the subject of a </w:t>
      </w:r>
      <w:r w:rsidRPr="00006A9F">
        <w:lastRenderedPageBreak/>
        <w:t>fraudulent transaction; or (D) appears otherwise unfit for distribution</w:t>
      </w:r>
      <w:r w:rsidR="00881B3F">
        <w:t xml:space="preserve"> such that the product would </w:t>
      </w:r>
      <w:r w:rsidRPr="00006A9F">
        <w:t>be reasonably likely to result in serious adverse health consequences or death to humans.</w:t>
      </w:r>
      <w:r w:rsidR="00881B3F">
        <w:t xml:space="preserve">  Beginning</w:t>
      </w:r>
      <w:r w:rsidRPr="00006A9F">
        <w:t xml:space="preserve"> January 1, 2015, section 582 of the FD&amp;C Act requires trading partners, upon</w:t>
      </w:r>
      <w:r w:rsidR="00881B3F">
        <w:t xml:space="preserve"> </w:t>
      </w:r>
      <w:r w:rsidRPr="00006A9F">
        <w:t>determining that a product in their possession or control is illegitimate, to notify FDA and all immediate trading partners</w:t>
      </w:r>
      <w:r w:rsidR="00B500D2">
        <w:t>,</w:t>
      </w:r>
      <w:r w:rsidRPr="00006A9F">
        <w:t xml:space="preserve"> that they have reason to believe may ha</w:t>
      </w:r>
      <w:r w:rsidR="00881B3F">
        <w:t xml:space="preserve">ve </w:t>
      </w:r>
      <w:r w:rsidR="00D57090">
        <w:t xml:space="preserve">received </w:t>
      </w:r>
      <w:r w:rsidR="00881B3F">
        <w:t xml:space="preserve">the illegitimate </w:t>
      </w:r>
      <w:r w:rsidRPr="00006A9F">
        <w:t>product</w:t>
      </w:r>
      <w:r w:rsidR="00B500D2">
        <w:t>,</w:t>
      </w:r>
      <w:r w:rsidRPr="00006A9F">
        <w:t xml:space="preserve"> not later than 24 hours after making the determination. </w:t>
      </w:r>
      <w:r w:rsidR="00881B3F">
        <w:t xml:space="preserve"> </w:t>
      </w:r>
      <w:r w:rsidRPr="00006A9F">
        <w:t>Ma</w:t>
      </w:r>
      <w:r w:rsidR="00881B3F">
        <w:t xml:space="preserve">nufacturers are additionally </w:t>
      </w:r>
      <w:r w:rsidRPr="00006A9F">
        <w:t>required under section 582(b)(4)(B)(ii)(II) to notify FDA and immediate trading partners</w:t>
      </w:r>
      <w:r w:rsidR="00E21873">
        <w:t>,</w:t>
      </w:r>
      <w:r w:rsidRPr="00006A9F">
        <w:t xml:space="preserve"> that the manufacturer has reason to believe may possess a product man</w:t>
      </w:r>
      <w:r w:rsidR="00881B3F">
        <w:t xml:space="preserve">ufactured by or purported to </w:t>
      </w:r>
      <w:r w:rsidRPr="00006A9F">
        <w:t>be manufactured by the manufacturer</w:t>
      </w:r>
      <w:r w:rsidR="00E21873">
        <w:t xml:space="preserve">, </w:t>
      </w:r>
      <w:r w:rsidRPr="00006A9F">
        <w:t>not later than 24 hours after</w:t>
      </w:r>
      <w:r w:rsidR="00881B3F">
        <w:t xml:space="preserve"> the manufacturer determines </w:t>
      </w:r>
      <w:r w:rsidRPr="00006A9F">
        <w:t>or is notified by FDA or a trading partner that there is a high risk that the product is illegitimate.</w:t>
      </w:r>
    </w:p>
    <w:p w14:paraId="337795D1" w14:textId="77777777" w:rsidR="00A259A6" w:rsidRDefault="00A259A6" w:rsidP="00A259A6">
      <w:pPr>
        <w:tabs>
          <w:tab w:val="left" w:pos="-720"/>
          <w:tab w:val="left" w:pos="0"/>
          <w:tab w:val="left" w:pos="378"/>
          <w:tab w:val="left" w:pos="1440"/>
        </w:tabs>
        <w:spacing w:after="0" w:line="480" w:lineRule="auto"/>
        <w:ind w:hanging="374"/>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Purpose and Use of the Information Collection</w:t>
      </w:r>
    </w:p>
    <w:p w14:paraId="337795D2" w14:textId="4822B61F" w:rsidR="00880750" w:rsidRDefault="00880750" w:rsidP="00880750">
      <w:pPr>
        <w:spacing w:after="0" w:line="480" w:lineRule="auto"/>
        <w:ind w:firstLine="720"/>
        <w:rPr>
          <w:rFonts w:ascii="Times New Roman" w:eastAsia="Times New Roman" w:hAnsi="Times New Roman"/>
          <w:sz w:val="24"/>
          <w:szCs w:val="24"/>
        </w:rPr>
      </w:pPr>
      <w:r w:rsidRPr="001D0722">
        <w:rPr>
          <w:rFonts w:ascii="Times New Roman" w:eastAsia="Times New Roman" w:hAnsi="Times New Roman"/>
          <w:sz w:val="24"/>
          <w:szCs w:val="24"/>
        </w:rPr>
        <w:t>Under section 202 of the DSCSA, manufacturers, repackagers, wholesale distributors, a</w:t>
      </w:r>
      <w:r>
        <w:rPr>
          <w:rFonts w:ascii="Times New Roman" w:eastAsia="Times New Roman" w:hAnsi="Times New Roman"/>
          <w:sz w:val="24"/>
          <w:szCs w:val="24"/>
        </w:rPr>
        <w:t>nd dispensers</w:t>
      </w:r>
      <w:r w:rsidRPr="001D0722">
        <w:rPr>
          <w:rFonts w:ascii="Times New Roman" w:eastAsia="Times New Roman" w:hAnsi="Times New Roman"/>
          <w:sz w:val="24"/>
          <w:szCs w:val="24"/>
        </w:rPr>
        <w:t xml:space="preserve"> must: (1) Notify FDA when they have determined that a product in their possession or control is illegitimate, and</w:t>
      </w:r>
      <w:r>
        <w:rPr>
          <w:rFonts w:ascii="Times New Roman" w:eastAsia="Times New Roman" w:hAnsi="Times New Roman"/>
          <w:sz w:val="24"/>
          <w:szCs w:val="24"/>
        </w:rPr>
        <w:t>,</w:t>
      </w:r>
      <w:r w:rsidRPr="001D0722">
        <w:rPr>
          <w:rFonts w:ascii="Times New Roman" w:eastAsia="Times New Roman" w:hAnsi="Times New Roman"/>
          <w:sz w:val="24"/>
          <w:szCs w:val="24"/>
        </w:rPr>
        <w:t xml:space="preserve"> for manufacturers, when they have determined or been notified by FDA or a trading partner that a product has a high risk of illegitimacy; (2) </w:t>
      </w:r>
      <w:r w:rsidR="00C370E8" w:rsidRPr="001D0722">
        <w:rPr>
          <w:rFonts w:ascii="Times New Roman" w:eastAsia="Times New Roman" w:hAnsi="Times New Roman"/>
          <w:sz w:val="24"/>
          <w:szCs w:val="24"/>
        </w:rPr>
        <w:t>notify certain immediate trading partners about an illegitimate product that they may have received and, for manufacturers, that a product has a high risk of illegitimacy; (3)</w:t>
      </w:r>
      <w:r w:rsidR="00C370E8">
        <w:rPr>
          <w:rFonts w:ascii="Times New Roman" w:eastAsia="Times New Roman" w:hAnsi="Times New Roman"/>
          <w:sz w:val="24"/>
          <w:szCs w:val="24"/>
        </w:rPr>
        <w:t xml:space="preserve"> </w:t>
      </w:r>
      <w:r w:rsidR="00ED7526" w:rsidRPr="001D0722">
        <w:rPr>
          <w:rFonts w:ascii="Times New Roman" w:eastAsia="Times New Roman" w:hAnsi="Times New Roman"/>
          <w:sz w:val="24"/>
          <w:szCs w:val="24"/>
        </w:rPr>
        <w:t>terminate notifications regarding illegitimate products, and, for manufacturers, a product with a high risk of illegitimacy, in consultation with FDA when the notifications are no longer necessary;</w:t>
      </w:r>
      <w:r w:rsidR="00ED7526">
        <w:rPr>
          <w:rFonts w:ascii="Times New Roman" w:eastAsia="Times New Roman" w:hAnsi="Times New Roman"/>
          <w:sz w:val="24"/>
          <w:szCs w:val="24"/>
        </w:rPr>
        <w:t xml:space="preserve"> </w:t>
      </w:r>
      <w:r w:rsidR="00C370E8">
        <w:rPr>
          <w:rFonts w:ascii="Times New Roman" w:eastAsia="Times New Roman" w:hAnsi="Times New Roman"/>
          <w:sz w:val="24"/>
          <w:szCs w:val="24"/>
        </w:rPr>
        <w:t xml:space="preserve">and </w:t>
      </w:r>
      <w:r w:rsidRPr="001D0722">
        <w:rPr>
          <w:rFonts w:ascii="Times New Roman" w:eastAsia="Times New Roman" w:hAnsi="Times New Roman"/>
          <w:sz w:val="24"/>
          <w:szCs w:val="24"/>
        </w:rPr>
        <w:t xml:space="preserve">(4) </w:t>
      </w:r>
      <w:r w:rsidR="00C370E8">
        <w:rPr>
          <w:rFonts w:ascii="Times New Roman" w:eastAsia="Times New Roman" w:hAnsi="Times New Roman"/>
          <w:sz w:val="24"/>
          <w:szCs w:val="24"/>
        </w:rPr>
        <w:t xml:space="preserve"> </w:t>
      </w:r>
      <w:r w:rsidRPr="001D0722">
        <w:rPr>
          <w:rFonts w:ascii="Times New Roman" w:eastAsia="Times New Roman" w:hAnsi="Times New Roman"/>
          <w:sz w:val="24"/>
          <w:szCs w:val="24"/>
        </w:rPr>
        <w:t>notify immediate trading partners when the notifications are terminated.</w:t>
      </w:r>
    </w:p>
    <w:p w14:paraId="337795D3" w14:textId="77777777" w:rsidR="00E8127D" w:rsidRDefault="00E8127D" w:rsidP="00880750">
      <w:pPr>
        <w:spacing w:after="0" w:line="480" w:lineRule="auto"/>
        <w:ind w:firstLine="720"/>
        <w:rPr>
          <w:rFonts w:ascii="Times New Roman" w:eastAsia="Times New Roman" w:hAnsi="Times New Roman"/>
          <w:sz w:val="24"/>
          <w:szCs w:val="24"/>
        </w:rPr>
      </w:pPr>
      <w:r>
        <w:rPr>
          <w:rFonts w:ascii="Times New Roman" w:eastAsia="Times New Roman" w:hAnsi="Times New Roman"/>
          <w:sz w:val="24"/>
          <w:szCs w:val="24"/>
        </w:rPr>
        <w:t xml:space="preserve">The purpose and use of this information is to minimize the likelihood that illegitimate products </w:t>
      </w:r>
      <w:r w:rsidR="00AE4F94">
        <w:rPr>
          <w:rFonts w:ascii="Times New Roman" w:eastAsia="Times New Roman" w:hAnsi="Times New Roman"/>
          <w:sz w:val="24"/>
          <w:szCs w:val="24"/>
        </w:rPr>
        <w:t xml:space="preserve">or products with a high risk of illegitimacy </w:t>
      </w:r>
      <w:r>
        <w:rPr>
          <w:rFonts w:ascii="Times New Roman" w:eastAsia="Times New Roman" w:hAnsi="Times New Roman"/>
          <w:sz w:val="24"/>
          <w:szCs w:val="24"/>
        </w:rPr>
        <w:t xml:space="preserve">will be widely disseminated in the U.S. supply chain.  </w:t>
      </w:r>
      <w:r w:rsidR="00AE4F94">
        <w:rPr>
          <w:rFonts w:ascii="Times New Roman" w:eastAsia="Times New Roman" w:hAnsi="Times New Roman"/>
          <w:sz w:val="24"/>
          <w:szCs w:val="24"/>
        </w:rPr>
        <w:t>I</w:t>
      </w:r>
      <w:r>
        <w:rPr>
          <w:rFonts w:ascii="Times New Roman" w:eastAsia="Times New Roman" w:hAnsi="Times New Roman"/>
          <w:sz w:val="24"/>
          <w:szCs w:val="24"/>
        </w:rPr>
        <w:t xml:space="preserve">nformation about an illegitimate product </w:t>
      </w:r>
      <w:r w:rsidR="00AE4F94">
        <w:rPr>
          <w:rFonts w:ascii="Times New Roman" w:eastAsia="Times New Roman" w:hAnsi="Times New Roman"/>
          <w:sz w:val="24"/>
          <w:szCs w:val="24"/>
        </w:rPr>
        <w:t xml:space="preserve">is required to </w:t>
      </w:r>
      <w:r>
        <w:rPr>
          <w:rFonts w:ascii="Times New Roman" w:eastAsia="Times New Roman" w:hAnsi="Times New Roman"/>
          <w:sz w:val="24"/>
          <w:szCs w:val="24"/>
        </w:rPr>
        <w:t xml:space="preserve">be sent to all trading </w:t>
      </w:r>
      <w:r>
        <w:rPr>
          <w:rFonts w:ascii="Times New Roman" w:eastAsia="Times New Roman" w:hAnsi="Times New Roman"/>
          <w:sz w:val="24"/>
          <w:szCs w:val="24"/>
        </w:rPr>
        <w:lastRenderedPageBreak/>
        <w:t>partners that could possess the product</w:t>
      </w:r>
      <w:r w:rsidR="00AE4F94">
        <w:rPr>
          <w:rFonts w:ascii="Times New Roman" w:eastAsia="Times New Roman" w:hAnsi="Times New Roman"/>
          <w:sz w:val="24"/>
          <w:szCs w:val="24"/>
        </w:rPr>
        <w:t xml:space="preserve"> in addition to the FDA.</w:t>
      </w:r>
      <w:r>
        <w:rPr>
          <w:rFonts w:ascii="Times New Roman" w:eastAsia="Times New Roman" w:hAnsi="Times New Roman"/>
          <w:sz w:val="24"/>
          <w:szCs w:val="24"/>
        </w:rPr>
        <w:t xml:space="preserve">  </w:t>
      </w:r>
      <w:r w:rsidR="00AE4F94">
        <w:rPr>
          <w:rFonts w:ascii="Times New Roman" w:eastAsia="Times New Roman" w:hAnsi="Times New Roman"/>
          <w:sz w:val="24"/>
          <w:szCs w:val="24"/>
        </w:rPr>
        <w:t>This will</w:t>
      </w:r>
      <w:r>
        <w:rPr>
          <w:rFonts w:ascii="Times New Roman" w:eastAsia="Times New Roman" w:hAnsi="Times New Roman"/>
          <w:sz w:val="24"/>
          <w:szCs w:val="24"/>
        </w:rPr>
        <w:t xml:space="preserve"> allow FDA to work with the entity making the notification to alert consumers about the product, if necessary.</w:t>
      </w:r>
    </w:p>
    <w:p w14:paraId="337795D4" w14:textId="77777777" w:rsidR="00A259A6" w:rsidRDefault="00A259A6" w:rsidP="00A259A6">
      <w:pPr>
        <w:tabs>
          <w:tab w:val="left" w:pos="-720"/>
          <w:tab w:val="left" w:pos="0"/>
          <w:tab w:val="left" w:pos="378"/>
          <w:tab w:val="left" w:pos="1440"/>
        </w:tabs>
        <w:spacing w:after="0" w:line="480" w:lineRule="auto"/>
        <w:ind w:hanging="378"/>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 and Burden Reduction</w:t>
      </w:r>
    </w:p>
    <w:p w14:paraId="337795D5" w14:textId="6BE6153C" w:rsidR="00006A9F" w:rsidRPr="00692B0C" w:rsidRDefault="002A1508" w:rsidP="00006A9F">
      <w:pPr>
        <w:pStyle w:val="Default"/>
        <w:spacing w:line="480" w:lineRule="auto"/>
        <w:ind w:firstLine="720"/>
        <w:rPr>
          <w:color w:val="auto"/>
        </w:rPr>
      </w:pPr>
      <w:r>
        <w:t>FDA developed the Form FDA 3911 as an efficient way to standardize and collect the needed information</w:t>
      </w:r>
      <w:r w:rsidR="005872D9">
        <w:t xml:space="preserve"> from the various trading partners about </w:t>
      </w:r>
      <w:r w:rsidR="002577B3">
        <w:t>an</w:t>
      </w:r>
      <w:r w:rsidR="005872D9">
        <w:t xml:space="preserve"> illegitimate product or product with </w:t>
      </w:r>
      <w:r w:rsidR="003058BF">
        <w:t xml:space="preserve">a </w:t>
      </w:r>
      <w:r w:rsidR="005872D9">
        <w:t>high risk of illegitimacy</w:t>
      </w:r>
      <w:r>
        <w:t xml:space="preserve">.  FDA </w:t>
      </w:r>
      <w:r w:rsidR="005872D9">
        <w:t>is</w:t>
      </w:r>
      <w:r>
        <w:t xml:space="preserve"> develop</w:t>
      </w:r>
      <w:r w:rsidR="005872D9">
        <w:t>ing</w:t>
      </w:r>
      <w:r>
        <w:t xml:space="preserve"> a fillable </w:t>
      </w:r>
      <w:r w:rsidR="005872D9">
        <w:t xml:space="preserve">version of </w:t>
      </w:r>
      <w:r>
        <w:t xml:space="preserve">Form FDA 3911 to </w:t>
      </w:r>
      <w:r w:rsidR="003058BF">
        <w:t>simplify the process and provide for</w:t>
      </w:r>
      <w:r>
        <w:t xml:space="preserve"> more efficient notification by trading partners.  </w:t>
      </w:r>
    </w:p>
    <w:p w14:paraId="337795D6" w14:textId="77777777" w:rsidR="00A259A6" w:rsidRDefault="00A259A6" w:rsidP="00A259A6">
      <w:pPr>
        <w:tabs>
          <w:tab w:val="left" w:pos="-720"/>
          <w:tab w:val="left" w:pos="0"/>
          <w:tab w:val="left" w:pos="378"/>
          <w:tab w:val="left" w:pos="1440"/>
        </w:tabs>
        <w:spacing w:after="0" w:line="480" w:lineRule="auto"/>
        <w:ind w:hanging="378"/>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Identify Duplication and Use of Similar Information</w:t>
      </w:r>
    </w:p>
    <w:p w14:paraId="337795D7" w14:textId="74C98FB6" w:rsidR="00A259A6" w:rsidRDefault="00A40A44" w:rsidP="00365122">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 xml:space="preserve">The FDA does not know </w:t>
      </w:r>
      <w:r w:rsidR="00187077">
        <w:rPr>
          <w:rFonts w:ascii="Times New Roman" w:hAnsi="Times New Roman"/>
          <w:sz w:val="24"/>
          <w:szCs w:val="24"/>
        </w:rPr>
        <w:t xml:space="preserve">to what </w:t>
      </w:r>
      <w:r>
        <w:rPr>
          <w:rFonts w:ascii="Times New Roman" w:hAnsi="Times New Roman"/>
          <w:sz w:val="24"/>
          <w:szCs w:val="24"/>
        </w:rPr>
        <w:t>extent</w:t>
      </w:r>
      <w:r w:rsidR="00187077">
        <w:rPr>
          <w:rFonts w:ascii="Times New Roman" w:hAnsi="Times New Roman"/>
          <w:sz w:val="24"/>
          <w:szCs w:val="24"/>
        </w:rPr>
        <w:t xml:space="preserve"> there may be </w:t>
      </w:r>
      <w:r>
        <w:rPr>
          <w:rFonts w:ascii="Times New Roman" w:hAnsi="Times New Roman"/>
          <w:sz w:val="24"/>
          <w:szCs w:val="24"/>
        </w:rPr>
        <w:t xml:space="preserve">duplication of submitted information </w:t>
      </w:r>
      <w:r w:rsidR="003058BF">
        <w:rPr>
          <w:rFonts w:ascii="Times New Roman" w:hAnsi="Times New Roman"/>
          <w:sz w:val="24"/>
          <w:szCs w:val="24"/>
        </w:rPr>
        <w:t>under the DSCSA with</w:t>
      </w:r>
      <w:r>
        <w:rPr>
          <w:rFonts w:ascii="Times New Roman" w:hAnsi="Times New Roman"/>
          <w:sz w:val="24"/>
          <w:szCs w:val="24"/>
        </w:rPr>
        <w:t xml:space="preserve"> existing required submissions.  </w:t>
      </w:r>
      <w:r w:rsidR="00187077">
        <w:rPr>
          <w:rFonts w:ascii="Times New Roman" w:hAnsi="Times New Roman"/>
          <w:sz w:val="24"/>
          <w:szCs w:val="24"/>
        </w:rPr>
        <w:t xml:space="preserve">Wholesale distributors and dispensers currently have no reporting requirements </w:t>
      </w:r>
      <w:r w:rsidR="003058BF">
        <w:rPr>
          <w:rFonts w:ascii="Times New Roman" w:hAnsi="Times New Roman"/>
          <w:sz w:val="24"/>
          <w:szCs w:val="24"/>
        </w:rPr>
        <w:t>regarding</w:t>
      </w:r>
      <w:r w:rsidR="00187077">
        <w:rPr>
          <w:rFonts w:ascii="Times New Roman" w:hAnsi="Times New Roman"/>
          <w:sz w:val="24"/>
          <w:szCs w:val="24"/>
        </w:rPr>
        <w:t xml:space="preserve"> drug products.  </w:t>
      </w:r>
      <w:r w:rsidR="005872D9">
        <w:rPr>
          <w:rFonts w:ascii="Times New Roman" w:hAnsi="Times New Roman"/>
          <w:sz w:val="24"/>
          <w:szCs w:val="24"/>
        </w:rPr>
        <w:t>A field has been added to the</w:t>
      </w:r>
      <w:r>
        <w:rPr>
          <w:rFonts w:ascii="Times New Roman" w:hAnsi="Times New Roman"/>
          <w:sz w:val="24"/>
          <w:szCs w:val="24"/>
        </w:rPr>
        <w:t xml:space="preserve"> Form FDA 3911 </w:t>
      </w:r>
      <w:r w:rsidR="005872D9">
        <w:rPr>
          <w:rFonts w:ascii="Times New Roman" w:hAnsi="Times New Roman"/>
          <w:sz w:val="24"/>
          <w:szCs w:val="24"/>
        </w:rPr>
        <w:t>to</w:t>
      </w:r>
      <w:r>
        <w:rPr>
          <w:rFonts w:ascii="Times New Roman" w:hAnsi="Times New Roman"/>
          <w:sz w:val="24"/>
          <w:szCs w:val="24"/>
        </w:rPr>
        <w:t xml:space="preserve"> capture </w:t>
      </w:r>
      <w:r w:rsidR="002577B3">
        <w:rPr>
          <w:rFonts w:ascii="Times New Roman" w:hAnsi="Times New Roman"/>
          <w:sz w:val="24"/>
          <w:szCs w:val="24"/>
        </w:rPr>
        <w:t xml:space="preserve">whether </w:t>
      </w:r>
      <w:r>
        <w:rPr>
          <w:rFonts w:ascii="Times New Roman" w:hAnsi="Times New Roman"/>
          <w:sz w:val="24"/>
          <w:szCs w:val="24"/>
        </w:rPr>
        <w:t xml:space="preserve">other submissions have been made to the FDA related to the same incident.  </w:t>
      </w:r>
      <w:r w:rsidR="00AE4F94">
        <w:rPr>
          <w:rFonts w:ascii="Times New Roman" w:hAnsi="Times New Roman"/>
          <w:sz w:val="24"/>
          <w:szCs w:val="24"/>
        </w:rPr>
        <w:t>FDA will monitor for duplicate submissions.</w:t>
      </w:r>
    </w:p>
    <w:p w14:paraId="337795D8" w14:textId="77777777" w:rsidR="00A259A6" w:rsidRDefault="00A259A6" w:rsidP="00A259A6">
      <w:pPr>
        <w:tabs>
          <w:tab w:val="left" w:pos="-720"/>
          <w:tab w:val="left" w:pos="0"/>
          <w:tab w:val="left" w:pos="378"/>
          <w:tab w:val="left" w:pos="1440"/>
        </w:tabs>
        <w:spacing w:after="0" w:line="480" w:lineRule="auto"/>
        <w:ind w:hanging="378"/>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 xml:space="preserve">Impact on Small Businesses or Other Small Entities </w:t>
      </w:r>
    </w:p>
    <w:p w14:paraId="337795D9" w14:textId="4A2015E0" w:rsidR="00A259A6" w:rsidRDefault="00215409" w:rsidP="00365122">
      <w:pPr>
        <w:spacing w:after="0" w:line="480" w:lineRule="auto"/>
        <w:rPr>
          <w:rFonts w:ascii="Times New Roman" w:hAnsi="Times New Roman"/>
          <w:sz w:val="24"/>
          <w:szCs w:val="24"/>
        </w:rPr>
      </w:pPr>
      <w:r>
        <w:rPr>
          <w:rFonts w:ascii="Times New Roman" w:hAnsi="Times New Roman"/>
          <w:i/>
          <w:color w:val="FF0000"/>
          <w:sz w:val="24"/>
          <w:szCs w:val="24"/>
        </w:rPr>
        <w:tab/>
      </w:r>
      <w:r w:rsidR="00187077">
        <w:rPr>
          <w:rFonts w:ascii="Times New Roman" w:hAnsi="Times New Roman"/>
          <w:sz w:val="24"/>
          <w:szCs w:val="24"/>
        </w:rPr>
        <w:t>The notification of FDA and other trading partners is only required when an illegitimate product is identified</w:t>
      </w:r>
      <w:r>
        <w:rPr>
          <w:rFonts w:ascii="Times New Roman" w:hAnsi="Times New Roman"/>
          <w:sz w:val="24"/>
          <w:szCs w:val="24"/>
        </w:rPr>
        <w:t xml:space="preserve"> by a manufacturer, repackager, wholesale distributor, or dispenser or by a manufacturer when a product is found to have a high risk of illegitimacy.</w:t>
      </w:r>
      <w:r w:rsidR="00187077">
        <w:rPr>
          <w:rFonts w:ascii="Times New Roman" w:hAnsi="Times New Roman"/>
          <w:sz w:val="24"/>
          <w:szCs w:val="24"/>
        </w:rPr>
        <w:t xml:space="preserve">  </w:t>
      </w:r>
      <w:r w:rsidR="00AE4F94">
        <w:rPr>
          <w:rFonts w:ascii="Times New Roman" w:hAnsi="Times New Roman"/>
          <w:sz w:val="24"/>
          <w:szCs w:val="24"/>
        </w:rPr>
        <w:t xml:space="preserve">There are small businesses in the four categories of trading partners.  </w:t>
      </w:r>
      <w:r w:rsidR="00D87CE5">
        <w:rPr>
          <w:rFonts w:ascii="Times New Roman" w:hAnsi="Times New Roman"/>
          <w:sz w:val="24"/>
          <w:szCs w:val="24"/>
        </w:rPr>
        <w:t>However, t</w:t>
      </w:r>
      <w:r w:rsidR="00AE4F94">
        <w:rPr>
          <w:rFonts w:ascii="Times New Roman" w:hAnsi="Times New Roman"/>
          <w:sz w:val="24"/>
          <w:szCs w:val="24"/>
        </w:rPr>
        <w:t xml:space="preserve">hey will only be impacted if they find illegitimate product in their possession or control. Small manufacturers would have to notify FDA </w:t>
      </w:r>
      <w:r w:rsidR="000C791B">
        <w:rPr>
          <w:rFonts w:ascii="Times New Roman" w:hAnsi="Times New Roman"/>
          <w:sz w:val="24"/>
          <w:szCs w:val="24"/>
        </w:rPr>
        <w:t xml:space="preserve">and immediate trading partners </w:t>
      </w:r>
      <w:r w:rsidR="00AE4F94">
        <w:rPr>
          <w:rFonts w:ascii="Times New Roman" w:hAnsi="Times New Roman"/>
          <w:sz w:val="24"/>
          <w:szCs w:val="24"/>
        </w:rPr>
        <w:t>if they become aware of a product with a high risk of illegitimacy.</w:t>
      </w:r>
    </w:p>
    <w:p w14:paraId="337795DA" w14:textId="77777777" w:rsidR="00A259A6" w:rsidRDefault="00A259A6" w:rsidP="00A259A6">
      <w:pPr>
        <w:tabs>
          <w:tab w:val="left" w:pos="-720"/>
          <w:tab w:val="left" w:pos="0"/>
          <w:tab w:val="left" w:pos="378"/>
          <w:tab w:val="left" w:pos="1440"/>
        </w:tabs>
        <w:spacing w:after="0" w:line="480" w:lineRule="auto"/>
        <w:ind w:hanging="378"/>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of Collecting the Information Less Frequently</w:t>
      </w:r>
    </w:p>
    <w:p w14:paraId="337795DB" w14:textId="0C7FDD62" w:rsidR="007F600F" w:rsidRDefault="001001CA" w:rsidP="00365122">
      <w:pPr>
        <w:tabs>
          <w:tab w:val="left" w:pos="-720"/>
          <w:tab w:val="left" w:pos="0"/>
          <w:tab w:val="left" w:pos="378"/>
          <w:tab w:val="left" w:pos="1440"/>
        </w:tabs>
        <w:spacing w:after="0" w:line="480" w:lineRule="auto"/>
        <w:rPr>
          <w:rFonts w:ascii="Times New Roman" w:hAnsi="Times New Roman"/>
          <w:sz w:val="24"/>
          <w:szCs w:val="24"/>
        </w:rPr>
      </w:pPr>
      <w:r>
        <w:rPr>
          <w:rFonts w:ascii="Times New Roman" w:hAnsi="Times New Roman"/>
          <w:sz w:val="24"/>
          <w:szCs w:val="24"/>
        </w:rPr>
        <w:lastRenderedPageBreak/>
        <w:tab/>
        <w:t xml:space="preserve">The DSCSA requires manufacturers, repackagers, wholesale distributors, and dispensers to notify FDA within 24 hours of making the determination that a product in their possession or control is illegitimate.  </w:t>
      </w:r>
      <w:r w:rsidR="007F600F">
        <w:rPr>
          <w:rFonts w:ascii="Times New Roman" w:hAnsi="Times New Roman"/>
          <w:sz w:val="24"/>
          <w:szCs w:val="24"/>
        </w:rPr>
        <w:t>In addition, m</w:t>
      </w:r>
      <w:r>
        <w:rPr>
          <w:rFonts w:ascii="Times New Roman" w:hAnsi="Times New Roman"/>
          <w:sz w:val="24"/>
          <w:szCs w:val="24"/>
        </w:rPr>
        <w:t>anufacturers</w:t>
      </w:r>
      <w:r w:rsidR="007F600F">
        <w:rPr>
          <w:rFonts w:ascii="Times New Roman" w:hAnsi="Times New Roman"/>
          <w:sz w:val="24"/>
          <w:szCs w:val="24"/>
        </w:rPr>
        <w:t xml:space="preserve"> are required to notify FDA within 24 hours of determining that a product has a high risk of illegitimacy.  The collection of information only occurs when a product is determined to be illegitimate or </w:t>
      </w:r>
      <w:r w:rsidR="003058BF">
        <w:rPr>
          <w:rFonts w:ascii="Times New Roman" w:hAnsi="Times New Roman"/>
          <w:sz w:val="24"/>
          <w:szCs w:val="24"/>
        </w:rPr>
        <w:t xml:space="preserve">to </w:t>
      </w:r>
      <w:r w:rsidR="007F600F">
        <w:rPr>
          <w:rFonts w:ascii="Times New Roman" w:hAnsi="Times New Roman"/>
          <w:sz w:val="24"/>
          <w:szCs w:val="24"/>
        </w:rPr>
        <w:t>hav</w:t>
      </w:r>
      <w:r w:rsidR="008B31CC">
        <w:rPr>
          <w:rFonts w:ascii="Times New Roman" w:hAnsi="Times New Roman"/>
          <w:sz w:val="24"/>
          <w:szCs w:val="24"/>
        </w:rPr>
        <w:t>e a high risk of illegitimacy. Notifications are not routine</w:t>
      </w:r>
      <w:r w:rsidR="00365122">
        <w:rPr>
          <w:rFonts w:ascii="Times New Roman" w:hAnsi="Times New Roman"/>
          <w:sz w:val="24"/>
          <w:szCs w:val="24"/>
        </w:rPr>
        <w:t xml:space="preserve"> submissions. </w:t>
      </w:r>
      <w:r w:rsidR="008B31CC">
        <w:rPr>
          <w:rFonts w:ascii="Times New Roman" w:hAnsi="Times New Roman"/>
          <w:sz w:val="24"/>
          <w:szCs w:val="24"/>
        </w:rPr>
        <w:t xml:space="preserve"> </w:t>
      </w:r>
      <w:r w:rsidR="007F600F">
        <w:rPr>
          <w:rFonts w:ascii="Times New Roman" w:hAnsi="Times New Roman"/>
          <w:sz w:val="24"/>
          <w:szCs w:val="24"/>
        </w:rPr>
        <w:t>It is not possible to collect this information any less frequently</w:t>
      </w:r>
      <w:r w:rsidR="00365122">
        <w:rPr>
          <w:rFonts w:ascii="Times New Roman" w:hAnsi="Times New Roman"/>
          <w:sz w:val="24"/>
          <w:szCs w:val="24"/>
        </w:rPr>
        <w:t xml:space="preserve"> than when it actually occurs</w:t>
      </w:r>
      <w:r w:rsidR="007F600F">
        <w:rPr>
          <w:rFonts w:ascii="Times New Roman" w:hAnsi="Times New Roman"/>
          <w:sz w:val="24"/>
          <w:szCs w:val="24"/>
        </w:rPr>
        <w:t xml:space="preserve">.  </w:t>
      </w:r>
    </w:p>
    <w:p w14:paraId="337795DC" w14:textId="77777777" w:rsidR="00A259A6" w:rsidRDefault="00A259A6" w:rsidP="00365122">
      <w:pPr>
        <w:tabs>
          <w:tab w:val="left" w:pos="-720"/>
          <w:tab w:val="left" w:pos="0"/>
          <w:tab w:val="left" w:pos="378"/>
          <w:tab w:val="left" w:pos="1440"/>
        </w:tabs>
        <w:spacing w:after="0" w:line="480" w:lineRule="auto"/>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Special Circumstances Relating to the Guidelines in 5 CFR 1320.5</w:t>
      </w:r>
    </w:p>
    <w:p w14:paraId="337795DD" w14:textId="77777777" w:rsidR="00A259A6" w:rsidRDefault="00A259A6" w:rsidP="00A259A6">
      <w:pPr>
        <w:spacing w:after="0" w:line="480" w:lineRule="auto"/>
        <w:ind w:firstLine="720"/>
        <w:rPr>
          <w:rFonts w:ascii="Times New Roman" w:hAnsi="Times New Roman"/>
          <w:sz w:val="24"/>
          <w:szCs w:val="24"/>
        </w:rPr>
      </w:pPr>
      <w:r>
        <w:rPr>
          <w:rFonts w:ascii="Times New Roman" w:hAnsi="Times New Roman"/>
          <w:sz w:val="24"/>
          <w:szCs w:val="24"/>
        </w:rPr>
        <w:t>There are no special circumstances relating to this information collection.  (The submission of proprietary, trade secret, or other confidential information is addressed under section 10 below).</w:t>
      </w:r>
    </w:p>
    <w:p w14:paraId="337795DE" w14:textId="77777777" w:rsidR="00A259A6" w:rsidRDefault="00A259A6" w:rsidP="00A259A6">
      <w:pPr>
        <w:tabs>
          <w:tab w:val="left" w:pos="-720"/>
          <w:tab w:val="left" w:pos="0"/>
          <w:tab w:val="left" w:pos="378"/>
          <w:tab w:val="left" w:pos="1440"/>
        </w:tabs>
        <w:spacing w:after="0" w:line="480" w:lineRule="auto"/>
        <w:ind w:hanging="378"/>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Comments in Response to the Federal Register Notice and Efforts to Consult Outside the Agency</w:t>
      </w:r>
    </w:p>
    <w:p w14:paraId="3438F304" w14:textId="42790289" w:rsidR="00AF3263" w:rsidRDefault="00AF3263" w:rsidP="00AF3263">
      <w:pPr>
        <w:spacing w:after="0" w:line="480" w:lineRule="auto"/>
        <w:ind w:firstLine="720"/>
        <w:rPr>
          <w:rFonts w:ascii="Times New Roman" w:hAnsi="Times New Roman"/>
          <w:sz w:val="24"/>
          <w:szCs w:val="24"/>
        </w:rPr>
      </w:pPr>
      <w:r>
        <w:rPr>
          <w:rFonts w:ascii="Times New Roman" w:hAnsi="Times New Roman"/>
          <w:sz w:val="24"/>
          <w:szCs w:val="24"/>
        </w:rPr>
        <w:t xml:space="preserve">In </w:t>
      </w:r>
      <w:r w:rsidR="00B572AF">
        <w:rPr>
          <w:rFonts w:ascii="Times New Roman" w:hAnsi="Times New Roman"/>
          <w:sz w:val="24"/>
          <w:szCs w:val="24"/>
        </w:rPr>
        <w:t xml:space="preserve">accordance with 5 CFR 1320.8(d), FDA published a 60 day notice for public comment in the FEDERAL REGISTER notice of </w:t>
      </w:r>
      <w:r>
        <w:rPr>
          <w:rFonts w:ascii="Times New Roman" w:hAnsi="Times New Roman"/>
          <w:sz w:val="24"/>
          <w:szCs w:val="24"/>
        </w:rPr>
        <w:t>June 11, 2014, (</w:t>
      </w:r>
      <w:r w:rsidRPr="00AF3263">
        <w:rPr>
          <w:rFonts w:ascii="Times New Roman" w:hAnsi="Times New Roman"/>
          <w:sz w:val="24"/>
          <w:szCs w:val="24"/>
        </w:rPr>
        <w:t xml:space="preserve">79 FR </w:t>
      </w:r>
      <w:r w:rsidRPr="00AF3263">
        <w:rPr>
          <w:rFonts w:ascii="Times New Roman" w:hAnsi="Times New Roman"/>
          <w:bCs/>
          <w:sz w:val="24"/>
          <w:szCs w:val="24"/>
        </w:rPr>
        <w:t>33564</w:t>
      </w:r>
      <w:r>
        <w:rPr>
          <w:rFonts w:ascii="Times New Roman" w:hAnsi="Times New Roman"/>
          <w:bCs/>
          <w:sz w:val="24"/>
          <w:szCs w:val="24"/>
        </w:rPr>
        <w:t>)</w:t>
      </w:r>
      <w:r w:rsidR="00B572AF">
        <w:rPr>
          <w:rFonts w:ascii="Times New Roman" w:hAnsi="Times New Roman"/>
          <w:bCs/>
          <w:sz w:val="24"/>
          <w:szCs w:val="24"/>
        </w:rPr>
        <w:t xml:space="preserve">.  </w:t>
      </w:r>
      <w:r>
        <w:rPr>
          <w:rFonts w:ascii="Times New Roman" w:hAnsi="Times New Roman"/>
          <w:sz w:val="24"/>
          <w:szCs w:val="24"/>
        </w:rPr>
        <w:t xml:space="preserve"> FDA received comments on the draft guidance from </w:t>
      </w:r>
      <w:r w:rsidR="00DA5DA5">
        <w:rPr>
          <w:rFonts w:ascii="Times New Roman" w:hAnsi="Times New Roman"/>
          <w:sz w:val="24"/>
          <w:szCs w:val="24"/>
        </w:rPr>
        <w:t>20</w:t>
      </w:r>
      <w:bookmarkStart w:id="0" w:name="_GoBack"/>
      <w:bookmarkEnd w:id="0"/>
      <w:r>
        <w:rPr>
          <w:rFonts w:ascii="Times New Roman" w:hAnsi="Times New Roman"/>
          <w:sz w:val="24"/>
          <w:szCs w:val="24"/>
        </w:rPr>
        <w:t xml:space="preserve"> different organizations, companies, and individuals.  The draft guidance provided scenarios that could increase the risk of a suspect product entering the supply chain and recommendations on how trading partners may identify products that may be suspect.  The draft guidance also provided the process for notifying FDA and immediate trading partners when a trading partner has determined that a product is illegitimate product or a manufacturer has determined that a product has a high risk of illegitimacy and the process for terminating those notifications in consultation with FDA.  Many of the comments requested information about parts of the DSCSA that were not specifically covered by, nor intended to be covered by, the draft guidance, such as cleared product notifications, suspect product </w:t>
      </w:r>
      <w:r>
        <w:rPr>
          <w:rFonts w:ascii="Times New Roman" w:hAnsi="Times New Roman"/>
          <w:sz w:val="24"/>
          <w:szCs w:val="24"/>
        </w:rPr>
        <w:lastRenderedPageBreak/>
        <w:t xml:space="preserve">investigation, illegitimate product determinations, quarantine, and verifications, which FDA intends to address in other guidance or public means.    </w:t>
      </w:r>
    </w:p>
    <w:p w14:paraId="07CFC130" w14:textId="77777777" w:rsidR="00AF3263" w:rsidRDefault="00AF3263" w:rsidP="00AF3263">
      <w:pPr>
        <w:spacing w:after="0" w:line="480" w:lineRule="auto"/>
        <w:ind w:firstLine="720"/>
        <w:rPr>
          <w:rFonts w:ascii="Times New Roman" w:hAnsi="Times New Roman"/>
          <w:sz w:val="24"/>
          <w:szCs w:val="24"/>
        </w:rPr>
      </w:pPr>
      <w:r>
        <w:rPr>
          <w:rFonts w:ascii="Times New Roman" w:hAnsi="Times New Roman"/>
          <w:sz w:val="24"/>
          <w:szCs w:val="24"/>
        </w:rPr>
        <w:t>Several commenters raised issues pertaining to the information collection provisions in the draft guidance and the Form FDA 3911.  FDA has clarified the process for making notifications and requests for termination to the FDA in the final guidance.  FDA also clarified several fields on Form FDA 3911 and the instructions for using the Form FDA 3911 in response to comments received to the draft guidance.  The issues raised by the commenters are addressed below.</w:t>
      </w:r>
    </w:p>
    <w:p w14:paraId="48331505" w14:textId="77777777" w:rsidR="00AF3263" w:rsidRDefault="00AF3263" w:rsidP="00AF3263">
      <w:pPr>
        <w:spacing w:after="0" w:line="480" w:lineRule="auto"/>
        <w:outlineLvl w:val="2"/>
        <w:rPr>
          <w:rFonts w:ascii="Times New Roman" w:eastAsia="Times New Roman" w:hAnsi="Times New Roman"/>
          <w:b/>
          <w:sz w:val="24"/>
          <w:szCs w:val="24"/>
        </w:rPr>
      </w:pPr>
      <w:r>
        <w:rPr>
          <w:rFonts w:ascii="Times New Roman" w:eastAsia="Times New Roman" w:hAnsi="Times New Roman"/>
          <w:b/>
          <w:sz w:val="24"/>
          <w:szCs w:val="24"/>
        </w:rPr>
        <w:t>Scope-related Issues:</w:t>
      </w:r>
    </w:p>
    <w:p w14:paraId="6ABA3EB3" w14:textId="77777777" w:rsidR="00AF3263" w:rsidRDefault="00AF3263" w:rsidP="00AF3263">
      <w:pPr>
        <w:spacing w:after="0" w:line="480" w:lineRule="auto"/>
        <w:ind w:firstLine="720"/>
        <w:outlineLvl w:val="2"/>
        <w:rPr>
          <w:rFonts w:ascii="Times New Roman" w:eastAsia="Times New Roman" w:hAnsi="Times New Roman"/>
          <w:sz w:val="24"/>
          <w:szCs w:val="24"/>
        </w:rPr>
      </w:pPr>
      <w:r>
        <w:rPr>
          <w:rFonts w:ascii="Times New Roman" w:eastAsia="Times New Roman" w:hAnsi="Times New Roman"/>
          <w:sz w:val="24"/>
          <w:szCs w:val="24"/>
          <w:u w:val="single"/>
        </w:rPr>
        <w:t>Issue One:</w:t>
      </w:r>
      <w:r>
        <w:rPr>
          <w:rFonts w:ascii="Times New Roman" w:eastAsia="Times New Roman" w:hAnsi="Times New Roman"/>
          <w:sz w:val="24"/>
          <w:szCs w:val="24"/>
        </w:rPr>
        <w:t xml:space="preserve">  Several comments were received requesting clarification about the scope of what is considered to be an illegitimate product or what constitutes a high risk of illegitimacy. For example, commenters requested clarification that a product may be determined to be illegitimate only as a result of fraud and not due solely to quality issues. Commenters also asked for a definition of high risk of illegitimacy.</w:t>
      </w:r>
    </w:p>
    <w:p w14:paraId="060449B9" w14:textId="77777777" w:rsidR="00AF3263" w:rsidRDefault="00AF3263" w:rsidP="00AF3263">
      <w:pPr>
        <w:spacing w:after="0" w:line="480" w:lineRule="auto"/>
        <w:ind w:firstLine="720"/>
        <w:outlineLvl w:val="2"/>
        <w:rPr>
          <w:rFonts w:ascii="Times New Roman" w:eastAsia="Times New Roman" w:hAnsi="Times New Roman"/>
          <w:sz w:val="24"/>
          <w:szCs w:val="24"/>
        </w:rPr>
      </w:pPr>
      <w:r>
        <w:rPr>
          <w:rFonts w:ascii="Times New Roman" w:eastAsia="Times New Roman" w:hAnsi="Times New Roman"/>
          <w:sz w:val="24"/>
          <w:szCs w:val="24"/>
          <w:u w:val="single"/>
        </w:rPr>
        <w:t>FDA Response to Issue One:</w:t>
      </w:r>
      <w:r>
        <w:rPr>
          <w:rFonts w:ascii="Times New Roman" w:eastAsia="Times New Roman" w:hAnsi="Times New Roman"/>
          <w:sz w:val="24"/>
          <w:szCs w:val="24"/>
        </w:rPr>
        <w:t xml:space="preserve"> The purpose of this guidance, relative to notifications, is to provide a process for trading partners to submit notifications to FDA and immediate trading partners after the determination of illegitimacy or high risk of illegitimacy has been made and to submit requests for consultation to FDA to terminate a notification.  To determine the scope of illegitimate products, trading partners should refer to the definition of illegitimate product, which does not exempt quality issues.  The current guidance has been amended to add scenarios to help clarify what manufacturers may consider when determining if a product has a high risk of illegitimacy.</w:t>
      </w:r>
    </w:p>
    <w:p w14:paraId="6D8CF8E0" w14:textId="77777777" w:rsidR="00AF3263" w:rsidRDefault="00AF3263" w:rsidP="00AF3263">
      <w:pPr>
        <w:spacing w:after="0" w:line="480" w:lineRule="auto"/>
        <w:ind w:firstLine="720"/>
        <w:outlineLvl w:val="2"/>
        <w:rPr>
          <w:rFonts w:ascii="Times New Roman" w:eastAsia="Times New Roman" w:hAnsi="Times New Roman"/>
          <w:sz w:val="24"/>
          <w:szCs w:val="24"/>
        </w:rPr>
      </w:pPr>
      <w:r>
        <w:rPr>
          <w:rFonts w:ascii="Times New Roman" w:eastAsia="Times New Roman" w:hAnsi="Times New Roman"/>
          <w:sz w:val="24"/>
          <w:szCs w:val="24"/>
          <w:u w:val="single"/>
        </w:rPr>
        <w:lastRenderedPageBreak/>
        <w:t>Issue Two</w:t>
      </w:r>
      <w:r>
        <w:rPr>
          <w:rFonts w:ascii="Times New Roman" w:eastAsia="Times New Roman" w:hAnsi="Times New Roman"/>
          <w:sz w:val="24"/>
          <w:szCs w:val="24"/>
        </w:rPr>
        <w:t>: Is it necessary to send a notification to FDA when an illegitimate product or product with high risk of illegitimacy can be dispositioned or contained quickly?</w:t>
      </w:r>
    </w:p>
    <w:p w14:paraId="54348BD4" w14:textId="1F4E5A7B" w:rsidR="00AF3263" w:rsidRDefault="00AF3263" w:rsidP="00AF3263">
      <w:pPr>
        <w:spacing w:after="0" w:line="480" w:lineRule="auto"/>
        <w:ind w:firstLine="720"/>
        <w:outlineLvl w:val="2"/>
        <w:rPr>
          <w:rFonts w:ascii="Times New Roman" w:eastAsia="Times New Roman" w:hAnsi="Times New Roman"/>
          <w:sz w:val="24"/>
          <w:szCs w:val="24"/>
        </w:rPr>
      </w:pPr>
      <w:r>
        <w:rPr>
          <w:rFonts w:ascii="Times New Roman" w:eastAsia="Times New Roman" w:hAnsi="Times New Roman"/>
          <w:sz w:val="24"/>
          <w:szCs w:val="24"/>
          <w:u w:val="single"/>
        </w:rPr>
        <w:t>FDA Response to Issue Two</w:t>
      </w:r>
      <w:r>
        <w:rPr>
          <w:rFonts w:ascii="Times New Roman" w:eastAsia="Times New Roman" w:hAnsi="Times New Roman"/>
          <w:sz w:val="24"/>
          <w:szCs w:val="24"/>
        </w:rPr>
        <w:t>: Yes, provisions of the DSCSA requires trading partners to notify FDA when a determination has been made that a product is illegitimate, or for manufacture</w:t>
      </w:r>
      <w:r w:rsidR="00B572AF">
        <w:rPr>
          <w:rFonts w:ascii="Times New Roman" w:eastAsia="Times New Roman" w:hAnsi="Times New Roman"/>
          <w:sz w:val="24"/>
          <w:szCs w:val="24"/>
        </w:rPr>
        <w:t>r</w:t>
      </w:r>
      <w:r>
        <w:rPr>
          <w:rFonts w:ascii="Times New Roman" w:eastAsia="Times New Roman" w:hAnsi="Times New Roman"/>
          <w:sz w:val="24"/>
          <w:szCs w:val="24"/>
        </w:rPr>
        <w:t xml:space="preserve">s, that a product has a high risk of illegitimacy. The amount of time it takes for a firm to control the product or manage the situation is not a factor in determining when a notification to FDA and other trading partners should take place, i.e. not later than 24 hours after the determination is made that a product is illegitimate or has a high risk of illegitimacy.   </w:t>
      </w:r>
    </w:p>
    <w:p w14:paraId="7EE537C7" w14:textId="77777777" w:rsidR="00AF3263" w:rsidRDefault="00AF3263" w:rsidP="00AF3263">
      <w:pPr>
        <w:spacing w:after="0" w:line="480" w:lineRule="auto"/>
        <w:ind w:firstLine="720"/>
        <w:outlineLvl w:val="2"/>
        <w:rPr>
          <w:rFonts w:ascii="Times New Roman" w:eastAsia="Times New Roman" w:hAnsi="Times New Roman"/>
          <w:sz w:val="24"/>
          <w:szCs w:val="24"/>
        </w:rPr>
      </w:pPr>
      <w:r>
        <w:rPr>
          <w:rFonts w:ascii="Times New Roman" w:eastAsia="Times New Roman" w:hAnsi="Times New Roman"/>
          <w:sz w:val="24"/>
          <w:szCs w:val="24"/>
          <w:u w:val="single"/>
        </w:rPr>
        <w:t>Issue Three</w:t>
      </w:r>
      <w:r>
        <w:rPr>
          <w:rFonts w:ascii="Times New Roman" w:eastAsia="Times New Roman" w:hAnsi="Times New Roman"/>
          <w:sz w:val="24"/>
          <w:szCs w:val="24"/>
        </w:rPr>
        <w:t xml:space="preserve">: Many commenters asked if the FDA was going to make either the Form FDA 3911 or information about the notifications public. </w:t>
      </w:r>
    </w:p>
    <w:p w14:paraId="3A99BF7C" w14:textId="05EAD468" w:rsidR="00AF3263" w:rsidRDefault="00AF3263" w:rsidP="00AF3263">
      <w:pPr>
        <w:spacing w:after="0" w:line="480" w:lineRule="auto"/>
        <w:ind w:firstLine="720"/>
        <w:outlineLvl w:val="2"/>
        <w:rPr>
          <w:rFonts w:ascii="Times New Roman" w:eastAsia="Times New Roman" w:hAnsi="Times New Roman"/>
          <w:sz w:val="24"/>
          <w:szCs w:val="24"/>
        </w:rPr>
      </w:pPr>
      <w:r>
        <w:rPr>
          <w:rFonts w:ascii="Times New Roman" w:eastAsia="Times New Roman" w:hAnsi="Times New Roman"/>
          <w:sz w:val="24"/>
          <w:szCs w:val="24"/>
          <w:u w:val="single"/>
        </w:rPr>
        <w:t>FDA Response to Issue Three</w:t>
      </w:r>
      <w:r>
        <w:rPr>
          <w:rFonts w:ascii="Times New Roman" w:eastAsia="Times New Roman" w:hAnsi="Times New Roman"/>
          <w:sz w:val="24"/>
          <w:szCs w:val="24"/>
        </w:rPr>
        <w:t xml:space="preserve">: The notifications and requests for termination will be handled according to </w:t>
      </w:r>
      <w:r w:rsidR="00B572AF">
        <w:rPr>
          <w:rFonts w:ascii="Times New Roman" w:eastAsia="Times New Roman" w:hAnsi="Times New Roman"/>
          <w:sz w:val="24"/>
          <w:szCs w:val="24"/>
        </w:rPr>
        <w:t>A</w:t>
      </w:r>
      <w:r>
        <w:rPr>
          <w:rFonts w:ascii="Times New Roman" w:eastAsia="Times New Roman" w:hAnsi="Times New Roman"/>
          <w:sz w:val="24"/>
          <w:szCs w:val="24"/>
        </w:rPr>
        <w:t>gency regulations, the Freedom of Information Act, and other applicable disclosure law.  In some cases, FDA may coordinate with the notifying person or entity and issue agency public health alerts to protect the public health based on information received through drug notifications received under sections 582(b)(4)(B)(ii), (c)(4)(B)(ii), (d)(4)(B)(ii), and (e)(4)(B)(ii) of the FD&amp;C Act.</w:t>
      </w:r>
    </w:p>
    <w:p w14:paraId="3753CAFE" w14:textId="77777777" w:rsidR="00AF3263" w:rsidRDefault="00AF3263" w:rsidP="00AF3263">
      <w:pPr>
        <w:spacing w:after="0" w:line="480" w:lineRule="auto"/>
        <w:outlineLvl w:val="2"/>
        <w:rPr>
          <w:rFonts w:ascii="Times New Roman" w:hAnsi="Times New Roman"/>
          <w:b/>
          <w:sz w:val="24"/>
          <w:szCs w:val="24"/>
        </w:rPr>
      </w:pPr>
      <w:r>
        <w:rPr>
          <w:rFonts w:ascii="Times New Roman" w:hAnsi="Times New Roman"/>
          <w:b/>
          <w:sz w:val="24"/>
          <w:szCs w:val="24"/>
        </w:rPr>
        <w:t xml:space="preserve">Form FDA 3911- and Instruction-related Issues:  </w:t>
      </w:r>
    </w:p>
    <w:p w14:paraId="249F4F09" w14:textId="77777777" w:rsidR="00AF3263" w:rsidRDefault="00AF3263" w:rsidP="00AF3263">
      <w:pPr>
        <w:spacing w:after="0" w:line="480" w:lineRule="auto"/>
        <w:outlineLvl w:val="2"/>
        <w:rPr>
          <w:rFonts w:ascii="Times New Roman" w:hAnsi="Times New Roman"/>
          <w:b/>
          <w:sz w:val="24"/>
          <w:szCs w:val="24"/>
        </w:rPr>
      </w:pPr>
      <w:r>
        <w:rPr>
          <w:rFonts w:ascii="Times New Roman" w:hAnsi="Times New Roman"/>
          <w:sz w:val="24"/>
          <w:szCs w:val="24"/>
        </w:rPr>
        <w:t xml:space="preserve">Several commenters requested clarification of the instructions for filling out existing fields on Form FDA 3911 or requested additional information be added to the Form FDA 3911 including additional fields. </w:t>
      </w:r>
    </w:p>
    <w:p w14:paraId="0EA7E12B" w14:textId="77777777" w:rsidR="00AF3263" w:rsidRDefault="00AF3263" w:rsidP="00AF3263">
      <w:pPr>
        <w:spacing w:after="0" w:line="480" w:lineRule="auto"/>
        <w:ind w:firstLine="720"/>
        <w:rPr>
          <w:rFonts w:ascii="Times New Roman" w:hAnsi="Times New Roman"/>
          <w:sz w:val="24"/>
          <w:szCs w:val="24"/>
        </w:rPr>
      </w:pPr>
      <w:r>
        <w:rPr>
          <w:rFonts w:ascii="Times New Roman" w:hAnsi="Times New Roman"/>
          <w:sz w:val="24"/>
          <w:szCs w:val="24"/>
          <w:u w:val="single"/>
        </w:rPr>
        <w:t>Issue Four</w:t>
      </w:r>
      <w:r>
        <w:rPr>
          <w:rFonts w:ascii="Times New Roman" w:hAnsi="Times New Roman"/>
          <w:sz w:val="24"/>
          <w:szCs w:val="24"/>
        </w:rPr>
        <w:t xml:space="preserve">: Commenters requested clarification about the fields on Form FDA 3911 to describe the product that is the subject of the notification.   Specifically, commenters wanted clarification about the terms “generic” and “trade” names. </w:t>
      </w:r>
    </w:p>
    <w:p w14:paraId="5975DA61" w14:textId="77777777" w:rsidR="00AF3263" w:rsidRDefault="00AF3263" w:rsidP="00AF3263">
      <w:pPr>
        <w:spacing w:after="0" w:line="480" w:lineRule="auto"/>
        <w:ind w:firstLine="720"/>
        <w:rPr>
          <w:rFonts w:ascii="Times New Roman" w:hAnsi="Times New Roman"/>
          <w:sz w:val="24"/>
          <w:szCs w:val="24"/>
        </w:rPr>
      </w:pPr>
      <w:r>
        <w:rPr>
          <w:rFonts w:ascii="Times New Roman" w:hAnsi="Times New Roman"/>
          <w:sz w:val="24"/>
          <w:szCs w:val="24"/>
          <w:u w:val="single"/>
        </w:rPr>
        <w:lastRenderedPageBreak/>
        <w:t>FDA Response to Issue Four</w:t>
      </w:r>
      <w:r>
        <w:rPr>
          <w:rFonts w:ascii="Times New Roman" w:hAnsi="Times New Roman"/>
          <w:sz w:val="24"/>
          <w:szCs w:val="24"/>
        </w:rPr>
        <w:t xml:space="preserve">:  FDA has clarified the names of these fields on the Form FDA 3911 and the associated instructions. The field called “Generic Name” was changed to “Name of Product as it appears on the label”.  The field called “Trade Name (if applicable)” was changed to “Primary Ingredients” and the instructions were amended to request that the notifying person or entity list the active pharmaceutical or biological ingredients if known and if the information is not already listed in the “Name of Product as it appears on the label” field. These changes will clarify how the notifying person or entity should describe the product that is the subject of the notification. </w:t>
      </w:r>
    </w:p>
    <w:p w14:paraId="19479814" w14:textId="77777777" w:rsidR="00AF3263" w:rsidRDefault="00AF3263" w:rsidP="00AF3263">
      <w:pPr>
        <w:spacing w:after="0" w:line="480" w:lineRule="auto"/>
        <w:ind w:firstLine="720"/>
        <w:rPr>
          <w:rFonts w:ascii="Times New Roman" w:hAnsi="Times New Roman"/>
          <w:sz w:val="24"/>
          <w:szCs w:val="24"/>
        </w:rPr>
      </w:pPr>
      <w:r>
        <w:rPr>
          <w:rFonts w:ascii="Times New Roman" w:hAnsi="Times New Roman"/>
          <w:sz w:val="24"/>
          <w:szCs w:val="24"/>
          <w:u w:val="single"/>
        </w:rPr>
        <w:t>Issue Five</w:t>
      </w:r>
      <w:r>
        <w:rPr>
          <w:rFonts w:ascii="Times New Roman" w:hAnsi="Times New Roman"/>
          <w:sz w:val="24"/>
          <w:szCs w:val="24"/>
        </w:rPr>
        <w:t xml:space="preserve">: Several commenters wanted clarification about the fields on Form FDA 3911 for identification of company versus the reporter. </w:t>
      </w:r>
    </w:p>
    <w:p w14:paraId="6AA1ECC3" w14:textId="77777777" w:rsidR="00AF3263" w:rsidRDefault="00AF3263" w:rsidP="00AF3263">
      <w:pPr>
        <w:spacing w:after="0" w:line="480" w:lineRule="auto"/>
        <w:ind w:firstLine="72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u w:val="single"/>
        </w:rPr>
        <w:t>FDA Response to Issue Five</w:t>
      </w:r>
      <w:r>
        <w:rPr>
          <w:rFonts w:ascii="Times New Roman" w:hAnsi="Times New Roman"/>
          <w:sz w:val="24"/>
          <w:szCs w:val="24"/>
        </w:rPr>
        <w:t xml:space="preserve">: The FDA modified the Form FDA 3911 to make it clearer that we want information about the company who is responsible for making the notification.  The “reporter” is the person whom the FDA may contact for additional information about the notification.  FDA considers the company with the illegitimate product in its possession or control, or a manufacturer that has made a determination that a product has a high risk of illegitimacy, to be the company that is making the notification, even if that company contracts with another person or entity to submit the notification on its behalf. </w:t>
      </w:r>
    </w:p>
    <w:p w14:paraId="6104E934" w14:textId="77777777" w:rsidR="00AF3263" w:rsidRDefault="00AF3263" w:rsidP="00AF3263">
      <w:pPr>
        <w:spacing w:after="0" w:line="480" w:lineRule="auto"/>
        <w:ind w:firstLine="720"/>
        <w:rPr>
          <w:rFonts w:ascii="Times New Roman" w:hAnsi="Times New Roman"/>
          <w:sz w:val="24"/>
          <w:szCs w:val="24"/>
        </w:rPr>
      </w:pPr>
      <w:r>
        <w:rPr>
          <w:rFonts w:ascii="Times New Roman" w:hAnsi="Times New Roman"/>
          <w:sz w:val="24"/>
          <w:szCs w:val="24"/>
          <w:u w:val="single"/>
        </w:rPr>
        <w:t>Issue Six</w:t>
      </w:r>
      <w:r>
        <w:rPr>
          <w:rFonts w:ascii="Times New Roman" w:hAnsi="Times New Roman"/>
          <w:sz w:val="24"/>
          <w:szCs w:val="24"/>
        </w:rPr>
        <w:t xml:space="preserve">: Commenters asked about the term “unique facility identifier” since the </w:t>
      </w:r>
      <w:r>
        <w:rPr>
          <w:rFonts w:ascii="Times New Roman" w:hAnsi="Times New Roman"/>
          <w:sz w:val="24"/>
          <w:szCs w:val="24"/>
        </w:rPr>
        <w:br/>
        <w:t>D-U-N-S number is a corporate identifier not a facility identifier.  The commenter requested that FDA clarify that it is asking for the unique “Corporate” and not “Facility” identifier.</w:t>
      </w:r>
      <w:r>
        <w:rPr>
          <w:sz w:val="23"/>
          <w:szCs w:val="23"/>
        </w:rPr>
        <w:t xml:space="preserve"> </w:t>
      </w:r>
    </w:p>
    <w:p w14:paraId="14734D1B" w14:textId="77777777" w:rsidR="00AF3263" w:rsidRDefault="00AF3263" w:rsidP="00AF3263">
      <w:pPr>
        <w:spacing w:after="0" w:line="480" w:lineRule="auto"/>
        <w:ind w:firstLine="720"/>
        <w:rPr>
          <w:rFonts w:ascii="Times New Roman" w:hAnsi="Times New Roman"/>
          <w:sz w:val="24"/>
          <w:szCs w:val="24"/>
        </w:rPr>
      </w:pPr>
      <w:r>
        <w:rPr>
          <w:rFonts w:ascii="Times New Roman" w:hAnsi="Times New Roman"/>
          <w:sz w:val="24"/>
          <w:szCs w:val="24"/>
          <w:u w:val="single"/>
        </w:rPr>
        <w:t>FDA Response to Issue Six</w:t>
      </w:r>
      <w:r>
        <w:rPr>
          <w:rFonts w:ascii="Times New Roman" w:hAnsi="Times New Roman"/>
          <w:sz w:val="24"/>
          <w:szCs w:val="24"/>
        </w:rPr>
        <w:t xml:space="preserve">: The FDA uses a site specific identifier called the unique facility identifier (UFI) as a useful resource in identifying and confirming certain business information for the company responsible for making the notification.  FDA currently prefers the </w:t>
      </w:r>
      <w:r>
        <w:rPr>
          <w:rFonts w:ascii="Times New Roman" w:hAnsi="Times New Roman"/>
          <w:sz w:val="24"/>
          <w:szCs w:val="24"/>
        </w:rPr>
        <w:lastRenderedPageBreak/>
        <w:t xml:space="preserve">D-U-N-S number as the UFI.  Since the commenters were confused about the term “facility”, we clarified in the instructions to Form FDA 3911that the unique facility identifier for the company making the notification is the number being requested.  </w:t>
      </w:r>
    </w:p>
    <w:p w14:paraId="2661B6CA" w14:textId="77777777" w:rsidR="00AF3263" w:rsidRDefault="00AF3263" w:rsidP="00AF3263">
      <w:pPr>
        <w:spacing w:after="0" w:line="480" w:lineRule="auto"/>
        <w:outlineLvl w:val="2"/>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u w:val="single"/>
        </w:rPr>
        <w:t>Issue Seven</w:t>
      </w:r>
      <w:r>
        <w:rPr>
          <w:rFonts w:ascii="Times New Roman" w:eastAsia="Times New Roman" w:hAnsi="Times New Roman"/>
          <w:sz w:val="24"/>
          <w:szCs w:val="24"/>
        </w:rPr>
        <w:t xml:space="preserve">:  Several commenters requested a notification reference number for identification purposes. </w:t>
      </w:r>
    </w:p>
    <w:p w14:paraId="0DAE1CC8" w14:textId="77777777" w:rsidR="00AF3263" w:rsidRDefault="00AF3263" w:rsidP="00AF3263">
      <w:pPr>
        <w:spacing w:after="0" w:line="480" w:lineRule="auto"/>
        <w:ind w:firstLine="720"/>
        <w:outlineLvl w:val="2"/>
        <w:rPr>
          <w:rFonts w:ascii="Times New Roman" w:eastAsia="Times New Roman" w:hAnsi="Times New Roman"/>
          <w:sz w:val="24"/>
          <w:szCs w:val="24"/>
        </w:rPr>
      </w:pPr>
      <w:r>
        <w:rPr>
          <w:rFonts w:ascii="Times New Roman" w:eastAsia="Times New Roman" w:hAnsi="Times New Roman"/>
          <w:sz w:val="24"/>
          <w:szCs w:val="24"/>
          <w:u w:val="single"/>
        </w:rPr>
        <w:t>FDA Response to Issue Seven</w:t>
      </w:r>
      <w:r>
        <w:rPr>
          <w:rFonts w:ascii="Times New Roman" w:eastAsia="Times New Roman" w:hAnsi="Times New Roman"/>
          <w:sz w:val="24"/>
          <w:szCs w:val="24"/>
        </w:rPr>
        <w:t xml:space="preserve">: FDA agrees with the commenters and has added a field for an incident number.  FDA plans to assign an incident number when the initial notification is received.  FDA will send the incident number in the response that confirms the receipt of the initial notification to the notifying person or entity.  This incident number should be used in all future correspondence about the specific incident/event that is the subject of the initial notification, including the request for termination.  The form, instructions, and process in the guidance have been amended to include the incident number.  There is no additional burden to the company making the notification to include this number on any additional correspondence with FDA including the request for termination. </w:t>
      </w:r>
    </w:p>
    <w:p w14:paraId="6B92DD60" w14:textId="77777777" w:rsidR="00AF3263" w:rsidRDefault="00AF3263" w:rsidP="00AF3263">
      <w:pPr>
        <w:spacing w:after="0" w:line="480" w:lineRule="auto"/>
        <w:ind w:firstLine="720"/>
        <w:outlineLvl w:val="2"/>
        <w:rPr>
          <w:rFonts w:ascii="Times New Roman" w:eastAsia="Times New Roman" w:hAnsi="Times New Roman"/>
          <w:sz w:val="24"/>
          <w:szCs w:val="24"/>
        </w:rPr>
      </w:pPr>
      <w:r>
        <w:rPr>
          <w:rFonts w:ascii="Times New Roman" w:eastAsia="Times New Roman" w:hAnsi="Times New Roman"/>
          <w:sz w:val="24"/>
          <w:szCs w:val="24"/>
          <w:u w:val="single"/>
        </w:rPr>
        <w:t xml:space="preserve">Issue Eight: </w:t>
      </w:r>
      <w:r>
        <w:rPr>
          <w:rFonts w:ascii="Times New Roman" w:eastAsia="Times New Roman" w:hAnsi="Times New Roman"/>
          <w:sz w:val="24"/>
          <w:szCs w:val="24"/>
        </w:rPr>
        <w:t>Commenters requested the addition of an FDA contact be added to Form FDA 3911 for questions about the form.</w:t>
      </w:r>
    </w:p>
    <w:p w14:paraId="7C4398F8" w14:textId="77777777" w:rsidR="00AF3263" w:rsidRDefault="00AF3263" w:rsidP="00AF3263">
      <w:pPr>
        <w:spacing w:after="0" w:line="480" w:lineRule="auto"/>
        <w:ind w:firstLine="720"/>
        <w:outlineLvl w:val="2"/>
        <w:rPr>
          <w:rFonts w:ascii="Times New Roman" w:eastAsia="Times New Roman" w:hAnsi="Times New Roman"/>
          <w:sz w:val="24"/>
          <w:szCs w:val="24"/>
        </w:rPr>
      </w:pPr>
      <w:r>
        <w:rPr>
          <w:rFonts w:ascii="Times New Roman" w:eastAsia="Times New Roman" w:hAnsi="Times New Roman"/>
          <w:sz w:val="24"/>
          <w:szCs w:val="24"/>
          <w:u w:val="single"/>
        </w:rPr>
        <w:t>FDA Response to Issue Eight</w:t>
      </w:r>
      <w:r>
        <w:rPr>
          <w:rFonts w:ascii="Times New Roman" w:eastAsia="Times New Roman" w:hAnsi="Times New Roman"/>
          <w:sz w:val="24"/>
          <w:szCs w:val="24"/>
        </w:rPr>
        <w:t>:  FDA has added a contact telephone number in addition to the e-mail address previously provided on the Drug Notification Webpage referenced in the guidance.</w:t>
      </w:r>
    </w:p>
    <w:p w14:paraId="48504DEA" w14:textId="77777777" w:rsidR="00AF3263" w:rsidRDefault="00AF3263" w:rsidP="00AF3263">
      <w:pPr>
        <w:spacing w:after="0" w:line="480" w:lineRule="auto"/>
        <w:ind w:firstLine="720"/>
        <w:outlineLvl w:val="2"/>
        <w:rPr>
          <w:rFonts w:ascii="Times New Roman" w:eastAsia="Times New Roman" w:hAnsi="Times New Roman"/>
          <w:sz w:val="24"/>
          <w:szCs w:val="24"/>
        </w:rPr>
      </w:pPr>
      <w:r>
        <w:rPr>
          <w:rFonts w:ascii="Times New Roman" w:eastAsia="Times New Roman" w:hAnsi="Times New Roman"/>
          <w:sz w:val="24"/>
          <w:szCs w:val="24"/>
          <w:u w:val="single"/>
        </w:rPr>
        <w:t>Issue Nine</w:t>
      </w:r>
      <w:r>
        <w:rPr>
          <w:rFonts w:ascii="Times New Roman" w:eastAsia="Times New Roman" w:hAnsi="Times New Roman"/>
          <w:sz w:val="24"/>
          <w:szCs w:val="24"/>
        </w:rPr>
        <w:t>: Commenters requested a field to indicate that the company making the notification (wholesale distributor, repackager, or dispenser) has consulted with the manufacturer when determining whether a product is illegitimate.</w:t>
      </w:r>
    </w:p>
    <w:p w14:paraId="4BC9F288" w14:textId="77777777" w:rsidR="00AF3263" w:rsidRDefault="00AF3263" w:rsidP="00AF3263">
      <w:pPr>
        <w:spacing w:after="0" w:line="480" w:lineRule="auto"/>
        <w:ind w:firstLine="720"/>
        <w:outlineLvl w:val="2"/>
        <w:rPr>
          <w:rFonts w:ascii="Times New Roman" w:eastAsia="Times New Roman" w:hAnsi="Times New Roman"/>
          <w:sz w:val="24"/>
          <w:szCs w:val="24"/>
        </w:rPr>
      </w:pPr>
      <w:r>
        <w:rPr>
          <w:rFonts w:ascii="Times New Roman" w:eastAsia="Times New Roman" w:hAnsi="Times New Roman"/>
          <w:sz w:val="24"/>
          <w:szCs w:val="24"/>
          <w:u w:val="single"/>
        </w:rPr>
        <w:lastRenderedPageBreak/>
        <w:t>FDA Response to Issue Nine</w:t>
      </w:r>
      <w:r>
        <w:rPr>
          <w:rFonts w:ascii="Times New Roman" w:eastAsia="Times New Roman" w:hAnsi="Times New Roman"/>
          <w:sz w:val="24"/>
          <w:szCs w:val="24"/>
        </w:rPr>
        <w:t xml:space="preserve">: The DSCSA requires that repackagers, wholesale drug distributors, and dispensers coordinate with the manufacturer when determining whether a product is illegitimate.  The Form FDA 3911 should be used to submit a notification after the determination that a product is illegitimate is made.  A separate field was not designated for this topic, because the company making the notification may identify the manufacturer they coordinated with in the “Description of Event/Issue” Field.  This option has been added to the instructions.  </w:t>
      </w:r>
    </w:p>
    <w:p w14:paraId="1D6A3429" w14:textId="77777777" w:rsidR="00AF3263" w:rsidRDefault="00AF3263" w:rsidP="00AF3263">
      <w:pPr>
        <w:spacing w:after="0" w:line="480" w:lineRule="auto"/>
        <w:ind w:firstLine="720"/>
        <w:outlineLvl w:val="2"/>
        <w:rPr>
          <w:rFonts w:ascii="Times New Roman" w:eastAsia="Times New Roman" w:hAnsi="Times New Roman"/>
          <w:sz w:val="24"/>
          <w:szCs w:val="24"/>
        </w:rPr>
      </w:pPr>
      <w:r>
        <w:rPr>
          <w:rFonts w:ascii="Times New Roman" w:eastAsia="Times New Roman" w:hAnsi="Times New Roman"/>
          <w:sz w:val="24"/>
          <w:szCs w:val="24"/>
          <w:u w:val="single"/>
        </w:rPr>
        <w:t>Issue Ten</w:t>
      </w:r>
      <w:r>
        <w:rPr>
          <w:rFonts w:ascii="Times New Roman" w:eastAsia="Times New Roman" w:hAnsi="Times New Roman"/>
          <w:sz w:val="24"/>
          <w:szCs w:val="24"/>
        </w:rPr>
        <w:t>: Commenters requested a field on the Form FDA 3911 to list all trading partners that they believe may possess the illegitimate product.</w:t>
      </w:r>
    </w:p>
    <w:p w14:paraId="0E5FB9D3" w14:textId="77777777" w:rsidR="00AF3263" w:rsidRDefault="00AF3263" w:rsidP="00AF3263">
      <w:pPr>
        <w:spacing w:after="0" w:line="480" w:lineRule="auto"/>
        <w:ind w:firstLine="720"/>
        <w:outlineLvl w:val="2"/>
        <w:rPr>
          <w:rFonts w:ascii="Times New Roman" w:eastAsia="Times New Roman" w:hAnsi="Times New Roman"/>
          <w:sz w:val="24"/>
          <w:szCs w:val="24"/>
        </w:rPr>
      </w:pPr>
      <w:r>
        <w:rPr>
          <w:rFonts w:ascii="Times New Roman" w:eastAsia="Times New Roman" w:hAnsi="Times New Roman"/>
          <w:sz w:val="24"/>
          <w:szCs w:val="24"/>
          <w:u w:val="single"/>
        </w:rPr>
        <w:t>FDA Response to Issue Ten</w:t>
      </w:r>
      <w:r>
        <w:rPr>
          <w:rFonts w:ascii="Times New Roman" w:eastAsia="Times New Roman" w:hAnsi="Times New Roman"/>
          <w:sz w:val="24"/>
          <w:szCs w:val="24"/>
        </w:rPr>
        <w:t>: FDA did not add a specific field to Form FDA 3911 for companies to list the names of trading partners that may have illegitimate product.  While not required, a company may identify all trading partners that they believe may possess the illegitimate product in the “Description of Event/Issue” Field.  Under the DSCSA, trading partners are responsible for making notifications to all immediate trading partners they have reason to believe may have received such product.  Each trading partner found to have illegitimate product must notify FDA.</w:t>
      </w:r>
    </w:p>
    <w:p w14:paraId="09689E96" w14:textId="77777777" w:rsidR="00AF3263" w:rsidRDefault="00AF3263" w:rsidP="00AF3263">
      <w:pPr>
        <w:spacing w:after="0" w:line="480" w:lineRule="auto"/>
        <w:ind w:firstLine="720"/>
        <w:outlineLvl w:val="2"/>
        <w:rPr>
          <w:rFonts w:ascii="Times New Roman" w:eastAsia="Times New Roman" w:hAnsi="Times New Roman"/>
          <w:sz w:val="24"/>
          <w:szCs w:val="24"/>
        </w:rPr>
      </w:pPr>
      <w:r>
        <w:rPr>
          <w:rFonts w:ascii="Times New Roman" w:eastAsia="Times New Roman" w:hAnsi="Times New Roman"/>
          <w:sz w:val="24"/>
          <w:szCs w:val="24"/>
          <w:u w:val="single"/>
        </w:rPr>
        <w:t>Issue Eleven</w:t>
      </w:r>
      <w:r>
        <w:rPr>
          <w:rFonts w:ascii="Times New Roman" w:eastAsia="Times New Roman" w:hAnsi="Times New Roman"/>
          <w:sz w:val="24"/>
          <w:szCs w:val="24"/>
        </w:rPr>
        <w:t>: Commenters requested a space or field to list a case or report number associated with a Medwatch report or other report submitted to FDA.</w:t>
      </w:r>
    </w:p>
    <w:p w14:paraId="0D98862F" w14:textId="57C706C2" w:rsidR="00AF3263" w:rsidRDefault="00AF3263" w:rsidP="00AF3263">
      <w:pPr>
        <w:spacing w:after="0" w:line="480" w:lineRule="auto"/>
        <w:ind w:firstLine="720"/>
        <w:outlineLvl w:val="2"/>
        <w:rPr>
          <w:rFonts w:ascii="Times New Roman" w:eastAsia="Times New Roman" w:hAnsi="Times New Roman"/>
          <w:sz w:val="24"/>
          <w:szCs w:val="24"/>
        </w:rPr>
      </w:pPr>
      <w:r>
        <w:rPr>
          <w:rFonts w:ascii="Times New Roman" w:eastAsia="Times New Roman" w:hAnsi="Times New Roman"/>
          <w:sz w:val="24"/>
          <w:szCs w:val="24"/>
          <w:u w:val="single"/>
        </w:rPr>
        <w:t>FDA Response to Issue Eleven</w:t>
      </w:r>
      <w:r>
        <w:rPr>
          <w:rFonts w:ascii="Times New Roman" w:eastAsia="Times New Roman" w:hAnsi="Times New Roman"/>
          <w:sz w:val="24"/>
          <w:szCs w:val="24"/>
        </w:rPr>
        <w:t xml:space="preserve">:  FDA agrees with commenters that it may be useful to know the report or case number for other required or voluntary submissions made to FDA about the same issue.  This information may be included in the “For Notification: Description of Event/Issue” or “For Request for Termination of Notification: Description of why notification is </w:t>
      </w:r>
      <w:r>
        <w:rPr>
          <w:rFonts w:ascii="Times New Roman" w:eastAsia="Times New Roman" w:hAnsi="Times New Roman"/>
          <w:sz w:val="24"/>
          <w:szCs w:val="24"/>
        </w:rPr>
        <w:lastRenderedPageBreak/>
        <w:t xml:space="preserve">no longer necessary” fields.  FDA amended the instructions on the Form FDA 3911 for notifying parties to provide this information if known.  </w:t>
      </w:r>
    </w:p>
    <w:p w14:paraId="2F607A90" w14:textId="77777777" w:rsidR="00AF3263" w:rsidRDefault="00AF3263" w:rsidP="00AF3263">
      <w:pPr>
        <w:spacing w:after="0" w:line="480" w:lineRule="auto"/>
        <w:ind w:firstLine="720"/>
        <w:outlineLvl w:val="2"/>
        <w:rPr>
          <w:rFonts w:ascii="Times New Roman" w:eastAsia="Times New Roman" w:hAnsi="Times New Roman"/>
          <w:sz w:val="24"/>
          <w:szCs w:val="24"/>
        </w:rPr>
      </w:pPr>
      <w:r>
        <w:rPr>
          <w:rFonts w:ascii="Times New Roman" w:eastAsia="Times New Roman" w:hAnsi="Times New Roman"/>
          <w:sz w:val="24"/>
          <w:szCs w:val="24"/>
          <w:u w:val="single"/>
        </w:rPr>
        <w:t>Issue Twelve</w:t>
      </w:r>
      <w:r>
        <w:rPr>
          <w:rFonts w:ascii="Times New Roman" w:eastAsia="Times New Roman" w:hAnsi="Times New Roman"/>
          <w:sz w:val="24"/>
          <w:szCs w:val="24"/>
        </w:rPr>
        <w:t xml:space="preserve">: Commenters requested a check box to indicate that testing of the drug product was completed.  </w:t>
      </w:r>
    </w:p>
    <w:p w14:paraId="234AB6B6" w14:textId="77777777" w:rsidR="00AF3263" w:rsidRDefault="00AF3263" w:rsidP="00AF3263">
      <w:pPr>
        <w:spacing w:after="0" w:line="480" w:lineRule="auto"/>
        <w:ind w:firstLine="720"/>
        <w:outlineLvl w:val="2"/>
        <w:rPr>
          <w:rFonts w:ascii="Times New Roman" w:eastAsia="Times New Roman" w:hAnsi="Times New Roman"/>
          <w:sz w:val="24"/>
          <w:szCs w:val="24"/>
        </w:rPr>
      </w:pPr>
      <w:r>
        <w:rPr>
          <w:rFonts w:ascii="Times New Roman" w:eastAsia="Times New Roman" w:hAnsi="Times New Roman"/>
          <w:sz w:val="24"/>
          <w:szCs w:val="24"/>
          <w:u w:val="single"/>
        </w:rPr>
        <w:t>FDA Response to Issue Twelve</w:t>
      </w:r>
      <w:r>
        <w:rPr>
          <w:rFonts w:ascii="Times New Roman" w:eastAsia="Times New Roman" w:hAnsi="Times New Roman"/>
          <w:sz w:val="24"/>
          <w:szCs w:val="24"/>
        </w:rPr>
        <w:t>: FDA did not add a check box to indicate if testing was completed.  However, the company making the notification or request for termination should provide this type of information in the fields, “For Notification, Description of Event/Issue” or “For Request for Termination of Notification: Description of why notification is no longer necessary.”</w:t>
      </w:r>
    </w:p>
    <w:p w14:paraId="04503A24" w14:textId="77777777" w:rsidR="00AF3263" w:rsidRDefault="00AF3263" w:rsidP="00AF3263">
      <w:pPr>
        <w:spacing w:after="0" w:line="480" w:lineRule="auto"/>
        <w:ind w:firstLine="720"/>
        <w:outlineLvl w:val="2"/>
        <w:rPr>
          <w:rFonts w:ascii="Times New Roman" w:eastAsia="Times New Roman" w:hAnsi="Times New Roman"/>
          <w:sz w:val="24"/>
          <w:szCs w:val="24"/>
        </w:rPr>
      </w:pPr>
      <w:r>
        <w:rPr>
          <w:rFonts w:ascii="Times New Roman" w:eastAsia="Times New Roman" w:hAnsi="Times New Roman"/>
          <w:sz w:val="24"/>
          <w:szCs w:val="24"/>
          <w:u w:val="single"/>
        </w:rPr>
        <w:t>Issue Thirteen</w:t>
      </w:r>
      <w:r>
        <w:rPr>
          <w:rFonts w:ascii="Times New Roman" w:eastAsia="Times New Roman" w:hAnsi="Times New Roman"/>
          <w:sz w:val="24"/>
          <w:szCs w:val="24"/>
        </w:rPr>
        <w:t>: Commenters asked for clarification about the purpose of the “drug use” and “drug description” fields.</w:t>
      </w:r>
    </w:p>
    <w:p w14:paraId="14D31846" w14:textId="77777777" w:rsidR="00AF3263" w:rsidRDefault="00AF3263" w:rsidP="00AF3263">
      <w:pPr>
        <w:spacing w:after="0" w:line="480" w:lineRule="auto"/>
        <w:ind w:firstLine="720"/>
        <w:outlineLvl w:val="2"/>
        <w:rPr>
          <w:rFonts w:ascii="Times New Roman" w:eastAsia="Times New Roman" w:hAnsi="Times New Roman"/>
          <w:sz w:val="24"/>
          <w:szCs w:val="24"/>
        </w:rPr>
      </w:pPr>
      <w:r>
        <w:rPr>
          <w:rFonts w:ascii="Times New Roman" w:eastAsia="Times New Roman" w:hAnsi="Times New Roman"/>
          <w:sz w:val="24"/>
          <w:szCs w:val="24"/>
          <w:u w:val="single"/>
        </w:rPr>
        <w:t>FDA Response to Issue Thirteen</w:t>
      </w:r>
      <w:r>
        <w:rPr>
          <w:rFonts w:ascii="Times New Roman" w:eastAsia="Times New Roman" w:hAnsi="Times New Roman"/>
          <w:sz w:val="24"/>
          <w:szCs w:val="24"/>
        </w:rPr>
        <w:t xml:space="preserve">:  The DSCSA applies to prescription drugs for human use.  Including these fields helps FDA confirm that the DSCSA requirement applies to the product(s) subject to the notification.  The fields also provide flexibility for future use of this form in other contexts.  FDA included an “other” option under the “drug use” field to choose if a drug has multiple approvals for use.  An instruction to explain “other” when selected by a notifying person or entity was added.  We have also included more choices under the “drug description” field to help FDA distinguish between products regulated by the Center for Drug Evaluation and Research and the Center for Biologics Evaluation and Research.  </w:t>
      </w:r>
    </w:p>
    <w:p w14:paraId="0156FAD1" w14:textId="77777777" w:rsidR="00AF3263" w:rsidRDefault="00AF3263" w:rsidP="00AF3263">
      <w:pPr>
        <w:spacing w:after="0" w:line="480" w:lineRule="auto"/>
        <w:outlineLvl w:val="2"/>
        <w:rPr>
          <w:rFonts w:ascii="Times New Roman" w:eastAsia="Times New Roman" w:hAnsi="Times New Roman"/>
          <w:b/>
          <w:sz w:val="24"/>
          <w:szCs w:val="24"/>
        </w:rPr>
      </w:pPr>
      <w:r>
        <w:rPr>
          <w:rFonts w:ascii="Times New Roman" w:eastAsia="Times New Roman" w:hAnsi="Times New Roman"/>
          <w:b/>
          <w:sz w:val="24"/>
          <w:szCs w:val="24"/>
        </w:rPr>
        <w:t>High Risk of Illegitimacy-related Issues:</w:t>
      </w:r>
    </w:p>
    <w:p w14:paraId="00E0DF0C" w14:textId="77777777" w:rsidR="00AF3263" w:rsidRDefault="00AF3263" w:rsidP="00AF3263">
      <w:pPr>
        <w:spacing w:after="0" w:line="480" w:lineRule="auto"/>
        <w:ind w:firstLine="720"/>
        <w:rPr>
          <w:rFonts w:ascii="Times New Roman" w:eastAsia="Times New Roman" w:hAnsi="Times New Roman"/>
          <w:sz w:val="24"/>
          <w:szCs w:val="24"/>
        </w:rPr>
      </w:pPr>
      <w:r>
        <w:rPr>
          <w:rFonts w:ascii="Times New Roman" w:eastAsia="Times New Roman" w:hAnsi="Times New Roman"/>
          <w:sz w:val="24"/>
          <w:szCs w:val="24"/>
          <w:u w:val="single"/>
        </w:rPr>
        <w:t>Issue Fourteen</w:t>
      </w:r>
      <w:r>
        <w:rPr>
          <w:rFonts w:ascii="Times New Roman" w:eastAsia="Times New Roman" w:hAnsi="Times New Roman"/>
          <w:sz w:val="24"/>
          <w:szCs w:val="24"/>
        </w:rPr>
        <w:t xml:space="preserve">: Several manufacturers requested clarification and specific information about how to document that a notification is for a product with “a high risk of illegitimacy.”  </w:t>
      </w:r>
    </w:p>
    <w:p w14:paraId="4DD98EE6" w14:textId="77777777" w:rsidR="00AF3263" w:rsidRDefault="00AF3263" w:rsidP="00AF3263">
      <w:pPr>
        <w:spacing w:after="0" w:line="480" w:lineRule="auto"/>
        <w:ind w:firstLine="720"/>
        <w:rPr>
          <w:rFonts w:ascii="Times New Roman" w:hAnsi="Times New Roman"/>
          <w:sz w:val="24"/>
          <w:szCs w:val="24"/>
        </w:rPr>
      </w:pPr>
      <w:r>
        <w:rPr>
          <w:rFonts w:ascii="Times New Roman" w:eastAsia="Times New Roman" w:hAnsi="Times New Roman"/>
          <w:sz w:val="24"/>
          <w:szCs w:val="24"/>
          <w:u w:val="single"/>
        </w:rPr>
        <w:lastRenderedPageBreak/>
        <w:t>FDA Response to Issue Fourteen</w:t>
      </w:r>
      <w:r>
        <w:rPr>
          <w:rFonts w:ascii="Times New Roman" w:eastAsia="Times New Roman" w:hAnsi="Times New Roman"/>
          <w:sz w:val="24"/>
          <w:szCs w:val="24"/>
        </w:rPr>
        <w:t xml:space="preserve">: In the draft guidance, FDA did not distinguish between illegitimate product notifications and high risk of illegitimacy notifications because the timing and process for these submissions is the same.  However, because we received several comments, FDA has revised the guidance to specify the process for notifications for products with a “high risk of illegitimacy” that are required by the DSCSA to be submitted by manufacturers.  The guidance provides direction for manufacturers on how to submit notifications for the high risk of illegitimacy.  It also clarifies what a manufacturer should do if a product with high risk of illegitimacy is found to be an illegitimate product.  FDA also amended the instructions for Form FDA 3911 to indicate that manufacturers document a notification for product with a “high risk of Illegitimacy” in the “For Notification, Description of Event/Issue” field.  </w:t>
      </w:r>
      <w:r>
        <w:rPr>
          <w:rFonts w:ascii="Times New Roman" w:hAnsi="Times New Roman"/>
          <w:sz w:val="24"/>
          <w:szCs w:val="24"/>
        </w:rPr>
        <w:t xml:space="preserve">FDA clarified the instructions for several other fields on the Form FDA 3911 to indicate that they apply to both notifications for illegitimate products and for products with a high risk of illegitimacy. </w:t>
      </w:r>
    </w:p>
    <w:p w14:paraId="2E4BF418" w14:textId="77777777" w:rsidR="00AF3263" w:rsidRDefault="00AF3263" w:rsidP="00AF3263">
      <w:pPr>
        <w:spacing w:after="0" w:line="480" w:lineRule="auto"/>
        <w:outlineLvl w:val="2"/>
        <w:rPr>
          <w:rFonts w:ascii="Times New Roman" w:eastAsia="Times New Roman" w:hAnsi="Times New Roman"/>
          <w:sz w:val="24"/>
          <w:szCs w:val="24"/>
        </w:rPr>
      </w:pPr>
      <w:r>
        <w:rPr>
          <w:rFonts w:ascii="Times New Roman" w:eastAsia="Times New Roman" w:hAnsi="Times New Roman"/>
          <w:b/>
          <w:sz w:val="24"/>
          <w:szCs w:val="24"/>
        </w:rPr>
        <w:t>Timing-related Issues:</w:t>
      </w:r>
    </w:p>
    <w:p w14:paraId="32E0027A" w14:textId="77777777" w:rsidR="00AF3263" w:rsidRDefault="00AF3263" w:rsidP="00AF3263">
      <w:pPr>
        <w:spacing w:after="0" w:line="480" w:lineRule="auto"/>
        <w:outlineLvl w:val="2"/>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u w:val="single"/>
        </w:rPr>
        <w:t>Issue Fifteen</w:t>
      </w:r>
      <w:r>
        <w:rPr>
          <w:rFonts w:ascii="Times New Roman" w:eastAsia="Times New Roman" w:hAnsi="Times New Roman"/>
          <w:sz w:val="24"/>
          <w:szCs w:val="24"/>
        </w:rPr>
        <w:t xml:space="preserve">: Commenters asked for clarification regarding the requirement to submit a notification within 24 hours of making the determination that a product is illegitimate or has a high risk of illegitimacy. </w:t>
      </w:r>
    </w:p>
    <w:p w14:paraId="56CBE048" w14:textId="77777777" w:rsidR="00AF3263" w:rsidRDefault="00AF3263" w:rsidP="00AF3263">
      <w:pPr>
        <w:spacing w:after="0" w:line="480" w:lineRule="auto"/>
        <w:outlineLvl w:val="2"/>
        <w:rPr>
          <w:rFonts w:ascii="Times New Roman" w:eastAsia="Times New Roman" w:hAnsi="Times New Roman"/>
          <w:sz w:val="24"/>
          <w:szCs w:val="24"/>
        </w:rPr>
      </w:pPr>
      <w:r>
        <w:rPr>
          <w:rFonts w:ascii="Times New Roman" w:eastAsia="Times New Roman" w:hAnsi="Times New Roman"/>
          <w:b/>
          <w:sz w:val="24"/>
          <w:szCs w:val="24"/>
        </w:rPr>
        <w:tab/>
      </w:r>
      <w:r>
        <w:rPr>
          <w:rFonts w:ascii="Times New Roman" w:eastAsia="Times New Roman" w:hAnsi="Times New Roman"/>
          <w:sz w:val="24"/>
          <w:szCs w:val="24"/>
          <w:u w:val="single"/>
        </w:rPr>
        <w:t>FDA Response to Issue Fifteen</w:t>
      </w:r>
      <w:r>
        <w:rPr>
          <w:rFonts w:ascii="Times New Roman" w:eastAsia="Times New Roman" w:hAnsi="Times New Roman"/>
          <w:sz w:val="24"/>
          <w:szCs w:val="24"/>
        </w:rPr>
        <w:t xml:space="preserve">:  The DSCSA specifies that notifications are to be submitted no later than 24 hours after making the determination that a product in the possession or control of the trading partner is illegitimate.  This same timeframe also applies to manufacturers notifying FDA and other trading partners when they determine that a product has a high risk of illegitimacy.  This timeframe will help prevent or limit illegitimate product or </w:t>
      </w:r>
      <w:r>
        <w:rPr>
          <w:rFonts w:ascii="Times New Roman" w:eastAsia="Times New Roman" w:hAnsi="Times New Roman"/>
          <w:sz w:val="24"/>
          <w:szCs w:val="24"/>
        </w:rPr>
        <w:lastRenderedPageBreak/>
        <w:t xml:space="preserve">product with a high risk of illegitimacy from entering or being further distributed in the U. S. supply chain. </w:t>
      </w:r>
    </w:p>
    <w:p w14:paraId="6667FB74" w14:textId="77777777" w:rsidR="00AF3263" w:rsidRDefault="00AF3263" w:rsidP="00AF3263">
      <w:pPr>
        <w:spacing w:after="0" w:line="480" w:lineRule="auto"/>
        <w:ind w:firstLine="720"/>
        <w:outlineLvl w:val="2"/>
        <w:rPr>
          <w:rFonts w:ascii="Times New Roman" w:eastAsia="Times New Roman" w:hAnsi="Times New Roman"/>
          <w:sz w:val="24"/>
          <w:szCs w:val="24"/>
        </w:rPr>
      </w:pPr>
      <w:r>
        <w:rPr>
          <w:rFonts w:ascii="Times New Roman" w:eastAsia="Times New Roman" w:hAnsi="Times New Roman"/>
          <w:sz w:val="24"/>
          <w:szCs w:val="24"/>
          <w:u w:val="single"/>
        </w:rPr>
        <w:t>Issue Sixteen</w:t>
      </w:r>
      <w:r>
        <w:rPr>
          <w:rFonts w:ascii="Times New Roman" w:eastAsia="Times New Roman" w:hAnsi="Times New Roman"/>
          <w:sz w:val="24"/>
          <w:szCs w:val="24"/>
        </w:rPr>
        <w:t xml:space="preserve">: Several commenters indicated that a 10-day timeframe for FDA to provide a consultation in response to a request for termination is too long and could result in drug shortages.  Commenters stated that the process for requesting expedited consultation was unclear. </w:t>
      </w:r>
    </w:p>
    <w:p w14:paraId="3E266E0D" w14:textId="77777777" w:rsidR="00AF3263" w:rsidRDefault="00AF3263" w:rsidP="00AF3263">
      <w:pPr>
        <w:spacing w:after="0" w:line="480" w:lineRule="auto"/>
        <w:outlineLvl w:val="2"/>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u w:val="single"/>
        </w:rPr>
        <w:t>FDA Response to Issue Sixteen</w:t>
      </w:r>
      <w:r>
        <w:rPr>
          <w:rFonts w:ascii="Times New Roman" w:eastAsia="Times New Roman" w:hAnsi="Times New Roman"/>
          <w:sz w:val="24"/>
          <w:szCs w:val="24"/>
        </w:rPr>
        <w:t xml:space="preserve">:  FDA will review and consult with notifying parties regarding requests for termination as soon as possible.  The timing of FDA’s review and consultation will depend on the number of requests and the circumstances surrounding the requests for termination that are received.  Since notifications under the DSCSA are submitted to FDA when it has been determined by trading partners that a product is illegitimate or by manufacturers that a product has a high risk of illegitimacy, in many cases, these products would be counterfeit, intentionally adulterated, diverted, stolen, or otherwise unfit for further distribution and would likely not be further distributed.  As FDA indicated in the draft guidance, FDA will consider requests for expedited review when included with a request for termination.  We have clarified the process for requesting expedited review by adding an instruction to Form FDA 3911 directing the company that is requesting termination to also request and justify the need for expedited review when explaining why the notification is no longer necessary. </w:t>
      </w:r>
    </w:p>
    <w:p w14:paraId="6358CB8D" w14:textId="77777777" w:rsidR="00AF3263" w:rsidRDefault="00AF3263" w:rsidP="00AF3263">
      <w:pPr>
        <w:spacing w:after="0" w:line="480" w:lineRule="auto"/>
        <w:outlineLvl w:val="2"/>
        <w:rPr>
          <w:rFonts w:ascii="Times New Roman" w:eastAsia="Times New Roman" w:hAnsi="Times New Roman"/>
          <w:sz w:val="24"/>
          <w:szCs w:val="24"/>
        </w:rPr>
      </w:pPr>
      <w:r>
        <w:rPr>
          <w:rFonts w:ascii="Times New Roman" w:eastAsia="Times New Roman" w:hAnsi="Times New Roman"/>
          <w:b/>
          <w:sz w:val="24"/>
          <w:szCs w:val="24"/>
        </w:rPr>
        <w:t>Duplication of submission-related Issues</w:t>
      </w:r>
    </w:p>
    <w:p w14:paraId="6085D077" w14:textId="77777777" w:rsidR="00AF3263" w:rsidRDefault="00AF3263" w:rsidP="00AF3263">
      <w:pPr>
        <w:spacing w:after="0" w:line="480" w:lineRule="auto"/>
        <w:ind w:firstLine="720"/>
        <w:outlineLvl w:val="2"/>
        <w:rPr>
          <w:rFonts w:ascii="Times New Roman" w:eastAsia="Times New Roman" w:hAnsi="Times New Roman"/>
          <w:sz w:val="24"/>
          <w:szCs w:val="24"/>
        </w:rPr>
      </w:pPr>
      <w:r>
        <w:rPr>
          <w:rFonts w:ascii="Times New Roman" w:eastAsia="Times New Roman" w:hAnsi="Times New Roman"/>
          <w:sz w:val="24"/>
          <w:szCs w:val="24"/>
          <w:u w:val="single"/>
        </w:rPr>
        <w:t>Issue Seventeen</w:t>
      </w:r>
      <w:r>
        <w:rPr>
          <w:rFonts w:ascii="Times New Roman" w:eastAsia="Times New Roman" w:hAnsi="Times New Roman"/>
          <w:sz w:val="24"/>
          <w:szCs w:val="24"/>
        </w:rPr>
        <w:t>: Comments were received requesting an explanation of why the development of Form FDA 3911 was necessary instead of using the standard field alert report (FAR) for notifications under the DSCSA.</w:t>
      </w:r>
    </w:p>
    <w:p w14:paraId="089B42D2" w14:textId="77777777" w:rsidR="00AF3263" w:rsidRDefault="00AF3263" w:rsidP="00AF3263">
      <w:pPr>
        <w:spacing w:after="0" w:line="480" w:lineRule="auto"/>
        <w:ind w:firstLine="720"/>
        <w:outlineLvl w:val="2"/>
        <w:rPr>
          <w:rFonts w:ascii="Times New Roman" w:eastAsia="Times New Roman" w:hAnsi="Times New Roman"/>
          <w:sz w:val="24"/>
          <w:szCs w:val="24"/>
        </w:rPr>
      </w:pPr>
      <w:r>
        <w:rPr>
          <w:rFonts w:ascii="Times New Roman" w:eastAsia="Times New Roman" w:hAnsi="Times New Roman"/>
          <w:sz w:val="24"/>
          <w:szCs w:val="24"/>
          <w:u w:val="single"/>
        </w:rPr>
        <w:lastRenderedPageBreak/>
        <w:t>FDA Response to Issue Seventeen</w:t>
      </w:r>
      <w:r>
        <w:rPr>
          <w:rFonts w:ascii="Times New Roman" w:eastAsia="Times New Roman" w:hAnsi="Times New Roman"/>
          <w:sz w:val="24"/>
          <w:szCs w:val="24"/>
        </w:rPr>
        <w:t xml:space="preserve">:  The FAR is a required postmarketing report made by an application holder (new drug or generic drug) when there is a quality problem associated with a drug as outlined in 21 C.F.R. § 314.81(b)(1).   FDA developed Form FDA 3911 because the FAR form was inadequate for making notifications required under the DSCSA for a product that is illegitimate or has a high risk of illegitimacy for a reason not necessarily related to product quality (e.g., diverted, stolen, etc.).  In addition, only applicant holders are required to submit the FAR to FDA.  Illegitimate product notifications are required to be sent to FDA by manufacturers, repackagers, distributors, and dispensers.  Notifications of products with a high risk of illegitimacy are also required to be submitted by manufacturers.  It is not known how frequently the same incident will generate submission of a FAR and Form FDA 3911 notifications.  FDA is collecting information on the FDA Form 3911 that will enable us to quantify duplication of submissions.  </w:t>
      </w:r>
    </w:p>
    <w:p w14:paraId="475F20BF" w14:textId="77777777" w:rsidR="00AF3263" w:rsidRDefault="00AF3263" w:rsidP="00AF3263">
      <w:pPr>
        <w:spacing w:after="0" w:line="480" w:lineRule="auto"/>
        <w:ind w:firstLine="720"/>
        <w:outlineLvl w:val="2"/>
        <w:rPr>
          <w:rFonts w:ascii="Times New Roman" w:eastAsia="Times New Roman" w:hAnsi="Times New Roman"/>
          <w:sz w:val="24"/>
          <w:szCs w:val="24"/>
        </w:rPr>
      </w:pPr>
      <w:r>
        <w:rPr>
          <w:rFonts w:ascii="Times New Roman" w:eastAsia="Times New Roman" w:hAnsi="Times New Roman"/>
          <w:sz w:val="24"/>
          <w:szCs w:val="24"/>
          <w:u w:val="single"/>
        </w:rPr>
        <w:t>Issue Eighteen</w:t>
      </w:r>
      <w:r>
        <w:rPr>
          <w:rFonts w:ascii="Times New Roman" w:eastAsia="Times New Roman" w:hAnsi="Times New Roman"/>
          <w:sz w:val="24"/>
          <w:szCs w:val="24"/>
        </w:rPr>
        <w:t>: Commenters requested clarification about whether every trading partner should submit a separate notification to the FDA about the same illegitimate product.</w:t>
      </w:r>
    </w:p>
    <w:p w14:paraId="27780A8B" w14:textId="77777777" w:rsidR="00AF3263" w:rsidRDefault="00AF3263" w:rsidP="00AF3263">
      <w:pPr>
        <w:spacing w:after="0" w:line="480" w:lineRule="auto"/>
        <w:ind w:firstLine="720"/>
        <w:outlineLvl w:val="2"/>
        <w:rPr>
          <w:rFonts w:ascii="Times New Roman" w:eastAsia="Times New Roman" w:hAnsi="Times New Roman"/>
          <w:sz w:val="24"/>
          <w:szCs w:val="24"/>
        </w:rPr>
      </w:pPr>
      <w:r>
        <w:rPr>
          <w:rFonts w:ascii="Times New Roman" w:eastAsia="Times New Roman" w:hAnsi="Times New Roman"/>
          <w:sz w:val="24"/>
          <w:szCs w:val="24"/>
          <w:u w:val="single"/>
        </w:rPr>
        <w:t>FDA Response to Issue Eighteen</w:t>
      </w:r>
      <w:r>
        <w:rPr>
          <w:rFonts w:ascii="Times New Roman" w:eastAsia="Times New Roman" w:hAnsi="Times New Roman"/>
          <w:sz w:val="24"/>
          <w:szCs w:val="24"/>
        </w:rPr>
        <w:t xml:space="preserve">: The DSCSA requires that certain trading partners (manufacturers, repackagers, wholesale distributors, and dispensers) with illegitimate product in their possession or control submit a notification.  Trading partners should submit notifications as required.  </w:t>
      </w:r>
    </w:p>
    <w:p w14:paraId="43393117" w14:textId="77777777" w:rsidR="00AF3263" w:rsidRDefault="00AF3263" w:rsidP="00AF3263">
      <w:pPr>
        <w:spacing w:after="0" w:line="480" w:lineRule="auto"/>
        <w:ind w:firstLine="720"/>
        <w:outlineLvl w:val="2"/>
        <w:rPr>
          <w:rFonts w:ascii="Times New Roman" w:eastAsia="Times New Roman" w:hAnsi="Times New Roman"/>
          <w:sz w:val="24"/>
          <w:szCs w:val="24"/>
        </w:rPr>
      </w:pPr>
      <w:r>
        <w:rPr>
          <w:rFonts w:ascii="Times New Roman" w:eastAsia="Times New Roman" w:hAnsi="Times New Roman"/>
          <w:sz w:val="24"/>
          <w:szCs w:val="24"/>
          <w:u w:val="single"/>
        </w:rPr>
        <w:t>Issue Nineteen</w:t>
      </w:r>
      <w:r>
        <w:rPr>
          <w:rFonts w:ascii="Times New Roman" w:eastAsia="Times New Roman" w:hAnsi="Times New Roman"/>
          <w:sz w:val="24"/>
          <w:szCs w:val="24"/>
        </w:rPr>
        <w:t xml:space="preserve">: Commenters requested clarification about whether they are required to submit a notification to the FDA if they are notified of a suspect or illegitimate product by the FDA and determine that they have it in their possession or control. </w:t>
      </w:r>
    </w:p>
    <w:p w14:paraId="041D1AD9" w14:textId="77777777" w:rsidR="00AF3263" w:rsidRDefault="00AF3263" w:rsidP="00AF3263">
      <w:pPr>
        <w:spacing w:after="0" w:line="480" w:lineRule="auto"/>
        <w:ind w:firstLine="720"/>
        <w:outlineLvl w:val="2"/>
        <w:rPr>
          <w:rFonts w:ascii="Times New Roman" w:eastAsia="Times New Roman" w:hAnsi="Times New Roman"/>
          <w:sz w:val="24"/>
          <w:szCs w:val="24"/>
        </w:rPr>
      </w:pPr>
      <w:r>
        <w:rPr>
          <w:rFonts w:ascii="Times New Roman" w:eastAsia="Times New Roman" w:hAnsi="Times New Roman"/>
          <w:sz w:val="24"/>
          <w:szCs w:val="24"/>
          <w:u w:val="single"/>
        </w:rPr>
        <w:t>FDA Response to Issue Nineteen</w:t>
      </w:r>
      <w:r>
        <w:rPr>
          <w:rFonts w:ascii="Times New Roman" w:eastAsia="Times New Roman" w:hAnsi="Times New Roman"/>
          <w:sz w:val="24"/>
          <w:szCs w:val="24"/>
        </w:rPr>
        <w:t xml:space="preserve">: The DSCSA requires trading partners to submit an illegitimate product notification to the FDA, if a trading partner receives a notification from the </w:t>
      </w:r>
      <w:r>
        <w:rPr>
          <w:rFonts w:ascii="Times New Roman" w:eastAsia="Times New Roman" w:hAnsi="Times New Roman"/>
          <w:sz w:val="24"/>
          <w:szCs w:val="24"/>
        </w:rPr>
        <w:lastRenderedPageBreak/>
        <w:t>FDA about a suspect or illegitimate product and finds, after the appropriate investigation as required by DSCSA, that they have illegitimate product in their possession or control.</w:t>
      </w:r>
    </w:p>
    <w:p w14:paraId="6B9BA1FD" w14:textId="77777777" w:rsidR="00AF3263" w:rsidRDefault="00AF3263" w:rsidP="00AF3263">
      <w:pPr>
        <w:spacing w:after="0" w:line="480" w:lineRule="auto"/>
        <w:outlineLvl w:val="2"/>
        <w:rPr>
          <w:rFonts w:ascii="Times New Roman" w:eastAsia="Times New Roman" w:hAnsi="Times New Roman"/>
          <w:b/>
          <w:sz w:val="24"/>
          <w:szCs w:val="24"/>
        </w:rPr>
      </w:pPr>
      <w:r>
        <w:rPr>
          <w:rFonts w:ascii="Times New Roman" w:eastAsia="Times New Roman" w:hAnsi="Times New Roman"/>
          <w:b/>
          <w:sz w:val="24"/>
          <w:szCs w:val="24"/>
        </w:rPr>
        <w:t>Notifying trading partners-related Issues:</w:t>
      </w:r>
    </w:p>
    <w:p w14:paraId="4CA258BA" w14:textId="77777777" w:rsidR="00AF3263" w:rsidRDefault="00AF3263" w:rsidP="00AF3263">
      <w:pPr>
        <w:spacing w:after="0" w:line="480" w:lineRule="auto"/>
        <w:outlineLvl w:val="2"/>
        <w:rPr>
          <w:rFonts w:ascii="Times New Roman" w:eastAsia="Times New Roman" w:hAnsi="Times New Roman"/>
          <w:sz w:val="24"/>
          <w:szCs w:val="24"/>
        </w:rPr>
      </w:pPr>
      <w:r>
        <w:rPr>
          <w:rFonts w:ascii="Times New Roman" w:eastAsia="Times New Roman" w:hAnsi="Times New Roman"/>
          <w:b/>
          <w:sz w:val="24"/>
          <w:szCs w:val="24"/>
        </w:rPr>
        <w:tab/>
      </w:r>
      <w:r>
        <w:rPr>
          <w:rFonts w:ascii="Times New Roman" w:eastAsia="Times New Roman" w:hAnsi="Times New Roman"/>
          <w:sz w:val="24"/>
          <w:szCs w:val="24"/>
          <w:u w:val="single"/>
        </w:rPr>
        <w:t>Issue Twenty</w:t>
      </w:r>
      <w:r>
        <w:rPr>
          <w:rFonts w:ascii="Times New Roman" w:eastAsia="Times New Roman" w:hAnsi="Times New Roman"/>
          <w:sz w:val="24"/>
          <w:szCs w:val="24"/>
        </w:rPr>
        <w:t xml:space="preserve">:  Several comments asked for clarification about the process for notifying trading partners of an illegitimate product.  Commenters stated that FDA should clarify that existing systems and processes can be used to make notifications to trading partners as well as informing them of terminations of such notifications. </w:t>
      </w:r>
    </w:p>
    <w:p w14:paraId="0B32AE1E" w14:textId="095B2B07" w:rsidR="00AF3263" w:rsidRDefault="00AF3263" w:rsidP="00AF3263">
      <w:pPr>
        <w:spacing w:after="0" w:line="480" w:lineRule="auto"/>
        <w:outlineLvl w:val="2"/>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u w:val="single"/>
        </w:rPr>
        <w:t>FDA Response to Issue Twenty</w:t>
      </w:r>
      <w:r>
        <w:rPr>
          <w:rFonts w:ascii="Times New Roman" w:eastAsia="Times New Roman" w:hAnsi="Times New Roman"/>
          <w:sz w:val="24"/>
          <w:szCs w:val="24"/>
        </w:rPr>
        <w:t>:  In the guidance, FDA specified that existing processes and systems can be used to inform trading partners that a notification has been terminated.  FDA agrees with the comments received and has added to the guidance that trading partners can use existing systems and processes to provide notification to trading partners that they believe may have possession or control of the illegitimate product or a product with high risk of illegitimacy.</w:t>
      </w:r>
    </w:p>
    <w:p w14:paraId="324E6082" w14:textId="77777777" w:rsidR="00AF3263" w:rsidRDefault="00AF3263" w:rsidP="00AF3263">
      <w:pPr>
        <w:spacing w:after="0" w:line="480" w:lineRule="auto"/>
        <w:ind w:firstLine="720"/>
        <w:outlineLvl w:val="2"/>
        <w:rPr>
          <w:rFonts w:ascii="Times New Roman" w:eastAsia="Times New Roman" w:hAnsi="Times New Roman"/>
          <w:sz w:val="24"/>
          <w:szCs w:val="24"/>
        </w:rPr>
      </w:pPr>
      <w:r>
        <w:rPr>
          <w:rFonts w:ascii="Times New Roman" w:eastAsia="Times New Roman" w:hAnsi="Times New Roman"/>
          <w:sz w:val="24"/>
          <w:szCs w:val="24"/>
          <w:u w:val="single"/>
        </w:rPr>
        <w:t>Issue Twenty-One</w:t>
      </w:r>
      <w:r>
        <w:rPr>
          <w:rFonts w:ascii="Times New Roman" w:eastAsia="Times New Roman" w:hAnsi="Times New Roman"/>
          <w:sz w:val="24"/>
          <w:szCs w:val="24"/>
        </w:rPr>
        <w:t xml:space="preserve">:  A commenter requested that FDA develop a system that would allow for notification of FDA and other trading partners at the same time.  </w:t>
      </w:r>
    </w:p>
    <w:p w14:paraId="03D92A21" w14:textId="77777777" w:rsidR="00AF3263" w:rsidRDefault="00AF3263" w:rsidP="00AF3263">
      <w:pPr>
        <w:spacing w:after="0" w:line="480" w:lineRule="auto"/>
        <w:ind w:firstLine="720"/>
        <w:outlineLvl w:val="2"/>
        <w:rPr>
          <w:rFonts w:ascii="Times New Roman" w:eastAsia="Times New Roman" w:hAnsi="Times New Roman"/>
          <w:sz w:val="24"/>
          <w:szCs w:val="24"/>
        </w:rPr>
      </w:pPr>
      <w:r>
        <w:rPr>
          <w:rFonts w:ascii="Times New Roman" w:eastAsia="Times New Roman" w:hAnsi="Times New Roman"/>
          <w:sz w:val="24"/>
          <w:szCs w:val="24"/>
          <w:u w:val="single"/>
        </w:rPr>
        <w:t>FDA Response to Issue Twenty-One</w:t>
      </w:r>
      <w:r>
        <w:rPr>
          <w:rFonts w:ascii="Times New Roman" w:eastAsia="Times New Roman" w:hAnsi="Times New Roman"/>
          <w:sz w:val="24"/>
          <w:szCs w:val="24"/>
        </w:rPr>
        <w:t>:  Manufacturers, repackagers, wholesale distributors, and dispensers with illegitimate product or manufacturers that determine that a product has a high risk of illegitimacy are responsible for notifying their trading partners in addition to the FDA.  FDA developed a process for trading partners to use to notify FDA using Form FDA 3911.  As clarified in the guidance and Issue Twenty above, the notifying person or entity can use its existing systems and processes to provide the necessary notification to trading partners.  Form FDA 3911 can also be used to notify other trading partners in addition to FDA.</w:t>
      </w:r>
    </w:p>
    <w:p w14:paraId="3D31F1BB" w14:textId="77777777" w:rsidR="00AF3263" w:rsidRDefault="00AF3263" w:rsidP="00AF3263">
      <w:pPr>
        <w:spacing w:after="0" w:line="480" w:lineRule="auto"/>
        <w:ind w:firstLine="720"/>
        <w:outlineLvl w:val="2"/>
        <w:rPr>
          <w:rFonts w:ascii="Times New Roman" w:eastAsia="Times New Roman" w:hAnsi="Times New Roman"/>
          <w:sz w:val="24"/>
          <w:szCs w:val="24"/>
        </w:rPr>
      </w:pPr>
      <w:r>
        <w:rPr>
          <w:rFonts w:ascii="Times New Roman" w:eastAsia="Times New Roman" w:hAnsi="Times New Roman"/>
          <w:sz w:val="24"/>
          <w:szCs w:val="24"/>
          <w:u w:val="single"/>
        </w:rPr>
        <w:lastRenderedPageBreak/>
        <w:t>Issue Twenty-Two</w:t>
      </w:r>
      <w:r>
        <w:rPr>
          <w:rFonts w:ascii="Times New Roman" w:eastAsia="Times New Roman" w:hAnsi="Times New Roman"/>
          <w:sz w:val="24"/>
          <w:szCs w:val="24"/>
        </w:rPr>
        <w:t>:  A commenter asked for clarification if dispensers’ immediate trading partners include other pharmacies in the same group of chain pharmacies as well as the wholesale distributor or manufacturer from whom the dispenser purchased drug.</w:t>
      </w:r>
    </w:p>
    <w:p w14:paraId="4013602F" w14:textId="77777777" w:rsidR="00AF3263" w:rsidRDefault="00AF3263" w:rsidP="00AF3263">
      <w:pPr>
        <w:spacing w:after="0" w:line="480" w:lineRule="auto"/>
        <w:ind w:firstLine="720"/>
        <w:outlineLvl w:val="2"/>
        <w:rPr>
          <w:rFonts w:ascii="Times New Roman" w:eastAsia="Times New Roman" w:hAnsi="Times New Roman"/>
          <w:sz w:val="24"/>
          <w:szCs w:val="24"/>
        </w:rPr>
      </w:pPr>
      <w:r>
        <w:rPr>
          <w:rFonts w:ascii="Times New Roman" w:eastAsia="Times New Roman" w:hAnsi="Times New Roman"/>
          <w:sz w:val="24"/>
          <w:szCs w:val="24"/>
          <w:u w:val="single"/>
        </w:rPr>
        <w:t>FDA Response to Issue Twenty-Two</w:t>
      </w:r>
      <w:r>
        <w:rPr>
          <w:rFonts w:ascii="Times New Roman" w:eastAsia="Times New Roman" w:hAnsi="Times New Roman"/>
          <w:sz w:val="24"/>
          <w:szCs w:val="24"/>
        </w:rPr>
        <w:t xml:space="preserve">: The intent of the notification provisions in the DSCSA is to prevent illegitimate product entering or being further distributed into the supply chain to protect public health.  FDA expects that a dispenser that has illegitimate product in its possession or control would let the other pharmacies that are part of the same group of chain pharmacies know about such illegitimate product if the dispenser has reason to believe that the other pharmacies might have possession or control of the same product. </w:t>
      </w:r>
    </w:p>
    <w:p w14:paraId="425DCF54" w14:textId="77777777" w:rsidR="00AF3263" w:rsidRDefault="00AF3263" w:rsidP="00AF3263">
      <w:pPr>
        <w:spacing w:after="0" w:line="480" w:lineRule="auto"/>
        <w:outlineLvl w:val="2"/>
        <w:rPr>
          <w:rFonts w:ascii="Times New Roman" w:eastAsia="Times New Roman" w:hAnsi="Times New Roman"/>
          <w:b/>
          <w:sz w:val="24"/>
          <w:szCs w:val="24"/>
        </w:rPr>
      </w:pPr>
      <w:r>
        <w:rPr>
          <w:rFonts w:ascii="Times New Roman" w:eastAsia="Times New Roman" w:hAnsi="Times New Roman"/>
          <w:b/>
          <w:sz w:val="24"/>
          <w:szCs w:val="24"/>
        </w:rPr>
        <w:t>Termination Process-related Issues:</w:t>
      </w:r>
    </w:p>
    <w:p w14:paraId="23E7A4B5" w14:textId="77777777" w:rsidR="00AF3263" w:rsidRDefault="00AF3263" w:rsidP="00AF3263">
      <w:pPr>
        <w:spacing w:after="0" w:line="480" w:lineRule="auto"/>
        <w:outlineLvl w:val="2"/>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u w:val="single"/>
        </w:rPr>
        <w:t>Issue Twenty-Three</w:t>
      </w:r>
      <w:r>
        <w:rPr>
          <w:rFonts w:ascii="Times New Roman" w:eastAsia="Times New Roman" w:hAnsi="Times New Roman"/>
          <w:sz w:val="24"/>
          <w:szCs w:val="24"/>
        </w:rPr>
        <w:t xml:space="preserve">: One commenter stated that FDA should publish guidance on criteria to terminate a notification so that the FDA does not have to play “gatekeeper” for the termination of a notification.  </w:t>
      </w:r>
    </w:p>
    <w:p w14:paraId="08A66968" w14:textId="77777777" w:rsidR="00AF3263" w:rsidRDefault="00AF3263" w:rsidP="00AF3263">
      <w:pPr>
        <w:spacing w:after="0" w:line="480" w:lineRule="auto"/>
        <w:outlineLvl w:val="2"/>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u w:val="single"/>
        </w:rPr>
        <w:t>FDA Response to Issue Twenty-Three</w:t>
      </w:r>
      <w:r>
        <w:rPr>
          <w:rFonts w:ascii="Times New Roman" w:eastAsia="Times New Roman" w:hAnsi="Times New Roman"/>
          <w:sz w:val="24"/>
          <w:szCs w:val="24"/>
        </w:rPr>
        <w:t xml:space="preserve">:  The DSCSA requires that a notification be terminated in consultation with the FDA.  FDA believes that this guidance addresses the process by which trading partners should use Form FDA 3911 to make requests for termination, and the form will serve as a request to consult with FDA. </w:t>
      </w:r>
    </w:p>
    <w:p w14:paraId="7326705A" w14:textId="77777777" w:rsidR="00AF3263" w:rsidRDefault="00AF3263" w:rsidP="00AF3263">
      <w:pPr>
        <w:spacing w:after="0" w:line="480" w:lineRule="auto"/>
        <w:outlineLvl w:val="2"/>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u w:val="single"/>
        </w:rPr>
        <w:t>Issue Twenty-Four</w:t>
      </w:r>
      <w:r>
        <w:rPr>
          <w:rFonts w:ascii="Times New Roman" w:eastAsia="Times New Roman" w:hAnsi="Times New Roman"/>
          <w:sz w:val="24"/>
          <w:szCs w:val="24"/>
        </w:rPr>
        <w:t xml:space="preserve">: Comments were received asking for clarification about which entities could request to terminate a notification.  Several commenters thought that FDA should be able to self-initiate a termination.  Other commenters suggested that the request for termination could be made by any involved trading partner and not limited to the trading partner making the initial notification.  </w:t>
      </w:r>
    </w:p>
    <w:p w14:paraId="24B12807" w14:textId="77777777" w:rsidR="00AF3263" w:rsidRDefault="00AF3263" w:rsidP="00AF3263">
      <w:pPr>
        <w:spacing w:after="0" w:line="480" w:lineRule="auto"/>
        <w:outlineLvl w:val="2"/>
        <w:rPr>
          <w:rFonts w:ascii="Times New Roman" w:eastAsia="Times New Roman" w:hAnsi="Times New Roman"/>
          <w:sz w:val="24"/>
          <w:szCs w:val="24"/>
        </w:rPr>
      </w:pPr>
      <w:r>
        <w:rPr>
          <w:rFonts w:ascii="Times New Roman" w:eastAsia="Times New Roman" w:hAnsi="Times New Roman"/>
          <w:sz w:val="24"/>
          <w:szCs w:val="24"/>
        </w:rPr>
        <w:lastRenderedPageBreak/>
        <w:tab/>
      </w:r>
      <w:r>
        <w:rPr>
          <w:rFonts w:ascii="Times New Roman" w:eastAsia="Times New Roman" w:hAnsi="Times New Roman"/>
          <w:sz w:val="24"/>
          <w:szCs w:val="24"/>
          <w:u w:val="single"/>
        </w:rPr>
        <w:t>FDA Response to Issue Twenty-Four</w:t>
      </w:r>
      <w:r>
        <w:rPr>
          <w:rFonts w:ascii="Times New Roman" w:eastAsia="Times New Roman" w:hAnsi="Times New Roman"/>
          <w:sz w:val="24"/>
          <w:szCs w:val="24"/>
        </w:rPr>
        <w:t xml:space="preserve">: FDA believes that the trading partner making the initial notification should be responsible for making the request for termination because they know if the illegitimate product in their possession or control has been satisfactorily dispositioned and if the notification is no longer necessary.  The process in the guidance has been amended to clarify this point. </w:t>
      </w:r>
    </w:p>
    <w:p w14:paraId="70CFB890" w14:textId="77777777" w:rsidR="00AF3263" w:rsidRDefault="00AF3263" w:rsidP="00AF3263">
      <w:pPr>
        <w:spacing w:after="0" w:line="480" w:lineRule="auto"/>
        <w:outlineLvl w:val="2"/>
        <w:rPr>
          <w:rFonts w:ascii="Times New Roman" w:eastAsia="Times New Roman" w:hAnsi="Times New Roman"/>
          <w:b/>
          <w:sz w:val="24"/>
          <w:szCs w:val="24"/>
        </w:rPr>
      </w:pPr>
      <w:r>
        <w:rPr>
          <w:rFonts w:ascii="Times New Roman" w:eastAsia="Times New Roman" w:hAnsi="Times New Roman"/>
          <w:b/>
          <w:sz w:val="24"/>
          <w:szCs w:val="24"/>
        </w:rPr>
        <w:t>Paper-Work Reduction Act (PRA) Analysis Related Issues.</w:t>
      </w:r>
    </w:p>
    <w:p w14:paraId="6BE86EE9" w14:textId="77777777" w:rsidR="00AF3263" w:rsidRDefault="00AF3263" w:rsidP="00AF3263">
      <w:pPr>
        <w:spacing w:after="0" w:line="480" w:lineRule="auto"/>
        <w:ind w:firstLine="720"/>
        <w:outlineLvl w:val="2"/>
        <w:rPr>
          <w:rFonts w:ascii="Times New Roman" w:eastAsia="Times New Roman" w:hAnsi="Times New Roman"/>
          <w:sz w:val="24"/>
          <w:szCs w:val="24"/>
        </w:rPr>
      </w:pPr>
      <w:r>
        <w:rPr>
          <w:rFonts w:ascii="Times New Roman" w:eastAsia="Times New Roman" w:hAnsi="Times New Roman"/>
          <w:sz w:val="24"/>
          <w:szCs w:val="24"/>
          <w:u w:val="single"/>
        </w:rPr>
        <w:t>Issue Twenty-Five</w:t>
      </w:r>
      <w:r>
        <w:rPr>
          <w:rFonts w:ascii="Times New Roman" w:eastAsia="Times New Roman" w:hAnsi="Times New Roman"/>
          <w:sz w:val="24"/>
          <w:szCs w:val="24"/>
        </w:rPr>
        <w:t xml:space="preserve">: One commenter stated that the estimates in the PRA analysis did not take into account the time it takes to investigate and make the determination that a product is illegitimate.  It only included the time to fill out the form and notify trading partners. </w:t>
      </w:r>
    </w:p>
    <w:p w14:paraId="4EF3D190" w14:textId="77777777" w:rsidR="00AF3263" w:rsidRDefault="00AF3263" w:rsidP="00AF3263">
      <w:pPr>
        <w:spacing w:after="0" w:line="480" w:lineRule="auto"/>
        <w:ind w:firstLine="720"/>
        <w:outlineLvl w:val="2"/>
        <w:rPr>
          <w:rFonts w:ascii="Times New Roman" w:eastAsia="Times New Roman" w:hAnsi="Times New Roman"/>
          <w:sz w:val="24"/>
          <w:szCs w:val="24"/>
        </w:rPr>
      </w:pPr>
      <w:r>
        <w:rPr>
          <w:rFonts w:ascii="Times New Roman" w:eastAsia="Times New Roman" w:hAnsi="Times New Roman"/>
          <w:sz w:val="24"/>
          <w:szCs w:val="24"/>
          <w:u w:val="single"/>
        </w:rPr>
        <w:t>FDA Response to Issue Twenty-Five</w:t>
      </w:r>
      <w:r>
        <w:rPr>
          <w:rFonts w:ascii="Times New Roman" w:eastAsia="Times New Roman" w:hAnsi="Times New Roman"/>
          <w:sz w:val="24"/>
          <w:szCs w:val="24"/>
        </w:rPr>
        <w:t xml:space="preserve">: While the commenter’s assessment is correct; the PRA analysis in this guidance was calculated for the process for making and terminating notifications to the FDA and notifying immediate trading partners who are believed to have the drug.  This guidance assumes that the determination has already been made that the drug is illegitimate or has a high risk of illegitimacy.  The FDA intends to publish additional guidance that will address the investigation of suspect product to determine that a product is illegitimate.  The PRA analysis for those activities will be covered at that time. </w:t>
      </w:r>
    </w:p>
    <w:p w14:paraId="7ABB50F5" w14:textId="77777777" w:rsidR="00AF3263" w:rsidRDefault="00AF3263" w:rsidP="00AF3263">
      <w:pPr>
        <w:spacing w:after="0" w:line="480" w:lineRule="auto"/>
        <w:ind w:firstLine="720"/>
        <w:outlineLvl w:val="2"/>
        <w:rPr>
          <w:rFonts w:ascii="Times New Roman" w:eastAsia="Times New Roman" w:hAnsi="Times New Roman"/>
          <w:sz w:val="24"/>
          <w:szCs w:val="24"/>
        </w:rPr>
      </w:pPr>
      <w:r>
        <w:rPr>
          <w:rFonts w:ascii="Times New Roman" w:eastAsia="Times New Roman" w:hAnsi="Times New Roman"/>
          <w:sz w:val="24"/>
          <w:szCs w:val="24"/>
          <w:u w:val="single"/>
        </w:rPr>
        <w:t>Issue Twenty-Six</w:t>
      </w:r>
      <w:r>
        <w:rPr>
          <w:rFonts w:ascii="Times New Roman" w:eastAsia="Times New Roman" w:hAnsi="Times New Roman"/>
          <w:sz w:val="24"/>
          <w:szCs w:val="24"/>
        </w:rPr>
        <w:t>: One commenter stated that, based on their experience, FDA estimates for notifications are high.</w:t>
      </w:r>
    </w:p>
    <w:p w14:paraId="7F1DCA6D" w14:textId="77777777" w:rsidR="00AF3263" w:rsidRDefault="00AF3263" w:rsidP="00AF3263">
      <w:pPr>
        <w:spacing w:after="0" w:line="480" w:lineRule="auto"/>
        <w:ind w:firstLine="720"/>
        <w:rPr>
          <w:rFonts w:ascii="Times New Roman" w:eastAsia="Times New Roman" w:hAnsi="Times New Roman"/>
          <w:sz w:val="24"/>
          <w:szCs w:val="24"/>
        </w:rPr>
      </w:pPr>
      <w:r>
        <w:rPr>
          <w:rFonts w:ascii="Times New Roman" w:eastAsia="Times New Roman" w:hAnsi="Times New Roman"/>
          <w:sz w:val="24"/>
          <w:szCs w:val="24"/>
          <w:u w:val="single"/>
        </w:rPr>
        <w:t>FDA Response to Comment Twenty-Six</w:t>
      </w:r>
      <w:r>
        <w:rPr>
          <w:rFonts w:ascii="Times New Roman" w:eastAsia="Times New Roman" w:hAnsi="Times New Roman"/>
          <w:sz w:val="24"/>
          <w:szCs w:val="24"/>
        </w:rPr>
        <w:t xml:space="preserve">: FDA reexamined the estimate of notifications in response to this comment.  FDA originally estimated that a total of approximately 5,000 notifications per year would be made by all manufacturers, repackagers, wholesale distributors, and dispensers based on FDA's experience with Field Alert Reports (FARs) (Form FDA 3331) required to be submitted by holders of approved drug applications for certain drug quality issues </w:t>
      </w:r>
      <w:r>
        <w:rPr>
          <w:rFonts w:ascii="Times New Roman" w:eastAsia="Times New Roman" w:hAnsi="Times New Roman"/>
          <w:sz w:val="24"/>
          <w:szCs w:val="24"/>
        </w:rPr>
        <w:lastRenderedPageBreak/>
        <w:t>(</w:t>
      </w:r>
      <w:hyperlink r:id="rId11" w:history="1">
        <w:r w:rsidRPr="00F77F76">
          <w:rPr>
            <w:rStyle w:val="Hyperlink"/>
            <w:rFonts w:ascii="Times New Roman" w:eastAsia="Times New Roman" w:hAnsi="Times New Roman"/>
            <w:color w:val="auto"/>
            <w:sz w:val="24"/>
            <w:szCs w:val="24"/>
          </w:rPr>
          <w:t>21 CFR 314.81</w:t>
        </w:r>
      </w:hyperlink>
      <w:r>
        <w:rPr>
          <w:rFonts w:ascii="Times New Roman" w:eastAsia="Times New Roman" w:hAnsi="Times New Roman"/>
          <w:sz w:val="24"/>
          <w:szCs w:val="24"/>
        </w:rPr>
        <w:t>(b)(1)), and with reports of the falsification of drug sample records, diversion, loss, and known theft of prescription drug samples as currently required under the Prescription Drug Marketing Act (PDMA).  We determined that the 5,000 FARs and 5,000 sample reporting under PDMA received each year included initial, follow-up, and final reports. While FDA does not know the exact number of notifications that will be submitted, we lowered the estimate to 1,000 notifications in response to the comment and our reexamination of the data and adjusted the PRA analysis accordingly.</w:t>
      </w:r>
    </w:p>
    <w:p w14:paraId="34EBA85E" w14:textId="77777777" w:rsidR="00AF3263" w:rsidRDefault="00AF3263" w:rsidP="00AF3263">
      <w:pPr>
        <w:spacing w:after="0" w:line="480" w:lineRule="auto"/>
        <w:ind w:firstLine="720"/>
        <w:outlineLvl w:val="2"/>
        <w:rPr>
          <w:rFonts w:ascii="Times New Roman" w:eastAsia="Times New Roman" w:hAnsi="Times New Roman"/>
          <w:sz w:val="24"/>
          <w:szCs w:val="24"/>
        </w:rPr>
      </w:pPr>
      <w:r>
        <w:rPr>
          <w:rFonts w:ascii="Times New Roman" w:eastAsia="Times New Roman" w:hAnsi="Times New Roman"/>
          <w:sz w:val="24"/>
          <w:szCs w:val="24"/>
          <w:u w:val="single"/>
        </w:rPr>
        <w:t>Issue Twenty-Seven</w:t>
      </w:r>
      <w:r>
        <w:rPr>
          <w:rFonts w:ascii="Times New Roman" w:eastAsia="Times New Roman" w:hAnsi="Times New Roman"/>
          <w:sz w:val="24"/>
          <w:szCs w:val="24"/>
        </w:rPr>
        <w:t xml:space="preserve">:  Commenters stated that the FDA estimated number of trading partners that would likely have the illegitimate product and have to be notified was high.  </w:t>
      </w:r>
    </w:p>
    <w:p w14:paraId="4FA6DFDC" w14:textId="77777777" w:rsidR="00AF3263" w:rsidRDefault="00AF3263" w:rsidP="00AF3263">
      <w:pPr>
        <w:spacing w:after="0" w:line="480" w:lineRule="auto"/>
        <w:ind w:firstLine="720"/>
        <w:outlineLvl w:val="2"/>
        <w:rPr>
          <w:rFonts w:ascii="Times New Roman" w:eastAsia="Times New Roman" w:hAnsi="Times New Roman"/>
          <w:sz w:val="24"/>
          <w:szCs w:val="24"/>
        </w:rPr>
      </w:pPr>
      <w:r>
        <w:rPr>
          <w:rFonts w:ascii="Times New Roman" w:eastAsia="Times New Roman" w:hAnsi="Times New Roman"/>
          <w:sz w:val="24"/>
          <w:szCs w:val="24"/>
          <w:u w:val="single"/>
        </w:rPr>
        <w:t>FDA Response to Comment Twenty-Seven</w:t>
      </w:r>
      <w:r>
        <w:rPr>
          <w:rFonts w:ascii="Times New Roman" w:eastAsia="Times New Roman" w:hAnsi="Times New Roman"/>
          <w:sz w:val="24"/>
          <w:szCs w:val="24"/>
        </w:rPr>
        <w:t>: FDA recognizes that not every trading partner will possess illegitimate product.  However, until serialization is required and implemented, the initial notifying person or entity may not be able to identify which specific immediate trading partners may possess or control illegitimate product.  FDA assumed that the initial notifying person or entity would have to notify all trading partners and we have chosen not to amend the number of trading partners that are notified at this time.</w:t>
      </w:r>
    </w:p>
    <w:p w14:paraId="4FE6E039" w14:textId="77777777" w:rsidR="00AF3263" w:rsidRDefault="00AF3263" w:rsidP="00AF3263">
      <w:pPr>
        <w:spacing w:after="0" w:line="480" w:lineRule="auto"/>
        <w:rPr>
          <w:rFonts w:ascii="Times New Roman" w:eastAsia="Times New Roman" w:hAnsi="Times New Roman"/>
          <w:iCs/>
          <w:sz w:val="24"/>
          <w:szCs w:val="24"/>
          <w:u w:val="single"/>
        </w:rPr>
      </w:pPr>
      <w:r w:rsidRPr="00F77F76">
        <w:rPr>
          <w:rFonts w:ascii="Times New Roman" w:eastAsia="Times New Roman" w:hAnsi="Times New Roman"/>
          <w:iCs/>
          <w:sz w:val="24"/>
          <w:szCs w:val="24"/>
        </w:rPr>
        <w:tab/>
      </w:r>
      <w:r>
        <w:rPr>
          <w:rFonts w:ascii="Times New Roman" w:eastAsia="Times New Roman" w:hAnsi="Times New Roman"/>
          <w:iCs/>
          <w:sz w:val="24"/>
          <w:szCs w:val="24"/>
          <w:u w:val="single"/>
        </w:rPr>
        <w:t xml:space="preserve">Issue Twenty-Eight: A major stakeholder association stated that they did not believe, based on past experience, that wholesale distributors would be making as many notifications as FDA estimated both to FDA and to trading partners.  </w:t>
      </w:r>
    </w:p>
    <w:p w14:paraId="6734DAB9" w14:textId="77777777" w:rsidR="00AF3263" w:rsidRDefault="00AF3263" w:rsidP="00AF3263">
      <w:pPr>
        <w:spacing w:after="0" w:line="480" w:lineRule="auto"/>
        <w:ind w:firstLine="720"/>
        <w:rPr>
          <w:rFonts w:ascii="Times New Roman" w:eastAsia="Times New Roman" w:hAnsi="Times New Roman"/>
          <w:sz w:val="24"/>
          <w:szCs w:val="24"/>
        </w:rPr>
      </w:pPr>
      <w:r>
        <w:rPr>
          <w:rFonts w:ascii="Times New Roman" w:eastAsia="Times New Roman" w:hAnsi="Times New Roman"/>
          <w:iCs/>
          <w:sz w:val="24"/>
          <w:szCs w:val="24"/>
          <w:u w:val="single"/>
        </w:rPr>
        <w:t>FDA Response to Issue Twenty-Eight</w:t>
      </w:r>
      <w:r>
        <w:rPr>
          <w:rFonts w:ascii="Times New Roman" w:eastAsia="Times New Roman" w:hAnsi="Times New Roman"/>
          <w:iCs/>
          <w:sz w:val="24"/>
          <w:szCs w:val="24"/>
        </w:rPr>
        <w:t xml:space="preserve">:  In the original estimates, </w:t>
      </w:r>
      <w:r>
        <w:rPr>
          <w:rFonts w:ascii="Times New Roman" w:eastAsia="Times New Roman" w:hAnsi="Times New Roman"/>
          <w:sz w:val="24"/>
          <w:szCs w:val="24"/>
        </w:rPr>
        <w:t xml:space="preserve">FDA assumed that most notifications will be made by three trading partners, manufacturers, repackagers, and wholesale distributors.  FDA reexamined the proportion of notification expected from each of the regulated groups.  The commenter had speculated that they believed that manufacturers would be making most notifications.  In addition, manufacturers are required to submit notifications of high risk of </w:t>
      </w:r>
      <w:r>
        <w:rPr>
          <w:rFonts w:ascii="Times New Roman" w:eastAsia="Times New Roman" w:hAnsi="Times New Roman"/>
          <w:sz w:val="24"/>
          <w:szCs w:val="24"/>
        </w:rPr>
        <w:lastRenderedPageBreak/>
        <w:t xml:space="preserve">illegitimacy.  In response to the comment and the fact that only manufacturers submit notifications of high risk of illegitimacy, FDA is changing the proportion of notifications that will be made by manufacturers and repackagers from 50 percent to 80 percent (800), from 45 percent to16 percent by wholesale distributors (160), and 5 percent to 4 percent by pharmacies (40).  FDA had also originally assumed that wholesale distributors would have to notify an average of 2,350 trading partners for each notification. We agree with the commenters that this was an overestimation and have lowered the number of trading partners to be notified by wholesale distributors to 1,175 (50 percent) for each notification. </w:t>
      </w:r>
    </w:p>
    <w:p w14:paraId="337795E0" w14:textId="77777777" w:rsidR="00A259A6" w:rsidRDefault="00A259A6" w:rsidP="00A259A6">
      <w:pPr>
        <w:tabs>
          <w:tab w:val="left" w:pos="-720"/>
          <w:tab w:val="left" w:pos="0"/>
          <w:tab w:val="left" w:pos="378"/>
          <w:tab w:val="left" w:pos="1440"/>
        </w:tabs>
        <w:spacing w:after="0" w:line="480" w:lineRule="auto"/>
        <w:ind w:hanging="378"/>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r>
      <w:r>
        <w:rPr>
          <w:rFonts w:ascii="Times New Roman" w:hAnsi="Times New Roman"/>
          <w:sz w:val="24"/>
          <w:szCs w:val="24"/>
          <w:u w:val="single"/>
        </w:rPr>
        <w:t>Explanation of Any Payment or Gift to Respondents</w:t>
      </w:r>
    </w:p>
    <w:p w14:paraId="337795E1" w14:textId="77777777" w:rsidR="00A259A6" w:rsidRDefault="00A259A6" w:rsidP="00A259A6">
      <w:pPr>
        <w:tabs>
          <w:tab w:val="left" w:pos="-720"/>
          <w:tab w:val="left" w:pos="0"/>
          <w:tab w:val="left" w:pos="378"/>
          <w:tab w:val="left" w:pos="1440"/>
        </w:tabs>
        <w:spacing w:after="0" w:line="480" w:lineRule="auto"/>
        <w:rPr>
          <w:rFonts w:ascii="Times New Roman" w:hAnsi="Times New Roman"/>
          <w:sz w:val="24"/>
          <w:szCs w:val="24"/>
        </w:rPr>
      </w:pPr>
      <w:r>
        <w:rPr>
          <w:rFonts w:ascii="Times New Roman" w:hAnsi="Times New Roman"/>
          <w:sz w:val="24"/>
          <w:szCs w:val="24"/>
        </w:rPr>
        <w:tab/>
        <w:t>There is no payment or gift to respondents associated with this guidance.</w:t>
      </w:r>
    </w:p>
    <w:p w14:paraId="337795E3" w14:textId="77777777" w:rsidR="00A259A6" w:rsidRDefault="00A259A6" w:rsidP="00A259A6">
      <w:pPr>
        <w:tabs>
          <w:tab w:val="left" w:pos="-720"/>
          <w:tab w:val="left" w:pos="0"/>
          <w:tab w:val="left" w:pos="378"/>
          <w:tab w:val="left" w:pos="1440"/>
        </w:tabs>
        <w:spacing w:after="0" w:line="480" w:lineRule="auto"/>
        <w:ind w:hanging="378"/>
        <w:rPr>
          <w:rFonts w:ascii="Times New Roman" w:hAnsi="Times New Roman"/>
          <w:sz w:val="24"/>
          <w:szCs w:val="24"/>
        </w:rPr>
      </w:pPr>
      <w:r>
        <w:rPr>
          <w:rFonts w:ascii="Times New Roman" w:hAnsi="Times New Roman"/>
          <w:sz w:val="24"/>
          <w:szCs w:val="24"/>
        </w:rPr>
        <w:t xml:space="preserve">10. </w:t>
      </w:r>
      <w:r>
        <w:rPr>
          <w:rFonts w:ascii="Times New Roman" w:hAnsi="Times New Roman"/>
          <w:sz w:val="24"/>
          <w:szCs w:val="24"/>
          <w:u w:val="single"/>
        </w:rPr>
        <w:t>Assurance of Confidentiality Provided to Respondents</w:t>
      </w:r>
    </w:p>
    <w:p w14:paraId="344FD5B9" w14:textId="098E6A43" w:rsidR="007B3F63" w:rsidRDefault="000E35CD" w:rsidP="007B3F63">
      <w:pPr>
        <w:spacing w:after="0" w:line="480" w:lineRule="auto"/>
        <w:ind w:firstLine="720"/>
        <w:outlineLvl w:val="2"/>
        <w:rPr>
          <w:rFonts w:ascii="Times New Roman" w:eastAsia="Times New Roman" w:hAnsi="Times New Roman"/>
          <w:sz w:val="24"/>
          <w:szCs w:val="24"/>
        </w:rPr>
      </w:pPr>
      <w:r>
        <w:rPr>
          <w:rFonts w:ascii="Times New Roman" w:hAnsi="Times New Roman"/>
          <w:sz w:val="24"/>
          <w:szCs w:val="24"/>
        </w:rPr>
        <w:t xml:space="preserve">The submitted information will be </w:t>
      </w:r>
      <w:r>
        <w:rPr>
          <w:rFonts w:ascii="Times New Roman" w:eastAsia="Times New Roman" w:hAnsi="Times New Roman"/>
          <w:sz w:val="24"/>
          <w:szCs w:val="24"/>
        </w:rPr>
        <w:t xml:space="preserve">handled according to </w:t>
      </w:r>
      <w:r w:rsidR="00815B03">
        <w:rPr>
          <w:rFonts w:ascii="Times New Roman" w:eastAsia="Times New Roman" w:hAnsi="Times New Roman"/>
          <w:sz w:val="24"/>
          <w:szCs w:val="24"/>
        </w:rPr>
        <w:t>A</w:t>
      </w:r>
      <w:r>
        <w:rPr>
          <w:rFonts w:ascii="Times New Roman" w:eastAsia="Times New Roman" w:hAnsi="Times New Roman"/>
          <w:sz w:val="24"/>
          <w:szCs w:val="24"/>
        </w:rPr>
        <w:t xml:space="preserve">gency regulations, the Freedom of Information Act, and other applicable disclosure law.  </w:t>
      </w:r>
      <w:r w:rsidR="00CE0F17" w:rsidRPr="00013295">
        <w:rPr>
          <w:rFonts w:ascii="Times New Roman" w:hAnsi="Times New Roman"/>
          <w:sz w:val="24"/>
          <w:szCs w:val="24"/>
        </w:rPr>
        <w:t>Confidentiality of the information submitted under these requirements is protected</w:t>
      </w:r>
      <w:r w:rsidR="00CE0F17">
        <w:rPr>
          <w:rFonts w:ascii="Times New Roman" w:hAnsi="Times New Roman"/>
          <w:sz w:val="24"/>
          <w:szCs w:val="24"/>
        </w:rPr>
        <w:t xml:space="preserve"> under </w:t>
      </w:r>
      <w:r w:rsidR="00CE0F17" w:rsidRPr="00013295">
        <w:rPr>
          <w:rFonts w:ascii="Times New Roman" w:hAnsi="Times New Roman"/>
          <w:sz w:val="24"/>
          <w:szCs w:val="24"/>
        </w:rPr>
        <w:t xml:space="preserve">21 CFR </w:t>
      </w:r>
      <w:r w:rsidR="0039169B">
        <w:rPr>
          <w:rFonts w:ascii="Times New Roman" w:hAnsi="Times New Roman"/>
          <w:sz w:val="24"/>
          <w:szCs w:val="24"/>
        </w:rPr>
        <w:t>P</w:t>
      </w:r>
      <w:r w:rsidR="00CE0F17" w:rsidRPr="00013295">
        <w:rPr>
          <w:rFonts w:ascii="Times New Roman" w:hAnsi="Times New Roman"/>
          <w:sz w:val="24"/>
          <w:szCs w:val="24"/>
        </w:rPr>
        <w:t xml:space="preserve">art 20.  The unauthorized use or disclosure of trade secrets is specifically prohibited under Section 310(j) of the </w:t>
      </w:r>
      <w:r w:rsidR="00CE0F17">
        <w:rPr>
          <w:rFonts w:ascii="Times New Roman" w:hAnsi="Times New Roman"/>
          <w:sz w:val="24"/>
          <w:szCs w:val="24"/>
        </w:rPr>
        <w:t xml:space="preserve">FD&amp;C </w:t>
      </w:r>
      <w:r w:rsidR="00CE0F17" w:rsidRPr="00013295">
        <w:rPr>
          <w:rFonts w:ascii="Times New Roman" w:hAnsi="Times New Roman"/>
          <w:sz w:val="24"/>
          <w:szCs w:val="24"/>
        </w:rPr>
        <w:t>Act.</w:t>
      </w:r>
      <w:r w:rsidR="00CE0F17">
        <w:rPr>
          <w:rFonts w:ascii="Times New Roman" w:hAnsi="Times New Roman"/>
          <w:sz w:val="24"/>
          <w:szCs w:val="24"/>
        </w:rPr>
        <w:t xml:space="preserve"> </w:t>
      </w:r>
      <w:r w:rsidR="00B0591F">
        <w:rPr>
          <w:rFonts w:ascii="Times New Roman" w:hAnsi="Times New Roman"/>
          <w:sz w:val="24"/>
          <w:szCs w:val="24"/>
        </w:rPr>
        <w:t xml:space="preserve"> </w:t>
      </w:r>
      <w:r w:rsidR="00CE0F17" w:rsidRPr="00EF3148">
        <w:rPr>
          <w:rFonts w:ascii="Times New Roman" w:hAnsi="Times New Roman"/>
          <w:sz w:val="24"/>
          <w:szCs w:val="24"/>
        </w:rPr>
        <w:t xml:space="preserve">FDA will not disclose any information that is considered </w:t>
      </w:r>
      <w:r w:rsidR="003058BF">
        <w:rPr>
          <w:rFonts w:ascii="Times New Roman" w:hAnsi="Times New Roman"/>
          <w:sz w:val="24"/>
          <w:szCs w:val="24"/>
        </w:rPr>
        <w:t xml:space="preserve">to be </w:t>
      </w:r>
      <w:r w:rsidR="00CE0F17" w:rsidRPr="00EF3148">
        <w:rPr>
          <w:rFonts w:ascii="Times New Roman" w:hAnsi="Times New Roman"/>
          <w:sz w:val="24"/>
          <w:szCs w:val="24"/>
        </w:rPr>
        <w:t>a trade secret and prohibited under section 310(j) of the FD&amp;C Act</w:t>
      </w:r>
      <w:r w:rsidR="00B0591F">
        <w:rPr>
          <w:rFonts w:ascii="Times New Roman" w:hAnsi="Times New Roman"/>
          <w:sz w:val="24"/>
          <w:szCs w:val="24"/>
        </w:rPr>
        <w:t xml:space="preserve"> if such information is included in the notification to FDA.  </w:t>
      </w:r>
    </w:p>
    <w:p w14:paraId="337795E4" w14:textId="5962204A" w:rsidR="00A259A6" w:rsidRPr="00212969" w:rsidRDefault="00B0591F" w:rsidP="00B0591F">
      <w:pPr>
        <w:spacing w:after="0" w:line="480" w:lineRule="auto"/>
        <w:ind w:firstLine="720"/>
        <w:rPr>
          <w:rFonts w:ascii="Times New Roman" w:hAnsi="Times New Roman"/>
          <w:sz w:val="24"/>
          <w:szCs w:val="24"/>
        </w:rPr>
      </w:pPr>
      <w:r>
        <w:rPr>
          <w:rFonts w:ascii="Times New Roman" w:hAnsi="Times New Roman"/>
          <w:sz w:val="24"/>
          <w:szCs w:val="24"/>
        </w:rPr>
        <w:t xml:space="preserve">The </w:t>
      </w:r>
      <w:r w:rsidR="00A259A6" w:rsidRPr="00212969">
        <w:rPr>
          <w:rFonts w:ascii="Times New Roman" w:hAnsi="Times New Roman"/>
          <w:sz w:val="24"/>
          <w:szCs w:val="24"/>
        </w:rPr>
        <w:t xml:space="preserve">forms </w:t>
      </w:r>
      <w:r w:rsidR="00A259A6">
        <w:rPr>
          <w:rFonts w:ascii="Times New Roman" w:hAnsi="Times New Roman"/>
          <w:sz w:val="24"/>
          <w:szCs w:val="24"/>
        </w:rPr>
        <w:t xml:space="preserve">submitted to FDA </w:t>
      </w:r>
      <w:r w:rsidR="00A259A6" w:rsidRPr="00212969">
        <w:rPr>
          <w:rFonts w:ascii="Times New Roman" w:hAnsi="Times New Roman"/>
          <w:sz w:val="24"/>
          <w:szCs w:val="24"/>
        </w:rPr>
        <w:t>are handled by FDA employees.  </w:t>
      </w:r>
      <w:r>
        <w:rPr>
          <w:rFonts w:ascii="Times New Roman" w:hAnsi="Times New Roman"/>
          <w:sz w:val="24"/>
          <w:szCs w:val="24"/>
        </w:rPr>
        <w:t>The information from a</w:t>
      </w:r>
      <w:r w:rsidR="00A259A6" w:rsidRPr="00212969">
        <w:rPr>
          <w:rFonts w:ascii="Times New Roman" w:hAnsi="Times New Roman"/>
          <w:sz w:val="24"/>
          <w:szCs w:val="24"/>
        </w:rPr>
        <w:t xml:space="preserve">ll forms received </w:t>
      </w:r>
      <w:r>
        <w:rPr>
          <w:rFonts w:ascii="Times New Roman" w:hAnsi="Times New Roman"/>
          <w:sz w:val="24"/>
          <w:szCs w:val="24"/>
        </w:rPr>
        <w:t xml:space="preserve">will be </w:t>
      </w:r>
      <w:r w:rsidR="00D61DBE">
        <w:rPr>
          <w:rFonts w:ascii="Times New Roman" w:hAnsi="Times New Roman"/>
          <w:sz w:val="24"/>
          <w:szCs w:val="24"/>
        </w:rPr>
        <w:t xml:space="preserve">electronically </w:t>
      </w:r>
      <w:r>
        <w:rPr>
          <w:rFonts w:ascii="Times New Roman" w:hAnsi="Times New Roman"/>
          <w:sz w:val="24"/>
          <w:szCs w:val="24"/>
        </w:rPr>
        <w:t xml:space="preserve">extracted into an internal database.  </w:t>
      </w:r>
      <w:r w:rsidR="00D61DBE">
        <w:rPr>
          <w:rFonts w:ascii="Times New Roman" w:hAnsi="Times New Roman"/>
          <w:sz w:val="24"/>
          <w:szCs w:val="24"/>
        </w:rPr>
        <w:t xml:space="preserve">The electronic files and forms </w:t>
      </w:r>
      <w:r w:rsidR="00A259A6" w:rsidRPr="00212969">
        <w:rPr>
          <w:rFonts w:ascii="Times New Roman" w:hAnsi="Times New Roman"/>
          <w:sz w:val="24"/>
          <w:szCs w:val="24"/>
        </w:rPr>
        <w:t>will be maintained according to FDA document retention schedules and destroyed when no longer needed for administrative, legal, or audit purposes</w:t>
      </w:r>
      <w:r w:rsidR="00A259A6">
        <w:rPr>
          <w:rFonts w:ascii="Times New Roman" w:hAnsi="Times New Roman"/>
          <w:sz w:val="24"/>
          <w:szCs w:val="24"/>
        </w:rPr>
        <w:t>.</w:t>
      </w:r>
    </w:p>
    <w:p w14:paraId="337795E5" w14:textId="77777777" w:rsidR="00A259A6" w:rsidRDefault="00A259A6" w:rsidP="00A259A6">
      <w:pPr>
        <w:spacing w:after="0" w:line="480" w:lineRule="auto"/>
        <w:rPr>
          <w:rFonts w:ascii="Times New Roman" w:hAnsi="Times New Roman"/>
          <w:sz w:val="24"/>
          <w:szCs w:val="24"/>
          <w:u w:val="single"/>
        </w:rPr>
      </w:pPr>
      <w:r>
        <w:rPr>
          <w:rFonts w:ascii="Times New Roman" w:hAnsi="Times New Roman"/>
          <w:sz w:val="24"/>
          <w:szCs w:val="24"/>
        </w:rPr>
        <w:t xml:space="preserve">11.  </w:t>
      </w:r>
      <w:r>
        <w:rPr>
          <w:rFonts w:ascii="Times New Roman" w:hAnsi="Times New Roman"/>
          <w:sz w:val="24"/>
          <w:szCs w:val="24"/>
          <w:u w:val="single"/>
        </w:rPr>
        <w:t>Justification for Sensitive Questions</w:t>
      </w:r>
    </w:p>
    <w:p w14:paraId="337795E6" w14:textId="77777777" w:rsidR="00A259A6" w:rsidRDefault="00A259A6" w:rsidP="00A259A6">
      <w:pPr>
        <w:spacing w:after="0" w:line="480" w:lineRule="auto"/>
        <w:ind w:firstLine="720"/>
        <w:rPr>
          <w:rFonts w:ascii="Times New Roman" w:hAnsi="Times New Roman"/>
          <w:sz w:val="24"/>
          <w:szCs w:val="24"/>
        </w:rPr>
      </w:pPr>
      <w:r>
        <w:rPr>
          <w:rFonts w:ascii="Times New Roman" w:hAnsi="Times New Roman"/>
          <w:sz w:val="24"/>
          <w:szCs w:val="24"/>
        </w:rPr>
        <w:t>There are no sensitive questions associated with this guidance.</w:t>
      </w:r>
    </w:p>
    <w:p w14:paraId="337795E8" w14:textId="378F4117" w:rsidR="00A259A6" w:rsidRDefault="00A259A6" w:rsidP="00A259A6">
      <w:pPr>
        <w:tabs>
          <w:tab w:val="left" w:pos="-720"/>
          <w:tab w:val="left" w:pos="0"/>
          <w:tab w:val="left" w:pos="378"/>
          <w:tab w:val="left" w:pos="1440"/>
        </w:tabs>
        <w:spacing w:after="0" w:line="480" w:lineRule="auto"/>
        <w:ind w:hanging="378"/>
        <w:rPr>
          <w:rFonts w:ascii="Times New Roman" w:hAnsi="Times New Roman"/>
          <w:sz w:val="24"/>
          <w:szCs w:val="24"/>
          <w:u w:val="single"/>
        </w:rPr>
      </w:pPr>
      <w:r>
        <w:rPr>
          <w:rFonts w:ascii="Times New Roman" w:hAnsi="Times New Roman"/>
          <w:sz w:val="24"/>
          <w:szCs w:val="24"/>
        </w:rPr>
        <w:lastRenderedPageBreak/>
        <w:t xml:space="preserve">12. </w:t>
      </w:r>
      <w:r>
        <w:rPr>
          <w:rFonts w:ascii="Times New Roman" w:hAnsi="Times New Roman"/>
          <w:sz w:val="24"/>
          <w:szCs w:val="24"/>
          <w:u w:val="single"/>
        </w:rPr>
        <w:t xml:space="preserve">Estimates of Annualized Burden </w:t>
      </w:r>
      <w:r w:rsidR="00815B03">
        <w:rPr>
          <w:rFonts w:ascii="Times New Roman" w:hAnsi="Times New Roman"/>
          <w:sz w:val="24"/>
          <w:szCs w:val="24"/>
          <w:u w:val="single"/>
        </w:rPr>
        <w:t xml:space="preserve">Hours </w:t>
      </w:r>
      <w:r>
        <w:rPr>
          <w:rFonts w:ascii="Times New Roman" w:hAnsi="Times New Roman"/>
          <w:sz w:val="24"/>
          <w:szCs w:val="24"/>
          <w:u w:val="single"/>
        </w:rPr>
        <w:t>and Costs</w:t>
      </w:r>
    </w:p>
    <w:p w14:paraId="337795E9" w14:textId="77777777" w:rsidR="00A259A6" w:rsidRDefault="00A259A6" w:rsidP="00A259A6">
      <w:pPr>
        <w:tabs>
          <w:tab w:val="left" w:pos="-720"/>
          <w:tab w:val="left" w:pos="0"/>
          <w:tab w:val="left" w:pos="378"/>
          <w:tab w:val="left" w:pos="1440"/>
        </w:tabs>
        <w:spacing w:after="0" w:line="480" w:lineRule="auto"/>
        <w:ind w:hanging="378"/>
        <w:rPr>
          <w:rFonts w:ascii="Times New Roman" w:hAnsi="Times New Roman"/>
          <w:sz w:val="24"/>
          <w:szCs w:val="24"/>
        </w:rPr>
      </w:pPr>
      <w:r>
        <w:rPr>
          <w:rFonts w:ascii="Times New Roman" w:hAnsi="Times New Roman"/>
          <w:sz w:val="24"/>
          <w:szCs w:val="24"/>
        </w:rPr>
        <w:tab/>
      </w:r>
      <w:r w:rsidRPr="00C3514B">
        <w:rPr>
          <w:rFonts w:ascii="Times New Roman" w:hAnsi="Times New Roman"/>
          <w:sz w:val="24"/>
          <w:szCs w:val="24"/>
        </w:rPr>
        <w:t xml:space="preserve">12a.  </w:t>
      </w:r>
      <w:r w:rsidRPr="00C3514B">
        <w:rPr>
          <w:rFonts w:ascii="Times New Roman" w:hAnsi="Times New Roman"/>
          <w:sz w:val="24"/>
          <w:szCs w:val="24"/>
          <w:u w:val="single"/>
        </w:rPr>
        <w:t>Annualized Hour Burden Estimate</w:t>
      </w:r>
    </w:p>
    <w:p w14:paraId="337795EA" w14:textId="77777777" w:rsidR="00272C7D" w:rsidRPr="001D0722" w:rsidRDefault="00272C7D" w:rsidP="00272C7D">
      <w:pPr>
        <w:spacing w:after="0" w:line="480" w:lineRule="auto"/>
        <w:ind w:firstLine="720"/>
        <w:rPr>
          <w:rFonts w:ascii="Times New Roman" w:eastAsia="Times New Roman" w:hAnsi="Times New Roman"/>
          <w:sz w:val="24"/>
          <w:szCs w:val="24"/>
        </w:rPr>
      </w:pPr>
      <w:r w:rsidRPr="001D0722">
        <w:rPr>
          <w:rFonts w:ascii="Times New Roman" w:eastAsia="Times New Roman" w:hAnsi="Times New Roman"/>
          <w:sz w:val="24"/>
          <w:szCs w:val="24"/>
        </w:rPr>
        <w:t>Under section 202 of the DSCSA, manufacturers, repackagers, wholesale distributors, and dispensers (e.g., pharmacies) must: (1) Notify FDA when they have determined that a product in their possession or control is illegitimate, and</w:t>
      </w:r>
      <w:r>
        <w:rPr>
          <w:rFonts w:ascii="Times New Roman" w:eastAsia="Times New Roman" w:hAnsi="Times New Roman"/>
          <w:sz w:val="24"/>
          <w:szCs w:val="24"/>
        </w:rPr>
        <w:t>,</w:t>
      </w:r>
      <w:r w:rsidRPr="001D0722">
        <w:rPr>
          <w:rFonts w:ascii="Times New Roman" w:eastAsia="Times New Roman" w:hAnsi="Times New Roman"/>
          <w:sz w:val="24"/>
          <w:szCs w:val="24"/>
        </w:rPr>
        <w:t xml:space="preserve"> for manufacturers, when they have determined or been notified by FDA or a trading partner that a product has a high risk of illegitimacy; (2) notify certain immediate trading partners about an illegitimate product that they may have received and, for manufacturers, that a product has a high risk of illegitimacy; (3) terminate notifications regarding illegitimate products, and, for manufacturers, a product with a high risk of illegitimacy, in consultation with FDA when the notifications are no longer necessary; and (4) notify immediate trading partners when the notifications are terminated.</w:t>
      </w:r>
    </w:p>
    <w:p w14:paraId="337795EB" w14:textId="77777777" w:rsidR="00272C7D" w:rsidRPr="001D0722" w:rsidRDefault="00272C7D" w:rsidP="00272C7D">
      <w:pPr>
        <w:spacing w:after="0" w:line="480" w:lineRule="auto"/>
        <w:ind w:firstLine="720"/>
        <w:outlineLvl w:val="2"/>
        <w:rPr>
          <w:rFonts w:ascii="Times New Roman" w:eastAsia="Times New Roman" w:hAnsi="Times New Roman"/>
          <w:sz w:val="24"/>
          <w:szCs w:val="24"/>
        </w:rPr>
      </w:pPr>
      <w:r w:rsidRPr="00DD1899">
        <w:rPr>
          <w:rFonts w:ascii="Times New Roman" w:eastAsia="Times New Roman" w:hAnsi="Times New Roman"/>
          <w:bCs/>
          <w:sz w:val="24"/>
          <w:szCs w:val="24"/>
          <w:u w:val="single"/>
        </w:rPr>
        <w:t>Notifications to FDA.</w:t>
      </w:r>
      <w:r>
        <w:rPr>
          <w:rFonts w:ascii="Times New Roman" w:eastAsia="Times New Roman" w:hAnsi="Times New Roman"/>
          <w:bCs/>
          <w:sz w:val="24"/>
          <w:szCs w:val="24"/>
        </w:rPr>
        <w:t xml:space="preserve">  </w:t>
      </w:r>
      <w:r w:rsidRPr="001D0722">
        <w:rPr>
          <w:rFonts w:ascii="Times New Roman" w:eastAsia="Times New Roman" w:hAnsi="Times New Roman"/>
          <w:sz w:val="24"/>
          <w:szCs w:val="24"/>
        </w:rPr>
        <w:t>Under section</w:t>
      </w:r>
      <w:r>
        <w:rPr>
          <w:rFonts w:ascii="Times New Roman" w:eastAsia="Times New Roman" w:hAnsi="Times New Roman"/>
          <w:sz w:val="24"/>
          <w:szCs w:val="24"/>
        </w:rPr>
        <w:t>s</w:t>
      </w:r>
      <w:r w:rsidRPr="001D0722">
        <w:rPr>
          <w:rFonts w:ascii="Times New Roman" w:eastAsia="Times New Roman" w:hAnsi="Times New Roman"/>
          <w:sz w:val="24"/>
          <w:szCs w:val="24"/>
        </w:rPr>
        <w:t xml:space="preserve"> 582(b)(4)(B)(ii), (c)(4)(B)(ii), (d)(4)(B)(ii), and (e)(4)(B)(ii) of the FD</w:t>
      </w:r>
      <w:r>
        <w:rPr>
          <w:rFonts w:ascii="Times New Roman" w:eastAsia="Times New Roman" w:hAnsi="Times New Roman"/>
          <w:sz w:val="24"/>
          <w:szCs w:val="24"/>
        </w:rPr>
        <w:t>&amp;C</w:t>
      </w:r>
      <w:r w:rsidRPr="001D0722">
        <w:rPr>
          <w:rFonts w:ascii="Times New Roman" w:eastAsia="Times New Roman" w:hAnsi="Times New Roman"/>
          <w:sz w:val="24"/>
          <w:szCs w:val="24"/>
        </w:rPr>
        <w:t xml:space="preserve"> Act, and beginning not later than January 1, 2015, a manufacturer, repackager, wholesale distributor, </w:t>
      </w:r>
      <w:r>
        <w:rPr>
          <w:rFonts w:ascii="Times New Roman" w:eastAsia="Times New Roman" w:hAnsi="Times New Roman"/>
          <w:sz w:val="24"/>
          <w:szCs w:val="24"/>
        </w:rPr>
        <w:t>or</w:t>
      </w:r>
      <w:r w:rsidRPr="001D0722">
        <w:rPr>
          <w:rFonts w:ascii="Times New Roman" w:eastAsia="Times New Roman" w:hAnsi="Times New Roman"/>
          <w:sz w:val="24"/>
          <w:szCs w:val="24"/>
        </w:rPr>
        <w:t xml:space="preserve"> dispenser who determines that a product in its possession or control is illegitimate</w:t>
      </w:r>
      <w:r>
        <w:rPr>
          <w:rFonts w:ascii="Times New Roman" w:eastAsia="Times New Roman" w:hAnsi="Times New Roman"/>
          <w:sz w:val="24"/>
          <w:szCs w:val="24"/>
        </w:rPr>
        <w:t>,</w:t>
      </w:r>
      <w:r w:rsidRPr="001D0722">
        <w:rPr>
          <w:rFonts w:ascii="Times New Roman" w:eastAsia="Times New Roman" w:hAnsi="Times New Roman"/>
          <w:sz w:val="24"/>
          <w:szCs w:val="24"/>
        </w:rPr>
        <w:t xml:space="preserve"> must notify FDA of that determination not later than 24 hours after the determination is made. </w:t>
      </w:r>
      <w:r>
        <w:rPr>
          <w:rFonts w:ascii="Times New Roman" w:eastAsia="Times New Roman" w:hAnsi="Times New Roman"/>
          <w:sz w:val="24"/>
          <w:szCs w:val="24"/>
        </w:rPr>
        <w:t xml:space="preserve"> </w:t>
      </w:r>
      <w:r w:rsidRPr="001D0722">
        <w:rPr>
          <w:rFonts w:ascii="Times New Roman" w:eastAsia="Times New Roman" w:hAnsi="Times New Roman"/>
          <w:sz w:val="24"/>
          <w:szCs w:val="24"/>
        </w:rPr>
        <w:t>In addition, section 582(b)(4)(B)(ii)(II) of the FD</w:t>
      </w:r>
      <w:r>
        <w:rPr>
          <w:rFonts w:ascii="Times New Roman" w:eastAsia="Times New Roman" w:hAnsi="Times New Roman"/>
          <w:sz w:val="24"/>
          <w:szCs w:val="24"/>
        </w:rPr>
        <w:t>&amp;C</w:t>
      </w:r>
      <w:r w:rsidRPr="001D0722">
        <w:rPr>
          <w:rFonts w:ascii="Times New Roman" w:eastAsia="Times New Roman" w:hAnsi="Times New Roman"/>
          <w:sz w:val="24"/>
          <w:szCs w:val="24"/>
        </w:rPr>
        <w:t xml:space="preserve"> Act requires manufacturers to notify FDA when a manufacturer determines that a product poses a high risk of illegitimacy.</w:t>
      </w:r>
    </w:p>
    <w:p w14:paraId="337795EC" w14:textId="3474E2EE" w:rsidR="00272C7D" w:rsidRDefault="00272C7D" w:rsidP="00272C7D">
      <w:pPr>
        <w:spacing w:after="0" w:line="480" w:lineRule="auto"/>
        <w:ind w:firstLine="720"/>
        <w:rPr>
          <w:rFonts w:ascii="Times New Roman" w:eastAsia="Times New Roman" w:hAnsi="Times New Roman"/>
          <w:sz w:val="24"/>
          <w:szCs w:val="24"/>
        </w:rPr>
      </w:pPr>
      <w:r w:rsidRPr="001D0722">
        <w:rPr>
          <w:rFonts w:ascii="Times New Roman" w:eastAsia="Times New Roman" w:hAnsi="Times New Roman"/>
          <w:sz w:val="24"/>
          <w:szCs w:val="24"/>
        </w:rPr>
        <w:t xml:space="preserve">FDA </w:t>
      </w:r>
      <w:r>
        <w:rPr>
          <w:rFonts w:ascii="Times New Roman" w:eastAsia="Times New Roman" w:hAnsi="Times New Roman"/>
          <w:sz w:val="24"/>
          <w:szCs w:val="24"/>
        </w:rPr>
        <w:t xml:space="preserve">originally </w:t>
      </w:r>
      <w:r w:rsidRPr="001D0722">
        <w:rPr>
          <w:rFonts w:ascii="Times New Roman" w:eastAsia="Times New Roman" w:hAnsi="Times New Roman"/>
          <w:sz w:val="24"/>
          <w:szCs w:val="24"/>
        </w:rPr>
        <w:t>estimate</w:t>
      </w:r>
      <w:r>
        <w:rPr>
          <w:rFonts w:ascii="Times New Roman" w:eastAsia="Times New Roman" w:hAnsi="Times New Roman"/>
          <w:sz w:val="24"/>
          <w:szCs w:val="24"/>
        </w:rPr>
        <w:t>d</w:t>
      </w:r>
      <w:r w:rsidRPr="001D0722">
        <w:rPr>
          <w:rFonts w:ascii="Times New Roman" w:eastAsia="Times New Roman" w:hAnsi="Times New Roman"/>
          <w:sz w:val="24"/>
          <w:szCs w:val="24"/>
        </w:rPr>
        <w:t xml:space="preserve"> that a total of approximately 5,000 notifications per year w</w:t>
      </w:r>
      <w:r>
        <w:rPr>
          <w:rFonts w:ascii="Times New Roman" w:eastAsia="Times New Roman" w:hAnsi="Times New Roman"/>
          <w:sz w:val="24"/>
          <w:szCs w:val="24"/>
        </w:rPr>
        <w:t>ould</w:t>
      </w:r>
      <w:r w:rsidRPr="001D0722">
        <w:rPr>
          <w:rFonts w:ascii="Times New Roman" w:eastAsia="Times New Roman" w:hAnsi="Times New Roman"/>
          <w:sz w:val="24"/>
          <w:szCs w:val="24"/>
        </w:rPr>
        <w:t xml:space="preserve"> be made by all manufacturers, repackagers, wholesale distributors, and dispensers. </w:t>
      </w:r>
      <w:r>
        <w:rPr>
          <w:rFonts w:ascii="Times New Roman" w:eastAsia="Times New Roman" w:hAnsi="Times New Roman"/>
          <w:sz w:val="24"/>
          <w:szCs w:val="24"/>
        </w:rPr>
        <w:t xml:space="preserve"> </w:t>
      </w:r>
      <w:r w:rsidRPr="001D0722">
        <w:rPr>
          <w:rFonts w:ascii="Times New Roman" w:eastAsia="Times New Roman" w:hAnsi="Times New Roman"/>
          <w:sz w:val="24"/>
          <w:szCs w:val="24"/>
        </w:rPr>
        <w:t>This estimate include</w:t>
      </w:r>
      <w:r>
        <w:rPr>
          <w:rFonts w:ascii="Times New Roman" w:eastAsia="Times New Roman" w:hAnsi="Times New Roman"/>
          <w:sz w:val="24"/>
          <w:szCs w:val="24"/>
        </w:rPr>
        <w:t>d</w:t>
      </w:r>
      <w:r w:rsidRPr="001D0722">
        <w:rPr>
          <w:rFonts w:ascii="Times New Roman" w:eastAsia="Times New Roman" w:hAnsi="Times New Roman"/>
          <w:sz w:val="24"/>
          <w:szCs w:val="24"/>
        </w:rPr>
        <w:t xml:space="preserve"> the notifications by trading partners </w:t>
      </w:r>
      <w:r w:rsidR="0039169B">
        <w:rPr>
          <w:rFonts w:ascii="Times New Roman" w:eastAsia="Times New Roman" w:hAnsi="Times New Roman"/>
          <w:sz w:val="24"/>
          <w:szCs w:val="24"/>
        </w:rPr>
        <w:t>that</w:t>
      </w:r>
      <w:r w:rsidRPr="001D0722">
        <w:rPr>
          <w:rFonts w:ascii="Times New Roman" w:eastAsia="Times New Roman" w:hAnsi="Times New Roman"/>
          <w:sz w:val="24"/>
          <w:szCs w:val="24"/>
        </w:rPr>
        <w:t xml:space="preserve"> have determined that illegitimate product is in their possession or control, as well as notifications by manufacturers that have determined a product poses a high risk of illegitimacy. </w:t>
      </w:r>
      <w:r>
        <w:rPr>
          <w:rFonts w:ascii="Times New Roman" w:eastAsia="Times New Roman" w:hAnsi="Times New Roman"/>
          <w:sz w:val="24"/>
          <w:szCs w:val="24"/>
        </w:rPr>
        <w:t xml:space="preserve">As discussed in the </w:t>
      </w:r>
      <w:r>
        <w:rPr>
          <w:rFonts w:ascii="Times New Roman" w:hAnsi="Times New Roman"/>
          <w:sz w:val="24"/>
          <w:szCs w:val="24"/>
        </w:rPr>
        <w:t xml:space="preserve">June 11, </w:t>
      </w:r>
      <w:r w:rsidRPr="00977AC6">
        <w:rPr>
          <w:rFonts w:ascii="Times New Roman" w:hAnsi="Times New Roman"/>
          <w:sz w:val="24"/>
          <w:szCs w:val="24"/>
        </w:rPr>
        <w:t>201</w:t>
      </w:r>
      <w:r>
        <w:rPr>
          <w:rFonts w:ascii="Times New Roman" w:hAnsi="Times New Roman"/>
          <w:sz w:val="24"/>
          <w:szCs w:val="24"/>
        </w:rPr>
        <w:t xml:space="preserve">4, </w:t>
      </w:r>
      <w:r w:rsidRPr="00BF724E">
        <w:rPr>
          <w:rFonts w:ascii="Times New Roman" w:hAnsi="Times New Roman"/>
          <w:sz w:val="24"/>
          <w:szCs w:val="24"/>
          <w:u w:val="single"/>
        </w:rPr>
        <w:t>Federal Register</w:t>
      </w:r>
      <w:r>
        <w:rPr>
          <w:rFonts w:ascii="Times New Roman" w:hAnsi="Times New Roman"/>
          <w:sz w:val="24"/>
          <w:szCs w:val="24"/>
        </w:rPr>
        <w:t xml:space="preserve"> </w:t>
      </w:r>
      <w:r>
        <w:rPr>
          <w:rFonts w:ascii="Times New Roman" w:hAnsi="Times New Roman"/>
          <w:sz w:val="24"/>
          <w:szCs w:val="24"/>
        </w:rPr>
        <w:lastRenderedPageBreak/>
        <w:t>notice, t</w:t>
      </w:r>
      <w:r w:rsidRPr="001D0722">
        <w:rPr>
          <w:rFonts w:ascii="Times New Roman" w:eastAsia="Times New Roman" w:hAnsi="Times New Roman"/>
          <w:sz w:val="24"/>
          <w:szCs w:val="24"/>
        </w:rPr>
        <w:t xml:space="preserve">his estimate </w:t>
      </w:r>
      <w:r>
        <w:rPr>
          <w:rFonts w:ascii="Times New Roman" w:eastAsia="Times New Roman" w:hAnsi="Times New Roman"/>
          <w:sz w:val="24"/>
          <w:szCs w:val="24"/>
        </w:rPr>
        <w:t>was</w:t>
      </w:r>
      <w:r w:rsidRPr="001D0722">
        <w:rPr>
          <w:rFonts w:ascii="Times New Roman" w:eastAsia="Times New Roman" w:hAnsi="Times New Roman"/>
          <w:sz w:val="24"/>
          <w:szCs w:val="24"/>
        </w:rPr>
        <w:t xml:space="preserve"> based on FDA's experience with Field Alert Reports (FARs) (Form FDA 3331) required to be submitted by holders of approved drug applications for certain drug quality </w:t>
      </w:r>
      <w:r w:rsidRPr="00DD1899">
        <w:rPr>
          <w:rFonts w:ascii="Times New Roman" w:eastAsia="Times New Roman" w:hAnsi="Times New Roman"/>
          <w:sz w:val="24"/>
          <w:szCs w:val="24"/>
        </w:rPr>
        <w:t>issues (</w:t>
      </w:r>
      <w:hyperlink r:id="rId12" w:history="1">
        <w:r w:rsidRPr="00DD1899">
          <w:rPr>
            <w:rFonts w:ascii="Times New Roman" w:eastAsia="Times New Roman" w:hAnsi="Times New Roman"/>
            <w:sz w:val="24"/>
            <w:szCs w:val="24"/>
          </w:rPr>
          <w:t xml:space="preserve">21 CFR </w:t>
        </w:r>
        <w:r w:rsidR="0039169B" w:rsidRPr="0039169B">
          <w:rPr>
            <w:rFonts w:ascii="Times New Roman" w:eastAsia="Times New Roman" w:hAnsi="Times New Roman"/>
            <w:sz w:val="24"/>
            <w:szCs w:val="24"/>
          </w:rPr>
          <w:t>§</w:t>
        </w:r>
        <w:r w:rsidRPr="00DD1899">
          <w:rPr>
            <w:rFonts w:ascii="Times New Roman" w:eastAsia="Times New Roman" w:hAnsi="Times New Roman"/>
            <w:sz w:val="24"/>
            <w:szCs w:val="24"/>
          </w:rPr>
          <w:t>314.81</w:t>
        </w:r>
      </w:hyperlink>
      <w:r w:rsidRPr="00DD1899">
        <w:rPr>
          <w:rFonts w:ascii="Times New Roman" w:eastAsia="Times New Roman" w:hAnsi="Times New Roman"/>
          <w:sz w:val="24"/>
          <w:szCs w:val="24"/>
        </w:rPr>
        <w:t>(b)(1))</w:t>
      </w:r>
      <w:r>
        <w:rPr>
          <w:rFonts w:ascii="Times New Roman" w:eastAsia="Times New Roman" w:hAnsi="Times New Roman"/>
          <w:sz w:val="24"/>
          <w:szCs w:val="24"/>
        </w:rPr>
        <w:t>,</w:t>
      </w:r>
      <w:r w:rsidRPr="00DD1899">
        <w:rPr>
          <w:rFonts w:ascii="Times New Roman" w:eastAsia="Times New Roman" w:hAnsi="Times New Roman"/>
          <w:sz w:val="24"/>
          <w:szCs w:val="24"/>
        </w:rPr>
        <w:t xml:space="preserve"> and with</w:t>
      </w:r>
      <w:r w:rsidRPr="001D0722">
        <w:rPr>
          <w:rFonts w:ascii="Times New Roman" w:eastAsia="Times New Roman" w:hAnsi="Times New Roman"/>
          <w:sz w:val="24"/>
          <w:szCs w:val="24"/>
        </w:rPr>
        <w:t xml:space="preserve"> reports of the falsification of drug sample records, diversion, loss, and known theft of prescription drug samples as currently required under the Prescription Drug Marketing Act (PDMA).</w:t>
      </w:r>
      <w:r>
        <w:rPr>
          <w:rFonts w:ascii="Times New Roman" w:eastAsia="Times New Roman" w:hAnsi="Times New Roman"/>
          <w:sz w:val="24"/>
          <w:szCs w:val="24"/>
        </w:rPr>
        <w:t xml:space="preserve">  FDA received a comment in response to the Federal Register notice stating that the estimate of 5,000 notifications was too high based on experience. In response to the comment, FDA reexamined the estimate of 5,000 notifications.  We determined that the 5,000 FARs and 5,000 sample reports under PDMA received each year included initial</w:t>
      </w:r>
      <w:r w:rsidR="0066346D">
        <w:rPr>
          <w:rFonts w:ascii="Times New Roman" w:eastAsia="Times New Roman" w:hAnsi="Times New Roman"/>
          <w:sz w:val="24"/>
          <w:szCs w:val="24"/>
        </w:rPr>
        <w:t>,</w:t>
      </w:r>
      <w:r>
        <w:rPr>
          <w:rFonts w:ascii="Times New Roman" w:eastAsia="Times New Roman" w:hAnsi="Times New Roman"/>
          <w:sz w:val="24"/>
          <w:szCs w:val="24"/>
        </w:rPr>
        <w:t xml:space="preserve"> follow-up</w:t>
      </w:r>
      <w:r w:rsidR="0066346D">
        <w:rPr>
          <w:rFonts w:ascii="Times New Roman" w:eastAsia="Times New Roman" w:hAnsi="Times New Roman"/>
          <w:sz w:val="24"/>
          <w:szCs w:val="24"/>
        </w:rPr>
        <w:t>, and</w:t>
      </w:r>
      <w:r>
        <w:rPr>
          <w:rFonts w:ascii="Times New Roman" w:eastAsia="Times New Roman" w:hAnsi="Times New Roman"/>
          <w:sz w:val="24"/>
          <w:szCs w:val="24"/>
        </w:rPr>
        <w:t xml:space="preserve"> final reports. While FDA does not know the exact number of notifications that will be submitted, we lowered the estimate to</w:t>
      </w:r>
      <w:r w:rsidR="0066346D">
        <w:rPr>
          <w:rFonts w:ascii="Times New Roman" w:eastAsia="Times New Roman" w:hAnsi="Times New Roman"/>
          <w:sz w:val="24"/>
          <w:szCs w:val="24"/>
        </w:rPr>
        <w:t xml:space="preserve"> 1,000</w:t>
      </w:r>
      <w:r>
        <w:rPr>
          <w:rFonts w:ascii="Times New Roman" w:eastAsia="Times New Roman" w:hAnsi="Times New Roman"/>
          <w:sz w:val="24"/>
          <w:szCs w:val="24"/>
        </w:rPr>
        <w:t xml:space="preserve"> notifications in response to the comment </w:t>
      </w:r>
      <w:r w:rsidR="00F11E4C">
        <w:rPr>
          <w:rFonts w:ascii="Times New Roman" w:eastAsia="Times New Roman" w:hAnsi="Times New Roman"/>
          <w:sz w:val="24"/>
          <w:szCs w:val="24"/>
        </w:rPr>
        <w:t xml:space="preserve">and our reexamination of the data, </w:t>
      </w:r>
      <w:r>
        <w:rPr>
          <w:rFonts w:ascii="Times New Roman" w:eastAsia="Times New Roman" w:hAnsi="Times New Roman"/>
          <w:sz w:val="24"/>
          <w:szCs w:val="24"/>
        </w:rPr>
        <w:t xml:space="preserve">and adjusted the PRA accordingly.  </w:t>
      </w:r>
    </w:p>
    <w:p w14:paraId="7CD297AE" w14:textId="77777777" w:rsidR="0066346D" w:rsidRPr="001D0722" w:rsidRDefault="0066346D" w:rsidP="0066346D">
      <w:pPr>
        <w:spacing w:after="0" w:line="480" w:lineRule="auto"/>
        <w:ind w:firstLine="720"/>
        <w:rPr>
          <w:rFonts w:ascii="Times New Roman" w:eastAsia="Times New Roman" w:hAnsi="Times New Roman"/>
          <w:sz w:val="24"/>
          <w:szCs w:val="24"/>
        </w:rPr>
      </w:pPr>
      <w:r w:rsidRPr="001D0722">
        <w:rPr>
          <w:rFonts w:ascii="Times New Roman" w:eastAsia="Times New Roman" w:hAnsi="Times New Roman"/>
          <w:sz w:val="24"/>
          <w:szCs w:val="24"/>
        </w:rPr>
        <w:t>FDA is combining the estimates for manufacturers and repackagers because FDA</w:t>
      </w:r>
      <w:r>
        <w:rPr>
          <w:rFonts w:ascii="Times New Roman" w:eastAsia="Times New Roman" w:hAnsi="Times New Roman"/>
          <w:sz w:val="24"/>
          <w:szCs w:val="24"/>
        </w:rPr>
        <w:t>’s</w:t>
      </w:r>
      <w:r w:rsidRPr="001D0722">
        <w:rPr>
          <w:rFonts w:ascii="Times New Roman" w:eastAsia="Times New Roman" w:hAnsi="Times New Roman"/>
          <w:sz w:val="24"/>
          <w:szCs w:val="24"/>
        </w:rPr>
        <w:t xml:space="preserve"> establishment and drug product listing database indicates that many companies perform activities of both manufacturers and repackagers. While the DSCSA specifically defines dispensers, for estimation purposes, FDA is using estimates for pharmacies in general terms based on those that must comply with the new requirements under section 582(d) of the FD&amp;C Act. </w:t>
      </w:r>
      <w:r>
        <w:rPr>
          <w:rFonts w:ascii="Times New Roman" w:eastAsia="Times New Roman" w:hAnsi="Times New Roman"/>
          <w:sz w:val="24"/>
          <w:szCs w:val="24"/>
        </w:rPr>
        <w:t xml:space="preserve"> </w:t>
      </w:r>
    </w:p>
    <w:p w14:paraId="3611DF81" w14:textId="4A6C474A" w:rsidR="0066346D" w:rsidRPr="001D0722" w:rsidRDefault="0066346D" w:rsidP="0066346D">
      <w:pPr>
        <w:spacing w:after="0" w:line="480" w:lineRule="auto"/>
        <w:ind w:firstLine="720"/>
        <w:rPr>
          <w:rFonts w:ascii="Times New Roman" w:eastAsia="Times New Roman" w:hAnsi="Times New Roman"/>
          <w:sz w:val="24"/>
          <w:szCs w:val="24"/>
        </w:rPr>
      </w:pPr>
      <w:r w:rsidRPr="001D0722">
        <w:rPr>
          <w:rFonts w:ascii="Times New Roman" w:eastAsia="Times New Roman" w:hAnsi="Times New Roman"/>
          <w:sz w:val="24"/>
          <w:szCs w:val="24"/>
        </w:rPr>
        <w:t>Because</w:t>
      </w:r>
      <w:r w:rsidR="008902A9">
        <w:rPr>
          <w:rFonts w:ascii="Times New Roman" w:eastAsia="Times New Roman" w:hAnsi="Times New Roman"/>
          <w:sz w:val="24"/>
          <w:szCs w:val="24"/>
        </w:rPr>
        <w:t>,</w:t>
      </w:r>
      <w:r w:rsidRPr="001D0722">
        <w:rPr>
          <w:rFonts w:ascii="Times New Roman" w:eastAsia="Times New Roman" w:hAnsi="Times New Roman"/>
          <w:sz w:val="24"/>
          <w:szCs w:val="24"/>
        </w:rPr>
        <w:t xml:space="preserve"> </w:t>
      </w:r>
      <w:r w:rsidR="008902A9">
        <w:rPr>
          <w:rFonts w:ascii="Times New Roman" w:eastAsia="Times New Roman" w:hAnsi="Times New Roman"/>
          <w:sz w:val="24"/>
          <w:szCs w:val="24"/>
        </w:rPr>
        <w:t xml:space="preserve">collectively, </w:t>
      </w:r>
      <w:r w:rsidRPr="001D0722">
        <w:rPr>
          <w:rFonts w:ascii="Times New Roman" w:eastAsia="Times New Roman" w:hAnsi="Times New Roman"/>
          <w:sz w:val="24"/>
          <w:szCs w:val="24"/>
        </w:rPr>
        <w:t xml:space="preserve">manufacturers, repackagers, and wholesale distributors are responsible for prescription drugs from the </w:t>
      </w:r>
      <w:r w:rsidR="008902A9">
        <w:rPr>
          <w:rFonts w:ascii="Times New Roman" w:eastAsia="Times New Roman" w:hAnsi="Times New Roman"/>
          <w:sz w:val="24"/>
          <w:szCs w:val="24"/>
        </w:rPr>
        <w:t xml:space="preserve">point of </w:t>
      </w:r>
      <w:r w:rsidRPr="001D0722">
        <w:rPr>
          <w:rFonts w:ascii="Times New Roman" w:eastAsia="Times New Roman" w:hAnsi="Times New Roman"/>
          <w:sz w:val="24"/>
          <w:szCs w:val="24"/>
        </w:rPr>
        <w:t xml:space="preserve">manufacturing through distribution </w:t>
      </w:r>
      <w:r w:rsidR="008902A9">
        <w:rPr>
          <w:rFonts w:ascii="Times New Roman" w:eastAsia="Times New Roman" w:hAnsi="Times New Roman"/>
          <w:sz w:val="24"/>
          <w:szCs w:val="24"/>
        </w:rPr>
        <w:t>in the drug supply chain</w:t>
      </w:r>
      <w:r w:rsidRPr="001D0722">
        <w:rPr>
          <w:rFonts w:ascii="Times New Roman" w:eastAsia="Times New Roman" w:hAnsi="Times New Roman"/>
          <w:sz w:val="24"/>
          <w:szCs w:val="24"/>
        </w:rPr>
        <w:t xml:space="preserve">, </w:t>
      </w:r>
      <w:r>
        <w:rPr>
          <w:rFonts w:ascii="Times New Roman" w:eastAsia="Times New Roman" w:hAnsi="Times New Roman"/>
          <w:sz w:val="24"/>
          <w:szCs w:val="24"/>
        </w:rPr>
        <w:t xml:space="preserve">in the </w:t>
      </w:r>
      <w:r>
        <w:rPr>
          <w:rFonts w:ascii="Times New Roman" w:hAnsi="Times New Roman"/>
          <w:sz w:val="24"/>
          <w:szCs w:val="24"/>
        </w:rPr>
        <w:t xml:space="preserve">June 11, </w:t>
      </w:r>
      <w:r w:rsidRPr="00977AC6">
        <w:rPr>
          <w:rFonts w:ascii="Times New Roman" w:hAnsi="Times New Roman"/>
          <w:sz w:val="24"/>
          <w:szCs w:val="24"/>
        </w:rPr>
        <w:t>201</w:t>
      </w:r>
      <w:r>
        <w:rPr>
          <w:rFonts w:ascii="Times New Roman" w:hAnsi="Times New Roman"/>
          <w:sz w:val="24"/>
          <w:szCs w:val="24"/>
        </w:rPr>
        <w:t xml:space="preserve">4, </w:t>
      </w:r>
      <w:r w:rsidRPr="00BF724E">
        <w:rPr>
          <w:rFonts w:ascii="Times New Roman" w:hAnsi="Times New Roman"/>
          <w:sz w:val="24"/>
          <w:szCs w:val="24"/>
          <w:u w:val="single"/>
        </w:rPr>
        <w:t>Federal Register</w:t>
      </w:r>
      <w:r>
        <w:rPr>
          <w:rFonts w:ascii="Times New Roman" w:hAnsi="Times New Roman"/>
          <w:sz w:val="24"/>
          <w:szCs w:val="24"/>
        </w:rPr>
        <w:t xml:space="preserve"> notice, </w:t>
      </w:r>
      <w:r w:rsidRPr="001D0722">
        <w:rPr>
          <w:rFonts w:ascii="Times New Roman" w:eastAsia="Times New Roman" w:hAnsi="Times New Roman"/>
          <w:sz w:val="24"/>
          <w:szCs w:val="24"/>
        </w:rPr>
        <w:t>FDA assume</w:t>
      </w:r>
      <w:r>
        <w:rPr>
          <w:rFonts w:ascii="Times New Roman" w:eastAsia="Times New Roman" w:hAnsi="Times New Roman"/>
          <w:sz w:val="24"/>
          <w:szCs w:val="24"/>
        </w:rPr>
        <w:t>d</w:t>
      </w:r>
      <w:r w:rsidRPr="001D0722">
        <w:rPr>
          <w:rFonts w:ascii="Times New Roman" w:eastAsia="Times New Roman" w:hAnsi="Times New Roman"/>
          <w:sz w:val="24"/>
          <w:szCs w:val="24"/>
        </w:rPr>
        <w:t xml:space="preserve"> that most notifications of illegitimate products w</w:t>
      </w:r>
      <w:r>
        <w:rPr>
          <w:rFonts w:ascii="Times New Roman" w:eastAsia="Times New Roman" w:hAnsi="Times New Roman"/>
          <w:sz w:val="24"/>
          <w:szCs w:val="24"/>
        </w:rPr>
        <w:t>ould</w:t>
      </w:r>
      <w:r w:rsidRPr="001D0722">
        <w:rPr>
          <w:rFonts w:ascii="Times New Roman" w:eastAsia="Times New Roman" w:hAnsi="Times New Roman"/>
          <w:sz w:val="24"/>
          <w:szCs w:val="24"/>
        </w:rPr>
        <w:t xml:space="preserve"> be made by these three trading partners.</w:t>
      </w:r>
      <w:r>
        <w:rPr>
          <w:rFonts w:ascii="Times New Roman" w:eastAsia="Times New Roman" w:hAnsi="Times New Roman"/>
          <w:sz w:val="24"/>
          <w:szCs w:val="24"/>
        </w:rPr>
        <w:t xml:space="preserve"> </w:t>
      </w:r>
      <w:r w:rsidRPr="001D0722">
        <w:rPr>
          <w:rFonts w:ascii="Times New Roman" w:eastAsia="Times New Roman" w:hAnsi="Times New Roman"/>
          <w:sz w:val="24"/>
          <w:szCs w:val="24"/>
        </w:rPr>
        <w:t xml:space="preserve"> </w:t>
      </w:r>
      <w:r>
        <w:rPr>
          <w:rFonts w:ascii="Times New Roman" w:eastAsia="Times New Roman" w:hAnsi="Times New Roman"/>
          <w:sz w:val="24"/>
          <w:szCs w:val="24"/>
        </w:rPr>
        <w:t xml:space="preserve">FDA received a comment from a major stakeholder group stating that they believed that the number of notifications estimated for wholesale distributors was too high based on their past experience. The commenter speculated that most notifications would be made by manufacturers.  </w:t>
      </w:r>
      <w:r w:rsidR="008902A9">
        <w:rPr>
          <w:rFonts w:ascii="Times New Roman" w:eastAsia="Times New Roman" w:hAnsi="Times New Roman"/>
          <w:sz w:val="24"/>
          <w:szCs w:val="24"/>
        </w:rPr>
        <w:t xml:space="preserve">In addition, </w:t>
      </w:r>
      <w:r w:rsidR="008902A9">
        <w:rPr>
          <w:rFonts w:ascii="Times New Roman" w:eastAsia="Times New Roman" w:hAnsi="Times New Roman"/>
          <w:sz w:val="24"/>
          <w:szCs w:val="24"/>
        </w:rPr>
        <w:lastRenderedPageBreak/>
        <w:t>m</w:t>
      </w:r>
      <w:r>
        <w:rPr>
          <w:rFonts w:ascii="Times New Roman" w:eastAsia="Times New Roman" w:hAnsi="Times New Roman"/>
          <w:sz w:val="24"/>
          <w:szCs w:val="24"/>
        </w:rPr>
        <w:t xml:space="preserve">anufacturers are the only stakeholder group required to submit notifications of high risk of illegitimacy. </w:t>
      </w:r>
      <w:r w:rsidRPr="001D0722">
        <w:rPr>
          <w:rFonts w:ascii="Times New Roman" w:eastAsia="Times New Roman" w:hAnsi="Times New Roman"/>
          <w:sz w:val="24"/>
          <w:szCs w:val="24"/>
        </w:rPr>
        <w:t xml:space="preserve">FDA </w:t>
      </w:r>
      <w:r>
        <w:rPr>
          <w:rFonts w:ascii="Times New Roman" w:eastAsia="Times New Roman" w:hAnsi="Times New Roman"/>
          <w:sz w:val="24"/>
          <w:szCs w:val="24"/>
        </w:rPr>
        <w:t xml:space="preserve">originally estimated </w:t>
      </w:r>
      <w:r w:rsidRPr="001D0722">
        <w:rPr>
          <w:rFonts w:ascii="Times New Roman" w:eastAsia="Times New Roman" w:hAnsi="Times New Roman"/>
          <w:sz w:val="24"/>
          <w:szCs w:val="24"/>
        </w:rPr>
        <w:t>that approximately 50 percent of the notifications will be made by</w:t>
      </w:r>
      <w:r>
        <w:rPr>
          <w:rFonts w:ascii="Times New Roman" w:eastAsia="Times New Roman" w:hAnsi="Times New Roman"/>
          <w:sz w:val="24"/>
          <w:szCs w:val="24"/>
        </w:rPr>
        <w:t xml:space="preserve"> manufacturers and repackagers</w:t>
      </w:r>
      <w:r w:rsidRPr="001D0722">
        <w:rPr>
          <w:rFonts w:ascii="Times New Roman" w:eastAsia="Times New Roman" w:hAnsi="Times New Roman"/>
          <w:sz w:val="24"/>
          <w:szCs w:val="24"/>
        </w:rPr>
        <w:t>, 45 perc</w:t>
      </w:r>
      <w:r>
        <w:rPr>
          <w:rFonts w:ascii="Times New Roman" w:eastAsia="Times New Roman" w:hAnsi="Times New Roman"/>
          <w:sz w:val="24"/>
          <w:szCs w:val="24"/>
        </w:rPr>
        <w:t>ent by wholesaler distributors, and 5 percent by pharmacies</w:t>
      </w:r>
      <w:r w:rsidRPr="001D0722">
        <w:rPr>
          <w:rFonts w:ascii="Times New Roman" w:eastAsia="Times New Roman" w:hAnsi="Times New Roman"/>
          <w:sz w:val="24"/>
          <w:szCs w:val="24"/>
        </w:rPr>
        <w:t>.</w:t>
      </w:r>
      <w:r>
        <w:rPr>
          <w:rFonts w:ascii="Times New Roman" w:eastAsia="Times New Roman" w:hAnsi="Times New Roman"/>
          <w:sz w:val="24"/>
          <w:szCs w:val="24"/>
        </w:rPr>
        <w:t xml:space="preserve">  In response to the comment and the fact that only manufacturers submit notifications of high risk of illegitimacy, FDA is changing the proportion that will be made by manufacturers and repackagers to 80 percent (800), 16 percent by wholesale distributors (160), and 4 percent by pharmacies (40).</w:t>
      </w:r>
    </w:p>
    <w:p w14:paraId="337795EE" w14:textId="440666D9" w:rsidR="00272C7D" w:rsidRPr="001D0722" w:rsidRDefault="00272C7D" w:rsidP="00272C7D">
      <w:pPr>
        <w:spacing w:after="0" w:line="480" w:lineRule="auto"/>
        <w:ind w:firstLine="720"/>
        <w:rPr>
          <w:rFonts w:ascii="Times New Roman" w:eastAsia="Times New Roman" w:hAnsi="Times New Roman"/>
          <w:sz w:val="24"/>
          <w:szCs w:val="24"/>
        </w:rPr>
      </w:pPr>
      <w:r w:rsidRPr="001D0722">
        <w:rPr>
          <w:rFonts w:ascii="Times New Roman" w:eastAsia="Times New Roman" w:hAnsi="Times New Roman"/>
          <w:sz w:val="24"/>
          <w:szCs w:val="24"/>
        </w:rPr>
        <w:t>FDA estimates that the number of annual notifications will vary from 0-2 for manufacturers/repackagers, as well as from pharmacies, with the vast majority of companies making no notifications. While</w:t>
      </w:r>
      <w:r>
        <w:rPr>
          <w:rFonts w:ascii="Times New Roman" w:eastAsia="Times New Roman" w:hAnsi="Times New Roman"/>
          <w:sz w:val="24"/>
          <w:szCs w:val="24"/>
        </w:rPr>
        <w:t xml:space="preserve"> the</w:t>
      </w:r>
      <w:r w:rsidRPr="001D0722">
        <w:rPr>
          <w:rFonts w:ascii="Times New Roman" w:eastAsia="Times New Roman" w:hAnsi="Times New Roman"/>
          <w:sz w:val="24"/>
          <w:szCs w:val="24"/>
        </w:rPr>
        <w:t xml:space="preserve"> FDA</w:t>
      </w:r>
      <w:r w:rsidR="003058BF">
        <w:rPr>
          <w:rFonts w:ascii="Times New Roman" w:eastAsia="Times New Roman" w:hAnsi="Times New Roman"/>
          <w:sz w:val="24"/>
          <w:szCs w:val="24"/>
        </w:rPr>
        <w:t>’s</w:t>
      </w:r>
      <w:r w:rsidRPr="001D0722">
        <w:rPr>
          <w:rFonts w:ascii="Times New Roman" w:eastAsia="Times New Roman" w:hAnsi="Times New Roman"/>
          <w:sz w:val="24"/>
          <w:szCs w:val="24"/>
        </w:rPr>
        <w:t xml:space="preserve"> establishment and drug product listing database currently contains registrations for approximately 6,500 manufacturers and repackagers, we estimate that approximately </w:t>
      </w:r>
      <w:r w:rsidR="0066346D">
        <w:rPr>
          <w:rFonts w:ascii="Times New Roman" w:eastAsia="Times New Roman" w:hAnsi="Times New Roman"/>
          <w:sz w:val="24"/>
          <w:szCs w:val="24"/>
        </w:rPr>
        <w:t>800</w:t>
      </w:r>
      <w:r w:rsidRPr="001D0722">
        <w:rPr>
          <w:rFonts w:ascii="Times New Roman" w:eastAsia="Times New Roman" w:hAnsi="Times New Roman"/>
          <w:sz w:val="24"/>
          <w:szCs w:val="24"/>
        </w:rPr>
        <w:t xml:space="preserve"> manufacturers/repackagers will notify FDA of illegitimate product an average of one time per year. While FDA estimates approximately 69,000 pharmacy sites in the United States, based on data from the National Association of Chain Drug Stores, the National Community Pharmacists Association, and the American Hospital Association, we estimate that approximately </w:t>
      </w:r>
      <w:r w:rsidR="0066346D">
        <w:rPr>
          <w:rFonts w:ascii="Times New Roman" w:eastAsia="Times New Roman" w:hAnsi="Times New Roman"/>
          <w:sz w:val="24"/>
          <w:szCs w:val="24"/>
        </w:rPr>
        <w:t>40</w:t>
      </w:r>
      <w:r w:rsidRPr="001D0722">
        <w:rPr>
          <w:rFonts w:ascii="Times New Roman" w:eastAsia="Times New Roman" w:hAnsi="Times New Roman"/>
          <w:sz w:val="24"/>
          <w:szCs w:val="24"/>
        </w:rPr>
        <w:t xml:space="preserve"> pharmacies will notify FDA of illegitimate product an average of one time per year.</w:t>
      </w:r>
      <w:r>
        <w:rPr>
          <w:rFonts w:ascii="Times New Roman" w:eastAsia="Times New Roman" w:hAnsi="Times New Roman"/>
          <w:sz w:val="24"/>
          <w:szCs w:val="24"/>
        </w:rPr>
        <w:t xml:space="preserve">  </w:t>
      </w:r>
      <w:r w:rsidRPr="001D0722">
        <w:rPr>
          <w:rFonts w:ascii="Times New Roman" w:eastAsia="Times New Roman" w:hAnsi="Times New Roman"/>
          <w:sz w:val="24"/>
          <w:szCs w:val="24"/>
        </w:rPr>
        <w:t>Because</w:t>
      </w:r>
      <w:r w:rsidR="008902A9">
        <w:rPr>
          <w:rFonts w:ascii="Times New Roman" w:eastAsia="Times New Roman" w:hAnsi="Times New Roman"/>
          <w:sz w:val="24"/>
          <w:szCs w:val="24"/>
        </w:rPr>
        <w:t xml:space="preserve">, according to </w:t>
      </w:r>
      <w:r w:rsidR="00891A5B">
        <w:rPr>
          <w:rFonts w:ascii="Times New Roman" w:eastAsia="Times New Roman" w:hAnsi="Times New Roman"/>
          <w:sz w:val="24"/>
          <w:szCs w:val="24"/>
        </w:rPr>
        <w:t xml:space="preserve">Healthcare Distribution Management Association </w:t>
      </w:r>
      <w:r w:rsidR="008902A9">
        <w:rPr>
          <w:rFonts w:ascii="Times New Roman" w:eastAsia="Times New Roman" w:hAnsi="Times New Roman"/>
          <w:sz w:val="24"/>
          <w:szCs w:val="24"/>
        </w:rPr>
        <w:t xml:space="preserve"> </w:t>
      </w:r>
      <w:r w:rsidRPr="001D0722">
        <w:rPr>
          <w:rFonts w:ascii="Times New Roman" w:eastAsia="Times New Roman" w:hAnsi="Times New Roman"/>
          <w:sz w:val="24"/>
          <w:szCs w:val="24"/>
        </w:rPr>
        <w:t>approximately 30 wholesale distributors are responsible for over 90 percent of drug distributions, based on sales</w:t>
      </w:r>
      <w:r>
        <w:rPr>
          <w:rFonts w:ascii="Times New Roman" w:eastAsia="Times New Roman" w:hAnsi="Times New Roman"/>
          <w:sz w:val="24"/>
          <w:szCs w:val="24"/>
        </w:rPr>
        <w:t>, a</w:t>
      </w:r>
      <w:r w:rsidRPr="001D0722">
        <w:rPr>
          <w:rFonts w:ascii="Times New Roman" w:eastAsia="Times New Roman" w:hAnsi="Times New Roman"/>
          <w:sz w:val="24"/>
          <w:szCs w:val="24"/>
        </w:rPr>
        <w:t>nd because FDA is estimating that over 2,200 small wholesale distributors might be responsible for the remaining 10 percent of drug sales, we estimate that</w:t>
      </w:r>
      <w:r>
        <w:rPr>
          <w:rFonts w:ascii="Times New Roman" w:eastAsia="Times New Roman" w:hAnsi="Times New Roman"/>
          <w:sz w:val="24"/>
          <w:szCs w:val="24"/>
        </w:rPr>
        <w:t xml:space="preserve"> </w:t>
      </w:r>
      <w:r w:rsidRPr="001D0722">
        <w:rPr>
          <w:rFonts w:ascii="Times New Roman" w:eastAsia="Times New Roman" w:hAnsi="Times New Roman"/>
          <w:sz w:val="24"/>
          <w:szCs w:val="24"/>
        </w:rPr>
        <w:t>distributor</w:t>
      </w:r>
      <w:r>
        <w:rPr>
          <w:rFonts w:ascii="Times New Roman" w:eastAsia="Times New Roman" w:hAnsi="Times New Roman"/>
          <w:sz w:val="24"/>
          <w:szCs w:val="24"/>
        </w:rPr>
        <w:t>s</w:t>
      </w:r>
      <w:r w:rsidRPr="001D0722">
        <w:rPr>
          <w:rFonts w:ascii="Times New Roman" w:eastAsia="Times New Roman" w:hAnsi="Times New Roman"/>
          <w:sz w:val="24"/>
          <w:szCs w:val="24"/>
        </w:rPr>
        <w:t xml:space="preserve"> will </w:t>
      </w:r>
      <w:r>
        <w:rPr>
          <w:rFonts w:ascii="Times New Roman" w:eastAsia="Times New Roman" w:hAnsi="Times New Roman"/>
          <w:sz w:val="24"/>
          <w:szCs w:val="24"/>
        </w:rPr>
        <w:t xml:space="preserve">be responsible for </w:t>
      </w:r>
      <w:r w:rsidRPr="001D0722">
        <w:rPr>
          <w:rFonts w:ascii="Times New Roman" w:eastAsia="Times New Roman" w:hAnsi="Times New Roman"/>
          <w:sz w:val="24"/>
          <w:szCs w:val="24"/>
        </w:rPr>
        <w:t>mak</w:t>
      </w:r>
      <w:r w:rsidR="003058BF">
        <w:rPr>
          <w:rFonts w:ascii="Times New Roman" w:eastAsia="Times New Roman" w:hAnsi="Times New Roman"/>
          <w:sz w:val="24"/>
          <w:szCs w:val="24"/>
        </w:rPr>
        <w:t>ing</w:t>
      </w:r>
      <w:r w:rsidRPr="001D0722">
        <w:rPr>
          <w:rFonts w:ascii="Times New Roman" w:eastAsia="Times New Roman" w:hAnsi="Times New Roman"/>
          <w:sz w:val="24"/>
          <w:szCs w:val="24"/>
        </w:rPr>
        <w:t xml:space="preserve"> about an average of </w:t>
      </w:r>
      <w:r>
        <w:rPr>
          <w:rFonts w:ascii="Times New Roman" w:eastAsia="Times New Roman" w:hAnsi="Times New Roman"/>
          <w:sz w:val="24"/>
          <w:szCs w:val="24"/>
        </w:rPr>
        <w:t>0-</w:t>
      </w:r>
      <w:r w:rsidRPr="001D0722">
        <w:rPr>
          <w:rFonts w:ascii="Times New Roman" w:eastAsia="Times New Roman" w:hAnsi="Times New Roman"/>
          <w:sz w:val="24"/>
          <w:szCs w:val="24"/>
        </w:rPr>
        <w:t xml:space="preserve">1notification per year to account for the </w:t>
      </w:r>
      <w:r>
        <w:rPr>
          <w:rFonts w:ascii="Times New Roman" w:eastAsia="Times New Roman" w:hAnsi="Times New Roman"/>
          <w:sz w:val="24"/>
          <w:szCs w:val="24"/>
        </w:rPr>
        <w:t xml:space="preserve">an </w:t>
      </w:r>
      <w:r w:rsidRPr="001D0722">
        <w:rPr>
          <w:rFonts w:ascii="Times New Roman" w:eastAsia="Times New Roman" w:hAnsi="Times New Roman"/>
          <w:sz w:val="24"/>
          <w:szCs w:val="24"/>
        </w:rPr>
        <w:t xml:space="preserve">estimated </w:t>
      </w:r>
      <w:r w:rsidR="0066346D">
        <w:rPr>
          <w:rFonts w:ascii="Times New Roman" w:eastAsia="Times New Roman" w:hAnsi="Times New Roman"/>
          <w:sz w:val="24"/>
          <w:szCs w:val="24"/>
        </w:rPr>
        <w:t>160</w:t>
      </w:r>
      <w:r w:rsidRPr="001D0722">
        <w:rPr>
          <w:rFonts w:ascii="Times New Roman" w:eastAsia="Times New Roman" w:hAnsi="Times New Roman"/>
          <w:sz w:val="24"/>
          <w:szCs w:val="24"/>
        </w:rPr>
        <w:t xml:space="preserve"> notifications FDA will receive regarding illegitimate product.</w:t>
      </w:r>
    </w:p>
    <w:p w14:paraId="337795EF" w14:textId="40E2BDB0" w:rsidR="00272C7D" w:rsidRDefault="00272C7D" w:rsidP="00272C7D">
      <w:pPr>
        <w:spacing w:after="0" w:line="480" w:lineRule="auto"/>
        <w:ind w:firstLine="720"/>
        <w:rPr>
          <w:rFonts w:ascii="Times New Roman" w:eastAsia="Times New Roman" w:hAnsi="Times New Roman"/>
          <w:sz w:val="24"/>
          <w:szCs w:val="24"/>
        </w:rPr>
      </w:pPr>
      <w:r w:rsidRPr="001D0722">
        <w:rPr>
          <w:rFonts w:ascii="Times New Roman" w:eastAsia="Times New Roman" w:hAnsi="Times New Roman"/>
          <w:sz w:val="24"/>
          <w:szCs w:val="24"/>
        </w:rPr>
        <w:lastRenderedPageBreak/>
        <w:t xml:space="preserve">FDA intends to make Form FDA 3911 </w:t>
      </w:r>
      <w:r>
        <w:rPr>
          <w:rFonts w:ascii="Times New Roman" w:eastAsia="Times New Roman" w:hAnsi="Times New Roman"/>
          <w:sz w:val="24"/>
          <w:szCs w:val="24"/>
        </w:rPr>
        <w:t xml:space="preserve">available </w:t>
      </w:r>
      <w:r w:rsidRPr="001D0722">
        <w:rPr>
          <w:rFonts w:ascii="Times New Roman" w:eastAsia="Times New Roman" w:hAnsi="Times New Roman"/>
          <w:sz w:val="24"/>
          <w:szCs w:val="24"/>
        </w:rPr>
        <w:t xml:space="preserve">on its Web page for </w:t>
      </w:r>
      <w:r>
        <w:rPr>
          <w:rFonts w:ascii="Times New Roman" w:eastAsia="Times New Roman" w:hAnsi="Times New Roman"/>
          <w:sz w:val="24"/>
          <w:szCs w:val="24"/>
        </w:rPr>
        <w:t xml:space="preserve">trading partners to use to notify </w:t>
      </w:r>
      <w:r w:rsidRPr="001D0722">
        <w:rPr>
          <w:rFonts w:ascii="Times New Roman" w:eastAsia="Times New Roman" w:hAnsi="Times New Roman"/>
          <w:sz w:val="24"/>
          <w:szCs w:val="24"/>
        </w:rPr>
        <w:t xml:space="preserve">FDA. Each notification should include information about the person or entity initiating the notification, the product determined to be illegitimate, </w:t>
      </w:r>
      <w:r>
        <w:rPr>
          <w:rFonts w:ascii="Times New Roman" w:eastAsia="Times New Roman" w:hAnsi="Times New Roman"/>
          <w:sz w:val="24"/>
          <w:szCs w:val="24"/>
        </w:rPr>
        <w:t>or having a high risk of illegitimacy,</w:t>
      </w:r>
      <w:r w:rsidRPr="001D0722">
        <w:rPr>
          <w:rFonts w:ascii="Times New Roman" w:eastAsia="Times New Roman" w:hAnsi="Times New Roman"/>
          <w:sz w:val="24"/>
          <w:szCs w:val="24"/>
        </w:rPr>
        <w:t xml:space="preserve"> and a description of the circumstances surrounding the event that prompted the notification. </w:t>
      </w:r>
      <w:r>
        <w:rPr>
          <w:rFonts w:ascii="Times New Roman" w:eastAsia="Times New Roman" w:hAnsi="Times New Roman"/>
          <w:sz w:val="24"/>
          <w:szCs w:val="24"/>
        </w:rPr>
        <w:t xml:space="preserve"> </w:t>
      </w:r>
      <w:r w:rsidRPr="001D0722">
        <w:rPr>
          <w:rFonts w:ascii="Times New Roman" w:eastAsia="Times New Roman" w:hAnsi="Times New Roman"/>
          <w:sz w:val="24"/>
          <w:szCs w:val="24"/>
        </w:rPr>
        <w:t>FDA estimates that each notification will take about 1 hour.</w:t>
      </w:r>
      <w:r>
        <w:rPr>
          <w:rFonts w:ascii="Times New Roman" w:eastAsia="Times New Roman" w:hAnsi="Times New Roman"/>
          <w:sz w:val="24"/>
          <w:szCs w:val="24"/>
        </w:rPr>
        <w:t xml:space="preserve"> </w:t>
      </w:r>
      <w:r w:rsidRPr="001D0722">
        <w:rPr>
          <w:rFonts w:ascii="Times New Roman" w:eastAsia="Times New Roman" w:hAnsi="Times New Roman"/>
          <w:sz w:val="24"/>
          <w:szCs w:val="24"/>
        </w:rPr>
        <w:t xml:space="preserve"> The estimated total annual burden hours for making notifications to FDA is approximately </w:t>
      </w:r>
      <w:r w:rsidR="0066346D">
        <w:rPr>
          <w:rFonts w:ascii="Times New Roman" w:eastAsia="Times New Roman" w:hAnsi="Times New Roman"/>
          <w:sz w:val="24"/>
          <w:szCs w:val="24"/>
        </w:rPr>
        <w:t>1,000</w:t>
      </w:r>
      <w:r w:rsidRPr="001D0722">
        <w:rPr>
          <w:rFonts w:ascii="Times New Roman" w:eastAsia="Times New Roman" w:hAnsi="Times New Roman"/>
          <w:sz w:val="24"/>
          <w:szCs w:val="24"/>
        </w:rPr>
        <w:t xml:space="preserve"> hours annually (table 1).</w:t>
      </w:r>
    </w:p>
    <w:p w14:paraId="337795F0" w14:textId="3C06FD1D" w:rsidR="00272C7D" w:rsidRPr="001D0722" w:rsidRDefault="00272C7D" w:rsidP="00272C7D">
      <w:pPr>
        <w:spacing w:after="0" w:line="480" w:lineRule="auto"/>
        <w:rPr>
          <w:rFonts w:ascii="Times New Roman" w:eastAsia="Times New Roman" w:hAnsi="Times New Roman"/>
          <w:sz w:val="24"/>
          <w:szCs w:val="24"/>
        </w:rPr>
      </w:pPr>
      <w:r>
        <w:rPr>
          <w:rFonts w:ascii="Times New Roman" w:eastAsia="Times New Roman" w:hAnsi="Times New Roman"/>
          <w:sz w:val="24"/>
          <w:szCs w:val="24"/>
        </w:rPr>
        <w:tab/>
      </w:r>
      <w:r w:rsidRPr="00485AB6">
        <w:rPr>
          <w:rFonts w:ascii="Times New Roman" w:eastAsia="Times New Roman" w:hAnsi="Times New Roman"/>
          <w:bCs/>
          <w:sz w:val="24"/>
          <w:szCs w:val="24"/>
          <w:u w:val="single"/>
        </w:rPr>
        <w:t>Notifications to Trading Partners of an Illegitimate Product</w:t>
      </w:r>
      <w:r>
        <w:rPr>
          <w:rFonts w:ascii="Times New Roman" w:eastAsia="Times New Roman" w:hAnsi="Times New Roman"/>
          <w:bCs/>
          <w:sz w:val="24"/>
          <w:szCs w:val="24"/>
          <w:u w:val="single"/>
        </w:rPr>
        <w:t xml:space="preserve"> or Product with a High Risk of Illegitimacy</w:t>
      </w:r>
      <w:r>
        <w:rPr>
          <w:rFonts w:ascii="Times New Roman" w:eastAsia="Times New Roman" w:hAnsi="Times New Roman"/>
          <w:bCs/>
          <w:sz w:val="24"/>
          <w:szCs w:val="24"/>
        </w:rPr>
        <w:t xml:space="preserve">.  </w:t>
      </w:r>
      <w:r w:rsidRPr="001D0722">
        <w:rPr>
          <w:rFonts w:ascii="Times New Roman" w:eastAsia="Times New Roman" w:hAnsi="Times New Roman"/>
          <w:sz w:val="24"/>
          <w:szCs w:val="24"/>
        </w:rPr>
        <w:t>Under section</w:t>
      </w:r>
      <w:r>
        <w:rPr>
          <w:rFonts w:ascii="Times New Roman" w:eastAsia="Times New Roman" w:hAnsi="Times New Roman"/>
          <w:sz w:val="24"/>
          <w:szCs w:val="24"/>
        </w:rPr>
        <w:t xml:space="preserve"> </w:t>
      </w:r>
      <w:r w:rsidRPr="001D0722">
        <w:rPr>
          <w:rFonts w:ascii="Times New Roman" w:eastAsia="Times New Roman" w:hAnsi="Times New Roman"/>
          <w:sz w:val="24"/>
          <w:szCs w:val="24"/>
        </w:rPr>
        <w:t>582(b)(4)(B)(ii), (c)(4)(B)(ii), (d)(4)(B</w:t>
      </w:r>
      <w:r>
        <w:rPr>
          <w:rFonts w:ascii="Times New Roman" w:eastAsia="Times New Roman" w:hAnsi="Times New Roman"/>
          <w:sz w:val="24"/>
          <w:szCs w:val="24"/>
        </w:rPr>
        <w:t xml:space="preserve">)(ii), </w:t>
      </w:r>
      <w:r w:rsidRPr="001D0722">
        <w:rPr>
          <w:rFonts w:ascii="Times New Roman" w:eastAsia="Times New Roman" w:hAnsi="Times New Roman"/>
          <w:sz w:val="24"/>
          <w:szCs w:val="24"/>
        </w:rPr>
        <w:t xml:space="preserve">and (e)(4)(B)(ii) of the FD&amp;C Act, a trading partner </w:t>
      </w:r>
      <w:r w:rsidR="0039169B">
        <w:rPr>
          <w:rFonts w:ascii="Times New Roman" w:eastAsia="Times New Roman" w:hAnsi="Times New Roman"/>
          <w:sz w:val="24"/>
          <w:szCs w:val="24"/>
        </w:rPr>
        <w:t>that</w:t>
      </w:r>
      <w:r w:rsidRPr="001D0722">
        <w:rPr>
          <w:rFonts w:ascii="Times New Roman" w:eastAsia="Times New Roman" w:hAnsi="Times New Roman"/>
          <w:sz w:val="24"/>
          <w:szCs w:val="24"/>
        </w:rPr>
        <w:t xml:space="preserve"> determines that a product in its possession is illegitimate must also notify all immediate trading partners that the trading partner has reason to believe may have received such illegitimate product of that determination not later than 24 hours after the determination is made. </w:t>
      </w:r>
      <w:r>
        <w:rPr>
          <w:rFonts w:ascii="Times New Roman" w:eastAsia="Times New Roman" w:hAnsi="Times New Roman"/>
          <w:sz w:val="24"/>
          <w:szCs w:val="24"/>
        </w:rPr>
        <w:t xml:space="preserve"> </w:t>
      </w:r>
      <w:r w:rsidRPr="001D0722">
        <w:rPr>
          <w:rFonts w:ascii="Times New Roman" w:eastAsia="Times New Roman" w:hAnsi="Times New Roman"/>
          <w:sz w:val="24"/>
          <w:szCs w:val="24"/>
        </w:rPr>
        <w:t>In addition, a manufacturer is required, under section 582(b)(4)(B)(ii)(II)</w:t>
      </w:r>
      <w:r>
        <w:rPr>
          <w:rFonts w:ascii="Times New Roman" w:eastAsia="Times New Roman" w:hAnsi="Times New Roman"/>
          <w:sz w:val="24"/>
          <w:szCs w:val="24"/>
        </w:rPr>
        <w:t xml:space="preserve"> </w:t>
      </w:r>
      <w:r w:rsidRPr="001D0722">
        <w:rPr>
          <w:rFonts w:ascii="Times New Roman" w:eastAsia="Times New Roman" w:hAnsi="Times New Roman"/>
          <w:sz w:val="24"/>
          <w:szCs w:val="24"/>
        </w:rPr>
        <w:t>of the FD&amp;C Act, to notify all immediate trading partners that the manufacturer has reason to believe may possess a product manufactured by or purported to be manufactured by the manufacturer not later than 24 hours after the manufacturer has determined or been notified by FDA or a trading partner that the product has a high risk of illegitimacy.</w:t>
      </w:r>
    </w:p>
    <w:p w14:paraId="337795F1" w14:textId="58DA0873" w:rsidR="00272C7D" w:rsidRPr="001D0722" w:rsidRDefault="00272C7D" w:rsidP="00272C7D">
      <w:pPr>
        <w:spacing w:after="0" w:line="480" w:lineRule="auto"/>
        <w:ind w:firstLine="720"/>
        <w:rPr>
          <w:rFonts w:ascii="Times New Roman" w:eastAsia="Times New Roman" w:hAnsi="Times New Roman"/>
          <w:sz w:val="24"/>
          <w:szCs w:val="24"/>
        </w:rPr>
      </w:pPr>
      <w:r w:rsidRPr="001D0722">
        <w:rPr>
          <w:rFonts w:ascii="Times New Roman" w:eastAsia="Times New Roman" w:hAnsi="Times New Roman"/>
          <w:sz w:val="24"/>
          <w:szCs w:val="24"/>
        </w:rPr>
        <w:t>Because the extent of distribution of any illegitimate product is likely to vary from one situation to another, FDA assume</w:t>
      </w:r>
      <w:r w:rsidR="00AD2297">
        <w:rPr>
          <w:rFonts w:ascii="Times New Roman" w:eastAsia="Times New Roman" w:hAnsi="Times New Roman"/>
          <w:sz w:val="24"/>
          <w:szCs w:val="24"/>
        </w:rPr>
        <w:t>d a</w:t>
      </w:r>
      <w:r w:rsidRPr="001D0722">
        <w:rPr>
          <w:rFonts w:ascii="Times New Roman" w:eastAsia="Times New Roman" w:hAnsi="Times New Roman"/>
          <w:sz w:val="24"/>
          <w:szCs w:val="24"/>
        </w:rPr>
        <w:t xml:space="preserve"> wide distribution of each illegitimate product. </w:t>
      </w:r>
      <w:r>
        <w:rPr>
          <w:rFonts w:ascii="Times New Roman" w:eastAsia="Times New Roman" w:hAnsi="Times New Roman"/>
          <w:sz w:val="24"/>
          <w:szCs w:val="24"/>
        </w:rPr>
        <w:t xml:space="preserve"> </w:t>
      </w:r>
      <w:r w:rsidRPr="001D0722">
        <w:rPr>
          <w:rFonts w:ascii="Times New Roman" w:eastAsia="Times New Roman" w:hAnsi="Times New Roman"/>
          <w:sz w:val="24"/>
          <w:szCs w:val="24"/>
        </w:rPr>
        <w:t xml:space="preserve">FDA estimates that for each notification made by a manufacturer or repackager to FDA, approximately 30 trading partners (based on the number of distributors) will also be notified. This results in approximately </w:t>
      </w:r>
      <w:r w:rsidR="0066346D">
        <w:rPr>
          <w:rFonts w:ascii="Times New Roman" w:eastAsia="Times New Roman" w:hAnsi="Times New Roman"/>
          <w:sz w:val="24"/>
          <w:szCs w:val="24"/>
        </w:rPr>
        <w:t>24,000</w:t>
      </w:r>
      <w:r w:rsidRPr="001D0722">
        <w:rPr>
          <w:rFonts w:ascii="Times New Roman" w:eastAsia="Times New Roman" w:hAnsi="Times New Roman"/>
          <w:sz w:val="24"/>
          <w:szCs w:val="24"/>
        </w:rPr>
        <w:t xml:space="preserve"> notifications annually to trading partners of manufacturers/repackagers.</w:t>
      </w:r>
      <w:r>
        <w:rPr>
          <w:rFonts w:ascii="Times New Roman" w:eastAsia="Times New Roman" w:hAnsi="Times New Roman"/>
          <w:sz w:val="24"/>
          <w:szCs w:val="24"/>
        </w:rPr>
        <w:t xml:space="preserve"> </w:t>
      </w:r>
      <w:r w:rsidRPr="001D0722">
        <w:rPr>
          <w:rFonts w:ascii="Times New Roman" w:eastAsia="Times New Roman" w:hAnsi="Times New Roman"/>
          <w:sz w:val="24"/>
          <w:szCs w:val="24"/>
        </w:rPr>
        <w:t xml:space="preserve"> This estimate includes the notifications by manufacturers and </w:t>
      </w:r>
      <w:r w:rsidRPr="001D0722">
        <w:rPr>
          <w:rFonts w:ascii="Times New Roman" w:eastAsia="Times New Roman" w:hAnsi="Times New Roman"/>
          <w:sz w:val="24"/>
          <w:szCs w:val="24"/>
        </w:rPr>
        <w:lastRenderedPageBreak/>
        <w:t>repackagers who have determined that illegitimate product is in their possession or control, as well as notifications by manufacturers that have determined that a product poses a high risk of illegitimacy.</w:t>
      </w:r>
    </w:p>
    <w:p w14:paraId="0340AA68" w14:textId="77777777" w:rsidR="00AD2297" w:rsidRPr="001D0722" w:rsidRDefault="00272C7D" w:rsidP="00AD2297">
      <w:pPr>
        <w:spacing w:after="0" w:line="480" w:lineRule="auto"/>
        <w:ind w:firstLine="720"/>
        <w:rPr>
          <w:rFonts w:ascii="Times New Roman" w:eastAsia="Times New Roman" w:hAnsi="Times New Roman"/>
          <w:sz w:val="24"/>
          <w:szCs w:val="24"/>
        </w:rPr>
      </w:pPr>
      <w:r w:rsidRPr="001D0722">
        <w:rPr>
          <w:rFonts w:ascii="Times New Roman" w:eastAsia="Times New Roman" w:hAnsi="Times New Roman"/>
          <w:sz w:val="24"/>
          <w:szCs w:val="24"/>
        </w:rPr>
        <w:t>FDA estimates that a l</w:t>
      </w:r>
      <w:r>
        <w:rPr>
          <w:rFonts w:ascii="Times New Roman" w:eastAsia="Times New Roman" w:hAnsi="Times New Roman"/>
          <w:sz w:val="24"/>
          <w:szCs w:val="24"/>
        </w:rPr>
        <w:t>arge wholesale distributor may</w:t>
      </w:r>
      <w:r w:rsidRPr="001D0722">
        <w:rPr>
          <w:rFonts w:ascii="Times New Roman" w:eastAsia="Times New Roman" w:hAnsi="Times New Roman"/>
          <w:sz w:val="24"/>
          <w:szCs w:val="24"/>
        </w:rPr>
        <w:t xml:space="preserve"> have up to 4,500 trading partners, but a s</w:t>
      </w:r>
      <w:r>
        <w:rPr>
          <w:rFonts w:ascii="Times New Roman" w:eastAsia="Times New Roman" w:hAnsi="Times New Roman"/>
          <w:sz w:val="24"/>
          <w:szCs w:val="24"/>
        </w:rPr>
        <w:t>mall wholesale distributor may</w:t>
      </w:r>
      <w:r w:rsidRPr="001D0722">
        <w:rPr>
          <w:rFonts w:ascii="Times New Roman" w:eastAsia="Times New Roman" w:hAnsi="Times New Roman"/>
          <w:sz w:val="24"/>
          <w:szCs w:val="24"/>
        </w:rPr>
        <w:t xml:space="preserve"> have 200 trading partners, for an average of approximately 2,350. </w:t>
      </w:r>
      <w:r>
        <w:rPr>
          <w:rFonts w:ascii="Times New Roman" w:eastAsia="Times New Roman" w:hAnsi="Times New Roman"/>
          <w:sz w:val="24"/>
          <w:szCs w:val="24"/>
        </w:rPr>
        <w:t xml:space="preserve"> </w:t>
      </w:r>
      <w:r w:rsidR="00AD2297">
        <w:rPr>
          <w:rFonts w:ascii="Times New Roman" w:eastAsia="Times New Roman" w:hAnsi="Times New Roman"/>
          <w:sz w:val="24"/>
          <w:szCs w:val="24"/>
        </w:rPr>
        <w:t xml:space="preserve">FDA originally estimated that a </w:t>
      </w:r>
      <w:r w:rsidR="00AD2297" w:rsidRPr="001D0722">
        <w:rPr>
          <w:rFonts w:ascii="Times New Roman" w:eastAsia="Times New Roman" w:hAnsi="Times New Roman"/>
          <w:sz w:val="24"/>
          <w:szCs w:val="24"/>
        </w:rPr>
        <w:t xml:space="preserve">wholesale distributor would notify </w:t>
      </w:r>
      <w:r w:rsidR="00AD2297">
        <w:rPr>
          <w:rFonts w:ascii="Times New Roman" w:eastAsia="Times New Roman" w:hAnsi="Times New Roman"/>
          <w:sz w:val="24"/>
          <w:szCs w:val="24"/>
        </w:rPr>
        <w:t xml:space="preserve">all </w:t>
      </w:r>
      <w:r w:rsidR="00AD2297" w:rsidRPr="001D0722">
        <w:rPr>
          <w:rFonts w:ascii="Times New Roman" w:eastAsia="Times New Roman" w:hAnsi="Times New Roman"/>
          <w:sz w:val="24"/>
          <w:szCs w:val="24"/>
        </w:rPr>
        <w:t>2,350 trading partners for each of the illegitimate products identified</w:t>
      </w:r>
      <w:r w:rsidR="00AD2297">
        <w:rPr>
          <w:rFonts w:ascii="Times New Roman" w:eastAsia="Times New Roman" w:hAnsi="Times New Roman"/>
          <w:sz w:val="24"/>
          <w:szCs w:val="24"/>
        </w:rPr>
        <w:t>.  However, comments received from a trade association indicated that they believed this number was too high based on past experience. FDA has reduced the number of trading partners that a wholesale distributor would notify to 50 percent resulting in the notification of 1,175 trading partners for each of the 160 notifications resulting in a total of 188,000 notifications to trading partners.</w:t>
      </w:r>
    </w:p>
    <w:p w14:paraId="337795F3" w14:textId="470A19F4" w:rsidR="00272C7D" w:rsidRPr="001D0722" w:rsidRDefault="00272C7D" w:rsidP="00272C7D">
      <w:pPr>
        <w:spacing w:after="0" w:line="480" w:lineRule="auto"/>
        <w:ind w:firstLine="720"/>
        <w:rPr>
          <w:rFonts w:ascii="Times New Roman" w:eastAsia="Times New Roman" w:hAnsi="Times New Roman"/>
          <w:sz w:val="24"/>
          <w:szCs w:val="24"/>
        </w:rPr>
      </w:pPr>
      <w:r w:rsidRPr="001D0722">
        <w:rPr>
          <w:rFonts w:ascii="Times New Roman" w:eastAsia="Times New Roman" w:hAnsi="Times New Roman"/>
          <w:sz w:val="24"/>
          <w:szCs w:val="24"/>
        </w:rPr>
        <w:t xml:space="preserve">FDA estimates that a pharmacy purchases prescription drugs from an average of two wholesale distributors. Therefore, a pharmacy would notify 2 trading partners for each of the </w:t>
      </w:r>
      <w:r w:rsidR="0066346D">
        <w:rPr>
          <w:rFonts w:ascii="Times New Roman" w:eastAsia="Times New Roman" w:hAnsi="Times New Roman"/>
          <w:sz w:val="24"/>
          <w:szCs w:val="24"/>
        </w:rPr>
        <w:t>40</w:t>
      </w:r>
      <w:r w:rsidRPr="001D0722">
        <w:rPr>
          <w:rFonts w:ascii="Times New Roman" w:eastAsia="Times New Roman" w:hAnsi="Times New Roman"/>
          <w:sz w:val="24"/>
          <w:szCs w:val="24"/>
        </w:rPr>
        <w:t xml:space="preserve"> illegitimate products identified, resulting in approximately </w:t>
      </w:r>
      <w:r w:rsidR="0066346D">
        <w:rPr>
          <w:rFonts w:ascii="Times New Roman" w:eastAsia="Times New Roman" w:hAnsi="Times New Roman"/>
          <w:sz w:val="24"/>
          <w:szCs w:val="24"/>
        </w:rPr>
        <w:t>80</w:t>
      </w:r>
      <w:r w:rsidRPr="001D0722">
        <w:rPr>
          <w:rFonts w:ascii="Times New Roman" w:eastAsia="Times New Roman" w:hAnsi="Times New Roman"/>
          <w:sz w:val="24"/>
          <w:szCs w:val="24"/>
        </w:rPr>
        <w:t xml:space="preserve"> notifications annually to pharmacy trading partners.</w:t>
      </w:r>
    </w:p>
    <w:p w14:paraId="337795F4" w14:textId="17FFEC01" w:rsidR="00272C7D" w:rsidRPr="001D0722" w:rsidRDefault="00272C7D" w:rsidP="00272C7D">
      <w:pPr>
        <w:spacing w:after="0" w:line="480" w:lineRule="auto"/>
        <w:ind w:firstLine="720"/>
        <w:rPr>
          <w:rFonts w:ascii="Times New Roman" w:eastAsia="Times New Roman" w:hAnsi="Times New Roman"/>
          <w:sz w:val="24"/>
          <w:szCs w:val="24"/>
        </w:rPr>
      </w:pPr>
      <w:r w:rsidRPr="001D0722">
        <w:rPr>
          <w:rFonts w:ascii="Times New Roman" w:eastAsia="Times New Roman" w:hAnsi="Times New Roman"/>
          <w:sz w:val="24"/>
          <w:szCs w:val="24"/>
        </w:rPr>
        <w:t>Manufacturers/repackagers, wholesale</w:t>
      </w:r>
      <w:r>
        <w:rPr>
          <w:rFonts w:ascii="Times New Roman" w:eastAsia="Times New Roman" w:hAnsi="Times New Roman"/>
          <w:sz w:val="24"/>
          <w:szCs w:val="24"/>
        </w:rPr>
        <w:t xml:space="preserve"> distributors, and pharmacies may</w:t>
      </w:r>
      <w:r w:rsidRPr="001D0722">
        <w:rPr>
          <w:rFonts w:ascii="Times New Roman" w:eastAsia="Times New Roman" w:hAnsi="Times New Roman"/>
          <w:sz w:val="24"/>
          <w:szCs w:val="24"/>
        </w:rPr>
        <w:t xml:space="preserve"> notify their trading partners using existing systems and processes used for similar types of communications, which might include, but is not limited to, posting of notifications on a company Web site, sending an email</w:t>
      </w:r>
      <w:r w:rsidR="00F11E4C" w:rsidRPr="001D0722">
        <w:rPr>
          <w:rFonts w:ascii="Times New Roman" w:eastAsia="Times New Roman" w:hAnsi="Times New Roman"/>
          <w:sz w:val="24"/>
          <w:szCs w:val="24"/>
        </w:rPr>
        <w:t>,</w:t>
      </w:r>
      <w:r w:rsidR="00F11E4C">
        <w:rPr>
          <w:rFonts w:ascii="Times New Roman" w:eastAsia="Times New Roman" w:hAnsi="Times New Roman"/>
          <w:sz w:val="24"/>
          <w:szCs w:val="24"/>
        </w:rPr>
        <w:t xml:space="preserve"> telephoning, </w:t>
      </w:r>
      <w:r w:rsidRPr="001D0722">
        <w:rPr>
          <w:rFonts w:ascii="Times New Roman" w:eastAsia="Times New Roman" w:hAnsi="Times New Roman"/>
          <w:sz w:val="24"/>
          <w:szCs w:val="24"/>
        </w:rPr>
        <w:t xml:space="preserve">mailing or faxing a letter or notification. </w:t>
      </w:r>
      <w:r>
        <w:rPr>
          <w:rFonts w:ascii="Times New Roman" w:eastAsia="Times New Roman" w:hAnsi="Times New Roman"/>
          <w:sz w:val="24"/>
          <w:szCs w:val="24"/>
        </w:rPr>
        <w:t xml:space="preserve"> </w:t>
      </w:r>
      <w:r w:rsidRPr="001D0722">
        <w:rPr>
          <w:rFonts w:ascii="Times New Roman" w:eastAsia="Times New Roman" w:hAnsi="Times New Roman"/>
          <w:sz w:val="24"/>
          <w:szCs w:val="24"/>
        </w:rPr>
        <w:t xml:space="preserve">The information contained in the notification to the immediate trading partner should be the same as or based on the notification that was already submitted to FDA. </w:t>
      </w:r>
      <w:r>
        <w:rPr>
          <w:rFonts w:ascii="Times New Roman" w:eastAsia="Times New Roman" w:hAnsi="Times New Roman"/>
          <w:sz w:val="24"/>
          <w:szCs w:val="24"/>
        </w:rPr>
        <w:t xml:space="preserve"> </w:t>
      </w:r>
      <w:r w:rsidRPr="001D0722">
        <w:rPr>
          <w:rFonts w:ascii="Times New Roman" w:eastAsia="Times New Roman" w:hAnsi="Times New Roman"/>
          <w:sz w:val="24"/>
          <w:szCs w:val="24"/>
        </w:rPr>
        <w:t xml:space="preserve">FDA estimates that for all trading partners, each notification of immediate trading partners will take approximately 0.2 hours. The estimated </w:t>
      </w:r>
      <w:r w:rsidRPr="001D0722">
        <w:rPr>
          <w:rFonts w:ascii="Times New Roman" w:eastAsia="Times New Roman" w:hAnsi="Times New Roman"/>
          <w:sz w:val="24"/>
          <w:szCs w:val="24"/>
        </w:rPr>
        <w:lastRenderedPageBreak/>
        <w:t>total burden hours of making notifications to trading partners is approximately</w:t>
      </w:r>
      <w:r>
        <w:rPr>
          <w:rFonts w:ascii="Times New Roman" w:eastAsia="Times New Roman" w:hAnsi="Times New Roman"/>
          <w:sz w:val="24"/>
          <w:szCs w:val="24"/>
        </w:rPr>
        <w:t xml:space="preserve"> </w:t>
      </w:r>
      <w:r w:rsidR="0066346D">
        <w:rPr>
          <w:rFonts w:ascii="Times New Roman" w:eastAsia="Times New Roman" w:hAnsi="Times New Roman"/>
          <w:sz w:val="24"/>
          <w:szCs w:val="24"/>
        </w:rPr>
        <w:t xml:space="preserve"> </w:t>
      </w:r>
      <w:r w:rsidR="009906DB">
        <w:rPr>
          <w:rFonts w:ascii="Times New Roman" w:eastAsia="Times New Roman" w:hAnsi="Times New Roman"/>
          <w:sz w:val="24"/>
          <w:szCs w:val="24"/>
        </w:rPr>
        <w:t xml:space="preserve">42,416 </w:t>
      </w:r>
      <w:r w:rsidRPr="001D0722">
        <w:rPr>
          <w:rFonts w:ascii="Times New Roman" w:eastAsia="Times New Roman" w:hAnsi="Times New Roman"/>
          <w:sz w:val="24"/>
          <w:szCs w:val="24"/>
        </w:rPr>
        <w:t>hours annually (table 2).</w:t>
      </w:r>
    </w:p>
    <w:p w14:paraId="337795F5" w14:textId="73291620" w:rsidR="00272C7D" w:rsidRPr="001D0722" w:rsidRDefault="00272C7D" w:rsidP="00272C7D">
      <w:pPr>
        <w:spacing w:after="0" w:line="480" w:lineRule="auto"/>
        <w:ind w:firstLine="720"/>
        <w:outlineLvl w:val="2"/>
        <w:rPr>
          <w:rFonts w:ascii="Times New Roman" w:eastAsia="Times New Roman" w:hAnsi="Times New Roman"/>
          <w:sz w:val="24"/>
          <w:szCs w:val="24"/>
        </w:rPr>
      </w:pPr>
      <w:r w:rsidRPr="001860DD">
        <w:rPr>
          <w:rFonts w:ascii="Times New Roman" w:eastAsia="Times New Roman" w:hAnsi="Times New Roman"/>
          <w:bCs/>
          <w:sz w:val="24"/>
          <w:szCs w:val="24"/>
          <w:u w:val="single"/>
        </w:rPr>
        <w:t>Consultation with FDA and Termination of Notification</w:t>
      </w:r>
      <w:r>
        <w:rPr>
          <w:rFonts w:ascii="Times New Roman" w:eastAsia="Times New Roman" w:hAnsi="Times New Roman"/>
          <w:bCs/>
          <w:sz w:val="24"/>
          <w:szCs w:val="24"/>
        </w:rPr>
        <w:t xml:space="preserve">.  </w:t>
      </w:r>
      <w:r w:rsidRPr="001D0722">
        <w:rPr>
          <w:rFonts w:ascii="Times New Roman" w:eastAsia="Times New Roman" w:hAnsi="Times New Roman"/>
          <w:sz w:val="24"/>
          <w:szCs w:val="24"/>
        </w:rPr>
        <w:t xml:space="preserve">Section 582(b)(4)(B)(iv), (c)(4)(B)(iv), (d)(4)(B)(iv), and (e)(4)(B)(iv) of the FD&amp;C Act require that a trading partner, </w:t>
      </w:r>
      <w:r w:rsidR="0039169B">
        <w:rPr>
          <w:rFonts w:ascii="Times New Roman" w:eastAsia="Times New Roman" w:hAnsi="Times New Roman"/>
          <w:sz w:val="24"/>
          <w:szCs w:val="24"/>
        </w:rPr>
        <w:t>that</w:t>
      </w:r>
      <w:r w:rsidRPr="001D0722">
        <w:rPr>
          <w:rFonts w:ascii="Times New Roman" w:eastAsia="Times New Roman" w:hAnsi="Times New Roman"/>
          <w:sz w:val="24"/>
          <w:szCs w:val="24"/>
        </w:rPr>
        <w:t xml:space="preserve"> determines in consultation with FDA that a notification made under section 582(b)(4)(B)(ii), (c)(4)(B)(ii), (d)(4)(B)(ii), or (e)(4)(B)(ii) is no longer necessary, must termin</w:t>
      </w:r>
      <w:r>
        <w:rPr>
          <w:rFonts w:ascii="Times New Roman" w:eastAsia="Times New Roman" w:hAnsi="Times New Roman"/>
          <w:sz w:val="24"/>
          <w:szCs w:val="24"/>
        </w:rPr>
        <w:t xml:space="preserve">ate the notification. The </w:t>
      </w:r>
      <w:r w:rsidRPr="001D0722">
        <w:rPr>
          <w:rFonts w:ascii="Times New Roman" w:eastAsia="Times New Roman" w:hAnsi="Times New Roman"/>
          <w:sz w:val="24"/>
          <w:szCs w:val="24"/>
        </w:rPr>
        <w:t>guidance sets forth the process by which trading partners must consult with FDA to terminate notifications that are no longer necessary.</w:t>
      </w:r>
    </w:p>
    <w:p w14:paraId="337795F6" w14:textId="4E963131" w:rsidR="00272C7D" w:rsidRPr="001D0722" w:rsidRDefault="00272C7D" w:rsidP="00272C7D">
      <w:pPr>
        <w:spacing w:after="0" w:line="480" w:lineRule="auto"/>
        <w:ind w:firstLine="720"/>
        <w:rPr>
          <w:rFonts w:ascii="Times New Roman" w:eastAsia="Times New Roman" w:hAnsi="Times New Roman"/>
          <w:sz w:val="24"/>
          <w:szCs w:val="24"/>
        </w:rPr>
      </w:pPr>
      <w:r w:rsidRPr="001D0722">
        <w:rPr>
          <w:rFonts w:ascii="Times New Roman" w:eastAsia="Times New Roman" w:hAnsi="Times New Roman"/>
          <w:sz w:val="24"/>
          <w:szCs w:val="24"/>
        </w:rPr>
        <w:t xml:space="preserve">FDA is making </w:t>
      </w:r>
      <w:r>
        <w:rPr>
          <w:rFonts w:ascii="Times New Roman" w:eastAsia="Times New Roman" w:hAnsi="Times New Roman"/>
          <w:sz w:val="24"/>
          <w:szCs w:val="24"/>
        </w:rPr>
        <w:t xml:space="preserve">Form FDA 3911 </w:t>
      </w:r>
      <w:r w:rsidRPr="001D0722">
        <w:rPr>
          <w:rFonts w:ascii="Times New Roman" w:eastAsia="Times New Roman" w:hAnsi="Times New Roman"/>
          <w:sz w:val="24"/>
          <w:szCs w:val="24"/>
        </w:rPr>
        <w:t xml:space="preserve">available to trading partners on its Web page to request a termination of notification. </w:t>
      </w:r>
      <w:r>
        <w:rPr>
          <w:rFonts w:ascii="Times New Roman" w:eastAsia="Times New Roman" w:hAnsi="Times New Roman"/>
          <w:sz w:val="24"/>
          <w:szCs w:val="24"/>
        </w:rPr>
        <w:t xml:space="preserve"> </w:t>
      </w:r>
      <w:r w:rsidRPr="001D0722">
        <w:rPr>
          <w:rFonts w:ascii="Times New Roman" w:eastAsia="Times New Roman" w:hAnsi="Times New Roman"/>
          <w:sz w:val="24"/>
          <w:szCs w:val="24"/>
        </w:rPr>
        <w:t>Each request for termination of notification must include information about the person or entity initiating the request for termination, the illegitimate product or product with a high risk of illegitimacy, the notification that was issued, and an explanation about what actions have taken place or what information has become available that make the notification no longer necessary.</w:t>
      </w:r>
      <w:r>
        <w:rPr>
          <w:rFonts w:ascii="Times New Roman" w:eastAsia="Times New Roman" w:hAnsi="Times New Roman"/>
          <w:sz w:val="24"/>
          <w:szCs w:val="24"/>
        </w:rPr>
        <w:t xml:space="preserve"> </w:t>
      </w:r>
      <w:r w:rsidRPr="001D0722">
        <w:rPr>
          <w:rFonts w:ascii="Times New Roman" w:eastAsia="Times New Roman" w:hAnsi="Times New Roman"/>
          <w:sz w:val="24"/>
          <w:szCs w:val="24"/>
        </w:rPr>
        <w:t xml:space="preserve"> The request for a termination will be viewed as </w:t>
      </w:r>
      <w:r>
        <w:rPr>
          <w:rFonts w:ascii="Times New Roman" w:eastAsia="Times New Roman" w:hAnsi="Times New Roman"/>
          <w:sz w:val="24"/>
          <w:szCs w:val="24"/>
        </w:rPr>
        <w:t>a</w:t>
      </w:r>
      <w:r w:rsidRPr="001D0722">
        <w:rPr>
          <w:rFonts w:ascii="Times New Roman" w:eastAsia="Times New Roman" w:hAnsi="Times New Roman"/>
          <w:sz w:val="24"/>
          <w:szCs w:val="24"/>
        </w:rPr>
        <w:t xml:space="preserve"> request for consultation with FDA.</w:t>
      </w:r>
      <w:r>
        <w:rPr>
          <w:rFonts w:ascii="Times New Roman" w:eastAsia="Times New Roman" w:hAnsi="Times New Roman"/>
          <w:sz w:val="24"/>
          <w:szCs w:val="24"/>
        </w:rPr>
        <w:t xml:space="preserve"> </w:t>
      </w:r>
      <w:r w:rsidRPr="001D0722">
        <w:rPr>
          <w:rFonts w:ascii="Times New Roman" w:eastAsia="Times New Roman" w:hAnsi="Times New Roman"/>
          <w:sz w:val="24"/>
          <w:szCs w:val="24"/>
        </w:rPr>
        <w:t xml:space="preserve"> FDA estimates that the same amount of time will be required to provide the information necessary to request termination as is required to make the notification. </w:t>
      </w:r>
      <w:r>
        <w:rPr>
          <w:rFonts w:ascii="Times New Roman" w:eastAsia="Times New Roman" w:hAnsi="Times New Roman"/>
          <w:sz w:val="24"/>
          <w:szCs w:val="24"/>
        </w:rPr>
        <w:t xml:space="preserve"> </w:t>
      </w:r>
      <w:r w:rsidRPr="001D0722">
        <w:rPr>
          <w:rFonts w:ascii="Times New Roman" w:eastAsia="Times New Roman" w:hAnsi="Times New Roman"/>
          <w:sz w:val="24"/>
          <w:szCs w:val="24"/>
        </w:rPr>
        <w:t xml:space="preserve">The time required to investigate and resolve an illegitimate product notification will vary, but FDA assumes that each notification will eventually be terminated at some point. </w:t>
      </w:r>
      <w:r>
        <w:rPr>
          <w:rFonts w:ascii="Times New Roman" w:eastAsia="Times New Roman" w:hAnsi="Times New Roman"/>
          <w:sz w:val="24"/>
          <w:szCs w:val="24"/>
        </w:rPr>
        <w:t xml:space="preserve"> </w:t>
      </w:r>
      <w:r w:rsidRPr="001D0722">
        <w:rPr>
          <w:rFonts w:ascii="Times New Roman" w:eastAsia="Times New Roman" w:hAnsi="Times New Roman"/>
          <w:sz w:val="24"/>
          <w:szCs w:val="24"/>
        </w:rPr>
        <w:t xml:space="preserve">FDA assumes that the number of requests for termination of a notification per year will be the same as the original number of notifications for a given year. </w:t>
      </w:r>
      <w:r>
        <w:rPr>
          <w:rFonts w:ascii="Times New Roman" w:eastAsia="Times New Roman" w:hAnsi="Times New Roman"/>
          <w:sz w:val="24"/>
          <w:szCs w:val="24"/>
        </w:rPr>
        <w:t xml:space="preserve"> </w:t>
      </w:r>
      <w:r w:rsidRPr="001D0722">
        <w:rPr>
          <w:rFonts w:ascii="Times New Roman" w:eastAsia="Times New Roman" w:hAnsi="Times New Roman"/>
          <w:sz w:val="24"/>
          <w:szCs w:val="24"/>
        </w:rPr>
        <w:t xml:space="preserve">The estimated total burden hours of making requests for termination of notifications to FDA is approximately </w:t>
      </w:r>
      <w:r w:rsidR="0066346D">
        <w:rPr>
          <w:rFonts w:ascii="Times New Roman" w:eastAsia="Times New Roman" w:hAnsi="Times New Roman"/>
          <w:sz w:val="24"/>
          <w:szCs w:val="24"/>
        </w:rPr>
        <w:t>1,000</w:t>
      </w:r>
      <w:r w:rsidRPr="001D0722">
        <w:rPr>
          <w:rFonts w:ascii="Times New Roman" w:eastAsia="Times New Roman" w:hAnsi="Times New Roman"/>
          <w:sz w:val="24"/>
          <w:szCs w:val="24"/>
        </w:rPr>
        <w:t xml:space="preserve"> hours annually (table 3).</w:t>
      </w:r>
    </w:p>
    <w:p w14:paraId="337795F7" w14:textId="500DAFD7" w:rsidR="00272C7D" w:rsidRDefault="00272C7D" w:rsidP="00272C7D">
      <w:pPr>
        <w:spacing w:after="0" w:line="480" w:lineRule="auto"/>
        <w:ind w:firstLine="720"/>
        <w:outlineLvl w:val="2"/>
        <w:rPr>
          <w:rFonts w:ascii="Times New Roman" w:eastAsia="Times New Roman" w:hAnsi="Times New Roman"/>
          <w:sz w:val="24"/>
          <w:szCs w:val="24"/>
        </w:rPr>
      </w:pPr>
      <w:r w:rsidRPr="001860DD">
        <w:rPr>
          <w:rFonts w:ascii="Times New Roman" w:eastAsia="Times New Roman" w:hAnsi="Times New Roman"/>
          <w:bCs/>
          <w:sz w:val="24"/>
          <w:szCs w:val="24"/>
          <w:u w:val="single"/>
        </w:rPr>
        <w:lastRenderedPageBreak/>
        <w:t>Notifications to Trading Partners That a Notification Has Been Terminated</w:t>
      </w:r>
      <w:r>
        <w:rPr>
          <w:rFonts w:ascii="Times New Roman" w:eastAsia="Times New Roman" w:hAnsi="Times New Roman"/>
          <w:bCs/>
          <w:sz w:val="24"/>
          <w:szCs w:val="24"/>
        </w:rPr>
        <w:t xml:space="preserve">.  </w:t>
      </w:r>
      <w:r w:rsidRPr="001D0722">
        <w:rPr>
          <w:rFonts w:ascii="Times New Roman" w:eastAsia="Times New Roman" w:hAnsi="Times New Roman"/>
          <w:sz w:val="24"/>
          <w:szCs w:val="24"/>
        </w:rPr>
        <w:t>Section</w:t>
      </w:r>
      <w:r>
        <w:rPr>
          <w:rFonts w:ascii="Times New Roman" w:eastAsia="Times New Roman" w:hAnsi="Times New Roman"/>
          <w:sz w:val="24"/>
          <w:szCs w:val="24"/>
        </w:rPr>
        <w:t>s</w:t>
      </w:r>
      <w:r w:rsidRPr="001D0722">
        <w:rPr>
          <w:rFonts w:ascii="Times New Roman" w:eastAsia="Times New Roman" w:hAnsi="Times New Roman"/>
          <w:sz w:val="24"/>
          <w:szCs w:val="24"/>
        </w:rPr>
        <w:t xml:space="preserve"> 582(b)(4)(B)(iv), (c)(4)(B)(iv), (d)(4)(B)(iv), and (e)(4)(B)(iv) of the FD&amp;C Act require that a trading partner </w:t>
      </w:r>
      <w:r w:rsidR="000B610E">
        <w:rPr>
          <w:rFonts w:ascii="Times New Roman" w:eastAsia="Times New Roman" w:hAnsi="Times New Roman"/>
          <w:sz w:val="24"/>
          <w:szCs w:val="24"/>
        </w:rPr>
        <w:t>that</w:t>
      </w:r>
      <w:r w:rsidRPr="001D0722">
        <w:rPr>
          <w:rFonts w:ascii="Times New Roman" w:eastAsia="Times New Roman" w:hAnsi="Times New Roman"/>
          <w:sz w:val="24"/>
          <w:szCs w:val="24"/>
        </w:rPr>
        <w:t>, in consultation with FDA, terminates a notification made under section 582(b)(4)(B)(ii), (c)(4)(B)(ii), (d)(4)(B)(ii), or (e)(4)(B)(ii) must also promptly notify immediate trading partners that the notification has been terminated.</w:t>
      </w:r>
      <w:r>
        <w:rPr>
          <w:rFonts w:ascii="Times New Roman" w:eastAsia="Times New Roman" w:hAnsi="Times New Roman"/>
          <w:sz w:val="24"/>
          <w:szCs w:val="24"/>
        </w:rPr>
        <w:t xml:space="preserve">  </w:t>
      </w:r>
      <w:r w:rsidRPr="001D0722">
        <w:rPr>
          <w:rFonts w:ascii="Times New Roman" w:eastAsia="Times New Roman" w:hAnsi="Times New Roman"/>
          <w:sz w:val="24"/>
          <w:szCs w:val="24"/>
        </w:rPr>
        <w:t xml:space="preserve">FDA estimates that the burden for notifying trading partners of an illegitimate product and the number of trading partners notified will be the same as the estimates for notification of termination. </w:t>
      </w:r>
      <w:r>
        <w:rPr>
          <w:rFonts w:ascii="Times New Roman" w:eastAsia="Times New Roman" w:hAnsi="Times New Roman"/>
          <w:sz w:val="24"/>
          <w:szCs w:val="24"/>
        </w:rPr>
        <w:t xml:space="preserve"> </w:t>
      </w:r>
      <w:r w:rsidRPr="001D0722">
        <w:rPr>
          <w:rFonts w:ascii="Times New Roman" w:eastAsia="Times New Roman" w:hAnsi="Times New Roman"/>
          <w:sz w:val="24"/>
          <w:szCs w:val="24"/>
        </w:rPr>
        <w:t xml:space="preserve">The estimated total burden hours of notifying trading partners that the notification is terminated is approximately </w:t>
      </w:r>
      <w:r w:rsidR="009906DB">
        <w:rPr>
          <w:rFonts w:ascii="Times New Roman" w:eastAsia="Times New Roman" w:hAnsi="Times New Roman"/>
          <w:sz w:val="24"/>
          <w:szCs w:val="24"/>
        </w:rPr>
        <w:t>42,416</w:t>
      </w:r>
      <w:r w:rsidRPr="001D0722">
        <w:rPr>
          <w:rFonts w:ascii="Times New Roman" w:eastAsia="Times New Roman" w:hAnsi="Times New Roman"/>
          <w:sz w:val="24"/>
          <w:szCs w:val="24"/>
        </w:rPr>
        <w:t xml:space="preserve"> hours annually (table 4).</w:t>
      </w:r>
    </w:p>
    <w:p w14:paraId="4C601C73" w14:textId="661C7B83" w:rsidR="0066346D" w:rsidRDefault="0066346D" w:rsidP="00272C7D">
      <w:pPr>
        <w:spacing w:after="0" w:line="480" w:lineRule="auto"/>
        <w:ind w:firstLine="720"/>
        <w:outlineLvl w:val="2"/>
        <w:rPr>
          <w:rFonts w:ascii="Times New Roman" w:eastAsia="Times New Roman" w:hAnsi="Times New Roman"/>
          <w:sz w:val="24"/>
          <w:szCs w:val="24"/>
        </w:rPr>
      </w:pPr>
      <w:r>
        <w:rPr>
          <w:rFonts w:ascii="Times New Roman" w:eastAsia="Times New Roman" w:hAnsi="Times New Roman"/>
          <w:sz w:val="24"/>
          <w:szCs w:val="24"/>
        </w:rPr>
        <w:t xml:space="preserve">The total burden of drug notifications for all stakeholders is </w:t>
      </w:r>
      <w:r w:rsidR="009906DB">
        <w:rPr>
          <w:rFonts w:ascii="Times New Roman" w:eastAsia="Times New Roman" w:hAnsi="Times New Roman"/>
          <w:sz w:val="24"/>
          <w:szCs w:val="24"/>
        </w:rPr>
        <w:t>86,832 hours.</w:t>
      </w:r>
      <w:r w:rsidR="00105C6E">
        <w:rPr>
          <w:rFonts w:ascii="Times New Roman" w:eastAsia="Times New Roman" w:hAnsi="Times New Roman"/>
          <w:sz w:val="24"/>
          <w:szCs w:val="24"/>
        </w:rPr>
        <w:t xml:space="preserve"> </w:t>
      </w:r>
    </w:p>
    <w:p w14:paraId="4B807CAD" w14:textId="77777777" w:rsidR="00000BB9" w:rsidRPr="00E24684" w:rsidRDefault="00272C7D" w:rsidP="00000BB9">
      <w:pPr>
        <w:pStyle w:val="NormalWeb"/>
        <w:spacing w:before="0" w:beforeAutospacing="0" w:after="0" w:afterAutospacing="0"/>
        <w:contextualSpacing/>
        <w:jc w:val="center"/>
        <w:rPr>
          <w:bCs/>
        </w:rPr>
      </w:pPr>
      <w:r w:rsidRPr="00272C7D">
        <w:rPr>
          <w:bCs/>
        </w:rPr>
        <w:t xml:space="preserve"> </w:t>
      </w:r>
      <w:r w:rsidR="00000BB9" w:rsidRPr="00E24684">
        <w:rPr>
          <w:bCs/>
        </w:rPr>
        <w:t>Table 1-- Estimated Annual Reporting Burden</w:t>
      </w:r>
    </w:p>
    <w:tbl>
      <w:tblPr>
        <w:tblW w:w="9645" w:type="dxa"/>
        <w:tblLayout w:type="fixed"/>
        <w:tblLook w:val="01E0" w:firstRow="1" w:lastRow="1" w:firstColumn="1" w:lastColumn="1" w:noHBand="0" w:noVBand="0"/>
      </w:tblPr>
      <w:tblGrid>
        <w:gridCol w:w="2086"/>
        <w:gridCol w:w="1511"/>
        <w:gridCol w:w="1512"/>
        <w:gridCol w:w="1512"/>
        <w:gridCol w:w="1512"/>
        <w:gridCol w:w="1512"/>
      </w:tblGrid>
      <w:tr w:rsidR="00000BB9" w:rsidRPr="00E24684" w14:paraId="4B009C80" w14:textId="77777777" w:rsidTr="00000BB9">
        <w:tc>
          <w:tcPr>
            <w:tcW w:w="2086" w:type="dxa"/>
            <w:tcBorders>
              <w:top w:val="single" w:sz="4" w:space="0" w:color="auto"/>
              <w:left w:val="single" w:sz="4" w:space="0" w:color="auto"/>
              <w:bottom w:val="single" w:sz="4" w:space="0" w:color="auto"/>
              <w:right w:val="single" w:sz="4" w:space="0" w:color="auto"/>
            </w:tcBorders>
            <w:hideMark/>
          </w:tcPr>
          <w:p w14:paraId="1B3BC7D3" w14:textId="77777777" w:rsidR="00000BB9" w:rsidRPr="00E24684" w:rsidRDefault="00000BB9" w:rsidP="00000BB9">
            <w:pPr>
              <w:widowControl w:val="0"/>
              <w:snapToGrid w:val="0"/>
              <w:spacing w:after="0" w:line="240" w:lineRule="auto"/>
              <w:jc w:val="center"/>
              <w:rPr>
                <w:rFonts w:ascii="Times New Roman" w:hAnsi="Times New Roman"/>
                <w:sz w:val="24"/>
                <w:szCs w:val="24"/>
              </w:rPr>
            </w:pPr>
          </w:p>
          <w:p w14:paraId="5F6DAE5C" w14:textId="77777777" w:rsidR="00000BB9" w:rsidRPr="00E24684" w:rsidRDefault="00000BB9" w:rsidP="00000BB9">
            <w:pPr>
              <w:spacing w:after="0" w:line="240" w:lineRule="auto"/>
              <w:jc w:val="center"/>
              <w:rPr>
                <w:rFonts w:ascii="Times New Roman" w:hAnsi="Times New Roman"/>
                <w:i/>
                <w:sz w:val="24"/>
                <w:szCs w:val="24"/>
              </w:rPr>
            </w:pPr>
            <w:r w:rsidRPr="00E24684">
              <w:rPr>
                <w:rFonts w:ascii="Times New Roman" w:hAnsi="Times New Roman"/>
                <w:i/>
                <w:sz w:val="24"/>
                <w:szCs w:val="24"/>
              </w:rPr>
              <w:t>Notifications to FDA</w:t>
            </w:r>
          </w:p>
        </w:tc>
        <w:tc>
          <w:tcPr>
            <w:tcW w:w="1511" w:type="dxa"/>
            <w:tcBorders>
              <w:top w:val="single" w:sz="4" w:space="0" w:color="auto"/>
              <w:left w:val="single" w:sz="4" w:space="0" w:color="auto"/>
              <w:bottom w:val="single" w:sz="4" w:space="0" w:color="auto"/>
              <w:right w:val="single" w:sz="4" w:space="0" w:color="auto"/>
            </w:tcBorders>
            <w:hideMark/>
          </w:tcPr>
          <w:p w14:paraId="0DC6EEEB" w14:textId="77777777" w:rsidR="00000BB9" w:rsidRPr="00E24684" w:rsidRDefault="00000BB9" w:rsidP="00000BB9">
            <w:pPr>
              <w:spacing w:after="0" w:line="240" w:lineRule="auto"/>
              <w:jc w:val="center"/>
              <w:rPr>
                <w:rFonts w:ascii="Times New Roman" w:hAnsi="Times New Roman"/>
                <w:sz w:val="24"/>
                <w:szCs w:val="24"/>
              </w:rPr>
            </w:pPr>
            <w:r w:rsidRPr="00E24684">
              <w:rPr>
                <w:rFonts w:ascii="Times New Roman" w:hAnsi="Times New Roman"/>
                <w:sz w:val="24"/>
                <w:szCs w:val="24"/>
              </w:rPr>
              <w:t>No. of Respondents</w:t>
            </w:r>
          </w:p>
        </w:tc>
        <w:tc>
          <w:tcPr>
            <w:tcW w:w="1512" w:type="dxa"/>
            <w:tcBorders>
              <w:top w:val="single" w:sz="4" w:space="0" w:color="auto"/>
              <w:left w:val="single" w:sz="4" w:space="0" w:color="auto"/>
              <w:bottom w:val="single" w:sz="4" w:space="0" w:color="auto"/>
              <w:right w:val="single" w:sz="4" w:space="0" w:color="auto"/>
            </w:tcBorders>
            <w:hideMark/>
          </w:tcPr>
          <w:p w14:paraId="23C86BA3" w14:textId="77777777" w:rsidR="00000BB9" w:rsidRPr="00E24684" w:rsidRDefault="00000BB9" w:rsidP="00000BB9">
            <w:pPr>
              <w:spacing w:after="0" w:line="240" w:lineRule="auto"/>
              <w:jc w:val="center"/>
              <w:rPr>
                <w:rFonts w:ascii="Times New Roman" w:hAnsi="Times New Roman"/>
                <w:sz w:val="24"/>
                <w:szCs w:val="24"/>
              </w:rPr>
            </w:pPr>
            <w:r w:rsidRPr="00E24684">
              <w:rPr>
                <w:rFonts w:ascii="Times New Roman" w:hAnsi="Times New Roman"/>
                <w:sz w:val="24"/>
                <w:szCs w:val="24"/>
              </w:rPr>
              <w:t>No of Responses</w:t>
            </w:r>
          </w:p>
          <w:p w14:paraId="5AD623E1" w14:textId="77777777" w:rsidR="00000BB9" w:rsidRPr="00E24684" w:rsidRDefault="00000BB9" w:rsidP="00000BB9">
            <w:pPr>
              <w:spacing w:after="0" w:line="240" w:lineRule="auto"/>
              <w:jc w:val="center"/>
              <w:rPr>
                <w:rFonts w:ascii="Times New Roman" w:hAnsi="Times New Roman"/>
                <w:sz w:val="24"/>
                <w:szCs w:val="24"/>
              </w:rPr>
            </w:pPr>
            <w:r w:rsidRPr="00E24684">
              <w:rPr>
                <w:rFonts w:ascii="Times New Roman" w:hAnsi="Times New Roman"/>
                <w:sz w:val="24"/>
                <w:szCs w:val="24"/>
              </w:rPr>
              <w:t>per Respondent</w:t>
            </w:r>
          </w:p>
        </w:tc>
        <w:tc>
          <w:tcPr>
            <w:tcW w:w="1512" w:type="dxa"/>
            <w:tcBorders>
              <w:top w:val="single" w:sz="4" w:space="0" w:color="auto"/>
              <w:left w:val="single" w:sz="4" w:space="0" w:color="auto"/>
              <w:bottom w:val="single" w:sz="4" w:space="0" w:color="auto"/>
              <w:right w:val="single" w:sz="4" w:space="0" w:color="auto"/>
            </w:tcBorders>
            <w:hideMark/>
          </w:tcPr>
          <w:p w14:paraId="642B5C82" w14:textId="77777777" w:rsidR="00000BB9" w:rsidRPr="00E24684" w:rsidRDefault="00000BB9" w:rsidP="00000BB9">
            <w:pPr>
              <w:spacing w:after="0" w:line="240" w:lineRule="auto"/>
              <w:jc w:val="center"/>
              <w:rPr>
                <w:rFonts w:ascii="Times New Roman" w:hAnsi="Times New Roman"/>
                <w:sz w:val="24"/>
                <w:szCs w:val="24"/>
              </w:rPr>
            </w:pPr>
            <w:r w:rsidRPr="00E24684">
              <w:rPr>
                <w:rFonts w:ascii="Times New Roman" w:hAnsi="Times New Roman"/>
                <w:sz w:val="24"/>
                <w:szCs w:val="24"/>
              </w:rPr>
              <w:t>Total Annual Responses</w:t>
            </w:r>
          </w:p>
        </w:tc>
        <w:tc>
          <w:tcPr>
            <w:tcW w:w="1512" w:type="dxa"/>
            <w:tcBorders>
              <w:top w:val="single" w:sz="4" w:space="0" w:color="auto"/>
              <w:left w:val="single" w:sz="4" w:space="0" w:color="auto"/>
              <w:bottom w:val="single" w:sz="4" w:space="0" w:color="auto"/>
              <w:right w:val="single" w:sz="4" w:space="0" w:color="auto"/>
            </w:tcBorders>
            <w:hideMark/>
          </w:tcPr>
          <w:p w14:paraId="6E88C509" w14:textId="77777777" w:rsidR="00000BB9" w:rsidRPr="00E24684" w:rsidRDefault="00000BB9" w:rsidP="00000BB9">
            <w:pPr>
              <w:spacing w:after="0" w:line="240" w:lineRule="auto"/>
              <w:jc w:val="center"/>
              <w:rPr>
                <w:rFonts w:ascii="Times New Roman" w:hAnsi="Times New Roman"/>
                <w:sz w:val="24"/>
                <w:szCs w:val="24"/>
              </w:rPr>
            </w:pPr>
            <w:r w:rsidRPr="00E24684">
              <w:rPr>
                <w:rFonts w:ascii="Times New Roman" w:hAnsi="Times New Roman"/>
                <w:sz w:val="24"/>
                <w:szCs w:val="24"/>
              </w:rPr>
              <w:t>Average Burden per Response</w:t>
            </w:r>
          </w:p>
        </w:tc>
        <w:tc>
          <w:tcPr>
            <w:tcW w:w="1512" w:type="dxa"/>
            <w:tcBorders>
              <w:top w:val="single" w:sz="4" w:space="0" w:color="auto"/>
              <w:left w:val="single" w:sz="4" w:space="0" w:color="auto"/>
              <w:bottom w:val="single" w:sz="4" w:space="0" w:color="auto"/>
              <w:right w:val="single" w:sz="4" w:space="0" w:color="auto"/>
            </w:tcBorders>
            <w:hideMark/>
          </w:tcPr>
          <w:p w14:paraId="0FFBD3FF" w14:textId="77777777" w:rsidR="00000BB9" w:rsidRPr="00E24684" w:rsidRDefault="00000BB9" w:rsidP="00000BB9">
            <w:pPr>
              <w:spacing w:after="0" w:line="240" w:lineRule="auto"/>
              <w:jc w:val="center"/>
              <w:rPr>
                <w:rFonts w:ascii="Times New Roman" w:hAnsi="Times New Roman"/>
                <w:sz w:val="24"/>
                <w:szCs w:val="24"/>
              </w:rPr>
            </w:pPr>
            <w:r w:rsidRPr="00E24684">
              <w:rPr>
                <w:rFonts w:ascii="Times New Roman" w:hAnsi="Times New Roman"/>
                <w:sz w:val="24"/>
                <w:szCs w:val="24"/>
              </w:rPr>
              <w:t>Total Hours</w:t>
            </w:r>
          </w:p>
        </w:tc>
      </w:tr>
      <w:tr w:rsidR="00000BB9" w:rsidRPr="00E24684" w14:paraId="7C7FDBAA" w14:textId="77777777" w:rsidTr="00000BB9">
        <w:tc>
          <w:tcPr>
            <w:tcW w:w="2086" w:type="dxa"/>
            <w:tcBorders>
              <w:top w:val="single" w:sz="4" w:space="0" w:color="auto"/>
              <w:left w:val="single" w:sz="4" w:space="0" w:color="auto"/>
              <w:bottom w:val="single" w:sz="4" w:space="0" w:color="auto"/>
              <w:right w:val="single" w:sz="4" w:space="0" w:color="auto"/>
            </w:tcBorders>
          </w:tcPr>
          <w:p w14:paraId="7180C38C" w14:textId="77777777" w:rsidR="00000BB9" w:rsidRPr="00E24684" w:rsidRDefault="00000BB9" w:rsidP="00000BB9">
            <w:pPr>
              <w:spacing w:after="0" w:line="240" w:lineRule="auto"/>
              <w:jc w:val="center"/>
              <w:rPr>
                <w:rFonts w:ascii="Times New Roman" w:hAnsi="Times New Roman"/>
                <w:sz w:val="24"/>
                <w:szCs w:val="24"/>
              </w:rPr>
            </w:pPr>
            <w:r w:rsidRPr="00E24684">
              <w:rPr>
                <w:rFonts w:ascii="Times New Roman" w:hAnsi="Times New Roman"/>
                <w:sz w:val="24"/>
                <w:szCs w:val="24"/>
              </w:rPr>
              <w:t>Manufacturers and Repackagers</w:t>
            </w:r>
          </w:p>
        </w:tc>
        <w:tc>
          <w:tcPr>
            <w:tcW w:w="1511" w:type="dxa"/>
            <w:tcBorders>
              <w:top w:val="single" w:sz="4" w:space="0" w:color="auto"/>
              <w:left w:val="single" w:sz="4" w:space="0" w:color="auto"/>
              <w:bottom w:val="single" w:sz="4" w:space="0" w:color="auto"/>
              <w:right w:val="single" w:sz="4" w:space="0" w:color="auto"/>
            </w:tcBorders>
          </w:tcPr>
          <w:p w14:paraId="73DAC505" w14:textId="77777777" w:rsidR="00000BB9" w:rsidRPr="00E24684" w:rsidRDefault="00000BB9" w:rsidP="00000BB9">
            <w:pPr>
              <w:spacing w:after="0" w:line="240" w:lineRule="auto"/>
              <w:jc w:val="center"/>
              <w:rPr>
                <w:rFonts w:ascii="Times New Roman" w:hAnsi="Times New Roman"/>
                <w:sz w:val="24"/>
                <w:szCs w:val="24"/>
              </w:rPr>
            </w:pPr>
            <w:r>
              <w:rPr>
                <w:rFonts w:ascii="Times New Roman" w:hAnsi="Times New Roman"/>
                <w:sz w:val="24"/>
                <w:szCs w:val="24"/>
              </w:rPr>
              <w:t>800</w:t>
            </w:r>
          </w:p>
        </w:tc>
        <w:tc>
          <w:tcPr>
            <w:tcW w:w="1512" w:type="dxa"/>
            <w:tcBorders>
              <w:top w:val="single" w:sz="4" w:space="0" w:color="auto"/>
              <w:left w:val="single" w:sz="4" w:space="0" w:color="auto"/>
              <w:bottom w:val="single" w:sz="4" w:space="0" w:color="auto"/>
              <w:right w:val="single" w:sz="4" w:space="0" w:color="auto"/>
            </w:tcBorders>
          </w:tcPr>
          <w:p w14:paraId="2AC55810" w14:textId="77777777" w:rsidR="00000BB9" w:rsidRPr="00E24684" w:rsidRDefault="00000BB9" w:rsidP="00000BB9">
            <w:pPr>
              <w:spacing w:after="0" w:line="240" w:lineRule="auto"/>
              <w:jc w:val="center"/>
              <w:rPr>
                <w:rFonts w:ascii="Times New Roman" w:hAnsi="Times New Roman"/>
                <w:sz w:val="24"/>
                <w:szCs w:val="24"/>
              </w:rPr>
            </w:pPr>
            <w:r w:rsidRPr="00E24684">
              <w:rPr>
                <w:rFonts w:ascii="Times New Roman" w:hAnsi="Times New Roman"/>
                <w:sz w:val="24"/>
                <w:szCs w:val="24"/>
              </w:rPr>
              <w:t>1</w:t>
            </w:r>
          </w:p>
        </w:tc>
        <w:tc>
          <w:tcPr>
            <w:tcW w:w="1512" w:type="dxa"/>
            <w:tcBorders>
              <w:top w:val="single" w:sz="4" w:space="0" w:color="auto"/>
              <w:left w:val="single" w:sz="4" w:space="0" w:color="auto"/>
              <w:bottom w:val="single" w:sz="4" w:space="0" w:color="auto"/>
              <w:right w:val="single" w:sz="4" w:space="0" w:color="auto"/>
            </w:tcBorders>
          </w:tcPr>
          <w:p w14:paraId="6FD03267" w14:textId="77777777" w:rsidR="00000BB9" w:rsidRPr="00E24684" w:rsidRDefault="00000BB9" w:rsidP="00000BB9">
            <w:pPr>
              <w:spacing w:after="0" w:line="240" w:lineRule="auto"/>
              <w:jc w:val="center"/>
              <w:rPr>
                <w:rFonts w:ascii="Times New Roman" w:hAnsi="Times New Roman"/>
                <w:sz w:val="24"/>
                <w:szCs w:val="24"/>
              </w:rPr>
            </w:pPr>
            <w:r>
              <w:rPr>
                <w:rFonts w:ascii="Times New Roman" w:hAnsi="Times New Roman"/>
                <w:sz w:val="24"/>
                <w:szCs w:val="24"/>
              </w:rPr>
              <w:t>800</w:t>
            </w:r>
          </w:p>
        </w:tc>
        <w:tc>
          <w:tcPr>
            <w:tcW w:w="1512" w:type="dxa"/>
            <w:tcBorders>
              <w:top w:val="single" w:sz="4" w:space="0" w:color="auto"/>
              <w:left w:val="single" w:sz="4" w:space="0" w:color="auto"/>
              <w:bottom w:val="single" w:sz="4" w:space="0" w:color="auto"/>
              <w:right w:val="single" w:sz="4" w:space="0" w:color="auto"/>
            </w:tcBorders>
          </w:tcPr>
          <w:p w14:paraId="212A9C65" w14:textId="0A42CC9A" w:rsidR="00000BB9" w:rsidRPr="00E24684" w:rsidRDefault="00000BB9" w:rsidP="00815B03">
            <w:pPr>
              <w:spacing w:after="0" w:line="240" w:lineRule="auto"/>
              <w:jc w:val="center"/>
              <w:rPr>
                <w:rFonts w:ascii="Times New Roman" w:hAnsi="Times New Roman"/>
                <w:sz w:val="24"/>
                <w:szCs w:val="24"/>
              </w:rPr>
            </w:pPr>
            <w:r>
              <w:rPr>
                <w:rFonts w:ascii="Times New Roman" w:hAnsi="Times New Roman"/>
                <w:sz w:val="24"/>
                <w:szCs w:val="24"/>
              </w:rPr>
              <w:t>1</w:t>
            </w:r>
            <w:r w:rsidRPr="00E24684">
              <w:rPr>
                <w:rFonts w:ascii="Times New Roman" w:hAnsi="Times New Roman"/>
                <w:sz w:val="24"/>
                <w:szCs w:val="24"/>
              </w:rPr>
              <w:t xml:space="preserve"> </w:t>
            </w:r>
          </w:p>
        </w:tc>
        <w:tc>
          <w:tcPr>
            <w:tcW w:w="1512" w:type="dxa"/>
            <w:tcBorders>
              <w:top w:val="single" w:sz="4" w:space="0" w:color="auto"/>
              <w:left w:val="single" w:sz="4" w:space="0" w:color="auto"/>
              <w:bottom w:val="single" w:sz="4" w:space="0" w:color="auto"/>
              <w:right w:val="single" w:sz="4" w:space="0" w:color="auto"/>
            </w:tcBorders>
          </w:tcPr>
          <w:p w14:paraId="7ABE95A5" w14:textId="77777777" w:rsidR="00000BB9" w:rsidRPr="00E24684" w:rsidRDefault="00000BB9" w:rsidP="00000BB9">
            <w:pPr>
              <w:spacing w:after="0" w:line="240" w:lineRule="auto"/>
              <w:jc w:val="center"/>
              <w:rPr>
                <w:rFonts w:ascii="Times New Roman" w:hAnsi="Times New Roman"/>
                <w:sz w:val="24"/>
                <w:szCs w:val="24"/>
              </w:rPr>
            </w:pPr>
            <w:r>
              <w:rPr>
                <w:rFonts w:ascii="Times New Roman" w:hAnsi="Times New Roman"/>
                <w:sz w:val="24"/>
                <w:szCs w:val="24"/>
              </w:rPr>
              <w:t>800</w:t>
            </w:r>
          </w:p>
        </w:tc>
      </w:tr>
      <w:tr w:rsidR="00000BB9" w:rsidRPr="00E24684" w14:paraId="5A618FCF" w14:textId="77777777" w:rsidTr="00000BB9">
        <w:tc>
          <w:tcPr>
            <w:tcW w:w="2086" w:type="dxa"/>
            <w:tcBorders>
              <w:top w:val="single" w:sz="4" w:space="0" w:color="auto"/>
              <w:left w:val="single" w:sz="4" w:space="0" w:color="auto"/>
              <w:bottom w:val="single" w:sz="4" w:space="0" w:color="auto"/>
              <w:right w:val="single" w:sz="4" w:space="0" w:color="auto"/>
            </w:tcBorders>
          </w:tcPr>
          <w:p w14:paraId="501B0B35" w14:textId="77777777" w:rsidR="00000BB9" w:rsidRPr="00E24684" w:rsidRDefault="00000BB9" w:rsidP="00000BB9">
            <w:pPr>
              <w:spacing w:after="0" w:line="240" w:lineRule="auto"/>
              <w:jc w:val="center"/>
              <w:rPr>
                <w:rFonts w:ascii="Times New Roman" w:hAnsi="Times New Roman"/>
                <w:sz w:val="24"/>
                <w:szCs w:val="24"/>
              </w:rPr>
            </w:pPr>
            <w:r w:rsidRPr="00E24684">
              <w:rPr>
                <w:rFonts w:ascii="Times New Roman" w:hAnsi="Times New Roman"/>
                <w:sz w:val="24"/>
                <w:szCs w:val="24"/>
              </w:rPr>
              <w:t>Wholesale Distributors</w:t>
            </w:r>
          </w:p>
        </w:tc>
        <w:tc>
          <w:tcPr>
            <w:tcW w:w="1511" w:type="dxa"/>
            <w:tcBorders>
              <w:top w:val="single" w:sz="4" w:space="0" w:color="auto"/>
              <w:left w:val="single" w:sz="4" w:space="0" w:color="auto"/>
              <w:bottom w:val="single" w:sz="4" w:space="0" w:color="auto"/>
              <w:right w:val="single" w:sz="4" w:space="0" w:color="auto"/>
            </w:tcBorders>
          </w:tcPr>
          <w:p w14:paraId="3889D33C" w14:textId="77777777" w:rsidR="00000BB9" w:rsidRPr="00E24684" w:rsidRDefault="00000BB9" w:rsidP="00000BB9">
            <w:pPr>
              <w:spacing w:after="0" w:line="240" w:lineRule="auto"/>
              <w:jc w:val="center"/>
              <w:rPr>
                <w:rFonts w:ascii="Times New Roman" w:hAnsi="Times New Roman"/>
                <w:sz w:val="24"/>
                <w:szCs w:val="24"/>
              </w:rPr>
            </w:pPr>
            <w:r>
              <w:rPr>
                <w:rFonts w:ascii="Times New Roman" w:hAnsi="Times New Roman"/>
                <w:sz w:val="24"/>
                <w:szCs w:val="24"/>
              </w:rPr>
              <w:t>160</w:t>
            </w:r>
          </w:p>
        </w:tc>
        <w:tc>
          <w:tcPr>
            <w:tcW w:w="1512" w:type="dxa"/>
            <w:tcBorders>
              <w:top w:val="single" w:sz="4" w:space="0" w:color="auto"/>
              <w:left w:val="single" w:sz="4" w:space="0" w:color="auto"/>
              <w:bottom w:val="single" w:sz="4" w:space="0" w:color="auto"/>
              <w:right w:val="single" w:sz="4" w:space="0" w:color="auto"/>
            </w:tcBorders>
          </w:tcPr>
          <w:p w14:paraId="1A797C9E" w14:textId="77777777" w:rsidR="00000BB9" w:rsidRPr="00E24684" w:rsidRDefault="00000BB9" w:rsidP="00000BB9">
            <w:pPr>
              <w:spacing w:after="0" w:line="240" w:lineRule="auto"/>
              <w:jc w:val="center"/>
              <w:rPr>
                <w:rFonts w:ascii="Times New Roman" w:hAnsi="Times New Roman"/>
                <w:sz w:val="24"/>
                <w:szCs w:val="24"/>
              </w:rPr>
            </w:pPr>
            <w:r w:rsidRPr="00E24684">
              <w:rPr>
                <w:rFonts w:ascii="Times New Roman" w:hAnsi="Times New Roman"/>
                <w:sz w:val="24"/>
                <w:szCs w:val="24"/>
              </w:rPr>
              <w:t>1</w:t>
            </w:r>
          </w:p>
        </w:tc>
        <w:tc>
          <w:tcPr>
            <w:tcW w:w="1512" w:type="dxa"/>
            <w:tcBorders>
              <w:top w:val="single" w:sz="4" w:space="0" w:color="auto"/>
              <w:left w:val="single" w:sz="4" w:space="0" w:color="auto"/>
              <w:bottom w:val="single" w:sz="4" w:space="0" w:color="auto"/>
              <w:right w:val="single" w:sz="4" w:space="0" w:color="auto"/>
            </w:tcBorders>
          </w:tcPr>
          <w:p w14:paraId="41AE6861" w14:textId="77777777" w:rsidR="00000BB9" w:rsidRPr="00E24684" w:rsidRDefault="00000BB9" w:rsidP="00000BB9">
            <w:pPr>
              <w:spacing w:after="0" w:line="240" w:lineRule="auto"/>
              <w:jc w:val="center"/>
              <w:rPr>
                <w:rFonts w:ascii="Times New Roman" w:hAnsi="Times New Roman"/>
                <w:sz w:val="24"/>
                <w:szCs w:val="24"/>
              </w:rPr>
            </w:pPr>
            <w:r>
              <w:rPr>
                <w:rFonts w:ascii="Times New Roman" w:hAnsi="Times New Roman"/>
                <w:sz w:val="24"/>
                <w:szCs w:val="24"/>
              </w:rPr>
              <w:t>160</w:t>
            </w:r>
          </w:p>
        </w:tc>
        <w:tc>
          <w:tcPr>
            <w:tcW w:w="1512" w:type="dxa"/>
            <w:tcBorders>
              <w:top w:val="single" w:sz="4" w:space="0" w:color="auto"/>
              <w:left w:val="single" w:sz="4" w:space="0" w:color="auto"/>
              <w:bottom w:val="single" w:sz="4" w:space="0" w:color="auto"/>
              <w:right w:val="single" w:sz="4" w:space="0" w:color="auto"/>
            </w:tcBorders>
          </w:tcPr>
          <w:p w14:paraId="5AE726CE" w14:textId="3FAFF6E7" w:rsidR="00000BB9" w:rsidRPr="00E24684" w:rsidRDefault="00000BB9" w:rsidP="00815B03">
            <w:pPr>
              <w:spacing w:after="0" w:line="240" w:lineRule="auto"/>
              <w:jc w:val="center"/>
              <w:rPr>
                <w:rFonts w:ascii="Times New Roman" w:hAnsi="Times New Roman"/>
                <w:sz w:val="24"/>
                <w:szCs w:val="24"/>
              </w:rPr>
            </w:pPr>
            <w:r>
              <w:rPr>
                <w:rFonts w:ascii="Times New Roman" w:hAnsi="Times New Roman"/>
                <w:sz w:val="24"/>
                <w:szCs w:val="24"/>
              </w:rPr>
              <w:t>1</w:t>
            </w:r>
            <w:r w:rsidRPr="00E24684">
              <w:rPr>
                <w:rFonts w:ascii="Times New Roman" w:hAnsi="Times New Roman"/>
                <w:sz w:val="24"/>
                <w:szCs w:val="24"/>
              </w:rPr>
              <w:t xml:space="preserve"> </w:t>
            </w:r>
          </w:p>
        </w:tc>
        <w:tc>
          <w:tcPr>
            <w:tcW w:w="1512" w:type="dxa"/>
            <w:tcBorders>
              <w:top w:val="single" w:sz="4" w:space="0" w:color="auto"/>
              <w:left w:val="single" w:sz="4" w:space="0" w:color="auto"/>
              <w:bottom w:val="single" w:sz="4" w:space="0" w:color="auto"/>
              <w:right w:val="single" w:sz="4" w:space="0" w:color="auto"/>
            </w:tcBorders>
          </w:tcPr>
          <w:p w14:paraId="70C8974E" w14:textId="77777777" w:rsidR="00000BB9" w:rsidRPr="00E24684" w:rsidRDefault="00000BB9" w:rsidP="00000BB9">
            <w:pPr>
              <w:spacing w:after="0" w:line="240" w:lineRule="auto"/>
              <w:jc w:val="center"/>
              <w:rPr>
                <w:rFonts w:ascii="Times New Roman" w:hAnsi="Times New Roman"/>
                <w:sz w:val="24"/>
                <w:szCs w:val="24"/>
              </w:rPr>
            </w:pPr>
            <w:r>
              <w:rPr>
                <w:rFonts w:ascii="Times New Roman" w:hAnsi="Times New Roman"/>
                <w:sz w:val="24"/>
                <w:szCs w:val="24"/>
              </w:rPr>
              <w:t>160</w:t>
            </w:r>
          </w:p>
        </w:tc>
      </w:tr>
      <w:tr w:rsidR="00000BB9" w:rsidRPr="00E24684" w14:paraId="737DB657" w14:textId="77777777" w:rsidTr="00000BB9">
        <w:tc>
          <w:tcPr>
            <w:tcW w:w="2086" w:type="dxa"/>
            <w:tcBorders>
              <w:top w:val="single" w:sz="4" w:space="0" w:color="auto"/>
              <w:left w:val="single" w:sz="4" w:space="0" w:color="auto"/>
              <w:bottom w:val="single" w:sz="4" w:space="0" w:color="auto"/>
              <w:right w:val="single" w:sz="4" w:space="0" w:color="auto"/>
            </w:tcBorders>
          </w:tcPr>
          <w:p w14:paraId="6BD6D76E" w14:textId="77777777" w:rsidR="00000BB9" w:rsidRPr="00E24684" w:rsidRDefault="00000BB9" w:rsidP="00000BB9">
            <w:pPr>
              <w:spacing w:after="0" w:line="240" w:lineRule="auto"/>
              <w:jc w:val="center"/>
              <w:rPr>
                <w:rFonts w:ascii="Times New Roman" w:hAnsi="Times New Roman"/>
                <w:sz w:val="24"/>
                <w:szCs w:val="24"/>
              </w:rPr>
            </w:pPr>
            <w:r w:rsidRPr="00E24684">
              <w:rPr>
                <w:rFonts w:ascii="Times New Roman" w:hAnsi="Times New Roman"/>
                <w:sz w:val="24"/>
                <w:szCs w:val="24"/>
              </w:rPr>
              <w:t>Dispensers</w:t>
            </w:r>
          </w:p>
        </w:tc>
        <w:tc>
          <w:tcPr>
            <w:tcW w:w="1511" w:type="dxa"/>
            <w:tcBorders>
              <w:top w:val="single" w:sz="4" w:space="0" w:color="auto"/>
              <w:left w:val="single" w:sz="4" w:space="0" w:color="auto"/>
              <w:bottom w:val="single" w:sz="4" w:space="0" w:color="auto"/>
              <w:right w:val="single" w:sz="4" w:space="0" w:color="auto"/>
            </w:tcBorders>
          </w:tcPr>
          <w:p w14:paraId="2C1391FF" w14:textId="77777777" w:rsidR="00000BB9" w:rsidRPr="00E24684" w:rsidRDefault="00000BB9" w:rsidP="00000BB9">
            <w:pPr>
              <w:spacing w:after="0" w:line="240" w:lineRule="auto"/>
              <w:jc w:val="center"/>
              <w:rPr>
                <w:rFonts w:ascii="Times New Roman" w:hAnsi="Times New Roman"/>
                <w:sz w:val="24"/>
                <w:szCs w:val="24"/>
              </w:rPr>
            </w:pPr>
            <w:r>
              <w:rPr>
                <w:rFonts w:ascii="Times New Roman" w:hAnsi="Times New Roman"/>
                <w:sz w:val="24"/>
                <w:szCs w:val="24"/>
              </w:rPr>
              <w:t>40</w:t>
            </w:r>
          </w:p>
        </w:tc>
        <w:tc>
          <w:tcPr>
            <w:tcW w:w="1512" w:type="dxa"/>
            <w:tcBorders>
              <w:top w:val="single" w:sz="4" w:space="0" w:color="auto"/>
              <w:left w:val="single" w:sz="4" w:space="0" w:color="auto"/>
              <w:bottom w:val="single" w:sz="4" w:space="0" w:color="auto"/>
              <w:right w:val="single" w:sz="4" w:space="0" w:color="auto"/>
            </w:tcBorders>
          </w:tcPr>
          <w:p w14:paraId="05D4A0DB" w14:textId="77777777" w:rsidR="00000BB9" w:rsidRPr="00E24684" w:rsidRDefault="00000BB9" w:rsidP="00000BB9">
            <w:pPr>
              <w:spacing w:after="0" w:line="240" w:lineRule="auto"/>
              <w:jc w:val="center"/>
              <w:rPr>
                <w:rFonts w:ascii="Times New Roman" w:hAnsi="Times New Roman"/>
                <w:sz w:val="24"/>
                <w:szCs w:val="24"/>
              </w:rPr>
            </w:pPr>
            <w:r w:rsidRPr="00E24684">
              <w:rPr>
                <w:rFonts w:ascii="Times New Roman" w:hAnsi="Times New Roman"/>
                <w:sz w:val="24"/>
                <w:szCs w:val="24"/>
              </w:rPr>
              <w:t>1</w:t>
            </w:r>
          </w:p>
        </w:tc>
        <w:tc>
          <w:tcPr>
            <w:tcW w:w="1512" w:type="dxa"/>
            <w:tcBorders>
              <w:top w:val="single" w:sz="4" w:space="0" w:color="auto"/>
              <w:left w:val="single" w:sz="4" w:space="0" w:color="auto"/>
              <w:bottom w:val="single" w:sz="4" w:space="0" w:color="auto"/>
              <w:right w:val="single" w:sz="4" w:space="0" w:color="auto"/>
            </w:tcBorders>
          </w:tcPr>
          <w:p w14:paraId="492BB465" w14:textId="77777777" w:rsidR="00000BB9" w:rsidRPr="00E24684" w:rsidRDefault="00000BB9" w:rsidP="00000BB9">
            <w:pPr>
              <w:spacing w:after="0" w:line="240" w:lineRule="auto"/>
              <w:jc w:val="center"/>
              <w:rPr>
                <w:rFonts w:ascii="Times New Roman" w:hAnsi="Times New Roman"/>
                <w:sz w:val="24"/>
                <w:szCs w:val="24"/>
              </w:rPr>
            </w:pPr>
            <w:r>
              <w:rPr>
                <w:rFonts w:ascii="Times New Roman" w:hAnsi="Times New Roman"/>
                <w:sz w:val="24"/>
                <w:szCs w:val="24"/>
              </w:rPr>
              <w:t>40</w:t>
            </w:r>
          </w:p>
        </w:tc>
        <w:tc>
          <w:tcPr>
            <w:tcW w:w="1512" w:type="dxa"/>
            <w:tcBorders>
              <w:top w:val="single" w:sz="4" w:space="0" w:color="auto"/>
              <w:left w:val="single" w:sz="4" w:space="0" w:color="auto"/>
              <w:bottom w:val="single" w:sz="4" w:space="0" w:color="auto"/>
              <w:right w:val="single" w:sz="4" w:space="0" w:color="auto"/>
            </w:tcBorders>
          </w:tcPr>
          <w:p w14:paraId="2CB4616E" w14:textId="5C9FD648" w:rsidR="00000BB9" w:rsidRPr="00E24684" w:rsidRDefault="00000BB9" w:rsidP="00815B03">
            <w:pPr>
              <w:spacing w:after="0" w:line="240" w:lineRule="auto"/>
              <w:jc w:val="center"/>
              <w:rPr>
                <w:rFonts w:ascii="Times New Roman" w:hAnsi="Times New Roman"/>
                <w:sz w:val="24"/>
                <w:szCs w:val="24"/>
              </w:rPr>
            </w:pPr>
            <w:r>
              <w:rPr>
                <w:rFonts w:ascii="Times New Roman" w:hAnsi="Times New Roman"/>
                <w:sz w:val="24"/>
                <w:szCs w:val="24"/>
              </w:rPr>
              <w:t>1</w:t>
            </w:r>
            <w:r w:rsidRPr="00E24684">
              <w:rPr>
                <w:rFonts w:ascii="Times New Roman" w:hAnsi="Times New Roman"/>
                <w:sz w:val="24"/>
                <w:szCs w:val="24"/>
              </w:rPr>
              <w:t xml:space="preserve"> </w:t>
            </w:r>
          </w:p>
        </w:tc>
        <w:tc>
          <w:tcPr>
            <w:tcW w:w="1512" w:type="dxa"/>
            <w:tcBorders>
              <w:top w:val="single" w:sz="4" w:space="0" w:color="auto"/>
              <w:left w:val="single" w:sz="4" w:space="0" w:color="auto"/>
              <w:bottom w:val="single" w:sz="4" w:space="0" w:color="auto"/>
              <w:right w:val="single" w:sz="4" w:space="0" w:color="auto"/>
            </w:tcBorders>
          </w:tcPr>
          <w:p w14:paraId="1F0A9187" w14:textId="77777777" w:rsidR="00000BB9" w:rsidRPr="00E24684" w:rsidRDefault="00000BB9" w:rsidP="00000BB9">
            <w:pPr>
              <w:spacing w:after="0" w:line="240" w:lineRule="auto"/>
              <w:jc w:val="center"/>
              <w:rPr>
                <w:rFonts w:ascii="Times New Roman" w:hAnsi="Times New Roman"/>
                <w:sz w:val="24"/>
                <w:szCs w:val="24"/>
              </w:rPr>
            </w:pPr>
            <w:r>
              <w:rPr>
                <w:rFonts w:ascii="Times New Roman" w:hAnsi="Times New Roman"/>
                <w:sz w:val="24"/>
                <w:szCs w:val="24"/>
              </w:rPr>
              <w:t>40</w:t>
            </w:r>
          </w:p>
        </w:tc>
      </w:tr>
      <w:tr w:rsidR="00000BB9" w:rsidRPr="00E24684" w14:paraId="407855CA" w14:textId="77777777" w:rsidTr="00000BB9">
        <w:tc>
          <w:tcPr>
            <w:tcW w:w="8133" w:type="dxa"/>
            <w:gridSpan w:val="5"/>
            <w:tcBorders>
              <w:top w:val="single" w:sz="4" w:space="0" w:color="auto"/>
              <w:left w:val="single" w:sz="4" w:space="0" w:color="auto"/>
              <w:bottom w:val="single" w:sz="4" w:space="0" w:color="auto"/>
              <w:right w:val="single" w:sz="4" w:space="0" w:color="auto"/>
            </w:tcBorders>
            <w:hideMark/>
          </w:tcPr>
          <w:p w14:paraId="38C920B1" w14:textId="77777777" w:rsidR="00000BB9" w:rsidRPr="00E24684" w:rsidRDefault="00000BB9" w:rsidP="00000BB9">
            <w:pPr>
              <w:spacing w:after="0" w:line="240" w:lineRule="auto"/>
              <w:rPr>
                <w:rFonts w:ascii="Times New Roman" w:hAnsi="Times New Roman"/>
                <w:sz w:val="24"/>
                <w:szCs w:val="24"/>
              </w:rPr>
            </w:pPr>
            <w:r w:rsidRPr="00E24684">
              <w:rPr>
                <w:rFonts w:ascii="Times New Roman" w:hAnsi="Times New Roman"/>
                <w:sz w:val="24"/>
                <w:szCs w:val="24"/>
              </w:rPr>
              <w:t>Total</w:t>
            </w:r>
          </w:p>
        </w:tc>
        <w:tc>
          <w:tcPr>
            <w:tcW w:w="1512" w:type="dxa"/>
            <w:tcBorders>
              <w:top w:val="single" w:sz="4" w:space="0" w:color="auto"/>
              <w:left w:val="single" w:sz="4" w:space="0" w:color="auto"/>
              <w:bottom w:val="single" w:sz="4" w:space="0" w:color="auto"/>
              <w:right w:val="single" w:sz="4" w:space="0" w:color="auto"/>
            </w:tcBorders>
          </w:tcPr>
          <w:p w14:paraId="16F7EE29" w14:textId="77777777" w:rsidR="00000BB9" w:rsidRPr="00E24684" w:rsidRDefault="00000BB9" w:rsidP="00000BB9">
            <w:pPr>
              <w:spacing w:after="0" w:line="240" w:lineRule="auto"/>
              <w:jc w:val="center"/>
              <w:rPr>
                <w:rFonts w:ascii="Times New Roman" w:hAnsi="Times New Roman"/>
                <w:sz w:val="24"/>
                <w:szCs w:val="24"/>
              </w:rPr>
            </w:pPr>
            <w:r>
              <w:rPr>
                <w:rFonts w:ascii="Times New Roman" w:hAnsi="Times New Roman"/>
                <w:sz w:val="24"/>
                <w:szCs w:val="24"/>
              </w:rPr>
              <w:t>1,000</w:t>
            </w:r>
          </w:p>
        </w:tc>
      </w:tr>
      <w:tr w:rsidR="00000BB9" w:rsidRPr="00E24684" w14:paraId="3F422BA4" w14:textId="77777777" w:rsidTr="00F77F76">
        <w:tc>
          <w:tcPr>
            <w:tcW w:w="9645" w:type="dxa"/>
            <w:gridSpan w:val="6"/>
            <w:tcBorders>
              <w:top w:val="single" w:sz="4" w:space="0" w:color="auto"/>
              <w:left w:val="nil"/>
              <w:bottom w:val="nil"/>
              <w:right w:val="nil"/>
            </w:tcBorders>
          </w:tcPr>
          <w:p w14:paraId="637FF761" w14:textId="7AEC643D" w:rsidR="00000BB9" w:rsidRPr="008E4C7B" w:rsidRDefault="00000BB9" w:rsidP="00000BB9">
            <w:pPr>
              <w:spacing w:after="0" w:line="240" w:lineRule="auto"/>
              <w:rPr>
                <w:rFonts w:ascii="Times New Roman" w:hAnsi="Times New Roman"/>
                <w:sz w:val="20"/>
                <w:szCs w:val="20"/>
              </w:rPr>
            </w:pPr>
          </w:p>
        </w:tc>
      </w:tr>
    </w:tbl>
    <w:p w14:paraId="6890FF87" w14:textId="77777777" w:rsidR="00000BB9" w:rsidRDefault="00000BB9" w:rsidP="00000BB9">
      <w:pPr>
        <w:pStyle w:val="NormalWeb"/>
        <w:spacing w:before="0" w:beforeAutospacing="0" w:after="0" w:afterAutospacing="0"/>
        <w:contextualSpacing/>
        <w:jc w:val="center"/>
        <w:rPr>
          <w:bCs/>
        </w:rPr>
      </w:pPr>
    </w:p>
    <w:p w14:paraId="1DA7CCCA" w14:textId="77777777" w:rsidR="00000BB9" w:rsidRDefault="00000BB9" w:rsidP="00000BB9">
      <w:pPr>
        <w:pStyle w:val="NormalWeb"/>
        <w:spacing w:before="0" w:beforeAutospacing="0" w:after="0" w:afterAutospacing="0"/>
        <w:contextualSpacing/>
        <w:jc w:val="center"/>
        <w:rPr>
          <w:bCs/>
        </w:rPr>
      </w:pPr>
    </w:p>
    <w:p w14:paraId="496826B1" w14:textId="77777777" w:rsidR="00000BB9" w:rsidRPr="00E24684" w:rsidRDefault="00000BB9" w:rsidP="00000BB9">
      <w:pPr>
        <w:pStyle w:val="NormalWeb"/>
        <w:spacing w:before="0" w:beforeAutospacing="0" w:after="0" w:afterAutospacing="0"/>
        <w:contextualSpacing/>
        <w:jc w:val="center"/>
        <w:rPr>
          <w:bCs/>
        </w:rPr>
      </w:pPr>
      <w:r>
        <w:t>Table 2</w:t>
      </w:r>
      <w:r w:rsidRPr="00E24684">
        <w:t xml:space="preserve"> -- Estimated Annual Third-Party Disclosure Burden</w:t>
      </w:r>
    </w:p>
    <w:tbl>
      <w:tblPr>
        <w:tblW w:w="9648" w:type="dxa"/>
        <w:tblLayout w:type="fixed"/>
        <w:tblLook w:val="01E0" w:firstRow="1" w:lastRow="1" w:firstColumn="1" w:lastColumn="1" w:noHBand="0" w:noVBand="0"/>
      </w:tblPr>
      <w:tblGrid>
        <w:gridCol w:w="2070"/>
        <w:gridCol w:w="1548"/>
        <w:gridCol w:w="1440"/>
        <w:gridCol w:w="1530"/>
        <w:gridCol w:w="1530"/>
        <w:gridCol w:w="1530"/>
      </w:tblGrid>
      <w:tr w:rsidR="00000BB9" w:rsidRPr="00E24684" w14:paraId="707C8B26" w14:textId="77777777" w:rsidTr="00000BB9">
        <w:tc>
          <w:tcPr>
            <w:tcW w:w="2070" w:type="dxa"/>
            <w:tcBorders>
              <w:top w:val="single" w:sz="4" w:space="0" w:color="auto"/>
              <w:left w:val="single" w:sz="4" w:space="0" w:color="auto"/>
              <w:bottom w:val="single" w:sz="4" w:space="0" w:color="auto"/>
              <w:right w:val="single" w:sz="4" w:space="0" w:color="auto"/>
            </w:tcBorders>
            <w:hideMark/>
          </w:tcPr>
          <w:p w14:paraId="3BA12ED1" w14:textId="77777777" w:rsidR="00000BB9" w:rsidRPr="00E24684" w:rsidRDefault="00000BB9" w:rsidP="00000BB9">
            <w:pPr>
              <w:widowControl w:val="0"/>
              <w:snapToGrid w:val="0"/>
              <w:spacing w:after="0" w:line="240" w:lineRule="auto"/>
              <w:jc w:val="center"/>
              <w:rPr>
                <w:rFonts w:ascii="Times New Roman" w:hAnsi="Times New Roman"/>
                <w:i/>
                <w:sz w:val="24"/>
                <w:szCs w:val="24"/>
              </w:rPr>
            </w:pPr>
            <w:r w:rsidRPr="00E24684">
              <w:rPr>
                <w:rFonts w:ascii="Times New Roman" w:hAnsi="Times New Roman"/>
                <w:i/>
                <w:sz w:val="24"/>
                <w:szCs w:val="24"/>
              </w:rPr>
              <w:t>Notifications to Trading Partners of an Illegitimate Product</w:t>
            </w:r>
          </w:p>
        </w:tc>
        <w:tc>
          <w:tcPr>
            <w:tcW w:w="1548" w:type="dxa"/>
            <w:tcBorders>
              <w:top w:val="single" w:sz="4" w:space="0" w:color="auto"/>
              <w:left w:val="single" w:sz="4" w:space="0" w:color="auto"/>
              <w:bottom w:val="single" w:sz="4" w:space="0" w:color="auto"/>
              <w:right w:val="single" w:sz="4" w:space="0" w:color="auto"/>
            </w:tcBorders>
            <w:hideMark/>
          </w:tcPr>
          <w:p w14:paraId="318DCB96" w14:textId="77777777" w:rsidR="00000BB9" w:rsidRPr="00E24684" w:rsidRDefault="00000BB9" w:rsidP="00000BB9">
            <w:pPr>
              <w:spacing w:after="0" w:line="240" w:lineRule="auto"/>
              <w:jc w:val="center"/>
              <w:rPr>
                <w:rFonts w:ascii="Times New Roman" w:hAnsi="Times New Roman"/>
                <w:sz w:val="24"/>
                <w:szCs w:val="24"/>
              </w:rPr>
            </w:pPr>
            <w:r w:rsidRPr="00E24684">
              <w:rPr>
                <w:rFonts w:ascii="Times New Roman" w:hAnsi="Times New Roman"/>
                <w:sz w:val="24"/>
                <w:szCs w:val="24"/>
              </w:rPr>
              <w:t>No. of Respondents</w:t>
            </w:r>
          </w:p>
        </w:tc>
        <w:tc>
          <w:tcPr>
            <w:tcW w:w="1440" w:type="dxa"/>
            <w:tcBorders>
              <w:top w:val="single" w:sz="4" w:space="0" w:color="auto"/>
              <w:left w:val="single" w:sz="4" w:space="0" w:color="auto"/>
              <w:bottom w:val="single" w:sz="4" w:space="0" w:color="auto"/>
              <w:right w:val="single" w:sz="4" w:space="0" w:color="auto"/>
            </w:tcBorders>
            <w:hideMark/>
          </w:tcPr>
          <w:p w14:paraId="27C81428" w14:textId="77777777" w:rsidR="00000BB9" w:rsidRPr="00E24684" w:rsidRDefault="00000BB9" w:rsidP="00000BB9">
            <w:pPr>
              <w:spacing w:after="0" w:line="240" w:lineRule="auto"/>
              <w:jc w:val="center"/>
              <w:rPr>
                <w:rFonts w:ascii="Times New Roman" w:hAnsi="Times New Roman"/>
                <w:sz w:val="24"/>
                <w:szCs w:val="24"/>
              </w:rPr>
            </w:pPr>
            <w:r>
              <w:rPr>
                <w:rFonts w:ascii="Times New Roman" w:hAnsi="Times New Roman"/>
                <w:sz w:val="24"/>
                <w:szCs w:val="24"/>
              </w:rPr>
              <w:t xml:space="preserve">No. of </w:t>
            </w:r>
            <w:r w:rsidRPr="00E24684">
              <w:rPr>
                <w:rFonts w:ascii="Times New Roman" w:hAnsi="Times New Roman"/>
                <w:sz w:val="24"/>
                <w:szCs w:val="24"/>
              </w:rPr>
              <w:t xml:space="preserve"> Disclosure</w:t>
            </w:r>
            <w:r>
              <w:rPr>
                <w:rFonts w:ascii="Times New Roman" w:hAnsi="Times New Roman"/>
                <w:sz w:val="24"/>
                <w:szCs w:val="24"/>
              </w:rPr>
              <w:t>s per Respondent</w:t>
            </w:r>
          </w:p>
        </w:tc>
        <w:tc>
          <w:tcPr>
            <w:tcW w:w="1530" w:type="dxa"/>
            <w:tcBorders>
              <w:top w:val="single" w:sz="4" w:space="0" w:color="auto"/>
              <w:left w:val="single" w:sz="4" w:space="0" w:color="auto"/>
              <w:bottom w:val="single" w:sz="4" w:space="0" w:color="auto"/>
              <w:right w:val="single" w:sz="4" w:space="0" w:color="auto"/>
            </w:tcBorders>
            <w:hideMark/>
          </w:tcPr>
          <w:p w14:paraId="41BA1421" w14:textId="77777777" w:rsidR="00000BB9" w:rsidRPr="00E24684" w:rsidRDefault="00000BB9" w:rsidP="00000BB9">
            <w:pPr>
              <w:spacing w:after="0" w:line="240" w:lineRule="auto"/>
              <w:jc w:val="center"/>
              <w:rPr>
                <w:rFonts w:ascii="Times New Roman" w:hAnsi="Times New Roman"/>
                <w:sz w:val="24"/>
                <w:szCs w:val="24"/>
              </w:rPr>
            </w:pPr>
            <w:r w:rsidRPr="00E24684">
              <w:rPr>
                <w:rFonts w:ascii="Times New Roman" w:hAnsi="Times New Roman"/>
                <w:sz w:val="24"/>
                <w:szCs w:val="24"/>
              </w:rPr>
              <w:t xml:space="preserve">Total </w:t>
            </w:r>
            <w:r>
              <w:rPr>
                <w:rFonts w:ascii="Times New Roman" w:hAnsi="Times New Roman"/>
                <w:sz w:val="24"/>
                <w:szCs w:val="24"/>
              </w:rPr>
              <w:t xml:space="preserve">Annual </w:t>
            </w:r>
            <w:r w:rsidRPr="00E24684">
              <w:rPr>
                <w:rFonts w:ascii="Times New Roman" w:hAnsi="Times New Roman"/>
                <w:sz w:val="24"/>
                <w:szCs w:val="24"/>
              </w:rPr>
              <w:t>Disclosures</w:t>
            </w:r>
          </w:p>
        </w:tc>
        <w:tc>
          <w:tcPr>
            <w:tcW w:w="1530" w:type="dxa"/>
            <w:tcBorders>
              <w:top w:val="single" w:sz="4" w:space="0" w:color="auto"/>
              <w:left w:val="single" w:sz="4" w:space="0" w:color="auto"/>
              <w:bottom w:val="single" w:sz="4" w:space="0" w:color="auto"/>
              <w:right w:val="single" w:sz="4" w:space="0" w:color="auto"/>
            </w:tcBorders>
            <w:hideMark/>
          </w:tcPr>
          <w:p w14:paraId="1AA30869" w14:textId="77777777" w:rsidR="00000BB9" w:rsidRPr="00E24684" w:rsidRDefault="00000BB9" w:rsidP="00000BB9">
            <w:pPr>
              <w:spacing w:after="0" w:line="240" w:lineRule="auto"/>
              <w:jc w:val="center"/>
              <w:rPr>
                <w:rFonts w:ascii="Times New Roman" w:hAnsi="Times New Roman"/>
                <w:sz w:val="24"/>
                <w:szCs w:val="24"/>
              </w:rPr>
            </w:pPr>
            <w:r>
              <w:rPr>
                <w:rFonts w:ascii="Times New Roman" w:hAnsi="Times New Roman"/>
                <w:sz w:val="24"/>
                <w:szCs w:val="24"/>
              </w:rPr>
              <w:t xml:space="preserve">Average Burden per </w:t>
            </w:r>
            <w:r w:rsidRPr="00E24684">
              <w:rPr>
                <w:rFonts w:ascii="Times New Roman" w:hAnsi="Times New Roman"/>
                <w:sz w:val="24"/>
                <w:szCs w:val="24"/>
              </w:rPr>
              <w:t xml:space="preserve"> Disclosure</w:t>
            </w:r>
          </w:p>
        </w:tc>
        <w:tc>
          <w:tcPr>
            <w:tcW w:w="1530" w:type="dxa"/>
            <w:tcBorders>
              <w:top w:val="single" w:sz="4" w:space="0" w:color="auto"/>
              <w:left w:val="single" w:sz="4" w:space="0" w:color="auto"/>
              <w:bottom w:val="single" w:sz="4" w:space="0" w:color="auto"/>
              <w:right w:val="single" w:sz="4" w:space="0" w:color="auto"/>
            </w:tcBorders>
            <w:hideMark/>
          </w:tcPr>
          <w:p w14:paraId="7B86767D" w14:textId="77777777" w:rsidR="00000BB9" w:rsidRPr="00E24684" w:rsidRDefault="00000BB9" w:rsidP="00000BB9">
            <w:pPr>
              <w:spacing w:after="0" w:line="240" w:lineRule="auto"/>
              <w:jc w:val="center"/>
              <w:rPr>
                <w:rFonts w:ascii="Times New Roman" w:hAnsi="Times New Roman"/>
                <w:sz w:val="24"/>
                <w:szCs w:val="24"/>
              </w:rPr>
            </w:pPr>
            <w:r w:rsidRPr="00E24684">
              <w:rPr>
                <w:rFonts w:ascii="Times New Roman" w:hAnsi="Times New Roman"/>
                <w:sz w:val="24"/>
                <w:szCs w:val="24"/>
              </w:rPr>
              <w:t>Total Hours</w:t>
            </w:r>
          </w:p>
        </w:tc>
      </w:tr>
      <w:tr w:rsidR="00000BB9" w:rsidRPr="00E24684" w14:paraId="3345F667" w14:textId="77777777" w:rsidTr="00000BB9">
        <w:tc>
          <w:tcPr>
            <w:tcW w:w="2070" w:type="dxa"/>
            <w:tcBorders>
              <w:top w:val="single" w:sz="4" w:space="0" w:color="auto"/>
              <w:left w:val="single" w:sz="4" w:space="0" w:color="auto"/>
              <w:bottom w:val="single" w:sz="4" w:space="0" w:color="auto"/>
              <w:right w:val="single" w:sz="4" w:space="0" w:color="auto"/>
            </w:tcBorders>
          </w:tcPr>
          <w:p w14:paraId="74F326AA" w14:textId="77777777" w:rsidR="00000BB9" w:rsidRPr="00E24684" w:rsidRDefault="00000BB9" w:rsidP="00000BB9">
            <w:pPr>
              <w:spacing w:after="0" w:line="240" w:lineRule="auto"/>
              <w:jc w:val="center"/>
              <w:rPr>
                <w:rFonts w:ascii="Times New Roman" w:hAnsi="Times New Roman"/>
                <w:sz w:val="24"/>
                <w:szCs w:val="24"/>
              </w:rPr>
            </w:pPr>
            <w:r w:rsidRPr="00E24684">
              <w:rPr>
                <w:rFonts w:ascii="Times New Roman" w:hAnsi="Times New Roman"/>
                <w:sz w:val="24"/>
                <w:szCs w:val="24"/>
              </w:rPr>
              <w:t>Manufacturers and Repackagers</w:t>
            </w:r>
          </w:p>
        </w:tc>
        <w:tc>
          <w:tcPr>
            <w:tcW w:w="1548" w:type="dxa"/>
            <w:tcBorders>
              <w:top w:val="single" w:sz="4" w:space="0" w:color="auto"/>
              <w:left w:val="single" w:sz="4" w:space="0" w:color="auto"/>
              <w:bottom w:val="single" w:sz="4" w:space="0" w:color="auto"/>
              <w:right w:val="single" w:sz="4" w:space="0" w:color="auto"/>
            </w:tcBorders>
          </w:tcPr>
          <w:p w14:paraId="2F1F3D52" w14:textId="77777777" w:rsidR="00000BB9" w:rsidRPr="00E24684" w:rsidRDefault="00000BB9" w:rsidP="00000BB9">
            <w:pPr>
              <w:spacing w:after="0" w:line="240" w:lineRule="auto"/>
              <w:jc w:val="center"/>
              <w:rPr>
                <w:rFonts w:ascii="Times New Roman" w:hAnsi="Times New Roman"/>
                <w:sz w:val="24"/>
                <w:szCs w:val="24"/>
              </w:rPr>
            </w:pPr>
            <w:r>
              <w:rPr>
                <w:rFonts w:ascii="Times New Roman" w:hAnsi="Times New Roman"/>
                <w:sz w:val="24"/>
                <w:szCs w:val="24"/>
              </w:rPr>
              <w:t>800</w:t>
            </w:r>
          </w:p>
        </w:tc>
        <w:tc>
          <w:tcPr>
            <w:tcW w:w="1440" w:type="dxa"/>
            <w:tcBorders>
              <w:top w:val="single" w:sz="4" w:space="0" w:color="auto"/>
              <w:left w:val="single" w:sz="4" w:space="0" w:color="auto"/>
              <w:bottom w:val="single" w:sz="4" w:space="0" w:color="auto"/>
              <w:right w:val="single" w:sz="4" w:space="0" w:color="auto"/>
            </w:tcBorders>
          </w:tcPr>
          <w:p w14:paraId="5C804C7A" w14:textId="77777777" w:rsidR="00000BB9" w:rsidRPr="00E24684" w:rsidRDefault="00000BB9" w:rsidP="00000BB9">
            <w:pPr>
              <w:spacing w:after="0" w:line="240" w:lineRule="auto"/>
              <w:jc w:val="center"/>
              <w:rPr>
                <w:rFonts w:ascii="Times New Roman" w:hAnsi="Times New Roman"/>
                <w:sz w:val="24"/>
                <w:szCs w:val="24"/>
              </w:rPr>
            </w:pPr>
            <w:r w:rsidRPr="00E24684">
              <w:rPr>
                <w:rFonts w:ascii="Times New Roman" w:hAnsi="Times New Roman"/>
                <w:sz w:val="24"/>
                <w:szCs w:val="24"/>
              </w:rPr>
              <w:t>30</w:t>
            </w:r>
          </w:p>
        </w:tc>
        <w:tc>
          <w:tcPr>
            <w:tcW w:w="1530" w:type="dxa"/>
            <w:tcBorders>
              <w:top w:val="single" w:sz="4" w:space="0" w:color="auto"/>
              <w:left w:val="single" w:sz="4" w:space="0" w:color="auto"/>
              <w:bottom w:val="single" w:sz="4" w:space="0" w:color="auto"/>
              <w:right w:val="single" w:sz="4" w:space="0" w:color="auto"/>
            </w:tcBorders>
          </w:tcPr>
          <w:p w14:paraId="4102CE6B" w14:textId="77777777" w:rsidR="00000BB9" w:rsidRPr="00E24684" w:rsidRDefault="00000BB9" w:rsidP="00000BB9">
            <w:pPr>
              <w:spacing w:after="0" w:line="240" w:lineRule="auto"/>
              <w:jc w:val="center"/>
              <w:rPr>
                <w:rFonts w:ascii="Times New Roman" w:hAnsi="Times New Roman"/>
                <w:sz w:val="24"/>
                <w:szCs w:val="24"/>
              </w:rPr>
            </w:pPr>
            <w:r>
              <w:rPr>
                <w:rFonts w:ascii="Times New Roman" w:hAnsi="Times New Roman"/>
                <w:sz w:val="24"/>
                <w:szCs w:val="24"/>
              </w:rPr>
              <w:t>24,000</w:t>
            </w:r>
          </w:p>
        </w:tc>
        <w:tc>
          <w:tcPr>
            <w:tcW w:w="1530" w:type="dxa"/>
            <w:tcBorders>
              <w:top w:val="single" w:sz="4" w:space="0" w:color="auto"/>
              <w:left w:val="single" w:sz="4" w:space="0" w:color="auto"/>
              <w:bottom w:val="single" w:sz="4" w:space="0" w:color="auto"/>
              <w:right w:val="single" w:sz="4" w:space="0" w:color="auto"/>
            </w:tcBorders>
          </w:tcPr>
          <w:p w14:paraId="6EBE6EA6" w14:textId="1AA7C7E6" w:rsidR="00815B03" w:rsidRDefault="00815B03" w:rsidP="00000BB9">
            <w:pPr>
              <w:spacing w:after="0" w:line="240" w:lineRule="auto"/>
              <w:jc w:val="center"/>
              <w:rPr>
                <w:rFonts w:ascii="Times New Roman" w:hAnsi="Times New Roman"/>
                <w:sz w:val="24"/>
                <w:szCs w:val="24"/>
              </w:rPr>
            </w:pPr>
            <w:r>
              <w:rPr>
                <w:rFonts w:ascii="Times New Roman" w:hAnsi="Times New Roman"/>
                <w:sz w:val="24"/>
                <w:szCs w:val="24"/>
              </w:rPr>
              <w:t>0.20</w:t>
            </w:r>
          </w:p>
          <w:p w14:paraId="23B5C081" w14:textId="42554A44" w:rsidR="00000BB9" w:rsidRPr="00E24684" w:rsidRDefault="00815B03" w:rsidP="00000BB9">
            <w:pPr>
              <w:spacing w:after="0" w:line="240" w:lineRule="auto"/>
              <w:jc w:val="center"/>
              <w:rPr>
                <w:rFonts w:ascii="Times New Roman" w:hAnsi="Times New Roman"/>
                <w:sz w:val="24"/>
                <w:szCs w:val="24"/>
              </w:rPr>
            </w:pPr>
            <w:r>
              <w:rPr>
                <w:rFonts w:ascii="Times New Roman" w:hAnsi="Times New Roman"/>
                <w:sz w:val="24"/>
                <w:szCs w:val="24"/>
              </w:rPr>
              <w:t>(</w:t>
            </w:r>
            <w:r w:rsidR="00000BB9">
              <w:rPr>
                <w:rFonts w:ascii="Times New Roman" w:hAnsi="Times New Roman"/>
                <w:sz w:val="24"/>
                <w:szCs w:val="24"/>
              </w:rPr>
              <w:t>12 minutes</w:t>
            </w:r>
            <w:r>
              <w:rPr>
                <w:rFonts w:ascii="Times New Roman" w:hAnsi="Times New Roman"/>
                <w:sz w:val="24"/>
                <w:szCs w:val="24"/>
              </w:rPr>
              <w:t>)</w:t>
            </w:r>
          </w:p>
        </w:tc>
        <w:tc>
          <w:tcPr>
            <w:tcW w:w="1530" w:type="dxa"/>
            <w:tcBorders>
              <w:top w:val="single" w:sz="4" w:space="0" w:color="auto"/>
              <w:left w:val="single" w:sz="4" w:space="0" w:color="auto"/>
              <w:bottom w:val="single" w:sz="4" w:space="0" w:color="auto"/>
              <w:right w:val="single" w:sz="4" w:space="0" w:color="auto"/>
            </w:tcBorders>
          </w:tcPr>
          <w:p w14:paraId="0EA6E258" w14:textId="77777777" w:rsidR="00000BB9" w:rsidRPr="00E24684" w:rsidRDefault="00000BB9" w:rsidP="00000BB9">
            <w:pPr>
              <w:spacing w:after="0" w:line="240" w:lineRule="auto"/>
              <w:jc w:val="center"/>
              <w:rPr>
                <w:rFonts w:ascii="Times New Roman" w:hAnsi="Times New Roman"/>
                <w:sz w:val="24"/>
                <w:szCs w:val="24"/>
              </w:rPr>
            </w:pPr>
            <w:r>
              <w:rPr>
                <w:rFonts w:ascii="Times New Roman" w:hAnsi="Times New Roman"/>
                <w:sz w:val="24"/>
                <w:szCs w:val="24"/>
              </w:rPr>
              <w:t>4800</w:t>
            </w:r>
          </w:p>
        </w:tc>
      </w:tr>
      <w:tr w:rsidR="00000BB9" w:rsidRPr="00E24684" w14:paraId="1322A6FD" w14:textId="77777777" w:rsidTr="00000BB9">
        <w:tc>
          <w:tcPr>
            <w:tcW w:w="2070" w:type="dxa"/>
            <w:tcBorders>
              <w:top w:val="single" w:sz="4" w:space="0" w:color="auto"/>
              <w:left w:val="single" w:sz="4" w:space="0" w:color="auto"/>
              <w:bottom w:val="single" w:sz="4" w:space="0" w:color="auto"/>
              <w:right w:val="single" w:sz="4" w:space="0" w:color="auto"/>
            </w:tcBorders>
          </w:tcPr>
          <w:p w14:paraId="1E0A9C3F" w14:textId="77777777" w:rsidR="00000BB9" w:rsidRPr="00E24684" w:rsidRDefault="00000BB9" w:rsidP="00000BB9">
            <w:pPr>
              <w:widowControl w:val="0"/>
              <w:snapToGrid w:val="0"/>
              <w:spacing w:after="0" w:line="240" w:lineRule="auto"/>
              <w:jc w:val="center"/>
              <w:rPr>
                <w:rFonts w:ascii="Times New Roman" w:hAnsi="Times New Roman"/>
                <w:sz w:val="24"/>
                <w:szCs w:val="24"/>
              </w:rPr>
            </w:pPr>
            <w:r w:rsidRPr="00E24684">
              <w:rPr>
                <w:rFonts w:ascii="Times New Roman" w:hAnsi="Times New Roman"/>
                <w:sz w:val="24"/>
                <w:szCs w:val="24"/>
              </w:rPr>
              <w:t>Wholesale Distributors</w:t>
            </w:r>
          </w:p>
        </w:tc>
        <w:tc>
          <w:tcPr>
            <w:tcW w:w="1548" w:type="dxa"/>
            <w:tcBorders>
              <w:top w:val="single" w:sz="4" w:space="0" w:color="auto"/>
              <w:left w:val="single" w:sz="4" w:space="0" w:color="auto"/>
              <w:bottom w:val="single" w:sz="4" w:space="0" w:color="auto"/>
              <w:right w:val="single" w:sz="4" w:space="0" w:color="auto"/>
            </w:tcBorders>
          </w:tcPr>
          <w:p w14:paraId="1818D3A9" w14:textId="77777777" w:rsidR="00000BB9" w:rsidRPr="00E24684" w:rsidRDefault="00000BB9" w:rsidP="00000BB9">
            <w:pPr>
              <w:spacing w:after="0" w:line="240" w:lineRule="auto"/>
              <w:jc w:val="center"/>
              <w:rPr>
                <w:rFonts w:ascii="Times New Roman" w:hAnsi="Times New Roman"/>
                <w:sz w:val="24"/>
                <w:szCs w:val="24"/>
              </w:rPr>
            </w:pPr>
            <w:r>
              <w:rPr>
                <w:rFonts w:ascii="Times New Roman" w:hAnsi="Times New Roman"/>
                <w:sz w:val="24"/>
                <w:szCs w:val="24"/>
              </w:rPr>
              <w:t>160</w:t>
            </w:r>
          </w:p>
        </w:tc>
        <w:tc>
          <w:tcPr>
            <w:tcW w:w="1440" w:type="dxa"/>
            <w:tcBorders>
              <w:top w:val="single" w:sz="4" w:space="0" w:color="auto"/>
              <w:left w:val="single" w:sz="4" w:space="0" w:color="auto"/>
              <w:bottom w:val="single" w:sz="4" w:space="0" w:color="auto"/>
              <w:right w:val="single" w:sz="4" w:space="0" w:color="auto"/>
            </w:tcBorders>
          </w:tcPr>
          <w:p w14:paraId="0B7CCBC5" w14:textId="1026D72A" w:rsidR="00000BB9" w:rsidRPr="00E24684" w:rsidRDefault="009906DB" w:rsidP="00000BB9">
            <w:pPr>
              <w:spacing w:after="0" w:line="240" w:lineRule="auto"/>
              <w:jc w:val="center"/>
              <w:rPr>
                <w:rFonts w:ascii="Times New Roman" w:hAnsi="Times New Roman"/>
                <w:sz w:val="24"/>
                <w:szCs w:val="24"/>
              </w:rPr>
            </w:pPr>
            <w:r>
              <w:rPr>
                <w:rFonts w:ascii="Times New Roman" w:hAnsi="Times New Roman"/>
                <w:sz w:val="24"/>
                <w:szCs w:val="24"/>
              </w:rPr>
              <w:t>1,175</w:t>
            </w:r>
          </w:p>
        </w:tc>
        <w:tc>
          <w:tcPr>
            <w:tcW w:w="1530" w:type="dxa"/>
            <w:tcBorders>
              <w:top w:val="single" w:sz="4" w:space="0" w:color="auto"/>
              <w:left w:val="single" w:sz="4" w:space="0" w:color="auto"/>
              <w:bottom w:val="single" w:sz="4" w:space="0" w:color="auto"/>
              <w:right w:val="single" w:sz="4" w:space="0" w:color="auto"/>
            </w:tcBorders>
          </w:tcPr>
          <w:p w14:paraId="4DA20215" w14:textId="3D191144" w:rsidR="00000BB9" w:rsidRPr="00E24684" w:rsidRDefault="009906DB" w:rsidP="00000BB9">
            <w:pPr>
              <w:spacing w:after="0" w:line="240" w:lineRule="auto"/>
              <w:jc w:val="center"/>
              <w:rPr>
                <w:rFonts w:ascii="Times New Roman" w:hAnsi="Times New Roman"/>
                <w:sz w:val="24"/>
                <w:szCs w:val="24"/>
              </w:rPr>
            </w:pPr>
            <w:r>
              <w:rPr>
                <w:rFonts w:ascii="Times New Roman" w:hAnsi="Times New Roman"/>
                <w:sz w:val="24"/>
                <w:szCs w:val="24"/>
              </w:rPr>
              <w:t>188,000</w:t>
            </w:r>
          </w:p>
        </w:tc>
        <w:tc>
          <w:tcPr>
            <w:tcW w:w="1530" w:type="dxa"/>
            <w:tcBorders>
              <w:top w:val="single" w:sz="4" w:space="0" w:color="auto"/>
              <w:left w:val="single" w:sz="4" w:space="0" w:color="auto"/>
              <w:bottom w:val="single" w:sz="4" w:space="0" w:color="auto"/>
              <w:right w:val="single" w:sz="4" w:space="0" w:color="auto"/>
            </w:tcBorders>
          </w:tcPr>
          <w:p w14:paraId="5D0EE499" w14:textId="1F64AFE1" w:rsidR="00815B03" w:rsidRDefault="00815B03" w:rsidP="00000BB9">
            <w:pPr>
              <w:spacing w:after="0" w:line="240" w:lineRule="auto"/>
              <w:jc w:val="center"/>
              <w:rPr>
                <w:rFonts w:ascii="Times New Roman" w:hAnsi="Times New Roman"/>
                <w:sz w:val="24"/>
                <w:szCs w:val="24"/>
              </w:rPr>
            </w:pPr>
            <w:r>
              <w:rPr>
                <w:rFonts w:ascii="Times New Roman" w:hAnsi="Times New Roman"/>
                <w:sz w:val="24"/>
                <w:szCs w:val="24"/>
              </w:rPr>
              <w:t>0.20</w:t>
            </w:r>
          </w:p>
          <w:p w14:paraId="5B36BE56" w14:textId="6D3C3CD2" w:rsidR="00000BB9" w:rsidRPr="00E24684" w:rsidRDefault="00815B03" w:rsidP="00000BB9">
            <w:pPr>
              <w:spacing w:after="0" w:line="240" w:lineRule="auto"/>
              <w:jc w:val="center"/>
              <w:rPr>
                <w:rFonts w:ascii="Times New Roman" w:hAnsi="Times New Roman"/>
                <w:sz w:val="24"/>
                <w:szCs w:val="24"/>
              </w:rPr>
            </w:pPr>
            <w:r>
              <w:rPr>
                <w:rFonts w:ascii="Times New Roman" w:hAnsi="Times New Roman"/>
                <w:sz w:val="24"/>
                <w:szCs w:val="24"/>
              </w:rPr>
              <w:t>(</w:t>
            </w:r>
            <w:r w:rsidR="00000BB9">
              <w:rPr>
                <w:rFonts w:ascii="Times New Roman" w:hAnsi="Times New Roman"/>
                <w:sz w:val="24"/>
                <w:szCs w:val="24"/>
              </w:rPr>
              <w:t>12 minutes</w:t>
            </w:r>
            <w:r>
              <w:rPr>
                <w:rFonts w:ascii="Times New Roman" w:hAnsi="Times New Roman"/>
                <w:sz w:val="24"/>
                <w:szCs w:val="24"/>
              </w:rPr>
              <w:t>)</w:t>
            </w:r>
          </w:p>
        </w:tc>
        <w:tc>
          <w:tcPr>
            <w:tcW w:w="1530" w:type="dxa"/>
            <w:tcBorders>
              <w:top w:val="single" w:sz="4" w:space="0" w:color="auto"/>
              <w:left w:val="single" w:sz="4" w:space="0" w:color="auto"/>
              <w:bottom w:val="single" w:sz="4" w:space="0" w:color="auto"/>
              <w:right w:val="single" w:sz="4" w:space="0" w:color="auto"/>
            </w:tcBorders>
          </w:tcPr>
          <w:p w14:paraId="54F3CA44" w14:textId="05B84196" w:rsidR="00000BB9" w:rsidRDefault="009906DB" w:rsidP="00000BB9">
            <w:pPr>
              <w:spacing w:after="0" w:line="240" w:lineRule="auto"/>
              <w:jc w:val="center"/>
              <w:rPr>
                <w:rFonts w:ascii="Times New Roman" w:hAnsi="Times New Roman"/>
                <w:sz w:val="24"/>
                <w:szCs w:val="24"/>
              </w:rPr>
            </w:pPr>
            <w:r>
              <w:rPr>
                <w:rFonts w:ascii="Times New Roman" w:hAnsi="Times New Roman"/>
                <w:sz w:val="24"/>
                <w:szCs w:val="24"/>
              </w:rPr>
              <w:t>37,600</w:t>
            </w:r>
          </w:p>
          <w:p w14:paraId="5E30D9DC" w14:textId="5248EB8C" w:rsidR="00F0103A" w:rsidRPr="00E24684" w:rsidRDefault="00F0103A" w:rsidP="00000BB9">
            <w:pPr>
              <w:spacing w:after="0" w:line="240" w:lineRule="auto"/>
              <w:jc w:val="center"/>
              <w:rPr>
                <w:rFonts w:ascii="Times New Roman" w:hAnsi="Times New Roman"/>
                <w:sz w:val="24"/>
                <w:szCs w:val="24"/>
              </w:rPr>
            </w:pPr>
          </w:p>
        </w:tc>
      </w:tr>
      <w:tr w:rsidR="00000BB9" w:rsidRPr="00E24684" w14:paraId="1E395F60" w14:textId="77777777" w:rsidTr="00000BB9">
        <w:tc>
          <w:tcPr>
            <w:tcW w:w="2070" w:type="dxa"/>
            <w:tcBorders>
              <w:top w:val="single" w:sz="4" w:space="0" w:color="auto"/>
              <w:left w:val="single" w:sz="4" w:space="0" w:color="auto"/>
              <w:bottom w:val="single" w:sz="4" w:space="0" w:color="auto"/>
              <w:right w:val="single" w:sz="4" w:space="0" w:color="auto"/>
            </w:tcBorders>
            <w:hideMark/>
          </w:tcPr>
          <w:p w14:paraId="336CF820" w14:textId="77777777" w:rsidR="00000BB9" w:rsidRPr="00E24684" w:rsidRDefault="00000BB9" w:rsidP="00000BB9">
            <w:pPr>
              <w:spacing w:after="0" w:line="240" w:lineRule="auto"/>
              <w:jc w:val="center"/>
              <w:rPr>
                <w:rFonts w:ascii="Times New Roman" w:hAnsi="Times New Roman"/>
                <w:sz w:val="24"/>
                <w:szCs w:val="24"/>
              </w:rPr>
            </w:pPr>
            <w:r w:rsidRPr="00E24684">
              <w:rPr>
                <w:rFonts w:ascii="Times New Roman" w:hAnsi="Times New Roman"/>
                <w:sz w:val="24"/>
                <w:szCs w:val="24"/>
              </w:rPr>
              <w:t>Dispensers</w:t>
            </w:r>
          </w:p>
        </w:tc>
        <w:tc>
          <w:tcPr>
            <w:tcW w:w="1548" w:type="dxa"/>
            <w:tcBorders>
              <w:top w:val="single" w:sz="4" w:space="0" w:color="auto"/>
              <w:left w:val="single" w:sz="4" w:space="0" w:color="auto"/>
              <w:bottom w:val="single" w:sz="4" w:space="0" w:color="auto"/>
              <w:right w:val="single" w:sz="4" w:space="0" w:color="auto"/>
            </w:tcBorders>
          </w:tcPr>
          <w:p w14:paraId="7677B0A6" w14:textId="77777777" w:rsidR="00000BB9" w:rsidRPr="00E24684" w:rsidRDefault="00000BB9" w:rsidP="00000BB9">
            <w:pPr>
              <w:spacing w:after="0" w:line="240" w:lineRule="auto"/>
              <w:jc w:val="center"/>
              <w:rPr>
                <w:rFonts w:ascii="Times New Roman" w:hAnsi="Times New Roman"/>
                <w:sz w:val="24"/>
                <w:szCs w:val="24"/>
              </w:rPr>
            </w:pPr>
            <w:r>
              <w:rPr>
                <w:rFonts w:ascii="Times New Roman" w:hAnsi="Times New Roman"/>
                <w:sz w:val="24"/>
                <w:szCs w:val="24"/>
              </w:rPr>
              <w:t>40</w:t>
            </w:r>
          </w:p>
        </w:tc>
        <w:tc>
          <w:tcPr>
            <w:tcW w:w="1440" w:type="dxa"/>
            <w:tcBorders>
              <w:top w:val="single" w:sz="4" w:space="0" w:color="auto"/>
              <w:left w:val="single" w:sz="4" w:space="0" w:color="auto"/>
              <w:bottom w:val="single" w:sz="4" w:space="0" w:color="auto"/>
              <w:right w:val="single" w:sz="4" w:space="0" w:color="auto"/>
            </w:tcBorders>
          </w:tcPr>
          <w:p w14:paraId="68C0C604" w14:textId="77777777" w:rsidR="00000BB9" w:rsidRPr="00E24684" w:rsidRDefault="00000BB9" w:rsidP="00000BB9">
            <w:pPr>
              <w:spacing w:after="0" w:line="240" w:lineRule="auto"/>
              <w:jc w:val="center"/>
              <w:rPr>
                <w:rFonts w:ascii="Times New Roman" w:hAnsi="Times New Roman"/>
                <w:sz w:val="24"/>
                <w:szCs w:val="24"/>
              </w:rPr>
            </w:pPr>
            <w:r w:rsidRPr="00E24684">
              <w:rPr>
                <w:rFonts w:ascii="Times New Roman" w:hAnsi="Times New Roman"/>
                <w:sz w:val="24"/>
                <w:szCs w:val="24"/>
              </w:rPr>
              <w:t>2</w:t>
            </w:r>
          </w:p>
        </w:tc>
        <w:tc>
          <w:tcPr>
            <w:tcW w:w="1530" w:type="dxa"/>
            <w:tcBorders>
              <w:top w:val="single" w:sz="4" w:space="0" w:color="auto"/>
              <w:left w:val="single" w:sz="4" w:space="0" w:color="auto"/>
              <w:bottom w:val="single" w:sz="4" w:space="0" w:color="auto"/>
              <w:right w:val="single" w:sz="4" w:space="0" w:color="auto"/>
            </w:tcBorders>
          </w:tcPr>
          <w:p w14:paraId="46796F14" w14:textId="77777777" w:rsidR="00000BB9" w:rsidRPr="00E24684" w:rsidRDefault="00000BB9" w:rsidP="00000BB9">
            <w:pPr>
              <w:spacing w:after="0" w:line="240" w:lineRule="auto"/>
              <w:jc w:val="center"/>
              <w:rPr>
                <w:rFonts w:ascii="Times New Roman" w:hAnsi="Times New Roman"/>
                <w:sz w:val="24"/>
                <w:szCs w:val="24"/>
              </w:rPr>
            </w:pPr>
            <w:r>
              <w:rPr>
                <w:rFonts w:ascii="Times New Roman" w:hAnsi="Times New Roman"/>
                <w:sz w:val="24"/>
                <w:szCs w:val="24"/>
              </w:rPr>
              <w:t>80</w:t>
            </w:r>
          </w:p>
        </w:tc>
        <w:tc>
          <w:tcPr>
            <w:tcW w:w="1530" w:type="dxa"/>
            <w:tcBorders>
              <w:top w:val="single" w:sz="4" w:space="0" w:color="auto"/>
              <w:left w:val="single" w:sz="4" w:space="0" w:color="auto"/>
              <w:bottom w:val="single" w:sz="4" w:space="0" w:color="auto"/>
              <w:right w:val="single" w:sz="4" w:space="0" w:color="auto"/>
            </w:tcBorders>
          </w:tcPr>
          <w:p w14:paraId="3AF62C11" w14:textId="110551AF" w:rsidR="00815B03" w:rsidRDefault="00815B03" w:rsidP="00000BB9">
            <w:pPr>
              <w:spacing w:after="0" w:line="240" w:lineRule="auto"/>
              <w:jc w:val="center"/>
              <w:rPr>
                <w:rFonts w:ascii="Times New Roman" w:hAnsi="Times New Roman"/>
                <w:sz w:val="24"/>
                <w:szCs w:val="24"/>
              </w:rPr>
            </w:pPr>
            <w:r>
              <w:rPr>
                <w:rFonts w:ascii="Times New Roman" w:hAnsi="Times New Roman"/>
                <w:sz w:val="24"/>
                <w:szCs w:val="24"/>
              </w:rPr>
              <w:t>0.20</w:t>
            </w:r>
          </w:p>
          <w:p w14:paraId="3BA7341F" w14:textId="797149D9" w:rsidR="00000BB9" w:rsidRPr="00E24684" w:rsidRDefault="00815B03" w:rsidP="00000BB9">
            <w:pPr>
              <w:spacing w:after="0" w:line="240" w:lineRule="auto"/>
              <w:jc w:val="center"/>
              <w:rPr>
                <w:rFonts w:ascii="Times New Roman" w:hAnsi="Times New Roman"/>
                <w:sz w:val="24"/>
                <w:szCs w:val="24"/>
              </w:rPr>
            </w:pPr>
            <w:r>
              <w:rPr>
                <w:rFonts w:ascii="Times New Roman" w:hAnsi="Times New Roman"/>
                <w:sz w:val="24"/>
                <w:szCs w:val="24"/>
              </w:rPr>
              <w:t>(</w:t>
            </w:r>
            <w:r w:rsidR="00000BB9">
              <w:rPr>
                <w:rFonts w:ascii="Times New Roman" w:hAnsi="Times New Roman"/>
                <w:sz w:val="24"/>
                <w:szCs w:val="24"/>
              </w:rPr>
              <w:t>12 minutes</w:t>
            </w:r>
            <w:r>
              <w:rPr>
                <w:rFonts w:ascii="Times New Roman" w:hAnsi="Times New Roman"/>
                <w:sz w:val="24"/>
                <w:szCs w:val="24"/>
              </w:rPr>
              <w:t>)</w:t>
            </w:r>
          </w:p>
        </w:tc>
        <w:tc>
          <w:tcPr>
            <w:tcW w:w="1530" w:type="dxa"/>
            <w:tcBorders>
              <w:top w:val="single" w:sz="4" w:space="0" w:color="auto"/>
              <w:left w:val="single" w:sz="4" w:space="0" w:color="auto"/>
              <w:bottom w:val="single" w:sz="4" w:space="0" w:color="auto"/>
              <w:right w:val="single" w:sz="4" w:space="0" w:color="auto"/>
            </w:tcBorders>
          </w:tcPr>
          <w:p w14:paraId="18876BA5" w14:textId="77777777" w:rsidR="00000BB9" w:rsidRPr="00E24684" w:rsidRDefault="00000BB9" w:rsidP="00000BB9">
            <w:pPr>
              <w:spacing w:after="0" w:line="240" w:lineRule="auto"/>
              <w:jc w:val="center"/>
              <w:rPr>
                <w:rFonts w:ascii="Times New Roman" w:hAnsi="Times New Roman"/>
                <w:sz w:val="24"/>
                <w:szCs w:val="24"/>
              </w:rPr>
            </w:pPr>
            <w:r>
              <w:rPr>
                <w:rFonts w:ascii="Times New Roman" w:hAnsi="Times New Roman"/>
                <w:sz w:val="24"/>
                <w:szCs w:val="24"/>
              </w:rPr>
              <w:t>16</w:t>
            </w:r>
          </w:p>
        </w:tc>
      </w:tr>
      <w:tr w:rsidR="00000BB9" w:rsidRPr="00E24684" w14:paraId="739B94FD" w14:textId="77777777" w:rsidTr="00000BB9">
        <w:tc>
          <w:tcPr>
            <w:tcW w:w="8118" w:type="dxa"/>
            <w:gridSpan w:val="5"/>
            <w:tcBorders>
              <w:top w:val="single" w:sz="4" w:space="0" w:color="auto"/>
              <w:left w:val="single" w:sz="4" w:space="0" w:color="auto"/>
              <w:bottom w:val="single" w:sz="4" w:space="0" w:color="auto"/>
              <w:right w:val="single" w:sz="4" w:space="0" w:color="auto"/>
            </w:tcBorders>
          </w:tcPr>
          <w:p w14:paraId="1A0CB5D3" w14:textId="77777777" w:rsidR="00000BB9" w:rsidRPr="00E24684" w:rsidRDefault="00000BB9" w:rsidP="00000BB9">
            <w:pPr>
              <w:spacing w:after="0" w:line="240" w:lineRule="auto"/>
              <w:rPr>
                <w:rFonts w:ascii="Times New Roman" w:hAnsi="Times New Roman"/>
                <w:sz w:val="24"/>
                <w:szCs w:val="24"/>
              </w:rPr>
            </w:pPr>
            <w:r>
              <w:rPr>
                <w:rFonts w:ascii="Times New Roman" w:hAnsi="Times New Roman"/>
                <w:sz w:val="24"/>
                <w:szCs w:val="24"/>
              </w:rPr>
              <w:lastRenderedPageBreak/>
              <w:t>Total</w:t>
            </w:r>
          </w:p>
        </w:tc>
        <w:tc>
          <w:tcPr>
            <w:tcW w:w="1530" w:type="dxa"/>
            <w:tcBorders>
              <w:top w:val="single" w:sz="4" w:space="0" w:color="auto"/>
              <w:left w:val="single" w:sz="4" w:space="0" w:color="auto"/>
              <w:bottom w:val="single" w:sz="4" w:space="0" w:color="auto"/>
              <w:right w:val="single" w:sz="4" w:space="0" w:color="auto"/>
            </w:tcBorders>
          </w:tcPr>
          <w:p w14:paraId="74A83238" w14:textId="08B8CFD8" w:rsidR="00000BB9" w:rsidRPr="00E24684" w:rsidRDefault="009906DB" w:rsidP="00000BB9">
            <w:pPr>
              <w:spacing w:after="0" w:line="240" w:lineRule="auto"/>
              <w:jc w:val="center"/>
              <w:rPr>
                <w:rFonts w:ascii="Times New Roman" w:hAnsi="Times New Roman"/>
                <w:sz w:val="24"/>
                <w:szCs w:val="24"/>
              </w:rPr>
            </w:pPr>
            <w:r>
              <w:rPr>
                <w:rFonts w:ascii="Times New Roman" w:hAnsi="Times New Roman"/>
                <w:sz w:val="24"/>
                <w:szCs w:val="24"/>
              </w:rPr>
              <w:t>42,416</w:t>
            </w:r>
          </w:p>
        </w:tc>
      </w:tr>
    </w:tbl>
    <w:p w14:paraId="15534757" w14:textId="77777777" w:rsidR="00000BB9" w:rsidRDefault="00000BB9" w:rsidP="00000BB9">
      <w:pPr>
        <w:pStyle w:val="NormalWeb"/>
        <w:spacing w:before="0" w:beforeAutospacing="0" w:after="0" w:afterAutospacing="0"/>
        <w:contextualSpacing/>
        <w:jc w:val="center"/>
        <w:rPr>
          <w:bCs/>
        </w:rPr>
      </w:pPr>
    </w:p>
    <w:p w14:paraId="36E49F89" w14:textId="77777777" w:rsidR="00000BB9" w:rsidRPr="00E24684" w:rsidRDefault="00000BB9" w:rsidP="00000BB9">
      <w:pPr>
        <w:pStyle w:val="NormalWeb"/>
        <w:spacing w:before="0" w:beforeAutospacing="0" w:after="0" w:afterAutospacing="0"/>
        <w:contextualSpacing/>
        <w:jc w:val="center"/>
        <w:rPr>
          <w:bCs/>
        </w:rPr>
      </w:pPr>
      <w:r>
        <w:rPr>
          <w:bCs/>
        </w:rPr>
        <w:t>Table 3</w:t>
      </w:r>
      <w:r w:rsidRPr="00E24684">
        <w:rPr>
          <w:bCs/>
        </w:rPr>
        <w:t>-- Estimated Annual Reporting Burden</w:t>
      </w:r>
    </w:p>
    <w:tbl>
      <w:tblPr>
        <w:tblW w:w="9645" w:type="dxa"/>
        <w:tblLayout w:type="fixed"/>
        <w:tblLook w:val="01E0" w:firstRow="1" w:lastRow="1" w:firstColumn="1" w:lastColumn="1" w:noHBand="0" w:noVBand="0"/>
      </w:tblPr>
      <w:tblGrid>
        <w:gridCol w:w="2141"/>
        <w:gridCol w:w="1500"/>
        <w:gridCol w:w="1501"/>
        <w:gridCol w:w="1501"/>
        <w:gridCol w:w="1501"/>
        <w:gridCol w:w="1501"/>
      </w:tblGrid>
      <w:tr w:rsidR="00000BB9" w:rsidRPr="00E24684" w14:paraId="624B82A3" w14:textId="77777777" w:rsidTr="00000BB9">
        <w:tc>
          <w:tcPr>
            <w:tcW w:w="2141" w:type="dxa"/>
            <w:tcBorders>
              <w:top w:val="single" w:sz="4" w:space="0" w:color="auto"/>
              <w:left w:val="single" w:sz="4" w:space="0" w:color="auto"/>
              <w:bottom w:val="single" w:sz="4" w:space="0" w:color="auto"/>
              <w:right w:val="single" w:sz="4" w:space="0" w:color="auto"/>
            </w:tcBorders>
            <w:hideMark/>
          </w:tcPr>
          <w:p w14:paraId="7BC916D2" w14:textId="77777777" w:rsidR="00000BB9" w:rsidRPr="00E24684" w:rsidRDefault="00000BB9" w:rsidP="00000BB9">
            <w:pPr>
              <w:widowControl w:val="0"/>
              <w:snapToGrid w:val="0"/>
              <w:spacing w:after="0" w:line="240" w:lineRule="auto"/>
              <w:jc w:val="center"/>
              <w:rPr>
                <w:rFonts w:ascii="Times New Roman" w:hAnsi="Times New Roman"/>
                <w:sz w:val="24"/>
                <w:szCs w:val="24"/>
              </w:rPr>
            </w:pPr>
          </w:p>
          <w:p w14:paraId="6C7D5E23" w14:textId="77777777" w:rsidR="00000BB9" w:rsidRPr="00E24684" w:rsidRDefault="00000BB9" w:rsidP="00000BB9">
            <w:pPr>
              <w:spacing w:after="0" w:line="240" w:lineRule="auto"/>
              <w:jc w:val="center"/>
              <w:rPr>
                <w:rFonts w:ascii="Times New Roman" w:hAnsi="Times New Roman"/>
                <w:i/>
                <w:sz w:val="24"/>
                <w:szCs w:val="24"/>
              </w:rPr>
            </w:pPr>
            <w:r w:rsidRPr="00E24684">
              <w:rPr>
                <w:rFonts w:ascii="Times New Roman" w:hAnsi="Times New Roman"/>
                <w:i/>
                <w:sz w:val="24"/>
                <w:szCs w:val="24"/>
              </w:rPr>
              <w:t>Consultation with FDA and termination of notification</w:t>
            </w:r>
          </w:p>
        </w:tc>
        <w:tc>
          <w:tcPr>
            <w:tcW w:w="1500" w:type="dxa"/>
            <w:tcBorders>
              <w:top w:val="single" w:sz="4" w:space="0" w:color="auto"/>
              <w:left w:val="single" w:sz="4" w:space="0" w:color="auto"/>
              <w:bottom w:val="single" w:sz="4" w:space="0" w:color="auto"/>
              <w:right w:val="single" w:sz="4" w:space="0" w:color="auto"/>
            </w:tcBorders>
            <w:hideMark/>
          </w:tcPr>
          <w:p w14:paraId="20915B7A" w14:textId="77777777" w:rsidR="00000BB9" w:rsidRPr="00E24684" w:rsidRDefault="00000BB9" w:rsidP="00000BB9">
            <w:pPr>
              <w:spacing w:after="0" w:line="240" w:lineRule="auto"/>
              <w:jc w:val="center"/>
              <w:rPr>
                <w:rFonts w:ascii="Times New Roman" w:hAnsi="Times New Roman"/>
                <w:sz w:val="24"/>
                <w:szCs w:val="24"/>
              </w:rPr>
            </w:pPr>
            <w:r w:rsidRPr="00E24684">
              <w:rPr>
                <w:rFonts w:ascii="Times New Roman" w:hAnsi="Times New Roman"/>
                <w:sz w:val="24"/>
                <w:szCs w:val="24"/>
              </w:rPr>
              <w:t>No. of Respondents</w:t>
            </w:r>
          </w:p>
        </w:tc>
        <w:tc>
          <w:tcPr>
            <w:tcW w:w="1501" w:type="dxa"/>
            <w:tcBorders>
              <w:top w:val="single" w:sz="4" w:space="0" w:color="auto"/>
              <w:left w:val="single" w:sz="4" w:space="0" w:color="auto"/>
              <w:bottom w:val="single" w:sz="4" w:space="0" w:color="auto"/>
              <w:right w:val="single" w:sz="4" w:space="0" w:color="auto"/>
            </w:tcBorders>
            <w:hideMark/>
          </w:tcPr>
          <w:p w14:paraId="036F2D6B" w14:textId="77777777" w:rsidR="00000BB9" w:rsidRPr="00E24684" w:rsidRDefault="00000BB9" w:rsidP="00000BB9">
            <w:pPr>
              <w:spacing w:after="0" w:line="240" w:lineRule="auto"/>
              <w:jc w:val="center"/>
              <w:rPr>
                <w:rFonts w:ascii="Times New Roman" w:hAnsi="Times New Roman"/>
                <w:sz w:val="24"/>
                <w:szCs w:val="24"/>
              </w:rPr>
            </w:pPr>
            <w:r w:rsidRPr="00E24684">
              <w:rPr>
                <w:rFonts w:ascii="Times New Roman" w:hAnsi="Times New Roman"/>
                <w:sz w:val="24"/>
                <w:szCs w:val="24"/>
              </w:rPr>
              <w:t>No of Responses</w:t>
            </w:r>
          </w:p>
          <w:p w14:paraId="5B2E0A08" w14:textId="77777777" w:rsidR="00000BB9" w:rsidRPr="00E24684" w:rsidRDefault="00000BB9" w:rsidP="00000BB9">
            <w:pPr>
              <w:spacing w:after="0" w:line="240" w:lineRule="auto"/>
              <w:jc w:val="center"/>
              <w:rPr>
                <w:rFonts w:ascii="Times New Roman" w:hAnsi="Times New Roman"/>
                <w:sz w:val="24"/>
                <w:szCs w:val="24"/>
              </w:rPr>
            </w:pPr>
            <w:r w:rsidRPr="00E24684">
              <w:rPr>
                <w:rFonts w:ascii="Times New Roman" w:hAnsi="Times New Roman"/>
                <w:sz w:val="24"/>
                <w:szCs w:val="24"/>
              </w:rPr>
              <w:t>per Respondent</w:t>
            </w:r>
          </w:p>
        </w:tc>
        <w:tc>
          <w:tcPr>
            <w:tcW w:w="1501" w:type="dxa"/>
            <w:tcBorders>
              <w:top w:val="single" w:sz="4" w:space="0" w:color="auto"/>
              <w:left w:val="single" w:sz="4" w:space="0" w:color="auto"/>
              <w:bottom w:val="single" w:sz="4" w:space="0" w:color="auto"/>
              <w:right w:val="single" w:sz="4" w:space="0" w:color="auto"/>
            </w:tcBorders>
            <w:hideMark/>
          </w:tcPr>
          <w:p w14:paraId="1043BC89" w14:textId="77777777" w:rsidR="00000BB9" w:rsidRPr="00E24684" w:rsidRDefault="00000BB9" w:rsidP="00000BB9">
            <w:pPr>
              <w:spacing w:after="0" w:line="240" w:lineRule="auto"/>
              <w:jc w:val="center"/>
              <w:rPr>
                <w:rFonts w:ascii="Times New Roman" w:hAnsi="Times New Roman"/>
                <w:sz w:val="24"/>
                <w:szCs w:val="24"/>
              </w:rPr>
            </w:pPr>
            <w:r w:rsidRPr="00E24684">
              <w:rPr>
                <w:rFonts w:ascii="Times New Roman" w:hAnsi="Times New Roman"/>
                <w:sz w:val="24"/>
                <w:szCs w:val="24"/>
              </w:rPr>
              <w:t>Total Annual Responses</w:t>
            </w:r>
          </w:p>
        </w:tc>
        <w:tc>
          <w:tcPr>
            <w:tcW w:w="1501" w:type="dxa"/>
            <w:tcBorders>
              <w:top w:val="single" w:sz="4" w:space="0" w:color="auto"/>
              <w:left w:val="single" w:sz="4" w:space="0" w:color="auto"/>
              <w:bottom w:val="single" w:sz="4" w:space="0" w:color="auto"/>
              <w:right w:val="single" w:sz="4" w:space="0" w:color="auto"/>
            </w:tcBorders>
            <w:hideMark/>
          </w:tcPr>
          <w:p w14:paraId="11A48F44" w14:textId="77777777" w:rsidR="00000BB9" w:rsidRPr="00E24684" w:rsidRDefault="00000BB9" w:rsidP="00000BB9">
            <w:pPr>
              <w:spacing w:after="0" w:line="240" w:lineRule="auto"/>
              <w:jc w:val="center"/>
              <w:rPr>
                <w:rFonts w:ascii="Times New Roman" w:hAnsi="Times New Roman"/>
                <w:sz w:val="24"/>
                <w:szCs w:val="24"/>
              </w:rPr>
            </w:pPr>
            <w:r w:rsidRPr="00E24684">
              <w:rPr>
                <w:rFonts w:ascii="Times New Roman" w:hAnsi="Times New Roman"/>
                <w:sz w:val="24"/>
                <w:szCs w:val="24"/>
              </w:rPr>
              <w:t>Average Burden per Response</w:t>
            </w:r>
          </w:p>
        </w:tc>
        <w:tc>
          <w:tcPr>
            <w:tcW w:w="1501" w:type="dxa"/>
            <w:tcBorders>
              <w:top w:val="single" w:sz="4" w:space="0" w:color="auto"/>
              <w:left w:val="single" w:sz="4" w:space="0" w:color="auto"/>
              <w:bottom w:val="single" w:sz="4" w:space="0" w:color="auto"/>
              <w:right w:val="single" w:sz="4" w:space="0" w:color="auto"/>
            </w:tcBorders>
            <w:hideMark/>
          </w:tcPr>
          <w:p w14:paraId="7118DFB8" w14:textId="77777777" w:rsidR="00000BB9" w:rsidRPr="00E24684" w:rsidRDefault="00000BB9" w:rsidP="00000BB9">
            <w:pPr>
              <w:spacing w:after="0" w:line="240" w:lineRule="auto"/>
              <w:jc w:val="center"/>
              <w:rPr>
                <w:rFonts w:ascii="Times New Roman" w:hAnsi="Times New Roman"/>
                <w:sz w:val="24"/>
                <w:szCs w:val="24"/>
              </w:rPr>
            </w:pPr>
            <w:r w:rsidRPr="00E24684">
              <w:rPr>
                <w:rFonts w:ascii="Times New Roman" w:hAnsi="Times New Roman"/>
                <w:sz w:val="24"/>
                <w:szCs w:val="24"/>
              </w:rPr>
              <w:t>Total Hours</w:t>
            </w:r>
          </w:p>
        </w:tc>
      </w:tr>
      <w:tr w:rsidR="00000BB9" w:rsidRPr="00E24684" w14:paraId="41E18D82" w14:textId="77777777" w:rsidTr="00000BB9">
        <w:tc>
          <w:tcPr>
            <w:tcW w:w="2141" w:type="dxa"/>
            <w:tcBorders>
              <w:top w:val="single" w:sz="4" w:space="0" w:color="auto"/>
              <w:left w:val="single" w:sz="4" w:space="0" w:color="auto"/>
              <w:bottom w:val="single" w:sz="4" w:space="0" w:color="auto"/>
              <w:right w:val="single" w:sz="4" w:space="0" w:color="auto"/>
            </w:tcBorders>
          </w:tcPr>
          <w:p w14:paraId="05DF9D88" w14:textId="77777777" w:rsidR="00000BB9" w:rsidRPr="00E24684" w:rsidRDefault="00000BB9" w:rsidP="00000BB9">
            <w:pPr>
              <w:spacing w:after="0" w:line="240" w:lineRule="auto"/>
              <w:jc w:val="center"/>
              <w:rPr>
                <w:rFonts w:ascii="Times New Roman" w:hAnsi="Times New Roman"/>
                <w:sz w:val="24"/>
                <w:szCs w:val="24"/>
              </w:rPr>
            </w:pPr>
            <w:r w:rsidRPr="00E24684">
              <w:rPr>
                <w:rFonts w:ascii="Times New Roman" w:hAnsi="Times New Roman"/>
                <w:sz w:val="24"/>
                <w:szCs w:val="24"/>
              </w:rPr>
              <w:t>Manufacturers and Repackagers</w:t>
            </w:r>
          </w:p>
        </w:tc>
        <w:tc>
          <w:tcPr>
            <w:tcW w:w="1500" w:type="dxa"/>
            <w:tcBorders>
              <w:top w:val="single" w:sz="4" w:space="0" w:color="auto"/>
              <w:left w:val="single" w:sz="4" w:space="0" w:color="auto"/>
              <w:bottom w:val="single" w:sz="4" w:space="0" w:color="auto"/>
              <w:right w:val="single" w:sz="4" w:space="0" w:color="auto"/>
            </w:tcBorders>
          </w:tcPr>
          <w:p w14:paraId="6EAB169D" w14:textId="77777777" w:rsidR="00000BB9" w:rsidRPr="00E24684" w:rsidRDefault="00000BB9" w:rsidP="00000BB9">
            <w:pPr>
              <w:spacing w:after="0" w:line="240" w:lineRule="auto"/>
              <w:jc w:val="center"/>
              <w:rPr>
                <w:rFonts w:ascii="Times New Roman" w:hAnsi="Times New Roman"/>
                <w:sz w:val="24"/>
                <w:szCs w:val="24"/>
              </w:rPr>
            </w:pPr>
            <w:r>
              <w:rPr>
                <w:rFonts w:ascii="Times New Roman" w:hAnsi="Times New Roman"/>
                <w:sz w:val="24"/>
                <w:szCs w:val="24"/>
              </w:rPr>
              <w:t>800</w:t>
            </w:r>
          </w:p>
        </w:tc>
        <w:tc>
          <w:tcPr>
            <w:tcW w:w="1501" w:type="dxa"/>
            <w:tcBorders>
              <w:top w:val="single" w:sz="4" w:space="0" w:color="auto"/>
              <w:left w:val="single" w:sz="4" w:space="0" w:color="auto"/>
              <w:bottom w:val="single" w:sz="4" w:space="0" w:color="auto"/>
              <w:right w:val="single" w:sz="4" w:space="0" w:color="auto"/>
            </w:tcBorders>
          </w:tcPr>
          <w:p w14:paraId="348F6552" w14:textId="77777777" w:rsidR="00000BB9" w:rsidRPr="00E24684" w:rsidRDefault="00000BB9" w:rsidP="00000BB9">
            <w:pPr>
              <w:spacing w:after="0" w:line="240" w:lineRule="auto"/>
              <w:jc w:val="center"/>
              <w:rPr>
                <w:rFonts w:ascii="Times New Roman" w:hAnsi="Times New Roman"/>
                <w:sz w:val="24"/>
                <w:szCs w:val="24"/>
              </w:rPr>
            </w:pPr>
            <w:r w:rsidRPr="00E24684">
              <w:rPr>
                <w:rFonts w:ascii="Times New Roman" w:hAnsi="Times New Roman"/>
                <w:sz w:val="24"/>
                <w:szCs w:val="24"/>
              </w:rPr>
              <w:t>1</w:t>
            </w:r>
          </w:p>
        </w:tc>
        <w:tc>
          <w:tcPr>
            <w:tcW w:w="1501" w:type="dxa"/>
            <w:tcBorders>
              <w:top w:val="single" w:sz="4" w:space="0" w:color="auto"/>
              <w:left w:val="single" w:sz="4" w:space="0" w:color="auto"/>
              <w:bottom w:val="single" w:sz="4" w:space="0" w:color="auto"/>
              <w:right w:val="single" w:sz="4" w:space="0" w:color="auto"/>
            </w:tcBorders>
          </w:tcPr>
          <w:p w14:paraId="7C2EBDFF" w14:textId="77777777" w:rsidR="00000BB9" w:rsidRPr="00E24684" w:rsidRDefault="00000BB9" w:rsidP="00000BB9">
            <w:pPr>
              <w:spacing w:after="0" w:line="240" w:lineRule="auto"/>
              <w:jc w:val="center"/>
              <w:rPr>
                <w:rFonts w:ascii="Times New Roman" w:hAnsi="Times New Roman"/>
                <w:sz w:val="24"/>
                <w:szCs w:val="24"/>
              </w:rPr>
            </w:pPr>
            <w:r>
              <w:rPr>
                <w:rFonts w:ascii="Times New Roman" w:hAnsi="Times New Roman"/>
                <w:sz w:val="24"/>
                <w:szCs w:val="24"/>
              </w:rPr>
              <w:t>800</w:t>
            </w:r>
          </w:p>
        </w:tc>
        <w:tc>
          <w:tcPr>
            <w:tcW w:w="1501" w:type="dxa"/>
            <w:tcBorders>
              <w:top w:val="single" w:sz="4" w:space="0" w:color="auto"/>
              <w:left w:val="single" w:sz="4" w:space="0" w:color="auto"/>
              <w:bottom w:val="single" w:sz="4" w:space="0" w:color="auto"/>
              <w:right w:val="single" w:sz="4" w:space="0" w:color="auto"/>
            </w:tcBorders>
          </w:tcPr>
          <w:p w14:paraId="283BDD38" w14:textId="0578C3AB" w:rsidR="00000BB9" w:rsidRPr="00E24684" w:rsidRDefault="00000BB9" w:rsidP="00815B03">
            <w:pPr>
              <w:spacing w:after="0" w:line="240" w:lineRule="auto"/>
              <w:jc w:val="center"/>
              <w:rPr>
                <w:rFonts w:ascii="Times New Roman" w:hAnsi="Times New Roman"/>
                <w:sz w:val="24"/>
                <w:szCs w:val="24"/>
              </w:rPr>
            </w:pPr>
            <w:r>
              <w:rPr>
                <w:rFonts w:ascii="Times New Roman" w:hAnsi="Times New Roman"/>
                <w:sz w:val="24"/>
                <w:szCs w:val="24"/>
              </w:rPr>
              <w:t>1</w:t>
            </w:r>
            <w:r w:rsidRPr="00E24684">
              <w:rPr>
                <w:rFonts w:ascii="Times New Roman" w:hAnsi="Times New Roman"/>
                <w:sz w:val="24"/>
                <w:szCs w:val="24"/>
              </w:rPr>
              <w:t xml:space="preserve"> </w:t>
            </w:r>
          </w:p>
        </w:tc>
        <w:tc>
          <w:tcPr>
            <w:tcW w:w="1501" w:type="dxa"/>
            <w:tcBorders>
              <w:top w:val="single" w:sz="4" w:space="0" w:color="auto"/>
              <w:left w:val="single" w:sz="4" w:space="0" w:color="auto"/>
              <w:bottom w:val="single" w:sz="4" w:space="0" w:color="auto"/>
              <w:right w:val="single" w:sz="4" w:space="0" w:color="auto"/>
            </w:tcBorders>
          </w:tcPr>
          <w:p w14:paraId="1BA2714E" w14:textId="77777777" w:rsidR="00000BB9" w:rsidRPr="00E24684" w:rsidRDefault="00000BB9" w:rsidP="00000BB9">
            <w:pPr>
              <w:spacing w:after="0" w:line="240" w:lineRule="auto"/>
              <w:jc w:val="center"/>
              <w:rPr>
                <w:rFonts w:ascii="Times New Roman" w:hAnsi="Times New Roman"/>
                <w:sz w:val="24"/>
                <w:szCs w:val="24"/>
              </w:rPr>
            </w:pPr>
            <w:r>
              <w:rPr>
                <w:rFonts w:ascii="Times New Roman" w:hAnsi="Times New Roman"/>
                <w:sz w:val="24"/>
                <w:szCs w:val="24"/>
              </w:rPr>
              <w:t>800</w:t>
            </w:r>
          </w:p>
        </w:tc>
      </w:tr>
      <w:tr w:rsidR="00000BB9" w:rsidRPr="00E24684" w14:paraId="57B25404" w14:textId="77777777" w:rsidTr="00000BB9">
        <w:tc>
          <w:tcPr>
            <w:tcW w:w="2141" w:type="dxa"/>
            <w:tcBorders>
              <w:top w:val="single" w:sz="4" w:space="0" w:color="auto"/>
              <w:left w:val="single" w:sz="4" w:space="0" w:color="auto"/>
              <w:bottom w:val="single" w:sz="4" w:space="0" w:color="auto"/>
              <w:right w:val="single" w:sz="4" w:space="0" w:color="auto"/>
            </w:tcBorders>
          </w:tcPr>
          <w:p w14:paraId="04FE9BB5" w14:textId="77777777" w:rsidR="00000BB9" w:rsidRPr="00E24684" w:rsidRDefault="00000BB9" w:rsidP="00000BB9">
            <w:pPr>
              <w:spacing w:after="0" w:line="240" w:lineRule="auto"/>
              <w:jc w:val="center"/>
              <w:rPr>
                <w:rFonts w:ascii="Times New Roman" w:hAnsi="Times New Roman"/>
                <w:sz w:val="24"/>
                <w:szCs w:val="24"/>
              </w:rPr>
            </w:pPr>
            <w:r w:rsidRPr="00E24684">
              <w:rPr>
                <w:rFonts w:ascii="Times New Roman" w:hAnsi="Times New Roman"/>
                <w:sz w:val="24"/>
                <w:szCs w:val="24"/>
              </w:rPr>
              <w:t>Wholesale Distributors</w:t>
            </w:r>
          </w:p>
        </w:tc>
        <w:tc>
          <w:tcPr>
            <w:tcW w:w="1500" w:type="dxa"/>
            <w:tcBorders>
              <w:top w:val="single" w:sz="4" w:space="0" w:color="auto"/>
              <w:left w:val="single" w:sz="4" w:space="0" w:color="auto"/>
              <w:bottom w:val="single" w:sz="4" w:space="0" w:color="auto"/>
              <w:right w:val="single" w:sz="4" w:space="0" w:color="auto"/>
            </w:tcBorders>
          </w:tcPr>
          <w:p w14:paraId="36A81C50" w14:textId="77777777" w:rsidR="00000BB9" w:rsidRPr="00E24684" w:rsidRDefault="00000BB9" w:rsidP="00000BB9">
            <w:pPr>
              <w:spacing w:after="0" w:line="240" w:lineRule="auto"/>
              <w:jc w:val="center"/>
              <w:rPr>
                <w:rFonts w:ascii="Times New Roman" w:hAnsi="Times New Roman"/>
                <w:sz w:val="24"/>
                <w:szCs w:val="24"/>
              </w:rPr>
            </w:pPr>
            <w:r>
              <w:rPr>
                <w:rFonts w:ascii="Times New Roman" w:hAnsi="Times New Roman"/>
                <w:sz w:val="24"/>
                <w:szCs w:val="24"/>
              </w:rPr>
              <w:t>160</w:t>
            </w:r>
          </w:p>
        </w:tc>
        <w:tc>
          <w:tcPr>
            <w:tcW w:w="1501" w:type="dxa"/>
            <w:tcBorders>
              <w:top w:val="single" w:sz="4" w:space="0" w:color="auto"/>
              <w:left w:val="single" w:sz="4" w:space="0" w:color="auto"/>
              <w:bottom w:val="single" w:sz="4" w:space="0" w:color="auto"/>
              <w:right w:val="single" w:sz="4" w:space="0" w:color="auto"/>
            </w:tcBorders>
          </w:tcPr>
          <w:p w14:paraId="6A52ED52" w14:textId="77777777" w:rsidR="00000BB9" w:rsidRPr="00E24684" w:rsidRDefault="00000BB9" w:rsidP="00000BB9">
            <w:pPr>
              <w:spacing w:after="0" w:line="240" w:lineRule="auto"/>
              <w:jc w:val="center"/>
              <w:rPr>
                <w:rFonts w:ascii="Times New Roman" w:hAnsi="Times New Roman"/>
                <w:sz w:val="24"/>
                <w:szCs w:val="24"/>
              </w:rPr>
            </w:pPr>
            <w:r w:rsidRPr="00E24684">
              <w:rPr>
                <w:rFonts w:ascii="Times New Roman" w:hAnsi="Times New Roman"/>
                <w:sz w:val="24"/>
                <w:szCs w:val="24"/>
              </w:rPr>
              <w:t>1</w:t>
            </w:r>
          </w:p>
        </w:tc>
        <w:tc>
          <w:tcPr>
            <w:tcW w:w="1501" w:type="dxa"/>
            <w:tcBorders>
              <w:top w:val="single" w:sz="4" w:space="0" w:color="auto"/>
              <w:left w:val="single" w:sz="4" w:space="0" w:color="auto"/>
              <w:bottom w:val="single" w:sz="4" w:space="0" w:color="auto"/>
              <w:right w:val="single" w:sz="4" w:space="0" w:color="auto"/>
            </w:tcBorders>
          </w:tcPr>
          <w:p w14:paraId="0A674ED7" w14:textId="77777777" w:rsidR="00000BB9" w:rsidRPr="00E24684" w:rsidRDefault="00000BB9" w:rsidP="00000BB9">
            <w:pPr>
              <w:spacing w:after="0" w:line="240" w:lineRule="auto"/>
              <w:jc w:val="center"/>
              <w:rPr>
                <w:rFonts w:ascii="Times New Roman" w:hAnsi="Times New Roman"/>
                <w:sz w:val="24"/>
                <w:szCs w:val="24"/>
              </w:rPr>
            </w:pPr>
            <w:r>
              <w:rPr>
                <w:rFonts w:ascii="Times New Roman" w:hAnsi="Times New Roman"/>
                <w:sz w:val="24"/>
                <w:szCs w:val="24"/>
              </w:rPr>
              <w:t>160</w:t>
            </w:r>
          </w:p>
        </w:tc>
        <w:tc>
          <w:tcPr>
            <w:tcW w:w="1501" w:type="dxa"/>
            <w:tcBorders>
              <w:top w:val="single" w:sz="4" w:space="0" w:color="auto"/>
              <w:left w:val="single" w:sz="4" w:space="0" w:color="auto"/>
              <w:bottom w:val="single" w:sz="4" w:space="0" w:color="auto"/>
              <w:right w:val="single" w:sz="4" w:space="0" w:color="auto"/>
            </w:tcBorders>
          </w:tcPr>
          <w:p w14:paraId="38483EBC" w14:textId="04F725F5" w:rsidR="00000BB9" w:rsidRPr="00E24684" w:rsidRDefault="00000BB9" w:rsidP="00815B03">
            <w:pPr>
              <w:spacing w:after="0" w:line="240" w:lineRule="auto"/>
              <w:jc w:val="center"/>
              <w:rPr>
                <w:rFonts w:ascii="Times New Roman" w:hAnsi="Times New Roman"/>
                <w:sz w:val="24"/>
                <w:szCs w:val="24"/>
              </w:rPr>
            </w:pPr>
            <w:r>
              <w:rPr>
                <w:rFonts w:ascii="Times New Roman" w:hAnsi="Times New Roman"/>
                <w:sz w:val="24"/>
                <w:szCs w:val="24"/>
              </w:rPr>
              <w:t>1</w:t>
            </w:r>
            <w:r w:rsidRPr="00E24684">
              <w:rPr>
                <w:rFonts w:ascii="Times New Roman" w:hAnsi="Times New Roman"/>
                <w:sz w:val="24"/>
                <w:szCs w:val="24"/>
              </w:rPr>
              <w:t xml:space="preserve"> </w:t>
            </w:r>
          </w:p>
        </w:tc>
        <w:tc>
          <w:tcPr>
            <w:tcW w:w="1501" w:type="dxa"/>
            <w:tcBorders>
              <w:top w:val="single" w:sz="4" w:space="0" w:color="auto"/>
              <w:left w:val="single" w:sz="4" w:space="0" w:color="auto"/>
              <w:bottom w:val="single" w:sz="4" w:space="0" w:color="auto"/>
              <w:right w:val="single" w:sz="4" w:space="0" w:color="auto"/>
            </w:tcBorders>
          </w:tcPr>
          <w:p w14:paraId="469B87B7" w14:textId="77777777" w:rsidR="00000BB9" w:rsidRPr="00E24684" w:rsidRDefault="00000BB9" w:rsidP="00000BB9">
            <w:pPr>
              <w:spacing w:after="0" w:line="240" w:lineRule="auto"/>
              <w:jc w:val="center"/>
              <w:rPr>
                <w:rFonts w:ascii="Times New Roman" w:hAnsi="Times New Roman"/>
                <w:sz w:val="24"/>
                <w:szCs w:val="24"/>
              </w:rPr>
            </w:pPr>
            <w:r>
              <w:rPr>
                <w:rFonts w:ascii="Times New Roman" w:hAnsi="Times New Roman"/>
                <w:sz w:val="24"/>
                <w:szCs w:val="24"/>
              </w:rPr>
              <w:t>160</w:t>
            </w:r>
          </w:p>
        </w:tc>
      </w:tr>
      <w:tr w:rsidR="00000BB9" w:rsidRPr="00E24684" w14:paraId="727E4FBB" w14:textId="77777777" w:rsidTr="00000BB9">
        <w:tc>
          <w:tcPr>
            <w:tcW w:w="2141" w:type="dxa"/>
            <w:tcBorders>
              <w:top w:val="single" w:sz="4" w:space="0" w:color="auto"/>
              <w:left w:val="single" w:sz="4" w:space="0" w:color="auto"/>
              <w:bottom w:val="single" w:sz="4" w:space="0" w:color="auto"/>
              <w:right w:val="single" w:sz="4" w:space="0" w:color="auto"/>
            </w:tcBorders>
          </w:tcPr>
          <w:p w14:paraId="6F4E03CD" w14:textId="77777777" w:rsidR="00000BB9" w:rsidRPr="00E24684" w:rsidRDefault="00000BB9" w:rsidP="00000BB9">
            <w:pPr>
              <w:spacing w:after="0" w:line="240" w:lineRule="auto"/>
              <w:jc w:val="center"/>
              <w:rPr>
                <w:rFonts w:ascii="Times New Roman" w:hAnsi="Times New Roman"/>
                <w:sz w:val="24"/>
                <w:szCs w:val="24"/>
              </w:rPr>
            </w:pPr>
            <w:r w:rsidRPr="00E24684">
              <w:rPr>
                <w:rFonts w:ascii="Times New Roman" w:hAnsi="Times New Roman"/>
                <w:sz w:val="24"/>
                <w:szCs w:val="24"/>
              </w:rPr>
              <w:t>Dispensers</w:t>
            </w:r>
          </w:p>
        </w:tc>
        <w:tc>
          <w:tcPr>
            <w:tcW w:w="1500" w:type="dxa"/>
            <w:tcBorders>
              <w:top w:val="single" w:sz="4" w:space="0" w:color="auto"/>
              <w:left w:val="single" w:sz="4" w:space="0" w:color="auto"/>
              <w:bottom w:val="single" w:sz="4" w:space="0" w:color="auto"/>
              <w:right w:val="single" w:sz="4" w:space="0" w:color="auto"/>
            </w:tcBorders>
          </w:tcPr>
          <w:p w14:paraId="1EF4D453" w14:textId="77777777" w:rsidR="00000BB9" w:rsidRPr="00E24684" w:rsidRDefault="00000BB9" w:rsidP="00000BB9">
            <w:pPr>
              <w:spacing w:after="0" w:line="240" w:lineRule="auto"/>
              <w:jc w:val="center"/>
              <w:rPr>
                <w:rFonts w:ascii="Times New Roman" w:hAnsi="Times New Roman"/>
                <w:sz w:val="24"/>
                <w:szCs w:val="24"/>
              </w:rPr>
            </w:pPr>
            <w:r>
              <w:rPr>
                <w:rFonts w:ascii="Times New Roman" w:hAnsi="Times New Roman"/>
                <w:sz w:val="24"/>
                <w:szCs w:val="24"/>
              </w:rPr>
              <w:t>40</w:t>
            </w:r>
          </w:p>
        </w:tc>
        <w:tc>
          <w:tcPr>
            <w:tcW w:w="1501" w:type="dxa"/>
            <w:tcBorders>
              <w:top w:val="single" w:sz="4" w:space="0" w:color="auto"/>
              <w:left w:val="single" w:sz="4" w:space="0" w:color="auto"/>
              <w:bottom w:val="single" w:sz="4" w:space="0" w:color="auto"/>
              <w:right w:val="single" w:sz="4" w:space="0" w:color="auto"/>
            </w:tcBorders>
          </w:tcPr>
          <w:p w14:paraId="31822994" w14:textId="77777777" w:rsidR="00000BB9" w:rsidRPr="00E24684" w:rsidRDefault="00000BB9" w:rsidP="00000BB9">
            <w:pPr>
              <w:spacing w:after="0" w:line="240" w:lineRule="auto"/>
              <w:jc w:val="center"/>
              <w:rPr>
                <w:rFonts w:ascii="Times New Roman" w:hAnsi="Times New Roman"/>
                <w:sz w:val="24"/>
                <w:szCs w:val="24"/>
              </w:rPr>
            </w:pPr>
            <w:r w:rsidRPr="00E24684">
              <w:rPr>
                <w:rFonts w:ascii="Times New Roman" w:hAnsi="Times New Roman"/>
                <w:sz w:val="24"/>
                <w:szCs w:val="24"/>
              </w:rPr>
              <w:t>1</w:t>
            </w:r>
          </w:p>
        </w:tc>
        <w:tc>
          <w:tcPr>
            <w:tcW w:w="1501" w:type="dxa"/>
            <w:tcBorders>
              <w:top w:val="single" w:sz="4" w:space="0" w:color="auto"/>
              <w:left w:val="single" w:sz="4" w:space="0" w:color="auto"/>
              <w:bottom w:val="single" w:sz="4" w:space="0" w:color="auto"/>
              <w:right w:val="single" w:sz="4" w:space="0" w:color="auto"/>
            </w:tcBorders>
          </w:tcPr>
          <w:p w14:paraId="6981D9CC" w14:textId="77777777" w:rsidR="00000BB9" w:rsidRPr="00E24684" w:rsidRDefault="00000BB9" w:rsidP="00000BB9">
            <w:pPr>
              <w:spacing w:after="0" w:line="240" w:lineRule="auto"/>
              <w:jc w:val="center"/>
              <w:rPr>
                <w:rFonts w:ascii="Times New Roman" w:hAnsi="Times New Roman"/>
                <w:sz w:val="24"/>
                <w:szCs w:val="24"/>
              </w:rPr>
            </w:pPr>
            <w:r>
              <w:rPr>
                <w:rFonts w:ascii="Times New Roman" w:hAnsi="Times New Roman"/>
                <w:sz w:val="24"/>
                <w:szCs w:val="24"/>
              </w:rPr>
              <w:t>40</w:t>
            </w:r>
          </w:p>
        </w:tc>
        <w:tc>
          <w:tcPr>
            <w:tcW w:w="1501" w:type="dxa"/>
            <w:tcBorders>
              <w:top w:val="single" w:sz="4" w:space="0" w:color="auto"/>
              <w:left w:val="single" w:sz="4" w:space="0" w:color="auto"/>
              <w:bottom w:val="single" w:sz="4" w:space="0" w:color="auto"/>
              <w:right w:val="single" w:sz="4" w:space="0" w:color="auto"/>
            </w:tcBorders>
          </w:tcPr>
          <w:p w14:paraId="358D4871" w14:textId="1877C946" w:rsidR="00000BB9" w:rsidRPr="00E24684" w:rsidRDefault="00000BB9" w:rsidP="00815B03">
            <w:pPr>
              <w:spacing w:after="0" w:line="240" w:lineRule="auto"/>
              <w:jc w:val="center"/>
              <w:rPr>
                <w:rFonts w:ascii="Times New Roman" w:hAnsi="Times New Roman"/>
                <w:sz w:val="24"/>
                <w:szCs w:val="24"/>
              </w:rPr>
            </w:pPr>
            <w:r>
              <w:rPr>
                <w:rFonts w:ascii="Times New Roman" w:hAnsi="Times New Roman"/>
                <w:sz w:val="24"/>
                <w:szCs w:val="24"/>
              </w:rPr>
              <w:t>1</w:t>
            </w:r>
            <w:r w:rsidRPr="00E24684">
              <w:rPr>
                <w:rFonts w:ascii="Times New Roman" w:hAnsi="Times New Roman"/>
                <w:sz w:val="24"/>
                <w:szCs w:val="24"/>
              </w:rPr>
              <w:t xml:space="preserve"> </w:t>
            </w:r>
          </w:p>
        </w:tc>
        <w:tc>
          <w:tcPr>
            <w:tcW w:w="1501" w:type="dxa"/>
            <w:tcBorders>
              <w:top w:val="single" w:sz="4" w:space="0" w:color="auto"/>
              <w:left w:val="single" w:sz="4" w:space="0" w:color="auto"/>
              <w:bottom w:val="single" w:sz="4" w:space="0" w:color="auto"/>
              <w:right w:val="single" w:sz="4" w:space="0" w:color="auto"/>
            </w:tcBorders>
          </w:tcPr>
          <w:p w14:paraId="0820EF05" w14:textId="77777777" w:rsidR="00000BB9" w:rsidRPr="00E24684" w:rsidRDefault="00000BB9" w:rsidP="00000BB9">
            <w:pPr>
              <w:spacing w:after="0" w:line="240" w:lineRule="auto"/>
              <w:jc w:val="center"/>
              <w:rPr>
                <w:rFonts w:ascii="Times New Roman" w:hAnsi="Times New Roman"/>
                <w:sz w:val="24"/>
                <w:szCs w:val="24"/>
              </w:rPr>
            </w:pPr>
            <w:r>
              <w:rPr>
                <w:rFonts w:ascii="Times New Roman" w:hAnsi="Times New Roman"/>
                <w:sz w:val="24"/>
                <w:szCs w:val="24"/>
              </w:rPr>
              <w:t>40</w:t>
            </w:r>
          </w:p>
        </w:tc>
      </w:tr>
      <w:tr w:rsidR="00000BB9" w:rsidRPr="00E24684" w14:paraId="4CEFACB0" w14:textId="77777777" w:rsidTr="00000BB9">
        <w:tc>
          <w:tcPr>
            <w:tcW w:w="8144" w:type="dxa"/>
            <w:gridSpan w:val="5"/>
            <w:tcBorders>
              <w:top w:val="single" w:sz="4" w:space="0" w:color="auto"/>
              <w:left w:val="single" w:sz="4" w:space="0" w:color="auto"/>
              <w:bottom w:val="single" w:sz="4" w:space="0" w:color="auto"/>
              <w:right w:val="single" w:sz="4" w:space="0" w:color="auto"/>
            </w:tcBorders>
            <w:hideMark/>
          </w:tcPr>
          <w:p w14:paraId="72C5AC9F" w14:textId="77777777" w:rsidR="00000BB9" w:rsidRPr="00E24684" w:rsidRDefault="00000BB9" w:rsidP="00000BB9">
            <w:pPr>
              <w:spacing w:after="0" w:line="240" w:lineRule="auto"/>
              <w:rPr>
                <w:rFonts w:ascii="Times New Roman" w:hAnsi="Times New Roman"/>
                <w:sz w:val="24"/>
                <w:szCs w:val="24"/>
              </w:rPr>
            </w:pPr>
            <w:r w:rsidRPr="00E24684">
              <w:rPr>
                <w:rFonts w:ascii="Times New Roman" w:hAnsi="Times New Roman"/>
                <w:sz w:val="24"/>
                <w:szCs w:val="24"/>
              </w:rPr>
              <w:t>Total</w:t>
            </w:r>
          </w:p>
        </w:tc>
        <w:tc>
          <w:tcPr>
            <w:tcW w:w="1501" w:type="dxa"/>
            <w:tcBorders>
              <w:top w:val="single" w:sz="4" w:space="0" w:color="auto"/>
              <w:left w:val="single" w:sz="4" w:space="0" w:color="auto"/>
              <w:bottom w:val="single" w:sz="4" w:space="0" w:color="auto"/>
              <w:right w:val="single" w:sz="4" w:space="0" w:color="auto"/>
            </w:tcBorders>
            <w:hideMark/>
          </w:tcPr>
          <w:p w14:paraId="247C3AFC" w14:textId="77777777" w:rsidR="00000BB9" w:rsidRPr="00E24684" w:rsidRDefault="00000BB9" w:rsidP="00000BB9">
            <w:pPr>
              <w:spacing w:after="0" w:line="240" w:lineRule="auto"/>
              <w:jc w:val="center"/>
              <w:rPr>
                <w:rFonts w:ascii="Times New Roman" w:hAnsi="Times New Roman"/>
                <w:sz w:val="24"/>
                <w:szCs w:val="24"/>
              </w:rPr>
            </w:pPr>
            <w:r>
              <w:rPr>
                <w:rFonts w:ascii="Times New Roman" w:hAnsi="Times New Roman"/>
                <w:sz w:val="24"/>
                <w:szCs w:val="24"/>
              </w:rPr>
              <w:t>1,000</w:t>
            </w:r>
          </w:p>
        </w:tc>
      </w:tr>
    </w:tbl>
    <w:p w14:paraId="7E8D9EB9" w14:textId="77777777" w:rsidR="00000BB9" w:rsidRDefault="00000BB9" w:rsidP="00CE0F17">
      <w:pPr>
        <w:spacing w:after="0" w:line="480" w:lineRule="auto"/>
        <w:ind w:firstLine="720"/>
        <w:outlineLvl w:val="2"/>
        <w:rPr>
          <w:rFonts w:ascii="Times New Roman" w:eastAsia="Times New Roman" w:hAnsi="Times New Roman"/>
          <w:sz w:val="24"/>
          <w:szCs w:val="24"/>
        </w:rPr>
      </w:pPr>
    </w:p>
    <w:p w14:paraId="37461163" w14:textId="77777777" w:rsidR="00891A5B" w:rsidRDefault="00891A5B" w:rsidP="00891A5B">
      <w:pPr>
        <w:pStyle w:val="NormalWeb"/>
        <w:spacing w:before="0" w:beforeAutospacing="0" w:after="0" w:afterAutospacing="0"/>
        <w:contextualSpacing/>
        <w:jc w:val="center"/>
        <w:rPr>
          <w:sz w:val="20"/>
          <w:szCs w:val="20"/>
        </w:rPr>
      </w:pPr>
    </w:p>
    <w:p w14:paraId="1615D6D0" w14:textId="77777777" w:rsidR="00891A5B" w:rsidRDefault="00891A5B" w:rsidP="00891A5B">
      <w:pPr>
        <w:pStyle w:val="NormalWeb"/>
        <w:spacing w:before="0" w:beforeAutospacing="0" w:after="0" w:afterAutospacing="0"/>
        <w:contextualSpacing/>
        <w:jc w:val="center"/>
        <w:rPr>
          <w:bCs/>
        </w:rPr>
      </w:pPr>
    </w:p>
    <w:p w14:paraId="5EDEA6DA" w14:textId="77777777" w:rsidR="00891A5B" w:rsidRPr="00465A52" w:rsidRDefault="00891A5B" w:rsidP="00891A5B">
      <w:pPr>
        <w:pStyle w:val="NormalWeb"/>
        <w:spacing w:before="0" w:beforeAutospacing="0" w:after="0" w:afterAutospacing="0"/>
        <w:contextualSpacing/>
        <w:jc w:val="center"/>
        <w:rPr>
          <w:bCs/>
          <w:vertAlign w:val="superscript"/>
        </w:rPr>
      </w:pPr>
      <w:r>
        <w:t>Table 4</w:t>
      </w:r>
      <w:r w:rsidRPr="00E24684">
        <w:t xml:space="preserve"> -- Estimated Annual Third-Party Disclosure Burden</w:t>
      </w:r>
      <w:r>
        <w:rPr>
          <w:vertAlign w:val="superscript"/>
        </w:rPr>
        <w:t>1</w:t>
      </w:r>
    </w:p>
    <w:tbl>
      <w:tblPr>
        <w:tblW w:w="9648" w:type="dxa"/>
        <w:tblLayout w:type="fixed"/>
        <w:tblLook w:val="01E0" w:firstRow="1" w:lastRow="1" w:firstColumn="1" w:lastColumn="1" w:noHBand="0" w:noVBand="0"/>
      </w:tblPr>
      <w:tblGrid>
        <w:gridCol w:w="2070"/>
        <w:gridCol w:w="1548"/>
        <w:gridCol w:w="1440"/>
        <w:gridCol w:w="1530"/>
        <w:gridCol w:w="1530"/>
        <w:gridCol w:w="1530"/>
      </w:tblGrid>
      <w:tr w:rsidR="00891A5B" w:rsidRPr="00E24684" w14:paraId="5FFAF26E" w14:textId="77777777" w:rsidTr="00812A29">
        <w:tc>
          <w:tcPr>
            <w:tcW w:w="2070" w:type="dxa"/>
            <w:tcBorders>
              <w:top w:val="single" w:sz="4" w:space="0" w:color="auto"/>
              <w:left w:val="single" w:sz="4" w:space="0" w:color="auto"/>
              <w:bottom w:val="single" w:sz="4" w:space="0" w:color="auto"/>
              <w:right w:val="single" w:sz="4" w:space="0" w:color="auto"/>
            </w:tcBorders>
            <w:hideMark/>
          </w:tcPr>
          <w:p w14:paraId="1EB3E95E" w14:textId="77777777" w:rsidR="00891A5B" w:rsidRPr="00E24684" w:rsidRDefault="00891A5B" w:rsidP="00812A29">
            <w:pPr>
              <w:widowControl w:val="0"/>
              <w:snapToGrid w:val="0"/>
              <w:spacing w:after="0" w:line="240" w:lineRule="auto"/>
              <w:jc w:val="center"/>
              <w:rPr>
                <w:rFonts w:ascii="Times New Roman" w:hAnsi="Times New Roman"/>
                <w:i/>
                <w:sz w:val="24"/>
                <w:szCs w:val="24"/>
              </w:rPr>
            </w:pPr>
            <w:r w:rsidRPr="00E24684">
              <w:rPr>
                <w:rFonts w:ascii="Times New Roman" w:hAnsi="Times New Roman"/>
                <w:i/>
                <w:sz w:val="24"/>
                <w:szCs w:val="24"/>
              </w:rPr>
              <w:t xml:space="preserve">Notifications to Trading Partners of </w:t>
            </w:r>
            <w:r>
              <w:rPr>
                <w:rFonts w:ascii="Times New Roman" w:hAnsi="Times New Roman"/>
                <w:i/>
                <w:sz w:val="24"/>
                <w:szCs w:val="24"/>
              </w:rPr>
              <w:t>Termination</w:t>
            </w:r>
          </w:p>
        </w:tc>
        <w:tc>
          <w:tcPr>
            <w:tcW w:w="1548" w:type="dxa"/>
            <w:tcBorders>
              <w:top w:val="single" w:sz="4" w:space="0" w:color="auto"/>
              <w:left w:val="single" w:sz="4" w:space="0" w:color="auto"/>
              <w:bottom w:val="single" w:sz="4" w:space="0" w:color="auto"/>
              <w:right w:val="single" w:sz="4" w:space="0" w:color="auto"/>
            </w:tcBorders>
            <w:hideMark/>
          </w:tcPr>
          <w:p w14:paraId="770C6B66" w14:textId="77777777" w:rsidR="00891A5B" w:rsidRPr="00E24684" w:rsidRDefault="00891A5B" w:rsidP="00812A29">
            <w:pPr>
              <w:spacing w:after="0" w:line="240" w:lineRule="auto"/>
              <w:jc w:val="center"/>
              <w:rPr>
                <w:rFonts w:ascii="Times New Roman" w:hAnsi="Times New Roman"/>
                <w:sz w:val="24"/>
                <w:szCs w:val="24"/>
              </w:rPr>
            </w:pPr>
            <w:r w:rsidRPr="00E24684">
              <w:rPr>
                <w:rFonts w:ascii="Times New Roman" w:hAnsi="Times New Roman"/>
                <w:sz w:val="24"/>
                <w:szCs w:val="24"/>
              </w:rPr>
              <w:t>No. of Respondents</w:t>
            </w:r>
          </w:p>
        </w:tc>
        <w:tc>
          <w:tcPr>
            <w:tcW w:w="1440" w:type="dxa"/>
            <w:tcBorders>
              <w:top w:val="single" w:sz="4" w:space="0" w:color="auto"/>
              <w:left w:val="single" w:sz="4" w:space="0" w:color="auto"/>
              <w:bottom w:val="single" w:sz="4" w:space="0" w:color="auto"/>
              <w:right w:val="single" w:sz="4" w:space="0" w:color="auto"/>
            </w:tcBorders>
            <w:hideMark/>
          </w:tcPr>
          <w:p w14:paraId="3281275C" w14:textId="77777777" w:rsidR="00891A5B" w:rsidRPr="00E24684" w:rsidRDefault="00891A5B" w:rsidP="00812A29">
            <w:pPr>
              <w:spacing w:after="0" w:line="240" w:lineRule="auto"/>
              <w:jc w:val="center"/>
              <w:rPr>
                <w:rFonts w:ascii="Times New Roman" w:hAnsi="Times New Roman"/>
                <w:sz w:val="24"/>
                <w:szCs w:val="24"/>
              </w:rPr>
            </w:pPr>
            <w:r>
              <w:rPr>
                <w:rFonts w:ascii="Times New Roman" w:hAnsi="Times New Roman"/>
                <w:sz w:val="24"/>
                <w:szCs w:val="24"/>
              </w:rPr>
              <w:t xml:space="preserve">No. of </w:t>
            </w:r>
            <w:r w:rsidRPr="00E24684">
              <w:rPr>
                <w:rFonts w:ascii="Times New Roman" w:hAnsi="Times New Roman"/>
                <w:sz w:val="24"/>
                <w:szCs w:val="24"/>
              </w:rPr>
              <w:t xml:space="preserve"> Disclosure</w:t>
            </w:r>
            <w:r>
              <w:rPr>
                <w:rFonts w:ascii="Times New Roman" w:hAnsi="Times New Roman"/>
                <w:sz w:val="24"/>
                <w:szCs w:val="24"/>
              </w:rPr>
              <w:t>s per Respondent</w:t>
            </w:r>
          </w:p>
        </w:tc>
        <w:tc>
          <w:tcPr>
            <w:tcW w:w="1530" w:type="dxa"/>
            <w:tcBorders>
              <w:top w:val="single" w:sz="4" w:space="0" w:color="auto"/>
              <w:left w:val="single" w:sz="4" w:space="0" w:color="auto"/>
              <w:bottom w:val="single" w:sz="4" w:space="0" w:color="auto"/>
              <w:right w:val="single" w:sz="4" w:space="0" w:color="auto"/>
            </w:tcBorders>
            <w:hideMark/>
          </w:tcPr>
          <w:p w14:paraId="1FCFBF47" w14:textId="77777777" w:rsidR="00891A5B" w:rsidRPr="00E24684" w:rsidRDefault="00891A5B" w:rsidP="00812A29">
            <w:pPr>
              <w:spacing w:after="0" w:line="240" w:lineRule="auto"/>
              <w:jc w:val="center"/>
              <w:rPr>
                <w:rFonts w:ascii="Times New Roman" w:hAnsi="Times New Roman"/>
                <w:sz w:val="24"/>
                <w:szCs w:val="24"/>
              </w:rPr>
            </w:pPr>
            <w:r w:rsidRPr="00E24684">
              <w:rPr>
                <w:rFonts w:ascii="Times New Roman" w:hAnsi="Times New Roman"/>
                <w:sz w:val="24"/>
                <w:szCs w:val="24"/>
              </w:rPr>
              <w:t xml:space="preserve">Total </w:t>
            </w:r>
            <w:r>
              <w:rPr>
                <w:rFonts w:ascii="Times New Roman" w:hAnsi="Times New Roman"/>
                <w:sz w:val="24"/>
                <w:szCs w:val="24"/>
              </w:rPr>
              <w:t xml:space="preserve">Annual </w:t>
            </w:r>
            <w:r w:rsidRPr="00E24684">
              <w:rPr>
                <w:rFonts w:ascii="Times New Roman" w:hAnsi="Times New Roman"/>
                <w:sz w:val="24"/>
                <w:szCs w:val="24"/>
              </w:rPr>
              <w:t>Disclosures</w:t>
            </w:r>
          </w:p>
        </w:tc>
        <w:tc>
          <w:tcPr>
            <w:tcW w:w="1530" w:type="dxa"/>
            <w:tcBorders>
              <w:top w:val="single" w:sz="4" w:space="0" w:color="auto"/>
              <w:left w:val="single" w:sz="4" w:space="0" w:color="auto"/>
              <w:bottom w:val="single" w:sz="4" w:space="0" w:color="auto"/>
              <w:right w:val="single" w:sz="4" w:space="0" w:color="auto"/>
            </w:tcBorders>
            <w:hideMark/>
          </w:tcPr>
          <w:p w14:paraId="7FE9CBE0" w14:textId="77777777" w:rsidR="00891A5B" w:rsidRPr="00E24684" w:rsidRDefault="00891A5B" w:rsidP="00812A29">
            <w:pPr>
              <w:spacing w:after="0" w:line="240" w:lineRule="auto"/>
              <w:jc w:val="center"/>
              <w:rPr>
                <w:rFonts w:ascii="Times New Roman" w:hAnsi="Times New Roman"/>
                <w:sz w:val="24"/>
                <w:szCs w:val="24"/>
              </w:rPr>
            </w:pPr>
            <w:r>
              <w:rPr>
                <w:rFonts w:ascii="Times New Roman" w:hAnsi="Times New Roman"/>
                <w:sz w:val="24"/>
                <w:szCs w:val="24"/>
              </w:rPr>
              <w:t xml:space="preserve">Average Burden per </w:t>
            </w:r>
            <w:r w:rsidRPr="00E24684">
              <w:rPr>
                <w:rFonts w:ascii="Times New Roman" w:hAnsi="Times New Roman"/>
                <w:sz w:val="24"/>
                <w:szCs w:val="24"/>
              </w:rPr>
              <w:t xml:space="preserve"> Disclosure</w:t>
            </w:r>
          </w:p>
        </w:tc>
        <w:tc>
          <w:tcPr>
            <w:tcW w:w="1530" w:type="dxa"/>
            <w:tcBorders>
              <w:top w:val="single" w:sz="4" w:space="0" w:color="auto"/>
              <w:left w:val="single" w:sz="4" w:space="0" w:color="auto"/>
              <w:bottom w:val="single" w:sz="4" w:space="0" w:color="auto"/>
              <w:right w:val="single" w:sz="4" w:space="0" w:color="auto"/>
            </w:tcBorders>
            <w:hideMark/>
          </w:tcPr>
          <w:p w14:paraId="473F3C59" w14:textId="77777777" w:rsidR="00891A5B" w:rsidRPr="00E24684" w:rsidRDefault="00891A5B" w:rsidP="00812A29">
            <w:pPr>
              <w:spacing w:after="0" w:line="240" w:lineRule="auto"/>
              <w:jc w:val="center"/>
              <w:rPr>
                <w:rFonts w:ascii="Times New Roman" w:hAnsi="Times New Roman"/>
                <w:sz w:val="24"/>
                <w:szCs w:val="24"/>
              </w:rPr>
            </w:pPr>
            <w:r w:rsidRPr="00E24684">
              <w:rPr>
                <w:rFonts w:ascii="Times New Roman" w:hAnsi="Times New Roman"/>
                <w:sz w:val="24"/>
                <w:szCs w:val="24"/>
              </w:rPr>
              <w:t>Total Hours</w:t>
            </w:r>
          </w:p>
        </w:tc>
      </w:tr>
      <w:tr w:rsidR="00891A5B" w:rsidRPr="00E24684" w14:paraId="2FC7CA61" w14:textId="77777777" w:rsidTr="00812A29">
        <w:tc>
          <w:tcPr>
            <w:tcW w:w="2070" w:type="dxa"/>
            <w:tcBorders>
              <w:top w:val="single" w:sz="4" w:space="0" w:color="auto"/>
              <w:left w:val="single" w:sz="4" w:space="0" w:color="auto"/>
              <w:bottom w:val="single" w:sz="4" w:space="0" w:color="auto"/>
              <w:right w:val="single" w:sz="4" w:space="0" w:color="auto"/>
            </w:tcBorders>
          </w:tcPr>
          <w:p w14:paraId="39334678" w14:textId="77777777" w:rsidR="00891A5B" w:rsidRPr="00E24684" w:rsidRDefault="00891A5B" w:rsidP="00812A29">
            <w:pPr>
              <w:spacing w:after="0" w:line="240" w:lineRule="auto"/>
              <w:jc w:val="center"/>
              <w:rPr>
                <w:rFonts w:ascii="Times New Roman" w:hAnsi="Times New Roman"/>
                <w:sz w:val="24"/>
                <w:szCs w:val="24"/>
              </w:rPr>
            </w:pPr>
            <w:r w:rsidRPr="00E24684">
              <w:rPr>
                <w:rFonts w:ascii="Times New Roman" w:hAnsi="Times New Roman"/>
                <w:sz w:val="24"/>
                <w:szCs w:val="24"/>
              </w:rPr>
              <w:t>Manufacturers and Repackagers</w:t>
            </w:r>
          </w:p>
        </w:tc>
        <w:tc>
          <w:tcPr>
            <w:tcW w:w="1548" w:type="dxa"/>
            <w:tcBorders>
              <w:top w:val="single" w:sz="4" w:space="0" w:color="auto"/>
              <w:left w:val="single" w:sz="4" w:space="0" w:color="auto"/>
              <w:bottom w:val="single" w:sz="4" w:space="0" w:color="auto"/>
              <w:right w:val="single" w:sz="4" w:space="0" w:color="auto"/>
            </w:tcBorders>
          </w:tcPr>
          <w:p w14:paraId="7F2341A2" w14:textId="77777777" w:rsidR="00891A5B" w:rsidRPr="00E24684" w:rsidRDefault="00891A5B" w:rsidP="00812A29">
            <w:pPr>
              <w:spacing w:after="0" w:line="240" w:lineRule="auto"/>
              <w:jc w:val="center"/>
              <w:rPr>
                <w:rFonts w:ascii="Times New Roman" w:hAnsi="Times New Roman"/>
                <w:sz w:val="24"/>
                <w:szCs w:val="24"/>
              </w:rPr>
            </w:pPr>
            <w:r>
              <w:rPr>
                <w:rFonts w:ascii="Times New Roman" w:hAnsi="Times New Roman"/>
                <w:sz w:val="24"/>
                <w:szCs w:val="24"/>
              </w:rPr>
              <w:t>800</w:t>
            </w:r>
          </w:p>
        </w:tc>
        <w:tc>
          <w:tcPr>
            <w:tcW w:w="1440" w:type="dxa"/>
            <w:tcBorders>
              <w:top w:val="single" w:sz="4" w:space="0" w:color="auto"/>
              <w:left w:val="single" w:sz="4" w:space="0" w:color="auto"/>
              <w:bottom w:val="single" w:sz="4" w:space="0" w:color="auto"/>
              <w:right w:val="single" w:sz="4" w:space="0" w:color="auto"/>
            </w:tcBorders>
          </w:tcPr>
          <w:p w14:paraId="0699CE1B" w14:textId="77777777" w:rsidR="00891A5B" w:rsidRPr="00E24684" w:rsidRDefault="00891A5B" w:rsidP="00812A29">
            <w:pPr>
              <w:spacing w:after="0" w:line="240" w:lineRule="auto"/>
              <w:jc w:val="center"/>
              <w:rPr>
                <w:rFonts w:ascii="Times New Roman" w:hAnsi="Times New Roman"/>
                <w:sz w:val="24"/>
                <w:szCs w:val="24"/>
              </w:rPr>
            </w:pPr>
            <w:r w:rsidRPr="00E24684">
              <w:rPr>
                <w:rFonts w:ascii="Times New Roman" w:hAnsi="Times New Roman"/>
                <w:sz w:val="24"/>
                <w:szCs w:val="24"/>
              </w:rPr>
              <w:t>30</w:t>
            </w:r>
          </w:p>
        </w:tc>
        <w:tc>
          <w:tcPr>
            <w:tcW w:w="1530" w:type="dxa"/>
            <w:tcBorders>
              <w:top w:val="single" w:sz="4" w:space="0" w:color="auto"/>
              <w:left w:val="single" w:sz="4" w:space="0" w:color="auto"/>
              <w:bottom w:val="single" w:sz="4" w:space="0" w:color="auto"/>
              <w:right w:val="single" w:sz="4" w:space="0" w:color="auto"/>
            </w:tcBorders>
          </w:tcPr>
          <w:p w14:paraId="558484A6" w14:textId="1AC6A747" w:rsidR="00891A5B" w:rsidRPr="00E24684" w:rsidRDefault="00891A5B" w:rsidP="00812A29">
            <w:pPr>
              <w:spacing w:after="0" w:line="240" w:lineRule="auto"/>
              <w:jc w:val="center"/>
              <w:rPr>
                <w:rFonts w:ascii="Times New Roman" w:hAnsi="Times New Roman"/>
                <w:sz w:val="24"/>
                <w:szCs w:val="24"/>
              </w:rPr>
            </w:pPr>
            <w:r>
              <w:rPr>
                <w:rFonts w:ascii="Times New Roman" w:hAnsi="Times New Roman"/>
                <w:sz w:val="24"/>
                <w:szCs w:val="24"/>
              </w:rPr>
              <w:t>2,400</w:t>
            </w:r>
            <w:r w:rsidR="00865E32">
              <w:rPr>
                <w:rFonts w:ascii="Times New Roman" w:hAnsi="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tcPr>
          <w:p w14:paraId="57E1BFE7" w14:textId="77777777" w:rsidR="00891A5B" w:rsidRDefault="00891A5B" w:rsidP="00812A29">
            <w:pPr>
              <w:spacing w:after="0" w:line="240" w:lineRule="auto"/>
              <w:jc w:val="center"/>
              <w:rPr>
                <w:rFonts w:ascii="Times New Roman" w:hAnsi="Times New Roman"/>
                <w:sz w:val="24"/>
                <w:szCs w:val="24"/>
              </w:rPr>
            </w:pPr>
            <w:r>
              <w:rPr>
                <w:rFonts w:ascii="Times New Roman" w:hAnsi="Times New Roman"/>
                <w:sz w:val="24"/>
                <w:szCs w:val="24"/>
              </w:rPr>
              <w:t>0.20</w:t>
            </w:r>
          </w:p>
          <w:p w14:paraId="0A8BD477" w14:textId="77777777" w:rsidR="00891A5B" w:rsidRPr="00E24684" w:rsidRDefault="00891A5B" w:rsidP="00812A29">
            <w:pPr>
              <w:spacing w:after="0" w:line="240" w:lineRule="auto"/>
              <w:jc w:val="center"/>
              <w:rPr>
                <w:rFonts w:ascii="Times New Roman" w:hAnsi="Times New Roman"/>
                <w:sz w:val="24"/>
                <w:szCs w:val="24"/>
              </w:rPr>
            </w:pPr>
            <w:r>
              <w:rPr>
                <w:rFonts w:ascii="Times New Roman" w:hAnsi="Times New Roman"/>
                <w:sz w:val="24"/>
                <w:szCs w:val="24"/>
              </w:rPr>
              <w:t>(12 minutes)</w:t>
            </w:r>
          </w:p>
        </w:tc>
        <w:tc>
          <w:tcPr>
            <w:tcW w:w="1530" w:type="dxa"/>
            <w:tcBorders>
              <w:top w:val="single" w:sz="4" w:space="0" w:color="auto"/>
              <w:left w:val="single" w:sz="4" w:space="0" w:color="auto"/>
              <w:bottom w:val="single" w:sz="4" w:space="0" w:color="auto"/>
              <w:right w:val="single" w:sz="4" w:space="0" w:color="auto"/>
            </w:tcBorders>
          </w:tcPr>
          <w:p w14:paraId="3162A103" w14:textId="77777777" w:rsidR="00891A5B" w:rsidRPr="00E24684" w:rsidRDefault="00891A5B" w:rsidP="00812A29">
            <w:pPr>
              <w:spacing w:after="0" w:line="240" w:lineRule="auto"/>
              <w:jc w:val="center"/>
              <w:rPr>
                <w:rFonts w:ascii="Times New Roman" w:hAnsi="Times New Roman"/>
                <w:sz w:val="24"/>
                <w:szCs w:val="24"/>
              </w:rPr>
            </w:pPr>
            <w:r>
              <w:rPr>
                <w:rFonts w:ascii="Times New Roman" w:hAnsi="Times New Roman"/>
                <w:sz w:val="24"/>
                <w:szCs w:val="24"/>
              </w:rPr>
              <w:t>4800</w:t>
            </w:r>
          </w:p>
        </w:tc>
      </w:tr>
      <w:tr w:rsidR="00891A5B" w:rsidRPr="00E24684" w14:paraId="177208BE" w14:textId="77777777" w:rsidTr="00812A29">
        <w:tc>
          <w:tcPr>
            <w:tcW w:w="2070" w:type="dxa"/>
            <w:tcBorders>
              <w:top w:val="single" w:sz="4" w:space="0" w:color="auto"/>
              <w:left w:val="single" w:sz="4" w:space="0" w:color="auto"/>
              <w:bottom w:val="single" w:sz="4" w:space="0" w:color="auto"/>
              <w:right w:val="single" w:sz="4" w:space="0" w:color="auto"/>
            </w:tcBorders>
          </w:tcPr>
          <w:p w14:paraId="1EABC05C" w14:textId="77777777" w:rsidR="00891A5B" w:rsidRPr="00E24684" w:rsidRDefault="00891A5B" w:rsidP="00812A29">
            <w:pPr>
              <w:widowControl w:val="0"/>
              <w:snapToGrid w:val="0"/>
              <w:spacing w:after="0" w:line="240" w:lineRule="auto"/>
              <w:jc w:val="center"/>
              <w:rPr>
                <w:rFonts w:ascii="Times New Roman" w:hAnsi="Times New Roman"/>
                <w:sz w:val="24"/>
                <w:szCs w:val="24"/>
              </w:rPr>
            </w:pPr>
            <w:r w:rsidRPr="00E24684">
              <w:rPr>
                <w:rFonts w:ascii="Times New Roman" w:hAnsi="Times New Roman"/>
                <w:sz w:val="24"/>
                <w:szCs w:val="24"/>
              </w:rPr>
              <w:t>Wholesale Distributors</w:t>
            </w:r>
          </w:p>
        </w:tc>
        <w:tc>
          <w:tcPr>
            <w:tcW w:w="1548" w:type="dxa"/>
            <w:tcBorders>
              <w:top w:val="single" w:sz="4" w:space="0" w:color="auto"/>
              <w:left w:val="single" w:sz="4" w:space="0" w:color="auto"/>
              <w:bottom w:val="single" w:sz="4" w:space="0" w:color="auto"/>
              <w:right w:val="single" w:sz="4" w:space="0" w:color="auto"/>
            </w:tcBorders>
          </w:tcPr>
          <w:p w14:paraId="3DFF4A16" w14:textId="77777777" w:rsidR="00891A5B" w:rsidRPr="00E24684" w:rsidRDefault="00891A5B" w:rsidP="00812A29">
            <w:pPr>
              <w:spacing w:after="0" w:line="240" w:lineRule="auto"/>
              <w:jc w:val="center"/>
              <w:rPr>
                <w:rFonts w:ascii="Times New Roman" w:hAnsi="Times New Roman"/>
                <w:sz w:val="24"/>
                <w:szCs w:val="24"/>
              </w:rPr>
            </w:pPr>
            <w:r>
              <w:rPr>
                <w:rFonts w:ascii="Times New Roman" w:hAnsi="Times New Roman"/>
                <w:sz w:val="24"/>
                <w:szCs w:val="24"/>
              </w:rPr>
              <w:t>160</w:t>
            </w:r>
          </w:p>
        </w:tc>
        <w:tc>
          <w:tcPr>
            <w:tcW w:w="1440" w:type="dxa"/>
            <w:tcBorders>
              <w:top w:val="single" w:sz="4" w:space="0" w:color="auto"/>
              <w:left w:val="single" w:sz="4" w:space="0" w:color="auto"/>
              <w:bottom w:val="single" w:sz="4" w:space="0" w:color="auto"/>
              <w:right w:val="single" w:sz="4" w:space="0" w:color="auto"/>
            </w:tcBorders>
          </w:tcPr>
          <w:p w14:paraId="05C9FE78" w14:textId="77777777" w:rsidR="00891A5B" w:rsidRPr="00E24684" w:rsidRDefault="00891A5B" w:rsidP="00812A29">
            <w:pPr>
              <w:spacing w:after="0" w:line="240" w:lineRule="auto"/>
              <w:jc w:val="center"/>
              <w:rPr>
                <w:rFonts w:ascii="Times New Roman" w:hAnsi="Times New Roman"/>
                <w:sz w:val="24"/>
                <w:szCs w:val="24"/>
              </w:rPr>
            </w:pPr>
            <w:r>
              <w:rPr>
                <w:rFonts w:ascii="Times New Roman" w:hAnsi="Times New Roman"/>
                <w:sz w:val="24"/>
                <w:szCs w:val="24"/>
              </w:rPr>
              <w:t>1,175</w:t>
            </w:r>
          </w:p>
        </w:tc>
        <w:tc>
          <w:tcPr>
            <w:tcW w:w="1530" w:type="dxa"/>
            <w:tcBorders>
              <w:top w:val="single" w:sz="4" w:space="0" w:color="auto"/>
              <w:left w:val="single" w:sz="4" w:space="0" w:color="auto"/>
              <w:bottom w:val="single" w:sz="4" w:space="0" w:color="auto"/>
              <w:right w:val="single" w:sz="4" w:space="0" w:color="auto"/>
            </w:tcBorders>
          </w:tcPr>
          <w:p w14:paraId="3133F838" w14:textId="77777777" w:rsidR="00891A5B" w:rsidRPr="00E24684" w:rsidRDefault="00891A5B" w:rsidP="00812A29">
            <w:pPr>
              <w:spacing w:after="0" w:line="240" w:lineRule="auto"/>
              <w:jc w:val="center"/>
              <w:rPr>
                <w:rFonts w:ascii="Times New Roman" w:hAnsi="Times New Roman"/>
                <w:sz w:val="24"/>
                <w:szCs w:val="24"/>
              </w:rPr>
            </w:pPr>
            <w:r>
              <w:rPr>
                <w:rFonts w:ascii="Times New Roman" w:hAnsi="Times New Roman"/>
                <w:sz w:val="24"/>
                <w:szCs w:val="24"/>
              </w:rPr>
              <w:t>188,000</w:t>
            </w:r>
          </w:p>
        </w:tc>
        <w:tc>
          <w:tcPr>
            <w:tcW w:w="1530" w:type="dxa"/>
            <w:tcBorders>
              <w:top w:val="single" w:sz="4" w:space="0" w:color="auto"/>
              <w:left w:val="single" w:sz="4" w:space="0" w:color="auto"/>
              <w:bottom w:val="single" w:sz="4" w:space="0" w:color="auto"/>
              <w:right w:val="single" w:sz="4" w:space="0" w:color="auto"/>
            </w:tcBorders>
          </w:tcPr>
          <w:p w14:paraId="31C63FC8" w14:textId="77777777" w:rsidR="00891A5B" w:rsidRDefault="00891A5B" w:rsidP="00812A29">
            <w:pPr>
              <w:spacing w:after="0" w:line="240" w:lineRule="auto"/>
              <w:jc w:val="center"/>
              <w:rPr>
                <w:rFonts w:ascii="Times New Roman" w:hAnsi="Times New Roman"/>
                <w:sz w:val="24"/>
                <w:szCs w:val="24"/>
              </w:rPr>
            </w:pPr>
            <w:r>
              <w:rPr>
                <w:rFonts w:ascii="Times New Roman" w:hAnsi="Times New Roman"/>
                <w:sz w:val="24"/>
                <w:szCs w:val="24"/>
              </w:rPr>
              <w:t>0.20</w:t>
            </w:r>
          </w:p>
          <w:p w14:paraId="1D89A16B" w14:textId="77777777" w:rsidR="00891A5B" w:rsidRPr="00E24684" w:rsidRDefault="00891A5B" w:rsidP="00812A29">
            <w:pPr>
              <w:spacing w:after="0" w:line="240" w:lineRule="auto"/>
              <w:jc w:val="center"/>
              <w:rPr>
                <w:rFonts w:ascii="Times New Roman" w:hAnsi="Times New Roman"/>
                <w:sz w:val="24"/>
                <w:szCs w:val="24"/>
              </w:rPr>
            </w:pPr>
            <w:r>
              <w:rPr>
                <w:rFonts w:ascii="Times New Roman" w:hAnsi="Times New Roman"/>
                <w:sz w:val="24"/>
                <w:szCs w:val="24"/>
              </w:rPr>
              <w:t>(12 minutes)</w:t>
            </w:r>
          </w:p>
        </w:tc>
        <w:tc>
          <w:tcPr>
            <w:tcW w:w="1530" w:type="dxa"/>
            <w:tcBorders>
              <w:top w:val="single" w:sz="4" w:space="0" w:color="auto"/>
              <w:left w:val="single" w:sz="4" w:space="0" w:color="auto"/>
              <w:bottom w:val="single" w:sz="4" w:space="0" w:color="auto"/>
              <w:right w:val="single" w:sz="4" w:space="0" w:color="auto"/>
            </w:tcBorders>
          </w:tcPr>
          <w:p w14:paraId="44023D78" w14:textId="77777777" w:rsidR="00891A5B" w:rsidRDefault="00891A5B" w:rsidP="00812A29">
            <w:pPr>
              <w:spacing w:after="0" w:line="240" w:lineRule="auto"/>
              <w:jc w:val="center"/>
              <w:rPr>
                <w:rFonts w:ascii="Times New Roman" w:hAnsi="Times New Roman"/>
                <w:sz w:val="24"/>
                <w:szCs w:val="24"/>
              </w:rPr>
            </w:pPr>
          </w:p>
          <w:p w14:paraId="24FCF5E5" w14:textId="77777777" w:rsidR="00891A5B" w:rsidRPr="00E24684" w:rsidRDefault="00891A5B" w:rsidP="00812A29">
            <w:pPr>
              <w:spacing w:after="0" w:line="240" w:lineRule="auto"/>
              <w:jc w:val="center"/>
              <w:rPr>
                <w:rFonts w:ascii="Times New Roman" w:hAnsi="Times New Roman"/>
                <w:sz w:val="24"/>
                <w:szCs w:val="24"/>
              </w:rPr>
            </w:pPr>
            <w:r>
              <w:rPr>
                <w:rFonts w:ascii="Times New Roman" w:hAnsi="Times New Roman"/>
                <w:sz w:val="24"/>
                <w:szCs w:val="24"/>
              </w:rPr>
              <w:t>37,600</w:t>
            </w:r>
          </w:p>
        </w:tc>
      </w:tr>
      <w:tr w:rsidR="00891A5B" w:rsidRPr="00E24684" w14:paraId="75DC6AAD" w14:textId="77777777" w:rsidTr="00812A29">
        <w:tc>
          <w:tcPr>
            <w:tcW w:w="2070" w:type="dxa"/>
            <w:tcBorders>
              <w:top w:val="single" w:sz="4" w:space="0" w:color="auto"/>
              <w:left w:val="single" w:sz="4" w:space="0" w:color="auto"/>
              <w:bottom w:val="single" w:sz="4" w:space="0" w:color="auto"/>
              <w:right w:val="single" w:sz="4" w:space="0" w:color="auto"/>
            </w:tcBorders>
            <w:hideMark/>
          </w:tcPr>
          <w:p w14:paraId="0CC61D7E" w14:textId="77777777" w:rsidR="00891A5B" w:rsidRPr="00E24684" w:rsidRDefault="00891A5B" w:rsidP="00812A29">
            <w:pPr>
              <w:spacing w:after="0" w:line="240" w:lineRule="auto"/>
              <w:jc w:val="center"/>
              <w:rPr>
                <w:rFonts w:ascii="Times New Roman" w:hAnsi="Times New Roman"/>
                <w:sz w:val="24"/>
                <w:szCs w:val="24"/>
              </w:rPr>
            </w:pPr>
            <w:r w:rsidRPr="00E24684">
              <w:rPr>
                <w:rFonts w:ascii="Times New Roman" w:hAnsi="Times New Roman"/>
                <w:sz w:val="24"/>
                <w:szCs w:val="24"/>
              </w:rPr>
              <w:t>Dispensers</w:t>
            </w:r>
          </w:p>
        </w:tc>
        <w:tc>
          <w:tcPr>
            <w:tcW w:w="1548" w:type="dxa"/>
            <w:tcBorders>
              <w:top w:val="single" w:sz="4" w:space="0" w:color="auto"/>
              <w:left w:val="single" w:sz="4" w:space="0" w:color="auto"/>
              <w:bottom w:val="single" w:sz="4" w:space="0" w:color="auto"/>
              <w:right w:val="single" w:sz="4" w:space="0" w:color="auto"/>
            </w:tcBorders>
          </w:tcPr>
          <w:p w14:paraId="276634A8" w14:textId="77777777" w:rsidR="00891A5B" w:rsidRPr="00E24684" w:rsidRDefault="00891A5B" w:rsidP="00812A29">
            <w:pPr>
              <w:spacing w:after="0" w:line="240" w:lineRule="auto"/>
              <w:jc w:val="center"/>
              <w:rPr>
                <w:rFonts w:ascii="Times New Roman" w:hAnsi="Times New Roman"/>
                <w:sz w:val="24"/>
                <w:szCs w:val="24"/>
              </w:rPr>
            </w:pPr>
            <w:r>
              <w:rPr>
                <w:rFonts w:ascii="Times New Roman" w:hAnsi="Times New Roman"/>
                <w:sz w:val="24"/>
                <w:szCs w:val="24"/>
              </w:rPr>
              <w:t>40</w:t>
            </w:r>
          </w:p>
        </w:tc>
        <w:tc>
          <w:tcPr>
            <w:tcW w:w="1440" w:type="dxa"/>
            <w:tcBorders>
              <w:top w:val="single" w:sz="4" w:space="0" w:color="auto"/>
              <w:left w:val="single" w:sz="4" w:space="0" w:color="auto"/>
              <w:bottom w:val="single" w:sz="4" w:space="0" w:color="auto"/>
              <w:right w:val="single" w:sz="4" w:space="0" w:color="auto"/>
            </w:tcBorders>
          </w:tcPr>
          <w:p w14:paraId="16FEC842" w14:textId="77777777" w:rsidR="00891A5B" w:rsidRPr="00E24684" w:rsidRDefault="00891A5B" w:rsidP="00812A29">
            <w:pPr>
              <w:spacing w:after="0" w:line="240" w:lineRule="auto"/>
              <w:jc w:val="center"/>
              <w:rPr>
                <w:rFonts w:ascii="Times New Roman" w:hAnsi="Times New Roman"/>
                <w:sz w:val="24"/>
                <w:szCs w:val="24"/>
              </w:rPr>
            </w:pPr>
            <w:r w:rsidRPr="00E24684">
              <w:rPr>
                <w:rFonts w:ascii="Times New Roman" w:hAnsi="Times New Roman"/>
                <w:sz w:val="24"/>
                <w:szCs w:val="24"/>
              </w:rPr>
              <w:t>2</w:t>
            </w:r>
          </w:p>
        </w:tc>
        <w:tc>
          <w:tcPr>
            <w:tcW w:w="1530" w:type="dxa"/>
            <w:tcBorders>
              <w:top w:val="single" w:sz="4" w:space="0" w:color="auto"/>
              <w:left w:val="single" w:sz="4" w:space="0" w:color="auto"/>
              <w:bottom w:val="single" w:sz="4" w:space="0" w:color="auto"/>
              <w:right w:val="single" w:sz="4" w:space="0" w:color="auto"/>
            </w:tcBorders>
          </w:tcPr>
          <w:p w14:paraId="47553A6F" w14:textId="77777777" w:rsidR="00891A5B" w:rsidRPr="00E24684" w:rsidRDefault="00891A5B" w:rsidP="00812A29">
            <w:pPr>
              <w:spacing w:after="0" w:line="240" w:lineRule="auto"/>
              <w:jc w:val="center"/>
              <w:rPr>
                <w:rFonts w:ascii="Times New Roman" w:hAnsi="Times New Roman"/>
                <w:sz w:val="24"/>
                <w:szCs w:val="24"/>
              </w:rPr>
            </w:pPr>
            <w:r>
              <w:rPr>
                <w:rFonts w:ascii="Times New Roman" w:hAnsi="Times New Roman"/>
                <w:sz w:val="24"/>
                <w:szCs w:val="24"/>
              </w:rPr>
              <w:t>80</w:t>
            </w:r>
          </w:p>
        </w:tc>
        <w:tc>
          <w:tcPr>
            <w:tcW w:w="1530" w:type="dxa"/>
            <w:tcBorders>
              <w:top w:val="single" w:sz="4" w:space="0" w:color="auto"/>
              <w:left w:val="single" w:sz="4" w:space="0" w:color="auto"/>
              <w:bottom w:val="single" w:sz="4" w:space="0" w:color="auto"/>
              <w:right w:val="single" w:sz="4" w:space="0" w:color="auto"/>
            </w:tcBorders>
          </w:tcPr>
          <w:p w14:paraId="2BAF7F7B" w14:textId="77777777" w:rsidR="00891A5B" w:rsidRDefault="00891A5B" w:rsidP="00812A29">
            <w:pPr>
              <w:spacing w:after="0" w:line="240" w:lineRule="auto"/>
              <w:jc w:val="center"/>
              <w:rPr>
                <w:rFonts w:ascii="Times New Roman" w:hAnsi="Times New Roman"/>
                <w:sz w:val="24"/>
                <w:szCs w:val="24"/>
              </w:rPr>
            </w:pPr>
            <w:r>
              <w:rPr>
                <w:rFonts w:ascii="Times New Roman" w:hAnsi="Times New Roman"/>
                <w:sz w:val="24"/>
                <w:szCs w:val="24"/>
              </w:rPr>
              <w:t>0.20</w:t>
            </w:r>
          </w:p>
          <w:p w14:paraId="06BA4C48" w14:textId="77777777" w:rsidR="00891A5B" w:rsidRPr="00E24684" w:rsidRDefault="00891A5B" w:rsidP="00812A29">
            <w:pPr>
              <w:spacing w:after="0" w:line="240" w:lineRule="auto"/>
              <w:jc w:val="center"/>
              <w:rPr>
                <w:rFonts w:ascii="Times New Roman" w:hAnsi="Times New Roman"/>
                <w:sz w:val="24"/>
                <w:szCs w:val="24"/>
              </w:rPr>
            </w:pPr>
            <w:r>
              <w:rPr>
                <w:rFonts w:ascii="Times New Roman" w:hAnsi="Times New Roman"/>
                <w:sz w:val="24"/>
                <w:szCs w:val="24"/>
              </w:rPr>
              <w:t>(12 minutes)</w:t>
            </w:r>
          </w:p>
        </w:tc>
        <w:tc>
          <w:tcPr>
            <w:tcW w:w="1530" w:type="dxa"/>
            <w:tcBorders>
              <w:top w:val="single" w:sz="4" w:space="0" w:color="auto"/>
              <w:left w:val="single" w:sz="4" w:space="0" w:color="auto"/>
              <w:bottom w:val="single" w:sz="4" w:space="0" w:color="auto"/>
              <w:right w:val="single" w:sz="4" w:space="0" w:color="auto"/>
            </w:tcBorders>
          </w:tcPr>
          <w:p w14:paraId="340D1B48" w14:textId="77777777" w:rsidR="00891A5B" w:rsidRPr="00E24684" w:rsidRDefault="00891A5B" w:rsidP="00812A29">
            <w:pPr>
              <w:spacing w:after="0" w:line="240" w:lineRule="auto"/>
              <w:jc w:val="center"/>
              <w:rPr>
                <w:rFonts w:ascii="Times New Roman" w:hAnsi="Times New Roman"/>
                <w:sz w:val="24"/>
                <w:szCs w:val="24"/>
              </w:rPr>
            </w:pPr>
            <w:r>
              <w:rPr>
                <w:rFonts w:ascii="Times New Roman" w:hAnsi="Times New Roman"/>
                <w:sz w:val="24"/>
                <w:szCs w:val="24"/>
              </w:rPr>
              <w:t>16</w:t>
            </w:r>
          </w:p>
        </w:tc>
      </w:tr>
      <w:tr w:rsidR="00891A5B" w:rsidRPr="00E24684" w14:paraId="2B6BCBF2" w14:textId="77777777" w:rsidTr="00812A29">
        <w:tc>
          <w:tcPr>
            <w:tcW w:w="8118" w:type="dxa"/>
            <w:gridSpan w:val="5"/>
            <w:tcBorders>
              <w:top w:val="single" w:sz="4" w:space="0" w:color="auto"/>
              <w:left w:val="single" w:sz="4" w:space="0" w:color="auto"/>
              <w:bottom w:val="single" w:sz="4" w:space="0" w:color="auto"/>
              <w:right w:val="single" w:sz="4" w:space="0" w:color="auto"/>
            </w:tcBorders>
            <w:hideMark/>
          </w:tcPr>
          <w:p w14:paraId="23F560AA" w14:textId="77777777" w:rsidR="00891A5B" w:rsidRPr="00E24684" w:rsidRDefault="00891A5B" w:rsidP="00812A29">
            <w:pPr>
              <w:spacing w:after="0" w:line="240" w:lineRule="auto"/>
              <w:rPr>
                <w:rFonts w:ascii="Times New Roman" w:hAnsi="Times New Roman"/>
                <w:sz w:val="24"/>
                <w:szCs w:val="24"/>
              </w:rPr>
            </w:pPr>
            <w:r w:rsidRPr="00E24684">
              <w:rPr>
                <w:rFonts w:ascii="Times New Roman" w:hAnsi="Times New Roman"/>
                <w:sz w:val="24"/>
                <w:szCs w:val="24"/>
              </w:rPr>
              <w:t>Total</w:t>
            </w:r>
          </w:p>
        </w:tc>
        <w:tc>
          <w:tcPr>
            <w:tcW w:w="1530" w:type="dxa"/>
            <w:tcBorders>
              <w:top w:val="single" w:sz="4" w:space="0" w:color="auto"/>
              <w:left w:val="single" w:sz="4" w:space="0" w:color="auto"/>
              <w:bottom w:val="single" w:sz="4" w:space="0" w:color="auto"/>
              <w:right w:val="single" w:sz="4" w:space="0" w:color="auto"/>
            </w:tcBorders>
          </w:tcPr>
          <w:p w14:paraId="178A304E" w14:textId="77777777" w:rsidR="00891A5B" w:rsidRPr="00E24684" w:rsidRDefault="00891A5B" w:rsidP="00812A29">
            <w:pPr>
              <w:spacing w:after="0" w:line="240" w:lineRule="auto"/>
              <w:jc w:val="center"/>
              <w:rPr>
                <w:rFonts w:ascii="Times New Roman" w:hAnsi="Times New Roman"/>
                <w:sz w:val="24"/>
                <w:szCs w:val="24"/>
              </w:rPr>
            </w:pPr>
            <w:r>
              <w:rPr>
                <w:rFonts w:ascii="Times New Roman" w:hAnsi="Times New Roman"/>
                <w:sz w:val="24"/>
                <w:szCs w:val="24"/>
              </w:rPr>
              <w:t>42,416</w:t>
            </w:r>
          </w:p>
        </w:tc>
      </w:tr>
    </w:tbl>
    <w:p w14:paraId="617BD1D0" w14:textId="77777777" w:rsidR="00891A5B" w:rsidRDefault="00891A5B" w:rsidP="00891A5B">
      <w:pPr>
        <w:spacing w:after="0" w:line="240" w:lineRule="auto"/>
        <w:rPr>
          <w:rFonts w:ascii="Times New Roman" w:hAnsi="Times New Roman"/>
          <w:sz w:val="20"/>
          <w:szCs w:val="20"/>
        </w:rPr>
      </w:pPr>
      <w:r>
        <w:rPr>
          <w:rFonts w:ascii="Times New Roman" w:hAnsi="Times New Roman"/>
          <w:sz w:val="20"/>
          <w:szCs w:val="20"/>
          <w:vertAlign w:val="superscript"/>
        </w:rPr>
        <w:t>1</w:t>
      </w:r>
      <w:r w:rsidRPr="008E4C7B">
        <w:rPr>
          <w:rFonts w:ascii="Times New Roman" w:hAnsi="Times New Roman"/>
          <w:sz w:val="20"/>
          <w:szCs w:val="20"/>
        </w:rPr>
        <w:t>There are no capital costs or operating and maintenance costs associated with this collection of information.</w:t>
      </w:r>
    </w:p>
    <w:p w14:paraId="631843FB" w14:textId="77777777" w:rsidR="00891A5B" w:rsidRDefault="00891A5B" w:rsidP="00CE0F17">
      <w:pPr>
        <w:spacing w:after="0" w:line="480" w:lineRule="auto"/>
        <w:ind w:firstLine="720"/>
        <w:outlineLvl w:val="2"/>
        <w:rPr>
          <w:rFonts w:ascii="Times New Roman" w:eastAsia="Times New Roman" w:hAnsi="Times New Roman"/>
          <w:sz w:val="24"/>
          <w:szCs w:val="24"/>
        </w:rPr>
      </w:pPr>
    </w:p>
    <w:tbl>
      <w:tblPr>
        <w:tblW w:w="964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648"/>
      </w:tblGrid>
      <w:tr w:rsidR="00A259A6" w:rsidRPr="009F00D3" w14:paraId="33779723" w14:textId="77777777" w:rsidTr="004105E4">
        <w:trPr>
          <w:tblHeader/>
          <w:tblCellSpacing w:w="15" w:type="dxa"/>
        </w:trPr>
        <w:tc>
          <w:tcPr>
            <w:tcW w:w="19" w:type="pct"/>
            <w:tcBorders>
              <w:top w:val="nil"/>
              <w:left w:val="nil"/>
              <w:bottom w:val="nil"/>
              <w:right w:val="nil"/>
            </w:tcBorders>
            <w:vAlign w:val="center"/>
          </w:tcPr>
          <w:p w14:paraId="33779722" w14:textId="77777777" w:rsidR="00A259A6" w:rsidRPr="009F00D3" w:rsidRDefault="00A259A6" w:rsidP="00891A5B">
            <w:pPr>
              <w:spacing w:after="0" w:line="240" w:lineRule="auto"/>
              <w:rPr>
                <w:rFonts w:ascii="Times New Roman" w:eastAsia="Times New Roman" w:hAnsi="Times New Roman"/>
                <w:sz w:val="24"/>
                <w:szCs w:val="24"/>
              </w:rPr>
            </w:pPr>
          </w:p>
        </w:tc>
      </w:tr>
    </w:tbl>
    <w:p w14:paraId="33779724" w14:textId="77777777" w:rsidR="00A259A6" w:rsidRDefault="00A259A6" w:rsidP="00A259A6">
      <w:pPr>
        <w:spacing w:after="0" w:line="480" w:lineRule="auto"/>
        <w:rPr>
          <w:rFonts w:ascii="Times New Roman" w:hAnsi="Times New Roman"/>
          <w:sz w:val="24"/>
          <w:szCs w:val="24"/>
        </w:rPr>
      </w:pPr>
      <w:r>
        <w:rPr>
          <w:rFonts w:ascii="Times New Roman" w:hAnsi="Times New Roman"/>
          <w:sz w:val="24"/>
          <w:szCs w:val="24"/>
        </w:rPr>
        <w:t>12b.</w:t>
      </w:r>
      <w:r>
        <w:rPr>
          <w:rFonts w:ascii="Times New Roman" w:hAnsi="Times New Roman"/>
          <w:sz w:val="24"/>
          <w:szCs w:val="24"/>
        </w:rPr>
        <w:tab/>
      </w:r>
      <w:r>
        <w:rPr>
          <w:rFonts w:ascii="Times New Roman" w:hAnsi="Times New Roman"/>
          <w:sz w:val="24"/>
          <w:szCs w:val="24"/>
          <w:u w:val="single"/>
        </w:rPr>
        <w:t>Annualized Cost Burden Estimate</w:t>
      </w:r>
    </w:p>
    <w:p w14:paraId="33779725" w14:textId="6F4AA6AF" w:rsidR="00A259A6" w:rsidRDefault="00B43D9E" w:rsidP="00B0591F">
      <w:pPr>
        <w:tabs>
          <w:tab w:val="left" w:pos="-720"/>
          <w:tab w:val="left" w:pos="0"/>
          <w:tab w:val="left" w:pos="378"/>
          <w:tab w:val="left" w:pos="1440"/>
        </w:tabs>
        <w:spacing w:after="0" w:line="480" w:lineRule="auto"/>
        <w:rPr>
          <w:rFonts w:ascii="Times New Roman" w:hAnsi="Times New Roman"/>
          <w:sz w:val="24"/>
          <w:szCs w:val="24"/>
        </w:rPr>
      </w:pPr>
      <w:r>
        <w:rPr>
          <w:rFonts w:ascii="Times New Roman" w:hAnsi="Times New Roman"/>
          <w:sz w:val="24"/>
          <w:szCs w:val="24"/>
        </w:rPr>
        <w:tab/>
      </w:r>
      <w:r w:rsidR="00A259A6">
        <w:rPr>
          <w:rFonts w:ascii="Times New Roman" w:hAnsi="Times New Roman"/>
          <w:sz w:val="24"/>
          <w:szCs w:val="24"/>
        </w:rPr>
        <w:t xml:space="preserve">The industry burden estimate calculated above would result in labor costs.  FDA Economics Staff estimates that </w:t>
      </w:r>
      <w:r w:rsidR="00FD7306">
        <w:rPr>
          <w:rFonts w:ascii="Times New Roman" w:hAnsi="Times New Roman"/>
          <w:sz w:val="24"/>
          <w:szCs w:val="24"/>
        </w:rPr>
        <w:t xml:space="preserve">these types of notifications would likely be </w:t>
      </w:r>
      <w:r w:rsidR="00A259A6">
        <w:rPr>
          <w:rFonts w:ascii="Times New Roman" w:hAnsi="Times New Roman"/>
          <w:sz w:val="24"/>
          <w:szCs w:val="24"/>
        </w:rPr>
        <w:t xml:space="preserve">by a </w:t>
      </w:r>
      <w:r w:rsidR="00FD7306">
        <w:rPr>
          <w:rFonts w:ascii="Times New Roman" w:hAnsi="Times New Roman"/>
          <w:sz w:val="24"/>
          <w:szCs w:val="24"/>
        </w:rPr>
        <w:t>general operations manager for manufacturer</w:t>
      </w:r>
      <w:r w:rsidR="003058BF">
        <w:rPr>
          <w:rFonts w:ascii="Times New Roman" w:hAnsi="Times New Roman"/>
          <w:sz w:val="24"/>
          <w:szCs w:val="24"/>
        </w:rPr>
        <w:t>s</w:t>
      </w:r>
      <w:r w:rsidR="00FD7306">
        <w:rPr>
          <w:rFonts w:ascii="Times New Roman" w:hAnsi="Times New Roman"/>
          <w:sz w:val="24"/>
          <w:szCs w:val="24"/>
        </w:rPr>
        <w:t xml:space="preserve">, repackagers, and wholesale distributors and a pharmacist for a dispenser.  The adjusted </w:t>
      </w:r>
      <w:r w:rsidR="0035761A">
        <w:rPr>
          <w:rFonts w:ascii="Times New Roman" w:hAnsi="Times New Roman"/>
          <w:sz w:val="24"/>
          <w:szCs w:val="24"/>
        </w:rPr>
        <w:t xml:space="preserve">mean hourly wage including benefits and overhead is $139.56 for manufacturers and repackagers, as reported by the U.S. Department of Labor, Bureau of Labor Statistics, 2013 </w:t>
      </w:r>
      <w:r w:rsidR="0035761A">
        <w:rPr>
          <w:rFonts w:ascii="Times New Roman" w:hAnsi="Times New Roman"/>
          <w:sz w:val="24"/>
          <w:szCs w:val="24"/>
        </w:rPr>
        <w:lastRenderedPageBreak/>
        <w:t xml:space="preserve">Employment Occupational Statistics for Management Occupations in Pharmaceutical and Medicine Manufacturing (North American Industry Notification, NAICS, code 325400).  The mean hourly wage including benefits and overhead for wholesale distributors is </w:t>
      </w:r>
      <w:r w:rsidR="00EF60E2">
        <w:rPr>
          <w:rFonts w:ascii="Times New Roman" w:hAnsi="Times New Roman"/>
          <w:sz w:val="24"/>
          <w:szCs w:val="24"/>
        </w:rPr>
        <w:t>$1</w:t>
      </w:r>
      <w:r w:rsidR="0035761A">
        <w:rPr>
          <w:rFonts w:ascii="Times New Roman" w:hAnsi="Times New Roman"/>
          <w:sz w:val="24"/>
          <w:szCs w:val="24"/>
        </w:rPr>
        <w:t>36.88</w:t>
      </w:r>
      <w:r w:rsidR="00EF60E2">
        <w:rPr>
          <w:rFonts w:ascii="Times New Roman" w:hAnsi="Times New Roman"/>
          <w:sz w:val="24"/>
          <w:szCs w:val="24"/>
        </w:rPr>
        <w:t xml:space="preserve"> </w:t>
      </w:r>
      <w:r w:rsidR="0035761A">
        <w:rPr>
          <w:rFonts w:ascii="Times New Roman" w:hAnsi="Times New Roman"/>
          <w:sz w:val="24"/>
          <w:szCs w:val="24"/>
        </w:rPr>
        <w:t>according to the U.S. Department of Labor, Bureau of Labor Statistics, 2013 Employment Occupational Statistics for Management Occupations in Drug and Druggists Sundries Merchant Wholesalers (North American Industry Notification, NAICS,  424200)</w:t>
      </w:r>
      <w:r w:rsidR="003058BF">
        <w:rPr>
          <w:rFonts w:ascii="Times New Roman" w:hAnsi="Times New Roman"/>
          <w:sz w:val="24"/>
          <w:szCs w:val="24"/>
        </w:rPr>
        <w:t>.</w:t>
      </w:r>
      <w:r w:rsidR="0035761A">
        <w:rPr>
          <w:rFonts w:ascii="Times New Roman" w:hAnsi="Times New Roman"/>
          <w:sz w:val="24"/>
          <w:szCs w:val="24"/>
        </w:rPr>
        <w:t xml:space="preserve">  The mean hourly wage including benefits and overhead for a pharmacist is $113.32 as reported by the </w:t>
      </w:r>
      <w:r w:rsidR="00A259A6">
        <w:rPr>
          <w:rFonts w:ascii="Times New Roman" w:hAnsi="Times New Roman"/>
          <w:sz w:val="24"/>
          <w:szCs w:val="24"/>
        </w:rPr>
        <w:t>U.S. Department of Labor, Bureau of Labor Statistics, 2013 Employment Occupational Statist</w:t>
      </w:r>
      <w:r w:rsidR="0035761A">
        <w:rPr>
          <w:rFonts w:ascii="Times New Roman" w:hAnsi="Times New Roman"/>
          <w:sz w:val="24"/>
          <w:szCs w:val="24"/>
        </w:rPr>
        <w:t xml:space="preserve">ics for Management Occupations </w:t>
      </w:r>
      <w:r w:rsidR="008570A1">
        <w:rPr>
          <w:rFonts w:ascii="Times New Roman" w:hAnsi="Times New Roman"/>
          <w:sz w:val="24"/>
          <w:szCs w:val="24"/>
        </w:rPr>
        <w:t>for Pharmacies and Drug Stores (</w:t>
      </w:r>
      <w:r w:rsidR="00A259A6">
        <w:rPr>
          <w:rFonts w:ascii="Times New Roman" w:hAnsi="Times New Roman"/>
          <w:sz w:val="24"/>
          <w:szCs w:val="24"/>
        </w:rPr>
        <w:t>North American Industry</w:t>
      </w:r>
      <w:r w:rsidR="008570A1">
        <w:rPr>
          <w:rFonts w:ascii="Times New Roman" w:hAnsi="Times New Roman"/>
          <w:sz w:val="24"/>
          <w:szCs w:val="24"/>
        </w:rPr>
        <w:t xml:space="preserve"> Notification, NAICS, code 446110</w:t>
      </w:r>
      <w:r w:rsidR="00A259A6">
        <w:rPr>
          <w:rFonts w:ascii="Times New Roman" w:hAnsi="Times New Roman"/>
          <w:sz w:val="24"/>
          <w:szCs w:val="24"/>
        </w:rPr>
        <w:t xml:space="preserve">).  </w:t>
      </w:r>
      <w:r w:rsidR="008570A1">
        <w:rPr>
          <w:rFonts w:ascii="Times New Roman" w:hAnsi="Times New Roman"/>
          <w:sz w:val="24"/>
          <w:szCs w:val="24"/>
        </w:rPr>
        <w:t xml:space="preserve">  Using these</w:t>
      </w:r>
      <w:r w:rsidR="00A259A6">
        <w:rPr>
          <w:rFonts w:ascii="Times New Roman" w:hAnsi="Times New Roman"/>
          <w:sz w:val="24"/>
          <w:szCs w:val="24"/>
        </w:rPr>
        <w:t xml:space="preserve"> wage rate</w:t>
      </w:r>
      <w:r w:rsidR="009B368E">
        <w:rPr>
          <w:rFonts w:ascii="Times New Roman" w:hAnsi="Times New Roman"/>
          <w:sz w:val="24"/>
          <w:szCs w:val="24"/>
        </w:rPr>
        <w:t>s</w:t>
      </w:r>
      <w:r w:rsidR="00A259A6">
        <w:rPr>
          <w:rFonts w:ascii="Times New Roman" w:hAnsi="Times New Roman"/>
          <w:sz w:val="24"/>
          <w:szCs w:val="24"/>
        </w:rPr>
        <w:t xml:space="preserve">, </w:t>
      </w:r>
      <w:r w:rsidR="008570A1">
        <w:rPr>
          <w:rFonts w:ascii="Times New Roman" w:hAnsi="Times New Roman"/>
          <w:sz w:val="24"/>
          <w:szCs w:val="24"/>
        </w:rPr>
        <w:t xml:space="preserve">the total labor costs for the activities listed above for each group </w:t>
      </w:r>
      <w:r w:rsidR="00CE7739">
        <w:rPr>
          <w:rFonts w:ascii="Times New Roman" w:hAnsi="Times New Roman"/>
          <w:sz w:val="24"/>
          <w:szCs w:val="24"/>
        </w:rPr>
        <w:t xml:space="preserve">are in Table </w:t>
      </w:r>
      <w:r w:rsidR="00F56BA6">
        <w:rPr>
          <w:rFonts w:ascii="Times New Roman" w:hAnsi="Times New Roman"/>
          <w:sz w:val="24"/>
          <w:szCs w:val="24"/>
        </w:rPr>
        <w:t xml:space="preserve">5 </w:t>
      </w:r>
      <w:r w:rsidR="00CE7739">
        <w:rPr>
          <w:rFonts w:ascii="Times New Roman" w:hAnsi="Times New Roman"/>
          <w:sz w:val="24"/>
          <w:szCs w:val="24"/>
        </w:rPr>
        <w:t>below.  The total labor cost for this</w:t>
      </w:r>
      <w:r w:rsidR="00A259A6">
        <w:rPr>
          <w:rFonts w:ascii="Times New Roman" w:hAnsi="Times New Roman"/>
          <w:sz w:val="24"/>
          <w:szCs w:val="24"/>
        </w:rPr>
        <w:t xml:space="preserve"> information collection</w:t>
      </w:r>
      <w:r w:rsidR="00CE7739">
        <w:rPr>
          <w:rFonts w:ascii="Times New Roman" w:hAnsi="Times New Roman"/>
          <w:sz w:val="24"/>
          <w:szCs w:val="24"/>
        </w:rPr>
        <w:t xml:space="preserve"> equals approximately </w:t>
      </w:r>
      <w:r w:rsidR="002B1143" w:rsidRPr="002B1143">
        <w:rPr>
          <w:rFonts w:ascii="Times New Roman" w:hAnsi="Times New Roman"/>
          <w:sz w:val="24"/>
          <w:szCs w:val="24"/>
        </w:rPr>
        <w:t>$</w:t>
      </w:r>
      <w:r w:rsidR="001D4DFD">
        <w:rPr>
          <w:rFonts w:ascii="Times New Roman" w:hAnsi="Times New Roman"/>
          <w:b/>
          <w:sz w:val="24"/>
          <w:szCs w:val="24"/>
        </w:rPr>
        <w:t>11,912,942</w:t>
      </w:r>
      <w:r w:rsidR="00A259A6">
        <w:rPr>
          <w:rFonts w:ascii="Times New Roman" w:hAnsi="Times New Roman"/>
          <w:sz w:val="24"/>
          <w:szCs w:val="24"/>
        </w:rPr>
        <w:t>.</w:t>
      </w:r>
    </w:p>
    <w:p w14:paraId="6E567A8A" w14:textId="77777777" w:rsidR="00C51898" w:rsidRDefault="00C51898" w:rsidP="00B0591F">
      <w:pPr>
        <w:tabs>
          <w:tab w:val="left" w:pos="-720"/>
          <w:tab w:val="left" w:pos="0"/>
          <w:tab w:val="left" w:pos="378"/>
          <w:tab w:val="left" w:pos="1440"/>
        </w:tabs>
        <w:spacing w:after="0" w:line="480" w:lineRule="auto"/>
        <w:rPr>
          <w:rFonts w:ascii="Times New Roman" w:hAnsi="Times New Roman"/>
          <w:sz w:val="24"/>
          <w:szCs w:val="24"/>
        </w:rPr>
      </w:pPr>
    </w:p>
    <w:p w14:paraId="06A7F5D9" w14:textId="77777777" w:rsidR="00C51898" w:rsidRDefault="00C51898" w:rsidP="00B0591F">
      <w:pPr>
        <w:tabs>
          <w:tab w:val="left" w:pos="-720"/>
          <w:tab w:val="left" w:pos="0"/>
          <w:tab w:val="left" w:pos="378"/>
          <w:tab w:val="left" w:pos="1440"/>
        </w:tabs>
        <w:spacing w:after="0" w:line="480" w:lineRule="auto"/>
        <w:rPr>
          <w:rFonts w:ascii="Times New Roman" w:hAnsi="Times New Roman"/>
          <w:sz w:val="24"/>
          <w:szCs w:val="24"/>
        </w:rPr>
      </w:pPr>
    </w:p>
    <w:p w14:paraId="01DD5AD4" w14:textId="18539D4E" w:rsidR="00000BB9" w:rsidRDefault="00000BB9" w:rsidP="00407BF5">
      <w:pPr>
        <w:tabs>
          <w:tab w:val="left" w:pos="-720"/>
          <w:tab w:val="left" w:pos="0"/>
          <w:tab w:val="left" w:pos="378"/>
          <w:tab w:val="left" w:pos="1440"/>
        </w:tabs>
        <w:spacing w:after="0" w:line="480" w:lineRule="auto"/>
        <w:jc w:val="center"/>
        <w:rPr>
          <w:rFonts w:ascii="Times New Roman" w:hAnsi="Times New Roman"/>
          <w:sz w:val="24"/>
          <w:szCs w:val="24"/>
        </w:rPr>
      </w:pPr>
      <w:r>
        <w:rPr>
          <w:rFonts w:ascii="Times New Roman" w:hAnsi="Times New Roman"/>
          <w:sz w:val="24"/>
          <w:szCs w:val="24"/>
        </w:rPr>
        <w:t>Table 5—Annualized Cost Burden Estimate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1827"/>
        <w:gridCol w:w="1256"/>
        <w:gridCol w:w="1507"/>
        <w:gridCol w:w="1536"/>
      </w:tblGrid>
      <w:tr w:rsidR="00000BB9" w14:paraId="3C5652E1" w14:textId="77777777" w:rsidTr="00000BB9">
        <w:tc>
          <w:tcPr>
            <w:tcW w:w="3078" w:type="dxa"/>
            <w:shd w:val="clear" w:color="auto" w:fill="auto"/>
          </w:tcPr>
          <w:p w14:paraId="1D9C8C7D"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b/>
                <w:sz w:val="24"/>
                <w:szCs w:val="24"/>
              </w:rPr>
            </w:pPr>
            <w:r w:rsidRPr="00300C84">
              <w:rPr>
                <w:rFonts w:ascii="Times New Roman" w:hAnsi="Times New Roman"/>
                <w:b/>
                <w:sz w:val="24"/>
                <w:szCs w:val="24"/>
              </w:rPr>
              <w:t>Trading Partner</w:t>
            </w:r>
          </w:p>
        </w:tc>
        <w:tc>
          <w:tcPr>
            <w:tcW w:w="1827" w:type="dxa"/>
            <w:shd w:val="clear" w:color="auto" w:fill="auto"/>
          </w:tcPr>
          <w:p w14:paraId="19C66411"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b/>
                <w:sz w:val="24"/>
                <w:szCs w:val="24"/>
              </w:rPr>
            </w:pPr>
            <w:r w:rsidRPr="00300C84">
              <w:rPr>
                <w:rFonts w:ascii="Times New Roman" w:hAnsi="Times New Roman"/>
                <w:b/>
                <w:sz w:val="24"/>
                <w:szCs w:val="24"/>
              </w:rPr>
              <w:t>Activity</w:t>
            </w:r>
          </w:p>
        </w:tc>
        <w:tc>
          <w:tcPr>
            <w:tcW w:w="1256" w:type="dxa"/>
            <w:shd w:val="clear" w:color="auto" w:fill="auto"/>
          </w:tcPr>
          <w:p w14:paraId="6AF98CAE" w14:textId="7CED7BBA" w:rsidR="00000BB9" w:rsidRPr="00300C84" w:rsidRDefault="00815B03" w:rsidP="00815B03">
            <w:pPr>
              <w:tabs>
                <w:tab w:val="left" w:pos="-720"/>
                <w:tab w:val="left" w:pos="0"/>
                <w:tab w:val="left" w:pos="378"/>
                <w:tab w:val="left" w:pos="1440"/>
              </w:tabs>
              <w:spacing w:after="0" w:line="240" w:lineRule="auto"/>
              <w:rPr>
                <w:rFonts w:ascii="Times New Roman" w:hAnsi="Times New Roman"/>
                <w:b/>
                <w:sz w:val="24"/>
                <w:szCs w:val="24"/>
              </w:rPr>
            </w:pPr>
            <w:r>
              <w:rPr>
                <w:rFonts w:ascii="Times New Roman" w:hAnsi="Times New Roman"/>
                <w:b/>
                <w:sz w:val="24"/>
                <w:szCs w:val="24"/>
              </w:rPr>
              <w:t xml:space="preserve">Total Burden </w:t>
            </w:r>
            <w:r w:rsidR="00000BB9" w:rsidRPr="00300C84">
              <w:rPr>
                <w:rFonts w:ascii="Times New Roman" w:hAnsi="Times New Roman"/>
                <w:b/>
                <w:sz w:val="24"/>
                <w:szCs w:val="24"/>
              </w:rPr>
              <w:t>Hour</w:t>
            </w:r>
          </w:p>
        </w:tc>
        <w:tc>
          <w:tcPr>
            <w:tcW w:w="1507" w:type="dxa"/>
            <w:shd w:val="clear" w:color="auto" w:fill="auto"/>
          </w:tcPr>
          <w:p w14:paraId="0296EB5F" w14:textId="3288F73A" w:rsidR="00000BB9" w:rsidRPr="00300C84" w:rsidRDefault="00000BB9" w:rsidP="00000BB9">
            <w:pPr>
              <w:tabs>
                <w:tab w:val="left" w:pos="-720"/>
                <w:tab w:val="left" w:pos="0"/>
                <w:tab w:val="left" w:pos="378"/>
                <w:tab w:val="left" w:pos="1440"/>
              </w:tabs>
              <w:spacing w:after="0" w:line="240" w:lineRule="auto"/>
              <w:rPr>
                <w:rFonts w:ascii="Times New Roman" w:hAnsi="Times New Roman"/>
                <w:b/>
                <w:sz w:val="24"/>
                <w:szCs w:val="24"/>
              </w:rPr>
            </w:pPr>
            <w:r w:rsidRPr="00300C84">
              <w:rPr>
                <w:rFonts w:ascii="Times New Roman" w:hAnsi="Times New Roman"/>
                <w:b/>
                <w:sz w:val="24"/>
                <w:szCs w:val="24"/>
              </w:rPr>
              <w:t xml:space="preserve">Hourly </w:t>
            </w:r>
            <w:r w:rsidR="00815B03">
              <w:rPr>
                <w:rFonts w:ascii="Times New Roman" w:hAnsi="Times New Roman"/>
                <w:b/>
                <w:sz w:val="24"/>
                <w:szCs w:val="24"/>
              </w:rPr>
              <w:t xml:space="preserve">Wage </w:t>
            </w:r>
            <w:r w:rsidRPr="00300C84">
              <w:rPr>
                <w:rFonts w:ascii="Times New Roman" w:hAnsi="Times New Roman"/>
                <w:b/>
                <w:sz w:val="24"/>
                <w:szCs w:val="24"/>
              </w:rPr>
              <w:t>Rate</w:t>
            </w:r>
          </w:p>
        </w:tc>
        <w:tc>
          <w:tcPr>
            <w:tcW w:w="1536" w:type="dxa"/>
            <w:shd w:val="clear" w:color="auto" w:fill="auto"/>
          </w:tcPr>
          <w:p w14:paraId="72D04E3C" w14:textId="4B813F9D" w:rsidR="00000BB9" w:rsidRPr="00300C84" w:rsidRDefault="00815B03" w:rsidP="00000BB9">
            <w:pPr>
              <w:tabs>
                <w:tab w:val="left" w:pos="-720"/>
                <w:tab w:val="left" w:pos="0"/>
                <w:tab w:val="left" w:pos="378"/>
                <w:tab w:val="left" w:pos="1440"/>
              </w:tabs>
              <w:spacing w:after="0" w:line="240" w:lineRule="auto"/>
              <w:rPr>
                <w:rFonts w:ascii="Times New Roman" w:hAnsi="Times New Roman"/>
                <w:b/>
                <w:sz w:val="24"/>
                <w:szCs w:val="24"/>
              </w:rPr>
            </w:pPr>
            <w:r>
              <w:rPr>
                <w:rFonts w:ascii="Times New Roman" w:hAnsi="Times New Roman"/>
                <w:b/>
                <w:sz w:val="24"/>
                <w:szCs w:val="24"/>
              </w:rPr>
              <w:t xml:space="preserve">Total Respondent </w:t>
            </w:r>
            <w:r w:rsidR="00000BB9" w:rsidRPr="00300C84">
              <w:rPr>
                <w:rFonts w:ascii="Times New Roman" w:hAnsi="Times New Roman"/>
                <w:b/>
                <w:sz w:val="24"/>
                <w:szCs w:val="24"/>
              </w:rPr>
              <w:t>Cost</w:t>
            </w:r>
          </w:p>
        </w:tc>
      </w:tr>
      <w:tr w:rsidR="00000BB9" w14:paraId="2C85F34D" w14:textId="77777777" w:rsidTr="00000BB9">
        <w:tc>
          <w:tcPr>
            <w:tcW w:w="3078" w:type="dxa"/>
            <w:shd w:val="clear" w:color="auto" w:fill="auto"/>
          </w:tcPr>
          <w:p w14:paraId="56B64E8A"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b/>
                <w:sz w:val="24"/>
                <w:szCs w:val="24"/>
              </w:rPr>
            </w:pPr>
          </w:p>
        </w:tc>
        <w:tc>
          <w:tcPr>
            <w:tcW w:w="1827" w:type="dxa"/>
            <w:shd w:val="clear" w:color="auto" w:fill="auto"/>
          </w:tcPr>
          <w:p w14:paraId="2AEFE4F1"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b/>
                <w:sz w:val="24"/>
                <w:szCs w:val="24"/>
              </w:rPr>
            </w:pPr>
          </w:p>
        </w:tc>
        <w:tc>
          <w:tcPr>
            <w:tcW w:w="1256" w:type="dxa"/>
            <w:shd w:val="clear" w:color="auto" w:fill="auto"/>
          </w:tcPr>
          <w:p w14:paraId="502EBF1A"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b/>
                <w:sz w:val="24"/>
                <w:szCs w:val="24"/>
              </w:rPr>
            </w:pPr>
          </w:p>
        </w:tc>
        <w:tc>
          <w:tcPr>
            <w:tcW w:w="1507" w:type="dxa"/>
            <w:shd w:val="clear" w:color="auto" w:fill="auto"/>
          </w:tcPr>
          <w:p w14:paraId="2C662236"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b/>
                <w:sz w:val="24"/>
                <w:szCs w:val="24"/>
              </w:rPr>
            </w:pPr>
          </w:p>
        </w:tc>
        <w:tc>
          <w:tcPr>
            <w:tcW w:w="1536" w:type="dxa"/>
            <w:shd w:val="clear" w:color="auto" w:fill="auto"/>
          </w:tcPr>
          <w:p w14:paraId="653B3C52"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b/>
                <w:sz w:val="24"/>
                <w:szCs w:val="24"/>
              </w:rPr>
            </w:pPr>
          </w:p>
        </w:tc>
      </w:tr>
      <w:tr w:rsidR="00000BB9" w14:paraId="3138069D" w14:textId="77777777" w:rsidTr="00000BB9">
        <w:tc>
          <w:tcPr>
            <w:tcW w:w="3078" w:type="dxa"/>
            <w:shd w:val="clear" w:color="auto" w:fill="auto"/>
          </w:tcPr>
          <w:p w14:paraId="29D39ED3"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sz w:val="24"/>
                <w:szCs w:val="24"/>
              </w:rPr>
            </w:pPr>
            <w:r w:rsidRPr="00300C84">
              <w:rPr>
                <w:rFonts w:ascii="Times New Roman" w:hAnsi="Times New Roman"/>
                <w:sz w:val="24"/>
                <w:szCs w:val="24"/>
              </w:rPr>
              <w:t>Manufacturer/Repackager</w:t>
            </w:r>
          </w:p>
        </w:tc>
        <w:tc>
          <w:tcPr>
            <w:tcW w:w="1827" w:type="dxa"/>
            <w:shd w:val="clear" w:color="auto" w:fill="auto"/>
          </w:tcPr>
          <w:p w14:paraId="3680D3ED"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sz w:val="24"/>
                <w:szCs w:val="24"/>
              </w:rPr>
            </w:pPr>
            <w:r w:rsidRPr="00300C84">
              <w:rPr>
                <w:rFonts w:ascii="Times New Roman" w:hAnsi="Times New Roman"/>
                <w:sz w:val="24"/>
                <w:szCs w:val="24"/>
              </w:rPr>
              <w:t>Notify FDA</w:t>
            </w:r>
          </w:p>
        </w:tc>
        <w:tc>
          <w:tcPr>
            <w:tcW w:w="1256" w:type="dxa"/>
            <w:shd w:val="clear" w:color="auto" w:fill="auto"/>
          </w:tcPr>
          <w:p w14:paraId="074F0BAF"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sz w:val="24"/>
                <w:szCs w:val="24"/>
              </w:rPr>
            </w:pPr>
            <w:r>
              <w:rPr>
                <w:rFonts w:ascii="Times New Roman" w:hAnsi="Times New Roman"/>
                <w:sz w:val="24"/>
                <w:szCs w:val="24"/>
              </w:rPr>
              <w:t>800</w:t>
            </w:r>
          </w:p>
        </w:tc>
        <w:tc>
          <w:tcPr>
            <w:tcW w:w="1507" w:type="dxa"/>
            <w:shd w:val="clear" w:color="auto" w:fill="auto"/>
          </w:tcPr>
          <w:p w14:paraId="7E7FF137"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sz w:val="24"/>
                <w:szCs w:val="24"/>
              </w:rPr>
            </w:pPr>
            <w:r w:rsidRPr="00300C84">
              <w:rPr>
                <w:rFonts w:ascii="Times New Roman" w:hAnsi="Times New Roman"/>
                <w:sz w:val="24"/>
                <w:szCs w:val="24"/>
              </w:rPr>
              <w:t>$139.56</w:t>
            </w:r>
          </w:p>
        </w:tc>
        <w:tc>
          <w:tcPr>
            <w:tcW w:w="1536" w:type="dxa"/>
            <w:shd w:val="clear" w:color="auto" w:fill="auto"/>
          </w:tcPr>
          <w:p w14:paraId="0D55D779" w14:textId="3872582E" w:rsidR="00000BB9" w:rsidRPr="00300C84" w:rsidRDefault="00815B03" w:rsidP="00000BB9">
            <w:pPr>
              <w:tabs>
                <w:tab w:val="left" w:pos="-720"/>
                <w:tab w:val="left" w:pos="0"/>
                <w:tab w:val="left" w:pos="378"/>
                <w:tab w:val="left" w:pos="1440"/>
              </w:tabs>
              <w:spacing w:after="0" w:line="240" w:lineRule="auto"/>
              <w:jc w:val="center"/>
              <w:rPr>
                <w:rFonts w:ascii="Times New Roman" w:hAnsi="Times New Roman"/>
                <w:sz w:val="24"/>
                <w:szCs w:val="24"/>
              </w:rPr>
            </w:pPr>
            <w:r>
              <w:rPr>
                <w:rFonts w:ascii="Times New Roman" w:hAnsi="Times New Roman"/>
                <w:sz w:val="24"/>
                <w:szCs w:val="24"/>
              </w:rPr>
              <w:t>$</w:t>
            </w:r>
            <w:r w:rsidR="00000BB9">
              <w:rPr>
                <w:rFonts w:ascii="Times New Roman" w:hAnsi="Times New Roman"/>
                <w:sz w:val="24"/>
                <w:szCs w:val="24"/>
              </w:rPr>
              <w:t>111,648</w:t>
            </w:r>
          </w:p>
        </w:tc>
      </w:tr>
      <w:tr w:rsidR="00000BB9" w14:paraId="1B4CE0CF" w14:textId="77777777" w:rsidTr="00000BB9">
        <w:tc>
          <w:tcPr>
            <w:tcW w:w="3078" w:type="dxa"/>
            <w:shd w:val="clear" w:color="auto" w:fill="auto"/>
          </w:tcPr>
          <w:p w14:paraId="4D627DB7"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sz w:val="24"/>
                <w:szCs w:val="24"/>
              </w:rPr>
            </w:pPr>
            <w:r w:rsidRPr="00300C84">
              <w:rPr>
                <w:rFonts w:ascii="Times New Roman" w:hAnsi="Times New Roman"/>
                <w:sz w:val="24"/>
                <w:szCs w:val="24"/>
              </w:rPr>
              <w:t>Manufacturer/Repackager</w:t>
            </w:r>
          </w:p>
        </w:tc>
        <w:tc>
          <w:tcPr>
            <w:tcW w:w="1827" w:type="dxa"/>
            <w:shd w:val="clear" w:color="auto" w:fill="auto"/>
          </w:tcPr>
          <w:p w14:paraId="567DB6A9"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sz w:val="24"/>
                <w:szCs w:val="24"/>
              </w:rPr>
            </w:pPr>
            <w:r w:rsidRPr="00300C84">
              <w:rPr>
                <w:rFonts w:ascii="Times New Roman" w:hAnsi="Times New Roman"/>
                <w:sz w:val="24"/>
                <w:szCs w:val="24"/>
              </w:rPr>
              <w:t>Notify Trading Partners</w:t>
            </w:r>
          </w:p>
        </w:tc>
        <w:tc>
          <w:tcPr>
            <w:tcW w:w="1256" w:type="dxa"/>
            <w:shd w:val="clear" w:color="auto" w:fill="auto"/>
          </w:tcPr>
          <w:p w14:paraId="2FD561CA"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sz w:val="24"/>
                <w:szCs w:val="24"/>
              </w:rPr>
            </w:pPr>
            <w:r>
              <w:rPr>
                <w:rFonts w:ascii="Times New Roman" w:hAnsi="Times New Roman"/>
                <w:sz w:val="24"/>
                <w:szCs w:val="24"/>
              </w:rPr>
              <w:t>4800</w:t>
            </w:r>
          </w:p>
        </w:tc>
        <w:tc>
          <w:tcPr>
            <w:tcW w:w="1507" w:type="dxa"/>
            <w:shd w:val="clear" w:color="auto" w:fill="auto"/>
          </w:tcPr>
          <w:p w14:paraId="2815478B"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sz w:val="24"/>
                <w:szCs w:val="24"/>
              </w:rPr>
            </w:pPr>
            <w:r w:rsidRPr="00300C84">
              <w:rPr>
                <w:rFonts w:ascii="Times New Roman" w:hAnsi="Times New Roman"/>
                <w:sz w:val="24"/>
                <w:szCs w:val="24"/>
              </w:rPr>
              <w:t>$139.56</w:t>
            </w:r>
          </w:p>
        </w:tc>
        <w:tc>
          <w:tcPr>
            <w:tcW w:w="1536" w:type="dxa"/>
            <w:shd w:val="clear" w:color="auto" w:fill="auto"/>
          </w:tcPr>
          <w:p w14:paraId="53666C12" w14:textId="15ADB701" w:rsidR="00000BB9" w:rsidRPr="00300C84" w:rsidRDefault="00815B03" w:rsidP="00000BB9">
            <w:pPr>
              <w:tabs>
                <w:tab w:val="left" w:pos="-720"/>
                <w:tab w:val="left" w:pos="0"/>
                <w:tab w:val="left" w:pos="378"/>
                <w:tab w:val="left" w:pos="1440"/>
              </w:tabs>
              <w:spacing w:after="0" w:line="240" w:lineRule="auto"/>
              <w:jc w:val="center"/>
              <w:rPr>
                <w:rFonts w:ascii="Times New Roman" w:hAnsi="Times New Roman"/>
                <w:sz w:val="24"/>
                <w:szCs w:val="24"/>
              </w:rPr>
            </w:pPr>
            <w:r>
              <w:rPr>
                <w:rFonts w:ascii="Times New Roman" w:hAnsi="Times New Roman"/>
                <w:sz w:val="24"/>
                <w:szCs w:val="24"/>
              </w:rPr>
              <w:t>$</w:t>
            </w:r>
            <w:r w:rsidR="00000BB9">
              <w:rPr>
                <w:rFonts w:ascii="Times New Roman" w:hAnsi="Times New Roman"/>
                <w:sz w:val="24"/>
                <w:szCs w:val="24"/>
              </w:rPr>
              <w:t>669,888</w:t>
            </w:r>
          </w:p>
        </w:tc>
      </w:tr>
      <w:tr w:rsidR="00000BB9" w14:paraId="5F3F6C46" w14:textId="77777777" w:rsidTr="00000BB9">
        <w:tc>
          <w:tcPr>
            <w:tcW w:w="3078" w:type="dxa"/>
            <w:shd w:val="clear" w:color="auto" w:fill="auto"/>
          </w:tcPr>
          <w:p w14:paraId="6F5918BF"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sz w:val="24"/>
                <w:szCs w:val="24"/>
              </w:rPr>
            </w:pPr>
            <w:r w:rsidRPr="00300C84">
              <w:rPr>
                <w:rFonts w:ascii="Times New Roman" w:hAnsi="Times New Roman"/>
                <w:sz w:val="24"/>
                <w:szCs w:val="24"/>
              </w:rPr>
              <w:t>Manufacturer/Repackager</w:t>
            </w:r>
          </w:p>
        </w:tc>
        <w:tc>
          <w:tcPr>
            <w:tcW w:w="1827" w:type="dxa"/>
            <w:shd w:val="clear" w:color="auto" w:fill="auto"/>
          </w:tcPr>
          <w:p w14:paraId="48175664"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sz w:val="24"/>
                <w:szCs w:val="24"/>
              </w:rPr>
            </w:pPr>
            <w:r w:rsidRPr="00300C84">
              <w:rPr>
                <w:rFonts w:ascii="Times New Roman" w:hAnsi="Times New Roman"/>
                <w:sz w:val="24"/>
                <w:szCs w:val="24"/>
              </w:rPr>
              <w:t>Request Termination</w:t>
            </w:r>
          </w:p>
        </w:tc>
        <w:tc>
          <w:tcPr>
            <w:tcW w:w="1256" w:type="dxa"/>
            <w:shd w:val="clear" w:color="auto" w:fill="auto"/>
          </w:tcPr>
          <w:p w14:paraId="425A0FAC"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sz w:val="24"/>
                <w:szCs w:val="24"/>
              </w:rPr>
            </w:pPr>
            <w:r>
              <w:rPr>
                <w:rFonts w:ascii="Times New Roman" w:hAnsi="Times New Roman"/>
                <w:sz w:val="24"/>
                <w:szCs w:val="24"/>
              </w:rPr>
              <w:t>800</w:t>
            </w:r>
          </w:p>
        </w:tc>
        <w:tc>
          <w:tcPr>
            <w:tcW w:w="1507" w:type="dxa"/>
            <w:shd w:val="clear" w:color="auto" w:fill="auto"/>
          </w:tcPr>
          <w:p w14:paraId="14180F0E"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sz w:val="24"/>
                <w:szCs w:val="24"/>
              </w:rPr>
            </w:pPr>
            <w:r w:rsidRPr="00300C84">
              <w:rPr>
                <w:rFonts w:ascii="Times New Roman" w:hAnsi="Times New Roman"/>
                <w:sz w:val="24"/>
                <w:szCs w:val="24"/>
              </w:rPr>
              <w:t>$139.56</w:t>
            </w:r>
          </w:p>
        </w:tc>
        <w:tc>
          <w:tcPr>
            <w:tcW w:w="1536" w:type="dxa"/>
            <w:shd w:val="clear" w:color="auto" w:fill="auto"/>
          </w:tcPr>
          <w:p w14:paraId="7A065031" w14:textId="4452501E" w:rsidR="00000BB9" w:rsidRPr="00300C84" w:rsidRDefault="00815B03" w:rsidP="00000BB9">
            <w:pPr>
              <w:tabs>
                <w:tab w:val="left" w:pos="-720"/>
                <w:tab w:val="left" w:pos="0"/>
                <w:tab w:val="left" w:pos="378"/>
                <w:tab w:val="left" w:pos="1440"/>
              </w:tabs>
              <w:spacing w:after="0" w:line="240" w:lineRule="auto"/>
              <w:jc w:val="center"/>
              <w:rPr>
                <w:rFonts w:ascii="Times New Roman" w:hAnsi="Times New Roman"/>
                <w:sz w:val="24"/>
                <w:szCs w:val="24"/>
              </w:rPr>
            </w:pPr>
            <w:r>
              <w:rPr>
                <w:rFonts w:ascii="Times New Roman" w:hAnsi="Times New Roman"/>
                <w:sz w:val="24"/>
                <w:szCs w:val="24"/>
              </w:rPr>
              <w:t>$</w:t>
            </w:r>
            <w:r w:rsidR="00000BB9">
              <w:rPr>
                <w:rFonts w:ascii="Times New Roman" w:hAnsi="Times New Roman"/>
                <w:sz w:val="24"/>
                <w:szCs w:val="24"/>
              </w:rPr>
              <w:t>111,648</w:t>
            </w:r>
          </w:p>
        </w:tc>
      </w:tr>
      <w:tr w:rsidR="00000BB9" w14:paraId="39A8C939" w14:textId="77777777" w:rsidTr="00000BB9">
        <w:tc>
          <w:tcPr>
            <w:tcW w:w="3078" w:type="dxa"/>
            <w:shd w:val="clear" w:color="auto" w:fill="auto"/>
          </w:tcPr>
          <w:p w14:paraId="1F2998AA"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sz w:val="24"/>
                <w:szCs w:val="24"/>
              </w:rPr>
            </w:pPr>
            <w:r w:rsidRPr="00300C84">
              <w:rPr>
                <w:rFonts w:ascii="Times New Roman" w:hAnsi="Times New Roman"/>
                <w:sz w:val="24"/>
                <w:szCs w:val="24"/>
              </w:rPr>
              <w:t>Manufacturer/Repackager</w:t>
            </w:r>
          </w:p>
        </w:tc>
        <w:tc>
          <w:tcPr>
            <w:tcW w:w="1827" w:type="dxa"/>
            <w:shd w:val="clear" w:color="auto" w:fill="auto"/>
          </w:tcPr>
          <w:p w14:paraId="19D2866E"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sz w:val="24"/>
                <w:szCs w:val="24"/>
              </w:rPr>
            </w:pPr>
            <w:r w:rsidRPr="00300C84">
              <w:rPr>
                <w:rFonts w:ascii="Times New Roman" w:hAnsi="Times New Roman"/>
                <w:sz w:val="24"/>
                <w:szCs w:val="24"/>
              </w:rPr>
              <w:t>Terminate with Trading Partners</w:t>
            </w:r>
          </w:p>
        </w:tc>
        <w:tc>
          <w:tcPr>
            <w:tcW w:w="1256" w:type="dxa"/>
            <w:shd w:val="clear" w:color="auto" w:fill="auto"/>
          </w:tcPr>
          <w:p w14:paraId="3C7BE72E"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sz w:val="24"/>
                <w:szCs w:val="24"/>
              </w:rPr>
            </w:pPr>
            <w:r>
              <w:rPr>
                <w:rFonts w:ascii="Times New Roman" w:hAnsi="Times New Roman"/>
                <w:sz w:val="24"/>
                <w:szCs w:val="24"/>
              </w:rPr>
              <w:t>4800</w:t>
            </w:r>
          </w:p>
        </w:tc>
        <w:tc>
          <w:tcPr>
            <w:tcW w:w="1507" w:type="dxa"/>
            <w:shd w:val="clear" w:color="auto" w:fill="auto"/>
          </w:tcPr>
          <w:p w14:paraId="7860928B"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sz w:val="24"/>
                <w:szCs w:val="24"/>
              </w:rPr>
            </w:pPr>
            <w:r w:rsidRPr="00300C84">
              <w:rPr>
                <w:rFonts w:ascii="Times New Roman" w:hAnsi="Times New Roman"/>
                <w:sz w:val="24"/>
                <w:szCs w:val="24"/>
              </w:rPr>
              <w:t>$139.56</w:t>
            </w:r>
          </w:p>
        </w:tc>
        <w:tc>
          <w:tcPr>
            <w:tcW w:w="1536" w:type="dxa"/>
            <w:shd w:val="clear" w:color="auto" w:fill="auto"/>
          </w:tcPr>
          <w:p w14:paraId="2BE2DF99" w14:textId="24D875ED" w:rsidR="00000BB9" w:rsidRPr="00300C84" w:rsidRDefault="00815B03" w:rsidP="00000BB9">
            <w:pPr>
              <w:tabs>
                <w:tab w:val="left" w:pos="-720"/>
                <w:tab w:val="left" w:pos="0"/>
                <w:tab w:val="left" w:pos="378"/>
                <w:tab w:val="left" w:pos="1440"/>
              </w:tabs>
              <w:spacing w:after="0" w:line="240" w:lineRule="auto"/>
              <w:jc w:val="center"/>
              <w:rPr>
                <w:rFonts w:ascii="Times New Roman" w:hAnsi="Times New Roman"/>
                <w:sz w:val="24"/>
                <w:szCs w:val="24"/>
              </w:rPr>
            </w:pPr>
            <w:r>
              <w:rPr>
                <w:rFonts w:ascii="Times New Roman" w:hAnsi="Times New Roman"/>
                <w:sz w:val="24"/>
                <w:szCs w:val="24"/>
              </w:rPr>
              <w:t>$</w:t>
            </w:r>
            <w:r w:rsidR="00000BB9">
              <w:rPr>
                <w:rFonts w:ascii="Times New Roman" w:hAnsi="Times New Roman"/>
                <w:sz w:val="24"/>
                <w:szCs w:val="24"/>
              </w:rPr>
              <w:t>669,888</w:t>
            </w:r>
          </w:p>
        </w:tc>
      </w:tr>
      <w:tr w:rsidR="00000BB9" w14:paraId="7A968A51" w14:textId="77777777" w:rsidTr="00000BB9">
        <w:tc>
          <w:tcPr>
            <w:tcW w:w="3078" w:type="dxa"/>
            <w:shd w:val="clear" w:color="auto" w:fill="auto"/>
          </w:tcPr>
          <w:p w14:paraId="1B3C64FA"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b/>
                <w:sz w:val="24"/>
                <w:szCs w:val="24"/>
              </w:rPr>
            </w:pPr>
            <w:r w:rsidRPr="00300C84">
              <w:rPr>
                <w:rFonts w:ascii="Times New Roman" w:hAnsi="Times New Roman"/>
                <w:b/>
                <w:sz w:val="24"/>
                <w:szCs w:val="24"/>
              </w:rPr>
              <w:t>Total Manufacturer/Repackager</w:t>
            </w:r>
          </w:p>
        </w:tc>
        <w:tc>
          <w:tcPr>
            <w:tcW w:w="1827" w:type="dxa"/>
            <w:shd w:val="clear" w:color="auto" w:fill="auto"/>
          </w:tcPr>
          <w:p w14:paraId="76FA996B"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b/>
                <w:sz w:val="24"/>
                <w:szCs w:val="24"/>
              </w:rPr>
            </w:pPr>
          </w:p>
        </w:tc>
        <w:tc>
          <w:tcPr>
            <w:tcW w:w="1256" w:type="dxa"/>
            <w:shd w:val="clear" w:color="auto" w:fill="auto"/>
          </w:tcPr>
          <w:p w14:paraId="06DC8C78"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b/>
                <w:sz w:val="24"/>
                <w:szCs w:val="24"/>
              </w:rPr>
            </w:pPr>
          </w:p>
        </w:tc>
        <w:tc>
          <w:tcPr>
            <w:tcW w:w="1507" w:type="dxa"/>
            <w:shd w:val="clear" w:color="auto" w:fill="auto"/>
          </w:tcPr>
          <w:p w14:paraId="56058EF7"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b/>
                <w:sz w:val="24"/>
                <w:szCs w:val="24"/>
              </w:rPr>
            </w:pPr>
          </w:p>
        </w:tc>
        <w:tc>
          <w:tcPr>
            <w:tcW w:w="1536" w:type="dxa"/>
            <w:shd w:val="clear" w:color="auto" w:fill="auto"/>
          </w:tcPr>
          <w:p w14:paraId="2E4A7C7D" w14:textId="1F30D593" w:rsidR="00000BB9" w:rsidRPr="00300C84" w:rsidRDefault="00815B03" w:rsidP="00000BB9">
            <w:pPr>
              <w:tabs>
                <w:tab w:val="left" w:pos="-720"/>
                <w:tab w:val="left" w:pos="0"/>
                <w:tab w:val="left" w:pos="378"/>
                <w:tab w:val="left" w:pos="1440"/>
              </w:tabs>
              <w:spacing w:after="0" w:line="240" w:lineRule="auto"/>
              <w:jc w:val="center"/>
              <w:rPr>
                <w:rFonts w:ascii="Times New Roman" w:hAnsi="Times New Roman"/>
                <w:b/>
                <w:sz w:val="24"/>
                <w:szCs w:val="24"/>
              </w:rPr>
            </w:pPr>
            <w:r>
              <w:rPr>
                <w:rFonts w:ascii="Times New Roman" w:hAnsi="Times New Roman"/>
                <w:b/>
                <w:sz w:val="24"/>
                <w:szCs w:val="24"/>
              </w:rPr>
              <w:t>$</w:t>
            </w:r>
            <w:r w:rsidR="00000BB9">
              <w:rPr>
                <w:rFonts w:ascii="Times New Roman" w:hAnsi="Times New Roman"/>
                <w:b/>
                <w:sz w:val="24"/>
                <w:szCs w:val="24"/>
              </w:rPr>
              <w:t>1,563,072</w:t>
            </w:r>
          </w:p>
        </w:tc>
      </w:tr>
      <w:tr w:rsidR="00000BB9" w14:paraId="324B6870" w14:textId="77777777" w:rsidTr="00000BB9">
        <w:tc>
          <w:tcPr>
            <w:tcW w:w="3078" w:type="dxa"/>
            <w:shd w:val="clear" w:color="auto" w:fill="auto"/>
          </w:tcPr>
          <w:p w14:paraId="7C454D7E"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sz w:val="24"/>
                <w:szCs w:val="24"/>
              </w:rPr>
            </w:pPr>
            <w:r w:rsidRPr="00300C84">
              <w:rPr>
                <w:rFonts w:ascii="Times New Roman" w:hAnsi="Times New Roman"/>
                <w:sz w:val="24"/>
                <w:szCs w:val="24"/>
              </w:rPr>
              <w:t>Wholesale Distributor</w:t>
            </w:r>
          </w:p>
        </w:tc>
        <w:tc>
          <w:tcPr>
            <w:tcW w:w="1827" w:type="dxa"/>
            <w:shd w:val="clear" w:color="auto" w:fill="auto"/>
          </w:tcPr>
          <w:p w14:paraId="09BAD596"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sz w:val="24"/>
                <w:szCs w:val="24"/>
              </w:rPr>
            </w:pPr>
            <w:r w:rsidRPr="00300C84">
              <w:rPr>
                <w:rFonts w:ascii="Times New Roman" w:hAnsi="Times New Roman"/>
                <w:sz w:val="24"/>
                <w:szCs w:val="24"/>
              </w:rPr>
              <w:t>Notify FDA</w:t>
            </w:r>
          </w:p>
        </w:tc>
        <w:tc>
          <w:tcPr>
            <w:tcW w:w="1256" w:type="dxa"/>
            <w:shd w:val="clear" w:color="auto" w:fill="auto"/>
          </w:tcPr>
          <w:p w14:paraId="5FA083E0"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sz w:val="24"/>
                <w:szCs w:val="24"/>
              </w:rPr>
            </w:pPr>
            <w:r>
              <w:rPr>
                <w:rFonts w:ascii="Times New Roman" w:hAnsi="Times New Roman"/>
                <w:sz w:val="24"/>
                <w:szCs w:val="24"/>
              </w:rPr>
              <w:t>160</w:t>
            </w:r>
          </w:p>
        </w:tc>
        <w:tc>
          <w:tcPr>
            <w:tcW w:w="1507" w:type="dxa"/>
            <w:shd w:val="clear" w:color="auto" w:fill="auto"/>
          </w:tcPr>
          <w:p w14:paraId="2BF024E8"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sz w:val="24"/>
                <w:szCs w:val="24"/>
              </w:rPr>
            </w:pPr>
            <w:r w:rsidRPr="00300C84">
              <w:rPr>
                <w:rFonts w:ascii="Times New Roman" w:hAnsi="Times New Roman"/>
                <w:sz w:val="24"/>
                <w:szCs w:val="24"/>
              </w:rPr>
              <w:t>$136.88</w:t>
            </w:r>
          </w:p>
        </w:tc>
        <w:tc>
          <w:tcPr>
            <w:tcW w:w="1536" w:type="dxa"/>
            <w:shd w:val="clear" w:color="auto" w:fill="auto"/>
          </w:tcPr>
          <w:p w14:paraId="36C4ADC6" w14:textId="2F7E1F07" w:rsidR="00000BB9" w:rsidRPr="00300C84" w:rsidRDefault="00815B03" w:rsidP="00000BB9">
            <w:pPr>
              <w:tabs>
                <w:tab w:val="left" w:pos="-720"/>
                <w:tab w:val="left" w:pos="0"/>
                <w:tab w:val="left" w:pos="378"/>
                <w:tab w:val="left" w:pos="1440"/>
              </w:tabs>
              <w:spacing w:after="0" w:line="240" w:lineRule="auto"/>
              <w:jc w:val="right"/>
              <w:rPr>
                <w:rFonts w:ascii="Times New Roman" w:hAnsi="Times New Roman"/>
                <w:sz w:val="24"/>
                <w:szCs w:val="24"/>
              </w:rPr>
            </w:pPr>
            <w:r>
              <w:rPr>
                <w:rFonts w:ascii="Times New Roman" w:hAnsi="Times New Roman"/>
                <w:sz w:val="24"/>
                <w:szCs w:val="24"/>
              </w:rPr>
              <w:t>$</w:t>
            </w:r>
            <w:r w:rsidR="00000BB9">
              <w:rPr>
                <w:rFonts w:ascii="Times New Roman" w:hAnsi="Times New Roman"/>
                <w:sz w:val="24"/>
                <w:szCs w:val="24"/>
              </w:rPr>
              <w:t>21,901</w:t>
            </w:r>
          </w:p>
        </w:tc>
      </w:tr>
      <w:tr w:rsidR="00000BB9" w14:paraId="0FFD2D69" w14:textId="77777777" w:rsidTr="00000BB9">
        <w:tc>
          <w:tcPr>
            <w:tcW w:w="3078" w:type="dxa"/>
            <w:shd w:val="clear" w:color="auto" w:fill="auto"/>
          </w:tcPr>
          <w:p w14:paraId="11F24C8F"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sz w:val="24"/>
                <w:szCs w:val="24"/>
              </w:rPr>
            </w:pPr>
            <w:r w:rsidRPr="00300C84">
              <w:rPr>
                <w:rFonts w:ascii="Times New Roman" w:hAnsi="Times New Roman"/>
                <w:sz w:val="24"/>
                <w:szCs w:val="24"/>
              </w:rPr>
              <w:t>Wholesale Distributor</w:t>
            </w:r>
          </w:p>
        </w:tc>
        <w:tc>
          <w:tcPr>
            <w:tcW w:w="1827" w:type="dxa"/>
            <w:shd w:val="clear" w:color="auto" w:fill="auto"/>
          </w:tcPr>
          <w:p w14:paraId="176FC273"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sz w:val="24"/>
                <w:szCs w:val="24"/>
              </w:rPr>
            </w:pPr>
            <w:r w:rsidRPr="00300C84">
              <w:rPr>
                <w:rFonts w:ascii="Times New Roman" w:hAnsi="Times New Roman"/>
                <w:sz w:val="24"/>
                <w:szCs w:val="24"/>
              </w:rPr>
              <w:t xml:space="preserve">Notify Trading </w:t>
            </w:r>
            <w:r w:rsidRPr="00300C84">
              <w:rPr>
                <w:rFonts w:ascii="Times New Roman" w:hAnsi="Times New Roman"/>
                <w:sz w:val="24"/>
                <w:szCs w:val="24"/>
              </w:rPr>
              <w:lastRenderedPageBreak/>
              <w:t>Partners</w:t>
            </w:r>
          </w:p>
        </w:tc>
        <w:tc>
          <w:tcPr>
            <w:tcW w:w="1256" w:type="dxa"/>
            <w:shd w:val="clear" w:color="auto" w:fill="auto"/>
          </w:tcPr>
          <w:p w14:paraId="3583679B" w14:textId="1DE96E01" w:rsidR="00000BB9" w:rsidRPr="00300C84" w:rsidRDefault="009906DB" w:rsidP="00000BB9">
            <w:pPr>
              <w:tabs>
                <w:tab w:val="left" w:pos="-720"/>
                <w:tab w:val="left" w:pos="0"/>
                <w:tab w:val="left" w:pos="378"/>
                <w:tab w:val="left" w:pos="1440"/>
              </w:tabs>
              <w:spacing w:after="0" w:line="240" w:lineRule="auto"/>
              <w:rPr>
                <w:rFonts w:ascii="Times New Roman" w:hAnsi="Times New Roman"/>
                <w:sz w:val="24"/>
                <w:szCs w:val="24"/>
              </w:rPr>
            </w:pPr>
            <w:r>
              <w:rPr>
                <w:rFonts w:ascii="Times New Roman" w:hAnsi="Times New Roman"/>
                <w:sz w:val="24"/>
                <w:szCs w:val="24"/>
              </w:rPr>
              <w:lastRenderedPageBreak/>
              <w:t>37,600</w:t>
            </w:r>
          </w:p>
        </w:tc>
        <w:tc>
          <w:tcPr>
            <w:tcW w:w="1507" w:type="dxa"/>
            <w:shd w:val="clear" w:color="auto" w:fill="auto"/>
          </w:tcPr>
          <w:p w14:paraId="0D2A7722"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sz w:val="24"/>
                <w:szCs w:val="24"/>
              </w:rPr>
            </w:pPr>
            <w:r w:rsidRPr="00300C84">
              <w:rPr>
                <w:rFonts w:ascii="Times New Roman" w:hAnsi="Times New Roman"/>
                <w:sz w:val="24"/>
                <w:szCs w:val="24"/>
              </w:rPr>
              <w:t>$136.88</w:t>
            </w:r>
          </w:p>
        </w:tc>
        <w:tc>
          <w:tcPr>
            <w:tcW w:w="1536" w:type="dxa"/>
            <w:shd w:val="clear" w:color="auto" w:fill="auto"/>
          </w:tcPr>
          <w:p w14:paraId="31291451" w14:textId="147912FB" w:rsidR="00000BB9" w:rsidRPr="00300C84" w:rsidRDefault="00815B03" w:rsidP="00000BB9">
            <w:pPr>
              <w:tabs>
                <w:tab w:val="left" w:pos="-720"/>
                <w:tab w:val="left" w:pos="0"/>
                <w:tab w:val="left" w:pos="378"/>
                <w:tab w:val="left" w:pos="1440"/>
              </w:tabs>
              <w:spacing w:after="0" w:line="240" w:lineRule="auto"/>
              <w:jc w:val="right"/>
              <w:rPr>
                <w:rFonts w:ascii="Times New Roman" w:hAnsi="Times New Roman"/>
                <w:sz w:val="24"/>
                <w:szCs w:val="24"/>
              </w:rPr>
            </w:pPr>
            <w:r>
              <w:rPr>
                <w:rFonts w:ascii="Times New Roman" w:hAnsi="Times New Roman"/>
                <w:sz w:val="24"/>
                <w:szCs w:val="24"/>
              </w:rPr>
              <w:t>$</w:t>
            </w:r>
            <w:r w:rsidR="009906DB">
              <w:rPr>
                <w:rFonts w:ascii="Times New Roman" w:hAnsi="Times New Roman"/>
                <w:sz w:val="24"/>
                <w:szCs w:val="24"/>
              </w:rPr>
              <w:t>5,146,688</w:t>
            </w:r>
          </w:p>
        </w:tc>
      </w:tr>
      <w:tr w:rsidR="00000BB9" w14:paraId="306EBEF5" w14:textId="77777777" w:rsidTr="00000BB9">
        <w:tc>
          <w:tcPr>
            <w:tcW w:w="3078" w:type="dxa"/>
            <w:shd w:val="clear" w:color="auto" w:fill="auto"/>
          </w:tcPr>
          <w:p w14:paraId="7EC3E1A5"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sz w:val="24"/>
                <w:szCs w:val="24"/>
              </w:rPr>
            </w:pPr>
            <w:r w:rsidRPr="00300C84">
              <w:rPr>
                <w:rFonts w:ascii="Times New Roman" w:hAnsi="Times New Roman"/>
                <w:sz w:val="24"/>
                <w:szCs w:val="24"/>
              </w:rPr>
              <w:lastRenderedPageBreak/>
              <w:t>Wholesale Distributor</w:t>
            </w:r>
          </w:p>
        </w:tc>
        <w:tc>
          <w:tcPr>
            <w:tcW w:w="1827" w:type="dxa"/>
            <w:shd w:val="clear" w:color="auto" w:fill="auto"/>
          </w:tcPr>
          <w:p w14:paraId="3BB4623D"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sz w:val="24"/>
                <w:szCs w:val="24"/>
              </w:rPr>
            </w:pPr>
            <w:r w:rsidRPr="00300C84">
              <w:rPr>
                <w:rFonts w:ascii="Times New Roman" w:hAnsi="Times New Roman"/>
                <w:sz w:val="24"/>
                <w:szCs w:val="24"/>
              </w:rPr>
              <w:t xml:space="preserve">Request Termination </w:t>
            </w:r>
          </w:p>
        </w:tc>
        <w:tc>
          <w:tcPr>
            <w:tcW w:w="1256" w:type="dxa"/>
            <w:shd w:val="clear" w:color="auto" w:fill="auto"/>
          </w:tcPr>
          <w:p w14:paraId="12299C33"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sz w:val="24"/>
                <w:szCs w:val="24"/>
              </w:rPr>
            </w:pPr>
            <w:r>
              <w:rPr>
                <w:rFonts w:ascii="Times New Roman" w:hAnsi="Times New Roman"/>
                <w:sz w:val="24"/>
                <w:szCs w:val="24"/>
              </w:rPr>
              <w:t>160</w:t>
            </w:r>
          </w:p>
        </w:tc>
        <w:tc>
          <w:tcPr>
            <w:tcW w:w="1507" w:type="dxa"/>
            <w:shd w:val="clear" w:color="auto" w:fill="auto"/>
          </w:tcPr>
          <w:p w14:paraId="615A026E"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sz w:val="24"/>
                <w:szCs w:val="24"/>
              </w:rPr>
            </w:pPr>
            <w:r w:rsidRPr="00300C84">
              <w:rPr>
                <w:rFonts w:ascii="Times New Roman" w:hAnsi="Times New Roman"/>
                <w:sz w:val="24"/>
                <w:szCs w:val="24"/>
              </w:rPr>
              <w:t>$136.88</w:t>
            </w:r>
          </w:p>
        </w:tc>
        <w:tc>
          <w:tcPr>
            <w:tcW w:w="1536" w:type="dxa"/>
            <w:shd w:val="clear" w:color="auto" w:fill="auto"/>
          </w:tcPr>
          <w:p w14:paraId="551C0EC0" w14:textId="03D9ECF2" w:rsidR="00000BB9" w:rsidRPr="00300C84" w:rsidRDefault="00815B03" w:rsidP="00000BB9">
            <w:pPr>
              <w:tabs>
                <w:tab w:val="left" w:pos="-720"/>
                <w:tab w:val="left" w:pos="0"/>
                <w:tab w:val="left" w:pos="378"/>
                <w:tab w:val="left" w:pos="1440"/>
              </w:tabs>
              <w:spacing w:after="0" w:line="240" w:lineRule="auto"/>
              <w:jc w:val="right"/>
              <w:rPr>
                <w:rFonts w:ascii="Times New Roman" w:hAnsi="Times New Roman"/>
                <w:sz w:val="24"/>
                <w:szCs w:val="24"/>
              </w:rPr>
            </w:pPr>
            <w:r>
              <w:rPr>
                <w:rFonts w:ascii="Times New Roman" w:hAnsi="Times New Roman"/>
                <w:sz w:val="24"/>
                <w:szCs w:val="24"/>
              </w:rPr>
              <w:t>$</w:t>
            </w:r>
            <w:r w:rsidR="00000BB9">
              <w:rPr>
                <w:rFonts w:ascii="Times New Roman" w:hAnsi="Times New Roman"/>
                <w:sz w:val="24"/>
                <w:szCs w:val="24"/>
              </w:rPr>
              <w:t>21,901</w:t>
            </w:r>
          </w:p>
        </w:tc>
      </w:tr>
      <w:tr w:rsidR="00000BB9" w14:paraId="1EC2474D" w14:textId="77777777" w:rsidTr="00000BB9">
        <w:tc>
          <w:tcPr>
            <w:tcW w:w="3078" w:type="dxa"/>
            <w:shd w:val="clear" w:color="auto" w:fill="auto"/>
          </w:tcPr>
          <w:p w14:paraId="23A0835D"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sz w:val="24"/>
                <w:szCs w:val="24"/>
              </w:rPr>
            </w:pPr>
            <w:r w:rsidRPr="00300C84">
              <w:rPr>
                <w:rFonts w:ascii="Times New Roman" w:hAnsi="Times New Roman"/>
                <w:sz w:val="24"/>
                <w:szCs w:val="24"/>
              </w:rPr>
              <w:t>Wholesale Distributor</w:t>
            </w:r>
          </w:p>
        </w:tc>
        <w:tc>
          <w:tcPr>
            <w:tcW w:w="1827" w:type="dxa"/>
            <w:shd w:val="clear" w:color="auto" w:fill="auto"/>
          </w:tcPr>
          <w:p w14:paraId="5FDC4FC4"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sz w:val="24"/>
                <w:szCs w:val="24"/>
              </w:rPr>
            </w:pPr>
            <w:r w:rsidRPr="00300C84">
              <w:rPr>
                <w:rFonts w:ascii="Times New Roman" w:hAnsi="Times New Roman"/>
                <w:sz w:val="24"/>
                <w:szCs w:val="24"/>
              </w:rPr>
              <w:t>Terminate Trading Partners</w:t>
            </w:r>
          </w:p>
        </w:tc>
        <w:tc>
          <w:tcPr>
            <w:tcW w:w="1256" w:type="dxa"/>
            <w:shd w:val="clear" w:color="auto" w:fill="auto"/>
          </w:tcPr>
          <w:p w14:paraId="21ECE8E6" w14:textId="3D4BA89A" w:rsidR="00000BB9" w:rsidRPr="00300C84" w:rsidRDefault="009906DB" w:rsidP="00000BB9">
            <w:pPr>
              <w:tabs>
                <w:tab w:val="left" w:pos="-720"/>
                <w:tab w:val="left" w:pos="0"/>
                <w:tab w:val="left" w:pos="378"/>
                <w:tab w:val="left" w:pos="1440"/>
              </w:tabs>
              <w:spacing w:after="0" w:line="240" w:lineRule="auto"/>
              <w:rPr>
                <w:rFonts w:ascii="Times New Roman" w:hAnsi="Times New Roman"/>
                <w:sz w:val="24"/>
                <w:szCs w:val="24"/>
              </w:rPr>
            </w:pPr>
            <w:r>
              <w:rPr>
                <w:rFonts w:ascii="Times New Roman" w:hAnsi="Times New Roman"/>
                <w:sz w:val="24"/>
                <w:szCs w:val="24"/>
              </w:rPr>
              <w:t>37,600</w:t>
            </w:r>
          </w:p>
        </w:tc>
        <w:tc>
          <w:tcPr>
            <w:tcW w:w="1507" w:type="dxa"/>
            <w:shd w:val="clear" w:color="auto" w:fill="auto"/>
          </w:tcPr>
          <w:p w14:paraId="18AF791A"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sz w:val="24"/>
                <w:szCs w:val="24"/>
              </w:rPr>
            </w:pPr>
            <w:r w:rsidRPr="00300C84">
              <w:rPr>
                <w:rFonts w:ascii="Times New Roman" w:hAnsi="Times New Roman"/>
                <w:sz w:val="24"/>
                <w:szCs w:val="24"/>
              </w:rPr>
              <w:t>$136.88</w:t>
            </w:r>
          </w:p>
        </w:tc>
        <w:tc>
          <w:tcPr>
            <w:tcW w:w="1536" w:type="dxa"/>
            <w:shd w:val="clear" w:color="auto" w:fill="auto"/>
          </w:tcPr>
          <w:p w14:paraId="1EC5A11B" w14:textId="5A63B782" w:rsidR="00000BB9" w:rsidRPr="00300C84" w:rsidRDefault="00815B03" w:rsidP="00000BB9">
            <w:pPr>
              <w:tabs>
                <w:tab w:val="left" w:pos="-720"/>
                <w:tab w:val="left" w:pos="0"/>
                <w:tab w:val="left" w:pos="378"/>
                <w:tab w:val="left" w:pos="1440"/>
              </w:tabs>
              <w:spacing w:after="0" w:line="240" w:lineRule="auto"/>
              <w:jc w:val="right"/>
              <w:rPr>
                <w:rFonts w:ascii="Times New Roman" w:hAnsi="Times New Roman"/>
                <w:sz w:val="24"/>
                <w:szCs w:val="24"/>
              </w:rPr>
            </w:pPr>
            <w:r>
              <w:rPr>
                <w:rFonts w:ascii="Times New Roman" w:hAnsi="Times New Roman"/>
                <w:sz w:val="24"/>
                <w:szCs w:val="24"/>
              </w:rPr>
              <w:t>$</w:t>
            </w:r>
            <w:r w:rsidR="009906DB">
              <w:rPr>
                <w:rFonts w:ascii="Times New Roman" w:hAnsi="Times New Roman"/>
                <w:sz w:val="24"/>
                <w:szCs w:val="24"/>
              </w:rPr>
              <w:t>5,146,688</w:t>
            </w:r>
          </w:p>
        </w:tc>
      </w:tr>
      <w:tr w:rsidR="00000BB9" w14:paraId="289D9215" w14:textId="77777777" w:rsidTr="00000BB9">
        <w:tc>
          <w:tcPr>
            <w:tcW w:w="3078" w:type="dxa"/>
            <w:shd w:val="clear" w:color="auto" w:fill="auto"/>
          </w:tcPr>
          <w:p w14:paraId="1E361B2F"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b/>
                <w:sz w:val="24"/>
                <w:szCs w:val="24"/>
              </w:rPr>
            </w:pPr>
            <w:r w:rsidRPr="00300C84">
              <w:rPr>
                <w:rFonts w:ascii="Times New Roman" w:hAnsi="Times New Roman"/>
                <w:b/>
                <w:sz w:val="24"/>
                <w:szCs w:val="24"/>
              </w:rPr>
              <w:t>Total Wholesale Distributor</w:t>
            </w:r>
          </w:p>
        </w:tc>
        <w:tc>
          <w:tcPr>
            <w:tcW w:w="1827" w:type="dxa"/>
            <w:shd w:val="clear" w:color="auto" w:fill="auto"/>
          </w:tcPr>
          <w:p w14:paraId="1CBD951F"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b/>
                <w:sz w:val="24"/>
                <w:szCs w:val="24"/>
              </w:rPr>
            </w:pPr>
          </w:p>
        </w:tc>
        <w:tc>
          <w:tcPr>
            <w:tcW w:w="1256" w:type="dxa"/>
            <w:shd w:val="clear" w:color="auto" w:fill="auto"/>
          </w:tcPr>
          <w:p w14:paraId="300E7ED5"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b/>
                <w:sz w:val="24"/>
                <w:szCs w:val="24"/>
              </w:rPr>
            </w:pPr>
          </w:p>
        </w:tc>
        <w:tc>
          <w:tcPr>
            <w:tcW w:w="1507" w:type="dxa"/>
            <w:shd w:val="clear" w:color="auto" w:fill="auto"/>
          </w:tcPr>
          <w:p w14:paraId="3724908A"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b/>
                <w:sz w:val="24"/>
                <w:szCs w:val="24"/>
              </w:rPr>
            </w:pPr>
          </w:p>
        </w:tc>
        <w:tc>
          <w:tcPr>
            <w:tcW w:w="1536" w:type="dxa"/>
            <w:shd w:val="clear" w:color="auto" w:fill="auto"/>
          </w:tcPr>
          <w:p w14:paraId="10C9CBD6" w14:textId="3E83EDE3" w:rsidR="00F0103A" w:rsidRPr="00300C84" w:rsidRDefault="00815B03" w:rsidP="009906DB">
            <w:pPr>
              <w:tabs>
                <w:tab w:val="left" w:pos="-720"/>
                <w:tab w:val="left" w:pos="0"/>
                <w:tab w:val="left" w:pos="378"/>
                <w:tab w:val="left" w:pos="1440"/>
              </w:tabs>
              <w:spacing w:after="0" w:line="240" w:lineRule="auto"/>
              <w:jc w:val="right"/>
              <w:rPr>
                <w:rFonts w:ascii="Times New Roman" w:hAnsi="Times New Roman"/>
                <w:b/>
                <w:sz w:val="24"/>
                <w:szCs w:val="24"/>
              </w:rPr>
            </w:pPr>
            <w:r>
              <w:rPr>
                <w:rFonts w:ascii="Times New Roman" w:hAnsi="Times New Roman"/>
                <w:b/>
                <w:sz w:val="24"/>
                <w:szCs w:val="24"/>
              </w:rPr>
              <w:t>$</w:t>
            </w:r>
            <w:r w:rsidR="001D4DFD">
              <w:rPr>
                <w:rFonts w:ascii="Times New Roman" w:hAnsi="Times New Roman"/>
                <w:b/>
                <w:sz w:val="24"/>
                <w:szCs w:val="24"/>
              </w:rPr>
              <w:t>10,337,178</w:t>
            </w:r>
          </w:p>
        </w:tc>
      </w:tr>
      <w:tr w:rsidR="00000BB9" w14:paraId="4FFFB82E" w14:textId="77777777" w:rsidTr="00000BB9">
        <w:tc>
          <w:tcPr>
            <w:tcW w:w="3078" w:type="dxa"/>
            <w:shd w:val="clear" w:color="auto" w:fill="auto"/>
          </w:tcPr>
          <w:p w14:paraId="3FF9F217"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sz w:val="24"/>
                <w:szCs w:val="24"/>
              </w:rPr>
            </w:pPr>
            <w:r w:rsidRPr="00300C84">
              <w:rPr>
                <w:rFonts w:ascii="Times New Roman" w:hAnsi="Times New Roman"/>
                <w:sz w:val="24"/>
                <w:szCs w:val="24"/>
              </w:rPr>
              <w:t>Pharmacist</w:t>
            </w:r>
          </w:p>
        </w:tc>
        <w:tc>
          <w:tcPr>
            <w:tcW w:w="1827" w:type="dxa"/>
            <w:shd w:val="clear" w:color="auto" w:fill="auto"/>
          </w:tcPr>
          <w:p w14:paraId="72C93A9D"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sz w:val="24"/>
                <w:szCs w:val="24"/>
              </w:rPr>
            </w:pPr>
            <w:r w:rsidRPr="00300C84">
              <w:rPr>
                <w:rFonts w:ascii="Times New Roman" w:hAnsi="Times New Roman"/>
                <w:sz w:val="24"/>
                <w:szCs w:val="24"/>
              </w:rPr>
              <w:t>Notify FDA</w:t>
            </w:r>
          </w:p>
        </w:tc>
        <w:tc>
          <w:tcPr>
            <w:tcW w:w="1256" w:type="dxa"/>
            <w:shd w:val="clear" w:color="auto" w:fill="auto"/>
          </w:tcPr>
          <w:p w14:paraId="2CDA8635"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sz w:val="24"/>
                <w:szCs w:val="24"/>
              </w:rPr>
            </w:pPr>
            <w:r>
              <w:rPr>
                <w:rFonts w:ascii="Times New Roman" w:hAnsi="Times New Roman"/>
                <w:sz w:val="24"/>
                <w:szCs w:val="24"/>
              </w:rPr>
              <w:t>40</w:t>
            </w:r>
          </w:p>
        </w:tc>
        <w:tc>
          <w:tcPr>
            <w:tcW w:w="1507" w:type="dxa"/>
            <w:shd w:val="clear" w:color="auto" w:fill="auto"/>
          </w:tcPr>
          <w:p w14:paraId="565B6BC1"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sz w:val="24"/>
                <w:szCs w:val="24"/>
              </w:rPr>
            </w:pPr>
            <w:r w:rsidRPr="00300C84">
              <w:rPr>
                <w:rFonts w:ascii="Times New Roman" w:hAnsi="Times New Roman"/>
                <w:sz w:val="24"/>
                <w:szCs w:val="24"/>
              </w:rPr>
              <w:t xml:space="preserve">$113.32  </w:t>
            </w:r>
          </w:p>
        </w:tc>
        <w:tc>
          <w:tcPr>
            <w:tcW w:w="1536" w:type="dxa"/>
            <w:shd w:val="clear" w:color="auto" w:fill="auto"/>
          </w:tcPr>
          <w:p w14:paraId="0C41B66A" w14:textId="6649FA60" w:rsidR="00000BB9" w:rsidRPr="00300C84" w:rsidRDefault="00815B03" w:rsidP="00000BB9">
            <w:pPr>
              <w:tabs>
                <w:tab w:val="left" w:pos="-720"/>
                <w:tab w:val="left" w:pos="0"/>
                <w:tab w:val="left" w:pos="378"/>
                <w:tab w:val="left" w:pos="1440"/>
              </w:tabs>
              <w:spacing w:after="0" w:line="240" w:lineRule="auto"/>
              <w:jc w:val="right"/>
              <w:rPr>
                <w:rFonts w:ascii="Times New Roman" w:hAnsi="Times New Roman"/>
                <w:sz w:val="24"/>
                <w:szCs w:val="24"/>
              </w:rPr>
            </w:pPr>
            <w:r>
              <w:rPr>
                <w:rFonts w:ascii="Times New Roman" w:hAnsi="Times New Roman"/>
                <w:sz w:val="24"/>
                <w:szCs w:val="24"/>
              </w:rPr>
              <w:t>$</w:t>
            </w:r>
            <w:r w:rsidR="00000BB9">
              <w:rPr>
                <w:rFonts w:ascii="Times New Roman" w:hAnsi="Times New Roman"/>
                <w:sz w:val="24"/>
                <w:szCs w:val="24"/>
              </w:rPr>
              <w:t>4,533</w:t>
            </w:r>
          </w:p>
        </w:tc>
      </w:tr>
      <w:tr w:rsidR="00000BB9" w14:paraId="7C7E6480" w14:textId="77777777" w:rsidTr="00000BB9">
        <w:tc>
          <w:tcPr>
            <w:tcW w:w="3078" w:type="dxa"/>
            <w:shd w:val="clear" w:color="auto" w:fill="auto"/>
          </w:tcPr>
          <w:p w14:paraId="204994FB"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sz w:val="24"/>
                <w:szCs w:val="24"/>
              </w:rPr>
            </w:pPr>
            <w:r w:rsidRPr="00300C84">
              <w:rPr>
                <w:rFonts w:ascii="Times New Roman" w:hAnsi="Times New Roman"/>
                <w:sz w:val="24"/>
                <w:szCs w:val="24"/>
              </w:rPr>
              <w:t>Pharmacist</w:t>
            </w:r>
          </w:p>
        </w:tc>
        <w:tc>
          <w:tcPr>
            <w:tcW w:w="1827" w:type="dxa"/>
            <w:shd w:val="clear" w:color="auto" w:fill="auto"/>
          </w:tcPr>
          <w:p w14:paraId="41E5139C"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sz w:val="24"/>
                <w:szCs w:val="24"/>
              </w:rPr>
            </w:pPr>
            <w:r w:rsidRPr="00300C84">
              <w:rPr>
                <w:rFonts w:ascii="Times New Roman" w:hAnsi="Times New Roman"/>
                <w:sz w:val="24"/>
                <w:szCs w:val="24"/>
              </w:rPr>
              <w:t>Notify Trading Partners</w:t>
            </w:r>
          </w:p>
        </w:tc>
        <w:tc>
          <w:tcPr>
            <w:tcW w:w="1256" w:type="dxa"/>
            <w:shd w:val="clear" w:color="auto" w:fill="auto"/>
          </w:tcPr>
          <w:p w14:paraId="0C2E2AE1"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sz w:val="24"/>
                <w:szCs w:val="24"/>
              </w:rPr>
            </w:pPr>
            <w:r>
              <w:rPr>
                <w:rFonts w:ascii="Times New Roman" w:hAnsi="Times New Roman"/>
                <w:sz w:val="24"/>
                <w:szCs w:val="24"/>
              </w:rPr>
              <w:t>16</w:t>
            </w:r>
          </w:p>
        </w:tc>
        <w:tc>
          <w:tcPr>
            <w:tcW w:w="1507" w:type="dxa"/>
            <w:shd w:val="clear" w:color="auto" w:fill="auto"/>
          </w:tcPr>
          <w:p w14:paraId="622FC018"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sz w:val="24"/>
                <w:szCs w:val="24"/>
              </w:rPr>
            </w:pPr>
            <w:r w:rsidRPr="00300C84">
              <w:rPr>
                <w:rFonts w:ascii="Times New Roman" w:hAnsi="Times New Roman"/>
                <w:sz w:val="24"/>
                <w:szCs w:val="24"/>
              </w:rPr>
              <w:t xml:space="preserve">$113.32  </w:t>
            </w:r>
          </w:p>
        </w:tc>
        <w:tc>
          <w:tcPr>
            <w:tcW w:w="1536" w:type="dxa"/>
            <w:shd w:val="clear" w:color="auto" w:fill="auto"/>
          </w:tcPr>
          <w:p w14:paraId="5CE94810" w14:textId="3F1717B5" w:rsidR="00000BB9" w:rsidRPr="00300C84" w:rsidRDefault="00815B03" w:rsidP="00000BB9">
            <w:pPr>
              <w:tabs>
                <w:tab w:val="left" w:pos="-720"/>
                <w:tab w:val="left" w:pos="0"/>
                <w:tab w:val="left" w:pos="378"/>
                <w:tab w:val="left" w:pos="1440"/>
              </w:tabs>
              <w:spacing w:after="0" w:line="240" w:lineRule="auto"/>
              <w:jc w:val="right"/>
              <w:rPr>
                <w:rFonts w:ascii="Times New Roman" w:hAnsi="Times New Roman"/>
                <w:sz w:val="24"/>
                <w:szCs w:val="24"/>
              </w:rPr>
            </w:pPr>
            <w:r>
              <w:rPr>
                <w:rFonts w:ascii="Times New Roman" w:hAnsi="Times New Roman"/>
                <w:sz w:val="24"/>
                <w:szCs w:val="24"/>
              </w:rPr>
              <w:t>$</w:t>
            </w:r>
            <w:r w:rsidR="00000BB9">
              <w:rPr>
                <w:rFonts w:ascii="Times New Roman" w:hAnsi="Times New Roman"/>
                <w:sz w:val="24"/>
                <w:szCs w:val="24"/>
              </w:rPr>
              <w:t>1,813</w:t>
            </w:r>
          </w:p>
        </w:tc>
      </w:tr>
      <w:tr w:rsidR="00000BB9" w14:paraId="44BE5111" w14:textId="77777777" w:rsidTr="00000BB9">
        <w:tc>
          <w:tcPr>
            <w:tcW w:w="3078" w:type="dxa"/>
            <w:shd w:val="clear" w:color="auto" w:fill="auto"/>
          </w:tcPr>
          <w:p w14:paraId="17E288C6"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sz w:val="24"/>
                <w:szCs w:val="24"/>
              </w:rPr>
            </w:pPr>
            <w:r w:rsidRPr="00300C84">
              <w:rPr>
                <w:rFonts w:ascii="Times New Roman" w:hAnsi="Times New Roman"/>
                <w:sz w:val="24"/>
                <w:szCs w:val="24"/>
              </w:rPr>
              <w:t>Pharmacist</w:t>
            </w:r>
          </w:p>
        </w:tc>
        <w:tc>
          <w:tcPr>
            <w:tcW w:w="1827" w:type="dxa"/>
            <w:shd w:val="clear" w:color="auto" w:fill="auto"/>
          </w:tcPr>
          <w:p w14:paraId="68A5DA96"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sz w:val="24"/>
                <w:szCs w:val="24"/>
              </w:rPr>
            </w:pPr>
            <w:r w:rsidRPr="00300C84">
              <w:rPr>
                <w:rFonts w:ascii="Times New Roman" w:hAnsi="Times New Roman"/>
                <w:sz w:val="24"/>
                <w:szCs w:val="24"/>
              </w:rPr>
              <w:t xml:space="preserve">Request Termination </w:t>
            </w:r>
          </w:p>
        </w:tc>
        <w:tc>
          <w:tcPr>
            <w:tcW w:w="1256" w:type="dxa"/>
            <w:shd w:val="clear" w:color="auto" w:fill="auto"/>
          </w:tcPr>
          <w:p w14:paraId="3DBF9159"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sz w:val="24"/>
                <w:szCs w:val="24"/>
              </w:rPr>
            </w:pPr>
            <w:r>
              <w:rPr>
                <w:rFonts w:ascii="Times New Roman" w:hAnsi="Times New Roman"/>
                <w:sz w:val="24"/>
                <w:szCs w:val="24"/>
              </w:rPr>
              <w:t>40</w:t>
            </w:r>
          </w:p>
        </w:tc>
        <w:tc>
          <w:tcPr>
            <w:tcW w:w="1507" w:type="dxa"/>
            <w:shd w:val="clear" w:color="auto" w:fill="auto"/>
          </w:tcPr>
          <w:p w14:paraId="7937C989"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sz w:val="24"/>
                <w:szCs w:val="24"/>
              </w:rPr>
            </w:pPr>
            <w:r w:rsidRPr="00300C84">
              <w:rPr>
                <w:rFonts w:ascii="Times New Roman" w:hAnsi="Times New Roman"/>
                <w:sz w:val="24"/>
                <w:szCs w:val="24"/>
              </w:rPr>
              <w:t xml:space="preserve">$113.32  </w:t>
            </w:r>
          </w:p>
        </w:tc>
        <w:tc>
          <w:tcPr>
            <w:tcW w:w="1536" w:type="dxa"/>
            <w:shd w:val="clear" w:color="auto" w:fill="auto"/>
          </w:tcPr>
          <w:p w14:paraId="6C3B948A" w14:textId="73F544A1" w:rsidR="00000BB9" w:rsidRPr="00300C84" w:rsidRDefault="00815B03" w:rsidP="00000BB9">
            <w:pPr>
              <w:tabs>
                <w:tab w:val="left" w:pos="-720"/>
                <w:tab w:val="left" w:pos="0"/>
                <w:tab w:val="left" w:pos="378"/>
                <w:tab w:val="left" w:pos="1440"/>
              </w:tabs>
              <w:spacing w:after="0" w:line="240" w:lineRule="auto"/>
              <w:jc w:val="right"/>
              <w:rPr>
                <w:rFonts w:ascii="Times New Roman" w:hAnsi="Times New Roman"/>
                <w:sz w:val="24"/>
                <w:szCs w:val="24"/>
              </w:rPr>
            </w:pPr>
            <w:r>
              <w:rPr>
                <w:rFonts w:ascii="Times New Roman" w:hAnsi="Times New Roman"/>
                <w:sz w:val="24"/>
                <w:szCs w:val="24"/>
              </w:rPr>
              <w:t>$</w:t>
            </w:r>
            <w:r w:rsidR="00000BB9">
              <w:rPr>
                <w:rFonts w:ascii="Times New Roman" w:hAnsi="Times New Roman"/>
                <w:sz w:val="24"/>
                <w:szCs w:val="24"/>
              </w:rPr>
              <w:t>4,533</w:t>
            </w:r>
          </w:p>
        </w:tc>
      </w:tr>
      <w:tr w:rsidR="00000BB9" w14:paraId="5E6910F8" w14:textId="77777777" w:rsidTr="00000BB9">
        <w:tc>
          <w:tcPr>
            <w:tcW w:w="3078" w:type="dxa"/>
            <w:shd w:val="clear" w:color="auto" w:fill="auto"/>
          </w:tcPr>
          <w:p w14:paraId="5438D869"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sz w:val="24"/>
                <w:szCs w:val="24"/>
              </w:rPr>
            </w:pPr>
            <w:r w:rsidRPr="00300C84">
              <w:rPr>
                <w:rFonts w:ascii="Times New Roman" w:hAnsi="Times New Roman"/>
                <w:sz w:val="24"/>
                <w:szCs w:val="24"/>
              </w:rPr>
              <w:t>Pharmacist</w:t>
            </w:r>
          </w:p>
        </w:tc>
        <w:tc>
          <w:tcPr>
            <w:tcW w:w="1827" w:type="dxa"/>
            <w:shd w:val="clear" w:color="auto" w:fill="auto"/>
          </w:tcPr>
          <w:p w14:paraId="23D308D1"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sz w:val="24"/>
                <w:szCs w:val="24"/>
              </w:rPr>
            </w:pPr>
            <w:r w:rsidRPr="00300C84">
              <w:rPr>
                <w:rFonts w:ascii="Times New Roman" w:hAnsi="Times New Roman"/>
                <w:sz w:val="24"/>
                <w:szCs w:val="24"/>
              </w:rPr>
              <w:t>Terminate Trading Partners</w:t>
            </w:r>
          </w:p>
        </w:tc>
        <w:tc>
          <w:tcPr>
            <w:tcW w:w="1256" w:type="dxa"/>
            <w:shd w:val="clear" w:color="auto" w:fill="auto"/>
          </w:tcPr>
          <w:p w14:paraId="7205F724"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sz w:val="24"/>
                <w:szCs w:val="24"/>
              </w:rPr>
            </w:pPr>
            <w:r>
              <w:rPr>
                <w:rFonts w:ascii="Times New Roman" w:hAnsi="Times New Roman"/>
                <w:sz w:val="24"/>
                <w:szCs w:val="24"/>
              </w:rPr>
              <w:t>16</w:t>
            </w:r>
          </w:p>
        </w:tc>
        <w:tc>
          <w:tcPr>
            <w:tcW w:w="1507" w:type="dxa"/>
            <w:shd w:val="clear" w:color="auto" w:fill="auto"/>
          </w:tcPr>
          <w:p w14:paraId="69E70946"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sz w:val="24"/>
                <w:szCs w:val="24"/>
              </w:rPr>
            </w:pPr>
            <w:r w:rsidRPr="00300C84">
              <w:rPr>
                <w:rFonts w:ascii="Times New Roman" w:hAnsi="Times New Roman"/>
                <w:sz w:val="24"/>
                <w:szCs w:val="24"/>
              </w:rPr>
              <w:t xml:space="preserve">$113.32  </w:t>
            </w:r>
          </w:p>
        </w:tc>
        <w:tc>
          <w:tcPr>
            <w:tcW w:w="1536" w:type="dxa"/>
            <w:shd w:val="clear" w:color="auto" w:fill="auto"/>
          </w:tcPr>
          <w:p w14:paraId="5F5BC388" w14:textId="2356D870" w:rsidR="00000BB9" w:rsidRPr="00300C84" w:rsidRDefault="00815B03" w:rsidP="00000BB9">
            <w:pPr>
              <w:tabs>
                <w:tab w:val="left" w:pos="-720"/>
                <w:tab w:val="left" w:pos="0"/>
                <w:tab w:val="left" w:pos="378"/>
                <w:tab w:val="left" w:pos="1440"/>
              </w:tabs>
              <w:spacing w:after="0" w:line="240" w:lineRule="auto"/>
              <w:jc w:val="right"/>
              <w:rPr>
                <w:rFonts w:ascii="Times New Roman" w:hAnsi="Times New Roman"/>
                <w:sz w:val="24"/>
                <w:szCs w:val="24"/>
              </w:rPr>
            </w:pPr>
            <w:r>
              <w:rPr>
                <w:rFonts w:ascii="Times New Roman" w:hAnsi="Times New Roman"/>
                <w:sz w:val="24"/>
                <w:szCs w:val="24"/>
              </w:rPr>
              <w:t>$</w:t>
            </w:r>
            <w:r w:rsidR="00000BB9">
              <w:rPr>
                <w:rFonts w:ascii="Times New Roman" w:hAnsi="Times New Roman"/>
                <w:sz w:val="24"/>
                <w:szCs w:val="24"/>
              </w:rPr>
              <w:t>1,813</w:t>
            </w:r>
          </w:p>
        </w:tc>
      </w:tr>
      <w:tr w:rsidR="00000BB9" w14:paraId="45433DC6" w14:textId="77777777" w:rsidTr="00000BB9">
        <w:tc>
          <w:tcPr>
            <w:tcW w:w="3078" w:type="dxa"/>
            <w:shd w:val="clear" w:color="auto" w:fill="auto"/>
          </w:tcPr>
          <w:p w14:paraId="7FBCEEC1"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b/>
                <w:sz w:val="24"/>
                <w:szCs w:val="24"/>
              </w:rPr>
            </w:pPr>
            <w:r w:rsidRPr="00300C84">
              <w:rPr>
                <w:rFonts w:ascii="Times New Roman" w:hAnsi="Times New Roman"/>
                <w:b/>
                <w:sz w:val="24"/>
                <w:szCs w:val="24"/>
              </w:rPr>
              <w:t>Total Pharmacist</w:t>
            </w:r>
          </w:p>
        </w:tc>
        <w:tc>
          <w:tcPr>
            <w:tcW w:w="1827" w:type="dxa"/>
            <w:shd w:val="clear" w:color="auto" w:fill="auto"/>
          </w:tcPr>
          <w:p w14:paraId="0E205B33"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b/>
                <w:sz w:val="24"/>
                <w:szCs w:val="24"/>
              </w:rPr>
            </w:pPr>
          </w:p>
        </w:tc>
        <w:tc>
          <w:tcPr>
            <w:tcW w:w="1256" w:type="dxa"/>
            <w:shd w:val="clear" w:color="auto" w:fill="auto"/>
          </w:tcPr>
          <w:p w14:paraId="0A577B63"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b/>
                <w:sz w:val="24"/>
                <w:szCs w:val="24"/>
              </w:rPr>
            </w:pPr>
          </w:p>
        </w:tc>
        <w:tc>
          <w:tcPr>
            <w:tcW w:w="1507" w:type="dxa"/>
            <w:shd w:val="clear" w:color="auto" w:fill="auto"/>
          </w:tcPr>
          <w:p w14:paraId="59253FDB"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b/>
                <w:sz w:val="24"/>
                <w:szCs w:val="24"/>
              </w:rPr>
            </w:pPr>
          </w:p>
        </w:tc>
        <w:tc>
          <w:tcPr>
            <w:tcW w:w="1536" w:type="dxa"/>
            <w:shd w:val="clear" w:color="auto" w:fill="auto"/>
          </w:tcPr>
          <w:p w14:paraId="050FABEC" w14:textId="55BA1595" w:rsidR="00000BB9" w:rsidRPr="00300C84" w:rsidRDefault="00815B03" w:rsidP="00000BB9">
            <w:pPr>
              <w:tabs>
                <w:tab w:val="left" w:pos="-720"/>
                <w:tab w:val="left" w:pos="0"/>
                <w:tab w:val="left" w:pos="378"/>
                <w:tab w:val="left" w:pos="1440"/>
              </w:tabs>
              <w:spacing w:after="0" w:line="240" w:lineRule="auto"/>
              <w:jc w:val="right"/>
              <w:rPr>
                <w:rFonts w:ascii="Times New Roman" w:hAnsi="Times New Roman"/>
                <w:b/>
                <w:sz w:val="24"/>
                <w:szCs w:val="24"/>
              </w:rPr>
            </w:pPr>
            <w:r>
              <w:rPr>
                <w:rFonts w:ascii="Times New Roman" w:hAnsi="Times New Roman"/>
                <w:b/>
                <w:sz w:val="24"/>
                <w:szCs w:val="24"/>
              </w:rPr>
              <w:t>$</w:t>
            </w:r>
            <w:r w:rsidR="00000BB9">
              <w:rPr>
                <w:rFonts w:ascii="Times New Roman" w:hAnsi="Times New Roman"/>
                <w:b/>
                <w:sz w:val="24"/>
                <w:szCs w:val="24"/>
              </w:rPr>
              <w:t>12,692</w:t>
            </w:r>
          </w:p>
        </w:tc>
      </w:tr>
      <w:tr w:rsidR="00000BB9" w14:paraId="2048797A" w14:textId="77777777" w:rsidTr="00000BB9">
        <w:tc>
          <w:tcPr>
            <w:tcW w:w="3078" w:type="dxa"/>
            <w:shd w:val="clear" w:color="auto" w:fill="auto"/>
          </w:tcPr>
          <w:p w14:paraId="3FA5A1E2"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b/>
                <w:sz w:val="24"/>
                <w:szCs w:val="24"/>
              </w:rPr>
            </w:pPr>
            <w:r w:rsidRPr="00300C84">
              <w:rPr>
                <w:rFonts w:ascii="Times New Roman" w:hAnsi="Times New Roman"/>
                <w:b/>
                <w:sz w:val="24"/>
                <w:szCs w:val="24"/>
              </w:rPr>
              <w:t>Total Stakeholder costs</w:t>
            </w:r>
          </w:p>
        </w:tc>
        <w:tc>
          <w:tcPr>
            <w:tcW w:w="1827" w:type="dxa"/>
            <w:shd w:val="clear" w:color="auto" w:fill="auto"/>
          </w:tcPr>
          <w:p w14:paraId="5040237B"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b/>
                <w:sz w:val="24"/>
                <w:szCs w:val="24"/>
              </w:rPr>
            </w:pPr>
          </w:p>
        </w:tc>
        <w:tc>
          <w:tcPr>
            <w:tcW w:w="1256" w:type="dxa"/>
            <w:shd w:val="clear" w:color="auto" w:fill="auto"/>
          </w:tcPr>
          <w:p w14:paraId="479E115B"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b/>
                <w:sz w:val="24"/>
                <w:szCs w:val="24"/>
              </w:rPr>
            </w:pPr>
          </w:p>
        </w:tc>
        <w:tc>
          <w:tcPr>
            <w:tcW w:w="1507" w:type="dxa"/>
            <w:shd w:val="clear" w:color="auto" w:fill="auto"/>
          </w:tcPr>
          <w:p w14:paraId="160CAA93" w14:textId="77777777" w:rsidR="00000BB9" w:rsidRPr="00300C84" w:rsidRDefault="00000BB9" w:rsidP="00000BB9">
            <w:pPr>
              <w:tabs>
                <w:tab w:val="left" w:pos="-720"/>
                <w:tab w:val="left" w:pos="0"/>
                <w:tab w:val="left" w:pos="378"/>
                <w:tab w:val="left" w:pos="1440"/>
              </w:tabs>
              <w:spacing w:after="0" w:line="240" w:lineRule="auto"/>
              <w:rPr>
                <w:rFonts w:ascii="Times New Roman" w:hAnsi="Times New Roman"/>
                <w:b/>
                <w:sz w:val="24"/>
                <w:szCs w:val="24"/>
              </w:rPr>
            </w:pPr>
          </w:p>
        </w:tc>
        <w:tc>
          <w:tcPr>
            <w:tcW w:w="1536" w:type="dxa"/>
            <w:shd w:val="clear" w:color="auto" w:fill="auto"/>
          </w:tcPr>
          <w:p w14:paraId="7EF88D0F" w14:textId="5EDAC740" w:rsidR="00000BB9" w:rsidRPr="00300C84" w:rsidRDefault="00815B03" w:rsidP="00000BB9">
            <w:pPr>
              <w:tabs>
                <w:tab w:val="left" w:pos="-720"/>
                <w:tab w:val="left" w:pos="0"/>
                <w:tab w:val="left" w:pos="378"/>
                <w:tab w:val="left" w:pos="1440"/>
              </w:tabs>
              <w:spacing w:after="0" w:line="240" w:lineRule="auto"/>
              <w:jc w:val="right"/>
              <w:rPr>
                <w:rFonts w:ascii="Times New Roman" w:hAnsi="Times New Roman"/>
                <w:b/>
                <w:sz w:val="24"/>
                <w:szCs w:val="24"/>
              </w:rPr>
            </w:pPr>
            <w:r>
              <w:rPr>
                <w:rFonts w:ascii="Times New Roman" w:hAnsi="Times New Roman"/>
                <w:b/>
                <w:sz w:val="24"/>
                <w:szCs w:val="24"/>
              </w:rPr>
              <w:t>$</w:t>
            </w:r>
            <w:r w:rsidR="001D4DFD">
              <w:rPr>
                <w:rFonts w:ascii="Times New Roman" w:hAnsi="Times New Roman"/>
                <w:b/>
                <w:sz w:val="24"/>
                <w:szCs w:val="24"/>
              </w:rPr>
              <w:t>11,912,942</w:t>
            </w:r>
          </w:p>
        </w:tc>
      </w:tr>
    </w:tbl>
    <w:p w14:paraId="17690EEC" w14:textId="77777777" w:rsidR="00000BB9" w:rsidRPr="00300C84" w:rsidRDefault="00000BB9" w:rsidP="00000BB9">
      <w:pPr>
        <w:spacing w:after="0"/>
        <w:rPr>
          <w:vanish/>
        </w:rPr>
      </w:pPr>
    </w:p>
    <w:tbl>
      <w:tblPr>
        <w:tblW w:w="9645" w:type="dxa"/>
        <w:tblLayout w:type="fixed"/>
        <w:tblLook w:val="01E0" w:firstRow="1" w:lastRow="1" w:firstColumn="1" w:lastColumn="1" w:noHBand="0" w:noVBand="0"/>
      </w:tblPr>
      <w:tblGrid>
        <w:gridCol w:w="9645"/>
      </w:tblGrid>
      <w:tr w:rsidR="00000BB9" w:rsidRPr="00E24684" w14:paraId="69B93970" w14:textId="77777777" w:rsidTr="00891A5B">
        <w:tc>
          <w:tcPr>
            <w:tcW w:w="9645" w:type="dxa"/>
            <w:tcBorders>
              <w:top w:val="single" w:sz="4" w:space="0" w:color="auto"/>
              <w:left w:val="nil"/>
              <w:bottom w:val="nil"/>
              <w:right w:val="nil"/>
            </w:tcBorders>
          </w:tcPr>
          <w:p w14:paraId="3E089141" w14:textId="77777777" w:rsidR="00000BB9" w:rsidRPr="008E4C7B" w:rsidRDefault="00000BB9" w:rsidP="00000BB9">
            <w:pPr>
              <w:spacing w:after="0" w:line="240" w:lineRule="auto"/>
              <w:rPr>
                <w:rFonts w:ascii="Times New Roman" w:hAnsi="Times New Roman"/>
                <w:sz w:val="20"/>
                <w:szCs w:val="20"/>
              </w:rPr>
            </w:pPr>
          </w:p>
        </w:tc>
      </w:tr>
    </w:tbl>
    <w:p w14:paraId="3377978E" w14:textId="77777777" w:rsidR="00A259A6" w:rsidRDefault="00A259A6" w:rsidP="00A259A6">
      <w:pPr>
        <w:tabs>
          <w:tab w:val="left" w:pos="-720"/>
          <w:tab w:val="left" w:pos="0"/>
          <w:tab w:val="left" w:pos="378"/>
          <w:tab w:val="left" w:pos="1440"/>
        </w:tabs>
        <w:spacing w:after="0" w:line="480" w:lineRule="auto"/>
        <w:rPr>
          <w:rFonts w:ascii="Times New Roman" w:hAnsi="Times New Roman"/>
          <w:sz w:val="24"/>
          <w:szCs w:val="24"/>
        </w:rPr>
      </w:pPr>
    </w:p>
    <w:p w14:paraId="3377978F" w14:textId="77777777" w:rsidR="00A259A6" w:rsidRDefault="00A259A6" w:rsidP="00A259A6">
      <w:pPr>
        <w:tabs>
          <w:tab w:val="left" w:pos="-720"/>
          <w:tab w:val="left" w:pos="0"/>
          <w:tab w:val="left" w:pos="378"/>
          <w:tab w:val="left" w:pos="1440"/>
        </w:tabs>
        <w:spacing w:after="0" w:line="480" w:lineRule="auto"/>
        <w:rPr>
          <w:rFonts w:ascii="Times New Roman" w:hAnsi="Times New Roman"/>
          <w:sz w:val="24"/>
          <w:szCs w:val="24"/>
        </w:rPr>
      </w:pPr>
      <w:r>
        <w:rPr>
          <w:rFonts w:ascii="Times New Roman" w:hAnsi="Times New Roman"/>
          <w:sz w:val="24"/>
          <w:szCs w:val="24"/>
        </w:rPr>
        <w:t xml:space="preserve">13.  </w:t>
      </w:r>
      <w:r>
        <w:rPr>
          <w:rFonts w:ascii="Times New Roman" w:hAnsi="Times New Roman"/>
          <w:sz w:val="24"/>
          <w:szCs w:val="24"/>
          <w:u w:val="single"/>
        </w:rPr>
        <w:t>Estimates of Other Total Annual Cost Burden to Respondents and/or Recordkeepers/Capital Costs</w:t>
      </w:r>
    </w:p>
    <w:p w14:paraId="33779790" w14:textId="053073E9" w:rsidR="00A259A6" w:rsidRDefault="00A259A6" w:rsidP="004D4A52">
      <w:pPr>
        <w:spacing w:line="480" w:lineRule="auto"/>
        <w:ind w:firstLine="720"/>
        <w:rPr>
          <w:rFonts w:ascii="Times New Roman" w:hAnsi="Times New Roman"/>
          <w:sz w:val="24"/>
          <w:szCs w:val="24"/>
        </w:rPr>
      </w:pPr>
      <w:r w:rsidRPr="004D4A52">
        <w:rPr>
          <w:rFonts w:ascii="Times New Roman" w:hAnsi="Times New Roman"/>
          <w:sz w:val="24"/>
          <w:szCs w:val="24"/>
        </w:rPr>
        <w:t>There are no capital, start-up, operating or maintenance costs associated with this information collection.</w:t>
      </w:r>
      <w:r w:rsidR="004D4A52" w:rsidRPr="004D4A52">
        <w:rPr>
          <w:rFonts w:ascii="Times New Roman" w:hAnsi="Times New Roman"/>
          <w:sz w:val="24"/>
          <w:szCs w:val="24"/>
        </w:rPr>
        <w:t xml:space="preserve">  </w:t>
      </w:r>
      <w:r w:rsidR="004D4A52">
        <w:rPr>
          <w:rFonts w:ascii="Times New Roman" w:hAnsi="Times New Roman"/>
          <w:sz w:val="24"/>
          <w:szCs w:val="24"/>
        </w:rPr>
        <w:t>Under t</w:t>
      </w:r>
      <w:r w:rsidR="004D4A52" w:rsidRPr="004D4A52">
        <w:rPr>
          <w:rFonts w:ascii="Times New Roman" w:hAnsi="Times New Roman"/>
          <w:sz w:val="24"/>
          <w:szCs w:val="24"/>
        </w:rPr>
        <w:t>he</w:t>
      </w:r>
      <w:r w:rsidR="004D4A52">
        <w:rPr>
          <w:rFonts w:ascii="Times New Roman" w:hAnsi="Times New Roman"/>
          <w:sz w:val="24"/>
          <w:szCs w:val="24"/>
        </w:rPr>
        <w:t xml:space="preserve"> </w:t>
      </w:r>
      <w:r w:rsidR="004D4A52" w:rsidRPr="004D4A52">
        <w:rPr>
          <w:rFonts w:ascii="Times New Roman" w:hAnsi="Times New Roman"/>
          <w:sz w:val="24"/>
          <w:szCs w:val="24"/>
        </w:rPr>
        <w:t>guidance</w:t>
      </w:r>
      <w:r w:rsidR="004D4A52">
        <w:rPr>
          <w:rFonts w:ascii="Times New Roman" w:hAnsi="Times New Roman"/>
          <w:sz w:val="24"/>
          <w:szCs w:val="24"/>
        </w:rPr>
        <w:t>,</w:t>
      </w:r>
      <w:r w:rsidR="004D4A52" w:rsidRPr="004D4A52">
        <w:rPr>
          <w:rFonts w:ascii="Times New Roman" w:hAnsi="Times New Roman"/>
          <w:sz w:val="24"/>
          <w:szCs w:val="24"/>
        </w:rPr>
        <w:t xml:space="preserve"> manufacturers/repackagers, wholesale distributors, and pharmacies may notify their trading partners using existing systems and processes used for similar types of communications, which may include but is not limited to posting of notifications on a company website, sending an email, </w:t>
      </w:r>
      <w:r w:rsidR="002B1143">
        <w:rPr>
          <w:rFonts w:ascii="Times New Roman" w:hAnsi="Times New Roman"/>
          <w:sz w:val="24"/>
          <w:szCs w:val="24"/>
        </w:rPr>
        <w:t xml:space="preserve">telephoning, </w:t>
      </w:r>
      <w:r w:rsidR="004D4A52" w:rsidRPr="004D4A52">
        <w:rPr>
          <w:rFonts w:ascii="Times New Roman" w:hAnsi="Times New Roman"/>
          <w:sz w:val="24"/>
          <w:szCs w:val="24"/>
        </w:rPr>
        <w:t xml:space="preserve">mailing or faxing a letter or notification. </w:t>
      </w:r>
    </w:p>
    <w:p w14:paraId="33779791" w14:textId="77777777" w:rsidR="00A259A6" w:rsidRDefault="00A259A6" w:rsidP="00A259A6">
      <w:pPr>
        <w:tabs>
          <w:tab w:val="left" w:pos="-720"/>
          <w:tab w:val="left" w:pos="0"/>
          <w:tab w:val="left" w:pos="378"/>
          <w:tab w:val="left" w:pos="1440"/>
        </w:tabs>
        <w:spacing w:after="0" w:line="480" w:lineRule="auto"/>
        <w:ind w:hanging="378"/>
        <w:rPr>
          <w:rFonts w:ascii="Times New Roman" w:hAnsi="Times New Roman"/>
          <w:sz w:val="24"/>
          <w:szCs w:val="24"/>
        </w:rPr>
      </w:pPr>
      <w:r>
        <w:rPr>
          <w:rFonts w:ascii="Times New Roman" w:hAnsi="Times New Roman"/>
          <w:sz w:val="24"/>
          <w:szCs w:val="24"/>
        </w:rPr>
        <w:t xml:space="preserve">14. </w:t>
      </w:r>
      <w:r>
        <w:rPr>
          <w:rFonts w:ascii="Times New Roman" w:hAnsi="Times New Roman"/>
          <w:sz w:val="24"/>
          <w:szCs w:val="24"/>
          <w:u w:val="single"/>
        </w:rPr>
        <w:t>Annualized Cost to the Federal Government</w:t>
      </w:r>
    </w:p>
    <w:p w14:paraId="33779792" w14:textId="0C0FD54D" w:rsidR="00DB16F4" w:rsidRDefault="00F56BA6" w:rsidP="00F56BA6">
      <w:pPr>
        <w:tabs>
          <w:tab w:val="left" w:pos="-720"/>
          <w:tab w:val="left" w:pos="0"/>
          <w:tab w:val="left" w:pos="378"/>
          <w:tab w:val="left" w:pos="1440"/>
        </w:tabs>
        <w:spacing w:after="0" w:line="480" w:lineRule="auto"/>
        <w:rPr>
          <w:rFonts w:ascii="Times New Roman" w:hAnsi="Times New Roman"/>
          <w:sz w:val="24"/>
          <w:szCs w:val="24"/>
        </w:rPr>
      </w:pPr>
      <w:r>
        <w:rPr>
          <w:rFonts w:ascii="Times New Roman" w:hAnsi="Times New Roman"/>
          <w:color w:val="FF0000"/>
          <w:sz w:val="24"/>
          <w:szCs w:val="24"/>
        </w:rPr>
        <w:tab/>
      </w:r>
      <w:r>
        <w:rPr>
          <w:rFonts w:ascii="Times New Roman" w:hAnsi="Times New Roman"/>
          <w:sz w:val="24"/>
          <w:szCs w:val="24"/>
        </w:rPr>
        <w:t xml:space="preserve">The FDA developed the Form FDA 3911 using staff and contractor resources.  Existing data management systems are being modified to accept the information in the notifications.  The data management system will send a receipt and case number back to the notifying party, facilitate the linking of initial notifications with follow-up information and the request for termination, track assignments to FDA staff, and monitor responses </w:t>
      </w:r>
      <w:r w:rsidR="003058BF">
        <w:rPr>
          <w:rFonts w:ascii="Times New Roman" w:hAnsi="Times New Roman"/>
          <w:sz w:val="24"/>
          <w:szCs w:val="24"/>
        </w:rPr>
        <w:t>to</w:t>
      </w:r>
      <w:r>
        <w:rPr>
          <w:rFonts w:ascii="Times New Roman" w:hAnsi="Times New Roman"/>
          <w:sz w:val="24"/>
          <w:szCs w:val="24"/>
        </w:rPr>
        <w:t xml:space="preserve"> “FDA consults” for requests for termination. </w:t>
      </w:r>
      <w:r w:rsidR="00031BF2">
        <w:rPr>
          <w:rFonts w:ascii="Times New Roman" w:hAnsi="Times New Roman"/>
          <w:sz w:val="24"/>
          <w:szCs w:val="24"/>
        </w:rPr>
        <w:t xml:space="preserve"> </w:t>
      </w:r>
      <w:r w:rsidR="00031BF2">
        <w:rPr>
          <w:rFonts w:ascii="Times New Roman" w:hAnsi="Times New Roman"/>
          <w:sz w:val="24"/>
          <w:szCs w:val="24"/>
        </w:rPr>
        <w:lastRenderedPageBreak/>
        <w:t xml:space="preserve">FDA project management staff and contractor resources have been used </w:t>
      </w:r>
      <w:r w:rsidR="00823149">
        <w:rPr>
          <w:rFonts w:ascii="Times New Roman" w:hAnsi="Times New Roman"/>
          <w:sz w:val="24"/>
          <w:szCs w:val="24"/>
        </w:rPr>
        <w:t xml:space="preserve">to develop the Form FDA 3911 and </w:t>
      </w:r>
      <w:r w:rsidR="00031BF2">
        <w:rPr>
          <w:rFonts w:ascii="Times New Roman" w:hAnsi="Times New Roman"/>
          <w:sz w:val="24"/>
          <w:szCs w:val="24"/>
        </w:rPr>
        <w:t xml:space="preserve">to modify the current </w:t>
      </w:r>
      <w:r w:rsidR="00823149">
        <w:rPr>
          <w:rFonts w:ascii="Times New Roman" w:hAnsi="Times New Roman"/>
          <w:sz w:val="24"/>
          <w:szCs w:val="24"/>
        </w:rPr>
        <w:t>data management systems</w:t>
      </w:r>
      <w:r w:rsidR="00031BF2">
        <w:rPr>
          <w:rFonts w:ascii="Times New Roman" w:hAnsi="Times New Roman"/>
          <w:sz w:val="24"/>
          <w:szCs w:val="24"/>
        </w:rPr>
        <w:t xml:space="preserve">.  These costs are </w:t>
      </w:r>
      <w:r w:rsidR="00981696">
        <w:rPr>
          <w:rFonts w:ascii="Times New Roman" w:hAnsi="Times New Roman"/>
          <w:sz w:val="24"/>
          <w:szCs w:val="24"/>
        </w:rPr>
        <w:t>one time set-up costs</w:t>
      </w:r>
      <w:r w:rsidR="00823149">
        <w:rPr>
          <w:rFonts w:ascii="Times New Roman" w:hAnsi="Times New Roman"/>
          <w:sz w:val="24"/>
          <w:szCs w:val="24"/>
        </w:rPr>
        <w:t xml:space="preserve"> as indicated in Table 6 below</w:t>
      </w:r>
      <w:r w:rsidR="00981696">
        <w:rPr>
          <w:rFonts w:ascii="Times New Roman" w:hAnsi="Times New Roman"/>
          <w:sz w:val="24"/>
          <w:szCs w:val="24"/>
        </w:rPr>
        <w:t>.</w:t>
      </w:r>
    </w:p>
    <w:p w14:paraId="33779793" w14:textId="6E8F5FB4" w:rsidR="00E94524" w:rsidRDefault="00E94524" w:rsidP="00F56BA6">
      <w:pPr>
        <w:tabs>
          <w:tab w:val="left" w:pos="-720"/>
          <w:tab w:val="left" w:pos="0"/>
          <w:tab w:val="left" w:pos="378"/>
          <w:tab w:val="left" w:pos="1440"/>
        </w:tabs>
        <w:spacing w:after="0" w:line="480" w:lineRule="auto"/>
        <w:rPr>
          <w:rFonts w:ascii="Times New Roman" w:hAnsi="Times New Roman"/>
          <w:sz w:val="24"/>
          <w:szCs w:val="24"/>
        </w:rPr>
      </w:pPr>
      <w:r>
        <w:rPr>
          <w:rFonts w:ascii="Times New Roman" w:hAnsi="Times New Roman"/>
          <w:sz w:val="24"/>
          <w:szCs w:val="24"/>
        </w:rPr>
        <w:tab/>
        <w:t>Beginning January 1, 2015, manufacturers, repackagers, wholesale distributors, and dispensers (pharmacies) are to submit notification to FDA when an illegitimate product has been identified in the possession or control of the trading partner or</w:t>
      </w:r>
      <w:r w:rsidR="003058BF">
        <w:rPr>
          <w:rFonts w:ascii="Times New Roman" w:hAnsi="Times New Roman"/>
          <w:sz w:val="24"/>
          <w:szCs w:val="24"/>
        </w:rPr>
        <w:t>,</w:t>
      </w:r>
      <w:r>
        <w:rPr>
          <w:rFonts w:ascii="Times New Roman" w:hAnsi="Times New Roman"/>
          <w:sz w:val="24"/>
          <w:szCs w:val="24"/>
        </w:rPr>
        <w:t xml:space="preserve"> for manufacturers</w:t>
      </w:r>
      <w:r w:rsidR="00E60852">
        <w:rPr>
          <w:rFonts w:ascii="Times New Roman" w:hAnsi="Times New Roman"/>
          <w:sz w:val="24"/>
          <w:szCs w:val="24"/>
        </w:rPr>
        <w:t>,</w:t>
      </w:r>
      <w:r>
        <w:rPr>
          <w:rFonts w:ascii="Times New Roman" w:hAnsi="Times New Roman"/>
          <w:sz w:val="24"/>
          <w:szCs w:val="24"/>
        </w:rPr>
        <w:t xml:space="preserve"> a product with a high risk of illegitimacy has been identified.  FDA staff will review notifications to see if further information or action is needed. </w:t>
      </w:r>
      <w:r w:rsidR="008923A5">
        <w:rPr>
          <w:rFonts w:ascii="Times New Roman" w:hAnsi="Times New Roman"/>
          <w:sz w:val="24"/>
          <w:szCs w:val="24"/>
        </w:rPr>
        <w:t xml:space="preserve">After the trading partner believes that the notification is no longer needed, </w:t>
      </w:r>
      <w:r w:rsidR="00EF60E2">
        <w:rPr>
          <w:rFonts w:ascii="Times New Roman" w:hAnsi="Times New Roman"/>
          <w:sz w:val="24"/>
          <w:szCs w:val="24"/>
        </w:rPr>
        <w:t>the trading partner</w:t>
      </w:r>
      <w:r w:rsidR="008923A5">
        <w:rPr>
          <w:rFonts w:ascii="Times New Roman" w:hAnsi="Times New Roman"/>
          <w:sz w:val="24"/>
          <w:szCs w:val="24"/>
        </w:rPr>
        <w:t xml:space="preserve"> will send a request for termination to FDA which is a request to consult with FDA.  FDA staff will review the information </w:t>
      </w:r>
      <w:r w:rsidR="003058BF">
        <w:rPr>
          <w:rFonts w:ascii="Times New Roman" w:hAnsi="Times New Roman"/>
          <w:sz w:val="24"/>
          <w:szCs w:val="24"/>
        </w:rPr>
        <w:t>in</w:t>
      </w:r>
      <w:r w:rsidR="008923A5">
        <w:rPr>
          <w:rFonts w:ascii="Times New Roman" w:hAnsi="Times New Roman"/>
          <w:sz w:val="24"/>
          <w:szCs w:val="24"/>
        </w:rPr>
        <w:t xml:space="preserve"> the request and determine if the notification can be terminated and respond to the consult</w:t>
      </w:r>
      <w:r w:rsidR="003058BF">
        <w:rPr>
          <w:rFonts w:ascii="Times New Roman" w:hAnsi="Times New Roman"/>
          <w:sz w:val="24"/>
          <w:szCs w:val="24"/>
        </w:rPr>
        <w:t>ation request</w:t>
      </w:r>
      <w:r w:rsidR="008923A5">
        <w:rPr>
          <w:rFonts w:ascii="Times New Roman" w:hAnsi="Times New Roman"/>
          <w:sz w:val="24"/>
          <w:szCs w:val="24"/>
        </w:rPr>
        <w:t xml:space="preserve"> in writing.  FDA estimates receiving </w:t>
      </w:r>
      <w:r w:rsidR="00000BB9">
        <w:rPr>
          <w:rFonts w:ascii="Times New Roman" w:hAnsi="Times New Roman"/>
          <w:sz w:val="24"/>
          <w:szCs w:val="24"/>
        </w:rPr>
        <w:t>1,000</w:t>
      </w:r>
      <w:r w:rsidR="008923A5">
        <w:rPr>
          <w:rFonts w:ascii="Times New Roman" w:hAnsi="Times New Roman"/>
          <w:sz w:val="24"/>
          <w:szCs w:val="24"/>
        </w:rPr>
        <w:t xml:space="preserve"> notifications per year.  There will be a lag in the requests for termination</w:t>
      </w:r>
      <w:r w:rsidR="001767F6">
        <w:rPr>
          <w:rFonts w:ascii="Times New Roman" w:hAnsi="Times New Roman"/>
          <w:sz w:val="24"/>
          <w:szCs w:val="24"/>
        </w:rPr>
        <w:t xml:space="preserve">s but eventually we believe there will be about </w:t>
      </w:r>
      <w:r w:rsidR="00000BB9">
        <w:rPr>
          <w:rFonts w:ascii="Times New Roman" w:hAnsi="Times New Roman"/>
          <w:sz w:val="24"/>
          <w:szCs w:val="24"/>
        </w:rPr>
        <w:t>1,000</w:t>
      </w:r>
      <w:r w:rsidR="001767F6">
        <w:rPr>
          <w:rFonts w:ascii="Times New Roman" w:hAnsi="Times New Roman"/>
          <w:sz w:val="24"/>
          <w:szCs w:val="24"/>
        </w:rPr>
        <w:t xml:space="preserve"> per year.</w:t>
      </w:r>
      <w:r w:rsidR="008923A5">
        <w:rPr>
          <w:rFonts w:ascii="Times New Roman" w:hAnsi="Times New Roman"/>
          <w:sz w:val="24"/>
          <w:szCs w:val="24"/>
        </w:rPr>
        <w:t xml:space="preserve"> </w:t>
      </w:r>
      <w:r w:rsidR="00D43F36">
        <w:rPr>
          <w:rFonts w:ascii="Times New Roman" w:hAnsi="Times New Roman"/>
          <w:sz w:val="24"/>
          <w:szCs w:val="24"/>
        </w:rPr>
        <w:t xml:space="preserve"> A contractor will be used to maintain the database</w:t>
      </w:r>
      <w:r w:rsidR="00E60852">
        <w:rPr>
          <w:rFonts w:ascii="Times New Roman" w:hAnsi="Times New Roman"/>
          <w:sz w:val="24"/>
          <w:szCs w:val="24"/>
        </w:rPr>
        <w:t xml:space="preserve">. The Annualized Government cost estimates for the years following year 1 are </w:t>
      </w:r>
      <w:r w:rsidR="00E60852" w:rsidRPr="009844A5">
        <w:rPr>
          <w:rFonts w:ascii="Times New Roman" w:hAnsi="Times New Roman"/>
          <w:color w:val="000000"/>
        </w:rPr>
        <w:t>$</w:t>
      </w:r>
      <w:r w:rsidR="00612328">
        <w:rPr>
          <w:rFonts w:ascii="Times New Roman" w:hAnsi="Times New Roman"/>
          <w:color w:val="000000"/>
        </w:rPr>
        <w:t>547,764</w:t>
      </w:r>
      <w:r w:rsidR="00612328" w:rsidRPr="009844A5">
        <w:rPr>
          <w:rFonts w:ascii="Times New Roman" w:hAnsi="Times New Roman"/>
          <w:color w:val="000000"/>
        </w:rPr>
        <w:t xml:space="preserve"> </w:t>
      </w:r>
      <w:r w:rsidR="00E60852">
        <w:rPr>
          <w:rFonts w:ascii="Times New Roman" w:hAnsi="Times New Roman"/>
          <w:color w:val="000000"/>
        </w:rPr>
        <w:t xml:space="preserve">as indicated </w:t>
      </w:r>
      <w:r w:rsidR="00E60852">
        <w:rPr>
          <w:rFonts w:ascii="Times New Roman" w:hAnsi="Times New Roman"/>
          <w:sz w:val="24"/>
          <w:szCs w:val="24"/>
        </w:rPr>
        <w:t>in Table 7.</w:t>
      </w:r>
    </w:p>
    <w:p w14:paraId="33779794" w14:textId="77777777" w:rsidR="008923A5" w:rsidRDefault="008923A5" w:rsidP="00F56BA6">
      <w:pPr>
        <w:tabs>
          <w:tab w:val="left" w:pos="-720"/>
          <w:tab w:val="left" w:pos="0"/>
          <w:tab w:val="left" w:pos="378"/>
          <w:tab w:val="left" w:pos="1440"/>
        </w:tabs>
        <w:spacing w:after="0" w:line="480" w:lineRule="auto"/>
        <w:rPr>
          <w:rFonts w:ascii="Times New Roman" w:hAnsi="Times New Roman"/>
          <w:sz w:val="24"/>
          <w:szCs w:val="24"/>
        </w:rPr>
      </w:pPr>
    </w:p>
    <w:p w14:paraId="33779795" w14:textId="77777777" w:rsidR="00823149" w:rsidRPr="00F56BA6" w:rsidRDefault="00823149" w:rsidP="00823149">
      <w:pPr>
        <w:tabs>
          <w:tab w:val="left" w:pos="-720"/>
          <w:tab w:val="left" w:pos="0"/>
          <w:tab w:val="left" w:pos="378"/>
          <w:tab w:val="left" w:pos="1440"/>
        </w:tabs>
        <w:spacing w:after="0" w:line="480" w:lineRule="auto"/>
        <w:jc w:val="center"/>
        <w:rPr>
          <w:rFonts w:ascii="Times New Roman" w:hAnsi="Times New Roman"/>
          <w:sz w:val="24"/>
          <w:szCs w:val="24"/>
        </w:rPr>
      </w:pPr>
      <w:r>
        <w:rPr>
          <w:rFonts w:ascii="Times New Roman" w:hAnsi="Times New Roman"/>
          <w:sz w:val="24"/>
          <w:szCs w:val="24"/>
        </w:rPr>
        <w:t xml:space="preserve">Table 6 – Government </w:t>
      </w:r>
      <w:r w:rsidR="00E94524">
        <w:rPr>
          <w:rFonts w:ascii="Times New Roman" w:hAnsi="Times New Roman"/>
          <w:sz w:val="24"/>
          <w:szCs w:val="24"/>
        </w:rPr>
        <w:t>Costs for Year 1</w:t>
      </w:r>
    </w:p>
    <w:tbl>
      <w:tblPr>
        <w:tblW w:w="7665" w:type="dxa"/>
        <w:tblInd w:w="1075" w:type="dxa"/>
        <w:tblLook w:val="04A0" w:firstRow="1" w:lastRow="0" w:firstColumn="1" w:lastColumn="0" w:noHBand="0" w:noVBand="1"/>
      </w:tblPr>
      <w:tblGrid>
        <w:gridCol w:w="3340"/>
        <w:gridCol w:w="1340"/>
        <w:gridCol w:w="1275"/>
        <w:gridCol w:w="1710"/>
      </w:tblGrid>
      <w:tr w:rsidR="002B3CF3" w:rsidRPr="00812535" w14:paraId="3377979A" w14:textId="77777777" w:rsidTr="002B3CF3">
        <w:trPr>
          <w:trHeight w:val="315"/>
        </w:trPr>
        <w:tc>
          <w:tcPr>
            <w:tcW w:w="3340" w:type="dxa"/>
            <w:tcBorders>
              <w:top w:val="single" w:sz="8" w:space="0" w:color="auto"/>
              <w:left w:val="single" w:sz="8" w:space="0" w:color="auto"/>
              <w:bottom w:val="single" w:sz="4" w:space="0" w:color="auto"/>
              <w:right w:val="single" w:sz="4" w:space="0" w:color="auto"/>
            </w:tcBorders>
            <w:noWrap/>
            <w:vAlign w:val="bottom"/>
            <w:hideMark/>
          </w:tcPr>
          <w:p w14:paraId="33779796" w14:textId="77777777" w:rsidR="002B3CF3" w:rsidRPr="00812535" w:rsidRDefault="002B3CF3" w:rsidP="00272C7D">
            <w:pPr>
              <w:jc w:val="center"/>
              <w:rPr>
                <w:rFonts w:ascii="Times New Roman" w:hAnsi="Times New Roman"/>
                <w:bCs/>
                <w:color w:val="000000"/>
              </w:rPr>
            </w:pPr>
            <w:r w:rsidRPr="00812535">
              <w:rPr>
                <w:color w:val="1F497D"/>
              </w:rPr>
              <w:tab/>
            </w:r>
            <w:r w:rsidRPr="00812535">
              <w:rPr>
                <w:rFonts w:ascii="Times New Roman" w:hAnsi="Times New Roman"/>
                <w:bCs/>
                <w:color w:val="000000"/>
              </w:rPr>
              <w:t>Type of Activity</w:t>
            </w:r>
          </w:p>
        </w:tc>
        <w:tc>
          <w:tcPr>
            <w:tcW w:w="1340" w:type="dxa"/>
            <w:tcBorders>
              <w:top w:val="single" w:sz="8" w:space="0" w:color="auto"/>
              <w:left w:val="nil"/>
              <w:bottom w:val="single" w:sz="4" w:space="0" w:color="auto"/>
              <w:right w:val="single" w:sz="4" w:space="0" w:color="auto"/>
            </w:tcBorders>
            <w:noWrap/>
            <w:vAlign w:val="bottom"/>
            <w:hideMark/>
          </w:tcPr>
          <w:p w14:paraId="33779797" w14:textId="77777777" w:rsidR="002B3CF3" w:rsidRPr="00812535" w:rsidRDefault="002B3CF3" w:rsidP="00272C7D">
            <w:pPr>
              <w:jc w:val="center"/>
              <w:rPr>
                <w:rFonts w:ascii="Times New Roman" w:hAnsi="Times New Roman"/>
                <w:bCs/>
                <w:color w:val="000000"/>
              </w:rPr>
            </w:pPr>
            <w:r w:rsidRPr="00812535">
              <w:rPr>
                <w:rFonts w:ascii="Times New Roman" w:hAnsi="Times New Roman"/>
                <w:bCs/>
                <w:color w:val="000000"/>
              </w:rPr>
              <w:t>Est. No. Hours</w:t>
            </w:r>
          </w:p>
        </w:tc>
        <w:tc>
          <w:tcPr>
            <w:tcW w:w="1275" w:type="dxa"/>
            <w:tcBorders>
              <w:top w:val="single" w:sz="8" w:space="0" w:color="auto"/>
              <w:left w:val="nil"/>
              <w:bottom w:val="single" w:sz="4" w:space="0" w:color="auto"/>
              <w:right w:val="single" w:sz="4" w:space="0" w:color="auto"/>
            </w:tcBorders>
            <w:noWrap/>
            <w:vAlign w:val="bottom"/>
            <w:hideMark/>
          </w:tcPr>
          <w:p w14:paraId="33779798" w14:textId="77777777" w:rsidR="002B3CF3" w:rsidRPr="00812535" w:rsidRDefault="002B3CF3" w:rsidP="00272C7D">
            <w:pPr>
              <w:jc w:val="center"/>
              <w:rPr>
                <w:rFonts w:ascii="Times New Roman" w:hAnsi="Times New Roman"/>
                <w:bCs/>
                <w:color w:val="000000"/>
              </w:rPr>
            </w:pPr>
            <w:r w:rsidRPr="00812535">
              <w:rPr>
                <w:rFonts w:ascii="Times New Roman" w:hAnsi="Times New Roman"/>
                <w:bCs/>
                <w:color w:val="000000"/>
              </w:rPr>
              <w:t>Hourly Rate</w:t>
            </w:r>
          </w:p>
        </w:tc>
        <w:tc>
          <w:tcPr>
            <w:tcW w:w="1710" w:type="dxa"/>
            <w:tcBorders>
              <w:top w:val="single" w:sz="8" w:space="0" w:color="auto"/>
              <w:left w:val="nil"/>
              <w:bottom w:val="single" w:sz="4" w:space="0" w:color="auto"/>
              <w:right w:val="single" w:sz="8" w:space="0" w:color="auto"/>
            </w:tcBorders>
            <w:noWrap/>
            <w:vAlign w:val="bottom"/>
            <w:hideMark/>
          </w:tcPr>
          <w:p w14:paraId="33779799" w14:textId="77777777" w:rsidR="002B3CF3" w:rsidRPr="00812535" w:rsidRDefault="002B3CF3" w:rsidP="00272C7D">
            <w:pPr>
              <w:jc w:val="center"/>
              <w:rPr>
                <w:rFonts w:ascii="Times New Roman" w:hAnsi="Times New Roman"/>
                <w:bCs/>
                <w:color w:val="000000"/>
              </w:rPr>
            </w:pPr>
            <w:r w:rsidRPr="00812535">
              <w:rPr>
                <w:rFonts w:ascii="Times New Roman" w:hAnsi="Times New Roman"/>
                <w:bCs/>
                <w:color w:val="000000"/>
              </w:rPr>
              <w:t>Total Cost</w:t>
            </w:r>
          </w:p>
        </w:tc>
      </w:tr>
      <w:tr w:rsidR="00204090" w14:paraId="3377979F" w14:textId="77777777" w:rsidTr="00204090">
        <w:trPr>
          <w:trHeight w:val="277"/>
        </w:trPr>
        <w:tc>
          <w:tcPr>
            <w:tcW w:w="3340" w:type="dxa"/>
            <w:tcBorders>
              <w:top w:val="single" w:sz="4" w:space="0" w:color="auto"/>
              <w:left w:val="single" w:sz="4" w:space="0" w:color="auto"/>
              <w:bottom w:val="single" w:sz="4" w:space="0" w:color="auto"/>
              <w:right w:val="single" w:sz="4" w:space="0" w:color="auto"/>
            </w:tcBorders>
            <w:noWrap/>
            <w:vAlign w:val="bottom"/>
          </w:tcPr>
          <w:p w14:paraId="3377979B" w14:textId="77777777" w:rsidR="00204090" w:rsidRPr="00204090" w:rsidRDefault="00D56542">
            <w:pPr>
              <w:rPr>
                <w:rFonts w:ascii="Times New Roman" w:hAnsi="Times New Roman"/>
                <w:color w:val="000000"/>
              </w:rPr>
            </w:pPr>
            <w:r>
              <w:rPr>
                <w:rFonts w:ascii="Times New Roman" w:hAnsi="Times New Roman"/>
                <w:color w:val="000000"/>
              </w:rPr>
              <w:t xml:space="preserve">FDA </w:t>
            </w:r>
            <w:r w:rsidR="00204090" w:rsidRPr="00204090">
              <w:rPr>
                <w:rFonts w:ascii="Times New Roman" w:hAnsi="Times New Roman"/>
                <w:color w:val="000000"/>
              </w:rPr>
              <w:t>Program Management</w:t>
            </w:r>
            <w:r>
              <w:rPr>
                <w:rFonts w:ascii="Times New Roman" w:hAnsi="Times New Roman"/>
                <w:color w:val="000000"/>
              </w:rPr>
              <w:t xml:space="preserve"> for form and database development</w:t>
            </w:r>
          </w:p>
        </w:tc>
        <w:tc>
          <w:tcPr>
            <w:tcW w:w="1340" w:type="dxa"/>
            <w:tcBorders>
              <w:top w:val="single" w:sz="4" w:space="0" w:color="auto"/>
              <w:left w:val="nil"/>
              <w:bottom w:val="single" w:sz="4" w:space="0" w:color="auto"/>
              <w:right w:val="single" w:sz="4" w:space="0" w:color="auto"/>
            </w:tcBorders>
            <w:noWrap/>
            <w:vAlign w:val="bottom"/>
          </w:tcPr>
          <w:p w14:paraId="3377979C" w14:textId="77777777" w:rsidR="00204090" w:rsidRPr="00204090" w:rsidRDefault="00204090">
            <w:pPr>
              <w:rPr>
                <w:rFonts w:ascii="Times New Roman" w:hAnsi="Times New Roman"/>
                <w:color w:val="000000"/>
              </w:rPr>
            </w:pPr>
            <w:r w:rsidRPr="00204090">
              <w:rPr>
                <w:rFonts w:ascii="Times New Roman" w:hAnsi="Times New Roman"/>
                <w:color w:val="000000"/>
              </w:rPr>
              <w:t>600</w:t>
            </w:r>
          </w:p>
        </w:tc>
        <w:tc>
          <w:tcPr>
            <w:tcW w:w="1275" w:type="dxa"/>
            <w:tcBorders>
              <w:top w:val="single" w:sz="4" w:space="0" w:color="auto"/>
              <w:left w:val="nil"/>
              <w:bottom w:val="single" w:sz="4" w:space="0" w:color="auto"/>
              <w:right w:val="single" w:sz="4" w:space="0" w:color="auto"/>
            </w:tcBorders>
            <w:noWrap/>
            <w:vAlign w:val="bottom"/>
          </w:tcPr>
          <w:p w14:paraId="3377979D" w14:textId="77777777" w:rsidR="00204090" w:rsidRPr="00204090" w:rsidRDefault="00204090" w:rsidP="00204090">
            <w:pPr>
              <w:rPr>
                <w:rFonts w:ascii="Times New Roman" w:hAnsi="Times New Roman"/>
                <w:color w:val="000000"/>
              </w:rPr>
            </w:pPr>
            <w:r w:rsidRPr="00204090">
              <w:rPr>
                <w:rFonts w:ascii="Times New Roman" w:hAnsi="Times New Roman"/>
                <w:color w:val="000000"/>
              </w:rPr>
              <w:t>$132.00</w:t>
            </w:r>
          </w:p>
        </w:tc>
        <w:tc>
          <w:tcPr>
            <w:tcW w:w="1710" w:type="dxa"/>
            <w:tcBorders>
              <w:top w:val="single" w:sz="4" w:space="0" w:color="auto"/>
              <w:left w:val="nil"/>
              <w:bottom w:val="single" w:sz="4" w:space="0" w:color="auto"/>
              <w:right w:val="single" w:sz="4" w:space="0" w:color="auto"/>
            </w:tcBorders>
            <w:noWrap/>
            <w:vAlign w:val="bottom"/>
          </w:tcPr>
          <w:p w14:paraId="3377979E" w14:textId="77777777" w:rsidR="00204090" w:rsidRPr="00204090" w:rsidRDefault="00204090" w:rsidP="001767F6">
            <w:pPr>
              <w:jc w:val="right"/>
              <w:rPr>
                <w:rFonts w:ascii="Times New Roman" w:hAnsi="Times New Roman"/>
                <w:color w:val="000000"/>
              </w:rPr>
            </w:pPr>
            <w:r w:rsidRPr="00204090">
              <w:rPr>
                <w:rFonts w:ascii="Times New Roman" w:hAnsi="Times New Roman"/>
                <w:color w:val="000000"/>
              </w:rPr>
              <w:t>$79,200</w:t>
            </w:r>
          </w:p>
        </w:tc>
      </w:tr>
      <w:tr w:rsidR="00204090" w14:paraId="337797A4" w14:textId="77777777" w:rsidTr="00204090">
        <w:trPr>
          <w:trHeight w:val="277"/>
        </w:trPr>
        <w:tc>
          <w:tcPr>
            <w:tcW w:w="3340" w:type="dxa"/>
            <w:tcBorders>
              <w:top w:val="single" w:sz="4" w:space="0" w:color="auto"/>
              <w:left w:val="single" w:sz="4" w:space="0" w:color="auto"/>
              <w:bottom w:val="single" w:sz="4" w:space="0" w:color="auto"/>
              <w:right w:val="single" w:sz="4" w:space="0" w:color="auto"/>
            </w:tcBorders>
            <w:noWrap/>
            <w:vAlign w:val="bottom"/>
          </w:tcPr>
          <w:p w14:paraId="337797A0" w14:textId="616504F6" w:rsidR="00204090" w:rsidRPr="00204090" w:rsidRDefault="00D56542">
            <w:pPr>
              <w:rPr>
                <w:rFonts w:ascii="Times New Roman" w:hAnsi="Times New Roman"/>
                <w:color w:val="000000"/>
              </w:rPr>
            </w:pPr>
            <w:r>
              <w:rPr>
                <w:rFonts w:ascii="Times New Roman" w:hAnsi="Times New Roman"/>
                <w:color w:val="000000"/>
              </w:rPr>
              <w:t xml:space="preserve">FDA </w:t>
            </w:r>
            <w:r w:rsidR="00204090" w:rsidRPr="00204090">
              <w:rPr>
                <w:rFonts w:ascii="Times New Roman" w:hAnsi="Times New Roman"/>
                <w:color w:val="000000"/>
              </w:rPr>
              <w:t>Project Management</w:t>
            </w:r>
          </w:p>
        </w:tc>
        <w:tc>
          <w:tcPr>
            <w:tcW w:w="1340" w:type="dxa"/>
            <w:tcBorders>
              <w:top w:val="single" w:sz="4" w:space="0" w:color="auto"/>
              <w:left w:val="nil"/>
              <w:bottom w:val="single" w:sz="4" w:space="0" w:color="auto"/>
              <w:right w:val="single" w:sz="4" w:space="0" w:color="auto"/>
            </w:tcBorders>
            <w:noWrap/>
            <w:vAlign w:val="bottom"/>
          </w:tcPr>
          <w:p w14:paraId="337797A1" w14:textId="77777777" w:rsidR="00204090" w:rsidRPr="00204090" w:rsidRDefault="00204090">
            <w:pPr>
              <w:rPr>
                <w:rFonts w:ascii="Times New Roman" w:hAnsi="Times New Roman"/>
                <w:color w:val="000000"/>
              </w:rPr>
            </w:pPr>
            <w:r w:rsidRPr="00204090">
              <w:rPr>
                <w:rFonts w:ascii="Times New Roman" w:hAnsi="Times New Roman"/>
                <w:color w:val="000000"/>
              </w:rPr>
              <w:t>800</w:t>
            </w:r>
          </w:p>
        </w:tc>
        <w:tc>
          <w:tcPr>
            <w:tcW w:w="1275" w:type="dxa"/>
            <w:tcBorders>
              <w:top w:val="single" w:sz="4" w:space="0" w:color="auto"/>
              <w:left w:val="nil"/>
              <w:bottom w:val="single" w:sz="4" w:space="0" w:color="auto"/>
              <w:right w:val="single" w:sz="4" w:space="0" w:color="auto"/>
            </w:tcBorders>
            <w:noWrap/>
            <w:vAlign w:val="bottom"/>
          </w:tcPr>
          <w:p w14:paraId="337797A2" w14:textId="77777777" w:rsidR="00204090" w:rsidRPr="00204090" w:rsidRDefault="00204090" w:rsidP="00204090">
            <w:pPr>
              <w:rPr>
                <w:rFonts w:ascii="Times New Roman" w:hAnsi="Times New Roman"/>
                <w:color w:val="000000"/>
              </w:rPr>
            </w:pPr>
            <w:r w:rsidRPr="00204090">
              <w:rPr>
                <w:rFonts w:ascii="Times New Roman" w:hAnsi="Times New Roman"/>
                <w:color w:val="000000"/>
              </w:rPr>
              <w:t>$132.00</w:t>
            </w:r>
          </w:p>
        </w:tc>
        <w:tc>
          <w:tcPr>
            <w:tcW w:w="1710" w:type="dxa"/>
            <w:tcBorders>
              <w:top w:val="single" w:sz="4" w:space="0" w:color="auto"/>
              <w:left w:val="nil"/>
              <w:bottom w:val="single" w:sz="4" w:space="0" w:color="auto"/>
              <w:right w:val="single" w:sz="4" w:space="0" w:color="auto"/>
            </w:tcBorders>
            <w:noWrap/>
            <w:vAlign w:val="bottom"/>
          </w:tcPr>
          <w:p w14:paraId="337797A3" w14:textId="77777777" w:rsidR="00204090" w:rsidRPr="00204090" w:rsidRDefault="00204090" w:rsidP="001767F6">
            <w:pPr>
              <w:jc w:val="right"/>
              <w:rPr>
                <w:rFonts w:ascii="Times New Roman" w:hAnsi="Times New Roman"/>
                <w:color w:val="000000"/>
              </w:rPr>
            </w:pPr>
            <w:r w:rsidRPr="00204090">
              <w:rPr>
                <w:rFonts w:ascii="Times New Roman" w:hAnsi="Times New Roman"/>
                <w:color w:val="000000"/>
              </w:rPr>
              <w:t>$105,600</w:t>
            </w:r>
          </w:p>
        </w:tc>
      </w:tr>
      <w:tr w:rsidR="00204090" w14:paraId="337797A9" w14:textId="77777777" w:rsidTr="00204090">
        <w:trPr>
          <w:trHeight w:val="277"/>
        </w:trPr>
        <w:tc>
          <w:tcPr>
            <w:tcW w:w="3340" w:type="dxa"/>
            <w:tcBorders>
              <w:top w:val="single" w:sz="4" w:space="0" w:color="auto"/>
              <w:left w:val="single" w:sz="4" w:space="0" w:color="auto"/>
              <w:bottom w:val="single" w:sz="4" w:space="0" w:color="auto"/>
              <w:right w:val="single" w:sz="4" w:space="0" w:color="auto"/>
            </w:tcBorders>
            <w:noWrap/>
            <w:vAlign w:val="bottom"/>
          </w:tcPr>
          <w:p w14:paraId="337797A5" w14:textId="77777777" w:rsidR="00204090" w:rsidRPr="00204090" w:rsidRDefault="00204090">
            <w:pPr>
              <w:rPr>
                <w:rFonts w:ascii="Times New Roman" w:hAnsi="Times New Roman"/>
                <w:color w:val="000000"/>
              </w:rPr>
            </w:pPr>
            <w:r w:rsidRPr="00204090">
              <w:rPr>
                <w:rFonts w:ascii="Times New Roman" w:hAnsi="Times New Roman"/>
                <w:color w:val="000000"/>
              </w:rPr>
              <w:t>Contract Costs</w:t>
            </w:r>
            <w:r w:rsidR="00D56542">
              <w:rPr>
                <w:rFonts w:ascii="Times New Roman" w:hAnsi="Times New Roman"/>
                <w:color w:val="000000"/>
              </w:rPr>
              <w:t xml:space="preserve"> for database and form development</w:t>
            </w:r>
          </w:p>
        </w:tc>
        <w:tc>
          <w:tcPr>
            <w:tcW w:w="1340" w:type="dxa"/>
            <w:tcBorders>
              <w:top w:val="single" w:sz="4" w:space="0" w:color="auto"/>
              <w:left w:val="nil"/>
              <w:bottom w:val="single" w:sz="4" w:space="0" w:color="auto"/>
              <w:right w:val="single" w:sz="4" w:space="0" w:color="auto"/>
            </w:tcBorders>
            <w:noWrap/>
            <w:vAlign w:val="bottom"/>
          </w:tcPr>
          <w:p w14:paraId="337797A6" w14:textId="77777777" w:rsidR="00204090" w:rsidRPr="00204090" w:rsidRDefault="00204090">
            <w:pPr>
              <w:rPr>
                <w:rFonts w:ascii="Times New Roman" w:hAnsi="Times New Roman"/>
                <w:color w:val="000000"/>
              </w:rPr>
            </w:pPr>
          </w:p>
        </w:tc>
        <w:tc>
          <w:tcPr>
            <w:tcW w:w="1275" w:type="dxa"/>
            <w:tcBorders>
              <w:top w:val="single" w:sz="4" w:space="0" w:color="auto"/>
              <w:left w:val="nil"/>
              <w:bottom w:val="single" w:sz="4" w:space="0" w:color="auto"/>
              <w:right w:val="single" w:sz="4" w:space="0" w:color="auto"/>
            </w:tcBorders>
            <w:noWrap/>
            <w:vAlign w:val="bottom"/>
          </w:tcPr>
          <w:p w14:paraId="337797A7" w14:textId="77777777" w:rsidR="00204090" w:rsidRPr="00204090" w:rsidRDefault="00204090" w:rsidP="00204090">
            <w:pPr>
              <w:rPr>
                <w:rFonts w:ascii="Times New Roman" w:hAnsi="Times New Roman"/>
                <w:color w:val="000000"/>
              </w:rPr>
            </w:pPr>
          </w:p>
        </w:tc>
        <w:tc>
          <w:tcPr>
            <w:tcW w:w="1710" w:type="dxa"/>
            <w:tcBorders>
              <w:top w:val="single" w:sz="4" w:space="0" w:color="auto"/>
              <w:left w:val="nil"/>
              <w:bottom w:val="single" w:sz="4" w:space="0" w:color="auto"/>
              <w:right w:val="single" w:sz="4" w:space="0" w:color="auto"/>
            </w:tcBorders>
            <w:noWrap/>
            <w:vAlign w:val="bottom"/>
          </w:tcPr>
          <w:p w14:paraId="337797A8" w14:textId="77777777" w:rsidR="00204090" w:rsidRPr="00204090" w:rsidRDefault="00204090" w:rsidP="001767F6">
            <w:pPr>
              <w:jc w:val="right"/>
              <w:rPr>
                <w:rFonts w:ascii="Times New Roman" w:hAnsi="Times New Roman"/>
                <w:color w:val="000000"/>
              </w:rPr>
            </w:pPr>
            <w:r w:rsidRPr="00204090">
              <w:rPr>
                <w:rFonts w:ascii="Times New Roman" w:hAnsi="Times New Roman"/>
                <w:color w:val="000000"/>
              </w:rPr>
              <w:t>$341,324</w:t>
            </w:r>
          </w:p>
        </w:tc>
      </w:tr>
      <w:tr w:rsidR="00204090" w14:paraId="337797AE" w14:textId="77777777" w:rsidTr="00204090">
        <w:trPr>
          <w:trHeight w:val="277"/>
        </w:trPr>
        <w:tc>
          <w:tcPr>
            <w:tcW w:w="3340" w:type="dxa"/>
            <w:tcBorders>
              <w:top w:val="single" w:sz="4" w:space="0" w:color="auto"/>
              <w:left w:val="single" w:sz="4" w:space="0" w:color="auto"/>
              <w:bottom w:val="single" w:sz="4" w:space="0" w:color="auto"/>
              <w:right w:val="single" w:sz="4" w:space="0" w:color="auto"/>
            </w:tcBorders>
            <w:noWrap/>
            <w:vAlign w:val="bottom"/>
          </w:tcPr>
          <w:p w14:paraId="337797AA" w14:textId="77777777" w:rsidR="00204090" w:rsidRPr="00204090" w:rsidRDefault="001767F6">
            <w:pPr>
              <w:rPr>
                <w:rFonts w:ascii="Times New Roman" w:hAnsi="Times New Roman"/>
                <w:color w:val="000000"/>
              </w:rPr>
            </w:pPr>
            <w:r>
              <w:rPr>
                <w:rFonts w:ascii="Times New Roman" w:hAnsi="Times New Roman"/>
                <w:color w:val="000000"/>
              </w:rPr>
              <w:lastRenderedPageBreak/>
              <w:t>Total Costs for Year 1</w:t>
            </w:r>
          </w:p>
        </w:tc>
        <w:tc>
          <w:tcPr>
            <w:tcW w:w="1340" w:type="dxa"/>
            <w:tcBorders>
              <w:top w:val="single" w:sz="4" w:space="0" w:color="auto"/>
              <w:left w:val="nil"/>
              <w:bottom w:val="single" w:sz="4" w:space="0" w:color="auto"/>
              <w:right w:val="single" w:sz="4" w:space="0" w:color="auto"/>
            </w:tcBorders>
            <w:noWrap/>
            <w:vAlign w:val="bottom"/>
          </w:tcPr>
          <w:p w14:paraId="337797AB" w14:textId="77777777" w:rsidR="00204090" w:rsidRPr="00204090" w:rsidRDefault="00204090">
            <w:pPr>
              <w:rPr>
                <w:rFonts w:ascii="Times New Roman" w:hAnsi="Times New Roman"/>
                <w:color w:val="000000"/>
              </w:rPr>
            </w:pPr>
          </w:p>
        </w:tc>
        <w:tc>
          <w:tcPr>
            <w:tcW w:w="1275" w:type="dxa"/>
            <w:tcBorders>
              <w:top w:val="single" w:sz="4" w:space="0" w:color="auto"/>
              <w:left w:val="nil"/>
              <w:bottom w:val="single" w:sz="4" w:space="0" w:color="auto"/>
              <w:right w:val="single" w:sz="4" w:space="0" w:color="auto"/>
            </w:tcBorders>
            <w:noWrap/>
            <w:vAlign w:val="bottom"/>
          </w:tcPr>
          <w:p w14:paraId="337797AC" w14:textId="77777777" w:rsidR="00204090" w:rsidRPr="00204090" w:rsidRDefault="00204090" w:rsidP="00204090">
            <w:pPr>
              <w:rPr>
                <w:rFonts w:ascii="Times New Roman" w:hAnsi="Times New Roman"/>
                <w:color w:val="000000"/>
              </w:rPr>
            </w:pPr>
          </w:p>
        </w:tc>
        <w:tc>
          <w:tcPr>
            <w:tcW w:w="1710" w:type="dxa"/>
            <w:tcBorders>
              <w:top w:val="single" w:sz="4" w:space="0" w:color="auto"/>
              <w:left w:val="nil"/>
              <w:bottom w:val="single" w:sz="4" w:space="0" w:color="auto"/>
              <w:right w:val="single" w:sz="4" w:space="0" w:color="auto"/>
            </w:tcBorders>
            <w:noWrap/>
            <w:vAlign w:val="bottom"/>
          </w:tcPr>
          <w:p w14:paraId="337797AD" w14:textId="77777777" w:rsidR="00204090" w:rsidRPr="00171D27" w:rsidRDefault="00171D27" w:rsidP="001767F6">
            <w:pPr>
              <w:jc w:val="right"/>
              <w:rPr>
                <w:rFonts w:ascii="Times New Roman" w:hAnsi="Times New Roman"/>
                <w:b/>
                <w:color w:val="000000"/>
              </w:rPr>
            </w:pPr>
            <w:r w:rsidRPr="00171D27">
              <w:rPr>
                <w:rFonts w:ascii="Times New Roman" w:hAnsi="Times New Roman"/>
                <w:b/>
                <w:color w:val="000000"/>
              </w:rPr>
              <w:t>$526,124</w:t>
            </w:r>
          </w:p>
        </w:tc>
      </w:tr>
    </w:tbl>
    <w:p w14:paraId="337797AF" w14:textId="77777777" w:rsidR="002B3CF3" w:rsidRDefault="001767F6" w:rsidP="001767F6">
      <w:pPr>
        <w:tabs>
          <w:tab w:val="left" w:pos="-720"/>
          <w:tab w:val="left" w:pos="0"/>
          <w:tab w:val="left" w:pos="378"/>
          <w:tab w:val="left" w:pos="1440"/>
        </w:tabs>
        <w:spacing w:after="0" w:line="240" w:lineRule="auto"/>
        <w:ind w:left="1008" w:hanging="1008"/>
        <w:rPr>
          <w:rFonts w:ascii="Times New Roman" w:hAnsi="Times New Roman"/>
          <w:color w:val="000000"/>
        </w:rPr>
      </w:pPr>
      <w:r>
        <w:rPr>
          <w:rFonts w:ascii="Times New Roman" w:hAnsi="Times New Roman"/>
          <w:color w:val="000000"/>
        </w:rPr>
        <w:tab/>
        <w:t xml:space="preserve">Note: </w:t>
      </w:r>
      <w:r w:rsidRPr="009844A5">
        <w:rPr>
          <w:rFonts w:ascii="Times New Roman" w:hAnsi="Times New Roman"/>
          <w:color w:val="000000"/>
        </w:rPr>
        <w:t>The hourly rate is determined by dividing the Agency's fully-loaded cost of $2</w:t>
      </w:r>
      <w:r w:rsidR="00171D27">
        <w:rPr>
          <w:rFonts w:ascii="Times New Roman" w:hAnsi="Times New Roman"/>
          <w:color w:val="000000"/>
        </w:rPr>
        <w:t>75</w:t>
      </w:r>
      <w:r w:rsidRPr="009844A5">
        <w:rPr>
          <w:rFonts w:ascii="Times New Roman" w:hAnsi="Times New Roman"/>
          <w:color w:val="000000"/>
        </w:rPr>
        <w:t>,000 per FTE by the number of hours per FTE per year (2,080) to arrive at $13</w:t>
      </w:r>
      <w:r w:rsidR="00171D27">
        <w:rPr>
          <w:rFonts w:ascii="Times New Roman" w:hAnsi="Times New Roman"/>
          <w:color w:val="000000"/>
        </w:rPr>
        <w:t>2</w:t>
      </w:r>
      <w:r w:rsidRPr="009844A5">
        <w:rPr>
          <w:rFonts w:ascii="Times New Roman" w:hAnsi="Times New Roman"/>
          <w:color w:val="000000"/>
        </w:rPr>
        <w:t xml:space="preserve"> per hour.</w:t>
      </w:r>
    </w:p>
    <w:p w14:paraId="337797B0" w14:textId="77777777" w:rsidR="00171D27" w:rsidRDefault="00171D27" w:rsidP="001767F6">
      <w:pPr>
        <w:tabs>
          <w:tab w:val="left" w:pos="-720"/>
          <w:tab w:val="left" w:pos="0"/>
          <w:tab w:val="left" w:pos="378"/>
          <w:tab w:val="left" w:pos="1440"/>
        </w:tabs>
        <w:spacing w:after="0" w:line="240" w:lineRule="auto"/>
        <w:ind w:left="1008" w:hanging="1008"/>
        <w:rPr>
          <w:rFonts w:ascii="Times New Roman" w:hAnsi="Times New Roman"/>
          <w:color w:val="000000"/>
        </w:rPr>
      </w:pPr>
    </w:p>
    <w:p w14:paraId="337797B1" w14:textId="77777777" w:rsidR="00171D27" w:rsidRDefault="00171D27" w:rsidP="00171D27">
      <w:pPr>
        <w:tabs>
          <w:tab w:val="left" w:pos="-720"/>
          <w:tab w:val="left" w:pos="0"/>
          <w:tab w:val="left" w:pos="378"/>
          <w:tab w:val="left" w:pos="1440"/>
        </w:tabs>
        <w:spacing w:after="0" w:line="240" w:lineRule="auto"/>
        <w:ind w:left="1008" w:hanging="1008"/>
        <w:jc w:val="center"/>
        <w:rPr>
          <w:rFonts w:ascii="Times New Roman" w:hAnsi="Times New Roman"/>
          <w:sz w:val="24"/>
          <w:szCs w:val="24"/>
        </w:rPr>
      </w:pPr>
    </w:p>
    <w:p w14:paraId="337797C2" w14:textId="77777777" w:rsidR="00171D27" w:rsidRPr="00171D27" w:rsidRDefault="00171D27" w:rsidP="00171D27">
      <w:pPr>
        <w:tabs>
          <w:tab w:val="left" w:pos="-720"/>
          <w:tab w:val="left" w:pos="0"/>
          <w:tab w:val="left" w:pos="378"/>
          <w:tab w:val="left" w:pos="1440"/>
        </w:tabs>
        <w:spacing w:after="0" w:line="240" w:lineRule="auto"/>
        <w:ind w:left="1008" w:hanging="1008"/>
        <w:jc w:val="center"/>
        <w:rPr>
          <w:rFonts w:ascii="Times New Roman" w:hAnsi="Times New Roman"/>
          <w:sz w:val="24"/>
          <w:szCs w:val="24"/>
        </w:rPr>
      </w:pPr>
      <w:r w:rsidRPr="00171D27">
        <w:rPr>
          <w:rFonts w:ascii="Times New Roman" w:hAnsi="Times New Roman"/>
          <w:sz w:val="24"/>
          <w:szCs w:val="24"/>
        </w:rPr>
        <w:t>Table 7</w:t>
      </w:r>
      <w:r>
        <w:rPr>
          <w:rFonts w:ascii="Times New Roman" w:hAnsi="Times New Roman"/>
          <w:sz w:val="24"/>
          <w:szCs w:val="24"/>
        </w:rPr>
        <w:t xml:space="preserve"> – Annualized Government Costs Year 2 -</w:t>
      </w:r>
    </w:p>
    <w:p w14:paraId="337797C3" w14:textId="77777777" w:rsidR="002B3CF3" w:rsidRPr="00B43D9E" w:rsidRDefault="002B3CF3" w:rsidP="00B43D9E">
      <w:pPr>
        <w:tabs>
          <w:tab w:val="left" w:pos="-720"/>
          <w:tab w:val="left" w:pos="0"/>
          <w:tab w:val="left" w:pos="378"/>
          <w:tab w:val="left" w:pos="1440"/>
        </w:tabs>
        <w:spacing w:after="0" w:line="480" w:lineRule="auto"/>
        <w:ind w:left="378" w:hanging="378"/>
        <w:rPr>
          <w:rFonts w:ascii="Times New Roman" w:hAnsi="Times New Roman"/>
          <w:i/>
          <w:color w:val="FF0000"/>
          <w:sz w:val="24"/>
          <w:szCs w:val="24"/>
        </w:rPr>
      </w:pPr>
    </w:p>
    <w:tbl>
      <w:tblPr>
        <w:tblW w:w="7665" w:type="dxa"/>
        <w:tblInd w:w="1075" w:type="dxa"/>
        <w:tblLook w:val="04A0" w:firstRow="1" w:lastRow="0" w:firstColumn="1" w:lastColumn="0" w:noHBand="0" w:noVBand="1"/>
      </w:tblPr>
      <w:tblGrid>
        <w:gridCol w:w="8"/>
        <w:gridCol w:w="3332"/>
        <w:gridCol w:w="8"/>
        <w:gridCol w:w="1332"/>
        <w:gridCol w:w="8"/>
        <w:gridCol w:w="1120"/>
        <w:gridCol w:w="147"/>
        <w:gridCol w:w="1133"/>
        <w:gridCol w:w="577"/>
      </w:tblGrid>
      <w:tr w:rsidR="00A259A6" w:rsidRPr="009844A5" w14:paraId="337797C8" w14:textId="77777777" w:rsidTr="00B43D9E">
        <w:trPr>
          <w:trHeight w:val="315"/>
        </w:trPr>
        <w:tc>
          <w:tcPr>
            <w:tcW w:w="3340" w:type="dxa"/>
            <w:gridSpan w:val="2"/>
            <w:tcBorders>
              <w:top w:val="single" w:sz="8" w:space="0" w:color="auto"/>
              <w:left w:val="single" w:sz="8" w:space="0" w:color="auto"/>
              <w:bottom w:val="single" w:sz="8" w:space="0" w:color="auto"/>
              <w:right w:val="single" w:sz="4" w:space="0" w:color="auto"/>
            </w:tcBorders>
            <w:noWrap/>
            <w:vAlign w:val="bottom"/>
            <w:hideMark/>
          </w:tcPr>
          <w:p w14:paraId="337797C4" w14:textId="77777777" w:rsidR="00A259A6" w:rsidRPr="00812535" w:rsidRDefault="00A259A6" w:rsidP="00A259A6">
            <w:pPr>
              <w:jc w:val="center"/>
              <w:rPr>
                <w:rFonts w:ascii="Times New Roman" w:hAnsi="Times New Roman"/>
                <w:bCs/>
                <w:color w:val="000000"/>
              </w:rPr>
            </w:pPr>
            <w:r w:rsidRPr="00812535">
              <w:rPr>
                <w:color w:val="1F497D"/>
              </w:rPr>
              <w:tab/>
            </w:r>
            <w:r w:rsidRPr="00812535">
              <w:rPr>
                <w:rFonts w:ascii="Times New Roman" w:hAnsi="Times New Roman"/>
                <w:bCs/>
                <w:color w:val="000000"/>
              </w:rPr>
              <w:t>Type of Activity</w:t>
            </w:r>
          </w:p>
        </w:tc>
        <w:tc>
          <w:tcPr>
            <w:tcW w:w="1340" w:type="dxa"/>
            <w:gridSpan w:val="2"/>
            <w:tcBorders>
              <w:top w:val="single" w:sz="8" w:space="0" w:color="auto"/>
              <w:left w:val="nil"/>
              <w:bottom w:val="single" w:sz="8" w:space="0" w:color="auto"/>
              <w:right w:val="single" w:sz="4" w:space="0" w:color="auto"/>
            </w:tcBorders>
            <w:noWrap/>
            <w:vAlign w:val="bottom"/>
            <w:hideMark/>
          </w:tcPr>
          <w:p w14:paraId="337797C5" w14:textId="77777777" w:rsidR="00A259A6" w:rsidRPr="00812535" w:rsidRDefault="00A259A6" w:rsidP="00A259A6">
            <w:pPr>
              <w:jc w:val="center"/>
              <w:rPr>
                <w:rFonts w:ascii="Times New Roman" w:hAnsi="Times New Roman"/>
                <w:bCs/>
                <w:color w:val="000000"/>
              </w:rPr>
            </w:pPr>
            <w:r w:rsidRPr="00812535">
              <w:rPr>
                <w:rFonts w:ascii="Times New Roman" w:hAnsi="Times New Roman"/>
                <w:bCs/>
                <w:color w:val="000000"/>
              </w:rPr>
              <w:t>Est. No. Hours</w:t>
            </w:r>
          </w:p>
        </w:tc>
        <w:tc>
          <w:tcPr>
            <w:tcW w:w="1275" w:type="dxa"/>
            <w:gridSpan w:val="3"/>
            <w:tcBorders>
              <w:top w:val="single" w:sz="8" w:space="0" w:color="auto"/>
              <w:left w:val="nil"/>
              <w:bottom w:val="single" w:sz="8" w:space="0" w:color="auto"/>
              <w:right w:val="single" w:sz="4" w:space="0" w:color="auto"/>
            </w:tcBorders>
            <w:noWrap/>
            <w:vAlign w:val="bottom"/>
            <w:hideMark/>
          </w:tcPr>
          <w:p w14:paraId="337797C6" w14:textId="77777777" w:rsidR="00A259A6" w:rsidRPr="00812535" w:rsidRDefault="00A259A6" w:rsidP="00D43F36">
            <w:pPr>
              <w:jc w:val="center"/>
              <w:rPr>
                <w:rFonts w:ascii="Times New Roman" w:hAnsi="Times New Roman"/>
                <w:bCs/>
                <w:color w:val="000000"/>
              </w:rPr>
            </w:pPr>
            <w:r w:rsidRPr="00812535">
              <w:rPr>
                <w:rFonts w:ascii="Times New Roman" w:hAnsi="Times New Roman"/>
                <w:bCs/>
                <w:color w:val="000000"/>
              </w:rPr>
              <w:t>Hourly Rate</w:t>
            </w:r>
          </w:p>
        </w:tc>
        <w:tc>
          <w:tcPr>
            <w:tcW w:w="1710" w:type="dxa"/>
            <w:gridSpan w:val="2"/>
            <w:tcBorders>
              <w:top w:val="single" w:sz="8" w:space="0" w:color="auto"/>
              <w:left w:val="nil"/>
              <w:bottom w:val="single" w:sz="8" w:space="0" w:color="auto"/>
              <w:right w:val="single" w:sz="8" w:space="0" w:color="auto"/>
            </w:tcBorders>
            <w:noWrap/>
            <w:vAlign w:val="bottom"/>
            <w:hideMark/>
          </w:tcPr>
          <w:p w14:paraId="337797C7" w14:textId="77777777" w:rsidR="00A259A6" w:rsidRPr="00812535" w:rsidRDefault="00A259A6" w:rsidP="00A259A6">
            <w:pPr>
              <w:jc w:val="center"/>
              <w:rPr>
                <w:rFonts w:ascii="Times New Roman" w:hAnsi="Times New Roman"/>
                <w:bCs/>
                <w:color w:val="000000"/>
              </w:rPr>
            </w:pPr>
            <w:r w:rsidRPr="00812535">
              <w:rPr>
                <w:rFonts w:ascii="Times New Roman" w:hAnsi="Times New Roman"/>
                <w:bCs/>
                <w:color w:val="000000"/>
              </w:rPr>
              <w:t>Total Cost</w:t>
            </w:r>
          </w:p>
        </w:tc>
      </w:tr>
      <w:tr w:rsidR="00A259A6" w:rsidRPr="009844A5" w14:paraId="337797CD" w14:textId="77777777" w:rsidTr="00B43D9E">
        <w:trPr>
          <w:trHeight w:val="277"/>
        </w:trPr>
        <w:tc>
          <w:tcPr>
            <w:tcW w:w="3340" w:type="dxa"/>
            <w:gridSpan w:val="2"/>
            <w:tcBorders>
              <w:top w:val="nil"/>
              <w:left w:val="single" w:sz="4" w:space="0" w:color="auto"/>
              <w:bottom w:val="single" w:sz="4" w:space="0" w:color="auto"/>
              <w:right w:val="single" w:sz="4" w:space="0" w:color="auto"/>
            </w:tcBorders>
            <w:noWrap/>
            <w:vAlign w:val="bottom"/>
            <w:hideMark/>
          </w:tcPr>
          <w:p w14:paraId="337797C9" w14:textId="77777777" w:rsidR="00A259A6" w:rsidRPr="009844A5" w:rsidRDefault="00171D27" w:rsidP="00171D27">
            <w:pPr>
              <w:rPr>
                <w:rFonts w:ascii="Times New Roman" w:hAnsi="Times New Roman"/>
                <w:color w:val="000000"/>
              </w:rPr>
            </w:pPr>
            <w:r>
              <w:rPr>
                <w:rFonts w:ascii="Times New Roman" w:hAnsi="Times New Roman"/>
                <w:color w:val="000000"/>
              </w:rPr>
              <w:t>R</w:t>
            </w:r>
            <w:r w:rsidR="008923A5">
              <w:rPr>
                <w:rFonts w:ascii="Times New Roman" w:hAnsi="Times New Roman"/>
                <w:color w:val="000000"/>
              </w:rPr>
              <w:t xml:space="preserve">eview of </w:t>
            </w:r>
            <w:r>
              <w:rPr>
                <w:rFonts w:ascii="Times New Roman" w:hAnsi="Times New Roman"/>
                <w:color w:val="000000"/>
              </w:rPr>
              <w:t>notifications</w:t>
            </w:r>
          </w:p>
        </w:tc>
        <w:tc>
          <w:tcPr>
            <w:tcW w:w="1340" w:type="dxa"/>
            <w:gridSpan w:val="2"/>
            <w:tcBorders>
              <w:top w:val="nil"/>
              <w:left w:val="nil"/>
              <w:bottom w:val="single" w:sz="4" w:space="0" w:color="auto"/>
              <w:right w:val="single" w:sz="4" w:space="0" w:color="auto"/>
            </w:tcBorders>
            <w:noWrap/>
            <w:vAlign w:val="bottom"/>
            <w:hideMark/>
          </w:tcPr>
          <w:p w14:paraId="337797CA" w14:textId="0D576824" w:rsidR="00A259A6" w:rsidRPr="009844A5" w:rsidRDefault="00612328" w:rsidP="00612328">
            <w:pPr>
              <w:jc w:val="center"/>
              <w:rPr>
                <w:rFonts w:ascii="Times New Roman" w:hAnsi="Times New Roman"/>
                <w:color w:val="000000"/>
              </w:rPr>
            </w:pPr>
            <w:r>
              <w:rPr>
                <w:rFonts w:ascii="Times New Roman" w:hAnsi="Times New Roman"/>
                <w:color w:val="000000"/>
              </w:rPr>
              <w:t>500</w:t>
            </w:r>
          </w:p>
        </w:tc>
        <w:tc>
          <w:tcPr>
            <w:tcW w:w="1275" w:type="dxa"/>
            <w:gridSpan w:val="3"/>
            <w:tcBorders>
              <w:top w:val="nil"/>
              <w:left w:val="nil"/>
              <w:bottom w:val="single" w:sz="4" w:space="0" w:color="auto"/>
              <w:right w:val="single" w:sz="4" w:space="0" w:color="auto"/>
            </w:tcBorders>
            <w:noWrap/>
            <w:vAlign w:val="bottom"/>
            <w:hideMark/>
          </w:tcPr>
          <w:p w14:paraId="337797CB" w14:textId="77777777" w:rsidR="00A259A6" w:rsidRPr="009844A5" w:rsidRDefault="00171D27" w:rsidP="00D43F36">
            <w:pPr>
              <w:jc w:val="center"/>
              <w:rPr>
                <w:rFonts w:ascii="Times New Roman" w:hAnsi="Times New Roman"/>
                <w:color w:val="000000"/>
              </w:rPr>
            </w:pPr>
            <w:r>
              <w:rPr>
                <w:rFonts w:ascii="Times New Roman" w:hAnsi="Times New Roman"/>
                <w:color w:val="000000"/>
              </w:rPr>
              <w:t>$137</w:t>
            </w:r>
          </w:p>
        </w:tc>
        <w:tc>
          <w:tcPr>
            <w:tcW w:w="1710" w:type="dxa"/>
            <w:gridSpan w:val="2"/>
            <w:tcBorders>
              <w:top w:val="nil"/>
              <w:left w:val="nil"/>
              <w:bottom w:val="single" w:sz="4" w:space="0" w:color="auto"/>
              <w:right w:val="single" w:sz="4" w:space="0" w:color="auto"/>
            </w:tcBorders>
            <w:noWrap/>
            <w:vAlign w:val="bottom"/>
            <w:hideMark/>
          </w:tcPr>
          <w:p w14:paraId="337797CC" w14:textId="05D65A94" w:rsidR="00A259A6" w:rsidRPr="009844A5" w:rsidRDefault="00D43F36" w:rsidP="00612328">
            <w:pPr>
              <w:jc w:val="right"/>
              <w:rPr>
                <w:rFonts w:ascii="Times New Roman" w:hAnsi="Times New Roman"/>
                <w:color w:val="000000"/>
              </w:rPr>
            </w:pPr>
            <w:r>
              <w:rPr>
                <w:rFonts w:ascii="Times New Roman" w:hAnsi="Times New Roman"/>
                <w:color w:val="000000"/>
              </w:rPr>
              <w:t>$</w:t>
            </w:r>
            <w:r w:rsidR="00612328">
              <w:rPr>
                <w:rFonts w:ascii="Times New Roman" w:hAnsi="Times New Roman"/>
                <w:color w:val="000000"/>
              </w:rPr>
              <w:t>68,500</w:t>
            </w:r>
          </w:p>
        </w:tc>
      </w:tr>
      <w:tr w:rsidR="00A259A6" w:rsidRPr="009844A5" w14:paraId="337797D2" w14:textId="77777777" w:rsidTr="00171D27">
        <w:trPr>
          <w:trHeight w:val="600"/>
        </w:trPr>
        <w:tc>
          <w:tcPr>
            <w:tcW w:w="3340" w:type="dxa"/>
            <w:gridSpan w:val="2"/>
            <w:tcBorders>
              <w:top w:val="nil"/>
              <w:left w:val="single" w:sz="4" w:space="0" w:color="auto"/>
              <w:bottom w:val="single" w:sz="4" w:space="0" w:color="auto"/>
              <w:right w:val="single" w:sz="4" w:space="0" w:color="auto"/>
            </w:tcBorders>
          </w:tcPr>
          <w:p w14:paraId="337797CE" w14:textId="77777777" w:rsidR="00A259A6" w:rsidRPr="009844A5" w:rsidRDefault="00171D27" w:rsidP="00D43F36">
            <w:pPr>
              <w:rPr>
                <w:rFonts w:ascii="Times New Roman" w:hAnsi="Times New Roman"/>
                <w:color w:val="000000"/>
              </w:rPr>
            </w:pPr>
            <w:r>
              <w:rPr>
                <w:rFonts w:ascii="Times New Roman" w:hAnsi="Times New Roman"/>
                <w:color w:val="000000"/>
              </w:rPr>
              <w:t>Review requests for terminations</w:t>
            </w:r>
          </w:p>
        </w:tc>
        <w:tc>
          <w:tcPr>
            <w:tcW w:w="1340" w:type="dxa"/>
            <w:gridSpan w:val="2"/>
            <w:tcBorders>
              <w:top w:val="nil"/>
              <w:left w:val="nil"/>
              <w:bottom w:val="single" w:sz="4" w:space="0" w:color="auto"/>
              <w:right w:val="single" w:sz="4" w:space="0" w:color="auto"/>
            </w:tcBorders>
          </w:tcPr>
          <w:p w14:paraId="337797CF" w14:textId="3288A1A0" w:rsidR="00A259A6" w:rsidRPr="009844A5" w:rsidRDefault="00612328" w:rsidP="00612328">
            <w:pPr>
              <w:jc w:val="center"/>
              <w:rPr>
                <w:rFonts w:ascii="Times New Roman" w:hAnsi="Times New Roman"/>
                <w:color w:val="000000"/>
              </w:rPr>
            </w:pPr>
            <w:r>
              <w:rPr>
                <w:rFonts w:ascii="Times New Roman" w:hAnsi="Times New Roman"/>
                <w:color w:val="000000"/>
              </w:rPr>
              <w:t>1,000</w:t>
            </w:r>
          </w:p>
        </w:tc>
        <w:tc>
          <w:tcPr>
            <w:tcW w:w="1275" w:type="dxa"/>
            <w:gridSpan w:val="3"/>
            <w:tcBorders>
              <w:top w:val="nil"/>
              <w:left w:val="nil"/>
              <w:bottom w:val="single" w:sz="4" w:space="0" w:color="auto"/>
              <w:right w:val="single" w:sz="4" w:space="0" w:color="auto"/>
            </w:tcBorders>
          </w:tcPr>
          <w:p w14:paraId="337797D0" w14:textId="77777777" w:rsidR="00A259A6" w:rsidRPr="009844A5" w:rsidRDefault="00D43F36" w:rsidP="00D43F36">
            <w:pPr>
              <w:jc w:val="center"/>
              <w:rPr>
                <w:rFonts w:ascii="Times New Roman" w:hAnsi="Times New Roman"/>
                <w:color w:val="000000"/>
              </w:rPr>
            </w:pPr>
            <w:r>
              <w:rPr>
                <w:rFonts w:ascii="Times New Roman" w:hAnsi="Times New Roman"/>
                <w:color w:val="000000"/>
              </w:rPr>
              <w:t>$137</w:t>
            </w:r>
          </w:p>
        </w:tc>
        <w:tc>
          <w:tcPr>
            <w:tcW w:w="1710" w:type="dxa"/>
            <w:gridSpan w:val="2"/>
            <w:tcBorders>
              <w:top w:val="nil"/>
              <w:left w:val="nil"/>
              <w:bottom w:val="single" w:sz="4" w:space="0" w:color="auto"/>
              <w:right w:val="single" w:sz="4" w:space="0" w:color="auto"/>
            </w:tcBorders>
          </w:tcPr>
          <w:p w14:paraId="337797D1" w14:textId="2D20DEFA" w:rsidR="00A259A6" w:rsidRPr="009844A5" w:rsidRDefault="00D43F36" w:rsidP="00612328">
            <w:pPr>
              <w:jc w:val="right"/>
              <w:rPr>
                <w:rFonts w:ascii="Times New Roman" w:hAnsi="Times New Roman"/>
                <w:color w:val="000000"/>
              </w:rPr>
            </w:pPr>
            <w:r>
              <w:rPr>
                <w:rFonts w:ascii="Times New Roman" w:hAnsi="Times New Roman"/>
                <w:color w:val="000000"/>
              </w:rPr>
              <w:t>$</w:t>
            </w:r>
            <w:r w:rsidR="00612328">
              <w:rPr>
                <w:rFonts w:ascii="Times New Roman" w:hAnsi="Times New Roman"/>
                <w:color w:val="000000"/>
              </w:rPr>
              <w:t>137,000</w:t>
            </w:r>
          </w:p>
        </w:tc>
      </w:tr>
      <w:tr w:rsidR="00A259A6" w:rsidRPr="009844A5" w14:paraId="337797D7" w14:textId="77777777" w:rsidTr="00171D27">
        <w:trPr>
          <w:trHeight w:val="600"/>
        </w:trPr>
        <w:tc>
          <w:tcPr>
            <w:tcW w:w="3340" w:type="dxa"/>
            <w:gridSpan w:val="2"/>
            <w:tcBorders>
              <w:top w:val="nil"/>
              <w:left w:val="single" w:sz="4" w:space="0" w:color="auto"/>
              <w:bottom w:val="single" w:sz="4" w:space="0" w:color="auto"/>
              <w:right w:val="single" w:sz="4" w:space="0" w:color="auto"/>
            </w:tcBorders>
          </w:tcPr>
          <w:p w14:paraId="337797D3" w14:textId="77777777" w:rsidR="00A259A6" w:rsidRPr="009844A5" w:rsidRDefault="00171D27" w:rsidP="00D43F36">
            <w:pPr>
              <w:rPr>
                <w:rFonts w:ascii="Times New Roman" w:hAnsi="Times New Roman"/>
                <w:color w:val="000000"/>
              </w:rPr>
            </w:pPr>
            <w:r>
              <w:rPr>
                <w:rFonts w:ascii="Times New Roman" w:hAnsi="Times New Roman"/>
                <w:color w:val="000000"/>
              </w:rPr>
              <w:t>Draft</w:t>
            </w:r>
            <w:r w:rsidR="00D43F36">
              <w:rPr>
                <w:rFonts w:ascii="Times New Roman" w:hAnsi="Times New Roman"/>
                <w:color w:val="000000"/>
              </w:rPr>
              <w:t xml:space="preserve">, clear and send </w:t>
            </w:r>
            <w:r>
              <w:rPr>
                <w:rFonts w:ascii="Times New Roman" w:hAnsi="Times New Roman"/>
                <w:color w:val="000000"/>
              </w:rPr>
              <w:t>responses for terminations</w:t>
            </w:r>
          </w:p>
        </w:tc>
        <w:tc>
          <w:tcPr>
            <w:tcW w:w="1340" w:type="dxa"/>
            <w:gridSpan w:val="2"/>
            <w:tcBorders>
              <w:top w:val="nil"/>
              <w:left w:val="nil"/>
              <w:bottom w:val="single" w:sz="4" w:space="0" w:color="auto"/>
              <w:right w:val="single" w:sz="4" w:space="0" w:color="auto"/>
            </w:tcBorders>
          </w:tcPr>
          <w:p w14:paraId="337797D4" w14:textId="34F46E22" w:rsidR="00A259A6" w:rsidRPr="009844A5" w:rsidRDefault="00612328" w:rsidP="00612328">
            <w:pPr>
              <w:jc w:val="center"/>
              <w:rPr>
                <w:rFonts w:ascii="Times New Roman" w:hAnsi="Times New Roman"/>
                <w:color w:val="000000"/>
              </w:rPr>
            </w:pPr>
            <w:r>
              <w:rPr>
                <w:rFonts w:ascii="Times New Roman" w:hAnsi="Times New Roman"/>
                <w:color w:val="000000"/>
              </w:rPr>
              <w:t>2,000</w:t>
            </w:r>
          </w:p>
        </w:tc>
        <w:tc>
          <w:tcPr>
            <w:tcW w:w="1275" w:type="dxa"/>
            <w:gridSpan w:val="3"/>
            <w:tcBorders>
              <w:top w:val="nil"/>
              <w:left w:val="nil"/>
              <w:bottom w:val="single" w:sz="4" w:space="0" w:color="auto"/>
              <w:right w:val="single" w:sz="4" w:space="0" w:color="auto"/>
            </w:tcBorders>
          </w:tcPr>
          <w:p w14:paraId="337797D5" w14:textId="77777777" w:rsidR="00A259A6" w:rsidRPr="009844A5" w:rsidRDefault="00D43F36" w:rsidP="00D43F36">
            <w:pPr>
              <w:jc w:val="center"/>
              <w:rPr>
                <w:rFonts w:ascii="Times New Roman" w:hAnsi="Times New Roman"/>
                <w:color w:val="000000"/>
              </w:rPr>
            </w:pPr>
            <w:r>
              <w:rPr>
                <w:rFonts w:ascii="Times New Roman" w:hAnsi="Times New Roman"/>
                <w:color w:val="000000"/>
              </w:rPr>
              <w:t>$137</w:t>
            </w:r>
          </w:p>
        </w:tc>
        <w:tc>
          <w:tcPr>
            <w:tcW w:w="1710" w:type="dxa"/>
            <w:gridSpan w:val="2"/>
            <w:tcBorders>
              <w:top w:val="nil"/>
              <w:left w:val="nil"/>
              <w:bottom w:val="single" w:sz="4" w:space="0" w:color="auto"/>
              <w:right w:val="single" w:sz="4" w:space="0" w:color="auto"/>
            </w:tcBorders>
          </w:tcPr>
          <w:p w14:paraId="337797D6" w14:textId="053F2D18" w:rsidR="00A259A6" w:rsidRPr="009844A5" w:rsidRDefault="00D43F36" w:rsidP="00612328">
            <w:pPr>
              <w:jc w:val="right"/>
              <w:rPr>
                <w:rFonts w:ascii="Times New Roman" w:hAnsi="Times New Roman"/>
                <w:color w:val="000000"/>
              </w:rPr>
            </w:pPr>
            <w:r>
              <w:rPr>
                <w:rFonts w:ascii="Times New Roman" w:hAnsi="Times New Roman"/>
                <w:color w:val="000000"/>
              </w:rPr>
              <w:t>$</w:t>
            </w:r>
            <w:r w:rsidR="00612328">
              <w:rPr>
                <w:rFonts w:ascii="Times New Roman" w:hAnsi="Times New Roman"/>
                <w:color w:val="000000"/>
              </w:rPr>
              <w:t>274,000</w:t>
            </w:r>
          </w:p>
        </w:tc>
      </w:tr>
      <w:tr w:rsidR="001767F6" w:rsidRPr="009844A5" w14:paraId="337797DC" w14:textId="77777777" w:rsidTr="00D43F36">
        <w:trPr>
          <w:trHeight w:val="845"/>
        </w:trPr>
        <w:tc>
          <w:tcPr>
            <w:tcW w:w="3340" w:type="dxa"/>
            <w:gridSpan w:val="2"/>
            <w:tcBorders>
              <w:top w:val="nil"/>
              <w:left w:val="single" w:sz="4" w:space="0" w:color="auto"/>
              <w:bottom w:val="single" w:sz="4" w:space="0" w:color="auto"/>
              <w:right w:val="single" w:sz="4" w:space="0" w:color="auto"/>
            </w:tcBorders>
            <w:vAlign w:val="bottom"/>
          </w:tcPr>
          <w:p w14:paraId="337797D8" w14:textId="77777777" w:rsidR="001767F6" w:rsidRPr="00204090" w:rsidRDefault="00D43F36" w:rsidP="00D43F36">
            <w:pPr>
              <w:rPr>
                <w:rFonts w:ascii="Times New Roman" w:hAnsi="Times New Roman"/>
                <w:color w:val="000000"/>
              </w:rPr>
            </w:pPr>
            <w:r>
              <w:rPr>
                <w:rFonts w:ascii="Times New Roman" w:hAnsi="Times New Roman"/>
                <w:color w:val="000000"/>
              </w:rPr>
              <w:t>Contract costs for operation and m</w:t>
            </w:r>
            <w:r w:rsidR="001767F6" w:rsidRPr="00204090">
              <w:rPr>
                <w:rFonts w:ascii="Times New Roman" w:hAnsi="Times New Roman"/>
                <w:color w:val="000000"/>
              </w:rPr>
              <w:t xml:space="preserve">aintenance </w:t>
            </w:r>
            <w:r w:rsidR="00171D27">
              <w:rPr>
                <w:rFonts w:ascii="Times New Roman" w:hAnsi="Times New Roman"/>
                <w:color w:val="000000"/>
              </w:rPr>
              <w:t xml:space="preserve">of database </w:t>
            </w:r>
          </w:p>
        </w:tc>
        <w:tc>
          <w:tcPr>
            <w:tcW w:w="1340" w:type="dxa"/>
            <w:gridSpan w:val="2"/>
            <w:tcBorders>
              <w:top w:val="nil"/>
              <w:left w:val="nil"/>
              <w:bottom w:val="single" w:sz="4" w:space="0" w:color="auto"/>
              <w:right w:val="single" w:sz="4" w:space="0" w:color="auto"/>
            </w:tcBorders>
            <w:vAlign w:val="bottom"/>
          </w:tcPr>
          <w:p w14:paraId="337797D9" w14:textId="77777777" w:rsidR="001767F6" w:rsidRPr="00204090" w:rsidRDefault="001767F6" w:rsidP="00D43F36">
            <w:pPr>
              <w:jc w:val="center"/>
              <w:rPr>
                <w:rFonts w:ascii="Times New Roman" w:hAnsi="Times New Roman"/>
                <w:color w:val="000000"/>
              </w:rPr>
            </w:pPr>
          </w:p>
        </w:tc>
        <w:tc>
          <w:tcPr>
            <w:tcW w:w="1275" w:type="dxa"/>
            <w:gridSpan w:val="3"/>
            <w:tcBorders>
              <w:top w:val="nil"/>
              <w:left w:val="nil"/>
              <w:bottom w:val="single" w:sz="4" w:space="0" w:color="auto"/>
              <w:right w:val="single" w:sz="4" w:space="0" w:color="auto"/>
            </w:tcBorders>
            <w:vAlign w:val="bottom"/>
          </w:tcPr>
          <w:p w14:paraId="337797DA" w14:textId="77777777" w:rsidR="001767F6" w:rsidRPr="00204090" w:rsidRDefault="001767F6" w:rsidP="00D43F36">
            <w:pPr>
              <w:jc w:val="center"/>
              <w:rPr>
                <w:rFonts w:ascii="Times New Roman" w:hAnsi="Times New Roman"/>
                <w:color w:val="000000"/>
              </w:rPr>
            </w:pPr>
          </w:p>
        </w:tc>
        <w:tc>
          <w:tcPr>
            <w:tcW w:w="1710" w:type="dxa"/>
            <w:gridSpan w:val="2"/>
            <w:tcBorders>
              <w:top w:val="nil"/>
              <w:left w:val="nil"/>
              <w:bottom w:val="single" w:sz="4" w:space="0" w:color="auto"/>
              <w:right w:val="single" w:sz="4" w:space="0" w:color="auto"/>
            </w:tcBorders>
            <w:vAlign w:val="bottom"/>
          </w:tcPr>
          <w:p w14:paraId="337797DB" w14:textId="77777777" w:rsidR="001767F6" w:rsidRPr="00204090" w:rsidRDefault="001767F6" w:rsidP="00D43F36">
            <w:pPr>
              <w:jc w:val="right"/>
              <w:rPr>
                <w:rFonts w:ascii="Times New Roman" w:hAnsi="Times New Roman"/>
                <w:color w:val="000000"/>
              </w:rPr>
            </w:pPr>
            <w:r w:rsidRPr="00204090">
              <w:rPr>
                <w:rFonts w:ascii="Times New Roman" w:hAnsi="Times New Roman"/>
                <w:color w:val="000000"/>
              </w:rPr>
              <w:t>$68,264</w:t>
            </w:r>
          </w:p>
        </w:tc>
      </w:tr>
      <w:tr w:rsidR="001767F6" w:rsidRPr="009844A5" w14:paraId="337797E1" w14:textId="77777777" w:rsidTr="00B43D9E">
        <w:trPr>
          <w:trHeight w:val="300"/>
        </w:trPr>
        <w:tc>
          <w:tcPr>
            <w:tcW w:w="3340" w:type="dxa"/>
            <w:gridSpan w:val="2"/>
            <w:tcBorders>
              <w:top w:val="nil"/>
              <w:left w:val="single" w:sz="4" w:space="0" w:color="auto"/>
              <w:bottom w:val="single" w:sz="4" w:space="0" w:color="auto"/>
              <w:right w:val="single" w:sz="4" w:space="0" w:color="auto"/>
            </w:tcBorders>
            <w:hideMark/>
          </w:tcPr>
          <w:p w14:paraId="337797DD" w14:textId="77777777" w:rsidR="001767F6" w:rsidRPr="00812535" w:rsidRDefault="001767F6" w:rsidP="00A259A6">
            <w:pPr>
              <w:jc w:val="center"/>
              <w:rPr>
                <w:rFonts w:ascii="Times New Roman" w:hAnsi="Times New Roman"/>
                <w:iCs/>
                <w:color w:val="000000"/>
              </w:rPr>
            </w:pPr>
            <w:r w:rsidRPr="00812535">
              <w:rPr>
                <w:rFonts w:ascii="Times New Roman" w:hAnsi="Times New Roman"/>
                <w:iCs/>
                <w:color w:val="000000"/>
              </w:rPr>
              <w:t>Totals</w:t>
            </w:r>
          </w:p>
        </w:tc>
        <w:tc>
          <w:tcPr>
            <w:tcW w:w="1340" w:type="dxa"/>
            <w:gridSpan w:val="2"/>
            <w:tcBorders>
              <w:top w:val="nil"/>
              <w:left w:val="nil"/>
              <w:bottom w:val="single" w:sz="4" w:space="0" w:color="auto"/>
              <w:right w:val="single" w:sz="4" w:space="0" w:color="auto"/>
            </w:tcBorders>
            <w:noWrap/>
            <w:vAlign w:val="bottom"/>
            <w:hideMark/>
          </w:tcPr>
          <w:p w14:paraId="337797DE" w14:textId="1AA38A89" w:rsidR="001767F6" w:rsidRPr="009844A5" w:rsidRDefault="00612328" w:rsidP="00D43F36">
            <w:pPr>
              <w:jc w:val="center"/>
              <w:rPr>
                <w:rFonts w:ascii="Times New Roman" w:hAnsi="Times New Roman"/>
                <w:color w:val="000000"/>
              </w:rPr>
            </w:pPr>
            <w:r>
              <w:rPr>
                <w:rFonts w:ascii="Times New Roman" w:hAnsi="Times New Roman"/>
                <w:color w:val="000000"/>
              </w:rPr>
              <w:t>3,500</w:t>
            </w:r>
          </w:p>
        </w:tc>
        <w:tc>
          <w:tcPr>
            <w:tcW w:w="1275" w:type="dxa"/>
            <w:gridSpan w:val="3"/>
            <w:tcBorders>
              <w:top w:val="nil"/>
              <w:left w:val="nil"/>
              <w:bottom w:val="single" w:sz="4" w:space="0" w:color="auto"/>
              <w:right w:val="single" w:sz="4" w:space="0" w:color="auto"/>
            </w:tcBorders>
            <w:noWrap/>
            <w:vAlign w:val="bottom"/>
            <w:hideMark/>
          </w:tcPr>
          <w:p w14:paraId="337797DF" w14:textId="77777777" w:rsidR="001767F6" w:rsidRPr="009844A5" w:rsidRDefault="001767F6" w:rsidP="00D43F36">
            <w:pPr>
              <w:jc w:val="center"/>
              <w:rPr>
                <w:rFonts w:ascii="Times New Roman" w:hAnsi="Times New Roman"/>
                <w:color w:val="000000"/>
              </w:rPr>
            </w:pPr>
          </w:p>
        </w:tc>
        <w:tc>
          <w:tcPr>
            <w:tcW w:w="1710" w:type="dxa"/>
            <w:gridSpan w:val="2"/>
            <w:tcBorders>
              <w:top w:val="nil"/>
              <w:left w:val="nil"/>
              <w:bottom w:val="single" w:sz="4" w:space="0" w:color="auto"/>
              <w:right w:val="single" w:sz="4" w:space="0" w:color="auto"/>
            </w:tcBorders>
            <w:noWrap/>
            <w:vAlign w:val="bottom"/>
            <w:hideMark/>
          </w:tcPr>
          <w:p w14:paraId="337797E0" w14:textId="783BDF34" w:rsidR="001767F6" w:rsidRPr="009844A5" w:rsidRDefault="001767F6" w:rsidP="00612328">
            <w:pPr>
              <w:jc w:val="right"/>
              <w:rPr>
                <w:rFonts w:ascii="Times New Roman" w:hAnsi="Times New Roman"/>
                <w:color w:val="000000"/>
              </w:rPr>
            </w:pPr>
            <w:r w:rsidRPr="009844A5">
              <w:rPr>
                <w:rFonts w:ascii="Times New Roman" w:hAnsi="Times New Roman"/>
                <w:color w:val="000000"/>
              </w:rPr>
              <w:t>$</w:t>
            </w:r>
            <w:r w:rsidR="00612328">
              <w:rPr>
                <w:rFonts w:ascii="Times New Roman" w:hAnsi="Times New Roman"/>
                <w:color w:val="000000"/>
              </w:rPr>
              <w:t>547,764</w:t>
            </w:r>
            <w:r w:rsidRPr="009844A5">
              <w:rPr>
                <w:rFonts w:ascii="Times New Roman" w:hAnsi="Times New Roman"/>
                <w:color w:val="000000"/>
              </w:rPr>
              <w:t xml:space="preserve"> </w:t>
            </w:r>
          </w:p>
        </w:tc>
      </w:tr>
      <w:tr w:rsidR="001767F6" w:rsidRPr="009844A5" w14:paraId="337797E6" w14:textId="77777777" w:rsidTr="00B43D9E">
        <w:trPr>
          <w:gridBefore w:val="1"/>
          <w:gridAfter w:val="1"/>
          <w:wBefore w:w="8" w:type="dxa"/>
          <w:wAfter w:w="577" w:type="dxa"/>
          <w:trHeight w:val="300"/>
        </w:trPr>
        <w:tc>
          <w:tcPr>
            <w:tcW w:w="3340" w:type="dxa"/>
            <w:gridSpan w:val="2"/>
            <w:hideMark/>
          </w:tcPr>
          <w:p w14:paraId="337797E2" w14:textId="77777777" w:rsidR="001767F6" w:rsidRPr="00812535" w:rsidRDefault="001767F6" w:rsidP="00A259A6">
            <w:pPr>
              <w:rPr>
                <w:rFonts w:ascii="Times New Roman" w:hAnsi="Times New Roman"/>
                <w:bCs/>
                <w:i/>
                <w:iCs/>
                <w:color w:val="000000"/>
              </w:rPr>
            </w:pPr>
            <w:r w:rsidRPr="00812535">
              <w:rPr>
                <w:rFonts w:ascii="Times New Roman" w:hAnsi="Times New Roman"/>
                <w:bCs/>
                <w:i/>
                <w:iCs/>
                <w:color w:val="000000"/>
              </w:rPr>
              <w:t>Notes:</w:t>
            </w:r>
          </w:p>
        </w:tc>
        <w:tc>
          <w:tcPr>
            <w:tcW w:w="1340" w:type="dxa"/>
            <w:gridSpan w:val="2"/>
            <w:noWrap/>
            <w:vAlign w:val="bottom"/>
            <w:hideMark/>
          </w:tcPr>
          <w:p w14:paraId="337797E3" w14:textId="77777777" w:rsidR="001767F6" w:rsidRPr="009844A5" w:rsidRDefault="001767F6" w:rsidP="00A259A6">
            <w:pPr>
              <w:rPr>
                <w:rFonts w:ascii="Times New Roman" w:hAnsi="Times New Roman"/>
              </w:rPr>
            </w:pPr>
          </w:p>
        </w:tc>
        <w:tc>
          <w:tcPr>
            <w:tcW w:w="1120" w:type="dxa"/>
            <w:noWrap/>
            <w:vAlign w:val="bottom"/>
            <w:hideMark/>
          </w:tcPr>
          <w:p w14:paraId="337797E4" w14:textId="77777777" w:rsidR="001767F6" w:rsidRPr="009844A5" w:rsidRDefault="001767F6" w:rsidP="00A259A6">
            <w:pPr>
              <w:rPr>
                <w:rFonts w:ascii="Times New Roman" w:hAnsi="Times New Roman"/>
              </w:rPr>
            </w:pPr>
          </w:p>
        </w:tc>
        <w:tc>
          <w:tcPr>
            <w:tcW w:w="1280" w:type="dxa"/>
            <w:gridSpan w:val="2"/>
            <w:noWrap/>
            <w:vAlign w:val="bottom"/>
            <w:hideMark/>
          </w:tcPr>
          <w:p w14:paraId="337797E5" w14:textId="77777777" w:rsidR="001767F6" w:rsidRPr="009844A5" w:rsidRDefault="001767F6" w:rsidP="00A259A6">
            <w:pPr>
              <w:rPr>
                <w:rFonts w:ascii="Times New Roman" w:hAnsi="Times New Roman"/>
              </w:rPr>
            </w:pPr>
          </w:p>
        </w:tc>
      </w:tr>
      <w:tr w:rsidR="001767F6" w:rsidRPr="009844A5" w14:paraId="337797E8" w14:textId="77777777" w:rsidTr="00B43D9E">
        <w:trPr>
          <w:gridBefore w:val="1"/>
          <w:gridAfter w:val="1"/>
          <w:wBefore w:w="8" w:type="dxa"/>
          <w:wAfter w:w="577" w:type="dxa"/>
          <w:trHeight w:val="878"/>
        </w:trPr>
        <w:tc>
          <w:tcPr>
            <w:tcW w:w="7080" w:type="dxa"/>
            <w:gridSpan w:val="7"/>
            <w:hideMark/>
          </w:tcPr>
          <w:p w14:paraId="337797E7" w14:textId="77777777" w:rsidR="001767F6" w:rsidRPr="009844A5" w:rsidRDefault="001767F6" w:rsidP="00A259A6">
            <w:pPr>
              <w:rPr>
                <w:rFonts w:ascii="Times New Roman" w:hAnsi="Times New Roman"/>
                <w:color w:val="000000"/>
              </w:rPr>
            </w:pPr>
            <w:r w:rsidRPr="009844A5">
              <w:rPr>
                <w:rFonts w:ascii="Times New Roman" w:hAnsi="Times New Roman"/>
                <w:color w:val="000000"/>
              </w:rPr>
              <w:t>1.  The hourly rate is determined by dividing the Agency's fully-loaded cost of $285,000 per FTE</w:t>
            </w:r>
            <w:r w:rsidR="00171D27">
              <w:rPr>
                <w:rFonts w:ascii="Times New Roman" w:hAnsi="Times New Roman"/>
                <w:color w:val="000000"/>
              </w:rPr>
              <w:t xml:space="preserve"> (for years after 2015)</w:t>
            </w:r>
            <w:r w:rsidRPr="009844A5">
              <w:rPr>
                <w:rFonts w:ascii="Times New Roman" w:hAnsi="Times New Roman"/>
                <w:color w:val="000000"/>
              </w:rPr>
              <w:t xml:space="preserve"> by the number of hours per FTE per year (2,080) to arrive at $137 per hour.</w:t>
            </w:r>
          </w:p>
        </w:tc>
      </w:tr>
      <w:tr w:rsidR="001767F6" w:rsidRPr="009844A5" w14:paraId="337797EA" w14:textId="77777777" w:rsidTr="00B43D9E">
        <w:trPr>
          <w:gridBefore w:val="1"/>
          <w:gridAfter w:val="1"/>
          <w:wBefore w:w="8" w:type="dxa"/>
          <w:wAfter w:w="577" w:type="dxa"/>
          <w:trHeight w:val="300"/>
        </w:trPr>
        <w:tc>
          <w:tcPr>
            <w:tcW w:w="7080" w:type="dxa"/>
            <w:gridSpan w:val="7"/>
            <w:noWrap/>
            <w:vAlign w:val="bottom"/>
            <w:hideMark/>
          </w:tcPr>
          <w:p w14:paraId="337797E9" w14:textId="35F6E509" w:rsidR="001767F6" w:rsidRPr="009844A5" w:rsidRDefault="001767F6" w:rsidP="00612328">
            <w:pPr>
              <w:rPr>
                <w:rFonts w:ascii="Times New Roman" w:hAnsi="Times New Roman"/>
                <w:color w:val="000000"/>
              </w:rPr>
            </w:pPr>
            <w:r w:rsidRPr="009844A5">
              <w:rPr>
                <w:rFonts w:ascii="Times New Roman" w:hAnsi="Times New Roman"/>
                <w:color w:val="000000"/>
              </w:rPr>
              <w:t xml:space="preserve">2. </w:t>
            </w:r>
            <w:r w:rsidR="009304AD">
              <w:rPr>
                <w:rFonts w:ascii="Times New Roman" w:hAnsi="Times New Roman"/>
                <w:color w:val="000000"/>
              </w:rPr>
              <w:t xml:space="preserve"> The annual FTE impact is (</w:t>
            </w:r>
            <w:r w:rsidR="00612328">
              <w:rPr>
                <w:rFonts w:ascii="Times New Roman" w:hAnsi="Times New Roman"/>
                <w:color w:val="000000"/>
              </w:rPr>
              <w:t>3,500</w:t>
            </w:r>
            <w:r w:rsidRPr="009844A5">
              <w:rPr>
                <w:rFonts w:ascii="Times New Roman" w:hAnsi="Times New Roman"/>
                <w:color w:val="000000"/>
              </w:rPr>
              <w:t xml:space="preserve"> / 2,080 hours per year) =  </w:t>
            </w:r>
            <w:r w:rsidR="00612328">
              <w:rPr>
                <w:rFonts w:ascii="Times New Roman" w:hAnsi="Times New Roman"/>
                <w:color w:val="000000"/>
              </w:rPr>
              <w:t>1.7</w:t>
            </w:r>
            <w:r w:rsidRPr="009844A5">
              <w:rPr>
                <w:rFonts w:ascii="Times New Roman" w:hAnsi="Times New Roman"/>
                <w:color w:val="000000"/>
              </w:rPr>
              <w:t>FTE.</w:t>
            </w:r>
          </w:p>
        </w:tc>
      </w:tr>
    </w:tbl>
    <w:p w14:paraId="337797EC" w14:textId="77777777" w:rsidR="00A259A6" w:rsidRDefault="00A259A6" w:rsidP="00A259A6">
      <w:pPr>
        <w:tabs>
          <w:tab w:val="left" w:pos="-720"/>
          <w:tab w:val="left" w:pos="0"/>
          <w:tab w:val="left" w:pos="378"/>
          <w:tab w:val="left" w:pos="1440"/>
        </w:tabs>
        <w:spacing w:after="0" w:line="480" w:lineRule="auto"/>
        <w:ind w:hanging="378"/>
        <w:rPr>
          <w:rFonts w:ascii="Times New Roman" w:hAnsi="Times New Roman"/>
          <w:sz w:val="24"/>
          <w:szCs w:val="24"/>
        </w:rPr>
      </w:pPr>
      <w:r>
        <w:rPr>
          <w:rFonts w:ascii="Times New Roman" w:hAnsi="Times New Roman"/>
          <w:sz w:val="24"/>
          <w:szCs w:val="24"/>
        </w:rPr>
        <w:t xml:space="preserve">15. </w:t>
      </w:r>
      <w:r>
        <w:rPr>
          <w:rFonts w:ascii="Times New Roman" w:hAnsi="Times New Roman"/>
          <w:sz w:val="24"/>
          <w:szCs w:val="24"/>
          <w:u w:val="single"/>
        </w:rPr>
        <w:t>Explanation for Program Changes or Adjustments</w:t>
      </w:r>
    </w:p>
    <w:p w14:paraId="337797ED" w14:textId="77777777" w:rsidR="00A259A6" w:rsidRDefault="00A259A6" w:rsidP="00A259A6">
      <w:pPr>
        <w:tabs>
          <w:tab w:val="left" w:pos="-720"/>
          <w:tab w:val="left" w:pos="0"/>
          <w:tab w:val="left" w:pos="378"/>
          <w:tab w:val="left" w:pos="1440"/>
        </w:tabs>
        <w:spacing w:after="0" w:line="480" w:lineRule="auto"/>
        <w:ind w:hanging="37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This is a new data collection.</w:t>
      </w:r>
    </w:p>
    <w:p w14:paraId="337797EE" w14:textId="77777777" w:rsidR="00A259A6" w:rsidRDefault="00A259A6" w:rsidP="00A259A6">
      <w:pPr>
        <w:tabs>
          <w:tab w:val="left" w:pos="-720"/>
          <w:tab w:val="left" w:pos="0"/>
          <w:tab w:val="left" w:pos="378"/>
          <w:tab w:val="left" w:pos="1440"/>
        </w:tabs>
        <w:spacing w:after="0" w:line="480" w:lineRule="auto"/>
        <w:ind w:hanging="378"/>
        <w:rPr>
          <w:rFonts w:ascii="Times New Roman" w:hAnsi="Times New Roman"/>
          <w:sz w:val="24"/>
          <w:szCs w:val="24"/>
        </w:rPr>
      </w:pPr>
    </w:p>
    <w:p w14:paraId="337797EF" w14:textId="77777777" w:rsidR="00A259A6" w:rsidRDefault="00A259A6" w:rsidP="00A259A6">
      <w:pPr>
        <w:tabs>
          <w:tab w:val="left" w:pos="-720"/>
          <w:tab w:val="left" w:pos="0"/>
          <w:tab w:val="left" w:pos="378"/>
          <w:tab w:val="left" w:pos="1440"/>
        </w:tabs>
        <w:spacing w:after="0" w:line="480" w:lineRule="auto"/>
        <w:ind w:hanging="378"/>
        <w:rPr>
          <w:rFonts w:ascii="Times New Roman" w:hAnsi="Times New Roman"/>
          <w:sz w:val="24"/>
          <w:szCs w:val="24"/>
          <w:u w:val="single"/>
        </w:rPr>
      </w:pPr>
      <w:r>
        <w:rPr>
          <w:rFonts w:ascii="Times New Roman" w:hAnsi="Times New Roman"/>
          <w:sz w:val="24"/>
          <w:szCs w:val="24"/>
        </w:rPr>
        <w:t xml:space="preserve">16.  </w:t>
      </w:r>
      <w:r>
        <w:rPr>
          <w:rFonts w:ascii="Times New Roman" w:hAnsi="Times New Roman"/>
          <w:sz w:val="24"/>
          <w:szCs w:val="24"/>
          <w:u w:val="single"/>
        </w:rPr>
        <w:t>Plans for Tabulation and Publication and Project Time Schedule</w:t>
      </w:r>
    </w:p>
    <w:p w14:paraId="337797F0" w14:textId="77777777" w:rsidR="00A259A6" w:rsidRDefault="00A259A6" w:rsidP="00A259A6">
      <w:pPr>
        <w:tabs>
          <w:tab w:val="left" w:pos="-720"/>
          <w:tab w:val="left" w:pos="0"/>
          <w:tab w:val="left" w:pos="378"/>
          <w:tab w:val="left" w:pos="1440"/>
        </w:tabs>
        <w:spacing w:after="0" w:line="480" w:lineRule="auto"/>
        <w:rPr>
          <w:rFonts w:ascii="Times New Roman" w:hAnsi="Times New Roman"/>
          <w:sz w:val="24"/>
          <w:szCs w:val="24"/>
        </w:rPr>
      </w:pPr>
      <w:r>
        <w:rPr>
          <w:rFonts w:ascii="Times New Roman" w:hAnsi="Times New Roman"/>
          <w:sz w:val="24"/>
          <w:szCs w:val="24"/>
        </w:rPr>
        <w:tab/>
        <w:t>There are no plans for tabulation and publication and project time scheduling.</w:t>
      </w:r>
    </w:p>
    <w:p w14:paraId="337797F1" w14:textId="77777777" w:rsidR="00A259A6" w:rsidRDefault="00A259A6" w:rsidP="00A259A6">
      <w:pPr>
        <w:tabs>
          <w:tab w:val="left" w:pos="-720"/>
          <w:tab w:val="left" w:pos="0"/>
          <w:tab w:val="left" w:pos="378"/>
          <w:tab w:val="left" w:pos="1440"/>
        </w:tabs>
        <w:spacing w:after="0" w:line="480" w:lineRule="auto"/>
        <w:ind w:hanging="378"/>
        <w:rPr>
          <w:rFonts w:ascii="Times New Roman" w:hAnsi="Times New Roman"/>
          <w:sz w:val="24"/>
          <w:szCs w:val="24"/>
        </w:rPr>
      </w:pPr>
    </w:p>
    <w:p w14:paraId="337797F2" w14:textId="77777777" w:rsidR="00A259A6" w:rsidRDefault="00A259A6" w:rsidP="00A259A6">
      <w:pPr>
        <w:tabs>
          <w:tab w:val="left" w:pos="-720"/>
          <w:tab w:val="left" w:pos="0"/>
          <w:tab w:val="left" w:pos="378"/>
          <w:tab w:val="left" w:pos="1440"/>
        </w:tabs>
        <w:spacing w:after="0" w:line="480" w:lineRule="auto"/>
        <w:ind w:hanging="378"/>
        <w:rPr>
          <w:rFonts w:ascii="Times New Roman" w:hAnsi="Times New Roman"/>
          <w:sz w:val="24"/>
          <w:szCs w:val="24"/>
          <w:u w:val="single"/>
        </w:rPr>
      </w:pPr>
      <w:r>
        <w:rPr>
          <w:rFonts w:ascii="Times New Roman" w:hAnsi="Times New Roman"/>
          <w:sz w:val="24"/>
          <w:szCs w:val="24"/>
        </w:rPr>
        <w:t xml:space="preserve">17. </w:t>
      </w:r>
      <w:r>
        <w:rPr>
          <w:rFonts w:ascii="Times New Roman" w:hAnsi="Times New Roman"/>
          <w:sz w:val="24"/>
          <w:szCs w:val="24"/>
          <w:u w:val="single"/>
        </w:rPr>
        <w:t>Reason(s) Display of OMB Expiration Date is Inappropriate</w:t>
      </w:r>
    </w:p>
    <w:p w14:paraId="337797F3" w14:textId="77777777" w:rsidR="00A259A6" w:rsidRDefault="00A259A6" w:rsidP="00A259A6">
      <w:pPr>
        <w:tabs>
          <w:tab w:val="left" w:pos="-720"/>
          <w:tab w:val="left" w:pos="0"/>
          <w:tab w:val="left" w:pos="378"/>
          <w:tab w:val="left" w:pos="1440"/>
        </w:tabs>
        <w:spacing w:after="0" w:line="480" w:lineRule="auto"/>
        <w:rPr>
          <w:rFonts w:ascii="Times New Roman" w:hAnsi="Times New Roman"/>
          <w:sz w:val="24"/>
          <w:szCs w:val="24"/>
        </w:rPr>
      </w:pPr>
      <w:r>
        <w:rPr>
          <w:rFonts w:ascii="Times New Roman" w:hAnsi="Times New Roman"/>
          <w:sz w:val="24"/>
          <w:szCs w:val="24"/>
        </w:rPr>
        <w:tab/>
        <w:t>The OMB expiration data will be displayed where required.</w:t>
      </w:r>
    </w:p>
    <w:p w14:paraId="337797F4" w14:textId="77777777" w:rsidR="00A259A6" w:rsidRDefault="00A259A6" w:rsidP="00A259A6">
      <w:pPr>
        <w:tabs>
          <w:tab w:val="left" w:pos="-720"/>
          <w:tab w:val="left" w:pos="0"/>
          <w:tab w:val="left" w:pos="378"/>
          <w:tab w:val="left" w:pos="1440"/>
        </w:tabs>
        <w:spacing w:after="0" w:line="480" w:lineRule="auto"/>
        <w:ind w:hanging="378"/>
        <w:rPr>
          <w:rFonts w:ascii="Times New Roman" w:hAnsi="Times New Roman"/>
          <w:sz w:val="24"/>
          <w:szCs w:val="24"/>
        </w:rPr>
      </w:pPr>
    </w:p>
    <w:p w14:paraId="337797F5" w14:textId="77777777" w:rsidR="00A259A6" w:rsidRDefault="00A259A6" w:rsidP="00A259A6">
      <w:pPr>
        <w:tabs>
          <w:tab w:val="left" w:pos="-720"/>
          <w:tab w:val="left" w:pos="0"/>
          <w:tab w:val="left" w:pos="378"/>
          <w:tab w:val="left" w:pos="1440"/>
        </w:tabs>
        <w:spacing w:after="0" w:line="480" w:lineRule="auto"/>
        <w:ind w:hanging="378"/>
        <w:rPr>
          <w:rFonts w:ascii="Times New Roman" w:hAnsi="Times New Roman"/>
          <w:sz w:val="24"/>
          <w:szCs w:val="24"/>
        </w:rPr>
      </w:pPr>
      <w:r>
        <w:rPr>
          <w:rFonts w:ascii="Times New Roman" w:hAnsi="Times New Roman"/>
          <w:sz w:val="24"/>
          <w:szCs w:val="24"/>
        </w:rPr>
        <w:t xml:space="preserve">18. </w:t>
      </w:r>
      <w:r>
        <w:rPr>
          <w:rFonts w:ascii="Times New Roman" w:hAnsi="Times New Roman"/>
          <w:sz w:val="24"/>
          <w:szCs w:val="24"/>
          <w:u w:val="single"/>
        </w:rPr>
        <w:t xml:space="preserve">Exceptions to Certification for Paperwork Reduction Act Submissions </w:t>
      </w:r>
    </w:p>
    <w:p w14:paraId="337797F6" w14:textId="2EDB7036" w:rsidR="00A259A6" w:rsidRDefault="00A259A6" w:rsidP="00A259A6">
      <w:pPr>
        <w:tabs>
          <w:tab w:val="left" w:pos="-720"/>
          <w:tab w:val="left" w:pos="0"/>
          <w:tab w:val="left" w:pos="378"/>
          <w:tab w:val="left" w:pos="1440"/>
        </w:tabs>
        <w:spacing w:after="0" w:line="480" w:lineRule="auto"/>
        <w:ind w:hanging="37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There are no exceptions to the certification.</w:t>
      </w:r>
    </w:p>
    <w:p w14:paraId="337797F7" w14:textId="77777777" w:rsidR="00931D82" w:rsidRDefault="00931D82" w:rsidP="00FC380D">
      <w:pPr>
        <w:spacing w:line="480" w:lineRule="auto"/>
        <w:rPr>
          <w:sz w:val="24"/>
          <w:szCs w:val="24"/>
        </w:rPr>
      </w:pPr>
    </w:p>
    <w:p w14:paraId="337797F8" w14:textId="77777777" w:rsidR="00931D82" w:rsidRDefault="00931D82" w:rsidP="00FC380D">
      <w:pPr>
        <w:spacing w:line="480" w:lineRule="auto"/>
        <w:rPr>
          <w:sz w:val="24"/>
          <w:szCs w:val="24"/>
        </w:rPr>
      </w:pPr>
    </w:p>
    <w:sectPr w:rsidR="00931D8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B898BE" w14:textId="77777777" w:rsidR="00815B03" w:rsidRDefault="00815B03" w:rsidP="00006A9F">
      <w:pPr>
        <w:spacing w:after="0" w:line="240" w:lineRule="auto"/>
      </w:pPr>
      <w:r>
        <w:separator/>
      </w:r>
    </w:p>
  </w:endnote>
  <w:endnote w:type="continuationSeparator" w:id="0">
    <w:p w14:paraId="559B67F1" w14:textId="77777777" w:rsidR="00815B03" w:rsidRDefault="00815B03" w:rsidP="00006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79803" w14:textId="77777777" w:rsidR="00815B03" w:rsidRDefault="00815B03">
    <w:pPr>
      <w:pStyle w:val="Footer"/>
      <w:jc w:val="center"/>
    </w:pPr>
    <w:r>
      <w:fldChar w:fldCharType="begin"/>
    </w:r>
    <w:r>
      <w:instrText xml:space="preserve"> PAGE   \* MERGEFORMAT </w:instrText>
    </w:r>
    <w:r>
      <w:fldChar w:fldCharType="separate"/>
    </w:r>
    <w:r w:rsidR="00DA5DA5">
      <w:rPr>
        <w:noProof/>
      </w:rPr>
      <w:t>4</w:t>
    </w:r>
    <w:r>
      <w:rPr>
        <w:noProof/>
      </w:rPr>
      <w:fldChar w:fldCharType="end"/>
    </w:r>
  </w:p>
  <w:p w14:paraId="33779804" w14:textId="77777777" w:rsidR="00815B03" w:rsidRDefault="00815B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483FFC" w14:textId="77777777" w:rsidR="00815B03" w:rsidRDefault="00815B03" w:rsidP="00006A9F">
      <w:pPr>
        <w:spacing w:after="0" w:line="240" w:lineRule="auto"/>
      </w:pPr>
      <w:r>
        <w:separator/>
      </w:r>
    </w:p>
  </w:footnote>
  <w:footnote w:type="continuationSeparator" w:id="0">
    <w:p w14:paraId="6470FA00" w14:textId="77777777" w:rsidR="00815B03" w:rsidRDefault="00815B03" w:rsidP="00006A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80D"/>
    <w:rsid w:val="00000BB9"/>
    <w:rsid w:val="00006A9F"/>
    <w:rsid w:val="00031BF2"/>
    <w:rsid w:val="00065600"/>
    <w:rsid w:val="00091E17"/>
    <w:rsid w:val="000B610E"/>
    <w:rsid w:val="000C791B"/>
    <w:rsid w:val="000E35CD"/>
    <w:rsid w:val="001001CA"/>
    <w:rsid w:val="00105C6E"/>
    <w:rsid w:val="00132726"/>
    <w:rsid w:val="00137013"/>
    <w:rsid w:val="0014179F"/>
    <w:rsid w:val="00146995"/>
    <w:rsid w:val="00171D27"/>
    <w:rsid w:val="001767F6"/>
    <w:rsid w:val="00187077"/>
    <w:rsid w:val="001A0508"/>
    <w:rsid w:val="001B3310"/>
    <w:rsid w:val="001D0E39"/>
    <w:rsid w:val="001D4634"/>
    <w:rsid w:val="001D4DFD"/>
    <w:rsid w:val="001D6F42"/>
    <w:rsid w:val="001F6F39"/>
    <w:rsid w:val="00204090"/>
    <w:rsid w:val="00215409"/>
    <w:rsid w:val="002430AD"/>
    <w:rsid w:val="002577B3"/>
    <w:rsid w:val="00272C7D"/>
    <w:rsid w:val="00276ED0"/>
    <w:rsid w:val="00293C21"/>
    <w:rsid w:val="002A1508"/>
    <w:rsid w:val="002A1DA7"/>
    <w:rsid w:val="002B1143"/>
    <w:rsid w:val="002B3CF3"/>
    <w:rsid w:val="002C590B"/>
    <w:rsid w:val="003058BF"/>
    <w:rsid w:val="0035761A"/>
    <w:rsid w:val="003606C4"/>
    <w:rsid w:val="00365122"/>
    <w:rsid w:val="0039169B"/>
    <w:rsid w:val="003F713D"/>
    <w:rsid w:val="00407BF5"/>
    <w:rsid w:val="004105E4"/>
    <w:rsid w:val="00425630"/>
    <w:rsid w:val="00445245"/>
    <w:rsid w:val="004860F9"/>
    <w:rsid w:val="004875C5"/>
    <w:rsid w:val="004929A8"/>
    <w:rsid w:val="004A003C"/>
    <w:rsid w:val="004C6346"/>
    <w:rsid w:val="004D4A52"/>
    <w:rsid w:val="00532362"/>
    <w:rsid w:val="00544EBB"/>
    <w:rsid w:val="00557490"/>
    <w:rsid w:val="005872D9"/>
    <w:rsid w:val="005C12F7"/>
    <w:rsid w:val="005E0142"/>
    <w:rsid w:val="005E25C1"/>
    <w:rsid w:val="0060618B"/>
    <w:rsid w:val="00612328"/>
    <w:rsid w:val="0061327C"/>
    <w:rsid w:val="0066346D"/>
    <w:rsid w:val="00664407"/>
    <w:rsid w:val="006826A9"/>
    <w:rsid w:val="00692B0C"/>
    <w:rsid w:val="006B367A"/>
    <w:rsid w:val="006D4C2D"/>
    <w:rsid w:val="006D780F"/>
    <w:rsid w:val="006E3152"/>
    <w:rsid w:val="006E6BC8"/>
    <w:rsid w:val="007615B8"/>
    <w:rsid w:val="007B3F63"/>
    <w:rsid w:val="007B5BC2"/>
    <w:rsid w:val="007C6DA1"/>
    <w:rsid w:val="007D5467"/>
    <w:rsid w:val="007E75D5"/>
    <w:rsid w:val="007F600F"/>
    <w:rsid w:val="00815B03"/>
    <w:rsid w:val="00823149"/>
    <w:rsid w:val="008570A1"/>
    <w:rsid w:val="00865E32"/>
    <w:rsid w:val="00880750"/>
    <w:rsid w:val="00881B3F"/>
    <w:rsid w:val="008902A9"/>
    <w:rsid w:val="00891A5B"/>
    <w:rsid w:val="008923A5"/>
    <w:rsid w:val="008A629E"/>
    <w:rsid w:val="008B31CC"/>
    <w:rsid w:val="008C6E61"/>
    <w:rsid w:val="009031C1"/>
    <w:rsid w:val="009304AD"/>
    <w:rsid w:val="00931D82"/>
    <w:rsid w:val="00950691"/>
    <w:rsid w:val="00953110"/>
    <w:rsid w:val="0095762D"/>
    <w:rsid w:val="00981696"/>
    <w:rsid w:val="009906DB"/>
    <w:rsid w:val="009954B9"/>
    <w:rsid w:val="009A2864"/>
    <w:rsid w:val="009A4595"/>
    <w:rsid w:val="009B368E"/>
    <w:rsid w:val="00A1479A"/>
    <w:rsid w:val="00A1681D"/>
    <w:rsid w:val="00A20680"/>
    <w:rsid w:val="00A259A6"/>
    <w:rsid w:val="00A30FDE"/>
    <w:rsid w:val="00A40A44"/>
    <w:rsid w:val="00A61E44"/>
    <w:rsid w:val="00A92CDC"/>
    <w:rsid w:val="00AA33BB"/>
    <w:rsid w:val="00AD2297"/>
    <w:rsid w:val="00AE4F94"/>
    <w:rsid w:val="00AF3263"/>
    <w:rsid w:val="00B0423B"/>
    <w:rsid w:val="00B0591F"/>
    <w:rsid w:val="00B24423"/>
    <w:rsid w:val="00B43D9E"/>
    <w:rsid w:val="00B500D2"/>
    <w:rsid w:val="00B56B14"/>
    <w:rsid w:val="00B572AF"/>
    <w:rsid w:val="00B76D60"/>
    <w:rsid w:val="00C21D08"/>
    <w:rsid w:val="00C370E8"/>
    <w:rsid w:val="00C377CA"/>
    <w:rsid w:val="00C51898"/>
    <w:rsid w:val="00CE0F17"/>
    <w:rsid w:val="00CE7739"/>
    <w:rsid w:val="00D27DE2"/>
    <w:rsid w:val="00D43D3B"/>
    <w:rsid w:val="00D43F36"/>
    <w:rsid w:val="00D56542"/>
    <w:rsid w:val="00D57090"/>
    <w:rsid w:val="00D61DBE"/>
    <w:rsid w:val="00D84B02"/>
    <w:rsid w:val="00D87CE5"/>
    <w:rsid w:val="00DA5DA5"/>
    <w:rsid w:val="00DB16F4"/>
    <w:rsid w:val="00DE155A"/>
    <w:rsid w:val="00E0335E"/>
    <w:rsid w:val="00E06284"/>
    <w:rsid w:val="00E21873"/>
    <w:rsid w:val="00E60852"/>
    <w:rsid w:val="00E7686E"/>
    <w:rsid w:val="00E8127D"/>
    <w:rsid w:val="00E85D3E"/>
    <w:rsid w:val="00E8659C"/>
    <w:rsid w:val="00E94524"/>
    <w:rsid w:val="00EA625A"/>
    <w:rsid w:val="00EC0B5F"/>
    <w:rsid w:val="00ED7526"/>
    <w:rsid w:val="00EF60E2"/>
    <w:rsid w:val="00F0103A"/>
    <w:rsid w:val="00F1194C"/>
    <w:rsid w:val="00F11E4C"/>
    <w:rsid w:val="00F56BA6"/>
    <w:rsid w:val="00F77F76"/>
    <w:rsid w:val="00F95BB7"/>
    <w:rsid w:val="00FA1979"/>
    <w:rsid w:val="00FC380D"/>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7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380D"/>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A259A6"/>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A259A6"/>
    <w:rPr>
      <w:color w:val="0000FF"/>
      <w:u w:val="single"/>
    </w:rPr>
  </w:style>
  <w:style w:type="paragraph" w:styleId="Header">
    <w:name w:val="header"/>
    <w:basedOn w:val="Normal"/>
    <w:link w:val="HeaderChar"/>
    <w:uiPriority w:val="99"/>
    <w:unhideWhenUsed/>
    <w:rsid w:val="00006A9F"/>
    <w:pPr>
      <w:tabs>
        <w:tab w:val="center" w:pos="4680"/>
        <w:tab w:val="right" w:pos="9360"/>
      </w:tabs>
    </w:pPr>
  </w:style>
  <w:style w:type="character" w:customStyle="1" w:styleId="HeaderChar">
    <w:name w:val="Header Char"/>
    <w:link w:val="Header"/>
    <w:uiPriority w:val="99"/>
    <w:rsid w:val="00006A9F"/>
    <w:rPr>
      <w:sz w:val="22"/>
      <w:szCs w:val="22"/>
    </w:rPr>
  </w:style>
  <w:style w:type="paragraph" w:styleId="Footer">
    <w:name w:val="footer"/>
    <w:basedOn w:val="Normal"/>
    <w:link w:val="FooterChar"/>
    <w:uiPriority w:val="99"/>
    <w:unhideWhenUsed/>
    <w:rsid w:val="00006A9F"/>
    <w:pPr>
      <w:tabs>
        <w:tab w:val="center" w:pos="4680"/>
        <w:tab w:val="right" w:pos="9360"/>
      </w:tabs>
    </w:pPr>
  </w:style>
  <w:style w:type="character" w:customStyle="1" w:styleId="FooterChar">
    <w:name w:val="Footer Char"/>
    <w:link w:val="Footer"/>
    <w:uiPriority w:val="99"/>
    <w:rsid w:val="00006A9F"/>
    <w:rPr>
      <w:sz w:val="22"/>
      <w:szCs w:val="22"/>
    </w:rPr>
  </w:style>
  <w:style w:type="character" w:styleId="CommentReference">
    <w:name w:val="annotation reference"/>
    <w:basedOn w:val="DefaultParagraphFont"/>
    <w:unhideWhenUsed/>
    <w:rsid w:val="00E0335E"/>
    <w:rPr>
      <w:sz w:val="16"/>
      <w:szCs w:val="16"/>
    </w:rPr>
  </w:style>
  <w:style w:type="paragraph" w:styleId="CommentText">
    <w:name w:val="annotation text"/>
    <w:basedOn w:val="Normal"/>
    <w:link w:val="CommentTextChar"/>
    <w:semiHidden/>
    <w:unhideWhenUsed/>
    <w:rsid w:val="00E0335E"/>
    <w:pPr>
      <w:spacing w:line="240" w:lineRule="auto"/>
    </w:pPr>
    <w:rPr>
      <w:sz w:val="20"/>
      <w:szCs w:val="20"/>
    </w:rPr>
  </w:style>
  <w:style w:type="character" w:customStyle="1" w:styleId="CommentTextChar">
    <w:name w:val="Comment Text Char"/>
    <w:basedOn w:val="DefaultParagraphFont"/>
    <w:link w:val="CommentText"/>
    <w:semiHidden/>
    <w:rsid w:val="00E0335E"/>
  </w:style>
  <w:style w:type="paragraph" w:styleId="CommentSubject">
    <w:name w:val="annotation subject"/>
    <w:basedOn w:val="CommentText"/>
    <w:next w:val="CommentText"/>
    <w:link w:val="CommentSubjectChar"/>
    <w:uiPriority w:val="99"/>
    <w:semiHidden/>
    <w:unhideWhenUsed/>
    <w:rsid w:val="00E0335E"/>
    <w:rPr>
      <w:b/>
      <w:bCs/>
    </w:rPr>
  </w:style>
  <w:style w:type="character" w:customStyle="1" w:styleId="CommentSubjectChar">
    <w:name w:val="Comment Subject Char"/>
    <w:basedOn w:val="CommentTextChar"/>
    <w:link w:val="CommentSubject"/>
    <w:uiPriority w:val="99"/>
    <w:semiHidden/>
    <w:rsid w:val="00E0335E"/>
    <w:rPr>
      <w:b/>
      <w:bCs/>
    </w:rPr>
  </w:style>
  <w:style w:type="paragraph" w:styleId="BalloonText">
    <w:name w:val="Balloon Text"/>
    <w:basedOn w:val="Normal"/>
    <w:link w:val="BalloonTextChar"/>
    <w:uiPriority w:val="99"/>
    <w:semiHidden/>
    <w:unhideWhenUsed/>
    <w:rsid w:val="00E03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35E"/>
    <w:rPr>
      <w:rFonts w:ascii="Tahoma" w:hAnsi="Tahoma" w:cs="Tahoma"/>
      <w:sz w:val="16"/>
      <w:szCs w:val="16"/>
    </w:rPr>
  </w:style>
  <w:style w:type="paragraph" w:styleId="Revision">
    <w:name w:val="Revision"/>
    <w:hidden/>
    <w:uiPriority w:val="99"/>
    <w:semiHidden/>
    <w:rsid w:val="00365122"/>
    <w:rPr>
      <w:sz w:val="22"/>
      <w:szCs w:val="22"/>
    </w:rPr>
  </w:style>
  <w:style w:type="table" w:styleId="TableGrid">
    <w:name w:val="Table Grid"/>
    <w:basedOn w:val="TableNormal"/>
    <w:uiPriority w:val="59"/>
    <w:rsid w:val="00243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380D"/>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A259A6"/>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A259A6"/>
    <w:rPr>
      <w:color w:val="0000FF"/>
      <w:u w:val="single"/>
    </w:rPr>
  </w:style>
  <w:style w:type="paragraph" w:styleId="Header">
    <w:name w:val="header"/>
    <w:basedOn w:val="Normal"/>
    <w:link w:val="HeaderChar"/>
    <w:uiPriority w:val="99"/>
    <w:unhideWhenUsed/>
    <w:rsid w:val="00006A9F"/>
    <w:pPr>
      <w:tabs>
        <w:tab w:val="center" w:pos="4680"/>
        <w:tab w:val="right" w:pos="9360"/>
      </w:tabs>
    </w:pPr>
  </w:style>
  <w:style w:type="character" w:customStyle="1" w:styleId="HeaderChar">
    <w:name w:val="Header Char"/>
    <w:link w:val="Header"/>
    <w:uiPriority w:val="99"/>
    <w:rsid w:val="00006A9F"/>
    <w:rPr>
      <w:sz w:val="22"/>
      <w:szCs w:val="22"/>
    </w:rPr>
  </w:style>
  <w:style w:type="paragraph" w:styleId="Footer">
    <w:name w:val="footer"/>
    <w:basedOn w:val="Normal"/>
    <w:link w:val="FooterChar"/>
    <w:uiPriority w:val="99"/>
    <w:unhideWhenUsed/>
    <w:rsid w:val="00006A9F"/>
    <w:pPr>
      <w:tabs>
        <w:tab w:val="center" w:pos="4680"/>
        <w:tab w:val="right" w:pos="9360"/>
      </w:tabs>
    </w:pPr>
  </w:style>
  <w:style w:type="character" w:customStyle="1" w:styleId="FooterChar">
    <w:name w:val="Footer Char"/>
    <w:link w:val="Footer"/>
    <w:uiPriority w:val="99"/>
    <w:rsid w:val="00006A9F"/>
    <w:rPr>
      <w:sz w:val="22"/>
      <w:szCs w:val="22"/>
    </w:rPr>
  </w:style>
  <w:style w:type="character" w:styleId="CommentReference">
    <w:name w:val="annotation reference"/>
    <w:basedOn w:val="DefaultParagraphFont"/>
    <w:unhideWhenUsed/>
    <w:rsid w:val="00E0335E"/>
    <w:rPr>
      <w:sz w:val="16"/>
      <w:szCs w:val="16"/>
    </w:rPr>
  </w:style>
  <w:style w:type="paragraph" w:styleId="CommentText">
    <w:name w:val="annotation text"/>
    <w:basedOn w:val="Normal"/>
    <w:link w:val="CommentTextChar"/>
    <w:semiHidden/>
    <w:unhideWhenUsed/>
    <w:rsid w:val="00E0335E"/>
    <w:pPr>
      <w:spacing w:line="240" w:lineRule="auto"/>
    </w:pPr>
    <w:rPr>
      <w:sz w:val="20"/>
      <w:szCs w:val="20"/>
    </w:rPr>
  </w:style>
  <w:style w:type="character" w:customStyle="1" w:styleId="CommentTextChar">
    <w:name w:val="Comment Text Char"/>
    <w:basedOn w:val="DefaultParagraphFont"/>
    <w:link w:val="CommentText"/>
    <w:semiHidden/>
    <w:rsid w:val="00E0335E"/>
  </w:style>
  <w:style w:type="paragraph" w:styleId="CommentSubject">
    <w:name w:val="annotation subject"/>
    <w:basedOn w:val="CommentText"/>
    <w:next w:val="CommentText"/>
    <w:link w:val="CommentSubjectChar"/>
    <w:uiPriority w:val="99"/>
    <w:semiHidden/>
    <w:unhideWhenUsed/>
    <w:rsid w:val="00E0335E"/>
    <w:rPr>
      <w:b/>
      <w:bCs/>
    </w:rPr>
  </w:style>
  <w:style w:type="character" w:customStyle="1" w:styleId="CommentSubjectChar">
    <w:name w:val="Comment Subject Char"/>
    <w:basedOn w:val="CommentTextChar"/>
    <w:link w:val="CommentSubject"/>
    <w:uiPriority w:val="99"/>
    <w:semiHidden/>
    <w:rsid w:val="00E0335E"/>
    <w:rPr>
      <w:b/>
      <w:bCs/>
    </w:rPr>
  </w:style>
  <w:style w:type="paragraph" w:styleId="BalloonText">
    <w:name w:val="Balloon Text"/>
    <w:basedOn w:val="Normal"/>
    <w:link w:val="BalloonTextChar"/>
    <w:uiPriority w:val="99"/>
    <w:semiHidden/>
    <w:unhideWhenUsed/>
    <w:rsid w:val="00E03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35E"/>
    <w:rPr>
      <w:rFonts w:ascii="Tahoma" w:hAnsi="Tahoma" w:cs="Tahoma"/>
      <w:sz w:val="16"/>
      <w:szCs w:val="16"/>
    </w:rPr>
  </w:style>
  <w:style w:type="paragraph" w:styleId="Revision">
    <w:name w:val="Revision"/>
    <w:hidden/>
    <w:uiPriority w:val="99"/>
    <w:semiHidden/>
    <w:rsid w:val="00365122"/>
    <w:rPr>
      <w:sz w:val="22"/>
      <w:szCs w:val="22"/>
    </w:rPr>
  </w:style>
  <w:style w:type="table" w:styleId="TableGrid">
    <w:name w:val="Table Grid"/>
    <w:basedOn w:val="TableNormal"/>
    <w:uiPriority w:val="59"/>
    <w:rsid w:val="00243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826014">
      <w:bodyDiv w:val="1"/>
      <w:marLeft w:val="0"/>
      <w:marRight w:val="0"/>
      <w:marTop w:val="0"/>
      <w:marBottom w:val="0"/>
      <w:divBdr>
        <w:top w:val="none" w:sz="0" w:space="0" w:color="auto"/>
        <w:left w:val="none" w:sz="0" w:space="0" w:color="auto"/>
        <w:bottom w:val="none" w:sz="0" w:space="0" w:color="auto"/>
        <w:right w:val="none" w:sz="0" w:space="0" w:color="auto"/>
      </w:divBdr>
    </w:div>
    <w:div w:id="1366491210">
      <w:bodyDiv w:val="1"/>
      <w:marLeft w:val="0"/>
      <w:marRight w:val="0"/>
      <w:marTop w:val="0"/>
      <w:marBottom w:val="0"/>
      <w:divBdr>
        <w:top w:val="none" w:sz="0" w:space="0" w:color="auto"/>
        <w:left w:val="none" w:sz="0" w:space="0" w:color="auto"/>
        <w:bottom w:val="none" w:sz="0" w:space="0" w:color="auto"/>
        <w:right w:val="none" w:sz="0" w:space="0" w:color="auto"/>
      </w:divBdr>
    </w:div>
    <w:div w:id="151973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ederalregister.gov/select-citation/2014/06/11/21-CFR-314.8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federalregister.gov/select-citation/2014/06/11/21-CFR-314.8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841a54d-413c-4d42-ab6a-9d4c4124c593">5DSXHXMHUDXD-25-32</_dlc_DocId>
    <_dlc_DocIdUrl xmlns="9841a54d-413c-4d42-ab6a-9d4c4124c593">
      <Url>http://sharepoint.fda.gov/orgs/CDER-ODSIR/DSCSA/DSCSADrug_Notifications/_layouts/DocIdRedir.aspx?ID=5DSXHXMHUDXD-25-32</Url>
      <Description>5DSXHXMHUDXD-25-32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4A02D61FD2BE249847F2B26FAFBB04B" ma:contentTypeVersion="0" ma:contentTypeDescription="Create a new document." ma:contentTypeScope="" ma:versionID="e70c930ea50cc4d797b45e38bf1dc563">
  <xsd:schema xmlns:xsd="http://www.w3.org/2001/XMLSchema" xmlns:xs="http://www.w3.org/2001/XMLSchema" xmlns:p="http://schemas.microsoft.com/office/2006/metadata/properties" xmlns:ns2="9841a54d-413c-4d42-ab6a-9d4c4124c593" targetNamespace="http://schemas.microsoft.com/office/2006/metadata/properties" ma:root="true" ma:fieldsID="a8b3e68dda8f106e726664c1e9d586e4" ns2:_="">
    <xsd:import namespace="9841a54d-413c-4d42-ab6a-9d4c4124c59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1a54d-413c-4d42-ab6a-9d4c4124c59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B592AA-F4F2-4D71-9A9F-CFA674B04EA8}">
  <ds:schemaRefs>
    <ds:schemaRef ds:uri="http://purl.org/dc/elements/1.1/"/>
    <ds:schemaRef ds:uri="http://schemas.microsoft.com/office/2006/metadata/properties"/>
    <ds:schemaRef ds:uri="http://purl.org/dc/terms/"/>
    <ds:schemaRef ds:uri="http://purl.org/dc/dcmitype/"/>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9841a54d-413c-4d42-ab6a-9d4c4124c593"/>
  </ds:schemaRefs>
</ds:datastoreItem>
</file>

<file path=customXml/itemProps2.xml><?xml version="1.0" encoding="utf-8"?>
<ds:datastoreItem xmlns:ds="http://schemas.openxmlformats.org/officeDocument/2006/customXml" ds:itemID="{764AB1A7-6AB9-40DC-9CC6-9E9A28515FFB}">
  <ds:schemaRefs>
    <ds:schemaRef ds:uri="http://schemas.microsoft.com/sharepoint/events"/>
  </ds:schemaRefs>
</ds:datastoreItem>
</file>

<file path=customXml/itemProps3.xml><?xml version="1.0" encoding="utf-8"?>
<ds:datastoreItem xmlns:ds="http://schemas.openxmlformats.org/officeDocument/2006/customXml" ds:itemID="{45AEBEAD-99DF-493D-90EE-3695F907D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1a54d-413c-4d42-ab6a-9d4c4124c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4DA96A-FDA0-4C20-BCB5-25C1A63A5A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31</Pages>
  <Words>8132</Words>
  <Characters>46357</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54381</CharactersWithSpaces>
  <SharedDoc>false</SharedDoc>
  <HLinks>
    <vt:vector size="6" baseType="variant">
      <vt:variant>
        <vt:i4>4390914</vt:i4>
      </vt:variant>
      <vt:variant>
        <vt:i4>0</vt:i4>
      </vt:variant>
      <vt:variant>
        <vt:i4>0</vt:i4>
      </vt:variant>
      <vt:variant>
        <vt:i4>5</vt:i4>
      </vt:variant>
      <vt:variant>
        <vt:lpwstr>https://www.federalregister.gov/select-citation/2014/06/11/21-CFR-314.81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Muller, Howard P</dc:creator>
  <cp:lastModifiedBy>Mizrachi, Ila</cp:lastModifiedBy>
  <cp:revision>5</cp:revision>
  <dcterms:created xsi:type="dcterms:W3CDTF">2015-09-04T18:35:00Z</dcterms:created>
  <dcterms:modified xsi:type="dcterms:W3CDTF">2015-09-17T17:03:00Z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0x01010004A02D61FD2BE249847F2B26FAFBB04B</vt:lpwstr>
  </property>
  <property fmtid="{D5CDD505-2E9C-101B-9397-08002B2CF9AE}" pid="3" name="_dlc_DocIdItemGuid">
    <vt:lpwstr>b6b02b69-5744-4228-b85f-9c72ce11f956</vt:lpwstr>
  </property>
</Properties>
</file>