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8A" w:rsidRDefault="0032708A" w:rsidP="0032708A">
      <w:pPr>
        <w:rPr>
          <w:b/>
          <w:sz w:val="24"/>
          <w:szCs w:val="24"/>
        </w:rPr>
      </w:pPr>
      <w:r w:rsidRPr="0032708A">
        <w:rPr>
          <w:b/>
          <w:sz w:val="24"/>
          <w:szCs w:val="24"/>
          <w:lang w:val="en-CA"/>
        </w:rPr>
        <w:fldChar w:fldCharType="begin"/>
      </w:r>
      <w:r w:rsidRPr="0032708A">
        <w:rPr>
          <w:b/>
          <w:sz w:val="24"/>
          <w:szCs w:val="24"/>
          <w:lang w:val="en-CA"/>
        </w:rPr>
        <w:instrText xml:space="preserve"> SEQ CHAPTER \h \r 1</w:instrText>
      </w:r>
      <w:r w:rsidRPr="0032708A">
        <w:rPr>
          <w:b/>
          <w:sz w:val="24"/>
          <w:szCs w:val="24"/>
          <w:lang w:val="en-CA"/>
        </w:rPr>
        <w:fldChar w:fldCharType="end"/>
      </w:r>
      <w:r w:rsidRPr="0032708A">
        <w:rPr>
          <w:b/>
          <w:sz w:val="24"/>
          <w:szCs w:val="24"/>
        </w:rPr>
        <w:t xml:space="preserve">Summary of Changes to the 2017 Commodity Flow Survey </w:t>
      </w:r>
      <w:r w:rsidR="0044326A">
        <w:rPr>
          <w:b/>
          <w:sz w:val="24"/>
          <w:szCs w:val="24"/>
        </w:rPr>
        <w:t>Advance</w:t>
      </w:r>
      <w:r w:rsidRPr="0032708A">
        <w:rPr>
          <w:b/>
          <w:sz w:val="24"/>
          <w:szCs w:val="24"/>
        </w:rPr>
        <w:t xml:space="preserve"> Questionnaire</w:t>
      </w:r>
    </w:p>
    <w:p w:rsidR="0032708A" w:rsidRPr="0032708A" w:rsidRDefault="0032708A" w:rsidP="0032708A">
      <w:pPr>
        <w:jc w:val="center"/>
        <w:rPr>
          <w:b/>
          <w:sz w:val="24"/>
          <w:szCs w:val="24"/>
        </w:rPr>
      </w:pPr>
    </w:p>
    <w:p w:rsidR="0032708A" w:rsidRDefault="0032708A" w:rsidP="0032708A">
      <w:pPr>
        <w:rPr>
          <w:sz w:val="24"/>
          <w:szCs w:val="24"/>
        </w:rPr>
      </w:pPr>
    </w:p>
    <w:p w:rsidR="0032708A" w:rsidRDefault="0032708A" w:rsidP="0032708A">
      <w:pPr>
        <w:rPr>
          <w:sz w:val="24"/>
          <w:szCs w:val="24"/>
        </w:rPr>
      </w:pPr>
      <w:bookmarkStart w:id="0" w:name="_GoBack"/>
      <w:bookmarkEnd w:id="0"/>
    </w:p>
    <w:p w:rsidR="0032708A" w:rsidRDefault="0032708A" w:rsidP="0032708A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>
        <w:rPr>
          <w:sz w:val="24"/>
          <w:szCs w:val="24"/>
        </w:rPr>
        <w:t xml:space="preserve">The 2017 </w:t>
      </w:r>
      <w:r w:rsidR="0044326A">
        <w:rPr>
          <w:sz w:val="24"/>
          <w:szCs w:val="24"/>
        </w:rPr>
        <w:t>Commodity Flow Survey (CFS) Advance Questionnaire</w:t>
      </w:r>
      <w:r>
        <w:rPr>
          <w:sz w:val="24"/>
          <w:szCs w:val="24"/>
        </w:rPr>
        <w:t xml:space="preserve"> expands upon the 2012</w:t>
      </w:r>
      <w:r w:rsidR="00E23070">
        <w:rPr>
          <w:sz w:val="24"/>
          <w:szCs w:val="24"/>
        </w:rPr>
        <w:t xml:space="preserve"> Advance Questionnaire</w:t>
      </w:r>
      <w:r>
        <w:rPr>
          <w:sz w:val="24"/>
          <w:szCs w:val="24"/>
        </w:rPr>
        <w:t>. In an effort to identify</w:t>
      </w:r>
      <w:r w:rsidR="00C03913">
        <w:rPr>
          <w:sz w:val="24"/>
          <w:szCs w:val="24"/>
        </w:rPr>
        <w:t xml:space="preserve"> and priorit</w:t>
      </w:r>
      <w:r w:rsidR="0044326A">
        <w:rPr>
          <w:sz w:val="24"/>
          <w:szCs w:val="24"/>
        </w:rPr>
        <w:t>i</w:t>
      </w:r>
      <w:r w:rsidR="00C03913">
        <w:rPr>
          <w:sz w:val="24"/>
          <w:szCs w:val="24"/>
        </w:rPr>
        <w:t>ze</w:t>
      </w:r>
      <w:r>
        <w:rPr>
          <w:sz w:val="24"/>
          <w:szCs w:val="24"/>
        </w:rPr>
        <w:t xml:space="preserve"> non-shipping </w:t>
      </w:r>
      <w:r w:rsidR="00613D54">
        <w:rPr>
          <w:sz w:val="24"/>
          <w:szCs w:val="24"/>
        </w:rPr>
        <w:t>locations,</w:t>
      </w:r>
      <w:r>
        <w:rPr>
          <w:sz w:val="24"/>
          <w:szCs w:val="24"/>
        </w:rPr>
        <w:t xml:space="preserve"> </w:t>
      </w:r>
      <w:r w:rsidR="00E23070">
        <w:rPr>
          <w:sz w:val="24"/>
          <w:szCs w:val="24"/>
        </w:rPr>
        <w:t>the Census Bureau</w:t>
      </w:r>
      <w:r>
        <w:rPr>
          <w:sz w:val="24"/>
          <w:szCs w:val="24"/>
        </w:rPr>
        <w:t xml:space="preserve"> </w:t>
      </w:r>
      <w:r w:rsidR="00C03913">
        <w:rPr>
          <w:sz w:val="24"/>
          <w:szCs w:val="24"/>
        </w:rPr>
        <w:t xml:space="preserve">restructured </w:t>
      </w:r>
      <w:r>
        <w:rPr>
          <w:sz w:val="24"/>
          <w:szCs w:val="24"/>
        </w:rPr>
        <w:t>the order of the questions</w:t>
      </w:r>
      <w:r w:rsidR="0044326A">
        <w:rPr>
          <w:sz w:val="24"/>
          <w:szCs w:val="24"/>
        </w:rPr>
        <w:t xml:space="preserve"> slightly from the previous period</w:t>
      </w:r>
      <w:r>
        <w:rPr>
          <w:sz w:val="24"/>
          <w:szCs w:val="24"/>
        </w:rPr>
        <w:t xml:space="preserve">. </w:t>
      </w:r>
    </w:p>
    <w:p w:rsidR="0032708A" w:rsidRDefault="0032708A" w:rsidP="0032708A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tbl>
      <w:tblPr>
        <w:tblW w:w="8420" w:type="dxa"/>
        <w:jc w:val="center"/>
        <w:tblInd w:w="1017" w:type="dxa"/>
        <w:tblLook w:val="04A0" w:firstRow="1" w:lastRow="0" w:firstColumn="1" w:lastColumn="0" w:noHBand="0" w:noVBand="1"/>
      </w:tblPr>
      <w:tblGrid>
        <w:gridCol w:w="328"/>
        <w:gridCol w:w="4042"/>
        <w:gridCol w:w="4050"/>
      </w:tblGrid>
      <w:tr w:rsidR="00D14270" w:rsidRPr="00613D54" w:rsidTr="00D14270">
        <w:trPr>
          <w:trHeight w:val="315"/>
          <w:jc w:val="center"/>
        </w:trPr>
        <w:tc>
          <w:tcPr>
            <w:tcW w:w="328" w:type="dxa"/>
            <w:tcBorders>
              <w:top w:val="nil"/>
              <w:left w:val="nil"/>
              <w:right w:val="nil"/>
            </w:tcBorders>
          </w:tcPr>
          <w:p w:rsidR="00D14270" w:rsidRPr="00613D54" w:rsidRDefault="00D14270" w:rsidP="00613D54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70" w:rsidRPr="00613D54" w:rsidRDefault="0044326A" w:rsidP="00613D54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CFS Advance</w:t>
            </w:r>
            <w:r w:rsidR="00D14270" w:rsidRPr="00613D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Questions Order</w:t>
            </w:r>
          </w:p>
        </w:tc>
      </w:tr>
      <w:tr w:rsidR="00D14270" w:rsidRPr="00613D54" w:rsidTr="00D14270">
        <w:trPr>
          <w:trHeight w:val="315"/>
          <w:jc w:val="center"/>
        </w:trPr>
        <w:tc>
          <w:tcPr>
            <w:tcW w:w="328" w:type="dxa"/>
            <w:tcBorders>
              <w:top w:val="nil"/>
              <w:bottom w:val="single" w:sz="4" w:space="0" w:color="auto"/>
            </w:tcBorders>
          </w:tcPr>
          <w:p w:rsidR="00D14270" w:rsidRPr="00613D54" w:rsidRDefault="00D14270" w:rsidP="00613D54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270" w:rsidRPr="00613D54" w:rsidRDefault="00D14270" w:rsidP="00613D54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613D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40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270" w:rsidRPr="00613D54" w:rsidRDefault="00D14270" w:rsidP="00613D54">
            <w:pPr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613D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</w:tr>
      <w:tr w:rsidR="00D14270" w:rsidRPr="00613D54" w:rsidTr="00E637D7">
        <w:trPr>
          <w:trHeight w:val="300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0" w:rsidRPr="001E31F5" w:rsidRDefault="00D14270" w:rsidP="00613D54">
            <w:pPr>
              <w:autoSpaceDE/>
              <w:autoSpaceDN/>
              <w:adjustRightInd/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1E31F5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270" w:rsidRPr="00613D54" w:rsidRDefault="00D14270" w:rsidP="00E637D7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13D54">
              <w:rPr>
                <w:rFonts w:ascii="Calibri" w:eastAsia="Times New Roman" w:hAnsi="Calibri"/>
                <w:color w:val="000000"/>
                <w:sz w:val="22"/>
                <w:szCs w:val="22"/>
              </w:rPr>
              <w:t>Verification of shipping activity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270" w:rsidRPr="00613D54" w:rsidRDefault="00D14270" w:rsidP="00C03913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13D5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Verification of </w:t>
            </w:r>
            <w:r w:rsidR="00C03913">
              <w:rPr>
                <w:rFonts w:ascii="Calibri" w:eastAsia="Times New Roman" w:hAnsi="Calibri"/>
                <w:color w:val="000000"/>
                <w:sz w:val="22"/>
                <w:szCs w:val="22"/>
              </w:rPr>
              <w:t>shipping activity with location address posted above the questions</w:t>
            </w:r>
          </w:p>
        </w:tc>
      </w:tr>
      <w:tr w:rsidR="00D14270" w:rsidRPr="00613D54" w:rsidTr="00D14270">
        <w:trPr>
          <w:trHeight w:val="300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0" w:rsidRPr="001E31F5" w:rsidRDefault="00D14270" w:rsidP="00613D54">
            <w:pPr>
              <w:autoSpaceDE/>
              <w:autoSpaceDN/>
              <w:adjustRightInd/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1E31F5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270" w:rsidRPr="00613D54" w:rsidRDefault="00D14270" w:rsidP="00613D54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13D54">
              <w:rPr>
                <w:rFonts w:ascii="Calibri" w:eastAsia="Times New Roman" w:hAnsi="Calibri"/>
                <w:color w:val="000000"/>
                <w:sz w:val="22"/>
                <w:szCs w:val="22"/>
              </w:rPr>
              <w:t>Verification of name and shipping address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270" w:rsidRPr="00613D54" w:rsidRDefault="00C03913" w:rsidP="00613D54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13D54">
              <w:rPr>
                <w:rFonts w:ascii="Calibri" w:eastAsia="Times New Roman" w:hAnsi="Calibri"/>
                <w:color w:val="000000"/>
                <w:sz w:val="22"/>
                <w:szCs w:val="22"/>
              </w:rPr>
              <w:t>Verification of name and shipping address</w:t>
            </w:r>
          </w:p>
        </w:tc>
      </w:tr>
      <w:tr w:rsidR="00D14270" w:rsidRPr="00613D54" w:rsidTr="00E637D7">
        <w:trPr>
          <w:trHeight w:val="300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0" w:rsidRPr="001E31F5" w:rsidRDefault="00D14270" w:rsidP="00613D54">
            <w:pPr>
              <w:autoSpaceDE/>
              <w:autoSpaceDN/>
              <w:adjustRightInd/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1E31F5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270" w:rsidRPr="00613D54" w:rsidRDefault="00D14270" w:rsidP="00E637D7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13D54">
              <w:rPr>
                <w:rFonts w:ascii="Calibri" w:eastAsia="Times New Roman" w:hAnsi="Calibri"/>
                <w:color w:val="000000"/>
                <w:sz w:val="22"/>
                <w:szCs w:val="22"/>
              </w:rPr>
              <w:t>Verification of mailing address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270" w:rsidRPr="00613D54" w:rsidRDefault="00D14270" w:rsidP="00613D54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13D54">
              <w:rPr>
                <w:rFonts w:ascii="Calibri" w:eastAsia="Times New Roman" w:hAnsi="Calibri"/>
                <w:color w:val="000000"/>
                <w:sz w:val="22"/>
                <w:szCs w:val="22"/>
              </w:rPr>
              <w:t>Annual value of shipments</w:t>
            </w:r>
            <w:r w:rsidR="00556661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with location address posted above the question</w:t>
            </w:r>
          </w:p>
        </w:tc>
      </w:tr>
      <w:tr w:rsidR="00D14270" w:rsidRPr="00613D54" w:rsidTr="00D14270">
        <w:trPr>
          <w:trHeight w:val="300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0" w:rsidRPr="001E31F5" w:rsidRDefault="00D14270" w:rsidP="00613D54">
            <w:pPr>
              <w:autoSpaceDE/>
              <w:autoSpaceDN/>
              <w:adjustRightInd/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1E31F5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270" w:rsidRPr="00613D54" w:rsidRDefault="00D14270" w:rsidP="00613D54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13D54">
              <w:rPr>
                <w:rFonts w:ascii="Calibri" w:eastAsia="Times New Roman" w:hAnsi="Calibri"/>
                <w:color w:val="000000"/>
                <w:sz w:val="22"/>
                <w:szCs w:val="22"/>
              </w:rPr>
              <w:t>Annual value of shipments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270" w:rsidRPr="00613D54" w:rsidRDefault="00D14270" w:rsidP="00613D54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13D54">
              <w:rPr>
                <w:rFonts w:ascii="Calibri" w:eastAsia="Times New Roman" w:hAnsi="Calibri"/>
                <w:color w:val="000000"/>
                <w:sz w:val="22"/>
                <w:szCs w:val="22"/>
              </w:rPr>
              <w:t>Verification of mailing address</w:t>
            </w:r>
          </w:p>
        </w:tc>
      </w:tr>
      <w:tr w:rsidR="00D14270" w:rsidRPr="00613D54" w:rsidTr="00D14270">
        <w:trPr>
          <w:trHeight w:val="300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0" w:rsidRPr="001E31F5" w:rsidRDefault="00D14270" w:rsidP="00613D54">
            <w:pPr>
              <w:autoSpaceDE/>
              <w:autoSpaceDN/>
              <w:adjustRightInd/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1E31F5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270" w:rsidRPr="00613D54" w:rsidRDefault="00D14270" w:rsidP="00613D54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13D54">
              <w:rPr>
                <w:rFonts w:ascii="Calibri" w:eastAsia="Times New Roman" w:hAnsi="Calibri"/>
                <w:color w:val="000000"/>
                <w:sz w:val="22"/>
                <w:szCs w:val="22"/>
              </w:rPr>
              <w:t>Contact information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270" w:rsidRPr="00613D54" w:rsidRDefault="00D14270" w:rsidP="00613D54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13D54">
              <w:rPr>
                <w:rFonts w:ascii="Calibri" w:eastAsia="Times New Roman" w:hAnsi="Calibri"/>
                <w:color w:val="000000"/>
                <w:sz w:val="22"/>
                <w:szCs w:val="22"/>
              </w:rPr>
              <w:t>Contact information</w:t>
            </w:r>
          </w:p>
        </w:tc>
      </w:tr>
      <w:tr w:rsidR="00D14270" w:rsidRPr="00613D54" w:rsidTr="00DA55B8">
        <w:trPr>
          <w:trHeight w:val="315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70" w:rsidRPr="001E31F5" w:rsidRDefault="00D14270" w:rsidP="00613D54">
            <w:pPr>
              <w:autoSpaceDE/>
              <w:autoSpaceDN/>
              <w:adjustRightInd/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1E31F5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270" w:rsidRPr="00613D54" w:rsidRDefault="00D14270" w:rsidP="00DA55B8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13D54">
              <w:rPr>
                <w:rFonts w:ascii="Calibri" w:eastAsia="Times New Roman" w:hAnsi="Calibri"/>
                <w:color w:val="000000"/>
                <w:sz w:val="22"/>
                <w:szCs w:val="22"/>
              </w:rPr>
              <w:t>Remarks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4270" w:rsidRPr="00613D54" w:rsidRDefault="00D14270" w:rsidP="00DA55B8">
            <w:pPr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613D54">
              <w:rPr>
                <w:rFonts w:ascii="Calibri" w:eastAsia="Times New Roman" w:hAnsi="Calibri"/>
                <w:color w:val="000000"/>
                <w:sz w:val="22"/>
                <w:szCs w:val="22"/>
              </w:rPr>
              <w:t>Remarks</w:t>
            </w:r>
          </w:p>
        </w:tc>
      </w:tr>
    </w:tbl>
    <w:p w:rsidR="0032708A" w:rsidRDefault="0032708A" w:rsidP="0032708A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32708A" w:rsidRDefault="0032708A" w:rsidP="0032708A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552D21" w:rsidRPr="00552D21" w:rsidRDefault="00552D21" w:rsidP="0032708A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552D21">
        <w:rPr>
          <w:b/>
          <w:sz w:val="24"/>
          <w:szCs w:val="24"/>
        </w:rPr>
        <w:t>location address</w:t>
      </w:r>
      <w:r>
        <w:rPr>
          <w:sz w:val="24"/>
          <w:szCs w:val="24"/>
        </w:rPr>
        <w:t xml:space="preserve"> will be displayed for the first</w:t>
      </w:r>
      <w:r w:rsidR="00556661">
        <w:rPr>
          <w:sz w:val="24"/>
          <w:szCs w:val="24"/>
        </w:rPr>
        <w:t xml:space="preserve">, </w:t>
      </w:r>
      <w:r>
        <w:rPr>
          <w:sz w:val="24"/>
          <w:szCs w:val="24"/>
        </w:rPr>
        <w:t>second</w:t>
      </w:r>
      <w:r w:rsidR="00556661">
        <w:rPr>
          <w:sz w:val="24"/>
          <w:szCs w:val="24"/>
        </w:rPr>
        <w:t xml:space="preserve">, and third </w:t>
      </w:r>
      <w:r>
        <w:rPr>
          <w:sz w:val="24"/>
          <w:szCs w:val="24"/>
        </w:rPr>
        <w:t>question</w:t>
      </w:r>
      <w:r w:rsidR="007C07E1">
        <w:rPr>
          <w:sz w:val="24"/>
          <w:szCs w:val="24"/>
        </w:rPr>
        <w:t>s</w:t>
      </w:r>
      <w:r>
        <w:rPr>
          <w:sz w:val="24"/>
          <w:szCs w:val="24"/>
        </w:rPr>
        <w:t xml:space="preserve"> versus </w:t>
      </w:r>
      <w:r w:rsidR="008B6CF7">
        <w:rPr>
          <w:sz w:val="24"/>
          <w:szCs w:val="24"/>
        </w:rPr>
        <w:t>only</w:t>
      </w:r>
      <w:r>
        <w:rPr>
          <w:sz w:val="24"/>
          <w:szCs w:val="24"/>
        </w:rPr>
        <w:t xml:space="preserve"> for the second question.  This is to </w:t>
      </w:r>
      <w:r w:rsidR="00CA437E">
        <w:rPr>
          <w:sz w:val="24"/>
          <w:szCs w:val="24"/>
        </w:rPr>
        <w:t>emphasize with clarity</w:t>
      </w:r>
      <w:r>
        <w:rPr>
          <w:sz w:val="24"/>
          <w:szCs w:val="24"/>
        </w:rPr>
        <w:t xml:space="preserve"> which address the respondent should reference when responding to these questions. </w:t>
      </w:r>
    </w:p>
    <w:p w:rsidR="00552D21" w:rsidRDefault="00552D21" w:rsidP="0032708A">
      <w:pPr>
        <w:rPr>
          <w:b/>
          <w:sz w:val="24"/>
          <w:szCs w:val="24"/>
        </w:rPr>
      </w:pPr>
    </w:p>
    <w:p w:rsidR="00823D80" w:rsidRDefault="0038351B" w:rsidP="0032708A">
      <w:pPr>
        <w:rPr>
          <w:sz w:val="24"/>
          <w:szCs w:val="24"/>
        </w:rPr>
      </w:pPr>
      <w:r>
        <w:rPr>
          <w:b/>
          <w:sz w:val="24"/>
          <w:szCs w:val="24"/>
        </w:rPr>
        <w:t>Annual Value of S</w:t>
      </w:r>
      <w:r w:rsidRPr="0038351B">
        <w:rPr>
          <w:b/>
          <w:sz w:val="24"/>
          <w:szCs w:val="24"/>
        </w:rPr>
        <w:t>hipments</w:t>
      </w:r>
      <w:r>
        <w:rPr>
          <w:sz w:val="24"/>
          <w:szCs w:val="24"/>
        </w:rPr>
        <w:t xml:space="preserve"> will </w:t>
      </w:r>
      <w:r w:rsidR="00C03913">
        <w:rPr>
          <w:sz w:val="24"/>
          <w:szCs w:val="24"/>
        </w:rPr>
        <w:t xml:space="preserve">now </w:t>
      </w:r>
      <w:r w:rsidR="00556661">
        <w:rPr>
          <w:sz w:val="24"/>
          <w:szCs w:val="24"/>
        </w:rPr>
        <w:t xml:space="preserve">be </w:t>
      </w:r>
      <w:r w:rsidR="00C03913">
        <w:rPr>
          <w:sz w:val="24"/>
          <w:szCs w:val="24"/>
        </w:rPr>
        <w:t>the third question asked versus the fourth question due to the importance of the question</w:t>
      </w:r>
      <w:r w:rsidR="00E23070">
        <w:rPr>
          <w:sz w:val="24"/>
          <w:szCs w:val="24"/>
        </w:rPr>
        <w:t xml:space="preserve">; </w:t>
      </w:r>
      <w:r w:rsidR="0044326A">
        <w:rPr>
          <w:sz w:val="24"/>
          <w:szCs w:val="24"/>
        </w:rPr>
        <w:t>it is related to the address information in questions one and two.</w:t>
      </w:r>
    </w:p>
    <w:p w:rsidR="0044326A" w:rsidRDefault="0044326A" w:rsidP="0032708A">
      <w:pPr>
        <w:rPr>
          <w:sz w:val="24"/>
          <w:szCs w:val="24"/>
        </w:rPr>
      </w:pPr>
    </w:p>
    <w:p w:rsidR="005531D1" w:rsidRDefault="00E23070" w:rsidP="0032708A">
      <w:pPr>
        <w:rPr>
          <w:sz w:val="24"/>
          <w:szCs w:val="24"/>
        </w:rPr>
      </w:pPr>
      <w:r>
        <w:rPr>
          <w:sz w:val="24"/>
          <w:szCs w:val="24"/>
        </w:rPr>
        <w:t>The Census Bureau</w:t>
      </w:r>
      <w:r w:rsidR="00823D80">
        <w:rPr>
          <w:sz w:val="24"/>
          <w:szCs w:val="24"/>
        </w:rPr>
        <w:t xml:space="preserve"> replaced</w:t>
      </w:r>
      <w:r w:rsidR="00786581">
        <w:rPr>
          <w:sz w:val="24"/>
          <w:szCs w:val="24"/>
        </w:rPr>
        <w:t xml:space="preserve"> the </w:t>
      </w:r>
      <w:r w:rsidR="005531D1" w:rsidRPr="005531D1">
        <w:rPr>
          <w:sz w:val="24"/>
          <w:szCs w:val="24"/>
        </w:rPr>
        <w:t xml:space="preserve">word </w:t>
      </w:r>
      <w:r w:rsidR="00823D80">
        <w:rPr>
          <w:sz w:val="24"/>
          <w:szCs w:val="24"/>
        </w:rPr>
        <w:t>“</w:t>
      </w:r>
      <w:r w:rsidR="00823D80" w:rsidRPr="00823D80">
        <w:rPr>
          <w:b/>
          <w:sz w:val="24"/>
          <w:szCs w:val="24"/>
        </w:rPr>
        <w:t>establishment</w:t>
      </w:r>
      <w:r w:rsidR="00823D80">
        <w:rPr>
          <w:sz w:val="24"/>
          <w:szCs w:val="24"/>
        </w:rPr>
        <w:t>” used throughout the 2012 questionnaire with “</w:t>
      </w:r>
      <w:r w:rsidR="00823D80" w:rsidRPr="00823D80">
        <w:rPr>
          <w:b/>
          <w:sz w:val="24"/>
          <w:szCs w:val="24"/>
        </w:rPr>
        <w:t>location</w:t>
      </w:r>
      <w:r w:rsidR="00823D80">
        <w:rPr>
          <w:sz w:val="24"/>
          <w:szCs w:val="24"/>
        </w:rPr>
        <w:t xml:space="preserve">” on the 2017 questionnaire.  </w:t>
      </w:r>
      <w:r w:rsidR="005A78C1">
        <w:rPr>
          <w:sz w:val="24"/>
          <w:szCs w:val="24"/>
        </w:rPr>
        <w:t xml:space="preserve">The purpose of this change was to use a word more relevant to the respondent than the word use by the U.S. Census Bureau </w:t>
      </w:r>
      <w:r w:rsidR="00D133D4">
        <w:rPr>
          <w:sz w:val="24"/>
          <w:szCs w:val="24"/>
        </w:rPr>
        <w:t xml:space="preserve">staff </w:t>
      </w:r>
      <w:r w:rsidR="005A78C1">
        <w:rPr>
          <w:sz w:val="24"/>
          <w:szCs w:val="24"/>
        </w:rPr>
        <w:t>for sampling.</w:t>
      </w:r>
    </w:p>
    <w:p w:rsidR="00B608FE" w:rsidRDefault="00B608FE" w:rsidP="0032708A">
      <w:pPr>
        <w:rPr>
          <w:sz w:val="24"/>
          <w:szCs w:val="24"/>
        </w:rPr>
      </w:pPr>
    </w:p>
    <w:p w:rsidR="0038351B" w:rsidRDefault="0038351B" w:rsidP="0032708A">
      <w:pPr>
        <w:rPr>
          <w:sz w:val="24"/>
          <w:szCs w:val="24"/>
        </w:rPr>
      </w:pPr>
    </w:p>
    <w:p w:rsidR="00C03913" w:rsidRDefault="00C03913"/>
    <w:sectPr w:rsidR="00C039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FE" w:rsidRDefault="00B608FE" w:rsidP="0032708A">
      <w:r>
        <w:separator/>
      </w:r>
    </w:p>
  </w:endnote>
  <w:endnote w:type="continuationSeparator" w:id="0">
    <w:p w:rsidR="00B608FE" w:rsidRDefault="00B608FE" w:rsidP="0032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FE" w:rsidRDefault="00B608FE" w:rsidP="0032708A">
      <w:r>
        <w:separator/>
      </w:r>
    </w:p>
  </w:footnote>
  <w:footnote w:type="continuationSeparator" w:id="0">
    <w:p w:rsidR="00B608FE" w:rsidRDefault="00B608FE" w:rsidP="0032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8FE" w:rsidRDefault="00B608FE" w:rsidP="0032708A">
    <w:pPr>
      <w:pStyle w:val="Header"/>
      <w:jc w:val="right"/>
    </w:pPr>
    <w:r>
      <w:rPr>
        <w:sz w:val="24"/>
        <w:szCs w:val="24"/>
        <w:lang w:val="en-CA"/>
      </w:rPr>
      <w:t>Attachment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8A"/>
    <w:rsid w:val="00097248"/>
    <w:rsid w:val="00152C82"/>
    <w:rsid w:val="001A3BB6"/>
    <w:rsid w:val="001D3E08"/>
    <w:rsid w:val="001E31F5"/>
    <w:rsid w:val="001E4B43"/>
    <w:rsid w:val="001E5EC2"/>
    <w:rsid w:val="00204AAB"/>
    <w:rsid w:val="00232DE4"/>
    <w:rsid w:val="002B7CE8"/>
    <w:rsid w:val="002F0752"/>
    <w:rsid w:val="0032708A"/>
    <w:rsid w:val="0038351B"/>
    <w:rsid w:val="0038605D"/>
    <w:rsid w:val="003C0984"/>
    <w:rsid w:val="003F4DD9"/>
    <w:rsid w:val="003F54AD"/>
    <w:rsid w:val="0044326A"/>
    <w:rsid w:val="00482130"/>
    <w:rsid w:val="004851F1"/>
    <w:rsid w:val="004B4343"/>
    <w:rsid w:val="00552D21"/>
    <w:rsid w:val="005531D1"/>
    <w:rsid w:val="00556661"/>
    <w:rsid w:val="005A2071"/>
    <w:rsid w:val="005A78C1"/>
    <w:rsid w:val="005B25E5"/>
    <w:rsid w:val="00613D54"/>
    <w:rsid w:val="00676A96"/>
    <w:rsid w:val="006947C2"/>
    <w:rsid w:val="00707CFA"/>
    <w:rsid w:val="007304F8"/>
    <w:rsid w:val="007832DD"/>
    <w:rsid w:val="00786581"/>
    <w:rsid w:val="007C07E1"/>
    <w:rsid w:val="007C7CC9"/>
    <w:rsid w:val="00800968"/>
    <w:rsid w:val="00823D80"/>
    <w:rsid w:val="00882A9A"/>
    <w:rsid w:val="00891D11"/>
    <w:rsid w:val="008B25F6"/>
    <w:rsid w:val="008B6CF7"/>
    <w:rsid w:val="008E6114"/>
    <w:rsid w:val="00914C35"/>
    <w:rsid w:val="0096782E"/>
    <w:rsid w:val="00993C0E"/>
    <w:rsid w:val="009D3B15"/>
    <w:rsid w:val="009F0A5B"/>
    <w:rsid w:val="00A504F7"/>
    <w:rsid w:val="00A81CC3"/>
    <w:rsid w:val="00AA76DE"/>
    <w:rsid w:val="00AB2A66"/>
    <w:rsid w:val="00AB5166"/>
    <w:rsid w:val="00AC464A"/>
    <w:rsid w:val="00B0673A"/>
    <w:rsid w:val="00B608FE"/>
    <w:rsid w:val="00B66998"/>
    <w:rsid w:val="00BB2C39"/>
    <w:rsid w:val="00C03913"/>
    <w:rsid w:val="00C30B27"/>
    <w:rsid w:val="00C85740"/>
    <w:rsid w:val="00CA437E"/>
    <w:rsid w:val="00CE6E0D"/>
    <w:rsid w:val="00CF62E3"/>
    <w:rsid w:val="00D049C9"/>
    <w:rsid w:val="00D133D4"/>
    <w:rsid w:val="00D14270"/>
    <w:rsid w:val="00D655B1"/>
    <w:rsid w:val="00DA47BC"/>
    <w:rsid w:val="00DA55B8"/>
    <w:rsid w:val="00E103BA"/>
    <w:rsid w:val="00E23070"/>
    <w:rsid w:val="00E637D7"/>
    <w:rsid w:val="00EE13C1"/>
    <w:rsid w:val="00EF1FFF"/>
    <w:rsid w:val="00F5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08A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27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08A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08A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27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08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C56FB9CC.dotm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Magdaliz Alvarez Figueroa</dc:creator>
  <cp:lastModifiedBy>Jessica M Young</cp:lastModifiedBy>
  <cp:revision>8</cp:revision>
  <cp:lastPrinted>2015-05-20T22:44:00Z</cp:lastPrinted>
  <dcterms:created xsi:type="dcterms:W3CDTF">2015-05-15T20:58:00Z</dcterms:created>
  <dcterms:modified xsi:type="dcterms:W3CDTF">2015-08-28T21:37:00Z</dcterms:modified>
</cp:coreProperties>
</file>