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5A84" w:rsidRDefault="00F45A84" w:rsidP="00F45A84">
      <w:pPr>
        <w:widowControl w:val="0"/>
        <w:suppressAutoHyphens/>
        <w:jc w:val="center"/>
        <w:rPr>
          <w:bCs/>
          <w:sz w:val="32"/>
          <w:szCs w:val="32"/>
        </w:rPr>
      </w:pPr>
      <w:r>
        <w:rPr>
          <w:bCs/>
          <w:sz w:val="32"/>
          <w:szCs w:val="32"/>
        </w:rPr>
        <w:t>2700-0150</w:t>
      </w:r>
    </w:p>
    <w:p w:rsidR="00F45A84" w:rsidRPr="00A30497" w:rsidRDefault="00F45A84" w:rsidP="00F45A84">
      <w:pPr>
        <w:widowControl w:val="0"/>
        <w:suppressAutoHyphens/>
        <w:jc w:val="center"/>
        <w:rPr>
          <w:bCs/>
          <w:sz w:val="32"/>
          <w:szCs w:val="32"/>
        </w:rPr>
      </w:pPr>
      <w:r w:rsidRPr="00A30497">
        <w:rPr>
          <w:bCs/>
          <w:sz w:val="32"/>
          <w:szCs w:val="32"/>
        </w:rPr>
        <w:t>SUPPORTING STATEMENT</w:t>
      </w:r>
    </w:p>
    <w:p w:rsidR="00F45A84" w:rsidRPr="00A30497" w:rsidRDefault="00F45A84" w:rsidP="00F45A84">
      <w:pPr>
        <w:widowControl w:val="0"/>
        <w:suppressAutoHyphens/>
        <w:jc w:val="center"/>
        <w:rPr>
          <w:bCs/>
          <w:sz w:val="32"/>
          <w:szCs w:val="32"/>
        </w:rPr>
      </w:pPr>
      <w:r w:rsidRPr="00A30497">
        <w:rPr>
          <w:bCs/>
          <w:sz w:val="32"/>
          <w:szCs w:val="32"/>
        </w:rPr>
        <w:t>FOR OMB CLEARANCE</w:t>
      </w:r>
    </w:p>
    <w:p w:rsidR="00F45A84" w:rsidRPr="00A30497" w:rsidRDefault="00F45A84" w:rsidP="00F45A84">
      <w:pPr>
        <w:widowControl w:val="0"/>
        <w:suppressAutoHyphens/>
        <w:jc w:val="center"/>
        <w:rPr>
          <w:sz w:val="32"/>
          <w:szCs w:val="32"/>
        </w:rPr>
      </w:pPr>
      <w:r>
        <w:rPr>
          <w:sz w:val="32"/>
          <w:szCs w:val="32"/>
        </w:rPr>
        <w:t>PART B</w:t>
      </w: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r w:rsidRPr="00A30497">
        <w:rPr>
          <w:sz w:val="32"/>
          <w:szCs w:val="32"/>
        </w:rPr>
        <w:t xml:space="preserve">NASA </w:t>
      </w:r>
      <w:r>
        <w:rPr>
          <w:sz w:val="32"/>
          <w:szCs w:val="32"/>
        </w:rPr>
        <w:t>STEM Challenges</w:t>
      </w: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r w:rsidRPr="00A30497">
        <w:rPr>
          <w:sz w:val="32"/>
          <w:szCs w:val="32"/>
        </w:rPr>
        <w:t>EVALUATION DATA COLLECTION</w:t>
      </w: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sz w:val="32"/>
          <w:szCs w:val="32"/>
        </w:rPr>
      </w:pPr>
      <w:r w:rsidRPr="00A30497">
        <w:rPr>
          <w:sz w:val="32"/>
          <w:szCs w:val="32"/>
        </w:rPr>
        <w:t xml:space="preserve">National Aeronautics and </w:t>
      </w:r>
      <w:r w:rsidR="00B2195C">
        <w:rPr>
          <w:sz w:val="32"/>
          <w:szCs w:val="32"/>
        </w:rPr>
        <w:t>Space</w:t>
      </w:r>
      <w:r w:rsidRPr="00A30497">
        <w:rPr>
          <w:sz w:val="32"/>
          <w:szCs w:val="32"/>
        </w:rPr>
        <w:t xml:space="preserve"> Administration</w:t>
      </w:r>
    </w:p>
    <w:p w:rsidR="00F45A84" w:rsidRPr="00A30497" w:rsidRDefault="00F45A84" w:rsidP="00F45A84">
      <w:pPr>
        <w:widowControl w:val="0"/>
        <w:suppressAutoHyphens/>
        <w:jc w:val="center"/>
        <w:rPr>
          <w:sz w:val="32"/>
          <w:szCs w:val="32"/>
        </w:rPr>
      </w:pPr>
    </w:p>
    <w:p w:rsidR="00F45A84" w:rsidRPr="00A30497" w:rsidRDefault="00F45A84" w:rsidP="00F45A84">
      <w:pPr>
        <w:widowControl w:val="0"/>
        <w:suppressAutoHyphens/>
        <w:jc w:val="center"/>
        <w:rPr>
          <w:b/>
          <w:bCs/>
          <w:sz w:val="32"/>
          <w:szCs w:val="32"/>
        </w:rPr>
      </w:pPr>
    </w:p>
    <w:p w:rsidR="00F45A84" w:rsidRPr="00A30497" w:rsidRDefault="00996949" w:rsidP="00F45A84">
      <w:pPr>
        <w:widowControl w:val="0"/>
        <w:suppressAutoHyphens/>
        <w:jc w:val="center"/>
        <w:rPr>
          <w:sz w:val="32"/>
          <w:szCs w:val="32"/>
        </w:rPr>
      </w:pPr>
      <w:r>
        <w:rPr>
          <w:sz w:val="32"/>
          <w:szCs w:val="32"/>
        </w:rPr>
        <w:t>July 14, 2015</w:t>
      </w:r>
    </w:p>
    <w:p w:rsidR="00F45A84" w:rsidRPr="00A30497" w:rsidRDefault="00F45A84" w:rsidP="00F45A84">
      <w:pPr>
        <w:pStyle w:val="EndnoteText"/>
        <w:jc w:val="center"/>
        <w:rPr>
          <w:sz w:val="32"/>
          <w:szCs w:val="32"/>
        </w:rPr>
      </w:pPr>
    </w:p>
    <w:p w:rsidR="00A25670" w:rsidRPr="00755AA4" w:rsidRDefault="00A25670" w:rsidP="00A25670">
      <w:pPr>
        <w:pStyle w:val="EndnoteText"/>
        <w:jc w:val="center"/>
        <w:rPr>
          <w:sz w:val="32"/>
          <w:szCs w:val="32"/>
        </w:rPr>
      </w:pPr>
    </w:p>
    <w:p w:rsidR="00661F08" w:rsidRPr="00755AA4" w:rsidRDefault="00A25670" w:rsidP="006607A7">
      <w:pPr>
        <w:pStyle w:val="Heading2"/>
        <w:rPr>
          <w:sz w:val="28"/>
          <w:szCs w:val="28"/>
        </w:rPr>
      </w:pPr>
      <w:r w:rsidRPr="00755AA4">
        <w:br w:type="page"/>
      </w:r>
      <w:bookmarkStart w:id="0" w:name="_Toc339396393"/>
      <w:r w:rsidR="009355BD" w:rsidRPr="00755AA4">
        <w:rPr>
          <w:sz w:val="28"/>
          <w:szCs w:val="28"/>
        </w:rPr>
        <w:lastRenderedPageBreak/>
        <w:t>Part B: Collection of Information Employing Statistical Methods</w:t>
      </w:r>
      <w:bookmarkEnd w:id="0"/>
    </w:p>
    <w:p w:rsidR="006607A7" w:rsidRPr="00755AA4" w:rsidRDefault="006607A7" w:rsidP="006607A7"/>
    <w:p w:rsidR="006356F5" w:rsidRPr="00755AA4" w:rsidRDefault="006356F5" w:rsidP="006356F5">
      <w:pPr>
        <w:pStyle w:val="AbtHeadB"/>
        <w:rPr>
          <w:rFonts w:ascii="Times New Roman" w:hAnsi="Times New Roman"/>
        </w:rPr>
      </w:pPr>
      <w:bookmarkStart w:id="1" w:name="_Toc194726311"/>
      <w:bookmarkStart w:id="2" w:name="_Toc197492638"/>
      <w:bookmarkStart w:id="3" w:name="_Toc339396394"/>
      <w:r w:rsidRPr="00755AA4">
        <w:rPr>
          <w:rFonts w:ascii="Times New Roman" w:hAnsi="Times New Roman"/>
        </w:rPr>
        <w:t>Introduction</w:t>
      </w:r>
      <w:bookmarkEnd w:id="1"/>
      <w:bookmarkEnd w:id="2"/>
      <w:bookmarkEnd w:id="3"/>
    </w:p>
    <w:p w:rsidR="005F48C3" w:rsidRDefault="005F48C3" w:rsidP="005F48C3">
      <w:pPr>
        <w:pStyle w:val="ReportBodyText"/>
      </w:pPr>
      <w:bookmarkStart w:id="4" w:name="_Toc8118898"/>
      <w:bookmarkStart w:id="5" w:name="_Toc81803528"/>
      <w:bookmarkStart w:id="6" w:name="_Toc88301197"/>
      <w:bookmarkStart w:id="7" w:name="_Toc216244988"/>
      <w:r>
        <w:rPr>
          <w:szCs w:val="22"/>
        </w:rPr>
        <w:t xml:space="preserve">The NASA STEM Challenges activity is the result of previous </w:t>
      </w:r>
      <w:r>
        <w:t>OMB guidance</w:t>
      </w:r>
      <w:r w:rsidRPr="000E3AF3">
        <w:t xml:space="preserve"> to redesign </w:t>
      </w:r>
      <w:r>
        <w:t>the Summer of Innovation</w:t>
      </w:r>
      <w:r w:rsidRPr="000E3AF3">
        <w:t xml:space="preserve"> </w:t>
      </w:r>
      <w:r>
        <w:t xml:space="preserve">(SoI) pilot </w:t>
      </w:r>
      <w:r w:rsidRPr="000E3AF3">
        <w:t xml:space="preserve">as a </w:t>
      </w:r>
      <w:r>
        <w:t xml:space="preserve">sustainable </w:t>
      </w:r>
      <w:r w:rsidRPr="000E3AF3">
        <w:t>model for STEM engagement across the Federal STEM Agencies</w:t>
      </w:r>
      <w:r>
        <w:t xml:space="preserve"> and</w:t>
      </w:r>
      <w:r w:rsidRPr="000E3AF3">
        <w:t xml:space="preserve"> to offer SoI as a model through the work of the Committee on STEM (CoSTEM).</w:t>
      </w:r>
      <w:r>
        <w:t xml:space="preserve"> NASA applied its previous design work and evaluation findings to the design of a STEM Challenges pilot collaboration with the </w:t>
      </w:r>
      <w:r w:rsidRPr="00BF66BB">
        <w:t xml:space="preserve">U.S. Department of Education (ED) </w:t>
      </w:r>
      <w:r>
        <w:t>in 2013-14.</w:t>
      </w:r>
      <w:r>
        <w:rPr>
          <w:rStyle w:val="FootnoteReference"/>
        </w:rPr>
        <w:footnoteReference w:id="1"/>
      </w:r>
      <w:r>
        <w:t xml:space="preserve"> This pilot </w:t>
      </w:r>
      <w:r w:rsidRPr="00BF66BB">
        <w:t>pair</w:t>
      </w:r>
      <w:r>
        <w:t>ed</w:t>
      </w:r>
      <w:r w:rsidRPr="00BF66BB">
        <w:t xml:space="preserve"> the extensive reach and infrastructure of ED with NASA’s </w:t>
      </w:r>
      <w:r>
        <w:t xml:space="preserve">experience with training community partners through Summer of Innovation in STEM engagement activities and its </w:t>
      </w:r>
      <w:r w:rsidRPr="00BF66BB">
        <w:t xml:space="preserve">access to world-class subject matter experts and content in support of the shared CoSTEM goal of increasing and supporting the public engagement of youth (National Science and Technology Council, 2013). During the 2013-14 school year NASA collaborated with 3 states to provide dynamic and engaging STEM Design Challenges to students in </w:t>
      </w:r>
      <w:r>
        <w:t xml:space="preserve">the </w:t>
      </w:r>
      <w:r w:rsidRPr="00BF66BB">
        <w:t>21</w:t>
      </w:r>
      <w:r w:rsidRPr="00BF66BB">
        <w:rPr>
          <w:vertAlign w:val="superscript"/>
        </w:rPr>
        <w:t>st</w:t>
      </w:r>
      <w:r w:rsidRPr="00BF66BB">
        <w:t xml:space="preserve"> Century Community Learning Center</w:t>
      </w:r>
      <w:r>
        <w:t xml:space="preserve"> (21CCLC) afterschool programs. During the 2014-15 school year, NASA and ED </w:t>
      </w:r>
      <w:r w:rsidRPr="00BF66BB">
        <w:t>expand</w:t>
      </w:r>
      <w:r>
        <w:t>ed</w:t>
      </w:r>
      <w:r w:rsidRPr="00BF66BB">
        <w:t xml:space="preserve"> the </w:t>
      </w:r>
      <w:r>
        <w:t>activity</w:t>
      </w:r>
      <w:r w:rsidRPr="00BF66BB">
        <w:t xml:space="preserve"> to more states and 21CCLC sites</w:t>
      </w:r>
      <w:r>
        <w:t>, reaching 10 states with high quality NASA STEM Design Challenges.</w:t>
      </w:r>
    </w:p>
    <w:p w:rsidR="005F48C3" w:rsidRDefault="005F48C3" w:rsidP="005F48C3">
      <w:pPr>
        <w:pStyle w:val="ReportBodyText"/>
      </w:pPr>
    </w:p>
    <w:p w:rsidR="005F48C3" w:rsidRPr="00C956A4" w:rsidRDefault="005F48C3" w:rsidP="005F48C3">
      <w:pPr>
        <w:pStyle w:val="ReportBodyText"/>
        <w:rPr>
          <w:rFonts w:cstheme="majorBidi"/>
        </w:rPr>
      </w:pPr>
      <w:r>
        <w:t xml:space="preserve">The STEM Challenges activity focuses on STEM Design Challenges for middle school students designed by NASA to meet the content needs of out-of-school time sites (e.g., 21CCLC, 4-H). NASA facilitates the Challenges by providing a blended professional development strategy to support instructional staff in their implementation with a minimum of one in person training session in each participating state. NASA also provides regular opportunities for 21CCLC sites and students to engage with NASA scientists and engineers through a range of technology-based experiences (e.g., Skype) during a minimum of 20 hours of implementation across an 8 week implementation cycle scheduled during the school year. Following the success of the 21CCLC pilot, NASA continues to offer STEM Design Challenges in collaboration with the Department of Education and to seek other partnerships through which this activity could be offered. </w:t>
      </w:r>
    </w:p>
    <w:p w:rsidR="005F48C3" w:rsidRDefault="005F48C3" w:rsidP="005F48C3">
      <w:pPr>
        <w:pStyle w:val="ReportBodyText"/>
      </w:pPr>
    </w:p>
    <w:p w:rsidR="005F48C3" w:rsidRPr="00AE284C" w:rsidRDefault="005F48C3" w:rsidP="005F48C3">
      <w:pPr>
        <w:pStyle w:val="ReportBodyText"/>
      </w:pPr>
      <w:r w:rsidRPr="00AE284C">
        <w:t>This clearance package modifies the SoI evaluation activities previously approved under OMB control number 2700-0150 to align with the new circumstances of this information collection. This request includes the following instruments that collect standardized data from 10 or more respondents:</w:t>
      </w:r>
    </w:p>
    <w:p w:rsidR="005F48C3" w:rsidRDefault="005F48C3" w:rsidP="005F48C3">
      <w:pPr>
        <w:pStyle w:val="ReportBodyText"/>
      </w:pPr>
    </w:p>
    <w:p w:rsidR="005F48C3" w:rsidRPr="007D6D77" w:rsidRDefault="005F48C3" w:rsidP="005F48C3">
      <w:pPr>
        <w:pStyle w:val="ReportBodyText"/>
        <w:numPr>
          <w:ilvl w:val="0"/>
          <w:numId w:val="10"/>
        </w:numPr>
      </w:pPr>
      <w:r w:rsidRPr="007D6D77">
        <w:t>Baseline youth survey</w:t>
      </w:r>
      <w:r>
        <w:t xml:space="preserve"> (Appendix 1</w:t>
      </w:r>
      <w:r w:rsidRPr="007D6D77">
        <w:t>; item by item just</w:t>
      </w:r>
      <w:r>
        <w:t>ification provided in Appendix 2</w:t>
      </w:r>
      <w:r w:rsidRPr="007D6D77">
        <w:t>)</w:t>
      </w:r>
    </w:p>
    <w:p w:rsidR="005F48C3" w:rsidRPr="007D6D77" w:rsidRDefault="005F48C3" w:rsidP="005F48C3">
      <w:pPr>
        <w:pStyle w:val="ReportBodyText"/>
        <w:numPr>
          <w:ilvl w:val="0"/>
          <w:numId w:val="10"/>
        </w:numPr>
      </w:pPr>
      <w:r w:rsidRPr="007D6D77">
        <w:t>Follow-up youth survey</w:t>
      </w:r>
      <w:r>
        <w:t xml:space="preserve"> (Appendix 3</w:t>
      </w:r>
      <w:r w:rsidRPr="007D6D77">
        <w:t>; item by item just</w:t>
      </w:r>
      <w:r>
        <w:t>ification provided in Appendix 4</w:t>
      </w:r>
      <w:r w:rsidRPr="007D6D77">
        <w:t>)</w:t>
      </w:r>
    </w:p>
    <w:p w:rsidR="005F48C3" w:rsidRDefault="005F48C3" w:rsidP="005F48C3">
      <w:pPr>
        <w:pStyle w:val="ReportBodyText"/>
      </w:pPr>
    </w:p>
    <w:p w:rsidR="005F48C3" w:rsidRPr="007D6D77" w:rsidRDefault="005F48C3" w:rsidP="005F48C3">
      <w:pPr>
        <w:pStyle w:val="ReportBodyText"/>
      </w:pPr>
      <w:r w:rsidRPr="007D6D77">
        <w:t xml:space="preserve">The data to be collected are not available elsewhere unless collected through this information collection. The youth instruments will be used to gather data prior to and following the </w:t>
      </w:r>
      <w:r>
        <w:t>STEM Challenge</w:t>
      </w:r>
      <w:r w:rsidRPr="007D6D77">
        <w:t xml:space="preserve"> activities in order to assess change in </w:t>
      </w:r>
      <w:r>
        <w:t>the key short-</w:t>
      </w:r>
      <w:r w:rsidRPr="007D6D77">
        <w:t xml:space="preserve">term outcome of youth </w:t>
      </w:r>
      <w:r>
        <w:t>attitude toward</w:t>
      </w:r>
      <w:r w:rsidRPr="007D6D77">
        <w:t xml:space="preserve"> STEM. Information about implementation will be gathered from numerous sources, including </w:t>
      </w:r>
      <w:r>
        <w:t xml:space="preserve">review of student work products and activity observations. </w:t>
      </w:r>
      <w:r w:rsidRPr="007D6D77">
        <w:t xml:space="preserve">These data will allow NASA to collect fidelity of implementation and formative data to inform continuous program improvement.  </w:t>
      </w:r>
    </w:p>
    <w:p w:rsidR="00062CE5" w:rsidRPr="00755AA4" w:rsidRDefault="00062CE5" w:rsidP="00E63CD2">
      <w:pPr>
        <w:pStyle w:val="BodyText"/>
        <w:rPr>
          <w:szCs w:val="22"/>
        </w:rPr>
      </w:pPr>
    </w:p>
    <w:p w:rsidR="002B5116" w:rsidRPr="00755AA4" w:rsidRDefault="00696FEF" w:rsidP="005F48C3">
      <w:pPr>
        <w:keepNext/>
        <w:keepLines/>
        <w:widowControl w:val="0"/>
        <w:tabs>
          <w:tab w:val="clear" w:pos="720"/>
          <w:tab w:val="clear" w:pos="1080"/>
          <w:tab w:val="clear" w:pos="1440"/>
          <w:tab w:val="clear" w:pos="1800"/>
        </w:tabs>
      </w:pPr>
      <w:r w:rsidRPr="00755AA4">
        <w:lastRenderedPageBreak/>
        <w:t>Part A of this clearance package describes the informatio</w:t>
      </w:r>
      <w:r w:rsidR="005F48C3">
        <w:t xml:space="preserve">n collection activities associated with this clearance package </w:t>
      </w:r>
      <w:r w:rsidRPr="00755AA4">
        <w:t xml:space="preserve">that require Paperwork Reduction Act clearance, </w:t>
      </w:r>
      <w:r w:rsidR="005F48C3">
        <w:t xml:space="preserve">specifically the </w:t>
      </w:r>
      <w:r w:rsidRPr="00755AA4">
        <w:t xml:space="preserve">baseline and follow-up student surveys. </w:t>
      </w:r>
      <w:r w:rsidRPr="00755AA4">
        <w:rPr>
          <w:szCs w:val="22"/>
        </w:rPr>
        <w:t xml:space="preserve">The </w:t>
      </w:r>
      <w:r w:rsidR="005F48C3">
        <w:rPr>
          <w:szCs w:val="22"/>
        </w:rPr>
        <w:t>student</w:t>
      </w:r>
      <w:r w:rsidRPr="00755AA4">
        <w:rPr>
          <w:szCs w:val="22"/>
        </w:rPr>
        <w:t xml:space="preserve"> surveys will collect the data needed to respond to </w:t>
      </w:r>
      <w:r w:rsidR="005F48C3">
        <w:rPr>
          <w:szCs w:val="22"/>
        </w:rPr>
        <w:t>key research questions associa</w:t>
      </w:r>
      <w:r w:rsidRPr="00755AA4">
        <w:rPr>
          <w:szCs w:val="22"/>
        </w:rPr>
        <w:t>ted with the outcome evaluation</w:t>
      </w:r>
      <w:r w:rsidR="002B5116" w:rsidRPr="00755AA4">
        <w:t>.</w:t>
      </w:r>
    </w:p>
    <w:p w:rsidR="002B5116" w:rsidRPr="00755AA4" w:rsidRDefault="002B5116" w:rsidP="008D5B2E">
      <w:pPr>
        <w:pStyle w:val="BodyText"/>
      </w:pPr>
    </w:p>
    <w:p w:rsidR="00AF4FD4" w:rsidRPr="00755AA4" w:rsidRDefault="00CC7947" w:rsidP="00AF4FD4">
      <w:pPr>
        <w:pStyle w:val="Heading2"/>
      </w:pPr>
      <w:bookmarkStart w:id="8" w:name="_Toc339396395"/>
      <w:r w:rsidRPr="00755AA4">
        <w:t>B.1</w:t>
      </w:r>
      <w:r w:rsidR="00250B72" w:rsidRPr="00755AA4">
        <w:t xml:space="preserve"> </w:t>
      </w:r>
      <w:bookmarkEnd w:id="4"/>
      <w:bookmarkEnd w:id="5"/>
      <w:bookmarkEnd w:id="6"/>
      <w:bookmarkEnd w:id="7"/>
      <w:bookmarkEnd w:id="8"/>
      <w:r w:rsidR="00B46E3A">
        <w:t xml:space="preserve">  </w:t>
      </w:r>
      <w:r w:rsidR="00AF4FD4" w:rsidRPr="00755AA4">
        <w:t xml:space="preserve">DESCRIBE THE POTENTIAL RESPONDENT UNIVERSE AND ANY SAMPLING OR OTHER RESPONDENT SELECTION METHOD TO BE USED.  </w:t>
      </w:r>
    </w:p>
    <w:p w:rsidR="00AF4FD4" w:rsidRPr="00755AA4" w:rsidRDefault="00AF4FD4"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p w:rsidR="00C01B8A" w:rsidRDefault="00C01B8A"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r w:rsidRPr="00755AA4">
        <w:rPr>
          <w:szCs w:val="22"/>
        </w:rPr>
        <w:t>This section addresses the potential respondent universe and provides an outline of the selection criteria that defines the universe. It also provides justification for the decision to not utilize a sampling strategy for the surveys. The numerical estimate for the respondent universe</w:t>
      </w:r>
      <w:r w:rsidR="0054054D" w:rsidRPr="00755AA4">
        <w:rPr>
          <w:szCs w:val="22"/>
        </w:rPr>
        <w:t xml:space="preserve">, and anticipated response rates, are </w:t>
      </w:r>
      <w:r w:rsidRPr="00755AA4">
        <w:rPr>
          <w:szCs w:val="22"/>
        </w:rPr>
        <w:t xml:space="preserve">provided </w:t>
      </w:r>
      <w:r w:rsidR="0054054D" w:rsidRPr="00755AA4">
        <w:rPr>
          <w:szCs w:val="22"/>
        </w:rPr>
        <w:t xml:space="preserve">in tabular form </w:t>
      </w:r>
      <w:r w:rsidRPr="00755AA4">
        <w:rPr>
          <w:szCs w:val="22"/>
        </w:rPr>
        <w:t xml:space="preserve">in Exhibit 1. </w:t>
      </w:r>
      <w:r w:rsidR="00576EDA" w:rsidRPr="00755AA4">
        <w:rPr>
          <w:szCs w:val="22"/>
        </w:rPr>
        <w:t xml:space="preserve">The projected unconditional response rate for youth surveys is </w:t>
      </w:r>
      <w:r w:rsidR="007A7D0C" w:rsidRPr="00755AA4">
        <w:rPr>
          <w:szCs w:val="22"/>
        </w:rPr>
        <w:t xml:space="preserve">42%. </w:t>
      </w:r>
      <w:r w:rsidR="00787A66">
        <w:rPr>
          <w:szCs w:val="22"/>
        </w:rPr>
        <w:t>A</w:t>
      </w:r>
      <w:r w:rsidR="0054054D" w:rsidRPr="00755AA4">
        <w:rPr>
          <w:szCs w:val="22"/>
        </w:rPr>
        <w:t xml:space="preserve">ctual response rates from the </w:t>
      </w:r>
      <w:r w:rsidR="00787A66">
        <w:rPr>
          <w:szCs w:val="22"/>
        </w:rPr>
        <w:t xml:space="preserve">2015 evaluation study were not available at the time this package was prepared. </w:t>
      </w:r>
    </w:p>
    <w:p w:rsidR="00787A66" w:rsidRPr="00755AA4" w:rsidRDefault="00787A66"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tbl>
      <w:tblPr>
        <w:tblStyle w:val="TableGrid"/>
        <w:tblW w:w="0" w:type="auto"/>
        <w:jc w:val="center"/>
        <w:tblLook w:val="04A0" w:firstRow="1" w:lastRow="0" w:firstColumn="1" w:lastColumn="0" w:noHBand="0" w:noVBand="1"/>
      </w:tblPr>
      <w:tblGrid>
        <w:gridCol w:w="2431"/>
        <w:gridCol w:w="2464"/>
        <w:gridCol w:w="2069"/>
        <w:gridCol w:w="2386"/>
      </w:tblGrid>
      <w:tr w:rsidR="0054054D" w:rsidRPr="00755AA4" w:rsidTr="009B3095">
        <w:trPr>
          <w:trHeight w:val="80"/>
          <w:jc w:val="center"/>
        </w:trPr>
        <w:tc>
          <w:tcPr>
            <w:tcW w:w="9576" w:type="dxa"/>
            <w:gridSpan w:val="4"/>
          </w:tcPr>
          <w:p w:rsidR="0054054D" w:rsidRPr="00755AA4" w:rsidRDefault="0054054D" w:rsidP="00787A66">
            <w:pPr>
              <w:spacing w:line="240" w:lineRule="auto"/>
              <w:rPr>
                <w:b/>
                <w:sz w:val="20"/>
              </w:rPr>
            </w:pPr>
            <w:r w:rsidRPr="00755AA4">
              <w:rPr>
                <w:b/>
                <w:sz w:val="20"/>
              </w:rPr>
              <w:t>Exhibit 1. Data Collection to Be Analyzed using Statistical Methods</w:t>
            </w:r>
          </w:p>
        </w:tc>
      </w:tr>
      <w:tr w:rsidR="0054054D" w:rsidRPr="00755AA4" w:rsidTr="009B3095">
        <w:trPr>
          <w:trHeight w:val="107"/>
          <w:jc w:val="center"/>
        </w:trPr>
        <w:tc>
          <w:tcPr>
            <w:tcW w:w="2490" w:type="dxa"/>
            <w:vAlign w:val="center"/>
          </w:tcPr>
          <w:p w:rsidR="0054054D" w:rsidRPr="00755AA4" w:rsidRDefault="0054054D" w:rsidP="009B3095">
            <w:pPr>
              <w:spacing w:line="240" w:lineRule="auto"/>
              <w:jc w:val="center"/>
              <w:rPr>
                <w:b/>
                <w:i/>
                <w:sz w:val="20"/>
              </w:rPr>
            </w:pPr>
            <w:r w:rsidRPr="00755AA4">
              <w:rPr>
                <w:b/>
                <w:i/>
                <w:sz w:val="20"/>
              </w:rPr>
              <w:t>Instrument</w:t>
            </w:r>
          </w:p>
        </w:tc>
        <w:tc>
          <w:tcPr>
            <w:tcW w:w="2528" w:type="dxa"/>
            <w:vAlign w:val="center"/>
          </w:tcPr>
          <w:p w:rsidR="0054054D" w:rsidRPr="00755AA4" w:rsidRDefault="0054054D" w:rsidP="009B3095">
            <w:pPr>
              <w:spacing w:line="240" w:lineRule="auto"/>
              <w:jc w:val="center"/>
              <w:rPr>
                <w:b/>
                <w:i/>
                <w:sz w:val="20"/>
              </w:rPr>
            </w:pPr>
            <w:r w:rsidRPr="00755AA4">
              <w:rPr>
                <w:b/>
                <w:i/>
                <w:sz w:val="20"/>
              </w:rPr>
              <w:t>Timing of Data Collection</w:t>
            </w:r>
          </w:p>
        </w:tc>
        <w:tc>
          <w:tcPr>
            <w:tcW w:w="2110" w:type="dxa"/>
          </w:tcPr>
          <w:p w:rsidR="0054054D" w:rsidRPr="00755AA4" w:rsidRDefault="0054054D" w:rsidP="009B3095">
            <w:pPr>
              <w:spacing w:line="240" w:lineRule="auto"/>
              <w:jc w:val="center"/>
              <w:rPr>
                <w:b/>
                <w:i/>
                <w:sz w:val="20"/>
              </w:rPr>
            </w:pPr>
            <w:r w:rsidRPr="00755AA4">
              <w:rPr>
                <w:b/>
                <w:i/>
                <w:sz w:val="20"/>
              </w:rPr>
              <w:t>Respondent Universe</w:t>
            </w:r>
          </w:p>
        </w:tc>
        <w:tc>
          <w:tcPr>
            <w:tcW w:w="2448" w:type="dxa"/>
          </w:tcPr>
          <w:p w:rsidR="0054054D" w:rsidRPr="00755AA4" w:rsidRDefault="0054054D" w:rsidP="009B3095">
            <w:pPr>
              <w:spacing w:line="240" w:lineRule="auto"/>
              <w:rPr>
                <w:b/>
                <w:i/>
                <w:sz w:val="20"/>
              </w:rPr>
            </w:pPr>
            <w:r w:rsidRPr="00755AA4">
              <w:rPr>
                <w:b/>
                <w:i/>
                <w:sz w:val="20"/>
              </w:rPr>
              <w:t>Estimated Response Rate</w:t>
            </w:r>
          </w:p>
        </w:tc>
      </w:tr>
      <w:tr w:rsidR="0054054D" w:rsidRPr="00755AA4" w:rsidTr="009B3095">
        <w:trPr>
          <w:jc w:val="center"/>
        </w:trPr>
        <w:tc>
          <w:tcPr>
            <w:tcW w:w="9576" w:type="dxa"/>
            <w:gridSpan w:val="4"/>
            <w:shd w:val="clear" w:color="auto" w:fill="BFBFBF" w:themeFill="background1" w:themeFillShade="BF"/>
          </w:tcPr>
          <w:p w:rsidR="0054054D" w:rsidRPr="00755AA4" w:rsidRDefault="0054054D" w:rsidP="009B3095">
            <w:pPr>
              <w:spacing w:line="240" w:lineRule="auto"/>
              <w:jc w:val="center"/>
              <w:rPr>
                <w:sz w:val="20"/>
              </w:rPr>
            </w:pPr>
            <w:r w:rsidRPr="00755AA4">
              <w:rPr>
                <w:sz w:val="20"/>
              </w:rPr>
              <w:t>Student Data</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Youth Baseline Survey</w:t>
            </w:r>
          </w:p>
        </w:tc>
        <w:tc>
          <w:tcPr>
            <w:tcW w:w="2528" w:type="dxa"/>
          </w:tcPr>
          <w:p w:rsidR="0054054D" w:rsidRPr="00755AA4" w:rsidRDefault="0054054D" w:rsidP="00787A66">
            <w:pPr>
              <w:spacing w:line="240" w:lineRule="auto"/>
              <w:rPr>
                <w:sz w:val="20"/>
              </w:rPr>
            </w:pPr>
            <w:r w:rsidRPr="00755AA4">
              <w:rPr>
                <w:sz w:val="20"/>
              </w:rPr>
              <w:t xml:space="preserve">Prior to start of </w:t>
            </w:r>
            <w:r w:rsidR="00787A66">
              <w:rPr>
                <w:sz w:val="20"/>
              </w:rPr>
              <w:t>STEM challenge</w:t>
            </w:r>
            <w:r w:rsidRPr="00755AA4">
              <w:rPr>
                <w:sz w:val="20"/>
              </w:rPr>
              <w:t xml:space="preserve"> (</w:t>
            </w:r>
            <w:r w:rsidR="00787A66">
              <w:rPr>
                <w:sz w:val="20"/>
              </w:rPr>
              <w:t>est. February</w:t>
            </w:r>
            <w:r w:rsidRPr="00755AA4">
              <w:rPr>
                <w:sz w:val="20"/>
              </w:rPr>
              <w:t>)</w:t>
            </w:r>
          </w:p>
        </w:tc>
        <w:tc>
          <w:tcPr>
            <w:tcW w:w="2110" w:type="dxa"/>
          </w:tcPr>
          <w:p w:rsidR="0054054D" w:rsidRPr="00755AA4" w:rsidRDefault="00BE4EF5" w:rsidP="009B3095">
            <w:pPr>
              <w:spacing w:line="240" w:lineRule="auto"/>
              <w:rPr>
                <w:sz w:val="20"/>
              </w:rPr>
            </w:pPr>
            <w:r>
              <w:rPr>
                <w:color w:val="000000"/>
                <w:sz w:val="18"/>
                <w:szCs w:val="18"/>
              </w:rPr>
              <w:t>810</w:t>
            </w:r>
          </w:p>
        </w:tc>
        <w:tc>
          <w:tcPr>
            <w:tcW w:w="2448" w:type="dxa"/>
          </w:tcPr>
          <w:p w:rsidR="0054054D" w:rsidRPr="00755AA4" w:rsidRDefault="0054054D" w:rsidP="00F53BB7">
            <w:pPr>
              <w:spacing w:line="240" w:lineRule="auto"/>
              <w:rPr>
                <w:sz w:val="20"/>
              </w:rPr>
            </w:pPr>
            <w:r w:rsidRPr="00755AA4">
              <w:rPr>
                <w:sz w:val="20"/>
              </w:rPr>
              <w:t>8</w:t>
            </w:r>
            <w:r w:rsidR="00F53BB7" w:rsidRPr="00755AA4">
              <w:rPr>
                <w:sz w:val="20"/>
              </w:rPr>
              <w:t>0</w:t>
            </w:r>
            <w:r w:rsidRPr="00755AA4">
              <w:rPr>
                <w:sz w:val="20"/>
              </w:rPr>
              <w:t>%</w:t>
            </w:r>
          </w:p>
        </w:tc>
      </w:tr>
      <w:tr w:rsidR="0054054D" w:rsidRPr="00755AA4" w:rsidTr="009B3095">
        <w:trPr>
          <w:jc w:val="center"/>
        </w:trPr>
        <w:tc>
          <w:tcPr>
            <w:tcW w:w="2490" w:type="dxa"/>
          </w:tcPr>
          <w:p w:rsidR="0054054D" w:rsidRPr="00755AA4" w:rsidRDefault="0054054D" w:rsidP="009B3095">
            <w:pPr>
              <w:spacing w:line="240" w:lineRule="auto"/>
              <w:rPr>
                <w:sz w:val="20"/>
              </w:rPr>
            </w:pPr>
            <w:r w:rsidRPr="00755AA4">
              <w:rPr>
                <w:sz w:val="20"/>
              </w:rPr>
              <w:t>Youth Follow-up Survey</w:t>
            </w:r>
          </w:p>
        </w:tc>
        <w:tc>
          <w:tcPr>
            <w:tcW w:w="2528" w:type="dxa"/>
          </w:tcPr>
          <w:p w:rsidR="0054054D" w:rsidRPr="00755AA4" w:rsidRDefault="00787A66" w:rsidP="00787A66">
            <w:pPr>
              <w:spacing w:line="240" w:lineRule="auto"/>
              <w:rPr>
                <w:sz w:val="20"/>
              </w:rPr>
            </w:pPr>
            <w:r>
              <w:rPr>
                <w:sz w:val="20"/>
              </w:rPr>
              <w:t>After the conclusion of STEM challenge</w:t>
            </w:r>
            <w:r w:rsidR="0054054D" w:rsidRPr="00755AA4">
              <w:rPr>
                <w:sz w:val="20"/>
              </w:rPr>
              <w:t xml:space="preserve"> (</w:t>
            </w:r>
            <w:r>
              <w:rPr>
                <w:sz w:val="20"/>
              </w:rPr>
              <w:t>est. May</w:t>
            </w:r>
            <w:r w:rsidR="0054054D" w:rsidRPr="00755AA4">
              <w:rPr>
                <w:sz w:val="20"/>
              </w:rPr>
              <w:t>)</w:t>
            </w:r>
          </w:p>
        </w:tc>
        <w:tc>
          <w:tcPr>
            <w:tcW w:w="2110" w:type="dxa"/>
          </w:tcPr>
          <w:p w:rsidR="0054054D" w:rsidRPr="00755AA4" w:rsidRDefault="00BE4EF5" w:rsidP="009B3095">
            <w:pPr>
              <w:spacing w:line="240" w:lineRule="auto"/>
              <w:rPr>
                <w:sz w:val="20"/>
              </w:rPr>
            </w:pPr>
            <w:r>
              <w:rPr>
                <w:color w:val="000000"/>
                <w:sz w:val="18"/>
                <w:szCs w:val="18"/>
              </w:rPr>
              <w:t>810</w:t>
            </w:r>
          </w:p>
        </w:tc>
        <w:tc>
          <w:tcPr>
            <w:tcW w:w="2448" w:type="dxa"/>
          </w:tcPr>
          <w:p w:rsidR="0054054D" w:rsidRPr="00755AA4" w:rsidRDefault="00F53BB7" w:rsidP="009B3095">
            <w:pPr>
              <w:spacing w:line="240" w:lineRule="auto"/>
              <w:rPr>
                <w:sz w:val="20"/>
              </w:rPr>
            </w:pPr>
            <w:r w:rsidRPr="00755AA4">
              <w:rPr>
                <w:sz w:val="20"/>
              </w:rPr>
              <w:t>5</w:t>
            </w:r>
            <w:r w:rsidR="00FB1B5A" w:rsidRPr="00755AA4">
              <w:rPr>
                <w:sz w:val="20"/>
              </w:rPr>
              <w:t>2</w:t>
            </w:r>
            <w:r w:rsidR="0054054D" w:rsidRPr="00755AA4">
              <w:rPr>
                <w:sz w:val="20"/>
              </w:rPr>
              <w:t>%</w:t>
            </w:r>
          </w:p>
        </w:tc>
      </w:tr>
      <w:tr w:rsidR="0054054D" w:rsidRPr="00755AA4" w:rsidTr="009B3095">
        <w:trPr>
          <w:jc w:val="center"/>
        </w:trPr>
        <w:tc>
          <w:tcPr>
            <w:tcW w:w="5018" w:type="dxa"/>
            <w:gridSpan w:val="2"/>
          </w:tcPr>
          <w:p w:rsidR="0054054D" w:rsidRPr="00755AA4" w:rsidRDefault="0054054D" w:rsidP="0054054D">
            <w:pPr>
              <w:spacing w:line="240" w:lineRule="auto"/>
              <w:jc w:val="right"/>
              <w:rPr>
                <w:sz w:val="20"/>
              </w:rPr>
            </w:pPr>
            <w:r w:rsidRPr="00755AA4">
              <w:rPr>
                <w:sz w:val="20"/>
              </w:rPr>
              <w:t>Total Respondents</w:t>
            </w:r>
          </w:p>
        </w:tc>
        <w:tc>
          <w:tcPr>
            <w:tcW w:w="2110" w:type="dxa"/>
          </w:tcPr>
          <w:p w:rsidR="0054054D" w:rsidRPr="00755AA4" w:rsidRDefault="00BE4EF5" w:rsidP="0054054D">
            <w:pPr>
              <w:spacing w:line="240" w:lineRule="auto"/>
              <w:rPr>
                <w:sz w:val="20"/>
              </w:rPr>
            </w:pPr>
            <w:r>
              <w:rPr>
                <w:sz w:val="20"/>
              </w:rPr>
              <w:t>810</w:t>
            </w:r>
          </w:p>
        </w:tc>
        <w:tc>
          <w:tcPr>
            <w:tcW w:w="2448" w:type="dxa"/>
          </w:tcPr>
          <w:p w:rsidR="0054054D" w:rsidRPr="00755AA4" w:rsidRDefault="0054054D" w:rsidP="009B3095">
            <w:pPr>
              <w:spacing w:line="240" w:lineRule="auto"/>
              <w:rPr>
                <w:sz w:val="20"/>
              </w:rPr>
            </w:pPr>
          </w:p>
        </w:tc>
      </w:tr>
    </w:tbl>
    <w:p w:rsidR="0054054D" w:rsidRPr="00755AA4" w:rsidRDefault="0054054D" w:rsidP="004B2855">
      <w:pPr>
        <w:keepNext/>
        <w:keepLines/>
        <w:widowControl w:val="0"/>
        <w:tabs>
          <w:tab w:val="clear" w:pos="720"/>
          <w:tab w:val="clear" w:pos="1080"/>
          <w:tab w:val="clear" w:pos="1440"/>
          <w:tab w:val="clear" w:pos="1800"/>
        </w:tabs>
        <w:autoSpaceDE w:val="0"/>
        <w:autoSpaceDN w:val="0"/>
        <w:adjustRightInd w:val="0"/>
        <w:spacing w:line="240" w:lineRule="auto"/>
        <w:rPr>
          <w:szCs w:val="22"/>
        </w:rPr>
      </w:pPr>
    </w:p>
    <w:p w:rsidR="003812BC" w:rsidRPr="007559C1" w:rsidRDefault="0086775C" w:rsidP="007559C1">
      <w:pPr>
        <w:pStyle w:val="ReportBodyText"/>
      </w:pPr>
      <w:r w:rsidRPr="007559C1">
        <w:rPr>
          <w:b/>
        </w:rPr>
        <w:t>Criteria to Define Respondent Universe</w:t>
      </w:r>
      <w:r w:rsidRPr="007559C1">
        <w:t xml:space="preserve">. </w:t>
      </w:r>
      <w:r w:rsidR="004E621D" w:rsidRPr="007559C1">
        <w:t xml:space="preserve">The potential respondent universe for </w:t>
      </w:r>
      <w:r w:rsidR="00A91072" w:rsidRPr="007559C1">
        <w:t xml:space="preserve">the STEM Challenges evaluation study is </w:t>
      </w:r>
      <w:r w:rsidR="007559C1">
        <w:t>all</w:t>
      </w:r>
      <w:r w:rsidR="004E621D" w:rsidRPr="007559C1">
        <w:t xml:space="preserve"> students</w:t>
      </w:r>
      <w:r w:rsidR="00A91072" w:rsidRPr="007559C1">
        <w:t xml:space="preserve"> </w:t>
      </w:r>
      <w:r w:rsidR="004E621D" w:rsidRPr="007559C1">
        <w:t xml:space="preserve">participating in </w:t>
      </w:r>
      <w:r w:rsidR="00A91072" w:rsidRPr="007559C1">
        <w:t xml:space="preserve">STEM Challenge activities </w:t>
      </w:r>
      <w:r w:rsidR="004E621D" w:rsidRPr="007559C1">
        <w:t xml:space="preserve">administered by </w:t>
      </w:r>
      <w:r w:rsidR="00A91072" w:rsidRPr="007559C1">
        <w:t xml:space="preserve">NASA in collaboration with </w:t>
      </w:r>
      <w:r w:rsidR="00782A0F" w:rsidRPr="007559C1">
        <w:t xml:space="preserve">its national partners, particularly the Department of Education. </w:t>
      </w:r>
      <w:r w:rsidR="00F52605" w:rsidRPr="007559C1">
        <w:t>According to the last evaluation study conducted of the FY201</w:t>
      </w:r>
      <w:r w:rsidR="00782A0F" w:rsidRPr="007559C1">
        <w:t>5</w:t>
      </w:r>
      <w:r w:rsidR="00F52605" w:rsidRPr="007559C1">
        <w:t xml:space="preserve"> </w:t>
      </w:r>
      <w:r w:rsidR="00782A0F" w:rsidRPr="007559C1">
        <w:t>NASA Challenges activity, 810 students participated in STEM Challenges at a total at 67 after-</w:t>
      </w:r>
      <w:r w:rsidR="00BE4EF5">
        <w:t xml:space="preserve">school sites across ten states; this count was used as the basis for the burden estimate for this clearance package. </w:t>
      </w:r>
      <w:r w:rsidR="00782A0F" w:rsidRPr="007559C1">
        <w:t xml:space="preserve">All sites were financially supported by the Department of Education’s 21st Century Community Learning Centers program. The U.S. Department of Education selected </w:t>
      </w:r>
      <w:r w:rsidR="007559C1" w:rsidRPr="007559C1">
        <w:t>participating s</w:t>
      </w:r>
      <w:r w:rsidR="00782A0F" w:rsidRPr="007559C1">
        <w:t xml:space="preserve">tates and sites based on interest and availability for training. </w:t>
      </w:r>
      <w:r w:rsidR="007559C1" w:rsidRPr="007559C1">
        <w:t>All of the 21CCLC sites participating in this collaboration provided service to students in grades five through nine in public schools with a low socio-economic designation.</w:t>
      </w:r>
    </w:p>
    <w:p w:rsidR="00E32EBC" w:rsidRPr="00755AA4" w:rsidRDefault="00E32EBC" w:rsidP="00E32EBC">
      <w:pPr>
        <w:rPr>
          <w:b/>
          <w:szCs w:val="22"/>
        </w:rPr>
      </w:pPr>
    </w:p>
    <w:p w:rsidR="00E32EBC" w:rsidRPr="00755AA4" w:rsidRDefault="007559C1" w:rsidP="00A90862">
      <w:pPr>
        <w:tabs>
          <w:tab w:val="clear" w:pos="720"/>
          <w:tab w:val="clear" w:pos="1080"/>
          <w:tab w:val="clear" w:pos="1440"/>
          <w:tab w:val="clear" w:pos="1800"/>
        </w:tabs>
        <w:autoSpaceDE w:val="0"/>
        <w:autoSpaceDN w:val="0"/>
        <w:adjustRightInd w:val="0"/>
        <w:spacing w:line="240" w:lineRule="auto"/>
        <w:rPr>
          <w:szCs w:val="22"/>
        </w:rPr>
      </w:pPr>
      <w:r>
        <w:rPr>
          <w:szCs w:val="22"/>
        </w:rPr>
        <w:t xml:space="preserve">In future years, </w:t>
      </w:r>
      <w:r w:rsidR="00E32EBC" w:rsidRPr="00755AA4">
        <w:rPr>
          <w:szCs w:val="22"/>
        </w:rPr>
        <w:t>NASA intends to ide</w:t>
      </w:r>
      <w:r w:rsidR="00EB7182" w:rsidRPr="00755AA4">
        <w:rPr>
          <w:szCs w:val="22"/>
        </w:rPr>
        <w:t xml:space="preserve">ntify </w:t>
      </w:r>
      <w:r w:rsidR="00BF66C8" w:rsidRPr="00755AA4">
        <w:rPr>
          <w:szCs w:val="22"/>
        </w:rPr>
        <w:t xml:space="preserve">for </w:t>
      </w:r>
      <w:r>
        <w:rPr>
          <w:szCs w:val="22"/>
        </w:rPr>
        <w:t>STEM Challenges evaluation studies</w:t>
      </w:r>
      <w:r w:rsidR="00BF66C8" w:rsidRPr="00755AA4">
        <w:rPr>
          <w:szCs w:val="22"/>
        </w:rPr>
        <w:t xml:space="preserve"> </w:t>
      </w:r>
      <w:r>
        <w:rPr>
          <w:szCs w:val="22"/>
        </w:rPr>
        <w:t xml:space="preserve">the universe of students in all participating sites associated with a Challenge. </w:t>
      </w:r>
      <w:r w:rsidR="00E32EBC" w:rsidRPr="00755AA4">
        <w:rPr>
          <w:szCs w:val="22"/>
        </w:rPr>
        <w:t>The</w:t>
      </w:r>
      <w:r>
        <w:rPr>
          <w:szCs w:val="22"/>
        </w:rPr>
        <w:t>se</w:t>
      </w:r>
      <w:r w:rsidR="00E32EBC" w:rsidRPr="00755AA4">
        <w:rPr>
          <w:szCs w:val="22"/>
        </w:rPr>
        <w:t xml:space="preserve"> </w:t>
      </w:r>
      <w:r>
        <w:rPr>
          <w:szCs w:val="22"/>
        </w:rPr>
        <w:t xml:space="preserve">sites will be recruited to participate using the same criteria as in past years, including participation of </w:t>
      </w:r>
      <w:r w:rsidRPr="007559C1">
        <w:t>students in grades fiv</w:t>
      </w:r>
      <w:r>
        <w:t>e through nine in out of school time programs affiliated with public schools</w:t>
      </w:r>
      <w:r w:rsidRPr="007559C1">
        <w:t xml:space="preserve"> with a low socio-economic designation.</w:t>
      </w:r>
      <w:r w:rsidR="00E32EBC" w:rsidRPr="00755AA4">
        <w:rPr>
          <w:szCs w:val="22"/>
        </w:rPr>
        <w:t xml:space="preserve"> </w:t>
      </w:r>
      <w:r>
        <w:rPr>
          <w:szCs w:val="22"/>
        </w:rPr>
        <w:t xml:space="preserve">There are minimum criteria associated with participation in STEM Challenges: </w:t>
      </w:r>
    </w:p>
    <w:p w:rsidR="00E32EBC" w:rsidRPr="00755AA4" w:rsidRDefault="00E32EBC" w:rsidP="00E32EBC">
      <w:pPr>
        <w:rPr>
          <w:szCs w:val="22"/>
        </w:rPr>
      </w:pPr>
    </w:p>
    <w:p w:rsidR="007559C1" w:rsidRPr="007559C1" w:rsidRDefault="007559C1" w:rsidP="005C27D2">
      <w:pPr>
        <w:pStyle w:val="FootnoteText"/>
        <w:numPr>
          <w:ilvl w:val="0"/>
          <w:numId w:val="2"/>
        </w:numPr>
        <w:rPr>
          <w:sz w:val="22"/>
          <w:szCs w:val="22"/>
        </w:rPr>
      </w:pPr>
      <w:r>
        <w:rPr>
          <w:rFonts w:eastAsia="Calibri"/>
          <w:color w:val="000000"/>
          <w:sz w:val="22"/>
          <w:szCs w:val="22"/>
        </w:rPr>
        <w:t>Instructor participation in NASA-facilitated training on how to facilitate the STEM Challenges;</w:t>
      </w:r>
    </w:p>
    <w:p w:rsidR="007559C1" w:rsidRPr="007559C1" w:rsidRDefault="007559C1" w:rsidP="005C27D2">
      <w:pPr>
        <w:pStyle w:val="FootnoteText"/>
        <w:numPr>
          <w:ilvl w:val="0"/>
          <w:numId w:val="2"/>
        </w:numPr>
        <w:rPr>
          <w:sz w:val="22"/>
          <w:szCs w:val="22"/>
        </w:rPr>
      </w:pPr>
      <w:r>
        <w:rPr>
          <w:rFonts w:eastAsia="Calibri"/>
          <w:color w:val="000000"/>
          <w:sz w:val="22"/>
          <w:szCs w:val="22"/>
        </w:rPr>
        <w:t>Implementation of at least one STEM Challenge; and</w:t>
      </w:r>
    </w:p>
    <w:p w:rsidR="004F7E04" w:rsidRPr="00755AA4" w:rsidRDefault="007559C1" w:rsidP="007559C1">
      <w:pPr>
        <w:pStyle w:val="FootnoteText"/>
        <w:numPr>
          <w:ilvl w:val="0"/>
          <w:numId w:val="2"/>
        </w:numPr>
        <w:rPr>
          <w:szCs w:val="22"/>
        </w:rPr>
      </w:pPr>
      <w:r>
        <w:rPr>
          <w:rFonts w:eastAsia="Calibri"/>
          <w:color w:val="000000"/>
          <w:sz w:val="22"/>
          <w:szCs w:val="22"/>
        </w:rPr>
        <w:t xml:space="preserve">Use of NASA resources, including interaction with NASA subject matter experts (SMEs). </w:t>
      </w:r>
    </w:p>
    <w:p w:rsidR="004F7E04" w:rsidRPr="00755AA4" w:rsidRDefault="007559C1" w:rsidP="004F7E04">
      <w:pPr>
        <w:rPr>
          <w:szCs w:val="22"/>
        </w:rPr>
      </w:pPr>
      <w:r>
        <w:rPr>
          <w:szCs w:val="22"/>
        </w:rPr>
        <w:t xml:space="preserve">Given the small size of the universe of STEM Challenge participating students and sites, a sampling strategy will not be employed. </w:t>
      </w:r>
    </w:p>
    <w:p w:rsidR="00AF6714" w:rsidRPr="00755AA4" w:rsidRDefault="00AF6714" w:rsidP="004F7E04">
      <w:pPr>
        <w:rPr>
          <w:szCs w:val="22"/>
        </w:rPr>
      </w:pPr>
    </w:p>
    <w:p w:rsidR="00B50EAC" w:rsidRPr="00755AA4" w:rsidRDefault="00B50EAC" w:rsidP="00B50EAC">
      <w:r w:rsidRPr="00755AA4">
        <w:rPr>
          <w:b/>
        </w:rPr>
        <w:t xml:space="preserve">Response Rates. </w:t>
      </w:r>
      <w:r w:rsidRPr="00755AA4">
        <w:t xml:space="preserve">In determining the sample size for the study, we incorporated assumptions about response rates and attrition at different stages of data collection. Specifically, our calculations assumed a youth survey response rate of 80% at baseline and an attrition rate of 48% (or, a follow-up response rate </w:t>
      </w:r>
      <w:r w:rsidRPr="00755AA4">
        <w:lastRenderedPageBreak/>
        <w:t xml:space="preserve">of 52%) between baseline and follow-up youth survey, for an unconditional response rate of 42%. </w:t>
      </w:r>
      <w:r w:rsidRPr="00755AA4">
        <w:rPr>
          <w:szCs w:val="22"/>
        </w:rPr>
        <w:t xml:space="preserve">We relied on </w:t>
      </w:r>
      <w:r w:rsidR="00A91072">
        <w:rPr>
          <w:szCs w:val="22"/>
        </w:rPr>
        <w:t xml:space="preserve">response data from previous evaluation studies focused on out-of-school STEM with the middle school student population </w:t>
      </w:r>
      <w:r w:rsidRPr="00755AA4">
        <w:rPr>
          <w:szCs w:val="22"/>
        </w:rPr>
        <w:t xml:space="preserve">to </w:t>
      </w:r>
      <w:r w:rsidR="00A91072">
        <w:rPr>
          <w:szCs w:val="22"/>
        </w:rPr>
        <w:t xml:space="preserve">conservatively </w:t>
      </w:r>
      <w:r w:rsidRPr="00755AA4">
        <w:rPr>
          <w:szCs w:val="22"/>
        </w:rPr>
        <w:t>estimate a follow-up youth attrition rate of 48%.</w:t>
      </w:r>
      <w:r w:rsidR="00A91072">
        <w:rPr>
          <w:rStyle w:val="FootnoteReference"/>
          <w:szCs w:val="22"/>
        </w:rPr>
        <w:footnoteReference w:id="2"/>
      </w:r>
      <w:r w:rsidRPr="00755AA4">
        <w:rPr>
          <w:szCs w:val="22"/>
        </w:rPr>
        <w:t xml:space="preserve"> However, given the revised </w:t>
      </w:r>
      <w:r w:rsidRPr="00755AA4">
        <w:t>administration of instruments, the revised consent process, dedicated external evaluation team member, camp-level evaluation point of contact, and inclusion of all grade-eligible students at a camp, we may achieve a higher response rate than in the previous evaluation</w:t>
      </w:r>
      <w:r w:rsidR="002908D3">
        <w:t xml:space="preserve"> study</w:t>
      </w:r>
      <w:r w:rsidRPr="00755AA4">
        <w:t xml:space="preserve">. This attrition rate is higher than that supported by existing research evidence on response rates for </w:t>
      </w:r>
      <w:r w:rsidR="002908D3">
        <w:t>follow-up</w:t>
      </w:r>
      <w:r w:rsidRPr="00755AA4">
        <w:t xml:space="preserve"> youth surveys.</w:t>
      </w:r>
      <w:r w:rsidRPr="00755AA4">
        <w:rPr>
          <w:rStyle w:val="FootnoteReference"/>
          <w:szCs w:val="22"/>
        </w:rPr>
        <w:footnoteReference w:id="3"/>
      </w:r>
      <w:r w:rsidRPr="00755AA4">
        <w:t xml:space="preserve"> </w:t>
      </w:r>
    </w:p>
    <w:p w:rsidR="00194E3E" w:rsidRPr="00755AA4" w:rsidRDefault="00194E3E" w:rsidP="003D5473">
      <w:pPr>
        <w:tabs>
          <w:tab w:val="clear" w:pos="720"/>
          <w:tab w:val="clear" w:pos="1080"/>
          <w:tab w:val="clear" w:pos="1440"/>
          <w:tab w:val="clear" w:pos="1800"/>
        </w:tabs>
        <w:autoSpaceDE w:val="0"/>
        <w:autoSpaceDN w:val="0"/>
        <w:adjustRightInd w:val="0"/>
        <w:spacing w:line="240" w:lineRule="auto"/>
        <w:rPr>
          <w:szCs w:val="22"/>
        </w:rPr>
      </w:pPr>
    </w:p>
    <w:p w:rsidR="00194E3E" w:rsidRPr="00755AA4" w:rsidRDefault="002F0B93" w:rsidP="003D5473">
      <w:pPr>
        <w:tabs>
          <w:tab w:val="clear" w:pos="720"/>
          <w:tab w:val="clear" w:pos="1080"/>
          <w:tab w:val="clear" w:pos="1440"/>
          <w:tab w:val="clear" w:pos="1800"/>
        </w:tabs>
        <w:autoSpaceDE w:val="0"/>
        <w:autoSpaceDN w:val="0"/>
        <w:adjustRightInd w:val="0"/>
        <w:spacing w:line="240" w:lineRule="auto"/>
        <w:rPr>
          <w:szCs w:val="22"/>
        </w:rPr>
      </w:pPr>
      <w:r w:rsidRPr="00755AA4">
        <w:rPr>
          <w:szCs w:val="22"/>
        </w:rPr>
        <w:t>R</w:t>
      </w:r>
      <w:r w:rsidR="00194E3E" w:rsidRPr="00755AA4">
        <w:rPr>
          <w:szCs w:val="22"/>
        </w:rPr>
        <w:t xml:space="preserve">esponse rates will be </w:t>
      </w:r>
      <w:r w:rsidRPr="00755AA4">
        <w:rPr>
          <w:szCs w:val="22"/>
        </w:rPr>
        <w:t xml:space="preserve">further </w:t>
      </w:r>
      <w:r w:rsidR="00194E3E" w:rsidRPr="00755AA4">
        <w:rPr>
          <w:szCs w:val="22"/>
        </w:rPr>
        <w:t>addressed in section B.3.</w:t>
      </w:r>
    </w:p>
    <w:p w:rsidR="000129E6" w:rsidRPr="00755AA4" w:rsidRDefault="000129E6" w:rsidP="00E92C71">
      <w:pPr>
        <w:rPr>
          <w:rFonts w:eastAsia="Gulim"/>
          <w:b/>
          <w:szCs w:val="22"/>
        </w:rPr>
      </w:pPr>
    </w:p>
    <w:p w:rsidR="000129E6" w:rsidRPr="00755AA4" w:rsidRDefault="000129E6" w:rsidP="00E92C71">
      <w:pPr>
        <w:rPr>
          <w:rFonts w:eastAsia="Gulim"/>
          <w:b/>
          <w:szCs w:val="22"/>
        </w:rPr>
      </w:pPr>
    </w:p>
    <w:p w:rsidR="008D6A3C" w:rsidRPr="00755AA4" w:rsidRDefault="001467C1" w:rsidP="008D6A3C">
      <w:pPr>
        <w:pStyle w:val="Heading2"/>
      </w:pPr>
      <w:bookmarkStart w:id="9" w:name="_Toc197492640"/>
      <w:bookmarkStart w:id="10" w:name="_Toc339396396"/>
      <w:r w:rsidRPr="00755AA4">
        <w:t>B</w:t>
      </w:r>
      <w:r w:rsidR="004F386E" w:rsidRPr="00755AA4">
        <w:t>.</w:t>
      </w:r>
      <w:r w:rsidRPr="00755AA4">
        <w:t xml:space="preserve">2. </w:t>
      </w:r>
      <w:bookmarkEnd w:id="9"/>
      <w:bookmarkEnd w:id="10"/>
      <w:r w:rsidR="00B46E3A">
        <w:t xml:space="preserve">  </w:t>
      </w:r>
      <w:r w:rsidR="008D6A3C" w:rsidRPr="00755AA4">
        <w:t xml:space="preserve">DESCRIBE THE PROCEDURES FOR THE COLLECTION OF INFORMATION </w:t>
      </w:r>
    </w:p>
    <w:p w:rsidR="002908D3" w:rsidRDefault="002908D3" w:rsidP="00407C3D">
      <w:pPr>
        <w:pStyle w:val="BodyText"/>
        <w:spacing w:line="240" w:lineRule="auto"/>
        <w:rPr>
          <w:szCs w:val="22"/>
        </w:rPr>
      </w:pPr>
    </w:p>
    <w:p w:rsidR="00EF069F" w:rsidRPr="00755AA4" w:rsidRDefault="00D34DC0" w:rsidP="00407C3D">
      <w:pPr>
        <w:pStyle w:val="BodyText"/>
        <w:spacing w:line="240" w:lineRule="auto"/>
        <w:rPr>
          <w:szCs w:val="22"/>
        </w:rPr>
      </w:pPr>
      <w:r w:rsidRPr="00755AA4">
        <w:rPr>
          <w:szCs w:val="22"/>
        </w:rPr>
        <w:t xml:space="preserve">The data collection procedures and instruments were designed </w:t>
      </w:r>
      <w:r w:rsidR="00EA4633" w:rsidRPr="00755AA4">
        <w:rPr>
          <w:szCs w:val="22"/>
        </w:rPr>
        <w:t>to</w:t>
      </w:r>
      <w:r w:rsidR="002A7698" w:rsidRPr="00755AA4">
        <w:rPr>
          <w:szCs w:val="22"/>
        </w:rPr>
        <w:t xml:space="preserve"> investigate </w:t>
      </w:r>
      <w:r w:rsidR="002947E5" w:rsidRPr="00755AA4">
        <w:rPr>
          <w:szCs w:val="22"/>
        </w:rPr>
        <w:t>youth</w:t>
      </w:r>
      <w:r w:rsidR="002A7698" w:rsidRPr="00755AA4">
        <w:rPr>
          <w:szCs w:val="22"/>
        </w:rPr>
        <w:t xml:space="preserve">-related outcomes. </w:t>
      </w:r>
      <w:r w:rsidRPr="00755AA4">
        <w:rPr>
          <w:szCs w:val="22"/>
        </w:rPr>
        <w:t>E</w:t>
      </w:r>
      <w:r w:rsidR="00EA4633" w:rsidRPr="00755AA4">
        <w:rPr>
          <w:szCs w:val="22"/>
        </w:rPr>
        <w:t>xhibit 1</w:t>
      </w:r>
      <w:r w:rsidR="00407C3D" w:rsidRPr="00755AA4">
        <w:rPr>
          <w:szCs w:val="22"/>
        </w:rPr>
        <w:t xml:space="preserve"> in section B.1</w:t>
      </w:r>
      <w:r w:rsidRPr="00755AA4">
        <w:rPr>
          <w:szCs w:val="22"/>
        </w:rPr>
        <w:t xml:space="preserve"> outlines the data collection schedule </w:t>
      </w:r>
      <w:r w:rsidR="002947E5" w:rsidRPr="00755AA4">
        <w:rPr>
          <w:szCs w:val="22"/>
        </w:rPr>
        <w:t xml:space="preserve">to be implemented in the </w:t>
      </w:r>
      <w:r w:rsidR="0031589A">
        <w:rPr>
          <w:szCs w:val="22"/>
        </w:rPr>
        <w:t>2016</w:t>
      </w:r>
      <w:r w:rsidRPr="00755AA4">
        <w:rPr>
          <w:szCs w:val="22"/>
        </w:rPr>
        <w:t xml:space="preserve"> </w:t>
      </w:r>
      <w:r w:rsidR="0031589A">
        <w:rPr>
          <w:szCs w:val="22"/>
        </w:rPr>
        <w:t>STEM Challenges</w:t>
      </w:r>
      <w:r w:rsidRPr="00755AA4">
        <w:rPr>
          <w:szCs w:val="22"/>
        </w:rPr>
        <w:t xml:space="preserve"> evaluation.</w:t>
      </w:r>
      <w:r w:rsidR="00407C3D" w:rsidRPr="00755AA4">
        <w:rPr>
          <w:szCs w:val="22"/>
        </w:rPr>
        <w:t xml:space="preserve"> </w:t>
      </w:r>
    </w:p>
    <w:p w:rsidR="00B93EB9" w:rsidRPr="00755AA4" w:rsidRDefault="00B93EB9" w:rsidP="00B93EB9">
      <w:pPr>
        <w:rPr>
          <w:rFonts w:eastAsia="Gulim"/>
        </w:rPr>
      </w:pPr>
      <w:r w:rsidRPr="00755AA4">
        <w:rPr>
          <w:rFonts w:eastAsia="Gulim"/>
        </w:rPr>
        <w:t>This data collection will not be using any statistical methodology for stratification</w:t>
      </w:r>
      <w:r w:rsidR="00407C3D" w:rsidRPr="00755AA4">
        <w:rPr>
          <w:rFonts w:eastAsia="Gulim"/>
        </w:rPr>
        <w:t>, estimation procedures,</w:t>
      </w:r>
      <w:r w:rsidRPr="00755AA4">
        <w:rPr>
          <w:rFonts w:eastAsia="Gulim"/>
        </w:rPr>
        <w:t xml:space="preserve"> and sample selection because the youth surveys will be administered to </w:t>
      </w:r>
      <w:r w:rsidR="0014323D" w:rsidRPr="00755AA4">
        <w:rPr>
          <w:rFonts w:eastAsia="Gulim"/>
        </w:rPr>
        <w:t>all</w:t>
      </w:r>
      <w:r w:rsidRPr="00755AA4">
        <w:rPr>
          <w:rFonts w:eastAsia="Gulim"/>
        </w:rPr>
        <w:t xml:space="preserve"> participants</w:t>
      </w:r>
      <w:r w:rsidR="00E1608C" w:rsidRPr="00755AA4">
        <w:rPr>
          <w:rFonts w:eastAsia="Gulim"/>
        </w:rPr>
        <w:t xml:space="preserve">. </w:t>
      </w:r>
      <w:r w:rsidRPr="00755AA4">
        <w:rPr>
          <w:rFonts w:eastAsia="Gulim"/>
        </w:rPr>
        <w:t xml:space="preserve">What follows below is a summary of procedures for the collection of information. </w:t>
      </w:r>
    </w:p>
    <w:p w:rsidR="00D34DC0" w:rsidRPr="00755AA4" w:rsidRDefault="00D34DC0" w:rsidP="00025E13">
      <w:pPr>
        <w:rPr>
          <w:b/>
          <w:sz w:val="20"/>
        </w:rPr>
      </w:pPr>
    </w:p>
    <w:p w:rsidR="00243F81" w:rsidRPr="00755AA4" w:rsidRDefault="00E1608C" w:rsidP="009B33F8">
      <w:r w:rsidRPr="00755AA4">
        <w:rPr>
          <w:b/>
          <w:i/>
          <w:szCs w:val="22"/>
        </w:rPr>
        <w:t xml:space="preserve">Surveys: </w:t>
      </w:r>
      <w:r w:rsidR="00B52623" w:rsidRPr="00755AA4">
        <w:rPr>
          <w:b/>
          <w:i/>
          <w:szCs w:val="22"/>
        </w:rPr>
        <w:t>Procedures for Data Collection</w:t>
      </w:r>
      <w:r w:rsidR="00407C3D" w:rsidRPr="00755AA4">
        <w:rPr>
          <w:b/>
          <w:i/>
          <w:szCs w:val="22"/>
        </w:rPr>
        <w:t xml:space="preserve">. </w:t>
      </w:r>
      <w:r w:rsidR="009B33F8" w:rsidRPr="00755AA4">
        <w:t xml:space="preserve">Prior to the start of the summer program, the </w:t>
      </w:r>
      <w:r w:rsidR="00F953F5" w:rsidRPr="00755AA4">
        <w:t>extern</w:t>
      </w:r>
      <w:r w:rsidR="009B33F8" w:rsidRPr="00755AA4">
        <w:t>al evaluator will obtain Institutional Review Board (IRB) approval for</w:t>
      </w:r>
      <w:r w:rsidR="0031589A">
        <w:t xml:space="preserve"> the modifications to the FY2016</w:t>
      </w:r>
      <w:r w:rsidR="009B33F8" w:rsidRPr="00755AA4">
        <w:t xml:space="preserve"> study design and instruments. NASA </w:t>
      </w:r>
      <w:r w:rsidR="00F953F5" w:rsidRPr="00755AA4">
        <w:t>has</w:t>
      </w:r>
      <w:r w:rsidR="009B33F8" w:rsidRPr="00755AA4">
        <w:t xml:space="preserve"> consult</w:t>
      </w:r>
      <w:r w:rsidR="00F953F5" w:rsidRPr="00755AA4">
        <w:t xml:space="preserve">ed with </w:t>
      </w:r>
      <w:r w:rsidR="0031589A">
        <w:t>sites</w:t>
      </w:r>
      <w:r w:rsidR="00F953F5" w:rsidRPr="00755AA4">
        <w:t xml:space="preserve"> and </w:t>
      </w:r>
      <w:r w:rsidR="0031589A">
        <w:t xml:space="preserve">the external evaluator </w:t>
      </w:r>
      <w:r w:rsidR="00F953F5" w:rsidRPr="00755AA4">
        <w:t>and mad</w:t>
      </w:r>
      <w:r w:rsidR="009B33F8" w:rsidRPr="00755AA4">
        <w:t xml:space="preserve">e decisions collaboratively regarding the most appropriate data collection strategies. </w:t>
      </w:r>
      <w:r w:rsidR="00243F81" w:rsidRPr="00755AA4">
        <w:t>Specifically, NASA discuss</w:t>
      </w:r>
      <w:r w:rsidR="00F953F5" w:rsidRPr="00755AA4">
        <w:t>ed</w:t>
      </w:r>
      <w:r w:rsidR="00243F81" w:rsidRPr="00755AA4">
        <w:t xml:space="preserve"> the following data collection strategies:</w:t>
      </w:r>
    </w:p>
    <w:p w:rsidR="00243F81" w:rsidRPr="00755AA4" w:rsidRDefault="00243F81" w:rsidP="009B33F8"/>
    <w:p w:rsidR="00243F81" w:rsidRPr="00755AA4" w:rsidRDefault="00243F81" w:rsidP="005C27D2">
      <w:pPr>
        <w:pStyle w:val="ListParagraph"/>
        <w:numPr>
          <w:ilvl w:val="0"/>
          <w:numId w:val="3"/>
        </w:numPr>
        <w:rPr>
          <w:i/>
        </w:rPr>
      </w:pPr>
      <w:r w:rsidRPr="00755AA4">
        <w:rPr>
          <w:i/>
        </w:rPr>
        <w:t xml:space="preserve">Timing of administration of baseline student survey. </w:t>
      </w:r>
      <w:r w:rsidRPr="00755AA4">
        <w:t xml:space="preserve">In past SoI evaluations, the baseline student survey had been administered during the </w:t>
      </w:r>
      <w:r w:rsidR="00732E0B" w:rsidRPr="00755AA4">
        <w:t>first morning of the summer camp. While this approach has generally produced a strong response rate provided the paper surveys were delivered to the awardee</w:t>
      </w:r>
      <w:r w:rsidR="002E5CD0" w:rsidRPr="00755AA4">
        <w:t>/center</w:t>
      </w:r>
      <w:r w:rsidR="00732E0B" w:rsidRPr="00755AA4">
        <w:t xml:space="preserve"> in sufficient time for administration, </w:t>
      </w:r>
      <w:r w:rsidR="00930BC7" w:rsidRPr="00755AA4">
        <w:t xml:space="preserve">there can be greater variability in response since the </w:t>
      </w:r>
      <w:r w:rsidR="0031589A">
        <w:t>site</w:t>
      </w:r>
      <w:r w:rsidR="00930BC7" w:rsidRPr="00755AA4">
        <w:t xml:space="preserve"> instructors </w:t>
      </w:r>
      <w:r w:rsidR="00447AC9" w:rsidRPr="00755AA4">
        <w:t xml:space="preserve">are responsible for </w:t>
      </w:r>
      <w:r w:rsidR="00930BC7" w:rsidRPr="00755AA4">
        <w:t>administer</w:t>
      </w:r>
      <w:r w:rsidR="00447AC9" w:rsidRPr="00755AA4">
        <w:t>ing</w:t>
      </w:r>
      <w:r w:rsidR="00930BC7" w:rsidRPr="00755AA4">
        <w:t xml:space="preserve"> the survey. </w:t>
      </w:r>
      <w:r w:rsidR="006A52AC" w:rsidRPr="00755AA4">
        <w:t>OMB had</w:t>
      </w:r>
      <w:r w:rsidR="00732E0B" w:rsidRPr="00755AA4">
        <w:t xml:space="preserve"> recommended the administration of the baseline survey </w:t>
      </w:r>
      <w:r w:rsidR="00930BC7" w:rsidRPr="00755AA4">
        <w:t xml:space="preserve">at the time of registration, with the survey (or survey link) given to the </w:t>
      </w:r>
      <w:r w:rsidR="006A52AC" w:rsidRPr="00755AA4">
        <w:t xml:space="preserve">parent/caregiver. </w:t>
      </w:r>
      <w:r w:rsidR="00447AC9" w:rsidRPr="00755AA4">
        <w:t xml:space="preserve">However, it also potentially widens the time period of administration from one week to several months and places burden on camp administrators and instructors to follow up with individual students who may not have responded on the first day of camp. </w:t>
      </w:r>
      <w:r w:rsidR="00930BC7" w:rsidRPr="00755AA4">
        <w:t xml:space="preserve">NASA </w:t>
      </w:r>
      <w:r w:rsidR="006A52AC" w:rsidRPr="00755AA4">
        <w:t xml:space="preserve">met </w:t>
      </w:r>
      <w:r w:rsidR="00930BC7" w:rsidRPr="00755AA4">
        <w:t xml:space="preserve">with the </w:t>
      </w:r>
      <w:r w:rsidR="00447AC9" w:rsidRPr="00755AA4">
        <w:t xml:space="preserve">external evaluator and the </w:t>
      </w:r>
      <w:r w:rsidR="00930BC7" w:rsidRPr="00755AA4">
        <w:t xml:space="preserve">participating </w:t>
      </w:r>
      <w:r w:rsidR="0031589A">
        <w:t xml:space="preserve">SoI </w:t>
      </w:r>
      <w:r w:rsidR="00930BC7" w:rsidRPr="00755AA4">
        <w:t xml:space="preserve">awardees to fully discuss the pros and cons of </w:t>
      </w:r>
      <w:r w:rsidR="00447AC9" w:rsidRPr="00755AA4">
        <w:t>the baseline student survey timing</w:t>
      </w:r>
      <w:r w:rsidR="006A52AC" w:rsidRPr="00755AA4">
        <w:t xml:space="preserve">. </w:t>
      </w:r>
      <w:r w:rsidR="001E7794" w:rsidRPr="00755AA4">
        <w:t xml:space="preserve">Following this consultation, NASA made the decision to administer the youth surveys on the </w:t>
      </w:r>
      <w:r w:rsidR="006A52AC" w:rsidRPr="00755AA4">
        <w:t xml:space="preserve">first day of camp. The primary reason given for this choice is the stronger level of control the camp administrators have to ensure youth complete the surveys. </w:t>
      </w:r>
      <w:r w:rsidR="001E7794" w:rsidRPr="00755AA4">
        <w:t xml:space="preserve">NASA will continue to work closely with </w:t>
      </w:r>
      <w:r w:rsidR="0031589A">
        <w:t>STEM challenges sites</w:t>
      </w:r>
      <w:r w:rsidR="001E7794" w:rsidRPr="00755AA4">
        <w:t xml:space="preserve"> to ensure that response rates on the baseline student survey are high. </w:t>
      </w:r>
    </w:p>
    <w:p w:rsidR="007D7491" w:rsidRPr="00755AA4" w:rsidRDefault="007D7491" w:rsidP="007D7491">
      <w:pPr>
        <w:pStyle w:val="ListParagraph"/>
        <w:rPr>
          <w:i/>
        </w:rPr>
      </w:pPr>
    </w:p>
    <w:p w:rsidR="00243F81" w:rsidRPr="00755AA4" w:rsidRDefault="004B6866" w:rsidP="005C27D2">
      <w:pPr>
        <w:pStyle w:val="ListParagraph"/>
        <w:numPr>
          <w:ilvl w:val="0"/>
          <w:numId w:val="3"/>
        </w:numPr>
        <w:rPr>
          <w:i/>
        </w:rPr>
      </w:pPr>
      <w:r w:rsidRPr="00755AA4">
        <w:rPr>
          <w:i/>
        </w:rPr>
        <w:t xml:space="preserve">Mode of administration for the </w:t>
      </w:r>
      <w:r w:rsidR="00C2597D" w:rsidRPr="00755AA4">
        <w:rPr>
          <w:i/>
        </w:rPr>
        <w:t>youth surv</w:t>
      </w:r>
      <w:r w:rsidRPr="00755AA4">
        <w:rPr>
          <w:i/>
        </w:rPr>
        <w:t>ey</w:t>
      </w:r>
      <w:r w:rsidR="0031589A">
        <w:rPr>
          <w:i/>
        </w:rPr>
        <w:t>s</w:t>
      </w:r>
      <w:r w:rsidRPr="00755AA4">
        <w:rPr>
          <w:i/>
        </w:rPr>
        <w:t xml:space="preserve">. </w:t>
      </w:r>
      <w:r w:rsidR="0031589A">
        <w:t xml:space="preserve">In the most recent evaluation cycle, a small number of sites </w:t>
      </w:r>
      <w:r w:rsidR="001E7794" w:rsidRPr="00755AA4">
        <w:t xml:space="preserve">requested a paper-based survey </w:t>
      </w:r>
      <w:r w:rsidR="0031589A">
        <w:t xml:space="preserve">since access to a computer lab was not possible. </w:t>
      </w:r>
      <w:r w:rsidR="007D7491" w:rsidRPr="00755AA4">
        <w:t xml:space="preserve">Although there is a chance that mode effects may influence survey responses, NASA and its external evaluator believe that providing awardees with a survey administration mode (online vs. paper) that </w:t>
      </w:r>
      <w:r w:rsidR="0031589A">
        <w:t>works within their setting</w:t>
      </w:r>
      <w:r w:rsidR="007D7491" w:rsidRPr="00755AA4">
        <w:t xml:space="preserve"> will improve the response rates. </w:t>
      </w:r>
    </w:p>
    <w:p w:rsidR="00CC3E28" w:rsidRPr="00755AA4" w:rsidRDefault="00CC3E28" w:rsidP="00CC3E28">
      <w:pPr>
        <w:rPr>
          <w:i/>
        </w:rPr>
      </w:pPr>
    </w:p>
    <w:p w:rsidR="009B33F8" w:rsidRPr="00755AA4" w:rsidRDefault="009B33F8" w:rsidP="009B33F8">
      <w:pPr>
        <w:rPr>
          <w:szCs w:val="22"/>
        </w:rPr>
      </w:pPr>
      <w:r w:rsidRPr="00755AA4">
        <w:t>Following these decisions, the external evaluator</w:t>
      </w:r>
      <w:r w:rsidR="007B3D9C" w:rsidRPr="00755AA4">
        <w:t xml:space="preserve">, </w:t>
      </w:r>
      <w:r w:rsidR="007B3D9C" w:rsidRPr="00755AA4">
        <w:rPr>
          <w:szCs w:val="22"/>
        </w:rPr>
        <w:t xml:space="preserve">working under the oversight of the NASA Headquarters Evaluation Manager, </w:t>
      </w:r>
      <w:r w:rsidRPr="00755AA4">
        <w:t xml:space="preserve">will provide training to </w:t>
      </w:r>
      <w:r w:rsidR="0031589A">
        <w:t xml:space="preserve">site </w:t>
      </w:r>
      <w:r w:rsidR="002E5CD0" w:rsidRPr="00755AA4">
        <w:t>points of contact</w:t>
      </w:r>
      <w:r w:rsidR="003603AA" w:rsidRPr="00755AA4">
        <w:rPr>
          <w:rStyle w:val="FootnoteReference"/>
        </w:rPr>
        <w:footnoteReference w:id="4"/>
      </w:r>
      <w:r w:rsidRPr="00755AA4">
        <w:t xml:space="preserve"> to ensure rigorous and systematic data collection procedures. Throughout the program, the </w:t>
      </w:r>
      <w:r w:rsidR="00A062CA" w:rsidRPr="00755AA4">
        <w:t>extern</w:t>
      </w:r>
      <w:r w:rsidRPr="00755AA4">
        <w:t>al eva</w:t>
      </w:r>
      <w:r w:rsidR="002E5CD0" w:rsidRPr="00755AA4">
        <w:t>luator will support the awardees and camps</w:t>
      </w:r>
      <w:r w:rsidRPr="00755AA4">
        <w:t xml:space="preserve"> in their data collection efforts</w:t>
      </w:r>
      <w:r w:rsidRPr="00755AA4">
        <w:rPr>
          <w:szCs w:val="22"/>
        </w:rPr>
        <w:t xml:space="preserve">.  Evaluation guidance will be provided </w:t>
      </w:r>
      <w:r w:rsidR="007B3D9C" w:rsidRPr="00755AA4">
        <w:rPr>
          <w:szCs w:val="22"/>
        </w:rPr>
        <w:t xml:space="preserve">by the external evaluator </w:t>
      </w:r>
      <w:r w:rsidRPr="00755AA4">
        <w:rPr>
          <w:szCs w:val="22"/>
        </w:rPr>
        <w:t xml:space="preserve">to awardees in the form of a comprehensive </w:t>
      </w:r>
      <w:r w:rsidR="002E5CD0" w:rsidRPr="00755AA4">
        <w:rPr>
          <w:szCs w:val="22"/>
        </w:rPr>
        <w:t xml:space="preserve">evaluation manual </w:t>
      </w:r>
      <w:r w:rsidRPr="00755AA4">
        <w:rPr>
          <w:szCs w:val="22"/>
        </w:rPr>
        <w:t xml:space="preserve">available online and in hardcopy. </w:t>
      </w:r>
    </w:p>
    <w:p w:rsidR="000B4370" w:rsidRPr="00755AA4" w:rsidRDefault="000B4370" w:rsidP="009B33F8">
      <w:pPr>
        <w:rPr>
          <w:szCs w:val="22"/>
        </w:rPr>
      </w:pPr>
    </w:p>
    <w:p w:rsidR="00025E13" w:rsidRPr="00755AA4" w:rsidRDefault="00025E13" w:rsidP="009B33F8">
      <w:pPr>
        <w:keepNext/>
        <w:keepLines/>
        <w:widowControl w:val="0"/>
        <w:rPr>
          <w:b/>
          <w:i/>
          <w:szCs w:val="22"/>
        </w:rPr>
      </w:pPr>
      <w:r w:rsidRPr="00755AA4">
        <w:rPr>
          <w:b/>
          <w:i/>
          <w:szCs w:val="22"/>
        </w:rPr>
        <w:t xml:space="preserve">Baseline </w:t>
      </w:r>
      <w:r w:rsidR="00BA5BCA" w:rsidRPr="00755AA4">
        <w:rPr>
          <w:b/>
          <w:i/>
          <w:szCs w:val="22"/>
        </w:rPr>
        <w:t xml:space="preserve">and Follow-Up </w:t>
      </w:r>
      <w:r w:rsidR="002774AD" w:rsidRPr="00755AA4">
        <w:rPr>
          <w:b/>
          <w:i/>
          <w:szCs w:val="22"/>
        </w:rPr>
        <w:t>Youth</w:t>
      </w:r>
      <w:r w:rsidRPr="00755AA4">
        <w:rPr>
          <w:b/>
          <w:i/>
          <w:szCs w:val="22"/>
        </w:rPr>
        <w:t xml:space="preserve"> Surveys</w:t>
      </w:r>
    </w:p>
    <w:p w:rsidR="00B52623" w:rsidRPr="00755AA4" w:rsidRDefault="00B52623" w:rsidP="009B33F8">
      <w:pPr>
        <w:keepNext/>
        <w:keepLines/>
        <w:widowControl w:val="0"/>
        <w:rPr>
          <w:b/>
          <w:sz w:val="20"/>
        </w:rPr>
      </w:pPr>
    </w:p>
    <w:p w:rsidR="00593E49" w:rsidRPr="00755AA4" w:rsidRDefault="005714B9" w:rsidP="00DB3B7F">
      <w:pPr>
        <w:pStyle w:val="PlainText"/>
        <w:spacing w:line="264" w:lineRule="auto"/>
        <w:rPr>
          <w:rFonts w:ascii="Times New Roman" w:hAnsi="Times New Roman"/>
          <w:szCs w:val="22"/>
        </w:rPr>
      </w:pPr>
      <w:r w:rsidRPr="00755AA4">
        <w:rPr>
          <w:rFonts w:ascii="Times New Roman" w:hAnsi="Times New Roman"/>
          <w:szCs w:val="22"/>
        </w:rPr>
        <w:t>As discussed earlier, t</w:t>
      </w:r>
      <w:r w:rsidR="00897CD1" w:rsidRPr="00755AA4">
        <w:rPr>
          <w:rFonts w:ascii="Times New Roman" w:hAnsi="Times New Roman"/>
          <w:szCs w:val="22"/>
        </w:rPr>
        <w:t xml:space="preserve">he baseline youth survey form </w:t>
      </w:r>
      <w:r w:rsidR="00DB3B7F" w:rsidRPr="00755AA4">
        <w:rPr>
          <w:rFonts w:ascii="Times New Roman" w:hAnsi="Times New Roman"/>
          <w:szCs w:val="22"/>
        </w:rPr>
        <w:t>will be</w:t>
      </w:r>
      <w:r w:rsidR="00897CD1" w:rsidRPr="00755AA4">
        <w:rPr>
          <w:rFonts w:ascii="Times New Roman" w:hAnsi="Times New Roman"/>
          <w:szCs w:val="22"/>
        </w:rPr>
        <w:t xml:space="preserve"> available in </w:t>
      </w:r>
      <w:r w:rsidR="00DB3B7F" w:rsidRPr="00755AA4">
        <w:rPr>
          <w:rFonts w:ascii="Times New Roman" w:hAnsi="Times New Roman"/>
          <w:szCs w:val="22"/>
        </w:rPr>
        <w:t xml:space="preserve">paper </w:t>
      </w:r>
      <w:r w:rsidR="0031589A">
        <w:rPr>
          <w:rFonts w:ascii="Times New Roman" w:hAnsi="Times New Roman"/>
          <w:szCs w:val="22"/>
        </w:rPr>
        <w:t xml:space="preserve">and online </w:t>
      </w:r>
      <w:r w:rsidR="00897CD1" w:rsidRPr="00755AA4">
        <w:rPr>
          <w:rFonts w:ascii="Times New Roman" w:hAnsi="Times New Roman"/>
          <w:szCs w:val="22"/>
        </w:rPr>
        <w:t>format</w:t>
      </w:r>
      <w:r w:rsidR="0031589A">
        <w:rPr>
          <w:rFonts w:ascii="Times New Roman" w:hAnsi="Times New Roman"/>
          <w:szCs w:val="22"/>
        </w:rPr>
        <w:t>s</w:t>
      </w:r>
      <w:r w:rsidR="00DB3B7F" w:rsidRPr="00755AA4">
        <w:rPr>
          <w:rFonts w:ascii="Times New Roman" w:hAnsi="Times New Roman"/>
          <w:szCs w:val="22"/>
        </w:rPr>
        <w:t xml:space="preserve">. The survey will be administered </w:t>
      </w:r>
      <w:r w:rsidR="00FA030C" w:rsidRPr="00755AA4">
        <w:rPr>
          <w:rFonts w:ascii="Times New Roman" w:hAnsi="Times New Roman"/>
          <w:szCs w:val="22"/>
        </w:rPr>
        <w:t xml:space="preserve">by </w:t>
      </w:r>
      <w:r w:rsidR="0031589A">
        <w:rPr>
          <w:rFonts w:ascii="Times New Roman" w:hAnsi="Times New Roman"/>
          <w:szCs w:val="22"/>
        </w:rPr>
        <w:t>site</w:t>
      </w:r>
      <w:r w:rsidR="00FA030C" w:rsidRPr="00755AA4">
        <w:rPr>
          <w:rFonts w:ascii="Times New Roman" w:hAnsi="Times New Roman"/>
          <w:szCs w:val="22"/>
        </w:rPr>
        <w:t xml:space="preserve"> instructors </w:t>
      </w:r>
      <w:r w:rsidR="00DB3B7F" w:rsidRPr="00755AA4">
        <w:rPr>
          <w:rFonts w:ascii="Times New Roman" w:hAnsi="Times New Roman"/>
          <w:szCs w:val="22"/>
        </w:rPr>
        <w:t xml:space="preserve">to all youth meeting grade level </w:t>
      </w:r>
      <w:r w:rsidR="0031589A">
        <w:rPr>
          <w:rFonts w:ascii="Times New Roman" w:hAnsi="Times New Roman"/>
          <w:szCs w:val="22"/>
        </w:rPr>
        <w:t xml:space="preserve">and participation </w:t>
      </w:r>
      <w:r w:rsidR="00DB3B7F" w:rsidRPr="00755AA4">
        <w:rPr>
          <w:rFonts w:ascii="Times New Roman" w:hAnsi="Times New Roman"/>
          <w:szCs w:val="22"/>
        </w:rPr>
        <w:t>requirement</w:t>
      </w:r>
      <w:r w:rsidR="0031589A">
        <w:rPr>
          <w:rFonts w:ascii="Times New Roman" w:hAnsi="Times New Roman"/>
          <w:szCs w:val="22"/>
        </w:rPr>
        <w:t>s</w:t>
      </w:r>
      <w:r w:rsidR="00DB3B7F" w:rsidRPr="00755AA4">
        <w:rPr>
          <w:rFonts w:ascii="Times New Roman" w:hAnsi="Times New Roman"/>
          <w:szCs w:val="22"/>
        </w:rPr>
        <w:t xml:space="preserve"> in </w:t>
      </w:r>
      <w:r w:rsidR="0031589A">
        <w:rPr>
          <w:rFonts w:ascii="Times New Roman" w:hAnsi="Times New Roman"/>
          <w:szCs w:val="22"/>
        </w:rPr>
        <w:t>participating sites d</w:t>
      </w:r>
      <w:r w:rsidR="00DB3B7F" w:rsidRPr="00755AA4">
        <w:rPr>
          <w:rFonts w:ascii="Times New Roman" w:hAnsi="Times New Roman"/>
          <w:szCs w:val="22"/>
        </w:rPr>
        <w:t xml:space="preserve">uring the first day of the </w:t>
      </w:r>
      <w:r w:rsidR="0031589A">
        <w:rPr>
          <w:rFonts w:ascii="Times New Roman" w:hAnsi="Times New Roman"/>
          <w:szCs w:val="22"/>
        </w:rPr>
        <w:t>STEM challenge</w:t>
      </w:r>
      <w:r w:rsidR="00DB3B7F" w:rsidRPr="00755AA4">
        <w:rPr>
          <w:rFonts w:ascii="Times New Roman" w:hAnsi="Times New Roman"/>
          <w:szCs w:val="22"/>
        </w:rPr>
        <w:t xml:space="preserve">. </w:t>
      </w:r>
      <w:r w:rsidR="00FA030C" w:rsidRPr="00755AA4">
        <w:rPr>
          <w:rFonts w:ascii="Times New Roman" w:hAnsi="Times New Roman"/>
          <w:szCs w:val="22"/>
        </w:rPr>
        <w:t xml:space="preserve">An evaluation point of contact at </w:t>
      </w:r>
      <w:r w:rsidR="0031589A">
        <w:rPr>
          <w:rFonts w:ascii="Times New Roman" w:hAnsi="Times New Roman"/>
          <w:szCs w:val="22"/>
        </w:rPr>
        <w:t>each site w</w:t>
      </w:r>
      <w:r w:rsidR="00FA030C" w:rsidRPr="00755AA4">
        <w:rPr>
          <w:rFonts w:ascii="Times New Roman" w:hAnsi="Times New Roman"/>
          <w:szCs w:val="22"/>
        </w:rPr>
        <w:t xml:space="preserve">ill hold responsibility for ensuring administration and collection of the baseline </w:t>
      </w:r>
      <w:r w:rsidR="0031589A">
        <w:rPr>
          <w:rFonts w:ascii="Times New Roman" w:hAnsi="Times New Roman"/>
          <w:szCs w:val="22"/>
        </w:rPr>
        <w:t xml:space="preserve">and follow-up </w:t>
      </w:r>
      <w:r w:rsidR="00FA030C" w:rsidRPr="00755AA4">
        <w:rPr>
          <w:rFonts w:ascii="Times New Roman" w:hAnsi="Times New Roman"/>
          <w:szCs w:val="22"/>
        </w:rPr>
        <w:t xml:space="preserve">youth surveys. </w:t>
      </w:r>
      <w:r w:rsidR="00DB3B7F" w:rsidRPr="00755AA4">
        <w:rPr>
          <w:rFonts w:ascii="Times New Roman" w:hAnsi="Times New Roman"/>
          <w:szCs w:val="22"/>
        </w:rPr>
        <w:t xml:space="preserve">Paper survey forms will be returned to the external evaluator for safe-keeping and data entry. </w:t>
      </w:r>
    </w:p>
    <w:p w:rsidR="002C7D2F" w:rsidRPr="00755AA4" w:rsidRDefault="002C7D2F" w:rsidP="00DB3B7F">
      <w:pPr>
        <w:pStyle w:val="PlainText"/>
        <w:spacing w:line="264" w:lineRule="auto"/>
        <w:rPr>
          <w:rFonts w:ascii="Times New Roman" w:hAnsi="Times New Roman"/>
          <w:szCs w:val="22"/>
        </w:rPr>
      </w:pPr>
    </w:p>
    <w:p w:rsidR="00E1608C" w:rsidRPr="00755AA4" w:rsidRDefault="006C4DE9" w:rsidP="00E1608C">
      <w:r w:rsidRPr="00755AA4">
        <w:t xml:space="preserve">The external evaluator will conduct analyses to provide descriptive statistics (e.g., proportions and averages) of student data across all </w:t>
      </w:r>
      <w:r w:rsidR="0031589A">
        <w:t>site</w:t>
      </w:r>
      <w:r w:rsidRPr="00755AA4">
        <w:t xml:space="preserve">s. In addition, the external evaluator will provide descriptions of change in a variable over time by comparing baseline with follow-up survey results. </w:t>
      </w:r>
      <w:r w:rsidR="00E1608C" w:rsidRPr="00755AA4">
        <w:t>S</w:t>
      </w:r>
      <w:r w:rsidRPr="00755AA4">
        <w:t xml:space="preserve">tatistical tests </w:t>
      </w:r>
      <w:r w:rsidR="00E1608C" w:rsidRPr="00755AA4">
        <w:t xml:space="preserve">will be run </w:t>
      </w:r>
      <w:r w:rsidRPr="00755AA4">
        <w:t>to assess</w:t>
      </w:r>
      <w:r w:rsidR="00E1608C" w:rsidRPr="00755AA4">
        <w:t xml:space="preserve"> </w:t>
      </w:r>
      <w:r w:rsidRPr="00755AA4">
        <w:t xml:space="preserve">whether the difference in proportions and/or means between two time points is zero. </w:t>
      </w:r>
      <w:r w:rsidR="00E1608C" w:rsidRPr="00755AA4">
        <w:t xml:space="preserve">To do so, the evaluator will use a McNemar test or paired t-test, depending on the distribution of the outcome variables. </w:t>
      </w:r>
      <w:r w:rsidRPr="00755AA4">
        <w:t>Further, survey</w:t>
      </w:r>
      <w:r w:rsidR="00E1608C" w:rsidRPr="00755AA4">
        <w:t xml:space="preserve"> </w:t>
      </w:r>
      <w:r w:rsidRPr="00755AA4">
        <w:t>data will also be integrated with the quantitative implementation data to conduct correlational</w:t>
      </w:r>
      <w:r w:rsidR="00E1608C" w:rsidRPr="00755AA4">
        <w:t xml:space="preserve"> </w:t>
      </w:r>
      <w:r w:rsidRPr="00755AA4">
        <w:t xml:space="preserve">analyses on </w:t>
      </w:r>
      <w:r w:rsidR="0031589A">
        <w:t>site</w:t>
      </w:r>
      <w:r w:rsidRPr="00755AA4">
        <w:t xml:space="preserve"> characteristics and program quality and student attitudes and behaviors.</w:t>
      </w:r>
    </w:p>
    <w:p w:rsidR="00E1608C" w:rsidRPr="00755AA4" w:rsidRDefault="00E1608C" w:rsidP="00E1608C">
      <w:pPr>
        <w:tabs>
          <w:tab w:val="clear" w:pos="720"/>
          <w:tab w:val="clear" w:pos="1080"/>
          <w:tab w:val="clear" w:pos="1440"/>
          <w:tab w:val="clear" w:pos="1800"/>
        </w:tabs>
        <w:autoSpaceDE w:val="0"/>
        <w:autoSpaceDN w:val="0"/>
        <w:adjustRightInd w:val="0"/>
        <w:spacing w:line="240" w:lineRule="auto"/>
        <w:rPr>
          <w:szCs w:val="22"/>
        </w:rPr>
      </w:pPr>
    </w:p>
    <w:p w:rsidR="005D0FCE" w:rsidRPr="00755AA4" w:rsidRDefault="005D0FCE" w:rsidP="005D0FCE">
      <w:r w:rsidRPr="00755AA4">
        <w:t xml:space="preserve">There will not be any use of periodic data collection cycles to reduce burden since a one-time administration of all forms is anticipated. </w:t>
      </w:r>
    </w:p>
    <w:p w:rsidR="005D0FCE" w:rsidRDefault="005D0FCE" w:rsidP="005D0FCE">
      <w:pPr>
        <w:tabs>
          <w:tab w:val="left" w:pos="-1440"/>
        </w:tabs>
        <w:ind w:left="2160" w:hanging="720"/>
        <w:rPr>
          <w:b/>
        </w:rPr>
      </w:pPr>
    </w:p>
    <w:p w:rsidR="00B46E3A" w:rsidRDefault="00B46E3A" w:rsidP="005D0FCE">
      <w:pPr>
        <w:tabs>
          <w:tab w:val="left" w:pos="-1440"/>
        </w:tabs>
        <w:ind w:left="2160" w:hanging="720"/>
        <w:rPr>
          <w:b/>
        </w:rPr>
      </w:pPr>
    </w:p>
    <w:p w:rsidR="006E1077" w:rsidRPr="00755AA4" w:rsidRDefault="006E1077" w:rsidP="002E4D48">
      <w:pPr>
        <w:pStyle w:val="BodyText"/>
      </w:pPr>
      <w:bookmarkStart w:id="11" w:name="_GoBack"/>
      <w:bookmarkEnd w:id="11"/>
    </w:p>
    <w:p w:rsidR="00C86499" w:rsidRDefault="00CC7947" w:rsidP="00B46E3A">
      <w:pPr>
        <w:pStyle w:val="Heading2"/>
        <w:keepLines/>
        <w:widowControl w:val="0"/>
      </w:pPr>
      <w:bookmarkStart w:id="12" w:name="_Toc8118900"/>
      <w:bookmarkStart w:id="13" w:name="_Toc81803530"/>
      <w:bookmarkStart w:id="14" w:name="_Toc88301199"/>
      <w:bookmarkStart w:id="15" w:name="_Toc216244990"/>
      <w:bookmarkStart w:id="16" w:name="_Toc339396397"/>
      <w:r w:rsidRPr="00755AA4">
        <w:rPr>
          <w:szCs w:val="28"/>
        </w:rPr>
        <w:t>B.3</w:t>
      </w:r>
      <w:r w:rsidRPr="00755AA4">
        <w:rPr>
          <w:szCs w:val="28"/>
        </w:rPr>
        <w:tab/>
      </w:r>
      <w:bookmarkEnd w:id="12"/>
      <w:bookmarkEnd w:id="13"/>
      <w:bookmarkEnd w:id="14"/>
      <w:bookmarkEnd w:id="15"/>
      <w:bookmarkEnd w:id="16"/>
      <w:r w:rsidR="00C86499" w:rsidRPr="00755AA4">
        <w:t xml:space="preserve">DESCRIBE METHODS TO MAXIMIZE RESPONSE RATES AND TO DEAL WITH ISSUES OF NON-RESPONSE.  </w:t>
      </w:r>
    </w:p>
    <w:p w:rsidR="00B46E3A" w:rsidRPr="00B46E3A" w:rsidRDefault="00B46E3A" w:rsidP="00B46E3A"/>
    <w:p w:rsidR="00413DD8" w:rsidRPr="00755AA4" w:rsidRDefault="006472F3" w:rsidP="004239C8">
      <w:pPr>
        <w:pStyle w:val="BodyText"/>
        <w:keepNext/>
        <w:keepLines/>
        <w:widowControl w:val="0"/>
      </w:pPr>
      <w:bookmarkStart w:id="17" w:name="_Toc8118901"/>
      <w:bookmarkStart w:id="18" w:name="_Toc81803531"/>
      <w:bookmarkStart w:id="19" w:name="_Toc88301200"/>
      <w:r w:rsidRPr="00755AA4">
        <w:t>As reported in B.1, r</w:t>
      </w:r>
      <w:r w:rsidR="00DD25F3" w:rsidRPr="00755AA4">
        <w:t>es</w:t>
      </w:r>
      <w:r w:rsidRPr="00755AA4">
        <w:t xml:space="preserve">ponse rates for </w:t>
      </w:r>
      <w:r w:rsidR="0046402E">
        <w:t xml:space="preserve">these </w:t>
      </w:r>
      <w:r w:rsidR="00DD25F3" w:rsidRPr="00755AA4">
        <w:t>student surveys</w:t>
      </w:r>
      <w:r w:rsidRPr="00755AA4">
        <w:t xml:space="preserve"> </w:t>
      </w:r>
      <w:r w:rsidR="0046402E">
        <w:t>have been low during past administrations</w:t>
      </w:r>
      <w:r w:rsidR="00DD25F3" w:rsidRPr="00755AA4">
        <w:t>.</w:t>
      </w:r>
      <w:r w:rsidR="008506FE" w:rsidRPr="00755AA4">
        <w:t xml:space="preserve"> Multiple factors </w:t>
      </w:r>
      <w:r w:rsidR="0046402E">
        <w:t>have been</w:t>
      </w:r>
      <w:r w:rsidR="008506FE" w:rsidRPr="00755AA4">
        <w:t xml:space="preserve"> involved in preventing the return of the materials, including the brief of amount of time available for planning between the award announcement and program implementation, </w:t>
      </w:r>
      <w:r w:rsidR="00413DD8" w:rsidRPr="00755AA4">
        <w:t xml:space="preserve">the late delivery of data collection instruments to awardees and Centers, </w:t>
      </w:r>
      <w:r w:rsidR="008506FE" w:rsidRPr="00755AA4">
        <w:t>delayed access to SoI funding, and lack of clarity and prescriptiveness regarding evaluation res</w:t>
      </w:r>
      <w:r w:rsidR="000762B4" w:rsidRPr="00755AA4">
        <w:t xml:space="preserve">ponsibilities and requirements. </w:t>
      </w:r>
    </w:p>
    <w:p w:rsidR="008563B5" w:rsidRPr="00755AA4" w:rsidRDefault="008563B5" w:rsidP="004B437C">
      <w:pPr>
        <w:pStyle w:val="BodyText"/>
      </w:pPr>
    </w:p>
    <w:p w:rsidR="00413DD8" w:rsidRPr="00755AA4" w:rsidRDefault="00413DD8" w:rsidP="00413DD8">
      <w:pPr>
        <w:pStyle w:val="BodyText"/>
      </w:pPr>
      <w:r w:rsidRPr="00755AA4">
        <w:lastRenderedPageBreak/>
        <w:t xml:space="preserve">The current evaluation design has been informed by lessons from previous SoI evaluation efforts. Importantly, changes </w:t>
      </w:r>
      <w:r w:rsidR="008B4FB5">
        <w:t>were</w:t>
      </w:r>
      <w:r w:rsidRPr="00755AA4">
        <w:t xml:space="preserve"> made for FY2013 to address some of the </w:t>
      </w:r>
      <w:r w:rsidR="008B4FB5">
        <w:t xml:space="preserve">earlier </w:t>
      </w:r>
      <w:r w:rsidRPr="00755AA4">
        <w:t xml:space="preserve">hurdles to data collection that were encountered in previous efforts and reflected in lower than expected response rates. Some of the key </w:t>
      </w:r>
      <w:r w:rsidR="008B4FB5">
        <w:t>strategies now in place to address low response rates are as follows:</w:t>
      </w:r>
    </w:p>
    <w:p w:rsidR="00413DD8" w:rsidRPr="00755AA4" w:rsidRDefault="00413DD8" w:rsidP="005E0080">
      <w:pPr>
        <w:pStyle w:val="BodyText"/>
        <w:spacing w:after="120" w:line="240" w:lineRule="auto"/>
      </w:pPr>
    </w:p>
    <w:p w:rsidR="00413DD8" w:rsidRPr="00755AA4" w:rsidRDefault="00413DD8" w:rsidP="005C27D2">
      <w:pPr>
        <w:pStyle w:val="Bullets"/>
        <w:numPr>
          <w:ilvl w:val="0"/>
          <w:numId w:val="4"/>
        </w:numPr>
        <w:spacing w:after="120" w:line="240" w:lineRule="auto"/>
        <w:rPr>
          <w:szCs w:val="22"/>
        </w:rPr>
      </w:pPr>
      <w:r w:rsidRPr="00755AA4">
        <w:rPr>
          <w:szCs w:val="22"/>
        </w:rPr>
        <w:t xml:space="preserve">Consulting with participating </w:t>
      </w:r>
      <w:r w:rsidR="008B4FB5">
        <w:rPr>
          <w:szCs w:val="22"/>
        </w:rPr>
        <w:t>sites</w:t>
      </w:r>
      <w:r w:rsidRPr="00755AA4">
        <w:rPr>
          <w:szCs w:val="22"/>
        </w:rPr>
        <w:t xml:space="preserve"> about locally appropriate data collection strategies prior to finalizing data collection plan, including providing paper or online versions of survey</w:t>
      </w:r>
      <w:r w:rsidR="008B4FB5">
        <w:rPr>
          <w:szCs w:val="22"/>
        </w:rPr>
        <w:t>s</w:t>
      </w:r>
      <w:r w:rsidRPr="00755AA4">
        <w:rPr>
          <w:szCs w:val="22"/>
        </w:rPr>
        <w:t xml:space="preserve"> if identified as appropriate by </w:t>
      </w:r>
      <w:r w:rsidR="008B4FB5">
        <w:rPr>
          <w:szCs w:val="22"/>
        </w:rPr>
        <w:t>the site</w:t>
      </w:r>
      <w:r w:rsidRPr="00755AA4">
        <w:rPr>
          <w:szCs w:val="22"/>
        </w:rPr>
        <w:t xml:space="preserve">; </w:t>
      </w:r>
    </w:p>
    <w:p w:rsidR="003110C7" w:rsidRPr="00755AA4" w:rsidRDefault="003110C7" w:rsidP="005C27D2">
      <w:pPr>
        <w:pStyle w:val="Bullets"/>
        <w:numPr>
          <w:ilvl w:val="0"/>
          <w:numId w:val="4"/>
        </w:numPr>
        <w:spacing w:after="120" w:line="240" w:lineRule="auto"/>
        <w:rPr>
          <w:szCs w:val="22"/>
        </w:rPr>
      </w:pPr>
      <w:r w:rsidRPr="00755AA4">
        <w:rPr>
          <w:szCs w:val="22"/>
        </w:rPr>
        <w:t xml:space="preserve">providing </w:t>
      </w:r>
      <w:r w:rsidR="008B4FB5">
        <w:rPr>
          <w:szCs w:val="22"/>
        </w:rPr>
        <w:t xml:space="preserve">adequate time between activity start-up and administration of surveys; </w:t>
      </w:r>
    </w:p>
    <w:p w:rsidR="003110C7" w:rsidRPr="00755AA4" w:rsidRDefault="008B4FB5" w:rsidP="005C27D2">
      <w:pPr>
        <w:pStyle w:val="Bullets"/>
        <w:numPr>
          <w:ilvl w:val="0"/>
          <w:numId w:val="4"/>
        </w:numPr>
        <w:spacing w:after="120" w:line="240" w:lineRule="auto"/>
        <w:rPr>
          <w:szCs w:val="22"/>
        </w:rPr>
      </w:pPr>
      <w:r>
        <w:rPr>
          <w:szCs w:val="22"/>
        </w:rPr>
        <w:t>making participation in evaluation activities a requirement for sites to participate in the STEM Challenge activities</w:t>
      </w:r>
      <w:r w:rsidR="003110C7" w:rsidRPr="00755AA4">
        <w:rPr>
          <w:szCs w:val="22"/>
        </w:rPr>
        <w:t>;</w:t>
      </w:r>
    </w:p>
    <w:p w:rsidR="00413DD8" w:rsidRPr="00755AA4" w:rsidRDefault="00413DD8" w:rsidP="005C27D2">
      <w:pPr>
        <w:pStyle w:val="BodyText"/>
        <w:numPr>
          <w:ilvl w:val="0"/>
          <w:numId w:val="4"/>
        </w:numPr>
        <w:tabs>
          <w:tab w:val="clear" w:pos="720"/>
          <w:tab w:val="clear" w:pos="1080"/>
          <w:tab w:val="clear" w:pos="1440"/>
          <w:tab w:val="clear" w:pos="1800"/>
        </w:tabs>
        <w:spacing w:after="120" w:line="240" w:lineRule="auto"/>
      </w:pPr>
      <w:r w:rsidRPr="00755AA4">
        <w:t xml:space="preserve">revising activities and timeline for PRA package and OMB approval so that approval is received prior to when </w:t>
      </w:r>
      <w:r w:rsidR="002908D3">
        <w:t>sites</w:t>
      </w:r>
      <w:r w:rsidRPr="00755AA4">
        <w:t xml:space="preserve"> begin recruitment</w:t>
      </w:r>
      <w:r w:rsidR="008563B5" w:rsidRPr="00755AA4">
        <w:t xml:space="preserve"> (in progress)</w:t>
      </w:r>
      <w:r w:rsidRPr="00755AA4">
        <w:t xml:space="preserve">; </w:t>
      </w:r>
    </w:p>
    <w:p w:rsidR="00C05C88" w:rsidRPr="00755AA4" w:rsidRDefault="00C05C88" w:rsidP="005C27D2">
      <w:pPr>
        <w:pStyle w:val="BodyText"/>
        <w:numPr>
          <w:ilvl w:val="0"/>
          <w:numId w:val="4"/>
        </w:numPr>
        <w:tabs>
          <w:tab w:val="clear" w:pos="720"/>
          <w:tab w:val="clear" w:pos="1080"/>
          <w:tab w:val="clear" w:pos="1440"/>
          <w:tab w:val="clear" w:pos="1800"/>
        </w:tabs>
        <w:spacing w:after="120" w:line="240" w:lineRule="auto"/>
      </w:pPr>
      <w:r w:rsidRPr="00755AA4">
        <w:t xml:space="preserve">identifying an evaluation </w:t>
      </w:r>
      <w:r w:rsidR="00B50EAC" w:rsidRPr="00755AA4">
        <w:t>point</w:t>
      </w:r>
      <w:r w:rsidR="00E708AC" w:rsidRPr="00755AA4">
        <w:t xml:space="preserve"> of contact</w:t>
      </w:r>
      <w:r w:rsidRPr="00755AA4">
        <w:t xml:space="preserve"> at </w:t>
      </w:r>
      <w:r w:rsidR="008563B5" w:rsidRPr="00755AA4">
        <w:t xml:space="preserve">each </w:t>
      </w:r>
      <w:r w:rsidR="008B4FB5">
        <w:t>site</w:t>
      </w:r>
      <w:r w:rsidRPr="00755AA4">
        <w:t xml:space="preserve">; </w:t>
      </w:r>
    </w:p>
    <w:p w:rsidR="00E277EE" w:rsidRPr="00755AA4" w:rsidRDefault="00E277EE" w:rsidP="005C27D2">
      <w:pPr>
        <w:pStyle w:val="BodyText"/>
        <w:numPr>
          <w:ilvl w:val="0"/>
          <w:numId w:val="4"/>
        </w:numPr>
        <w:tabs>
          <w:tab w:val="clear" w:pos="720"/>
          <w:tab w:val="clear" w:pos="1080"/>
          <w:tab w:val="clear" w:pos="1440"/>
          <w:tab w:val="clear" w:pos="1800"/>
        </w:tabs>
        <w:spacing w:after="180"/>
      </w:pPr>
      <w:r w:rsidRPr="00755AA4">
        <w:t xml:space="preserve">assigning a designated </w:t>
      </w:r>
      <w:r w:rsidR="008563B5" w:rsidRPr="00755AA4">
        <w:t xml:space="preserve">external </w:t>
      </w:r>
      <w:r w:rsidRPr="00755AA4">
        <w:t>evaluati</w:t>
      </w:r>
      <w:r w:rsidR="008563B5" w:rsidRPr="00755AA4">
        <w:t>on team member</w:t>
      </w:r>
      <w:r w:rsidR="008B4FB5">
        <w:t>/help desk point of contact</w:t>
      </w:r>
      <w:r w:rsidR="008563B5" w:rsidRPr="00755AA4">
        <w:t xml:space="preserve"> for each </w:t>
      </w:r>
      <w:r w:rsidR="008B4FB5">
        <w:t>site</w:t>
      </w:r>
      <w:r w:rsidRPr="00755AA4">
        <w:t>;</w:t>
      </w:r>
    </w:p>
    <w:p w:rsidR="00C05C88" w:rsidRPr="00755AA4" w:rsidRDefault="00C05C88" w:rsidP="005C27D2">
      <w:pPr>
        <w:pStyle w:val="Bullets"/>
        <w:numPr>
          <w:ilvl w:val="0"/>
          <w:numId w:val="4"/>
        </w:numPr>
        <w:spacing w:after="120" w:line="240" w:lineRule="auto"/>
        <w:rPr>
          <w:szCs w:val="22"/>
        </w:rPr>
      </w:pPr>
      <w:r w:rsidRPr="00755AA4">
        <w:rPr>
          <w:szCs w:val="22"/>
        </w:rPr>
        <w:t xml:space="preserve">conducting a webinar for </w:t>
      </w:r>
      <w:r w:rsidR="00F0568D">
        <w:rPr>
          <w:szCs w:val="22"/>
        </w:rPr>
        <w:t>site</w:t>
      </w:r>
      <w:r w:rsidRPr="00755AA4">
        <w:rPr>
          <w:szCs w:val="22"/>
        </w:rPr>
        <w:t xml:space="preserve"> evaluation points of contact when the evaluation materials are distributed to review data collection processes, reiterate </w:t>
      </w:r>
      <w:r w:rsidR="005E5092">
        <w:rPr>
          <w:szCs w:val="22"/>
        </w:rPr>
        <w:t xml:space="preserve">participation </w:t>
      </w:r>
      <w:r w:rsidRPr="00755AA4">
        <w:rPr>
          <w:szCs w:val="22"/>
        </w:rPr>
        <w:t>requirements regarding the evaluation, and emphasize the importance of collecting the baselin</w:t>
      </w:r>
      <w:r w:rsidR="005E5092">
        <w:rPr>
          <w:szCs w:val="22"/>
        </w:rPr>
        <w:t>e survey before the start of STEM Challenge</w:t>
      </w:r>
      <w:r w:rsidRPr="00755AA4">
        <w:rPr>
          <w:szCs w:val="22"/>
        </w:rPr>
        <w:t xml:space="preserve"> programming; </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developing an evaluation manual</w:t>
      </w:r>
      <w:r w:rsidR="00F0568D">
        <w:t>/guidebook</w:t>
      </w:r>
      <w:r w:rsidRPr="00755AA4">
        <w:t xml:space="preserve"> that outline</w:t>
      </w:r>
      <w:r w:rsidR="00F0568D">
        <w:t>s</w:t>
      </w:r>
      <w:r w:rsidRPr="00755AA4">
        <w:t xml:space="preserve"> the study and data collection responsibilities and processes for </w:t>
      </w:r>
      <w:r w:rsidR="00F0568D">
        <w:t>sites</w:t>
      </w:r>
      <w:r w:rsidRPr="00755AA4">
        <w:t xml:space="preserve">; </w:t>
      </w:r>
    </w:p>
    <w:p w:rsidR="001B1C8A" w:rsidRPr="001B1C8A" w:rsidRDefault="001B1C8A" w:rsidP="005C27D2">
      <w:pPr>
        <w:pStyle w:val="Bullets"/>
        <w:numPr>
          <w:ilvl w:val="0"/>
          <w:numId w:val="4"/>
        </w:numPr>
        <w:tabs>
          <w:tab w:val="left" w:pos="810"/>
        </w:tabs>
        <w:spacing w:after="120" w:line="240" w:lineRule="auto"/>
        <w:rPr>
          <w:szCs w:val="22"/>
        </w:rPr>
      </w:pPr>
      <w:r>
        <w:t xml:space="preserve">providing self-returned stamped envelopes for the return of completed paper survey forms to their office for processing; </w:t>
      </w:r>
    </w:p>
    <w:p w:rsidR="003110C7" w:rsidRPr="00755AA4" w:rsidRDefault="001B1C8A" w:rsidP="005C27D2">
      <w:pPr>
        <w:pStyle w:val="Bullets"/>
        <w:numPr>
          <w:ilvl w:val="0"/>
          <w:numId w:val="4"/>
        </w:numPr>
        <w:tabs>
          <w:tab w:val="left" w:pos="810"/>
        </w:tabs>
        <w:spacing w:after="120" w:line="240" w:lineRule="auto"/>
        <w:rPr>
          <w:szCs w:val="22"/>
        </w:rPr>
      </w:pPr>
      <w:r>
        <w:t xml:space="preserve">tracking the completion of online surveys and the return of paper surveys by site in order to conduct appropriate follow-up to encourage survey completion; </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 xml:space="preserve">actively collaborating with the </w:t>
      </w:r>
      <w:r w:rsidR="005A753F">
        <w:t>site</w:t>
      </w:r>
      <w:r w:rsidRPr="00755AA4">
        <w:t xml:space="preserve"> evaluation</w:t>
      </w:r>
      <w:r w:rsidR="00E708AC" w:rsidRPr="00755AA4">
        <w:t xml:space="preserve"> point of contact </w:t>
      </w:r>
      <w:r w:rsidRPr="00755AA4">
        <w:t xml:space="preserve">leading up to and during the administration and return of student baseline </w:t>
      </w:r>
      <w:r w:rsidR="005A753F">
        <w:t xml:space="preserve">and follow-up </w:t>
      </w:r>
      <w:r w:rsidRPr="00755AA4">
        <w:t>surveys; and</w:t>
      </w:r>
    </w:p>
    <w:p w:rsidR="00413DD8" w:rsidRPr="00755AA4" w:rsidRDefault="00413DD8" w:rsidP="005C27D2">
      <w:pPr>
        <w:pStyle w:val="BodyText"/>
        <w:numPr>
          <w:ilvl w:val="0"/>
          <w:numId w:val="4"/>
        </w:numPr>
        <w:tabs>
          <w:tab w:val="clear" w:pos="720"/>
          <w:tab w:val="clear" w:pos="1080"/>
          <w:tab w:val="clear" w:pos="1440"/>
          <w:tab w:val="clear" w:pos="1800"/>
          <w:tab w:val="left" w:pos="810"/>
        </w:tabs>
        <w:spacing w:after="120" w:line="240" w:lineRule="auto"/>
      </w:pPr>
      <w:r w:rsidRPr="00755AA4">
        <w:t xml:space="preserve">surveying all students </w:t>
      </w:r>
      <w:r w:rsidR="005A753F">
        <w:t xml:space="preserve">participating in a STEM Challenge at a site, </w:t>
      </w:r>
      <w:r w:rsidR="005E0080" w:rsidRPr="00755AA4">
        <w:t xml:space="preserve">instead of </w:t>
      </w:r>
      <w:r w:rsidR="005A753F">
        <w:t xml:space="preserve">selecting </w:t>
      </w:r>
      <w:r w:rsidR="005E0080" w:rsidRPr="00755AA4">
        <w:t>a sample</w:t>
      </w:r>
      <w:r w:rsidR="005A753F">
        <w:t>.</w:t>
      </w:r>
      <w:r w:rsidR="005E0080" w:rsidRPr="00755AA4">
        <w:t xml:space="preserve"> </w:t>
      </w:r>
    </w:p>
    <w:p w:rsidR="00A174DE" w:rsidRPr="00755AA4" w:rsidRDefault="00A174DE" w:rsidP="00413DD8">
      <w:pPr>
        <w:pStyle w:val="BodyText"/>
      </w:pPr>
    </w:p>
    <w:p w:rsidR="00413DD8" w:rsidRPr="00755AA4" w:rsidRDefault="00413DD8" w:rsidP="004B437C">
      <w:pPr>
        <w:pStyle w:val="BodyText"/>
      </w:pPr>
    </w:p>
    <w:p w:rsidR="006E382A" w:rsidRPr="00755AA4" w:rsidRDefault="006E382A" w:rsidP="004239C8">
      <w:pPr>
        <w:keepNext/>
        <w:keepLines/>
        <w:widowControl w:val="0"/>
        <w:rPr>
          <w:b/>
        </w:rPr>
      </w:pPr>
      <w:r w:rsidRPr="00755AA4">
        <w:rPr>
          <w:b/>
        </w:rPr>
        <w:t>Non</w:t>
      </w:r>
      <w:r w:rsidR="00096BB7" w:rsidRPr="00755AA4">
        <w:rPr>
          <w:b/>
        </w:rPr>
        <w:t>-R</w:t>
      </w:r>
      <w:r w:rsidRPr="00755AA4">
        <w:rPr>
          <w:b/>
        </w:rPr>
        <w:t>esponse Bias</w:t>
      </w:r>
    </w:p>
    <w:p w:rsidR="006E382A" w:rsidRPr="00755AA4" w:rsidRDefault="006E382A" w:rsidP="004239C8">
      <w:pPr>
        <w:keepNext/>
        <w:keepLines/>
        <w:widowControl w:val="0"/>
        <w:rPr>
          <w:b/>
          <w:i/>
        </w:rPr>
      </w:pPr>
    </w:p>
    <w:p w:rsidR="00BF7B83" w:rsidRPr="00755AA4" w:rsidRDefault="00BF7B83" w:rsidP="00BF7B83">
      <w:pPr>
        <w:keepNext/>
        <w:keepLines/>
        <w:widowControl w:val="0"/>
        <w:tabs>
          <w:tab w:val="clear" w:pos="720"/>
          <w:tab w:val="clear" w:pos="1080"/>
          <w:tab w:val="clear" w:pos="1440"/>
          <w:tab w:val="clear" w:pos="1800"/>
        </w:tabs>
        <w:rPr>
          <w:szCs w:val="22"/>
        </w:rPr>
      </w:pPr>
      <w:r w:rsidRPr="00755AA4">
        <w:rPr>
          <w:szCs w:val="22"/>
        </w:rPr>
        <w:t xml:space="preserve">With </w:t>
      </w:r>
      <w:r w:rsidR="00804529">
        <w:rPr>
          <w:szCs w:val="22"/>
        </w:rPr>
        <w:t>the strategies (outlined above) to maximize</w:t>
      </w:r>
      <w:r w:rsidRPr="00755AA4">
        <w:rPr>
          <w:szCs w:val="22"/>
        </w:rPr>
        <w:t xml:space="preserve">, NASA expects to achieve a response rate of 80% or higher for the baseline surveys. </w:t>
      </w:r>
      <w:r w:rsidR="007B14C2">
        <w:rPr>
          <w:szCs w:val="22"/>
        </w:rPr>
        <w:t>I</w:t>
      </w:r>
      <w:r w:rsidRPr="00755AA4">
        <w:rPr>
          <w:szCs w:val="22"/>
        </w:rPr>
        <w:t xml:space="preserve">t is difficult to estimate the response rate to the youth follow-up survey, since </w:t>
      </w:r>
      <w:r w:rsidR="007B14C2">
        <w:rPr>
          <w:szCs w:val="22"/>
        </w:rPr>
        <w:t xml:space="preserve">the last administration of this survey in FY2014 </w:t>
      </w:r>
      <w:r w:rsidRPr="00755AA4">
        <w:rPr>
          <w:szCs w:val="22"/>
        </w:rPr>
        <w:t>w</w:t>
      </w:r>
      <w:r w:rsidR="00AD36B7">
        <w:rPr>
          <w:szCs w:val="22"/>
        </w:rPr>
        <w:t>as mailed to youth approximately</w:t>
      </w:r>
      <w:r w:rsidRPr="00755AA4">
        <w:rPr>
          <w:szCs w:val="22"/>
        </w:rPr>
        <w:t xml:space="preserve"> six months following the SoI experience. </w:t>
      </w:r>
      <w:r w:rsidR="007B14C2">
        <w:rPr>
          <w:szCs w:val="22"/>
        </w:rPr>
        <w:t xml:space="preserve">The response rate for the FY2014 follow-up administration was 49%. </w:t>
      </w:r>
      <w:r w:rsidR="00735091">
        <w:rPr>
          <w:szCs w:val="22"/>
        </w:rPr>
        <w:t xml:space="preserve">Similarly, the FY2012 administration of the </w:t>
      </w:r>
      <w:r w:rsidR="00735091" w:rsidRPr="00755AA4">
        <w:rPr>
          <w:szCs w:val="22"/>
        </w:rPr>
        <w:t>mail follow-up survey of SoI youth</w:t>
      </w:r>
      <w:r w:rsidR="00735091">
        <w:rPr>
          <w:szCs w:val="22"/>
        </w:rPr>
        <w:t xml:space="preserve"> </w:t>
      </w:r>
      <w:r w:rsidR="00735091" w:rsidRPr="00755AA4">
        <w:rPr>
          <w:szCs w:val="22"/>
        </w:rPr>
        <w:t xml:space="preserve">yielded a 52% response rate for the survey. </w:t>
      </w:r>
      <w:r w:rsidR="00735091">
        <w:rPr>
          <w:szCs w:val="22"/>
        </w:rPr>
        <w:t xml:space="preserve">Since the follow-up survey will be administered on-site immediately following the activity, we anticipate a stronger response rate than the FY2014 and FY2012 administrations but have estimated conservatively at </w:t>
      </w:r>
      <w:r w:rsidRPr="00735091">
        <w:rPr>
          <w:szCs w:val="22"/>
        </w:rPr>
        <w:t>52%</w:t>
      </w:r>
      <w:r w:rsidRPr="00755AA4">
        <w:rPr>
          <w:szCs w:val="22"/>
        </w:rPr>
        <w:t>.</w:t>
      </w:r>
    </w:p>
    <w:p w:rsidR="00BF7B83" w:rsidRPr="00755AA4" w:rsidRDefault="00BF7B83" w:rsidP="00BF7B83">
      <w:pPr>
        <w:keepNext/>
        <w:keepLines/>
        <w:widowControl w:val="0"/>
        <w:tabs>
          <w:tab w:val="clear" w:pos="720"/>
          <w:tab w:val="clear" w:pos="1080"/>
          <w:tab w:val="clear" w:pos="1440"/>
          <w:tab w:val="clear" w:pos="1800"/>
        </w:tabs>
        <w:rPr>
          <w:szCs w:val="22"/>
        </w:rPr>
      </w:pPr>
    </w:p>
    <w:p w:rsidR="00FC44CE" w:rsidRPr="00755AA4" w:rsidRDefault="00F73F80" w:rsidP="00F73F80">
      <w:r w:rsidRPr="00755AA4">
        <w:t>Given this projected response rate, n</w:t>
      </w:r>
      <w:r w:rsidR="00155C77" w:rsidRPr="00755AA4">
        <w:t>on</w:t>
      </w:r>
      <w:r w:rsidR="001566DA" w:rsidRPr="00755AA4">
        <w:t>-</w:t>
      </w:r>
      <w:r w:rsidR="00155C77" w:rsidRPr="00755AA4">
        <w:t xml:space="preserve">response </w:t>
      </w:r>
      <w:r w:rsidRPr="00755AA4">
        <w:t>will pose a</w:t>
      </w:r>
      <w:r w:rsidR="00155C77" w:rsidRPr="00755AA4">
        <w:t xml:space="preserve"> problem in our analyses </w:t>
      </w:r>
      <w:r w:rsidRPr="00755AA4">
        <w:t>as</w:t>
      </w:r>
      <w:r w:rsidR="00155C77" w:rsidRPr="00755AA4">
        <w:t xml:space="preserve"> it introduces bias into our population estimates. Bias occurs if the </w:t>
      </w:r>
      <w:r w:rsidR="005407FD" w:rsidRPr="00755AA4">
        <w:t>youth</w:t>
      </w:r>
      <w:r w:rsidR="00BA0F88" w:rsidRPr="00755AA4">
        <w:t xml:space="preserve"> </w:t>
      </w:r>
      <w:r w:rsidR="00155C77" w:rsidRPr="00755AA4">
        <w:t xml:space="preserve">that refuse to participate or leave the study </w:t>
      </w:r>
      <w:r w:rsidR="005407FD" w:rsidRPr="00755AA4">
        <w:t xml:space="preserve">have different characteristics and/or </w:t>
      </w:r>
      <w:r w:rsidR="00155C77" w:rsidRPr="00755AA4">
        <w:t xml:space="preserve">give systematically different responses to the survey (had they responded </w:t>
      </w:r>
      <w:r w:rsidR="00155C77" w:rsidRPr="00755AA4">
        <w:lastRenderedPageBreak/>
        <w:t xml:space="preserve">to it) than the </w:t>
      </w:r>
      <w:r w:rsidR="005407FD" w:rsidRPr="00755AA4">
        <w:t>youth</w:t>
      </w:r>
      <w:r w:rsidR="00EF7C88" w:rsidRPr="00755AA4">
        <w:t xml:space="preserve"> </w:t>
      </w:r>
      <w:r w:rsidR="005407FD" w:rsidRPr="00755AA4">
        <w:t xml:space="preserve">who complete the surveys. </w:t>
      </w:r>
      <w:r w:rsidR="00155C77" w:rsidRPr="00755AA4">
        <w:t>Poor response rates do not guarantee a biased estimate, as the decision to not participate or leave the study could be completely unrelated to survey answers.</w:t>
      </w:r>
      <w:r w:rsidRPr="00755AA4">
        <w:t xml:space="preserve"> </w:t>
      </w:r>
      <w:r w:rsidR="003D0351">
        <w:t>T</w:t>
      </w:r>
      <w:r w:rsidR="009C20AD" w:rsidRPr="00755AA4">
        <w:t>he external evaluator will conduct a non-response bias analysis on that administration</w:t>
      </w:r>
      <w:r w:rsidR="000B50B5" w:rsidRPr="00755AA4">
        <w:t xml:space="preserve"> </w:t>
      </w:r>
      <w:r w:rsidR="003D0351">
        <w:t>should the response rate drop below 80%.</w:t>
      </w:r>
    </w:p>
    <w:p w:rsidR="00FC44CE" w:rsidRPr="00755AA4" w:rsidRDefault="00FC44CE" w:rsidP="00745C5F">
      <w:pPr>
        <w:pStyle w:val="BodyText"/>
      </w:pPr>
    </w:p>
    <w:p w:rsidR="00FC44CE" w:rsidRPr="00755AA4" w:rsidRDefault="00FC44CE" w:rsidP="00745C5F">
      <w:pPr>
        <w:pStyle w:val="BodyText"/>
        <w:rPr>
          <w:b/>
          <w:i/>
        </w:rPr>
      </w:pPr>
      <w:r w:rsidRPr="00755AA4">
        <w:rPr>
          <w:b/>
          <w:i/>
        </w:rPr>
        <w:t>Student Non-Response</w:t>
      </w:r>
    </w:p>
    <w:p w:rsidR="00886E08" w:rsidRPr="00755AA4" w:rsidRDefault="00886E08" w:rsidP="00745C5F">
      <w:pPr>
        <w:pStyle w:val="BodyText"/>
        <w:rPr>
          <w:i/>
        </w:rPr>
      </w:pPr>
    </w:p>
    <w:p w:rsidR="004473C6" w:rsidRPr="00755AA4" w:rsidRDefault="003D0351" w:rsidP="00EA4CEF">
      <w:r>
        <w:t xml:space="preserve">In FY2014, </w:t>
      </w:r>
      <w:r w:rsidR="004473C6" w:rsidRPr="00755AA4">
        <w:t xml:space="preserve">NASA expanded its plan for addressing potential </w:t>
      </w:r>
      <w:r w:rsidR="00EA4CEF" w:rsidRPr="00755AA4">
        <w:t>non-response</w:t>
      </w:r>
      <w:r w:rsidR="004473C6" w:rsidRPr="00755AA4">
        <w:t xml:space="preserve"> bias. While poor response rates alone do not guarantee a biased estimate, as the decision to not participate or leave the study could be completely unrelated to survey answers, NASA will examine the bias in estimates because of </w:t>
      </w:r>
      <w:r w:rsidR="00EA4CEF" w:rsidRPr="00755AA4">
        <w:t>non-response</w:t>
      </w:r>
      <w:r w:rsidR="004473C6" w:rsidRPr="00755AA4">
        <w:t xml:space="preserve"> to either youth survey by following the </w:t>
      </w:r>
      <w:r w:rsidR="0023282C">
        <w:t>two</w:t>
      </w:r>
      <w:r w:rsidR="004473C6" w:rsidRPr="00755AA4">
        <w:t xml:space="preserve"> steps described below.</w:t>
      </w:r>
    </w:p>
    <w:p w:rsidR="004473C6" w:rsidRPr="00755AA4" w:rsidRDefault="004473C6" w:rsidP="004473C6">
      <w:pPr>
        <w:pStyle w:val="BodyText"/>
      </w:pPr>
      <w:r w:rsidRPr="00755AA4">
        <w:t xml:space="preserve"> </w:t>
      </w:r>
    </w:p>
    <w:p w:rsidR="009238F5" w:rsidRPr="00755AA4" w:rsidRDefault="004473C6" w:rsidP="004473C6">
      <w:pPr>
        <w:pStyle w:val="BodyText"/>
      </w:pPr>
      <w:r w:rsidRPr="00755AA4">
        <w:rPr>
          <w:i/>
        </w:rPr>
        <w:t>1. Examination of Response Rates.</w:t>
      </w:r>
      <w:r w:rsidRPr="00755AA4">
        <w:t xml:space="preserve"> The first step will be to monitor the overall response rate and response rate by </w:t>
      </w:r>
      <w:r w:rsidR="003D0351">
        <w:t>site and state</w:t>
      </w:r>
      <w:r w:rsidRPr="00755AA4">
        <w:t xml:space="preserve">. High response rates (over 85 percent) for the entire sample </w:t>
      </w:r>
      <w:r w:rsidR="003D0351">
        <w:t>mi</w:t>
      </w:r>
      <w:r w:rsidRPr="00755AA4">
        <w:t xml:space="preserve">ght indicate no need for further analysis of bias due to non-response. Large differences in the response rates by </w:t>
      </w:r>
      <w:r w:rsidR="003D0351">
        <w:t>site or state</w:t>
      </w:r>
      <w:r w:rsidRPr="00755AA4">
        <w:t xml:space="preserve"> serve as indicators that potential biases may exist. For example, if response rate from </w:t>
      </w:r>
      <w:r w:rsidR="003D0351">
        <w:t xml:space="preserve">one state </w:t>
      </w:r>
      <w:r w:rsidRPr="00755AA4">
        <w:t xml:space="preserve">is very low then any difference in the characteristic of interest between this </w:t>
      </w:r>
      <w:r w:rsidR="003D0351">
        <w:t>state</w:t>
      </w:r>
      <w:r w:rsidRPr="00755AA4">
        <w:t xml:space="preserve"> and other </w:t>
      </w:r>
      <w:r w:rsidR="003D0351">
        <w:t>state</w:t>
      </w:r>
      <w:r w:rsidRPr="00755AA4">
        <w:t xml:space="preserve">s would result in a bias in the estimates. From the survey results we will examine whether there are differences in the characteristics </w:t>
      </w:r>
      <w:r w:rsidR="006A1A52">
        <w:t>within states</w:t>
      </w:r>
      <w:r w:rsidRPr="00755AA4">
        <w:t xml:space="preserve">, especially in a </w:t>
      </w:r>
      <w:r w:rsidR="006A1A52">
        <w:t>state</w:t>
      </w:r>
      <w:r w:rsidRPr="00755AA4">
        <w:t xml:space="preserve"> where the response rate is low.</w:t>
      </w:r>
      <w:r w:rsidR="009238F5" w:rsidRPr="00755AA4">
        <w:t xml:space="preserve"> </w:t>
      </w:r>
    </w:p>
    <w:p w:rsidR="009238F5" w:rsidRPr="00755AA4" w:rsidRDefault="009238F5" w:rsidP="004473C6">
      <w:pPr>
        <w:pStyle w:val="BodyText"/>
      </w:pPr>
    </w:p>
    <w:p w:rsidR="004473C6" w:rsidRPr="00755AA4" w:rsidRDefault="009238F5" w:rsidP="004473C6">
      <w:pPr>
        <w:pStyle w:val="BodyText"/>
      </w:pPr>
      <w:r w:rsidRPr="00755AA4">
        <w:t xml:space="preserve">In order to conduct this comparison, the external evaluator will compare returned surveys to </w:t>
      </w:r>
      <w:r w:rsidR="006A1A52">
        <w:t>site</w:t>
      </w:r>
      <w:r w:rsidRPr="00755AA4">
        <w:t xml:space="preserve"> registration lists provided by the </w:t>
      </w:r>
      <w:r w:rsidR="006A1A52">
        <w:t>site</w:t>
      </w:r>
      <w:r w:rsidRPr="00755AA4">
        <w:t xml:space="preserve">s. </w:t>
      </w:r>
      <w:r w:rsidR="006A1A52">
        <w:t xml:space="preserve">Sharing of registration lists will be a condition of sites’ </w:t>
      </w:r>
      <w:r w:rsidRPr="00755AA4">
        <w:t xml:space="preserve">participation in the evaluation. </w:t>
      </w:r>
    </w:p>
    <w:p w:rsidR="004473C6" w:rsidRPr="00755AA4" w:rsidRDefault="004473C6" w:rsidP="004473C6">
      <w:pPr>
        <w:pStyle w:val="BodyText"/>
        <w:rPr>
          <w:i/>
        </w:rPr>
      </w:pPr>
    </w:p>
    <w:p w:rsidR="004473C6" w:rsidRPr="00755AA4" w:rsidRDefault="004473C6" w:rsidP="004473C6">
      <w:pPr>
        <w:pStyle w:val="BodyText"/>
      </w:pPr>
      <w:r w:rsidRPr="00755AA4">
        <w:rPr>
          <w:i/>
        </w:rPr>
        <w:t xml:space="preserve">2. </w:t>
      </w:r>
      <w:r w:rsidR="00EA4CEF" w:rsidRPr="00755AA4">
        <w:rPr>
          <w:i/>
        </w:rPr>
        <w:t>Non-Response</w:t>
      </w:r>
      <w:r w:rsidRPr="00755AA4">
        <w:rPr>
          <w:i/>
        </w:rPr>
        <w:t xml:space="preserve"> Propensity Model.</w:t>
      </w:r>
      <w:r w:rsidRPr="00755AA4">
        <w:t xml:space="preserve"> Should the response rate fall below 85 percent we will construct a propensity model to estimate the probability of a student in responding to the survey both for responding and non</w:t>
      </w:r>
      <w:r w:rsidR="00EA4CEF" w:rsidRPr="00755AA4">
        <w:t>-</w:t>
      </w:r>
      <w:r w:rsidRPr="00755AA4">
        <w:t>responding students; this is called a propensity score. The estimated propensity scores come from a logistic regression model. The model will be based on variables which are available both for non</w:t>
      </w:r>
      <w:r w:rsidR="00EA4CEF" w:rsidRPr="00755AA4">
        <w:t>-</w:t>
      </w:r>
      <w:r w:rsidRPr="00755AA4">
        <w:t>responding and responding students. Students will be grouped using the estimated propensity scores. Within each group we will compare the frame characteristics of responding and non</w:t>
      </w:r>
      <w:r w:rsidR="00EA4CEF" w:rsidRPr="00755AA4">
        <w:t>-</w:t>
      </w:r>
      <w:r w:rsidR="0023282C">
        <w:t xml:space="preserve">responding students (e.g., grade level). </w:t>
      </w:r>
      <w:r w:rsidRPr="00755AA4">
        <w:t xml:space="preserve"> This grouping in addition to assessing the bias will also provide a method of forming weighting classes </w:t>
      </w:r>
      <w:r w:rsidR="00EA4CEF" w:rsidRPr="00755AA4">
        <w:t>f</w:t>
      </w:r>
      <w:r w:rsidRPr="00755AA4">
        <w:t xml:space="preserve">or adjusting the weights of responding students to reduce the bias due to </w:t>
      </w:r>
      <w:r w:rsidR="00EA4CEF" w:rsidRPr="00755AA4">
        <w:t>non-response</w:t>
      </w:r>
      <w:r w:rsidRPr="00755AA4">
        <w:t>.</w:t>
      </w:r>
    </w:p>
    <w:p w:rsidR="004239C8" w:rsidRPr="00755AA4" w:rsidRDefault="004239C8" w:rsidP="004473C6">
      <w:pPr>
        <w:pStyle w:val="BodyText"/>
      </w:pPr>
    </w:p>
    <w:p w:rsidR="004473C6" w:rsidRPr="00755AA4" w:rsidRDefault="004473C6" w:rsidP="004473C6">
      <w:pPr>
        <w:pStyle w:val="BodyText"/>
      </w:pPr>
    </w:p>
    <w:p w:rsidR="004473C6" w:rsidRPr="00755AA4" w:rsidRDefault="004473C6" w:rsidP="004473C6">
      <w:pPr>
        <w:pStyle w:val="NoSpacing"/>
        <w:spacing w:line="264" w:lineRule="auto"/>
        <w:rPr>
          <w:rFonts w:ascii="Times New Roman" w:hAnsi="Times New Roman" w:cs="Times New Roman"/>
        </w:rPr>
      </w:pPr>
      <w:r w:rsidRPr="00755AA4">
        <w:rPr>
          <w:rFonts w:ascii="Times New Roman" w:hAnsi="Times New Roman" w:cs="Times New Roman"/>
        </w:rPr>
        <w:t xml:space="preserve">To statistically adjust procedures to account for student non-response, the external evaluator will alter the models to include weights that compensate for the missing data from non-responders.  These weights will be derived from estimates of propensity scores, defined as the probability of being a complete case (i.e. a responder to multiple survey waves) given a responder’s demographic characteristics.  The estimates will be derived from a logistic regression predicting whether or not a student is a responder to both the first and the second survey based on his/her demographic variable values.  For students who responded to the first but not the second of the survey waves (i.e. partial responders), estimated probabilities can be obtained from the logistic regression, and multiplying these estimated probabilities by one minus the proportion of non-responders gives estimates of the propensity scores. Weights derived from these propensity score estimates can be used to prevent biased data analyses if (i) data from non-responders is missing “completely at random,” (ii) non-response on a single survey only is missing “at random” with respect to the demographic variables, and (iii) the logistic regression model is correct.  While, in practice, it is unlikely that these assumptions strictly hold, if the non-response rate is relatively low, then they are </w:t>
      </w:r>
      <w:r w:rsidRPr="00755AA4">
        <w:rPr>
          <w:rFonts w:ascii="Times New Roman" w:hAnsi="Times New Roman" w:cs="Times New Roman"/>
        </w:rPr>
        <w:lastRenderedPageBreak/>
        <w:t>sufficiently plausible that weights based on them will have some value in limiting bias due to non-response.</w:t>
      </w:r>
    </w:p>
    <w:p w:rsidR="004473C6" w:rsidRPr="00755AA4" w:rsidRDefault="004473C6" w:rsidP="004473C6">
      <w:pPr>
        <w:pStyle w:val="NoSpacing"/>
        <w:spacing w:line="264" w:lineRule="auto"/>
        <w:rPr>
          <w:rFonts w:ascii="Times New Roman" w:hAnsi="Times New Roman" w:cs="Times New Roman"/>
        </w:rPr>
      </w:pPr>
    </w:p>
    <w:p w:rsidR="004473C6" w:rsidRPr="00755AA4" w:rsidRDefault="004473C6" w:rsidP="004473C6">
      <w:pPr>
        <w:pStyle w:val="NoSpacing"/>
        <w:spacing w:line="264" w:lineRule="auto"/>
        <w:rPr>
          <w:rFonts w:ascii="Times New Roman" w:hAnsi="Times New Roman" w:cs="Times New Roman"/>
        </w:rPr>
      </w:pPr>
      <w:r w:rsidRPr="00755AA4">
        <w:rPr>
          <w:rFonts w:ascii="Times New Roman" w:hAnsi="Times New Roman" w:cs="Times New Roman"/>
        </w:rPr>
        <w:t xml:space="preserve">Under these assumptions, weights equal to the reciprocals of the estimated propensity scores can be used in complete case data analyses to produce approximately unbiased results; e.g., performing weighted t-tests on continuous outcomes.  However, the presence of observations with large weights (i.e., reciprocals of very small propensity scores) may result in estimates with high variability.  It is therefore often useful to “trade off” some bias for a lessening of variance by developing weighting classes based on the estimated propensity scores of complete cases and of students who only responded to one survey.  All of these students are sorted by their estimated propensity scores, and the sorted list is partitioned into quintiles.  Each quintile constitutes a weighting class, and all students in a weighting class are assigned the same weight, namely, the reciprocal of the proportion of complete cases in the weighting class.  </w:t>
      </w:r>
    </w:p>
    <w:p w:rsidR="004473C6" w:rsidRPr="00755AA4" w:rsidRDefault="004473C6" w:rsidP="004473C6">
      <w:pPr>
        <w:pStyle w:val="BodyText"/>
      </w:pPr>
    </w:p>
    <w:bookmarkEnd w:id="17"/>
    <w:bookmarkEnd w:id="18"/>
    <w:bookmarkEnd w:id="19"/>
    <w:p w:rsidR="00C86499" w:rsidRDefault="00B46E3A" w:rsidP="00B46E3A">
      <w:pPr>
        <w:pStyle w:val="Heading2"/>
      </w:pPr>
      <w:r>
        <w:t>B.  .</w:t>
      </w:r>
      <w:r w:rsidR="00C86499" w:rsidRPr="00755AA4">
        <w:t xml:space="preserve"> DESCRIBE ANY TESTS OF PROCEDURES OR METHODS TO BE UNDERTAKEN.  </w:t>
      </w:r>
    </w:p>
    <w:p w:rsidR="00B46E3A" w:rsidRPr="00B46E3A" w:rsidRDefault="00B46E3A" w:rsidP="00B46E3A"/>
    <w:p w:rsidR="00465E42" w:rsidRDefault="00551C32" w:rsidP="0078364D">
      <w:pPr>
        <w:pStyle w:val="BodyText"/>
      </w:pPr>
      <w:r w:rsidRPr="00755AA4">
        <w:t xml:space="preserve">Survey development and </w:t>
      </w:r>
      <w:r w:rsidR="00886FA5" w:rsidRPr="00755AA4">
        <w:t xml:space="preserve">procedures were tested and refined as follows. </w:t>
      </w:r>
      <w:r w:rsidR="00925E5E" w:rsidRPr="00755AA4">
        <w:t>The 2010</w:t>
      </w:r>
      <w:r w:rsidR="00C7443A" w:rsidRPr="00755AA4">
        <w:t xml:space="preserve"> pilot surveys were fielded in summer 2010, revised in fall 2010, and updated in winter 201</w:t>
      </w:r>
      <w:r w:rsidR="00903F90" w:rsidRPr="00755AA4">
        <w:t>0</w:t>
      </w:r>
      <w:r w:rsidR="00C7443A" w:rsidRPr="00755AA4">
        <w:t xml:space="preserve"> to measure outcomes of interest in FY2011. </w:t>
      </w:r>
      <w:r w:rsidR="00A02CDF">
        <w:t xml:space="preserve">The survey instruments, including the STEM attitudinal scale, were modified and administered in FY2013 and FY2015. Because NASA </w:t>
      </w:r>
      <w:r w:rsidR="005A5145" w:rsidRPr="00755AA4">
        <w:t xml:space="preserve">has administered </w:t>
      </w:r>
      <w:r w:rsidR="00A02CDF">
        <w:t>the modified instruments f</w:t>
      </w:r>
      <w:r w:rsidR="005A5145" w:rsidRPr="00755AA4">
        <w:t xml:space="preserve">or two consecutive years, no further field testing was conducted. </w:t>
      </w:r>
    </w:p>
    <w:p w:rsidR="0054697C" w:rsidRPr="00755AA4" w:rsidRDefault="0054697C" w:rsidP="0078364D">
      <w:pPr>
        <w:pStyle w:val="BodyText"/>
      </w:pPr>
    </w:p>
    <w:p w:rsidR="00134E2F" w:rsidRPr="00755AA4" w:rsidRDefault="00932DCA" w:rsidP="0078364D">
      <w:pPr>
        <w:pStyle w:val="BodyText"/>
        <w:rPr>
          <w:szCs w:val="22"/>
        </w:rPr>
      </w:pPr>
      <w:r w:rsidRPr="00755AA4">
        <w:t xml:space="preserve">For </w:t>
      </w:r>
      <w:r w:rsidR="00A02CDF">
        <w:t>the survey instruments</w:t>
      </w:r>
      <w:r w:rsidR="00465E42" w:rsidRPr="00755AA4">
        <w:t xml:space="preserve"> included in this clearance package</w:t>
      </w:r>
      <w:r w:rsidRPr="00755AA4">
        <w:t xml:space="preserve">, </w:t>
      </w:r>
      <w:r w:rsidR="00886FA5" w:rsidRPr="00755AA4">
        <w:t xml:space="preserve">existing </w:t>
      </w:r>
      <w:r w:rsidR="007C1F73" w:rsidRPr="00755AA4">
        <w:t xml:space="preserve">question items or validated item scales </w:t>
      </w:r>
      <w:r w:rsidR="00886FA5" w:rsidRPr="00755AA4">
        <w:t xml:space="preserve">were selected after an extensive literature review </w:t>
      </w:r>
      <w:r w:rsidR="007C1F73" w:rsidRPr="00755AA4">
        <w:t xml:space="preserve">and consultation with experts. </w:t>
      </w:r>
      <w:r w:rsidR="005A5145" w:rsidRPr="00755AA4">
        <w:rPr>
          <w:szCs w:val="22"/>
        </w:rPr>
        <w:t xml:space="preserve">Given that the </w:t>
      </w:r>
      <w:r w:rsidR="0054697C">
        <w:rPr>
          <w:szCs w:val="22"/>
        </w:rPr>
        <w:t xml:space="preserve">youth </w:t>
      </w:r>
      <w:r w:rsidR="005A5145" w:rsidRPr="00755AA4">
        <w:rPr>
          <w:szCs w:val="22"/>
        </w:rPr>
        <w:t>surveys were developed using validated question items and scales that have been utilized in other national studies, no cognitive testing was completed.</w:t>
      </w:r>
      <w:r w:rsidR="005A5145" w:rsidRPr="00755AA4">
        <w:t xml:space="preserve"> </w:t>
      </w:r>
      <w:r w:rsidR="0054697C">
        <w:rPr>
          <w:szCs w:val="22"/>
        </w:rPr>
        <w:t>The youth</w:t>
      </w:r>
      <w:r w:rsidR="00F87551" w:rsidRPr="00755AA4">
        <w:rPr>
          <w:szCs w:val="22"/>
        </w:rPr>
        <w:t xml:space="preserve"> surveys </w:t>
      </w:r>
      <w:r w:rsidR="0054697C">
        <w:rPr>
          <w:szCs w:val="22"/>
        </w:rPr>
        <w:t xml:space="preserve">were tested in </w:t>
      </w:r>
      <w:r w:rsidR="00A02CDF">
        <w:rPr>
          <w:szCs w:val="22"/>
        </w:rPr>
        <w:t>FY2013</w:t>
      </w:r>
      <w:r w:rsidR="0054697C">
        <w:rPr>
          <w:szCs w:val="22"/>
        </w:rPr>
        <w:t xml:space="preserve"> </w:t>
      </w:r>
      <w:r w:rsidR="00F87551" w:rsidRPr="00755AA4">
        <w:rPr>
          <w:szCs w:val="22"/>
        </w:rPr>
        <w:t>with 6</w:t>
      </w:r>
      <w:r w:rsidR="007C1F73" w:rsidRPr="00755AA4">
        <w:rPr>
          <w:szCs w:val="22"/>
        </w:rPr>
        <w:t xml:space="preserve"> middle school students to </w:t>
      </w:r>
      <w:r w:rsidR="00465E42" w:rsidRPr="00755AA4">
        <w:rPr>
          <w:szCs w:val="22"/>
        </w:rPr>
        <w:t>assess any adapted question items for comprehensibility and to e</w:t>
      </w:r>
      <w:r w:rsidR="007C1F73" w:rsidRPr="00755AA4">
        <w:rPr>
          <w:szCs w:val="22"/>
        </w:rPr>
        <w:t xml:space="preserve">stimate time for completion. </w:t>
      </w:r>
      <w:r w:rsidR="00FA1E23" w:rsidRPr="00755AA4">
        <w:rPr>
          <w:szCs w:val="22"/>
        </w:rPr>
        <w:t xml:space="preserve"> Esti</w:t>
      </w:r>
      <w:r w:rsidR="009F25AF">
        <w:rPr>
          <w:szCs w:val="22"/>
        </w:rPr>
        <w:t xml:space="preserve">mated times for completion are </w:t>
      </w:r>
      <w:r w:rsidR="00FA1E23" w:rsidRPr="00755AA4">
        <w:rPr>
          <w:szCs w:val="22"/>
        </w:rPr>
        <w:t xml:space="preserve">based on these tests.  </w:t>
      </w:r>
    </w:p>
    <w:p w:rsidR="00FA1E23" w:rsidRDefault="00FA1E23" w:rsidP="0078364D">
      <w:pPr>
        <w:pStyle w:val="BodyText"/>
        <w:rPr>
          <w:szCs w:val="22"/>
        </w:rPr>
      </w:pPr>
    </w:p>
    <w:p w:rsidR="00B46E3A" w:rsidRPr="00755AA4" w:rsidRDefault="00B46E3A" w:rsidP="0078364D">
      <w:pPr>
        <w:pStyle w:val="BodyText"/>
        <w:rPr>
          <w:szCs w:val="22"/>
        </w:rPr>
      </w:pPr>
    </w:p>
    <w:p w:rsidR="00CC7947" w:rsidRPr="00755AA4" w:rsidRDefault="00CC7947" w:rsidP="005A2A9D">
      <w:pPr>
        <w:pStyle w:val="Heading2"/>
      </w:pPr>
      <w:bookmarkStart w:id="20" w:name="_Toc8118902"/>
      <w:bookmarkStart w:id="21" w:name="_Toc81803532"/>
      <w:bookmarkStart w:id="22" w:name="_Toc88301201"/>
      <w:bookmarkStart w:id="23" w:name="_Toc216244992"/>
      <w:bookmarkStart w:id="24" w:name="_Toc339396399"/>
      <w:r w:rsidRPr="00755AA4">
        <w:rPr>
          <w:szCs w:val="28"/>
        </w:rPr>
        <w:t>B.5</w:t>
      </w:r>
      <w:r w:rsidRPr="00755AA4">
        <w:rPr>
          <w:szCs w:val="28"/>
        </w:rPr>
        <w:tab/>
      </w:r>
      <w:bookmarkEnd w:id="20"/>
      <w:bookmarkEnd w:id="21"/>
      <w:bookmarkEnd w:id="22"/>
      <w:bookmarkEnd w:id="23"/>
      <w:bookmarkEnd w:id="24"/>
      <w:r w:rsidR="005A2A9D" w:rsidRPr="00755AA4">
        <w:t xml:space="preserve">PROVIDE THE NAME AND TELEPHONE NUMBER OF INDIVIDUALS CONSULTED ON STATISTICAL ASPECTS OF THE DESIGN AND THE NAME OF THE AGENCY UNIT, CONTRACTOR(S), GRANTEE(S), OR OTHER PERSON(S) WHO WILL ACTUALLY COLLECT AND/OR ANALYZE THE INFORMATION FOR THE AGENCY.  </w:t>
      </w:r>
    </w:p>
    <w:p w:rsidR="005A2A9D" w:rsidRPr="00755AA4" w:rsidRDefault="005A2A9D" w:rsidP="005A2A9D"/>
    <w:p w:rsidR="00901D1C" w:rsidRDefault="00CC7947" w:rsidP="00302A4A">
      <w:pPr>
        <w:pStyle w:val="BodyText"/>
        <w:rPr>
          <w:szCs w:val="22"/>
        </w:rPr>
      </w:pPr>
      <w:r w:rsidRPr="00755AA4">
        <w:t>The plans for statistical analyses for this study were primaril</w:t>
      </w:r>
      <w:r w:rsidR="009802B1" w:rsidRPr="00755AA4">
        <w:t xml:space="preserve">y developed by </w:t>
      </w:r>
      <w:r w:rsidR="005A5145" w:rsidRPr="00755AA4">
        <w:t>NASA staff.</w:t>
      </w:r>
      <w:r w:rsidR="00EB7DBB" w:rsidRPr="00755AA4">
        <w:rPr>
          <w:szCs w:val="22"/>
        </w:rPr>
        <w:t xml:space="preserve"> </w:t>
      </w:r>
      <w:r w:rsidR="00AC047B">
        <w:rPr>
          <w:szCs w:val="22"/>
        </w:rPr>
        <w:t>Paragon TEC with the Pacific Institute for Research and Evaluation</w:t>
      </w:r>
      <w:r w:rsidR="00EB7DBB" w:rsidRPr="00755AA4">
        <w:rPr>
          <w:szCs w:val="22"/>
        </w:rPr>
        <w:t xml:space="preserve"> provided information for the sub-sections on response rates and the non-response bias analysis. </w:t>
      </w:r>
    </w:p>
    <w:p w:rsidR="00413390" w:rsidRDefault="00413390" w:rsidP="00302A4A">
      <w:pPr>
        <w:pStyle w:val="BodyText"/>
        <w:rPr>
          <w:szCs w:val="22"/>
        </w:rPr>
      </w:pPr>
    </w:p>
    <w:p w:rsidR="00901D1C" w:rsidRDefault="00901D1C" w:rsidP="00901D1C">
      <w:pPr>
        <w:pStyle w:val="BodyText"/>
        <w:ind w:left="720"/>
        <w:rPr>
          <w:szCs w:val="22"/>
        </w:rPr>
      </w:pPr>
      <w:r>
        <w:rPr>
          <w:szCs w:val="22"/>
        </w:rPr>
        <w:t>Patricia Moore Shaffer, Ph.D., NASA Office of Education, 202-358-5230</w:t>
      </w:r>
    </w:p>
    <w:p w:rsidR="00901D1C" w:rsidRDefault="00901D1C" w:rsidP="00901D1C">
      <w:pPr>
        <w:pStyle w:val="BodyText"/>
        <w:ind w:left="720"/>
        <w:rPr>
          <w:szCs w:val="22"/>
        </w:rPr>
      </w:pPr>
      <w:r>
        <w:rPr>
          <w:szCs w:val="22"/>
        </w:rPr>
        <w:t>William Scarbrough, Ph.D., Pacific Institute for Research and Evaluation, 502-238-7326</w:t>
      </w:r>
    </w:p>
    <w:p w:rsidR="00413390" w:rsidRPr="00755AA4" w:rsidRDefault="00413390" w:rsidP="00901D1C">
      <w:pPr>
        <w:pStyle w:val="BodyText"/>
        <w:ind w:left="720"/>
        <w:rPr>
          <w:szCs w:val="22"/>
        </w:rPr>
      </w:pPr>
    </w:p>
    <w:p w:rsidR="00413390" w:rsidRDefault="005A2A9D" w:rsidP="00413390">
      <w:pPr>
        <w:pStyle w:val="BodyText"/>
        <w:rPr>
          <w:szCs w:val="22"/>
        </w:rPr>
      </w:pPr>
      <w:r w:rsidRPr="00755AA4">
        <w:rPr>
          <w:szCs w:val="22"/>
        </w:rPr>
        <w:t xml:space="preserve">The Office of Education Infrastructure </w:t>
      </w:r>
      <w:r w:rsidR="00413390">
        <w:rPr>
          <w:szCs w:val="22"/>
        </w:rPr>
        <w:t>Services (OEIS</w:t>
      </w:r>
      <w:r w:rsidRPr="00755AA4">
        <w:rPr>
          <w:szCs w:val="22"/>
        </w:rPr>
        <w:t>) was responsible for developing this clearance package</w:t>
      </w:r>
      <w:r w:rsidR="00413390">
        <w:rPr>
          <w:szCs w:val="22"/>
        </w:rPr>
        <w:t>. OEIS</w:t>
      </w:r>
      <w:r w:rsidR="00510CFF">
        <w:rPr>
          <w:szCs w:val="22"/>
        </w:rPr>
        <w:t xml:space="preserve"> w</w:t>
      </w:r>
      <w:r w:rsidRPr="00755AA4">
        <w:rPr>
          <w:szCs w:val="22"/>
        </w:rPr>
        <w:t>ill provide oversight of the evaluation study</w:t>
      </w:r>
      <w:r w:rsidR="00413390">
        <w:rPr>
          <w:szCs w:val="22"/>
        </w:rPr>
        <w:t>.</w:t>
      </w:r>
      <w:r w:rsidR="00413390" w:rsidRPr="00413390">
        <w:rPr>
          <w:szCs w:val="22"/>
        </w:rPr>
        <w:t xml:space="preserve"> </w:t>
      </w:r>
      <w:r w:rsidR="00413390">
        <w:rPr>
          <w:szCs w:val="22"/>
        </w:rPr>
        <w:t xml:space="preserve">The following individual </w:t>
      </w:r>
      <w:r w:rsidR="00EA0FA8">
        <w:rPr>
          <w:szCs w:val="22"/>
        </w:rPr>
        <w:t>is</w:t>
      </w:r>
      <w:r w:rsidR="00413390">
        <w:rPr>
          <w:szCs w:val="22"/>
        </w:rPr>
        <w:t xml:space="preserve"> the primary statistical leads for this collection: </w:t>
      </w:r>
    </w:p>
    <w:p w:rsidR="00B46E3A" w:rsidRDefault="00B46E3A" w:rsidP="00413390">
      <w:pPr>
        <w:pStyle w:val="BodyText"/>
        <w:ind w:left="720"/>
        <w:rPr>
          <w:szCs w:val="22"/>
        </w:rPr>
      </w:pPr>
    </w:p>
    <w:p w:rsidR="00413390" w:rsidRPr="00C64C9F" w:rsidRDefault="00413390" w:rsidP="00413390">
      <w:pPr>
        <w:pStyle w:val="BodyText"/>
        <w:ind w:left="720"/>
        <w:rPr>
          <w:szCs w:val="22"/>
        </w:rPr>
      </w:pPr>
      <w:r w:rsidRPr="00C64C9F">
        <w:rPr>
          <w:szCs w:val="22"/>
        </w:rPr>
        <w:lastRenderedPageBreak/>
        <w:t xml:space="preserve">Lisa Wills, Ph.D., Valador, Inc., Support Contractor to the NASA Office of Education, </w:t>
      </w:r>
      <w:r w:rsidR="00C64C9F" w:rsidRPr="00C64C9F">
        <w:rPr>
          <w:szCs w:val="22"/>
        </w:rPr>
        <w:t>202-358-1474</w:t>
      </w:r>
    </w:p>
    <w:p w:rsidR="00413390" w:rsidRPr="00C64C9F" w:rsidRDefault="00413390" w:rsidP="00302A4A">
      <w:pPr>
        <w:pStyle w:val="BodyText"/>
        <w:rPr>
          <w:sz w:val="24"/>
          <w:szCs w:val="24"/>
        </w:rPr>
      </w:pPr>
    </w:p>
    <w:p w:rsidR="006665BF" w:rsidRPr="00755AA4" w:rsidRDefault="006665BF" w:rsidP="00302A4A">
      <w:pPr>
        <w:pStyle w:val="BodyText"/>
        <w:rPr>
          <w:szCs w:val="22"/>
        </w:rPr>
      </w:pPr>
    </w:p>
    <w:p w:rsidR="006665BF" w:rsidRPr="00755AA4" w:rsidRDefault="006665BF" w:rsidP="00302A4A">
      <w:pPr>
        <w:pStyle w:val="BodyText"/>
        <w:rPr>
          <w:szCs w:val="22"/>
        </w:rPr>
      </w:pPr>
    </w:p>
    <w:p w:rsidR="006665BF" w:rsidRPr="00755AA4" w:rsidRDefault="006665BF" w:rsidP="00F82874">
      <w:pPr>
        <w:pStyle w:val="BodyText"/>
        <w:keepNext/>
        <w:keepLines/>
        <w:widowControl w:val="0"/>
        <w:rPr>
          <w:szCs w:val="22"/>
        </w:rPr>
      </w:pPr>
      <w:r w:rsidRPr="00755AA4">
        <w:rPr>
          <w:szCs w:val="22"/>
        </w:rPr>
        <w:t>REFERENCES</w:t>
      </w:r>
    </w:p>
    <w:p w:rsidR="006665BF" w:rsidRPr="00755AA4" w:rsidRDefault="006665BF" w:rsidP="00F82874">
      <w:pPr>
        <w:pStyle w:val="BodyText"/>
        <w:keepNext/>
        <w:keepLines/>
        <w:widowControl w:val="0"/>
        <w:rPr>
          <w:szCs w:val="22"/>
        </w:rPr>
      </w:pPr>
    </w:p>
    <w:p w:rsidR="00EB7DBB" w:rsidRPr="00755AA4" w:rsidRDefault="00EB7DBB" w:rsidP="00F82874">
      <w:pPr>
        <w:keepNext/>
        <w:keepLines/>
        <w:widowControl w:val="0"/>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Bulunuz, M. &amp; Jarrett, O., (2009). Developing an interest in science: Background experiences of preservice elementary teachers. </w:t>
      </w:r>
      <w:r w:rsidR="00444C27" w:rsidRPr="00755AA4">
        <w:rPr>
          <w:i/>
          <w:szCs w:val="22"/>
        </w:rPr>
        <w:t xml:space="preserve">International Journal of Environmental and Science Education 5, </w:t>
      </w:r>
      <w:r w:rsidR="00444C27" w:rsidRPr="00755AA4">
        <w:rPr>
          <w:szCs w:val="22"/>
        </w:rPr>
        <w:t xml:space="preserve">1 (January 2010), 65-84. </w:t>
      </w:r>
    </w:p>
    <w:p w:rsidR="00EB7DBB" w:rsidRPr="00755AA4" w:rsidRDefault="00EB7DBB" w:rsidP="002263FC">
      <w:pPr>
        <w:tabs>
          <w:tab w:val="clear" w:pos="720"/>
          <w:tab w:val="clear" w:pos="1080"/>
          <w:tab w:val="clear" w:pos="1440"/>
          <w:tab w:val="clear" w:pos="1800"/>
        </w:tabs>
        <w:autoSpaceDE w:val="0"/>
        <w:autoSpaceDN w:val="0"/>
        <w:adjustRightInd w:val="0"/>
        <w:spacing w:line="240" w:lineRule="auto"/>
        <w:rPr>
          <w:szCs w:val="22"/>
        </w:rPr>
      </w:pPr>
    </w:p>
    <w:p w:rsidR="002263FC" w:rsidRPr="00755AA4" w:rsidRDefault="002263FC"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Cabrera, A. F. N., &amp; Steven M. (2000). Understanding the college-choice process. </w:t>
      </w:r>
      <w:r w:rsidRPr="00755AA4">
        <w:rPr>
          <w:i/>
          <w:szCs w:val="22"/>
        </w:rPr>
        <w:t>New Directions for Institutional Research</w:t>
      </w:r>
      <w:r w:rsidRPr="00755AA4">
        <w:rPr>
          <w:szCs w:val="22"/>
        </w:rPr>
        <w:t xml:space="preserve">: 5-22; Choy, S. P. (2002). </w:t>
      </w:r>
      <w:r w:rsidRPr="00755AA4">
        <w:rPr>
          <w:i/>
          <w:szCs w:val="22"/>
        </w:rPr>
        <w:t>Access &amp; persistence: Findings from 10 Years of Longitudinal Research on Students</w:t>
      </w:r>
      <w:r w:rsidRPr="00755AA4">
        <w:rPr>
          <w:szCs w:val="22"/>
        </w:rPr>
        <w:t>. Washington DC, American Council on Education Center for Policy Analysis.</w:t>
      </w:r>
    </w:p>
    <w:p w:rsidR="002263FC" w:rsidRPr="00755AA4" w:rsidRDefault="002263FC" w:rsidP="006665BF">
      <w:pPr>
        <w:tabs>
          <w:tab w:val="clear" w:pos="720"/>
          <w:tab w:val="clear" w:pos="1080"/>
          <w:tab w:val="clear" w:pos="1440"/>
          <w:tab w:val="clear" w:pos="1800"/>
        </w:tabs>
        <w:autoSpaceDE w:val="0"/>
        <w:autoSpaceDN w:val="0"/>
        <w:adjustRightInd w:val="0"/>
        <w:spacing w:line="240" w:lineRule="auto"/>
        <w:rPr>
          <w:szCs w:val="22"/>
        </w:rPr>
      </w:pPr>
    </w:p>
    <w:p w:rsidR="00C35452" w:rsidRPr="00755AA4" w:rsidRDefault="00C35452" w:rsidP="00C35452">
      <w:pPr>
        <w:pStyle w:val="FootnoteText"/>
        <w:ind w:left="0" w:firstLine="0"/>
        <w:rPr>
          <w:sz w:val="22"/>
          <w:szCs w:val="22"/>
        </w:rPr>
      </w:pPr>
      <w:r w:rsidRPr="00755AA4">
        <w:rPr>
          <w:sz w:val="22"/>
          <w:szCs w:val="22"/>
        </w:rPr>
        <w:t xml:space="preserve">Cohen, J. (1969). </w:t>
      </w:r>
      <w:r w:rsidRPr="00755AA4">
        <w:rPr>
          <w:i/>
          <w:sz w:val="22"/>
          <w:szCs w:val="22"/>
        </w:rPr>
        <w:t>Statistical power analysis for the behavioral sciences</w:t>
      </w:r>
      <w:r w:rsidRPr="00755AA4">
        <w:rPr>
          <w:sz w:val="22"/>
          <w:szCs w:val="22"/>
        </w:rPr>
        <w:t>. Hillsdale, NJ: Lawrence Erlbaum Associates.</w:t>
      </w: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Dillman, D. A. (2000). </w:t>
      </w:r>
      <w:r w:rsidRPr="00755AA4">
        <w:rPr>
          <w:i/>
          <w:iCs/>
          <w:szCs w:val="22"/>
        </w:rPr>
        <w:t xml:space="preserve">Mail and Internet surveys: The tailored design method </w:t>
      </w:r>
      <w:r w:rsidRPr="00755AA4">
        <w:rPr>
          <w:szCs w:val="22"/>
        </w:rPr>
        <w:t>(2nd ed.). New York: John Wiley.</w:t>
      </w: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p>
    <w:p w:rsidR="00C30408" w:rsidRPr="00755AA4" w:rsidRDefault="00C30408"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Ferry, N. (2006). Factors influencing career choices of adolescents and young adults in rural Pennsylvania. </w:t>
      </w:r>
      <w:r w:rsidRPr="00755AA4">
        <w:rPr>
          <w:i/>
          <w:szCs w:val="22"/>
        </w:rPr>
        <w:t xml:space="preserve">Journal of Extension 44, </w:t>
      </w:r>
      <w:r w:rsidRPr="00755AA4">
        <w:rPr>
          <w:szCs w:val="22"/>
        </w:rPr>
        <w:t xml:space="preserve">3 (June 2006). Retrieved January 3, 2013, from: </w:t>
      </w:r>
      <w:hyperlink r:id="rId8" w:history="1">
        <w:r w:rsidRPr="00755AA4">
          <w:rPr>
            <w:rStyle w:val="Hyperlink"/>
            <w:szCs w:val="22"/>
          </w:rPr>
          <w:t>http://www.joe.org/joe/2006june/rb7.php</w:t>
        </w:r>
      </w:hyperlink>
      <w:r w:rsidRPr="00755AA4">
        <w:rPr>
          <w:szCs w:val="22"/>
        </w:rPr>
        <w:t xml:space="preserve">. </w:t>
      </w:r>
    </w:p>
    <w:p w:rsidR="00C30408" w:rsidRPr="00755AA4" w:rsidRDefault="00C30408" w:rsidP="002263FC">
      <w:pPr>
        <w:tabs>
          <w:tab w:val="clear" w:pos="720"/>
          <w:tab w:val="clear" w:pos="1080"/>
          <w:tab w:val="clear" w:pos="1440"/>
          <w:tab w:val="clear" w:pos="1800"/>
        </w:tabs>
        <w:autoSpaceDE w:val="0"/>
        <w:autoSpaceDN w:val="0"/>
        <w:adjustRightInd w:val="0"/>
        <w:spacing w:line="240" w:lineRule="auto"/>
        <w:rPr>
          <w:szCs w:val="22"/>
        </w:rPr>
      </w:pPr>
    </w:p>
    <w:p w:rsidR="002263FC" w:rsidRPr="00755AA4" w:rsidRDefault="002263FC" w:rsidP="002263FC">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Hossler, D., Schmidt, J. &amp; Vesper, N. (1999). </w:t>
      </w:r>
      <w:r w:rsidRPr="00755AA4">
        <w:rPr>
          <w:i/>
          <w:szCs w:val="22"/>
        </w:rPr>
        <w:t>Going to college: How social, economic, and educational factors influence the decisions students make</w:t>
      </w:r>
      <w:r w:rsidRPr="00755AA4">
        <w:rPr>
          <w:szCs w:val="22"/>
        </w:rPr>
        <w:t>. Baltimore: The Johns Hopkins University Press.</w:t>
      </w:r>
    </w:p>
    <w:p w:rsidR="002263FC" w:rsidRPr="00755AA4" w:rsidRDefault="002263FC"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Jarrett, O.S., &amp; Burnley, P.C. (2007). The role of fun, playfulness, and creativity in science: Lessons from geoscientists. In D. Sluss &amp; O. Jarrett (Eds.) </w:t>
      </w:r>
      <w:r w:rsidRPr="00755AA4">
        <w:rPr>
          <w:i/>
          <w:iCs/>
          <w:szCs w:val="22"/>
        </w:rPr>
        <w:t xml:space="preserve">Investigating play in the 21st Century: Play and Culture Studies, Vol. 7 </w:t>
      </w:r>
      <w:r w:rsidRPr="00755AA4">
        <w:rPr>
          <w:szCs w:val="22"/>
        </w:rPr>
        <w:t>(pp. 188-202). Lanham, MD: University Press of America.</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Kegan, T. R. (1989). How Charles Darwin became a psychologist. In D. B. Wallace &amp; H. E. Gruber (Eds.), </w:t>
      </w:r>
      <w:r w:rsidRPr="00755AA4">
        <w:rPr>
          <w:i/>
          <w:iCs/>
          <w:szCs w:val="22"/>
        </w:rPr>
        <w:t xml:space="preserve">Creative people at work: Twelve cognitive case studies </w:t>
      </w:r>
      <w:r w:rsidRPr="00755AA4">
        <w:rPr>
          <w:szCs w:val="22"/>
        </w:rPr>
        <w:t>(pp. 107-126). New York: Ox-ford University Press.</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6665BF" w:rsidRPr="00755AA4" w:rsidRDefault="006665BF"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L’Engle, K.L., Pardun, C., &amp; Brown, J. (2004). Accessing adolescents: A school-recruited, home-based approach to conducting media and health research</w:t>
      </w:r>
      <w:r w:rsidRPr="00755AA4">
        <w:rPr>
          <w:i/>
          <w:szCs w:val="22"/>
        </w:rPr>
        <w:t xml:space="preserve">. </w:t>
      </w:r>
      <w:r w:rsidR="00E057FF" w:rsidRPr="00755AA4">
        <w:rPr>
          <w:i/>
          <w:szCs w:val="22"/>
        </w:rPr>
        <w:t>Journal of Early Adolescence, 24</w:t>
      </w:r>
      <w:r w:rsidR="00E057FF" w:rsidRPr="00755AA4">
        <w:rPr>
          <w:szCs w:val="22"/>
        </w:rPr>
        <w:t xml:space="preserve">,  2, 144-158. </w:t>
      </w:r>
      <w:r w:rsidRPr="00755AA4">
        <w:rPr>
          <w:szCs w:val="22"/>
        </w:rPr>
        <w:t xml:space="preserve">Retrieved January 2, 2013, from: </w:t>
      </w:r>
      <w:hyperlink r:id="rId9" w:history="1">
        <w:r w:rsidR="00D02AC8" w:rsidRPr="00755AA4">
          <w:rPr>
            <w:rStyle w:val="Hyperlink"/>
            <w:szCs w:val="22"/>
          </w:rPr>
          <w:t>http://www.unc.edu/depts/jomc/teenmedia/pdf/Accessing.pdf</w:t>
        </w:r>
      </w:hyperlink>
      <w:r w:rsidRPr="00755AA4">
        <w:rPr>
          <w:szCs w:val="22"/>
        </w:rPr>
        <w:t>.</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McDonough, P. M. (1997). </w:t>
      </w:r>
      <w:r w:rsidRPr="00755AA4">
        <w:rPr>
          <w:i/>
          <w:szCs w:val="22"/>
        </w:rPr>
        <w:t xml:space="preserve">Choosing colleges: How social class and schools structure opportunity. </w:t>
      </w:r>
      <w:r w:rsidRPr="00755AA4">
        <w:rPr>
          <w:szCs w:val="22"/>
        </w:rPr>
        <w:t>Albany: State University of New York Press.</w:t>
      </w: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Rowsey, R.E. (1997). The effects of teachers and schooling on the vocational choice of university research scientists. </w:t>
      </w:r>
      <w:r w:rsidRPr="00755AA4">
        <w:rPr>
          <w:i/>
          <w:iCs/>
          <w:szCs w:val="22"/>
        </w:rPr>
        <w:t>School Science and Mathematics, 97</w:t>
      </w:r>
      <w:r w:rsidRPr="00755AA4">
        <w:rPr>
          <w:szCs w:val="22"/>
        </w:rPr>
        <w:t>(1), 20-27.</w:t>
      </w: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p>
    <w:p w:rsidR="00D02AC8" w:rsidRPr="00755AA4" w:rsidRDefault="00D02AC8"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Shepard, R. (1988). The imagination of the scientist. In K. Egan &amp; D. Nadaner (Eds.), </w:t>
      </w:r>
      <w:r w:rsidRPr="00755AA4">
        <w:rPr>
          <w:i/>
          <w:iCs/>
          <w:szCs w:val="22"/>
        </w:rPr>
        <w:t xml:space="preserve">Imagination across the curriculum </w:t>
      </w:r>
      <w:r w:rsidRPr="00755AA4">
        <w:rPr>
          <w:szCs w:val="22"/>
        </w:rPr>
        <w:t>(pp.153-185). New York: Teachers College Press.</w:t>
      </w: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p>
    <w:p w:rsidR="003C3186" w:rsidRPr="00755AA4" w:rsidRDefault="003C3186" w:rsidP="006665BF">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Swail, W. S. &amp; Hosford, S. (2007). </w:t>
      </w:r>
      <w:r w:rsidRPr="00755AA4">
        <w:rPr>
          <w:i/>
          <w:szCs w:val="22"/>
        </w:rPr>
        <w:t xml:space="preserve">Missouri students and the pathway to college. </w:t>
      </w:r>
      <w:r w:rsidRPr="00755AA4">
        <w:rPr>
          <w:szCs w:val="22"/>
        </w:rPr>
        <w:t>Virginia Beach, VA: Educational Policy Institute.</w:t>
      </w:r>
    </w:p>
    <w:p w:rsidR="00855219" w:rsidRPr="00755AA4" w:rsidRDefault="00855219" w:rsidP="006665BF">
      <w:pPr>
        <w:tabs>
          <w:tab w:val="clear" w:pos="720"/>
          <w:tab w:val="clear" w:pos="1080"/>
          <w:tab w:val="clear" w:pos="1440"/>
          <w:tab w:val="clear" w:pos="1800"/>
        </w:tabs>
        <w:autoSpaceDE w:val="0"/>
        <w:autoSpaceDN w:val="0"/>
        <w:adjustRightInd w:val="0"/>
        <w:spacing w:line="240" w:lineRule="auto"/>
        <w:rPr>
          <w:szCs w:val="22"/>
        </w:rPr>
      </w:pPr>
    </w:p>
    <w:p w:rsidR="00335628" w:rsidRPr="00755AA4" w:rsidRDefault="00335628" w:rsidP="00335628">
      <w:pPr>
        <w:tabs>
          <w:tab w:val="clear" w:pos="720"/>
          <w:tab w:val="clear" w:pos="1080"/>
          <w:tab w:val="clear" w:pos="1440"/>
          <w:tab w:val="clear" w:pos="1800"/>
        </w:tabs>
        <w:autoSpaceDE w:val="0"/>
        <w:autoSpaceDN w:val="0"/>
        <w:adjustRightInd w:val="0"/>
        <w:spacing w:line="240" w:lineRule="auto"/>
        <w:rPr>
          <w:szCs w:val="22"/>
        </w:rPr>
      </w:pPr>
      <w:r w:rsidRPr="00755AA4">
        <w:rPr>
          <w:szCs w:val="22"/>
        </w:rPr>
        <w:t xml:space="preserve">Trice, A. D., Hughes, M. A., Odom, C., Woods, K., McClellan, N. C. (1995). The origins of children's career aspirations: IV. Testing hypotheses from four theories. </w:t>
      </w:r>
      <w:r w:rsidRPr="00755AA4">
        <w:rPr>
          <w:i/>
          <w:szCs w:val="22"/>
        </w:rPr>
        <w:t xml:space="preserve">The Career Development Quarterly 43, </w:t>
      </w:r>
      <w:r w:rsidRPr="00755AA4">
        <w:rPr>
          <w:szCs w:val="22"/>
        </w:rPr>
        <w:t>4</w:t>
      </w:r>
      <w:r w:rsidR="009C7D35" w:rsidRPr="00755AA4">
        <w:rPr>
          <w:szCs w:val="22"/>
        </w:rPr>
        <w:t xml:space="preserve"> (June 1996), 307-322. </w:t>
      </w:r>
    </w:p>
    <w:p w:rsidR="009C7D35" w:rsidRPr="00755AA4" w:rsidRDefault="009C7D35" w:rsidP="00335628">
      <w:pPr>
        <w:tabs>
          <w:tab w:val="clear" w:pos="720"/>
          <w:tab w:val="clear" w:pos="1080"/>
          <w:tab w:val="clear" w:pos="1440"/>
          <w:tab w:val="clear" w:pos="1800"/>
        </w:tabs>
        <w:autoSpaceDE w:val="0"/>
        <w:autoSpaceDN w:val="0"/>
        <w:adjustRightInd w:val="0"/>
        <w:spacing w:line="240" w:lineRule="auto"/>
        <w:rPr>
          <w:szCs w:val="22"/>
        </w:rPr>
      </w:pPr>
    </w:p>
    <w:p w:rsidR="00855219" w:rsidRPr="002263FC" w:rsidRDefault="00855219" w:rsidP="006665BF">
      <w:pPr>
        <w:tabs>
          <w:tab w:val="clear" w:pos="720"/>
          <w:tab w:val="clear" w:pos="1080"/>
          <w:tab w:val="clear" w:pos="1440"/>
          <w:tab w:val="clear" w:pos="1800"/>
        </w:tabs>
        <w:autoSpaceDE w:val="0"/>
        <w:autoSpaceDN w:val="0"/>
        <w:adjustRightInd w:val="0"/>
        <w:spacing w:line="240" w:lineRule="auto"/>
        <w:rPr>
          <w:sz w:val="24"/>
          <w:szCs w:val="24"/>
        </w:rPr>
      </w:pPr>
      <w:r w:rsidRPr="00755AA4">
        <w:rPr>
          <w:szCs w:val="22"/>
        </w:rPr>
        <w:t>Tripney, J., Newman, M., Bangpan, M., Niza, C., MacKintosh, M., &amp; Sinclair, J. (2010). Factors influencing young people (aged 14-19) in education about STEM subject choices: A systematic review of the UK literature. London: EPPI-Centre, University of London.</w:t>
      </w:r>
      <w:r w:rsidRPr="002263FC">
        <w:rPr>
          <w:sz w:val="24"/>
          <w:szCs w:val="24"/>
        </w:rPr>
        <w:t xml:space="preserve"> </w:t>
      </w:r>
    </w:p>
    <w:sectPr w:rsidR="00855219" w:rsidRPr="002263FC" w:rsidSect="00153D44">
      <w:footerReference w:type="default" r:id="rId10"/>
      <w:pgSz w:w="12240" w:h="15840" w:code="1"/>
      <w:pgMar w:top="1440" w:right="1440" w:bottom="1008" w:left="1440" w:header="720"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7DB9" w:rsidRDefault="00B27DB9">
      <w:r>
        <w:separator/>
      </w:r>
    </w:p>
  </w:endnote>
  <w:endnote w:type="continuationSeparator" w:id="0">
    <w:p w:rsidR="00B27DB9" w:rsidRDefault="00B27D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roman"/>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1E59" w:rsidRPr="002C7EAF" w:rsidRDefault="001F1E59" w:rsidP="009C048D">
    <w:pPr>
      <w:pStyle w:val="Footer"/>
      <w:pBdr>
        <w:top w:val="single" w:sz="8" w:space="1" w:color="auto"/>
      </w:pBdr>
      <w:tabs>
        <w:tab w:val="clear" w:pos="9000"/>
        <w:tab w:val="right" w:pos="8640"/>
        <w:tab w:val="right" w:pos="9360"/>
      </w:tabs>
      <w:rPr>
        <w:rFonts w:ascii="Times New Roman" w:hAnsi="Times New Roman"/>
        <w:sz w:val="16"/>
        <w:szCs w:val="16"/>
      </w:rPr>
    </w:pPr>
    <w:r w:rsidRPr="002C7EAF">
      <w:rPr>
        <w:rFonts w:ascii="Times New Roman" w:hAnsi="Times New Roman"/>
        <w:sz w:val="16"/>
        <w:szCs w:val="16"/>
      </w:rPr>
      <w:t>National Aeronautics and Space Administration</w:t>
    </w:r>
    <w:r w:rsidRPr="002C7EAF">
      <w:rPr>
        <w:rFonts w:ascii="Times New Roman" w:hAnsi="Times New Roman"/>
        <w:sz w:val="16"/>
        <w:szCs w:val="16"/>
      </w:rPr>
      <w:tab/>
      <w:t>Part B: Collection of Information</w:t>
    </w:r>
    <w:r w:rsidRPr="002C7EAF">
      <w:rPr>
        <w:rFonts w:ascii="Times New Roman" w:hAnsi="Times New Roman"/>
        <w:sz w:val="16"/>
        <w:szCs w:val="16"/>
      </w:rPr>
      <w:tab/>
    </w:r>
    <w:r>
      <w:rPr>
        <w:rFonts w:ascii="Times New Roman" w:hAnsi="Times New Roman"/>
        <w:sz w:val="16"/>
        <w:szCs w:val="16"/>
      </w:rPr>
      <w:t>B-</w:t>
    </w:r>
    <w:r w:rsidR="00B90F05" w:rsidRPr="002C7EAF">
      <w:rPr>
        <w:rStyle w:val="PageNumber"/>
        <w:rFonts w:ascii="Times New Roman" w:hAnsi="Times New Roman"/>
        <w:szCs w:val="18"/>
      </w:rPr>
      <w:fldChar w:fldCharType="begin"/>
    </w:r>
    <w:r w:rsidRPr="002C7EAF">
      <w:rPr>
        <w:rStyle w:val="PageNumber"/>
        <w:rFonts w:ascii="Times New Roman" w:hAnsi="Times New Roman"/>
        <w:szCs w:val="18"/>
      </w:rPr>
      <w:instrText xml:space="preserve"> PAGE </w:instrText>
    </w:r>
    <w:r w:rsidR="00B90F05" w:rsidRPr="002C7EAF">
      <w:rPr>
        <w:rStyle w:val="PageNumber"/>
        <w:rFonts w:ascii="Times New Roman" w:hAnsi="Times New Roman"/>
        <w:szCs w:val="18"/>
      </w:rPr>
      <w:fldChar w:fldCharType="separate"/>
    </w:r>
    <w:r w:rsidR="0012027B">
      <w:rPr>
        <w:rStyle w:val="PageNumber"/>
        <w:rFonts w:ascii="Times New Roman" w:hAnsi="Times New Roman"/>
        <w:noProof/>
        <w:szCs w:val="18"/>
      </w:rPr>
      <w:t>10</w:t>
    </w:r>
    <w:r w:rsidR="00B90F05" w:rsidRPr="002C7EAF">
      <w:rPr>
        <w:rStyle w:val="PageNumber"/>
        <w:rFonts w:ascii="Times New Roman" w:hAnsi="Times New Roman"/>
        <w:szCs w:val="18"/>
      </w:rPr>
      <w:fldChar w:fldCharType="end"/>
    </w:r>
  </w:p>
  <w:p w:rsidR="001F1E59" w:rsidRPr="002C7EAF" w:rsidRDefault="001F1E59" w:rsidP="000A7F87">
    <w:pPr>
      <w:pStyle w:val="Footer"/>
      <w:rPr>
        <w:rFonts w:ascii="Times New Roman" w:hAnsi="Times New Roman"/>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7DB9" w:rsidRDefault="00B27DB9">
      <w:r>
        <w:separator/>
      </w:r>
    </w:p>
  </w:footnote>
  <w:footnote w:type="continuationSeparator" w:id="0">
    <w:p w:rsidR="00B27DB9" w:rsidRDefault="00B27DB9">
      <w:r>
        <w:continuationSeparator/>
      </w:r>
    </w:p>
  </w:footnote>
  <w:footnote w:id="1">
    <w:p w:rsidR="005F48C3" w:rsidRPr="00BF66BB" w:rsidRDefault="005F48C3" w:rsidP="005F48C3">
      <w:pPr>
        <w:pStyle w:val="ReportBodyText"/>
        <w:rPr>
          <w:rFonts w:cstheme="majorBidi"/>
        </w:rPr>
      </w:pPr>
      <w:r>
        <w:rPr>
          <w:rStyle w:val="FootnoteReference"/>
        </w:rPr>
        <w:footnoteRef/>
      </w:r>
      <w:r>
        <w:t xml:space="preserve"> </w:t>
      </w:r>
      <w:r w:rsidRPr="00C956A4">
        <w:rPr>
          <w:sz w:val="20"/>
          <w:szCs w:val="20"/>
        </w:rPr>
        <w:t xml:space="preserve">The STEM Challenges pilot with NASA is part of the </w:t>
      </w:r>
      <w:r w:rsidRPr="00C956A4">
        <w:rPr>
          <w:rFonts w:cs="Arial"/>
          <w:sz w:val="20"/>
          <w:szCs w:val="20"/>
        </w:rPr>
        <w:t>Department of Education’s multi-year initiative to expand high-quality STEM programming in 21CCLC. This initiative created a technical assistance working group of researchers, evaluators, practitioners, and other Federal agencies to support the development of a strategy and series of tools that would assist both state education agencies and sub-grantee sites in the implementation of high-quality STEM efforts. Through this effort ED developed a support strategy to collaborate with other federal agencies to achieve this goal.</w:t>
      </w:r>
      <w:r>
        <w:rPr>
          <w:rFonts w:cs="Arial"/>
        </w:rPr>
        <w:t xml:space="preserve"> </w:t>
      </w:r>
    </w:p>
    <w:p w:rsidR="005F48C3" w:rsidRDefault="005F48C3" w:rsidP="005F48C3">
      <w:pPr>
        <w:pStyle w:val="FootnoteText"/>
      </w:pPr>
    </w:p>
  </w:footnote>
  <w:footnote w:id="2">
    <w:p w:rsidR="00A91072" w:rsidRDefault="00A91072">
      <w:pPr>
        <w:pStyle w:val="FootnoteText"/>
      </w:pPr>
      <w:r>
        <w:rPr>
          <w:rStyle w:val="FootnoteReference"/>
        </w:rPr>
        <w:footnoteRef/>
      </w:r>
      <w:r>
        <w:t xml:space="preserve"> The FY2014 Summer of Innovation study had comparable response rates, with an 81% response rate for baseline surveys and a 49% response rate for follow-up surveys administered by mail approximately three months following the conclusion of the STEM activity. </w:t>
      </w:r>
    </w:p>
  </w:footnote>
  <w:footnote w:id="3">
    <w:p w:rsidR="001F1E59" w:rsidRPr="00545212" w:rsidRDefault="001F1E59" w:rsidP="00B50EAC">
      <w:pPr>
        <w:tabs>
          <w:tab w:val="clear" w:pos="720"/>
          <w:tab w:val="clear" w:pos="1080"/>
          <w:tab w:val="clear" w:pos="1440"/>
          <w:tab w:val="clear" w:pos="1800"/>
        </w:tabs>
        <w:autoSpaceDE w:val="0"/>
        <w:autoSpaceDN w:val="0"/>
        <w:adjustRightInd w:val="0"/>
        <w:spacing w:line="240" w:lineRule="auto"/>
        <w:rPr>
          <w:sz w:val="18"/>
          <w:szCs w:val="18"/>
        </w:rPr>
      </w:pPr>
      <w:r>
        <w:rPr>
          <w:rStyle w:val="FootnoteReference"/>
        </w:rPr>
        <w:footnoteRef/>
      </w:r>
      <w:r>
        <w:t xml:space="preserve"> </w:t>
      </w:r>
      <w:r w:rsidRPr="00545212">
        <w:rPr>
          <w:sz w:val="18"/>
          <w:szCs w:val="18"/>
        </w:rPr>
        <w:t xml:space="preserve">Although there is a sizeable literature on conducting mail surveys of adults (see, for example, Dillman, 2000), few previous studies have attempted to gather data from adolescents through the mail (L’Engle, Pardon &amp; Brown, 2004). In one of the few studies conducted on this topic—the L’Engle, Pardon &amp; Brown study (2004)—the initial mailed survey generated a response rate of 40%. Additional contact similar to what is proposed for </w:t>
      </w:r>
      <w:r w:rsidR="002908D3">
        <w:rPr>
          <w:sz w:val="18"/>
          <w:szCs w:val="18"/>
        </w:rPr>
        <w:t xml:space="preserve">this activity </w:t>
      </w:r>
      <w:r w:rsidRPr="00545212">
        <w:rPr>
          <w:sz w:val="18"/>
          <w:szCs w:val="18"/>
        </w:rPr>
        <w:t xml:space="preserve">raised the final response rate to 65% or 35% attrition. </w:t>
      </w:r>
    </w:p>
  </w:footnote>
  <w:footnote w:id="4">
    <w:p w:rsidR="001F1E59" w:rsidRDefault="001F1E59">
      <w:pPr>
        <w:pStyle w:val="FootnoteText"/>
      </w:pPr>
      <w:r>
        <w:rPr>
          <w:rStyle w:val="FootnoteReference"/>
        </w:rPr>
        <w:footnoteRef/>
      </w:r>
      <w:r>
        <w:t xml:space="preserve"> </w:t>
      </w:r>
      <w:r>
        <w:rPr>
          <w:szCs w:val="22"/>
        </w:rPr>
        <w:t xml:space="preserve">Evaluation points of contact are </w:t>
      </w:r>
      <w:r w:rsidR="0031589A">
        <w:rPr>
          <w:szCs w:val="22"/>
        </w:rPr>
        <w:t>site</w:t>
      </w:r>
      <w:r>
        <w:rPr>
          <w:szCs w:val="22"/>
        </w:rPr>
        <w:t xml:space="preserve"> staff designated with responsibility for coordinating the NASA data collection requirements and administering the student survey</w:t>
      </w:r>
      <w:r w:rsidR="0031589A">
        <w:rPr>
          <w:szCs w:val="22"/>
        </w:rPr>
        <w:t>s</w:t>
      </w:r>
      <w:r>
        <w:rPr>
          <w:szCs w:val="22"/>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E33F21"/>
    <w:multiLevelType w:val="hybridMultilevel"/>
    <w:tmpl w:val="CC103C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EF6F63"/>
    <w:multiLevelType w:val="hybridMultilevel"/>
    <w:tmpl w:val="00D69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0C4A26"/>
    <w:multiLevelType w:val="hybridMultilevel"/>
    <w:tmpl w:val="A53C892C"/>
    <w:lvl w:ilvl="0" w:tplc="C8248044">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3B07D8"/>
    <w:multiLevelType w:val="hybridMultilevel"/>
    <w:tmpl w:val="ECC0458E"/>
    <w:lvl w:ilvl="0" w:tplc="506E224E">
      <w:start w:val="1"/>
      <w:numFmt w:val="bullet"/>
      <w:pStyle w:val="Bullets"/>
      <w:lvlText w:val=""/>
      <w:lvlJc w:val="left"/>
      <w:pPr>
        <w:tabs>
          <w:tab w:val="num" w:pos="1080"/>
        </w:tabs>
        <w:ind w:left="108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720C34"/>
    <w:multiLevelType w:val="hybridMultilevel"/>
    <w:tmpl w:val="B634955A"/>
    <w:lvl w:ilvl="0" w:tplc="15DCDEA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3D9231A"/>
    <w:multiLevelType w:val="hybridMultilevel"/>
    <w:tmpl w:val="AF1E8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126E5C"/>
    <w:multiLevelType w:val="hybridMultilevel"/>
    <w:tmpl w:val="05B66D4A"/>
    <w:lvl w:ilvl="0" w:tplc="5B3A35D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D7052A2"/>
    <w:multiLevelType w:val="hybridMultilevel"/>
    <w:tmpl w:val="A1C4741E"/>
    <w:lvl w:ilvl="0" w:tplc="67268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4A67C48"/>
    <w:multiLevelType w:val="hybridMultilevel"/>
    <w:tmpl w:val="5866B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5D112E"/>
    <w:multiLevelType w:val="hybridMultilevel"/>
    <w:tmpl w:val="6A84C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9"/>
  </w:num>
  <w:num w:numId="4">
    <w:abstractNumId w:val="7"/>
  </w:num>
  <w:num w:numId="5">
    <w:abstractNumId w:val="4"/>
  </w:num>
  <w:num w:numId="6">
    <w:abstractNumId w:val="2"/>
  </w:num>
  <w:num w:numId="7">
    <w:abstractNumId w:val="0"/>
  </w:num>
  <w:num w:numId="8">
    <w:abstractNumId w:val="1"/>
  </w:num>
  <w:num w:numId="9">
    <w:abstractNumId w:val="6"/>
  </w:num>
  <w:num w:numId="10">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US" w:vendorID="64" w:dllVersion="131078" w:nlCheck="1" w:checkStyle="1"/>
  <w:activeWritingStyle w:appName="MSWord" w:lang="en-US" w:vendorID="64" w:dllVersion="131077"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0794"/>
    <w:rsid w:val="000019D2"/>
    <w:rsid w:val="00001CBC"/>
    <w:rsid w:val="0000452F"/>
    <w:rsid w:val="00004979"/>
    <w:rsid w:val="00004E37"/>
    <w:rsid w:val="00006609"/>
    <w:rsid w:val="00006C7C"/>
    <w:rsid w:val="0000775C"/>
    <w:rsid w:val="00007D84"/>
    <w:rsid w:val="000129E6"/>
    <w:rsid w:val="00015A88"/>
    <w:rsid w:val="000162F9"/>
    <w:rsid w:val="000166CD"/>
    <w:rsid w:val="00020833"/>
    <w:rsid w:val="00025E13"/>
    <w:rsid w:val="0003058E"/>
    <w:rsid w:val="000323D5"/>
    <w:rsid w:val="00032D25"/>
    <w:rsid w:val="00033A8D"/>
    <w:rsid w:val="00034E38"/>
    <w:rsid w:val="0003632B"/>
    <w:rsid w:val="00036975"/>
    <w:rsid w:val="00036F97"/>
    <w:rsid w:val="00037473"/>
    <w:rsid w:val="000378C9"/>
    <w:rsid w:val="00037AC0"/>
    <w:rsid w:val="00046EF1"/>
    <w:rsid w:val="00047CF5"/>
    <w:rsid w:val="00050968"/>
    <w:rsid w:val="00053C7A"/>
    <w:rsid w:val="00055854"/>
    <w:rsid w:val="00056703"/>
    <w:rsid w:val="00057268"/>
    <w:rsid w:val="000608AF"/>
    <w:rsid w:val="00060CD4"/>
    <w:rsid w:val="00062B87"/>
    <w:rsid w:val="00062CE5"/>
    <w:rsid w:val="000631A4"/>
    <w:rsid w:val="00063BF9"/>
    <w:rsid w:val="0006408A"/>
    <w:rsid w:val="0006650B"/>
    <w:rsid w:val="00070A07"/>
    <w:rsid w:val="000754F7"/>
    <w:rsid w:val="000762B4"/>
    <w:rsid w:val="00081DC6"/>
    <w:rsid w:val="00084635"/>
    <w:rsid w:val="00086647"/>
    <w:rsid w:val="0009005C"/>
    <w:rsid w:val="00093139"/>
    <w:rsid w:val="0009474A"/>
    <w:rsid w:val="00095919"/>
    <w:rsid w:val="00095DE6"/>
    <w:rsid w:val="000960B7"/>
    <w:rsid w:val="0009610A"/>
    <w:rsid w:val="0009653A"/>
    <w:rsid w:val="00096BB7"/>
    <w:rsid w:val="000A0138"/>
    <w:rsid w:val="000A09D3"/>
    <w:rsid w:val="000A1B99"/>
    <w:rsid w:val="000A28C2"/>
    <w:rsid w:val="000A2AC4"/>
    <w:rsid w:val="000A4CF1"/>
    <w:rsid w:val="000A6503"/>
    <w:rsid w:val="000A749B"/>
    <w:rsid w:val="000A7F87"/>
    <w:rsid w:val="000B0061"/>
    <w:rsid w:val="000B2587"/>
    <w:rsid w:val="000B2A5F"/>
    <w:rsid w:val="000B3263"/>
    <w:rsid w:val="000B37CA"/>
    <w:rsid w:val="000B4370"/>
    <w:rsid w:val="000B4FB7"/>
    <w:rsid w:val="000B50B5"/>
    <w:rsid w:val="000B5376"/>
    <w:rsid w:val="000B5D35"/>
    <w:rsid w:val="000B75EC"/>
    <w:rsid w:val="000C0015"/>
    <w:rsid w:val="000C0422"/>
    <w:rsid w:val="000C5708"/>
    <w:rsid w:val="000C5753"/>
    <w:rsid w:val="000C7852"/>
    <w:rsid w:val="000D00E4"/>
    <w:rsid w:val="000D075E"/>
    <w:rsid w:val="000D0C20"/>
    <w:rsid w:val="000D2B91"/>
    <w:rsid w:val="000D419C"/>
    <w:rsid w:val="000E0B90"/>
    <w:rsid w:val="000E2078"/>
    <w:rsid w:val="000E4EBF"/>
    <w:rsid w:val="000E5A81"/>
    <w:rsid w:val="000F0317"/>
    <w:rsid w:val="000F1351"/>
    <w:rsid w:val="000F1EA9"/>
    <w:rsid w:val="000F4FB2"/>
    <w:rsid w:val="000F50FA"/>
    <w:rsid w:val="000F6F9D"/>
    <w:rsid w:val="0010273B"/>
    <w:rsid w:val="001115DA"/>
    <w:rsid w:val="00113414"/>
    <w:rsid w:val="001156F8"/>
    <w:rsid w:val="001171B9"/>
    <w:rsid w:val="0012027B"/>
    <w:rsid w:val="00124770"/>
    <w:rsid w:val="0013077B"/>
    <w:rsid w:val="00131FDD"/>
    <w:rsid w:val="00133DE4"/>
    <w:rsid w:val="00134E2F"/>
    <w:rsid w:val="00135B7B"/>
    <w:rsid w:val="00136315"/>
    <w:rsid w:val="00136945"/>
    <w:rsid w:val="00137B92"/>
    <w:rsid w:val="00137F06"/>
    <w:rsid w:val="00143199"/>
    <w:rsid w:val="0014323D"/>
    <w:rsid w:val="00143F1E"/>
    <w:rsid w:val="00144488"/>
    <w:rsid w:val="00146539"/>
    <w:rsid w:val="001467C1"/>
    <w:rsid w:val="00146DD5"/>
    <w:rsid w:val="00147928"/>
    <w:rsid w:val="00147CDA"/>
    <w:rsid w:val="0015043C"/>
    <w:rsid w:val="00151257"/>
    <w:rsid w:val="00151CAC"/>
    <w:rsid w:val="00152774"/>
    <w:rsid w:val="00153D44"/>
    <w:rsid w:val="00154078"/>
    <w:rsid w:val="0015597E"/>
    <w:rsid w:val="00155C77"/>
    <w:rsid w:val="001566DA"/>
    <w:rsid w:val="0016072D"/>
    <w:rsid w:val="001620A7"/>
    <w:rsid w:val="00165D67"/>
    <w:rsid w:val="00167725"/>
    <w:rsid w:val="00171BA5"/>
    <w:rsid w:val="00172D54"/>
    <w:rsid w:val="00173D47"/>
    <w:rsid w:val="00174D1F"/>
    <w:rsid w:val="00176CE8"/>
    <w:rsid w:val="00177FBA"/>
    <w:rsid w:val="001808B8"/>
    <w:rsid w:val="001810C0"/>
    <w:rsid w:val="0018626D"/>
    <w:rsid w:val="00187942"/>
    <w:rsid w:val="00190BEB"/>
    <w:rsid w:val="00194E3E"/>
    <w:rsid w:val="0019575F"/>
    <w:rsid w:val="001972D5"/>
    <w:rsid w:val="00197696"/>
    <w:rsid w:val="001A0CBC"/>
    <w:rsid w:val="001A10D7"/>
    <w:rsid w:val="001A12AE"/>
    <w:rsid w:val="001B117C"/>
    <w:rsid w:val="001B1C8A"/>
    <w:rsid w:val="001B318A"/>
    <w:rsid w:val="001B37BD"/>
    <w:rsid w:val="001B400C"/>
    <w:rsid w:val="001B676E"/>
    <w:rsid w:val="001B767F"/>
    <w:rsid w:val="001C1E51"/>
    <w:rsid w:val="001C23BF"/>
    <w:rsid w:val="001C3A34"/>
    <w:rsid w:val="001D0AAA"/>
    <w:rsid w:val="001D513D"/>
    <w:rsid w:val="001D743B"/>
    <w:rsid w:val="001D7F19"/>
    <w:rsid w:val="001E01E1"/>
    <w:rsid w:val="001E2520"/>
    <w:rsid w:val="001E37A7"/>
    <w:rsid w:val="001E4400"/>
    <w:rsid w:val="001E4E5A"/>
    <w:rsid w:val="001E51BE"/>
    <w:rsid w:val="001E5A47"/>
    <w:rsid w:val="001E6716"/>
    <w:rsid w:val="001E757E"/>
    <w:rsid w:val="001E7794"/>
    <w:rsid w:val="001E7CD3"/>
    <w:rsid w:val="001F0858"/>
    <w:rsid w:val="001F0EEB"/>
    <w:rsid w:val="001F1548"/>
    <w:rsid w:val="001F1E59"/>
    <w:rsid w:val="001F43CD"/>
    <w:rsid w:val="001F440B"/>
    <w:rsid w:val="001F4B6D"/>
    <w:rsid w:val="001F5237"/>
    <w:rsid w:val="001F5A8A"/>
    <w:rsid w:val="001F766B"/>
    <w:rsid w:val="002003AA"/>
    <w:rsid w:val="002004C5"/>
    <w:rsid w:val="002013B9"/>
    <w:rsid w:val="002044C4"/>
    <w:rsid w:val="00204781"/>
    <w:rsid w:val="002069AF"/>
    <w:rsid w:val="00210959"/>
    <w:rsid w:val="00210CC8"/>
    <w:rsid w:val="00212A68"/>
    <w:rsid w:val="002146AF"/>
    <w:rsid w:val="00215C67"/>
    <w:rsid w:val="00217A93"/>
    <w:rsid w:val="00217E71"/>
    <w:rsid w:val="0022210F"/>
    <w:rsid w:val="00222D74"/>
    <w:rsid w:val="00224D0C"/>
    <w:rsid w:val="0022516E"/>
    <w:rsid w:val="00225CBF"/>
    <w:rsid w:val="002263FC"/>
    <w:rsid w:val="00231E0D"/>
    <w:rsid w:val="0023282C"/>
    <w:rsid w:val="00232ABD"/>
    <w:rsid w:val="00232C0A"/>
    <w:rsid w:val="002337CE"/>
    <w:rsid w:val="002343D0"/>
    <w:rsid w:val="0024145F"/>
    <w:rsid w:val="00242231"/>
    <w:rsid w:val="00242F05"/>
    <w:rsid w:val="00243DA2"/>
    <w:rsid w:val="00243F81"/>
    <w:rsid w:val="002455E3"/>
    <w:rsid w:val="00245997"/>
    <w:rsid w:val="00245998"/>
    <w:rsid w:val="00245DFF"/>
    <w:rsid w:val="00247D33"/>
    <w:rsid w:val="00250B72"/>
    <w:rsid w:val="00253B3D"/>
    <w:rsid w:val="00254548"/>
    <w:rsid w:val="002561E6"/>
    <w:rsid w:val="0025639B"/>
    <w:rsid w:val="00256DDE"/>
    <w:rsid w:val="0026081F"/>
    <w:rsid w:val="00260C6D"/>
    <w:rsid w:val="00263169"/>
    <w:rsid w:val="002633F3"/>
    <w:rsid w:val="00265EB6"/>
    <w:rsid w:val="002661EC"/>
    <w:rsid w:val="0026694E"/>
    <w:rsid w:val="00266EAF"/>
    <w:rsid w:val="002675FE"/>
    <w:rsid w:val="00267FCA"/>
    <w:rsid w:val="00272218"/>
    <w:rsid w:val="00272272"/>
    <w:rsid w:val="002724A8"/>
    <w:rsid w:val="00272D76"/>
    <w:rsid w:val="0027329F"/>
    <w:rsid w:val="002733C0"/>
    <w:rsid w:val="00274DB3"/>
    <w:rsid w:val="00275BE0"/>
    <w:rsid w:val="00275E47"/>
    <w:rsid w:val="00276424"/>
    <w:rsid w:val="0027699A"/>
    <w:rsid w:val="002774AD"/>
    <w:rsid w:val="002776F5"/>
    <w:rsid w:val="0028454A"/>
    <w:rsid w:val="00284B22"/>
    <w:rsid w:val="002850D0"/>
    <w:rsid w:val="002873BC"/>
    <w:rsid w:val="00287A21"/>
    <w:rsid w:val="002908D3"/>
    <w:rsid w:val="00291482"/>
    <w:rsid w:val="00291901"/>
    <w:rsid w:val="00292595"/>
    <w:rsid w:val="00293921"/>
    <w:rsid w:val="002947E5"/>
    <w:rsid w:val="00295470"/>
    <w:rsid w:val="00296577"/>
    <w:rsid w:val="002A063F"/>
    <w:rsid w:val="002A4D06"/>
    <w:rsid w:val="002A7698"/>
    <w:rsid w:val="002B0415"/>
    <w:rsid w:val="002B5116"/>
    <w:rsid w:val="002B6B84"/>
    <w:rsid w:val="002B7E62"/>
    <w:rsid w:val="002B7EF9"/>
    <w:rsid w:val="002C3538"/>
    <w:rsid w:val="002C35E9"/>
    <w:rsid w:val="002C7A6D"/>
    <w:rsid w:val="002C7D2F"/>
    <w:rsid w:val="002C7EAF"/>
    <w:rsid w:val="002D05EC"/>
    <w:rsid w:val="002D0A58"/>
    <w:rsid w:val="002D0B98"/>
    <w:rsid w:val="002D664D"/>
    <w:rsid w:val="002D722A"/>
    <w:rsid w:val="002D7402"/>
    <w:rsid w:val="002D7EC7"/>
    <w:rsid w:val="002E0906"/>
    <w:rsid w:val="002E13EA"/>
    <w:rsid w:val="002E18CE"/>
    <w:rsid w:val="002E24C4"/>
    <w:rsid w:val="002E2C64"/>
    <w:rsid w:val="002E3F2A"/>
    <w:rsid w:val="002E473A"/>
    <w:rsid w:val="002E4D12"/>
    <w:rsid w:val="002E4D48"/>
    <w:rsid w:val="002E4F88"/>
    <w:rsid w:val="002E5CD0"/>
    <w:rsid w:val="002E6587"/>
    <w:rsid w:val="002F0475"/>
    <w:rsid w:val="002F0B93"/>
    <w:rsid w:val="002F0E3A"/>
    <w:rsid w:val="002F2CB5"/>
    <w:rsid w:val="002F5F90"/>
    <w:rsid w:val="00302A4A"/>
    <w:rsid w:val="003034F8"/>
    <w:rsid w:val="003037BB"/>
    <w:rsid w:val="00303CD5"/>
    <w:rsid w:val="003047F1"/>
    <w:rsid w:val="00304AE9"/>
    <w:rsid w:val="00304D6C"/>
    <w:rsid w:val="003110C7"/>
    <w:rsid w:val="003117EB"/>
    <w:rsid w:val="00312904"/>
    <w:rsid w:val="00313301"/>
    <w:rsid w:val="00314D54"/>
    <w:rsid w:val="003154F1"/>
    <w:rsid w:val="00315564"/>
    <w:rsid w:val="0031589A"/>
    <w:rsid w:val="00315C99"/>
    <w:rsid w:val="00316911"/>
    <w:rsid w:val="0031738E"/>
    <w:rsid w:val="00320491"/>
    <w:rsid w:val="00324B39"/>
    <w:rsid w:val="00325960"/>
    <w:rsid w:val="0032664E"/>
    <w:rsid w:val="00335628"/>
    <w:rsid w:val="003358EA"/>
    <w:rsid w:val="003360F9"/>
    <w:rsid w:val="003367FC"/>
    <w:rsid w:val="003374A9"/>
    <w:rsid w:val="00340CD7"/>
    <w:rsid w:val="00341419"/>
    <w:rsid w:val="00342920"/>
    <w:rsid w:val="003437CA"/>
    <w:rsid w:val="00343CFA"/>
    <w:rsid w:val="0034491D"/>
    <w:rsid w:val="003464B8"/>
    <w:rsid w:val="003469AE"/>
    <w:rsid w:val="00350D0A"/>
    <w:rsid w:val="0035314E"/>
    <w:rsid w:val="00353A9A"/>
    <w:rsid w:val="003603AA"/>
    <w:rsid w:val="00360B71"/>
    <w:rsid w:val="00360D34"/>
    <w:rsid w:val="00361A36"/>
    <w:rsid w:val="00363039"/>
    <w:rsid w:val="00363B2B"/>
    <w:rsid w:val="0036493B"/>
    <w:rsid w:val="00364EE7"/>
    <w:rsid w:val="00365211"/>
    <w:rsid w:val="003658D9"/>
    <w:rsid w:val="00365F21"/>
    <w:rsid w:val="00372799"/>
    <w:rsid w:val="00372AE5"/>
    <w:rsid w:val="00374CA1"/>
    <w:rsid w:val="00374E4B"/>
    <w:rsid w:val="003812BC"/>
    <w:rsid w:val="00381623"/>
    <w:rsid w:val="003821F9"/>
    <w:rsid w:val="00382EB6"/>
    <w:rsid w:val="003871AE"/>
    <w:rsid w:val="003912D2"/>
    <w:rsid w:val="00391B9C"/>
    <w:rsid w:val="003931BA"/>
    <w:rsid w:val="00396478"/>
    <w:rsid w:val="0039789A"/>
    <w:rsid w:val="0039799F"/>
    <w:rsid w:val="00397F65"/>
    <w:rsid w:val="003A037A"/>
    <w:rsid w:val="003A1061"/>
    <w:rsid w:val="003A21D3"/>
    <w:rsid w:val="003A3FD1"/>
    <w:rsid w:val="003A5CE5"/>
    <w:rsid w:val="003A5FBB"/>
    <w:rsid w:val="003A66C3"/>
    <w:rsid w:val="003A6B8F"/>
    <w:rsid w:val="003B101A"/>
    <w:rsid w:val="003B10DB"/>
    <w:rsid w:val="003B1AD2"/>
    <w:rsid w:val="003B4F4F"/>
    <w:rsid w:val="003B6AD9"/>
    <w:rsid w:val="003C3186"/>
    <w:rsid w:val="003C532F"/>
    <w:rsid w:val="003D0351"/>
    <w:rsid w:val="003D2B30"/>
    <w:rsid w:val="003D3483"/>
    <w:rsid w:val="003D35C6"/>
    <w:rsid w:val="003D3C4C"/>
    <w:rsid w:val="003D4596"/>
    <w:rsid w:val="003D5473"/>
    <w:rsid w:val="003D77BE"/>
    <w:rsid w:val="003E150E"/>
    <w:rsid w:val="003E27EA"/>
    <w:rsid w:val="003E382A"/>
    <w:rsid w:val="003E3B04"/>
    <w:rsid w:val="003E4874"/>
    <w:rsid w:val="003E4D2D"/>
    <w:rsid w:val="003E5DA3"/>
    <w:rsid w:val="003E70BB"/>
    <w:rsid w:val="003F14D6"/>
    <w:rsid w:val="003F2743"/>
    <w:rsid w:val="003F731A"/>
    <w:rsid w:val="00400A5C"/>
    <w:rsid w:val="00401803"/>
    <w:rsid w:val="00402105"/>
    <w:rsid w:val="00405A1A"/>
    <w:rsid w:val="004069D7"/>
    <w:rsid w:val="004077CD"/>
    <w:rsid w:val="00407C3D"/>
    <w:rsid w:val="00411ACB"/>
    <w:rsid w:val="004126B0"/>
    <w:rsid w:val="00412FAD"/>
    <w:rsid w:val="00413390"/>
    <w:rsid w:val="00413DD8"/>
    <w:rsid w:val="00413E4F"/>
    <w:rsid w:val="00417158"/>
    <w:rsid w:val="00420969"/>
    <w:rsid w:val="00421F4A"/>
    <w:rsid w:val="004220DA"/>
    <w:rsid w:val="0042246F"/>
    <w:rsid w:val="004233A3"/>
    <w:rsid w:val="004239C8"/>
    <w:rsid w:val="00423DE4"/>
    <w:rsid w:val="00425D6B"/>
    <w:rsid w:val="0043077E"/>
    <w:rsid w:val="004317A0"/>
    <w:rsid w:val="00441C87"/>
    <w:rsid w:val="004421A5"/>
    <w:rsid w:val="004429F7"/>
    <w:rsid w:val="00444C27"/>
    <w:rsid w:val="004473C6"/>
    <w:rsid w:val="00447610"/>
    <w:rsid w:val="004479E4"/>
    <w:rsid w:val="00447AC9"/>
    <w:rsid w:val="00450423"/>
    <w:rsid w:val="0045363E"/>
    <w:rsid w:val="0045393F"/>
    <w:rsid w:val="00455A0C"/>
    <w:rsid w:val="0046056A"/>
    <w:rsid w:val="004612EB"/>
    <w:rsid w:val="004617C5"/>
    <w:rsid w:val="00461DA0"/>
    <w:rsid w:val="00461F51"/>
    <w:rsid w:val="0046402E"/>
    <w:rsid w:val="00465E42"/>
    <w:rsid w:val="00473765"/>
    <w:rsid w:val="004746ED"/>
    <w:rsid w:val="0047584E"/>
    <w:rsid w:val="004764A1"/>
    <w:rsid w:val="00477E69"/>
    <w:rsid w:val="00481F85"/>
    <w:rsid w:val="00485576"/>
    <w:rsid w:val="00490958"/>
    <w:rsid w:val="00490D31"/>
    <w:rsid w:val="00492F9A"/>
    <w:rsid w:val="00497C40"/>
    <w:rsid w:val="004A0B16"/>
    <w:rsid w:val="004A7F48"/>
    <w:rsid w:val="004B0223"/>
    <w:rsid w:val="004B0D7E"/>
    <w:rsid w:val="004B22FF"/>
    <w:rsid w:val="004B2358"/>
    <w:rsid w:val="004B2855"/>
    <w:rsid w:val="004B29DF"/>
    <w:rsid w:val="004B2D7B"/>
    <w:rsid w:val="004B336B"/>
    <w:rsid w:val="004B350E"/>
    <w:rsid w:val="004B437C"/>
    <w:rsid w:val="004B4785"/>
    <w:rsid w:val="004B6866"/>
    <w:rsid w:val="004B735F"/>
    <w:rsid w:val="004C0383"/>
    <w:rsid w:val="004C1CEF"/>
    <w:rsid w:val="004C4830"/>
    <w:rsid w:val="004C491A"/>
    <w:rsid w:val="004C494E"/>
    <w:rsid w:val="004C54FE"/>
    <w:rsid w:val="004C5D20"/>
    <w:rsid w:val="004C645D"/>
    <w:rsid w:val="004C774A"/>
    <w:rsid w:val="004D1620"/>
    <w:rsid w:val="004D3400"/>
    <w:rsid w:val="004D390F"/>
    <w:rsid w:val="004D4DD1"/>
    <w:rsid w:val="004D59FD"/>
    <w:rsid w:val="004D5DC7"/>
    <w:rsid w:val="004D6EE8"/>
    <w:rsid w:val="004E0082"/>
    <w:rsid w:val="004E0281"/>
    <w:rsid w:val="004E0621"/>
    <w:rsid w:val="004E4EA3"/>
    <w:rsid w:val="004E4FD5"/>
    <w:rsid w:val="004E621D"/>
    <w:rsid w:val="004E772F"/>
    <w:rsid w:val="004F0B0C"/>
    <w:rsid w:val="004F2AA4"/>
    <w:rsid w:val="004F386E"/>
    <w:rsid w:val="004F6153"/>
    <w:rsid w:val="004F748E"/>
    <w:rsid w:val="004F7E04"/>
    <w:rsid w:val="005028C4"/>
    <w:rsid w:val="00503F35"/>
    <w:rsid w:val="005054D5"/>
    <w:rsid w:val="0050710D"/>
    <w:rsid w:val="005072CD"/>
    <w:rsid w:val="00507765"/>
    <w:rsid w:val="00510C17"/>
    <w:rsid w:val="00510CFF"/>
    <w:rsid w:val="0051144A"/>
    <w:rsid w:val="005119C4"/>
    <w:rsid w:val="00513C8D"/>
    <w:rsid w:val="00514009"/>
    <w:rsid w:val="005166E6"/>
    <w:rsid w:val="00516BCE"/>
    <w:rsid w:val="0051779F"/>
    <w:rsid w:val="00521361"/>
    <w:rsid w:val="00522D19"/>
    <w:rsid w:val="00522F00"/>
    <w:rsid w:val="005262A9"/>
    <w:rsid w:val="00526CF0"/>
    <w:rsid w:val="005304C9"/>
    <w:rsid w:val="00530B23"/>
    <w:rsid w:val="00535CA6"/>
    <w:rsid w:val="0053756E"/>
    <w:rsid w:val="0054054D"/>
    <w:rsid w:val="005407FD"/>
    <w:rsid w:val="00541F76"/>
    <w:rsid w:val="005449E1"/>
    <w:rsid w:val="00545212"/>
    <w:rsid w:val="0054641C"/>
    <w:rsid w:val="00546851"/>
    <w:rsid w:val="0054697C"/>
    <w:rsid w:val="005472C1"/>
    <w:rsid w:val="00547B25"/>
    <w:rsid w:val="00547FFA"/>
    <w:rsid w:val="00551C32"/>
    <w:rsid w:val="005533DB"/>
    <w:rsid w:val="00556A12"/>
    <w:rsid w:val="005621E5"/>
    <w:rsid w:val="00562D2D"/>
    <w:rsid w:val="00563A80"/>
    <w:rsid w:val="005641C4"/>
    <w:rsid w:val="00565723"/>
    <w:rsid w:val="00567500"/>
    <w:rsid w:val="00567724"/>
    <w:rsid w:val="005702F2"/>
    <w:rsid w:val="00570704"/>
    <w:rsid w:val="005714B9"/>
    <w:rsid w:val="00574798"/>
    <w:rsid w:val="00575343"/>
    <w:rsid w:val="00575490"/>
    <w:rsid w:val="00576702"/>
    <w:rsid w:val="00576EDA"/>
    <w:rsid w:val="00577E58"/>
    <w:rsid w:val="00580E31"/>
    <w:rsid w:val="00581116"/>
    <w:rsid w:val="00581139"/>
    <w:rsid w:val="00583882"/>
    <w:rsid w:val="005848A5"/>
    <w:rsid w:val="005855A3"/>
    <w:rsid w:val="00587B79"/>
    <w:rsid w:val="0059139C"/>
    <w:rsid w:val="00592779"/>
    <w:rsid w:val="005937AF"/>
    <w:rsid w:val="00593E49"/>
    <w:rsid w:val="00594581"/>
    <w:rsid w:val="005948D2"/>
    <w:rsid w:val="00597EA1"/>
    <w:rsid w:val="005A2A9D"/>
    <w:rsid w:val="005A5145"/>
    <w:rsid w:val="005A5E73"/>
    <w:rsid w:val="005A715A"/>
    <w:rsid w:val="005A753F"/>
    <w:rsid w:val="005B4A32"/>
    <w:rsid w:val="005B689F"/>
    <w:rsid w:val="005B6B35"/>
    <w:rsid w:val="005B7317"/>
    <w:rsid w:val="005B7E13"/>
    <w:rsid w:val="005C1949"/>
    <w:rsid w:val="005C25B3"/>
    <w:rsid w:val="005C27D2"/>
    <w:rsid w:val="005C3311"/>
    <w:rsid w:val="005C657E"/>
    <w:rsid w:val="005C7515"/>
    <w:rsid w:val="005C7A65"/>
    <w:rsid w:val="005D0FCE"/>
    <w:rsid w:val="005D367E"/>
    <w:rsid w:val="005E0080"/>
    <w:rsid w:val="005E4308"/>
    <w:rsid w:val="005E5092"/>
    <w:rsid w:val="005E76CD"/>
    <w:rsid w:val="005F48C3"/>
    <w:rsid w:val="005F5149"/>
    <w:rsid w:val="005F5430"/>
    <w:rsid w:val="005F5908"/>
    <w:rsid w:val="005F7C80"/>
    <w:rsid w:val="00600B7B"/>
    <w:rsid w:val="00606C5C"/>
    <w:rsid w:val="00610C17"/>
    <w:rsid w:val="00612537"/>
    <w:rsid w:val="006130E2"/>
    <w:rsid w:val="006144EB"/>
    <w:rsid w:val="00615949"/>
    <w:rsid w:val="00617059"/>
    <w:rsid w:val="006231E8"/>
    <w:rsid w:val="006255B7"/>
    <w:rsid w:val="006256D1"/>
    <w:rsid w:val="00626E58"/>
    <w:rsid w:val="0063103A"/>
    <w:rsid w:val="00631FF6"/>
    <w:rsid w:val="00633459"/>
    <w:rsid w:val="006356F5"/>
    <w:rsid w:val="00635B9B"/>
    <w:rsid w:val="006412B9"/>
    <w:rsid w:val="0064228E"/>
    <w:rsid w:val="00645A08"/>
    <w:rsid w:val="0064685B"/>
    <w:rsid w:val="006472F3"/>
    <w:rsid w:val="006507B7"/>
    <w:rsid w:val="006519FC"/>
    <w:rsid w:val="00652303"/>
    <w:rsid w:val="00654C12"/>
    <w:rsid w:val="0065511F"/>
    <w:rsid w:val="006607A7"/>
    <w:rsid w:val="00661F08"/>
    <w:rsid w:val="00662ABC"/>
    <w:rsid w:val="00662D01"/>
    <w:rsid w:val="00663B1B"/>
    <w:rsid w:val="006665BF"/>
    <w:rsid w:val="00666634"/>
    <w:rsid w:val="00670DC9"/>
    <w:rsid w:val="00670FF9"/>
    <w:rsid w:val="00672E49"/>
    <w:rsid w:val="00673F01"/>
    <w:rsid w:val="00674109"/>
    <w:rsid w:val="00676BF4"/>
    <w:rsid w:val="00676D7F"/>
    <w:rsid w:val="00682D3E"/>
    <w:rsid w:val="00682E11"/>
    <w:rsid w:val="0068484E"/>
    <w:rsid w:val="00684E8D"/>
    <w:rsid w:val="006866E9"/>
    <w:rsid w:val="0069142B"/>
    <w:rsid w:val="00693373"/>
    <w:rsid w:val="0069450D"/>
    <w:rsid w:val="0069526C"/>
    <w:rsid w:val="00696B5C"/>
    <w:rsid w:val="00696FEF"/>
    <w:rsid w:val="006978F5"/>
    <w:rsid w:val="006A16CC"/>
    <w:rsid w:val="006A1A52"/>
    <w:rsid w:val="006A2AE1"/>
    <w:rsid w:val="006A52AC"/>
    <w:rsid w:val="006A5748"/>
    <w:rsid w:val="006A67F5"/>
    <w:rsid w:val="006B09BA"/>
    <w:rsid w:val="006B0DBF"/>
    <w:rsid w:val="006B477A"/>
    <w:rsid w:val="006B7744"/>
    <w:rsid w:val="006B7BC2"/>
    <w:rsid w:val="006C1BF8"/>
    <w:rsid w:val="006C287D"/>
    <w:rsid w:val="006C2EC5"/>
    <w:rsid w:val="006C2F5E"/>
    <w:rsid w:val="006C32AB"/>
    <w:rsid w:val="006C4DE9"/>
    <w:rsid w:val="006C5D95"/>
    <w:rsid w:val="006C5E36"/>
    <w:rsid w:val="006D21A7"/>
    <w:rsid w:val="006D23EC"/>
    <w:rsid w:val="006D3932"/>
    <w:rsid w:val="006D44F2"/>
    <w:rsid w:val="006D68A7"/>
    <w:rsid w:val="006E0831"/>
    <w:rsid w:val="006E1077"/>
    <w:rsid w:val="006E37FA"/>
    <w:rsid w:val="006E382A"/>
    <w:rsid w:val="006E4346"/>
    <w:rsid w:val="006E4CFC"/>
    <w:rsid w:val="006E4DEB"/>
    <w:rsid w:val="006E5652"/>
    <w:rsid w:val="006E68D1"/>
    <w:rsid w:val="006F1579"/>
    <w:rsid w:val="006F23FD"/>
    <w:rsid w:val="006F2542"/>
    <w:rsid w:val="006F2AD7"/>
    <w:rsid w:val="006F2C60"/>
    <w:rsid w:val="006F2DB3"/>
    <w:rsid w:val="006F6CF2"/>
    <w:rsid w:val="00701E81"/>
    <w:rsid w:val="0070208E"/>
    <w:rsid w:val="00705C76"/>
    <w:rsid w:val="00707336"/>
    <w:rsid w:val="00710A92"/>
    <w:rsid w:val="00710FDE"/>
    <w:rsid w:val="007162ED"/>
    <w:rsid w:val="00717B4F"/>
    <w:rsid w:val="007208FC"/>
    <w:rsid w:val="00723D53"/>
    <w:rsid w:val="007246E3"/>
    <w:rsid w:val="00727727"/>
    <w:rsid w:val="007301EF"/>
    <w:rsid w:val="00730942"/>
    <w:rsid w:val="0073292F"/>
    <w:rsid w:val="00732E0B"/>
    <w:rsid w:val="00734DFE"/>
    <w:rsid w:val="00735091"/>
    <w:rsid w:val="00736815"/>
    <w:rsid w:val="00736872"/>
    <w:rsid w:val="00741102"/>
    <w:rsid w:val="00744E7F"/>
    <w:rsid w:val="00745C5F"/>
    <w:rsid w:val="00746F4E"/>
    <w:rsid w:val="00751D08"/>
    <w:rsid w:val="00751F86"/>
    <w:rsid w:val="007520B4"/>
    <w:rsid w:val="00752E61"/>
    <w:rsid w:val="00754020"/>
    <w:rsid w:val="00754ACE"/>
    <w:rsid w:val="007559C1"/>
    <w:rsid w:val="00755AA4"/>
    <w:rsid w:val="007573DF"/>
    <w:rsid w:val="00760169"/>
    <w:rsid w:val="00760949"/>
    <w:rsid w:val="00761440"/>
    <w:rsid w:val="00761C22"/>
    <w:rsid w:val="00763254"/>
    <w:rsid w:val="0076336B"/>
    <w:rsid w:val="0076618F"/>
    <w:rsid w:val="00771597"/>
    <w:rsid w:val="00773196"/>
    <w:rsid w:val="007736D9"/>
    <w:rsid w:val="00776EEB"/>
    <w:rsid w:val="007812B0"/>
    <w:rsid w:val="00782A0F"/>
    <w:rsid w:val="0078364D"/>
    <w:rsid w:val="00787A66"/>
    <w:rsid w:val="007921E2"/>
    <w:rsid w:val="00793F29"/>
    <w:rsid w:val="00795085"/>
    <w:rsid w:val="0079520B"/>
    <w:rsid w:val="00797227"/>
    <w:rsid w:val="007975DD"/>
    <w:rsid w:val="007A3B59"/>
    <w:rsid w:val="007A41CD"/>
    <w:rsid w:val="007A71F1"/>
    <w:rsid w:val="007A7A01"/>
    <w:rsid w:val="007A7D0C"/>
    <w:rsid w:val="007B14C2"/>
    <w:rsid w:val="007B1667"/>
    <w:rsid w:val="007B2D06"/>
    <w:rsid w:val="007B35FF"/>
    <w:rsid w:val="007B3D9C"/>
    <w:rsid w:val="007B691D"/>
    <w:rsid w:val="007B7609"/>
    <w:rsid w:val="007B7EBD"/>
    <w:rsid w:val="007C0C86"/>
    <w:rsid w:val="007C1D61"/>
    <w:rsid w:val="007C1F69"/>
    <w:rsid w:val="007C1F73"/>
    <w:rsid w:val="007C2367"/>
    <w:rsid w:val="007C2C3C"/>
    <w:rsid w:val="007C4125"/>
    <w:rsid w:val="007C567A"/>
    <w:rsid w:val="007C625C"/>
    <w:rsid w:val="007C68FA"/>
    <w:rsid w:val="007C6A9F"/>
    <w:rsid w:val="007C7D9C"/>
    <w:rsid w:val="007D099D"/>
    <w:rsid w:val="007D16B5"/>
    <w:rsid w:val="007D1E5D"/>
    <w:rsid w:val="007D2754"/>
    <w:rsid w:val="007D2EED"/>
    <w:rsid w:val="007D4881"/>
    <w:rsid w:val="007D48A1"/>
    <w:rsid w:val="007D62F8"/>
    <w:rsid w:val="007D6FB6"/>
    <w:rsid w:val="007D717E"/>
    <w:rsid w:val="007D71DA"/>
    <w:rsid w:val="007D7491"/>
    <w:rsid w:val="007E1152"/>
    <w:rsid w:val="007E3F8C"/>
    <w:rsid w:val="007E4CB1"/>
    <w:rsid w:val="007E7443"/>
    <w:rsid w:val="007E7CAB"/>
    <w:rsid w:val="007F24F5"/>
    <w:rsid w:val="007F35D3"/>
    <w:rsid w:val="007F35F5"/>
    <w:rsid w:val="007F39BA"/>
    <w:rsid w:val="007F50C7"/>
    <w:rsid w:val="007F65F9"/>
    <w:rsid w:val="007F724F"/>
    <w:rsid w:val="00801858"/>
    <w:rsid w:val="00803E06"/>
    <w:rsid w:val="00804529"/>
    <w:rsid w:val="0080518D"/>
    <w:rsid w:val="00807A19"/>
    <w:rsid w:val="00811229"/>
    <w:rsid w:val="008120F2"/>
    <w:rsid w:val="0081222B"/>
    <w:rsid w:val="00817C17"/>
    <w:rsid w:val="00820077"/>
    <w:rsid w:val="0082027E"/>
    <w:rsid w:val="0082342A"/>
    <w:rsid w:val="00824677"/>
    <w:rsid w:val="0082498D"/>
    <w:rsid w:val="008268F1"/>
    <w:rsid w:val="008307C7"/>
    <w:rsid w:val="008316E0"/>
    <w:rsid w:val="00833F15"/>
    <w:rsid w:val="00840B68"/>
    <w:rsid w:val="00840B69"/>
    <w:rsid w:val="0084356C"/>
    <w:rsid w:val="00843DB2"/>
    <w:rsid w:val="00844AB0"/>
    <w:rsid w:val="008506FE"/>
    <w:rsid w:val="00852617"/>
    <w:rsid w:val="00855219"/>
    <w:rsid w:val="00855BA9"/>
    <w:rsid w:val="00856224"/>
    <w:rsid w:val="00856306"/>
    <w:rsid w:val="008563B5"/>
    <w:rsid w:val="00856C12"/>
    <w:rsid w:val="00856DE5"/>
    <w:rsid w:val="00857838"/>
    <w:rsid w:val="00857E64"/>
    <w:rsid w:val="00860D99"/>
    <w:rsid w:val="00864AEB"/>
    <w:rsid w:val="00864E64"/>
    <w:rsid w:val="008656E1"/>
    <w:rsid w:val="0086775C"/>
    <w:rsid w:val="008700C8"/>
    <w:rsid w:val="00870415"/>
    <w:rsid w:val="008704ED"/>
    <w:rsid w:val="00870559"/>
    <w:rsid w:val="00873A6F"/>
    <w:rsid w:val="00873A8D"/>
    <w:rsid w:val="00874774"/>
    <w:rsid w:val="00874BF6"/>
    <w:rsid w:val="00875351"/>
    <w:rsid w:val="00875648"/>
    <w:rsid w:val="0087781F"/>
    <w:rsid w:val="00880679"/>
    <w:rsid w:val="00880AF3"/>
    <w:rsid w:val="00881102"/>
    <w:rsid w:val="00884736"/>
    <w:rsid w:val="00884C1A"/>
    <w:rsid w:val="00886127"/>
    <w:rsid w:val="00886D08"/>
    <w:rsid w:val="00886E08"/>
    <w:rsid w:val="00886FA5"/>
    <w:rsid w:val="00887B26"/>
    <w:rsid w:val="008910F2"/>
    <w:rsid w:val="00892830"/>
    <w:rsid w:val="0089438E"/>
    <w:rsid w:val="00894A7E"/>
    <w:rsid w:val="008970FF"/>
    <w:rsid w:val="00897CD1"/>
    <w:rsid w:val="008A0213"/>
    <w:rsid w:val="008A0C02"/>
    <w:rsid w:val="008A3381"/>
    <w:rsid w:val="008A392E"/>
    <w:rsid w:val="008A5C92"/>
    <w:rsid w:val="008B045A"/>
    <w:rsid w:val="008B1D48"/>
    <w:rsid w:val="008B3D8C"/>
    <w:rsid w:val="008B4FB5"/>
    <w:rsid w:val="008B5767"/>
    <w:rsid w:val="008B5B6F"/>
    <w:rsid w:val="008C0DAA"/>
    <w:rsid w:val="008C17EE"/>
    <w:rsid w:val="008C2635"/>
    <w:rsid w:val="008C34A2"/>
    <w:rsid w:val="008C747E"/>
    <w:rsid w:val="008C7FCD"/>
    <w:rsid w:val="008D0C47"/>
    <w:rsid w:val="008D2926"/>
    <w:rsid w:val="008D3550"/>
    <w:rsid w:val="008D5B2E"/>
    <w:rsid w:val="008D6A3C"/>
    <w:rsid w:val="008D6E2B"/>
    <w:rsid w:val="008E2D35"/>
    <w:rsid w:val="008E4DB1"/>
    <w:rsid w:val="008F14CC"/>
    <w:rsid w:val="008F4C5A"/>
    <w:rsid w:val="009010EB"/>
    <w:rsid w:val="0090167D"/>
    <w:rsid w:val="00901D1C"/>
    <w:rsid w:val="00902F97"/>
    <w:rsid w:val="00903F90"/>
    <w:rsid w:val="009041B7"/>
    <w:rsid w:val="00904E62"/>
    <w:rsid w:val="00905B3D"/>
    <w:rsid w:val="009071FE"/>
    <w:rsid w:val="0090755D"/>
    <w:rsid w:val="00910DA0"/>
    <w:rsid w:val="00914F56"/>
    <w:rsid w:val="00915740"/>
    <w:rsid w:val="009238F5"/>
    <w:rsid w:val="00924E31"/>
    <w:rsid w:val="00925E5E"/>
    <w:rsid w:val="00927EE5"/>
    <w:rsid w:val="00930BC7"/>
    <w:rsid w:val="00930FF0"/>
    <w:rsid w:val="0093238A"/>
    <w:rsid w:val="00932DCA"/>
    <w:rsid w:val="0093303C"/>
    <w:rsid w:val="009339C8"/>
    <w:rsid w:val="00934932"/>
    <w:rsid w:val="00934E38"/>
    <w:rsid w:val="009355BD"/>
    <w:rsid w:val="00937914"/>
    <w:rsid w:val="00937E42"/>
    <w:rsid w:val="00941740"/>
    <w:rsid w:val="00941BB6"/>
    <w:rsid w:val="00942ED4"/>
    <w:rsid w:val="00943FFC"/>
    <w:rsid w:val="00944B04"/>
    <w:rsid w:val="009458AF"/>
    <w:rsid w:val="00946AF1"/>
    <w:rsid w:val="0094760E"/>
    <w:rsid w:val="00954273"/>
    <w:rsid w:val="009568DB"/>
    <w:rsid w:val="00957EE5"/>
    <w:rsid w:val="00957F65"/>
    <w:rsid w:val="00962DAC"/>
    <w:rsid w:val="009676D4"/>
    <w:rsid w:val="00967B8C"/>
    <w:rsid w:val="0097174B"/>
    <w:rsid w:val="009757FD"/>
    <w:rsid w:val="00975A43"/>
    <w:rsid w:val="00977DE8"/>
    <w:rsid w:val="00977FED"/>
    <w:rsid w:val="009802B1"/>
    <w:rsid w:val="00980DDE"/>
    <w:rsid w:val="00981358"/>
    <w:rsid w:val="00981C04"/>
    <w:rsid w:val="009824B8"/>
    <w:rsid w:val="00985232"/>
    <w:rsid w:val="0098612F"/>
    <w:rsid w:val="00992F9A"/>
    <w:rsid w:val="009938CE"/>
    <w:rsid w:val="009943F4"/>
    <w:rsid w:val="0099508B"/>
    <w:rsid w:val="0099682D"/>
    <w:rsid w:val="00996949"/>
    <w:rsid w:val="00996EEE"/>
    <w:rsid w:val="009A04F0"/>
    <w:rsid w:val="009A1B58"/>
    <w:rsid w:val="009A271E"/>
    <w:rsid w:val="009A2885"/>
    <w:rsid w:val="009A3B5A"/>
    <w:rsid w:val="009A4286"/>
    <w:rsid w:val="009A603C"/>
    <w:rsid w:val="009A6F6C"/>
    <w:rsid w:val="009B0240"/>
    <w:rsid w:val="009B1729"/>
    <w:rsid w:val="009B2C41"/>
    <w:rsid w:val="009B3095"/>
    <w:rsid w:val="009B33F8"/>
    <w:rsid w:val="009B719A"/>
    <w:rsid w:val="009C048D"/>
    <w:rsid w:val="009C049F"/>
    <w:rsid w:val="009C09BB"/>
    <w:rsid w:val="009C0F05"/>
    <w:rsid w:val="009C142E"/>
    <w:rsid w:val="009C14D3"/>
    <w:rsid w:val="009C2014"/>
    <w:rsid w:val="009C20AD"/>
    <w:rsid w:val="009C4088"/>
    <w:rsid w:val="009C5034"/>
    <w:rsid w:val="009C58B7"/>
    <w:rsid w:val="009C7423"/>
    <w:rsid w:val="009C7D35"/>
    <w:rsid w:val="009D6D2E"/>
    <w:rsid w:val="009D710A"/>
    <w:rsid w:val="009D7474"/>
    <w:rsid w:val="009D7D13"/>
    <w:rsid w:val="009E039C"/>
    <w:rsid w:val="009E0C48"/>
    <w:rsid w:val="009E198D"/>
    <w:rsid w:val="009E5C22"/>
    <w:rsid w:val="009E5D98"/>
    <w:rsid w:val="009F25AF"/>
    <w:rsid w:val="009F2ACA"/>
    <w:rsid w:val="009F4D47"/>
    <w:rsid w:val="009F5767"/>
    <w:rsid w:val="009F6F63"/>
    <w:rsid w:val="009F765C"/>
    <w:rsid w:val="00A00012"/>
    <w:rsid w:val="00A01095"/>
    <w:rsid w:val="00A02CDF"/>
    <w:rsid w:val="00A062CA"/>
    <w:rsid w:val="00A071D1"/>
    <w:rsid w:val="00A139AE"/>
    <w:rsid w:val="00A156BB"/>
    <w:rsid w:val="00A160A8"/>
    <w:rsid w:val="00A174DE"/>
    <w:rsid w:val="00A2310D"/>
    <w:rsid w:val="00A25670"/>
    <w:rsid w:val="00A3108B"/>
    <w:rsid w:val="00A31F68"/>
    <w:rsid w:val="00A329EA"/>
    <w:rsid w:val="00A3597F"/>
    <w:rsid w:val="00A4283C"/>
    <w:rsid w:val="00A43906"/>
    <w:rsid w:val="00A43CE4"/>
    <w:rsid w:val="00A44C12"/>
    <w:rsid w:val="00A46CA9"/>
    <w:rsid w:val="00A46ED6"/>
    <w:rsid w:val="00A47216"/>
    <w:rsid w:val="00A52E64"/>
    <w:rsid w:val="00A534DD"/>
    <w:rsid w:val="00A539DA"/>
    <w:rsid w:val="00A566C1"/>
    <w:rsid w:val="00A60A0B"/>
    <w:rsid w:val="00A61684"/>
    <w:rsid w:val="00A6341B"/>
    <w:rsid w:val="00A63793"/>
    <w:rsid w:val="00A64C08"/>
    <w:rsid w:val="00A67D2A"/>
    <w:rsid w:val="00A704E2"/>
    <w:rsid w:val="00A71346"/>
    <w:rsid w:val="00A71BB1"/>
    <w:rsid w:val="00A72A5A"/>
    <w:rsid w:val="00A7387A"/>
    <w:rsid w:val="00A74C14"/>
    <w:rsid w:val="00A75711"/>
    <w:rsid w:val="00A80E4E"/>
    <w:rsid w:val="00A8153D"/>
    <w:rsid w:val="00A818E5"/>
    <w:rsid w:val="00A8373B"/>
    <w:rsid w:val="00A8450B"/>
    <w:rsid w:val="00A84EE8"/>
    <w:rsid w:val="00A86424"/>
    <w:rsid w:val="00A86CBE"/>
    <w:rsid w:val="00A875A0"/>
    <w:rsid w:val="00A87A37"/>
    <w:rsid w:val="00A90430"/>
    <w:rsid w:val="00A90862"/>
    <w:rsid w:val="00A91072"/>
    <w:rsid w:val="00A92B77"/>
    <w:rsid w:val="00A94D39"/>
    <w:rsid w:val="00A95C05"/>
    <w:rsid w:val="00A96D14"/>
    <w:rsid w:val="00A97499"/>
    <w:rsid w:val="00A97B38"/>
    <w:rsid w:val="00AA21EB"/>
    <w:rsid w:val="00AA23E4"/>
    <w:rsid w:val="00AA25FF"/>
    <w:rsid w:val="00AA2BAD"/>
    <w:rsid w:val="00AA591D"/>
    <w:rsid w:val="00AA5B83"/>
    <w:rsid w:val="00AA6317"/>
    <w:rsid w:val="00AA673C"/>
    <w:rsid w:val="00AA69A8"/>
    <w:rsid w:val="00AA6A12"/>
    <w:rsid w:val="00AA6C83"/>
    <w:rsid w:val="00AA6D5A"/>
    <w:rsid w:val="00AB34CD"/>
    <w:rsid w:val="00AB556B"/>
    <w:rsid w:val="00AB718D"/>
    <w:rsid w:val="00AB72E9"/>
    <w:rsid w:val="00AC047B"/>
    <w:rsid w:val="00AC18DD"/>
    <w:rsid w:val="00AC6D04"/>
    <w:rsid w:val="00AD0681"/>
    <w:rsid w:val="00AD07B0"/>
    <w:rsid w:val="00AD09B4"/>
    <w:rsid w:val="00AD0A30"/>
    <w:rsid w:val="00AD36B7"/>
    <w:rsid w:val="00AD3DF8"/>
    <w:rsid w:val="00AD52A4"/>
    <w:rsid w:val="00AE0991"/>
    <w:rsid w:val="00AE13BF"/>
    <w:rsid w:val="00AE224C"/>
    <w:rsid w:val="00AE45DB"/>
    <w:rsid w:val="00AE68ED"/>
    <w:rsid w:val="00AE6E7E"/>
    <w:rsid w:val="00AF19CE"/>
    <w:rsid w:val="00AF2C2A"/>
    <w:rsid w:val="00AF347B"/>
    <w:rsid w:val="00AF4122"/>
    <w:rsid w:val="00AF4FD4"/>
    <w:rsid w:val="00AF578D"/>
    <w:rsid w:val="00AF6366"/>
    <w:rsid w:val="00AF6714"/>
    <w:rsid w:val="00AF6D24"/>
    <w:rsid w:val="00AF7CA7"/>
    <w:rsid w:val="00B0157A"/>
    <w:rsid w:val="00B03EBC"/>
    <w:rsid w:val="00B11CD4"/>
    <w:rsid w:val="00B13A68"/>
    <w:rsid w:val="00B14BEE"/>
    <w:rsid w:val="00B15B99"/>
    <w:rsid w:val="00B1786A"/>
    <w:rsid w:val="00B2195C"/>
    <w:rsid w:val="00B22F04"/>
    <w:rsid w:val="00B231FF"/>
    <w:rsid w:val="00B24392"/>
    <w:rsid w:val="00B27DB9"/>
    <w:rsid w:val="00B27F3F"/>
    <w:rsid w:val="00B30DF6"/>
    <w:rsid w:val="00B31835"/>
    <w:rsid w:val="00B31D55"/>
    <w:rsid w:val="00B31F3E"/>
    <w:rsid w:val="00B32B8F"/>
    <w:rsid w:val="00B3356D"/>
    <w:rsid w:val="00B33D99"/>
    <w:rsid w:val="00B34F97"/>
    <w:rsid w:val="00B35690"/>
    <w:rsid w:val="00B426A9"/>
    <w:rsid w:val="00B432B9"/>
    <w:rsid w:val="00B43BFA"/>
    <w:rsid w:val="00B44E99"/>
    <w:rsid w:val="00B45F06"/>
    <w:rsid w:val="00B46CD7"/>
    <w:rsid w:val="00B46E3A"/>
    <w:rsid w:val="00B504C9"/>
    <w:rsid w:val="00B50D4D"/>
    <w:rsid w:val="00B50EAC"/>
    <w:rsid w:val="00B524F1"/>
    <w:rsid w:val="00B52623"/>
    <w:rsid w:val="00B5280B"/>
    <w:rsid w:val="00B535B3"/>
    <w:rsid w:val="00B54749"/>
    <w:rsid w:val="00B55215"/>
    <w:rsid w:val="00B56966"/>
    <w:rsid w:val="00B57B60"/>
    <w:rsid w:val="00B61BC8"/>
    <w:rsid w:val="00B62E14"/>
    <w:rsid w:val="00B66796"/>
    <w:rsid w:val="00B674FB"/>
    <w:rsid w:val="00B701B5"/>
    <w:rsid w:val="00B7033A"/>
    <w:rsid w:val="00B70AA1"/>
    <w:rsid w:val="00B71BED"/>
    <w:rsid w:val="00B71FEE"/>
    <w:rsid w:val="00B73F34"/>
    <w:rsid w:val="00B740F9"/>
    <w:rsid w:val="00B74629"/>
    <w:rsid w:val="00B75746"/>
    <w:rsid w:val="00B8651D"/>
    <w:rsid w:val="00B90F05"/>
    <w:rsid w:val="00B92C4F"/>
    <w:rsid w:val="00B93EB9"/>
    <w:rsid w:val="00B9623A"/>
    <w:rsid w:val="00B96778"/>
    <w:rsid w:val="00BA0AFA"/>
    <w:rsid w:val="00BA0F88"/>
    <w:rsid w:val="00BA2C30"/>
    <w:rsid w:val="00BA5BCA"/>
    <w:rsid w:val="00BA6FFD"/>
    <w:rsid w:val="00BB1724"/>
    <w:rsid w:val="00BB177B"/>
    <w:rsid w:val="00BB2BF8"/>
    <w:rsid w:val="00BB2F00"/>
    <w:rsid w:val="00BB6221"/>
    <w:rsid w:val="00BB73DC"/>
    <w:rsid w:val="00BC051E"/>
    <w:rsid w:val="00BC14BD"/>
    <w:rsid w:val="00BC2F15"/>
    <w:rsid w:val="00BC43B2"/>
    <w:rsid w:val="00BC6BD4"/>
    <w:rsid w:val="00BC6E2E"/>
    <w:rsid w:val="00BD0589"/>
    <w:rsid w:val="00BD095D"/>
    <w:rsid w:val="00BD1386"/>
    <w:rsid w:val="00BD31AE"/>
    <w:rsid w:val="00BD7120"/>
    <w:rsid w:val="00BE2812"/>
    <w:rsid w:val="00BE4369"/>
    <w:rsid w:val="00BE4EF5"/>
    <w:rsid w:val="00BE5498"/>
    <w:rsid w:val="00BE679D"/>
    <w:rsid w:val="00BE68A6"/>
    <w:rsid w:val="00BE7017"/>
    <w:rsid w:val="00BF14E8"/>
    <w:rsid w:val="00BF3EAF"/>
    <w:rsid w:val="00BF5A80"/>
    <w:rsid w:val="00BF66C8"/>
    <w:rsid w:val="00BF7B83"/>
    <w:rsid w:val="00C00C54"/>
    <w:rsid w:val="00C011E9"/>
    <w:rsid w:val="00C01A76"/>
    <w:rsid w:val="00C01B8A"/>
    <w:rsid w:val="00C05C88"/>
    <w:rsid w:val="00C063AC"/>
    <w:rsid w:val="00C06753"/>
    <w:rsid w:val="00C114EB"/>
    <w:rsid w:val="00C12891"/>
    <w:rsid w:val="00C12F15"/>
    <w:rsid w:val="00C138C5"/>
    <w:rsid w:val="00C141A1"/>
    <w:rsid w:val="00C16041"/>
    <w:rsid w:val="00C20B25"/>
    <w:rsid w:val="00C23070"/>
    <w:rsid w:val="00C248F8"/>
    <w:rsid w:val="00C2597D"/>
    <w:rsid w:val="00C27FA1"/>
    <w:rsid w:val="00C30408"/>
    <w:rsid w:val="00C31B01"/>
    <w:rsid w:val="00C32CE6"/>
    <w:rsid w:val="00C34531"/>
    <w:rsid w:val="00C35452"/>
    <w:rsid w:val="00C36CF4"/>
    <w:rsid w:val="00C37FFA"/>
    <w:rsid w:val="00C40555"/>
    <w:rsid w:val="00C450F0"/>
    <w:rsid w:val="00C526F5"/>
    <w:rsid w:val="00C560AD"/>
    <w:rsid w:val="00C572A4"/>
    <w:rsid w:val="00C6049A"/>
    <w:rsid w:val="00C60C2A"/>
    <w:rsid w:val="00C61144"/>
    <w:rsid w:val="00C61BBF"/>
    <w:rsid w:val="00C62CFF"/>
    <w:rsid w:val="00C63BDC"/>
    <w:rsid w:val="00C64C9F"/>
    <w:rsid w:val="00C66424"/>
    <w:rsid w:val="00C67573"/>
    <w:rsid w:val="00C7443A"/>
    <w:rsid w:val="00C755AA"/>
    <w:rsid w:val="00C77F25"/>
    <w:rsid w:val="00C80364"/>
    <w:rsid w:val="00C828F0"/>
    <w:rsid w:val="00C83113"/>
    <w:rsid w:val="00C843AA"/>
    <w:rsid w:val="00C84AEB"/>
    <w:rsid w:val="00C84D49"/>
    <w:rsid w:val="00C86499"/>
    <w:rsid w:val="00C90D4A"/>
    <w:rsid w:val="00C92669"/>
    <w:rsid w:val="00C93BDB"/>
    <w:rsid w:val="00C95DF3"/>
    <w:rsid w:val="00C9619D"/>
    <w:rsid w:val="00C9739D"/>
    <w:rsid w:val="00CA5C1D"/>
    <w:rsid w:val="00CA62AC"/>
    <w:rsid w:val="00CA78F2"/>
    <w:rsid w:val="00CA7DBD"/>
    <w:rsid w:val="00CB0044"/>
    <w:rsid w:val="00CB34FD"/>
    <w:rsid w:val="00CB52CA"/>
    <w:rsid w:val="00CB6DC6"/>
    <w:rsid w:val="00CB7529"/>
    <w:rsid w:val="00CC245C"/>
    <w:rsid w:val="00CC3E28"/>
    <w:rsid w:val="00CC491C"/>
    <w:rsid w:val="00CC7947"/>
    <w:rsid w:val="00CD3CA0"/>
    <w:rsid w:val="00CD503A"/>
    <w:rsid w:val="00CD7020"/>
    <w:rsid w:val="00CE0DE8"/>
    <w:rsid w:val="00CE246A"/>
    <w:rsid w:val="00CE486F"/>
    <w:rsid w:val="00CE4CB3"/>
    <w:rsid w:val="00CE5528"/>
    <w:rsid w:val="00CE75EC"/>
    <w:rsid w:val="00CF0F49"/>
    <w:rsid w:val="00CF3653"/>
    <w:rsid w:val="00CF39AE"/>
    <w:rsid w:val="00CF3D8E"/>
    <w:rsid w:val="00CF4480"/>
    <w:rsid w:val="00CF6DB0"/>
    <w:rsid w:val="00CF7BA5"/>
    <w:rsid w:val="00D02AC8"/>
    <w:rsid w:val="00D046D4"/>
    <w:rsid w:val="00D0472F"/>
    <w:rsid w:val="00D063A6"/>
    <w:rsid w:val="00D07256"/>
    <w:rsid w:val="00D159D7"/>
    <w:rsid w:val="00D1702F"/>
    <w:rsid w:val="00D175CC"/>
    <w:rsid w:val="00D2130C"/>
    <w:rsid w:val="00D21425"/>
    <w:rsid w:val="00D22ADD"/>
    <w:rsid w:val="00D24983"/>
    <w:rsid w:val="00D2615B"/>
    <w:rsid w:val="00D26B31"/>
    <w:rsid w:val="00D308BA"/>
    <w:rsid w:val="00D31F61"/>
    <w:rsid w:val="00D34DC0"/>
    <w:rsid w:val="00D37483"/>
    <w:rsid w:val="00D437E1"/>
    <w:rsid w:val="00D44A7F"/>
    <w:rsid w:val="00D456A6"/>
    <w:rsid w:val="00D457BF"/>
    <w:rsid w:val="00D457DB"/>
    <w:rsid w:val="00D462A1"/>
    <w:rsid w:val="00D4680B"/>
    <w:rsid w:val="00D50B37"/>
    <w:rsid w:val="00D517E8"/>
    <w:rsid w:val="00D52F10"/>
    <w:rsid w:val="00D53763"/>
    <w:rsid w:val="00D54A88"/>
    <w:rsid w:val="00D567BE"/>
    <w:rsid w:val="00D56BF5"/>
    <w:rsid w:val="00D573DF"/>
    <w:rsid w:val="00D60794"/>
    <w:rsid w:val="00D61D24"/>
    <w:rsid w:val="00D6248F"/>
    <w:rsid w:val="00D63204"/>
    <w:rsid w:val="00D70092"/>
    <w:rsid w:val="00D72728"/>
    <w:rsid w:val="00D74C8C"/>
    <w:rsid w:val="00D7766B"/>
    <w:rsid w:val="00D80C13"/>
    <w:rsid w:val="00D80DAD"/>
    <w:rsid w:val="00D8233A"/>
    <w:rsid w:val="00D825DD"/>
    <w:rsid w:val="00D82DBC"/>
    <w:rsid w:val="00D840AA"/>
    <w:rsid w:val="00D84E3A"/>
    <w:rsid w:val="00D8573B"/>
    <w:rsid w:val="00D877FB"/>
    <w:rsid w:val="00D915CF"/>
    <w:rsid w:val="00D94DA3"/>
    <w:rsid w:val="00D95F94"/>
    <w:rsid w:val="00D971B7"/>
    <w:rsid w:val="00DA0E17"/>
    <w:rsid w:val="00DA3E48"/>
    <w:rsid w:val="00DA48CA"/>
    <w:rsid w:val="00DA52FB"/>
    <w:rsid w:val="00DA60B1"/>
    <w:rsid w:val="00DB35D7"/>
    <w:rsid w:val="00DB3B7F"/>
    <w:rsid w:val="00DB45D8"/>
    <w:rsid w:val="00DB4762"/>
    <w:rsid w:val="00DB4931"/>
    <w:rsid w:val="00DB7126"/>
    <w:rsid w:val="00DB7AE1"/>
    <w:rsid w:val="00DB7F71"/>
    <w:rsid w:val="00DC1C3C"/>
    <w:rsid w:val="00DC2C9F"/>
    <w:rsid w:val="00DC57F6"/>
    <w:rsid w:val="00DC5BD3"/>
    <w:rsid w:val="00DC62B2"/>
    <w:rsid w:val="00DC714E"/>
    <w:rsid w:val="00DC75EA"/>
    <w:rsid w:val="00DD02CA"/>
    <w:rsid w:val="00DD0613"/>
    <w:rsid w:val="00DD25F3"/>
    <w:rsid w:val="00DD319D"/>
    <w:rsid w:val="00DD399F"/>
    <w:rsid w:val="00DD4C5B"/>
    <w:rsid w:val="00DD4CA1"/>
    <w:rsid w:val="00DD5EFE"/>
    <w:rsid w:val="00DD630E"/>
    <w:rsid w:val="00DD65CC"/>
    <w:rsid w:val="00DE0575"/>
    <w:rsid w:val="00DE1601"/>
    <w:rsid w:val="00DE4F2C"/>
    <w:rsid w:val="00DE7009"/>
    <w:rsid w:val="00DF1AC4"/>
    <w:rsid w:val="00DF1D91"/>
    <w:rsid w:val="00DF2241"/>
    <w:rsid w:val="00DF2245"/>
    <w:rsid w:val="00DF6A4E"/>
    <w:rsid w:val="00DF70BE"/>
    <w:rsid w:val="00E0101C"/>
    <w:rsid w:val="00E057FF"/>
    <w:rsid w:val="00E10AEC"/>
    <w:rsid w:val="00E140A9"/>
    <w:rsid w:val="00E15824"/>
    <w:rsid w:val="00E1608C"/>
    <w:rsid w:val="00E162FD"/>
    <w:rsid w:val="00E1768E"/>
    <w:rsid w:val="00E239F6"/>
    <w:rsid w:val="00E25D52"/>
    <w:rsid w:val="00E26484"/>
    <w:rsid w:val="00E27002"/>
    <w:rsid w:val="00E277EE"/>
    <w:rsid w:val="00E307F0"/>
    <w:rsid w:val="00E31398"/>
    <w:rsid w:val="00E320F3"/>
    <w:rsid w:val="00E32EBC"/>
    <w:rsid w:val="00E34BCA"/>
    <w:rsid w:val="00E35231"/>
    <w:rsid w:val="00E35D15"/>
    <w:rsid w:val="00E4069D"/>
    <w:rsid w:val="00E42505"/>
    <w:rsid w:val="00E44201"/>
    <w:rsid w:val="00E4434A"/>
    <w:rsid w:val="00E47143"/>
    <w:rsid w:val="00E4760A"/>
    <w:rsid w:val="00E5179C"/>
    <w:rsid w:val="00E543D7"/>
    <w:rsid w:val="00E55A80"/>
    <w:rsid w:val="00E57923"/>
    <w:rsid w:val="00E57986"/>
    <w:rsid w:val="00E57F85"/>
    <w:rsid w:val="00E61B01"/>
    <w:rsid w:val="00E633B7"/>
    <w:rsid w:val="00E63CD2"/>
    <w:rsid w:val="00E6589B"/>
    <w:rsid w:val="00E666CE"/>
    <w:rsid w:val="00E708AC"/>
    <w:rsid w:val="00E71EC0"/>
    <w:rsid w:val="00E71EF8"/>
    <w:rsid w:val="00E73C10"/>
    <w:rsid w:val="00E7795C"/>
    <w:rsid w:val="00E77AC9"/>
    <w:rsid w:val="00E80466"/>
    <w:rsid w:val="00E823AF"/>
    <w:rsid w:val="00E849DB"/>
    <w:rsid w:val="00E84F54"/>
    <w:rsid w:val="00E85273"/>
    <w:rsid w:val="00E85560"/>
    <w:rsid w:val="00E87386"/>
    <w:rsid w:val="00E91300"/>
    <w:rsid w:val="00E91FA5"/>
    <w:rsid w:val="00E92C71"/>
    <w:rsid w:val="00E94CFA"/>
    <w:rsid w:val="00E96962"/>
    <w:rsid w:val="00E97450"/>
    <w:rsid w:val="00EA0FA8"/>
    <w:rsid w:val="00EA1B61"/>
    <w:rsid w:val="00EA3F34"/>
    <w:rsid w:val="00EA4266"/>
    <w:rsid w:val="00EA4571"/>
    <w:rsid w:val="00EA4633"/>
    <w:rsid w:val="00EA4CEF"/>
    <w:rsid w:val="00EA6648"/>
    <w:rsid w:val="00EB05F9"/>
    <w:rsid w:val="00EB0948"/>
    <w:rsid w:val="00EB0B7C"/>
    <w:rsid w:val="00EB2629"/>
    <w:rsid w:val="00EB7182"/>
    <w:rsid w:val="00EB7496"/>
    <w:rsid w:val="00EB7DBB"/>
    <w:rsid w:val="00EC03C9"/>
    <w:rsid w:val="00EC0CAB"/>
    <w:rsid w:val="00EC1D01"/>
    <w:rsid w:val="00EC5A99"/>
    <w:rsid w:val="00EC7A63"/>
    <w:rsid w:val="00EC7F68"/>
    <w:rsid w:val="00ED18F3"/>
    <w:rsid w:val="00ED1D3A"/>
    <w:rsid w:val="00ED3215"/>
    <w:rsid w:val="00ED3C30"/>
    <w:rsid w:val="00ED44ED"/>
    <w:rsid w:val="00ED4A70"/>
    <w:rsid w:val="00ED4D4F"/>
    <w:rsid w:val="00EE05DE"/>
    <w:rsid w:val="00EE2411"/>
    <w:rsid w:val="00EE2FBE"/>
    <w:rsid w:val="00EE3C81"/>
    <w:rsid w:val="00EE5149"/>
    <w:rsid w:val="00EE5383"/>
    <w:rsid w:val="00EE6896"/>
    <w:rsid w:val="00EE6B52"/>
    <w:rsid w:val="00EE6C0C"/>
    <w:rsid w:val="00EE6FAD"/>
    <w:rsid w:val="00EE77BF"/>
    <w:rsid w:val="00EF069F"/>
    <w:rsid w:val="00EF7C88"/>
    <w:rsid w:val="00F00948"/>
    <w:rsid w:val="00F04FB7"/>
    <w:rsid w:val="00F0568D"/>
    <w:rsid w:val="00F068B9"/>
    <w:rsid w:val="00F07EF6"/>
    <w:rsid w:val="00F12646"/>
    <w:rsid w:val="00F1300B"/>
    <w:rsid w:val="00F17B17"/>
    <w:rsid w:val="00F228C6"/>
    <w:rsid w:val="00F22FFE"/>
    <w:rsid w:val="00F23F76"/>
    <w:rsid w:val="00F2473E"/>
    <w:rsid w:val="00F2776C"/>
    <w:rsid w:val="00F27CF8"/>
    <w:rsid w:val="00F321B4"/>
    <w:rsid w:val="00F36939"/>
    <w:rsid w:val="00F40449"/>
    <w:rsid w:val="00F41BCB"/>
    <w:rsid w:val="00F44C2F"/>
    <w:rsid w:val="00F45A84"/>
    <w:rsid w:val="00F45BBE"/>
    <w:rsid w:val="00F45DD8"/>
    <w:rsid w:val="00F47ABF"/>
    <w:rsid w:val="00F51E43"/>
    <w:rsid w:val="00F52605"/>
    <w:rsid w:val="00F53BB7"/>
    <w:rsid w:val="00F5470E"/>
    <w:rsid w:val="00F5615F"/>
    <w:rsid w:val="00F56C94"/>
    <w:rsid w:val="00F60C2A"/>
    <w:rsid w:val="00F61963"/>
    <w:rsid w:val="00F6271B"/>
    <w:rsid w:val="00F64F3D"/>
    <w:rsid w:val="00F651FF"/>
    <w:rsid w:val="00F72D05"/>
    <w:rsid w:val="00F73F80"/>
    <w:rsid w:val="00F74228"/>
    <w:rsid w:val="00F74C30"/>
    <w:rsid w:val="00F75726"/>
    <w:rsid w:val="00F76F43"/>
    <w:rsid w:val="00F80D6D"/>
    <w:rsid w:val="00F82874"/>
    <w:rsid w:val="00F83A3A"/>
    <w:rsid w:val="00F83E79"/>
    <w:rsid w:val="00F84ACF"/>
    <w:rsid w:val="00F87551"/>
    <w:rsid w:val="00F909DA"/>
    <w:rsid w:val="00F912C0"/>
    <w:rsid w:val="00F915FC"/>
    <w:rsid w:val="00F925D3"/>
    <w:rsid w:val="00F953F5"/>
    <w:rsid w:val="00F95FBC"/>
    <w:rsid w:val="00F96E17"/>
    <w:rsid w:val="00FA030C"/>
    <w:rsid w:val="00FA10E7"/>
    <w:rsid w:val="00FA1548"/>
    <w:rsid w:val="00FA1E23"/>
    <w:rsid w:val="00FA2F57"/>
    <w:rsid w:val="00FA4B21"/>
    <w:rsid w:val="00FA582B"/>
    <w:rsid w:val="00FA5E34"/>
    <w:rsid w:val="00FA6EB7"/>
    <w:rsid w:val="00FA7549"/>
    <w:rsid w:val="00FB01D8"/>
    <w:rsid w:val="00FB1B5A"/>
    <w:rsid w:val="00FB1F25"/>
    <w:rsid w:val="00FB3F7B"/>
    <w:rsid w:val="00FB5029"/>
    <w:rsid w:val="00FB6C97"/>
    <w:rsid w:val="00FB74BE"/>
    <w:rsid w:val="00FC23A7"/>
    <w:rsid w:val="00FC2B7D"/>
    <w:rsid w:val="00FC44CE"/>
    <w:rsid w:val="00FC455A"/>
    <w:rsid w:val="00FC53CA"/>
    <w:rsid w:val="00FC6712"/>
    <w:rsid w:val="00FC73D5"/>
    <w:rsid w:val="00FD019C"/>
    <w:rsid w:val="00FD0D01"/>
    <w:rsid w:val="00FD3415"/>
    <w:rsid w:val="00FD5154"/>
    <w:rsid w:val="00FE004B"/>
    <w:rsid w:val="00FE1BB6"/>
    <w:rsid w:val="00FE304D"/>
    <w:rsid w:val="00FE3457"/>
    <w:rsid w:val="00FE4C81"/>
    <w:rsid w:val="00FE62A0"/>
    <w:rsid w:val="00FE6B78"/>
    <w:rsid w:val="00FE7BDE"/>
    <w:rsid w:val="00FF0490"/>
    <w:rsid w:val="00FF123F"/>
    <w:rsid w:val="00FF18C8"/>
    <w:rsid w:val="00FF233F"/>
    <w:rsid w:val="00FF4DBC"/>
    <w:rsid w:val="00FF5D0A"/>
    <w:rsid w:val="00FF613B"/>
    <w:rsid w:val="00FF6186"/>
    <w:rsid w:val="00FF7438"/>
    <w:rsid w:val="00FF7E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C02BA4F-DD7B-4B26-AE6C-FA3D236BF7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7BF"/>
    <w:pPr>
      <w:tabs>
        <w:tab w:val="left" w:pos="720"/>
        <w:tab w:val="left" w:pos="1080"/>
        <w:tab w:val="left" w:pos="1440"/>
        <w:tab w:val="left" w:pos="1800"/>
      </w:tabs>
      <w:spacing w:line="264" w:lineRule="auto"/>
    </w:pPr>
    <w:rPr>
      <w:sz w:val="22"/>
    </w:rPr>
  </w:style>
  <w:style w:type="paragraph" w:styleId="Heading1">
    <w:name w:val="heading 1"/>
    <w:basedOn w:val="Normal"/>
    <w:qFormat/>
    <w:rsid w:val="00EE77BF"/>
    <w:pPr>
      <w:keepNext/>
      <w:keepLines/>
      <w:framePr w:hSpace="187" w:vSpace="187" w:wrap="notBeside" w:vAnchor="text" w:hAnchor="text" w:y="1"/>
      <w:spacing w:before="240" w:after="200"/>
      <w:outlineLvl w:val="0"/>
    </w:pPr>
    <w:rPr>
      <w:rFonts w:ascii="Arial" w:hAnsi="Arial"/>
      <w:b/>
      <w:kern w:val="28"/>
      <w:sz w:val="36"/>
    </w:rPr>
  </w:style>
  <w:style w:type="paragraph" w:styleId="Heading2">
    <w:name w:val="heading 2"/>
    <w:basedOn w:val="Normal"/>
    <w:next w:val="Normal"/>
    <w:qFormat/>
    <w:rsid w:val="00EE77BF"/>
    <w:pPr>
      <w:keepNext/>
      <w:tabs>
        <w:tab w:val="clear" w:pos="720"/>
        <w:tab w:val="clear" w:pos="1080"/>
        <w:tab w:val="clear" w:pos="1440"/>
        <w:tab w:val="clear" w:pos="1800"/>
      </w:tabs>
      <w:spacing w:line="240" w:lineRule="auto"/>
      <w:outlineLvl w:val="1"/>
    </w:pPr>
    <w:rPr>
      <w:b/>
      <w:sz w:val="24"/>
    </w:rPr>
  </w:style>
  <w:style w:type="paragraph" w:styleId="Heading3">
    <w:name w:val="heading 3"/>
    <w:basedOn w:val="Normal"/>
    <w:next w:val="Normal"/>
    <w:qFormat/>
    <w:rsid w:val="00EE77BF"/>
    <w:pPr>
      <w:keepNext/>
      <w:spacing w:before="240" w:after="60"/>
      <w:outlineLvl w:val="2"/>
    </w:pPr>
    <w:rPr>
      <w:rFonts w:ascii="Arial" w:hAnsi="Arial"/>
    </w:rPr>
  </w:style>
  <w:style w:type="paragraph" w:styleId="Heading4">
    <w:name w:val="heading 4"/>
    <w:basedOn w:val="Normal"/>
    <w:qFormat/>
    <w:rsid w:val="00EE77BF"/>
    <w:pPr>
      <w:keepNext/>
      <w:outlineLvl w:val="3"/>
    </w:pPr>
    <w:rPr>
      <w:b/>
      <w:i/>
    </w:rPr>
  </w:style>
  <w:style w:type="paragraph" w:styleId="Heading5">
    <w:name w:val="heading 5"/>
    <w:basedOn w:val="Normal"/>
    <w:qFormat/>
    <w:rsid w:val="00EE77BF"/>
    <w:pPr>
      <w:keepNext/>
      <w:outlineLvl w:val="4"/>
    </w:pPr>
    <w:rPr>
      <w:rFonts w:ascii="Arial" w:hAnsi="Arial"/>
      <w:b/>
    </w:rPr>
  </w:style>
  <w:style w:type="paragraph" w:styleId="Heading6">
    <w:name w:val="heading 6"/>
    <w:basedOn w:val="Normal"/>
    <w:next w:val="Normal"/>
    <w:qFormat/>
    <w:rsid w:val="00EE77BF"/>
    <w:pPr>
      <w:keepNext/>
      <w:tabs>
        <w:tab w:val="clear" w:pos="720"/>
        <w:tab w:val="clear" w:pos="1080"/>
        <w:tab w:val="clear" w:pos="1440"/>
        <w:tab w:val="clear" w:pos="1800"/>
      </w:tabs>
      <w:spacing w:line="240" w:lineRule="atLeast"/>
      <w:outlineLvl w:val="5"/>
    </w:pPr>
    <w:rPr>
      <w:rFonts w:ascii="Helv" w:hAnsi="Helv"/>
      <w:snapToGrid w:val="0"/>
      <w:color w:val="000000"/>
      <w:sz w:val="24"/>
    </w:rPr>
  </w:style>
  <w:style w:type="paragraph" w:styleId="Heading7">
    <w:name w:val="heading 7"/>
    <w:basedOn w:val="Normal"/>
    <w:next w:val="Normal"/>
    <w:qFormat/>
    <w:rsid w:val="00EE77BF"/>
    <w:pPr>
      <w:keepNext/>
      <w:outlineLvl w:val="6"/>
    </w:pPr>
    <w:rPr>
      <w:i/>
      <w:color w:val="FF0000"/>
    </w:rPr>
  </w:style>
  <w:style w:type="paragraph" w:styleId="Heading8">
    <w:name w:val="heading 8"/>
    <w:basedOn w:val="Normal"/>
    <w:next w:val="Normal"/>
    <w:qFormat/>
    <w:rsid w:val="00EE77BF"/>
    <w:pPr>
      <w:keepNext/>
      <w:ind w:left="6696" w:right="-1008"/>
      <w:outlineLvl w:val="7"/>
    </w:pPr>
    <w:rPr>
      <w:bCs/>
      <w:sz w:val="32"/>
    </w:rPr>
  </w:style>
  <w:style w:type="paragraph" w:styleId="Heading9">
    <w:name w:val="heading 9"/>
    <w:basedOn w:val="Normal"/>
    <w:next w:val="Normal"/>
    <w:qFormat/>
    <w:rsid w:val="00EE77BF"/>
    <w:pPr>
      <w:keepNext/>
      <w:spacing w:before="680"/>
      <w:ind w:left="6696" w:right="-1008"/>
      <w:outlineLvl w:val="8"/>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EE77BF"/>
    <w:pPr>
      <w:tabs>
        <w:tab w:val="clear" w:pos="720"/>
        <w:tab w:val="clear" w:pos="1080"/>
        <w:tab w:val="clear" w:pos="1800"/>
        <w:tab w:val="right" w:pos="9000"/>
      </w:tabs>
      <w:spacing w:line="240" w:lineRule="auto"/>
    </w:pPr>
    <w:rPr>
      <w:rFonts w:ascii="Arial" w:hAnsi="Arial"/>
      <w:b/>
      <w:sz w:val="18"/>
    </w:rPr>
  </w:style>
  <w:style w:type="paragraph" w:styleId="TOC1">
    <w:name w:val="toc 1"/>
    <w:basedOn w:val="BodyText"/>
    <w:next w:val="BodyText"/>
    <w:uiPriority w:val="39"/>
    <w:rsid w:val="00EE77BF"/>
    <w:pPr>
      <w:tabs>
        <w:tab w:val="clear" w:pos="720"/>
        <w:tab w:val="clear" w:pos="1080"/>
        <w:tab w:val="clear" w:pos="1440"/>
        <w:tab w:val="clear" w:pos="1800"/>
      </w:tabs>
      <w:spacing w:before="240"/>
    </w:pPr>
    <w:rPr>
      <w:b/>
    </w:rPr>
  </w:style>
  <w:style w:type="paragraph" w:styleId="BodyText">
    <w:name w:val="Body Text"/>
    <w:basedOn w:val="Normal"/>
    <w:rsid w:val="00EE77BF"/>
  </w:style>
  <w:style w:type="character" w:styleId="PageNumber">
    <w:name w:val="page number"/>
    <w:rsid w:val="00EE77BF"/>
    <w:rPr>
      <w:rFonts w:ascii="Arial" w:hAnsi="Arial"/>
      <w:dstrike w:val="0"/>
      <w:color w:val="auto"/>
      <w:sz w:val="18"/>
      <w:bdr w:val="none" w:sz="0" w:space="0" w:color="auto"/>
      <w:vertAlign w:val="baseline"/>
    </w:rPr>
  </w:style>
  <w:style w:type="paragraph" w:customStyle="1" w:styleId="AbtHeadAOutlined">
    <w:name w:val="AbtHead A Outlined"/>
    <w:basedOn w:val="AbtHeadA"/>
    <w:next w:val="BodyText"/>
    <w:rsid w:val="00EE77BF"/>
    <w:pPr>
      <w:tabs>
        <w:tab w:val="num" w:pos="720"/>
      </w:tabs>
      <w:ind w:left="720" w:hanging="720"/>
    </w:pPr>
  </w:style>
  <w:style w:type="paragraph" w:customStyle="1" w:styleId="AbtHeadA">
    <w:name w:val="AbtHead A"/>
    <w:basedOn w:val="Normal"/>
    <w:next w:val="BodyText"/>
    <w:rsid w:val="00EE77BF"/>
    <w:pPr>
      <w:keepNext/>
      <w:keepLines/>
      <w:spacing w:after="360"/>
      <w:outlineLvl w:val="0"/>
    </w:pPr>
    <w:rPr>
      <w:rFonts w:ascii="Arial" w:hAnsi="Arial"/>
      <w:b/>
      <w:sz w:val="36"/>
    </w:rPr>
  </w:style>
  <w:style w:type="paragraph" w:styleId="Header">
    <w:name w:val="header"/>
    <w:basedOn w:val="Normal"/>
    <w:rsid w:val="00EE77BF"/>
    <w:pPr>
      <w:tabs>
        <w:tab w:val="clear" w:pos="720"/>
        <w:tab w:val="clear" w:pos="1080"/>
        <w:tab w:val="clear" w:pos="1440"/>
        <w:tab w:val="center" w:pos="4320"/>
        <w:tab w:val="right" w:pos="8640"/>
      </w:tabs>
    </w:pPr>
  </w:style>
  <w:style w:type="character" w:styleId="CommentReference">
    <w:name w:val="annotation reference"/>
    <w:semiHidden/>
    <w:rsid w:val="00EE77BF"/>
    <w:rPr>
      <w:sz w:val="16"/>
    </w:rPr>
  </w:style>
  <w:style w:type="paragraph" w:styleId="TOC2">
    <w:name w:val="toc 2"/>
    <w:basedOn w:val="BodyText"/>
    <w:next w:val="BodyText"/>
    <w:uiPriority w:val="39"/>
    <w:rsid w:val="00EE77BF"/>
    <w:pPr>
      <w:tabs>
        <w:tab w:val="clear" w:pos="720"/>
        <w:tab w:val="clear" w:pos="1080"/>
        <w:tab w:val="clear" w:pos="1440"/>
        <w:tab w:val="clear" w:pos="1800"/>
      </w:tabs>
      <w:ind w:left="576"/>
    </w:pPr>
  </w:style>
  <w:style w:type="paragraph" w:styleId="TOC3">
    <w:name w:val="toc 3"/>
    <w:basedOn w:val="BodyText"/>
    <w:next w:val="BodyText"/>
    <w:uiPriority w:val="39"/>
    <w:rsid w:val="00EE77BF"/>
    <w:pPr>
      <w:tabs>
        <w:tab w:val="clear" w:pos="720"/>
        <w:tab w:val="clear" w:pos="1080"/>
        <w:tab w:val="clear" w:pos="1440"/>
        <w:tab w:val="clear" w:pos="1800"/>
      </w:tabs>
      <w:ind w:left="1152"/>
    </w:pPr>
  </w:style>
  <w:style w:type="paragraph" w:styleId="TOC4">
    <w:name w:val="toc 4"/>
    <w:basedOn w:val="BodyText"/>
    <w:next w:val="BodyText"/>
    <w:uiPriority w:val="39"/>
    <w:rsid w:val="00EE77BF"/>
    <w:pPr>
      <w:tabs>
        <w:tab w:val="clear" w:pos="720"/>
        <w:tab w:val="clear" w:pos="1080"/>
        <w:tab w:val="clear" w:pos="1440"/>
        <w:tab w:val="clear" w:pos="1800"/>
      </w:tabs>
      <w:ind w:left="1728"/>
    </w:pPr>
  </w:style>
  <w:style w:type="paragraph" w:styleId="TOC5">
    <w:name w:val="toc 5"/>
    <w:basedOn w:val="Normal"/>
    <w:next w:val="Normal"/>
    <w:autoRedefine/>
    <w:semiHidden/>
    <w:rsid w:val="00EE77BF"/>
    <w:pPr>
      <w:tabs>
        <w:tab w:val="clear" w:pos="720"/>
        <w:tab w:val="clear" w:pos="1080"/>
        <w:tab w:val="clear" w:pos="1440"/>
      </w:tabs>
      <w:ind w:left="960"/>
    </w:pPr>
  </w:style>
  <w:style w:type="paragraph" w:styleId="TOC6">
    <w:name w:val="toc 6"/>
    <w:basedOn w:val="Normal"/>
    <w:next w:val="Normal"/>
    <w:autoRedefine/>
    <w:semiHidden/>
    <w:rsid w:val="00EE77BF"/>
    <w:pPr>
      <w:tabs>
        <w:tab w:val="clear" w:pos="720"/>
        <w:tab w:val="clear" w:pos="1080"/>
        <w:tab w:val="clear" w:pos="1440"/>
      </w:tabs>
      <w:ind w:left="1200"/>
    </w:pPr>
  </w:style>
  <w:style w:type="paragraph" w:styleId="TOC7">
    <w:name w:val="toc 7"/>
    <w:basedOn w:val="Normal"/>
    <w:next w:val="Normal"/>
    <w:autoRedefine/>
    <w:semiHidden/>
    <w:rsid w:val="00EE77BF"/>
    <w:pPr>
      <w:tabs>
        <w:tab w:val="clear" w:pos="720"/>
        <w:tab w:val="clear" w:pos="1080"/>
        <w:tab w:val="clear" w:pos="1440"/>
      </w:tabs>
      <w:ind w:left="1440"/>
    </w:pPr>
  </w:style>
  <w:style w:type="paragraph" w:styleId="TOC8">
    <w:name w:val="toc 8"/>
    <w:basedOn w:val="Normal"/>
    <w:next w:val="Normal"/>
    <w:autoRedefine/>
    <w:semiHidden/>
    <w:rsid w:val="00EE77BF"/>
    <w:pPr>
      <w:tabs>
        <w:tab w:val="clear" w:pos="720"/>
        <w:tab w:val="clear" w:pos="1080"/>
        <w:tab w:val="clear" w:pos="1440"/>
      </w:tabs>
      <w:ind w:left="1680"/>
    </w:pPr>
  </w:style>
  <w:style w:type="paragraph" w:styleId="TOC9">
    <w:name w:val="toc 9"/>
    <w:basedOn w:val="Normal"/>
    <w:next w:val="Normal"/>
    <w:autoRedefine/>
    <w:semiHidden/>
    <w:rsid w:val="00EE77BF"/>
    <w:pPr>
      <w:tabs>
        <w:tab w:val="clear" w:pos="720"/>
        <w:tab w:val="clear" w:pos="1080"/>
        <w:tab w:val="clear" w:pos="1440"/>
      </w:tabs>
      <w:ind w:left="1920"/>
    </w:pPr>
  </w:style>
  <w:style w:type="paragraph" w:customStyle="1" w:styleId="Table">
    <w:name w:val="Table"/>
    <w:basedOn w:val="Normal"/>
    <w:rsid w:val="00EE77BF"/>
    <w:rPr>
      <w:rFonts w:ascii="Arial" w:hAnsi="Arial"/>
      <w:sz w:val="20"/>
    </w:rPr>
  </w:style>
  <w:style w:type="paragraph" w:customStyle="1" w:styleId="AbtHeadB">
    <w:name w:val="AbtHead B"/>
    <w:basedOn w:val="Normal"/>
    <w:next w:val="BodyText"/>
    <w:link w:val="AbtHeadBChar"/>
    <w:rsid w:val="00EE77BF"/>
    <w:pPr>
      <w:keepNext/>
      <w:keepLines/>
      <w:spacing w:after="280"/>
      <w:outlineLvl w:val="1"/>
    </w:pPr>
    <w:rPr>
      <w:rFonts w:ascii="Arial" w:hAnsi="Arial"/>
      <w:b/>
      <w:sz w:val="28"/>
    </w:rPr>
  </w:style>
  <w:style w:type="paragraph" w:customStyle="1" w:styleId="AbtHeadC">
    <w:name w:val="AbtHead C"/>
    <w:basedOn w:val="Normal"/>
    <w:next w:val="BodyText"/>
    <w:rsid w:val="00EE77BF"/>
    <w:pPr>
      <w:keepNext/>
      <w:keepLines/>
      <w:spacing w:after="240"/>
      <w:outlineLvl w:val="2"/>
    </w:pPr>
    <w:rPr>
      <w:rFonts w:ascii="Arial" w:hAnsi="Arial"/>
      <w:b/>
      <w:sz w:val="20"/>
    </w:rPr>
  </w:style>
  <w:style w:type="paragraph" w:customStyle="1" w:styleId="AbtHeadD">
    <w:name w:val="AbtHead D"/>
    <w:basedOn w:val="Normal"/>
    <w:next w:val="BodyText"/>
    <w:rsid w:val="00EE77BF"/>
    <w:pPr>
      <w:keepNext/>
      <w:keepLines/>
      <w:outlineLvl w:val="3"/>
    </w:pPr>
    <w:rPr>
      <w:b/>
      <w:i/>
    </w:rPr>
  </w:style>
  <w:style w:type="character" w:customStyle="1" w:styleId="AbtHeadE">
    <w:name w:val="AbtHead E"/>
    <w:rsid w:val="00EE77BF"/>
    <w:rPr>
      <w:rFonts w:ascii="Arial" w:hAnsi="Arial"/>
      <w:b/>
      <w:sz w:val="20"/>
    </w:rPr>
  </w:style>
  <w:style w:type="paragraph" w:customStyle="1" w:styleId="RefNumbers">
    <w:name w:val="Ref Numbers"/>
    <w:basedOn w:val="BodyText"/>
    <w:rsid w:val="00EE77BF"/>
    <w:pPr>
      <w:tabs>
        <w:tab w:val="num" w:pos="720"/>
      </w:tabs>
      <w:spacing w:after="240"/>
      <w:ind w:left="720" w:hanging="720"/>
    </w:pPr>
  </w:style>
  <w:style w:type="paragraph" w:styleId="FootnoteText">
    <w:name w:val="footnote text"/>
    <w:aliases w:val="F1"/>
    <w:basedOn w:val="Normal"/>
    <w:link w:val="FootnoteTextChar"/>
    <w:uiPriority w:val="99"/>
    <w:rsid w:val="00EE77BF"/>
    <w:pPr>
      <w:spacing w:after="120"/>
      <w:ind w:left="360" w:hanging="360"/>
    </w:pPr>
    <w:rPr>
      <w:sz w:val="18"/>
    </w:rPr>
  </w:style>
  <w:style w:type="paragraph" w:customStyle="1" w:styleId="AbtHeadBOutlined">
    <w:name w:val="AbtHead B Outlined"/>
    <w:basedOn w:val="AbtHeadB"/>
    <w:next w:val="BodyText"/>
    <w:rsid w:val="00EE77BF"/>
    <w:pPr>
      <w:tabs>
        <w:tab w:val="num" w:pos="720"/>
      </w:tabs>
      <w:ind w:left="720" w:hanging="720"/>
    </w:pPr>
  </w:style>
  <w:style w:type="paragraph" w:customStyle="1" w:styleId="AbtHeadCOutlined">
    <w:name w:val="AbtHead C Outlined"/>
    <w:basedOn w:val="AbtHeadC"/>
    <w:next w:val="BodyText"/>
    <w:rsid w:val="00EE77BF"/>
    <w:pPr>
      <w:tabs>
        <w:tab w:val="clear" w:pos="720"/>
        <w:tab w:val="num" w:pos="1080"/>
      </w:tabs>
      <w:ind w:left="720" w:hanging="720"/>
    </w:pPr>
  </w:style>
  <w:style w:type="paragraph" w:styleId="Index1">
    <w:name w:val="index 1"/>
    <w:basedOn w:val="Normal"/>
    <w:next w:val="Normal"/>
    <w:autoRedefine/>
    <w:semiHidden/>
    <w:rsid w:val="00EE77BF"/>
    <w:pPr>
      <w:tabs>
        <w:tab w:val="clear" w:pos="720"/>
        <w:tab w:val="clear" w:pos="1080"/>
        <w:tab w:val="clear" w:pos="1440"/>
      </w:tabs>
      <w:ind w:left="220" w:hanging="220"/>
    </w:pPr>
    <w:rPr>
      <w:sz w:val="20"/>
    </w:rPr>
  </w:style>
  <w:style w:type="paragraph" w:styleId="Index2">
    <w:name w:val="index 2"/>
    <w:basedOn w:val="Normal"/>
    <w:next w:val="Normal"/>
    <w:autoRedefine/>
    <w:semiHidden/>
    <w:rsid w:val="00EE77BF"/>
    <w:pPr>
      <w:tabs>
        <w:tab w:val="clear" w:pos="720"/>
        <w:tab w:val="clear" w:pos="1080"/>
        <w:tab w:val="clear" w:pos="1440"/>
      </w:tabs>
      <w:ind w:left="440" w:hanging="220"/>
    </w:pPr>
    <w:rPr>
      <w:sz w:val="20"/>
    </w:rPr>
  </w:style>
  <w:style w:type="paragraph" w:styleId="Index3">
    <w:name w:val="index 3"/>
    <w:basedOn w:val="Normal"/>
    <w:next w:val="Normal"/>
    <w:autoRedefine/>
    <w:semiHidden/>
    <w:rsid w:val="00EE77BF"/>
    <w:pPr>
      <w:tabs>
        <w:tab w:val="clear" w:pos="720"/>
        <w:tab w:val="clear" w:pos="1080"/>
        <w:tab w:val="clear" w:pos="1440"/>
      </w:tabs>
      <w:ind w:left="660" w:hanging="220"/>
    </w:pPr>
    <w:rPr>
      <w:sz w:val="20"/>
    </w:rPr>
  </w:style>
  <w:style w:type="paragraph" w:customStyle="1" w:styleId="Numbers">
    <w:name w:val="Numbers"/>
    <w:basedOn w:val="BodyText"/>
    <w:rsid w:val="00EE77BF"/>
    <w:pPr>
      <w:tabs>
        <w:tab w:val="num" w:pos="1080"/>
      </w:tabs>
      <w:ind w:left="1080" w:hanging="360"/>
    </w:pPr>
  </w:style>
  <w:style w:type="paragraph" w:customStyle="1" w:styleId="Bullets">
    <w:name w:val="Bullets"/>
    <w:basedOn w:val="BodyText"/>
    <w:rsid w:val="00EE77BF"/>
    <w:pPr>
      <w:numPr>
        <w:numId w:val="1"/>
      </w:numPr>
    </w:pPr>
  </w:style>
  <w:style w:type="paragraph" w:styleId="BodyText2">
    <w:name w:val="Body Text 2"/>
    <w:basedOn w:val="Normal"/>
    <w:rsid w:val="00EE77BF"/>
    <w:pPr>
      <w:tabs>
        <w:tab w:val="clear" w:pos="720"/>
        <w:tab w:val="clear" w:pos="1080"/>
        <w:tab w:val="clear" w:pos="1440"/>
        <w:tab w:val="clear" w:pos="1800"/>
      </w:tabs>
      <w:spacing w:line="240" w:lineRule="auto"/>
    </w:pPr>
  </w:style>
  <w:style w:type="character" w:styleId="Strong">
    <w:name w:val="Strong"/>
    <w:qFormat/>
    <w:rsid w:val="00EE77BF"/>
    <w:rPr>
      <w:b/>
    </w:rPr>
  </w:style>
  <w:style w:type="character" w:styleId="FootnoteReference">
    <w:name w:val="footnote reference"/>
    <w:uiPriority w:val="99"/>
    <w:rsid w:val="00EE77BF"/>
    <w:rPr>
      <w:vertAlign w:val="superscript"/>
    </w:rPr>
  </w:style>
  <w:style w:type="character" w:styleId="Hyperlink">
    <w:name w:val="Hyperlink"/>
    <w:uiPriority w:val="99"/>
    <w:rsid w:val="00EE77BF"/>
    <w:rPr>
      <w:color w:val="0000FF"/>
      <w:u w:val="single"/>
    </w:rPr>
  </w:style>
  <w:style w:type="character" w:styleId="FollowedHyperlink">
    <w:name w:val="FollowedHyperlink"/>
    <w:rsid w:val="00EE77BF"/>
    <w:rPr>
      <w:color w:val="800080"/>
      <w:u w:val="single"/>
    </w:rPr>
  </w:style>
  <w:style w:type="paragraph" w:styleId="BlockText">
    <w:name w:val="Block Text"/>
    <w:basedOn w:val="Normal"/>
    <w:rsid w:val="00EE77BF"/>
    <w:pPr>
      <w:ind w:left="6660" w:right="144"/>
    </w:pPr>
  </w:style>
  <w:style w:type="paragraph" w:styleId="Title">
    <w:name w:val="Title"/>
    <w:basedOn w:val="Normal"/>
    <w:qFormat/>
    <w:rsid w:val="00EE77BF"/>
    <w:pPr>
      <w:widowControl w:val="0"/>
      <w:tabs>
        <w:tab w:val="clear" w:pos="720"/>
        <w:tab w:val="clear" w:pos="1080"/>
        <w:tab w:val="clear" w:pos="1440"/>
        <w:tab w:val="clear" w:pos="1800"/>
      </w:tabs>
      <w:spacing w:before="120" w:after="120" w:line="240" w:lineRule="auto"/>
      <w:jc w:val="center"/>
    </w:pPr>
    <w:rPr>
      <w:rFonts w:ascii="Arial" w:hAnsi="Arial"/>
      <w:b/>
    </w:rPr>
  </w:style>
  <w:style w:type="paragraph" w:styleId="BodyText3">
    <w:name w:val="Body Text 3"/>
    <w:basedOn w:val="Normal"/>
    <w:rsid w:val="00EE77BF"/>
    <w:pPr>
      <w:tabs>
        <w:tab w:val="clear" w:pos="720"/>
        <w:tab w:val="clear" w:pos="1080"/>
        <w:tab w:val="clear" w:pos="1440"/>
        <w:tab w:val="clear" w:pos="1800"/>
      </w:tabs>
      <w:spacing w:line="240" w:lineRule="auto"/>
    </w:pPr>
    <w:rPr>
      <w:sz w:val="23"/>
    </w:rPr>
  </w:style>
  <w:style w:type="paragraph" w:styleId="BodyTextIndent">
    <w:name w:val="Body Text Indent"/>
    <w:basedOn w:val="Normal"/>
    <w:rsid w:val="00EE77BF"/>
    <w:pPr>
      <w:ind w:left="720"/>
    </w:pPr>
  </w:style>
  <w:style w:type="paragraph" w:customStyle="1" w:styleId="xl47">
    <w:name w:val="xl47"/>
    <w:basedOn w:val="Normal"/>
    <w:rsid w:val="00EE77BF"/>
    <w:pPr>
      <w:pBdr>
        <w:bottom w:val="single" w:sz="4" w:space="0" w:color="auto"/>
        <w:right w:val="single" w:sz="4" w:space="0" w:color="auto"/>
      </w:pBdr>
      <w:tabs>
        <w:tab w:val="clear" w:pos="720"/>
        <w:tab w:val="clear" w:pos="1080"/>
        <w:tab w:val="clear" w:pos="1440"/>
        <w:tab w:val="clear" w:pos="1800"/>
      </w:tabs>
      <w:spacing w:before="100" w:beforeAutospacing="1" w:after="100" w:afterAutospacing="1" w:line="240" w:lineRule="auto"/>
      <w:textAlignment w:val="top"/>
    </w:pPr>
    <w:rPr>
      <w:rFonts w:eastAsia="Arial Unicode MS"/>
      <w:color w:val="0000FF"/>
      <w:szCs w:val="22"/>
      <w:u w:val="single"/>
    </w:rPr>
  </w:style>
  <w:style w:type="paragraph" w:customStyle="1" w:styleId="a">
    <w:name w:val="_"/>
    <w:basedOn w:val="Normal"/>
    <w:rsid w:val="00EE77BF"/>
    <w:pPr>
      <w:widowControl w:val="0"/>
      <w:tabs>
        <w:tab w:val="clear" w:pos="720"/>
        <w:tab w:val="clear" w:pos="1080"/>
        <w:tab w:val="clear" w:pos="1440"/>
        <w:tab w:val="clear" w:pos="1800"/>
      </w:tabs>
      <w:spacing w:line="240" w:lineRule="auto"/>
      <w:ind w:left="1080" w:hanging="360"/>
    </w:pPr>
    <w:rPr>
      <w:snapToGrid w:val="0"/>
      <w:sz w:val="24"/>
    </w:rPr>
  </w:style>
  <w:style w:type="paragraph" w:styleId="BalloonText">
    <w:name w:val="Balloon Text"/>
    <w:basedOn w:val="Normal"/>
    <w:semiHidden/>
    <w:rsid w:val="00EE77BF"/>
    <w:rPr>
      <w:rFonts w:ascii="Tahoma" w:hAnsi="Tahoma" w:cs="Tahoma"/>
      <w:sz w:val="16"/>
      <w:szCs w:val="16"/>
    </w:rPr>
  </w:style>
  <w:style w:type="paragraph" w:styleId="CommentText">
    <w:name w:val="annotation text"/>
    <w:basedOn w:val="Normal"/>
    <w:link w:val="CommentTextChar"/>
    <w:semiHidden/>
    <w:rsid w:val="00EE77BF"/>
    <w:rPr>
      <w:sz w:val="20"/>
    </w:rPr>
  </w:style>
  <w:style w:type="paragraph" w:styleId="CommentSubject">
    <w:name w:val="annotation subject"/>
    <w:basedOn w:val="CommentText"/>
    <w:next w:val="CommentText"/>
    <w:semiHidden/>
    <w:rsid w:val="00EE77BF"/>
    <w:rPr>
      <w:b/>
      <w:bCs/>
    </w:rPr>
  </w:style>
  <w:style w:type="character" w:customStyle="1" w:styleId="whitebold1">
    <w:name w:val="whitebold1"/>
    <w:rsid w:val="00EE77BF"/>
    <w:rPr>
      <w:rFonts w:ascii="Verdana" w:hAnsi="Verdana" w:hint="default"/>
      <w:b/>
      <w:bCs/>
      <w:strike w:val="0"/>
      <w:dstrike w:val="0"/>
      <w:color w:val="003399"/>
      <w:sz w:val="19"/>
      <w:szCs w:val="19"/>
      <w:u w:val="none"/>
      <w:effect w:val="none"/>
    </w:rPr>
  </w:style>
  <w:style w:type="paragraph" w:styleId="EndnoteText">
    <w:name w:val="endnote text"/>
    <w:basedOn w:val="Normal"/>
    <w:semiHidden/>
    <w:rsid w:val="00EE77BF"/>
    <w:pPr>
      <w:tabs>
        <w:tab w:val="clear" w:pos="720"/>
        <w:tab w:val="clear" w:pos="1080"/>
        <w:tab w:val="clear" w:pos="1440"/>
        <w:tab w:val="clear" w:pos="1800"/>
      </w:tabs>
      <w:spacing w:after="120" w:line="240" w:lineRule="auto"/>
      <w:ind w:left="360" w:hanging="360"/>
    </w:pPr>
    <w:rPr>
      <w:sz w:val="20"/>
    </w:rPr>
  </w:style>
  <w:style w:type="character" w:styleId="EndnoteReference">
    <w:name w:val="endnote reference"/>
    <w:semiHidden/>
    <w:rsid w:val="00EE77BF"/>
    <w:rPr>
      <w:vertAlign w:val="superscript"/>
    </w:rPr>
  </w:style>
  <w:style w:type="table" w:styleId="TableGrid">
    <w:name w:val="Table Grid"/>
    <w:basedOn w:val="TableNormal"/>
    <w:uiPriority w:val="59"/>
    <w:rsid w:val="009802B1"/>
    <w:pPr>
      <w:tabs>
        <w:tab w:val="left" w:pos="720"/>
        <w:tab w:val="left" w:pos="1080"/>
        <w:tab w:val="left" w:pos="1440"/>
        <w:tab w:val="left" w:pos="1800"/>
      </w:tabs>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rsid w:val="00EE77BF"/>
    <w:rPr>
      <w:sz w:val="22"/>
      <w:lang w:val="en-US" w:eastAsia="en-US" w:bidi="ar-SA"/>
    </w:rPr>
  </w:style>
  <w:style w:type="character" w:customStyle="1" w:styleId="FootnoteTextChar">
    <w:name w:val="Footnote Text Char"/>
    <w:aliases w:val="F1 Char"/>
    <w:link w:val="FootnoteText"/>
    <w:uiPriority w:val="99"/>
    <w:locked/>
    <w:rsid w:val="00932DCA"/>
    <w:rPr>
      <w:sz w:val="18"/>
      <w:lang w:val="en-US" w:eastAsia="en-US" w:bidi="ar-SA"/>
    </w:rPr>
  </w:style>
  <w:style w:type="character" w:customStyle="1" w:styleId="AbtHeadBChar">
    <w:name w:val="AbtHead B Char"/>
    <w:link w:val="AbtHeadB"/>
    <w:rsid w:val="007C2C3C"/>
    <w:rPr>
      <w:rFonts w:ascii="Arial" w:hAnsi="Arial"/>
      <w:b/>
      <w:sz w:val="28"/>
      <w:lang w:val="en-US" w:eastAsia="en-US" w:bidi="ar-SA"/>
    </w:rPr>
  </w:style>
  <w:style w:type="paragraph" w:styleId="NormalWeb">
    <w:name w:val="Normal (Web)"/>
    <w:basedOn w:val="Normal"/>
    <w:rsid w:val="00820077"/>
    <w:pPr>
      <w:tabs>
        <w:tab w:val="clear" w:pos="720"/>
        <w:tab w:val="clear" w:pos="1080"/>
        <w:tab w:val="clear" w:pos="1440"/>
        <w:tab w:val="clear" w:pos="1800"/>
      </w:tabs>
      <w:spacing w:before="100" w:beforeAutospacing="1" w:after="100" w:afterAutospacing="1" w:line="240" w:lineRule="auto"/>
    </w:pPr>
    <w:rPr>
      <w:sz w:val="24"/>
      <w:szCs w:val="24"/>
    </w:rPr>
  </w:style>
  <w:style w:type="character" w:customStyle="1" w:styleId="variable">
    <w:name w:val="variable"/>
    <w:basedOn w:val="DefaultParagraphFont"/>
    <w:rsid w:val="00820077"/>
  </w:style>
  <w:style w:type="paragraph" w:styleId="HTMLPreformatted">
    <w:name w:val="HTML Preformatted"/>
    <w:basedOn w:val="Normal"/>
    <w:rsid w:val="00820077"/>
    <w:pPr>
      <w:tabs>
        <w:tab w:val="clear" w:pos="720"/>
        <w:tab w:val="clear" w:pos="1080"/>
        <w:tab w:val="clear" w:pos="1440"/>
        <w:tab w:val="clear" w:pos="180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hAnsi="Courier New" w:cs="Courier New"/>
      <w:sz w:val="20"/>
    </w:rPr>
  </w:style>
  <w:style w:type="character" w:customStyle="1" w:styleId="mbox">
    <w:name w:val="mbox"/>
    <w:basedOn w:val="DefaultParagraphFont"/>
    <w:rsid w:val="00820077"/>
  </w:style>
  <w:style w:type="character" w:customStyle="1" w:styleId="dataset">
    <w:name w:val="dataset"/>
    <w:basedOn w:val="DefaultParagraphFont"/>
    <w:rsid w:val="00820077"/>
  </w:style>
  <w:style w:type="paragraph" w:styleId="Revision">
    <w:name w:val="Revision"/>
    <w:hidden/>
    <w:uiPriority w:val="99"/>
    <w:semiHidden/>
    <w:rsid w:val="00243DA2"/>
    <w:rPr>
      <w:sz w:val="22"/>
    </w:rPr>
  </w:style>
  <w:style w:type="table" w:customStyle="1" w:styleId="LightShading1">
    <w:name w:val="Light Shading1"/>
    <w:basedOn w:val="TableNormal"/>
    <w:uiPriority w:val="60"/>
    <w:rsid w:val="007C1D6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7C1D6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7C1D6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7C1D6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7C1D6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7C1D6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MediumShading21">
    <w:name w:val="Medium Shading 21"/>
    <w:basedOn w:val="TableNormal"/>
    <w:uiPriority w:val="64"/>
    <w:rsid w:val="007C1D6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7C1D6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Grid11">
    <w:name w:val="Medium Grid 11"/>
    <w:basedOn w:val="TableNormal"/>
    <w:uiPriority w:val="67"/>
    <w:rsid w:val="007C1D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customStyle="1" w:styleId="LightList1">
    <w:name w:val="Light List1"/>
    <w:basedOn w:val="TableNormal"/>
    <w:uiPriority w:val="61"/>
    <w:rsid w:val="007C1D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7C1D6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Shading-Accent6">
    <w:name w:val="Light Shading Accent 6"/>
    <w:basedOn w:val="TableNormal"/>
    <w:uiPriority w:val="60"/>
    <w:rsid w:val="007C1D6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Grid1">
    <w:name w:val="Light Grid1"/>
    <w:basedOn w:val="TableNormal"/>
    <w:uiPriority w:val="62"/>
    <w:rsid w:val="007C1D6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MediumShading11">
    <w:name w:val="Medium Shading 11"/>
    <w:basedOn w:val="TableNormal"/>
    <w:uiPriority w:val="63"/>
    <w:rsid w:val="007C1D6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List21">
    <w:name w:val="Medium List 21"/>
    <w:basedOn w:val="TableNormal"/>
    <w:uiPriority w:val="66"/>
    <w:rsid w:val="007C1D6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Grid-Accent2">
    <w:name w:val="Colorful Grid Accent 2"/>
    <w:basedOn w:val="TableNormal"/>
    <w:uiPriority w:val="73"/>
    <w:rsid w:val="007C1D6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character" w:customStyle="1" w:styleId="CommentTextChar">
    <w:name w:val="Comment Text Char"/>
    <w:basedOn w:val="DefaultParagraphFont"/>
    <w:link w:val="CommentText"/>
    <w:semiHidden/>
    <w:rsid w:val="00606C5C"/>
  </w:style>
  <w:style w:type="paragraph" w:styleId="ListParagraph">
    <w:name w:val="List Paragraph"/>
    <w:basedOn w:val="Normal"/>
    <w:link w:val="ListParagraphChar"/>
    <w:qFormat/>
    <w:rsid w:val="009C7423"/>
    <w:pPr>
      <w:ind w:left="720"/>
      <w:contextualSpacing/>
    </w:pPr>
  </w:style>
  <w:style w:type="character" w:styleId="Emphasis">
    <w:name w:val="Emphasis"/>
    <w:basedOn w:val="DefaultParagraphFont"/>
    <w:uiPriority w:val="20"/>
    <w:qFormat/>
    <w:rsid w:val="00A74C14"/>
    <w:rPr>
      <w:i/>
      <w:iCs/>
    </w:rPr>
  </w:style>
  <w:style w:type="paragraph" w:styleId="NoSpacing">
    <w:name w:val="No Spacing"/>
    <w:uiPriority w:val="1"/>
    <w:qFormat/>
    <w:rsid w:val="003B6AD9"/>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27699A"/>
    <w:pPr>
      <w:tabs>
        <w:tab w:val="clear" w:pos="720"/>
        <w:tab w:val="clear" w:pos="1080"/>
        <w:tab w:val="clear" w:pos="1440"/>
        <w:tab w:val="clear" w:pos="1800"/>
      </w:tabs>
      <w:spacing w:line="240" w:lineRule="auto"/>
    </w:pPr>
    <w:rPr>
      <w:rFonts w:ascii="Calibri" w:eastAsia="Calibri" w:hAnsi="Calibri"/>
      <w:szCs w:val="21"/>
    </w:rPr>
  </w:style>
  <w:style w:type="character" w:customStyle="1" w:styleId="PlainTextChar">
    <w:name w:val="Plain Text Char"/>
    <w:basedOn w:val="DefaultParagraphFont"/>
    <w:link w:val="PlainText"/>
    <w:uiPriority w:val="99"/>
    <w:rsid w:val="0027699A"/>
    <w:rPr>
      <w:rFonts w:ascii="Calibri" w:eastAsia="Calibri" w:hAnsi="Calibri"/>
      <w:sz w:val="22"/>
      <w:szCs w:val="21"/>
    </w:rPr>
  </w:style>
  <w:style w:type="character" w:customStyle="1" w:styleId="ListParagraphChar">
    <w:name w:val="List Paragraph Char"/>
    <w:basedOn w:val="DefaultParagraphFont"/>
    <w:link w:val="ListParagraph"/>
    <w:uiPriority w:val="34"/>
    <w:rsid w:val="00A63793"/>
    <w:rPr>
      <w:sz w:val="22"/>
    </w:rPr>
  </w:style>
  <w:style w:type="character" w:customStyle="1" w:styleId="nlmpublisher-name">
    <w:name w:val="nlm_publisher-name"/>
    <w:basedOn w:val="DefaultParagraphFont"/>
    <w:rsid w:val="003C3186"/>
  </w:style>
  <w:style w:type="paragraph" w:customStyle="1" w:styleId="CRESSTReference">
    <w:name w:val="CRESST Reference"/>
    <w:basedOn w:val="Normal"/>
    <w:rsid w:val="003C3186"/>
    <w:pPr>
      <w:keepLines/>
      <w:tabs>
        <w:tab w:val="clear" w:pos="720"/>
        <w:tab w:val="clear" w:pos="1080"/>
        <w:tab w:val="clear" w:pos="1440"/>
        <w:tab w:val="clear" w:pos="1800"/>
      </w:tabs>
      <w:spacing w:before="120" w:after="120" w:line="240" w:lineRule="auto"/>
      <w:ind w:left="547" w:hanging="547"/>
    </w:pPr>
    <w:rPr>
      <w:sz w:val="24"/>
    </w:rPr>
  </w:style>
  <w:style w:type="paragraph" w:customStyle="1" w:styleId="ReportBodyText">
    <w:name w:val="Report Body Text"/>
    <w:basedOn w:val="ListParagraph"/>
    <w:link w:val="ReportBodyTextChar"/>
    <w:qFormat/>
    <w:rsid w:val="005F48C3"/>
    <w:pPr>
      <w:tabs>
        <w:tab w:val="clear" w:pos="720"/>
        <w:tab w:val="clear" w:pos="1080"/>
        <w:tab w:val="clear" w:pos="1440"/>
        <w:tab w:val="clear" w:pos="1800"/>
      </w:tabs>
      <w:spacing w:line="240" w:lineRule="auto"/>
      <w:ind w:left="0"/>
      <w:contextualSpacing w:val="0"/>
    </w:pPr>
    <w:rPr>
      <w:szCs w:val="24"/>
    </w:rPr>
  </w:style>
  <w:style w:type="character" w:customStyle="1" w:styleId="ReportBodyTextChar">
    <w:name w:val="Report Body Text Char"/>
    <w:link w:val="ReportBodyText"/>
    <w:rsid w:val="005F48C3"/>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2111">
      <w:bodyDiv w:val="1"/>
      <w:marLeft w:val="0"/>
      <w:marRight w:val="0"/>
      <w:marTop w:val="0"/>
      <w:marBottom w:val="0"/>
      <w:divBdr>
        <w:top w:val="none" w:sz="0" w:space="0" w:color="auto"/>
        <w:left w:val="none" w:sz="0" w:space="0" w:color="auto"/>
        <w:bottom w:val="none" w:sz="0" w:space="0" w:color="auto"/>
        <w:right w:val="none" w:sz="0" w:space="0" w:color="auto"/>
      </w:divBdr>
    </w:div>
    <w:div w:id="54865830">
      <w:bodyDiv w:val="1"/>
      <w:marLeft w:val="0"/>
      <w:marRight w:val="0"/>
      <w:marTop w:val="0"/>
      <w:marBottom w:val="0"/>
      <w:divBdr>
        <w:top w:val="none" w:sz="0" w:space="0" w:color="auto"/>
        <w:left w:val="none" w:sz="0" w:space="0" w:color="auto"/>
        <w:bottom w:val="none" w:sz="0" w:space="0" w:color="auto"/>
        <w:right w:val="none" w:sz="0" w:space="0" w:color="auto"/>
      </w:divBdr>
    </w:div>
    <w:div w:id="65228501">
      <w:bodyDiv w:val="1"/>
      <w:marLeft w:val="0"/>
      <w:marRight w:val="0"/>
      <w:marTop w:val="0"/>
      <w:marBottom w:val="0"/>
      <w:divBdr>
        <w:top w:val="none" w:sz="0" w:space="0" w:color="auto"/>
        <w:left w:val="none" w:sz="0" w:space="0" w:color="auto"/>
        <w:bottom w:val="none" w:sz="0" w:space="0" w:color="auto"/>
        <w:right w:val="none" w:sz="0" w:space="0" w:color="auto"/>
      </w:divBdr>
    </w:div>
    <w:div w:id="204410219">
      <w:bodyDiv w:val="1"/>
      <w:marLeft w:val="0"/>
      <w:marRight w:val="0"/>
      <w:marTop w:val="0"/>
      <w:marBottom w:val="0"/>
      <w:divBdr>
        <w:top w:val="none" w:sz="0" w:space="0" w:color="auto"/>
        <w:left w:val="none" w:sz="0" w:space="0" w:color="auto"/>
        <w:bottom w:val="none" w:sz="0" w:space="0" w:color="auto"/>
        <w:right w:val="none" w:sz="0" w:space="0" w:color="auto"/>
      </w:divBdr>
    </w:div>
    <w:div w:id="211425874">
      <w:bodyDiv w:val="1"/>
      <w:marLeft w:val="0"/>
      <w:marRight w:val="0"/>
      <w:marTop w:val="0"/>
      <w:marBottom w:val="0"/>
      <w:divBdr>
        <w:top w:val="none" w:sz="0" w:space="0" w:color="auto"/>
        <w:left w:val="none" w:sz="0" w:space="0" w:color="auto"/>
        <w:bottom w:val="none" w:sz="0" w:space="0" w:color="auto"/>
        <w:right w:val="none" w:sz="0" w:space="0" w:color="auto"/>
      </w:divBdr>
    </w:div>
    <w:div w:id="318584987">
      <w:bodyDiv w:val="1"/>
      <w:marLeft w:val="0"/>
      <w:marRight w:val="0"/>
      <w:marTop w:val="0"/>
      <w:marBottom w:val="0"/>
      <w:divBdr>
        <w:top w:val="none" w:sz="0" w:space="0" w:color="auto"/>
        <w:left w:val="none" w:sz="0" w:space="0" w:color="auto"/>
        <w:bottom w:val="none" w:sz="0" w:space="0" w:color="auto"/>
        <w:right w:val="none" w:sz="0" w:space="0" w:color="auto"/>
      </w:divBdr>
    </w:div>
    <w:div w:id="337123416">
      <w:bodyDiv w:val="1"/>
      <w:marLeft w:val="0"/>
      <w:marRight w:val="0"/>
      <w:marTop w:val="0"/>
      <w:marBottom w:val="0"/>
      <w:divBdr>
        <w:top w:val="none" w:sz="0" w:space="0" w:color="auto"/>
        <w:left w:val="none" w:sz="0" w:space="0" w:color="auto"/>
        <w:bottom w:val="none" w:sz="0" w:space="0" w:color="auto"/>
        <w:right w:val="none" w:sz="0" w:space="0" w:color="auto"/>
      </w:divBdr>
    </w:div>
    <w:div w:id="344554114">
      <w:bodyDiv w:val="1"/>
      <w:marLeft w:val="0"/>
      <w:marRight w:val="0"/>
      <w:marTop w:val="0"/>
      <w:marBottom w:val="0"/>
      <w:divBdr>
        <w:top w:val="none" w:sz="0" w:space="0" w:color="auto"/>
        <w:left w:val="none" w:sz="0" w:space="0" w:color="auto"/>
        <w:bottom w:val="none" w:sz="0" w:space="0" w:color="auto"/>
        <w:right w:val="none" w:sz="0" w:space="0" w:color="auto"/>
      </w:divBdr>
    </w:div>
    <w:div w:id="345711230">
      <w:bodyDiv w:val="1"/>
      <w:marLeft w:val="0"/>
      <w:marRight w:val="0"/>
      <w:marTop w:val="0"/>
      <w:marBottom w:val="0"/>
      <w:divBdr>
        <w:top w:val="none" w:sz="0" w:space="0" w:color="auto"/>
        <w:left w:val="none" w:sz="0" w:space="0" w:color="auto"/>
        <w:bottom w:val="none" w:sz="0" w:space="0" w:color="auto"/>
        <w:right w:val="none" w:sz="0" w:space="0" w:color="auto"/>
      </w:divBdr>
    </w:div>
    <w:div w:id="354120681">
      <w:bodyDiv w:val="1"/>
      <w:marLeft w:val="0"/>
      <w:marRight w:val="0"/>
      <w:marTop w:val="0"/>
      <w:marBottom w:val="0"/>
      <w:divBdr>
        <w:top w:val="none" w:sz="0" w:space="0" w:color="auto"/>
        <w:left w:val="none" w:sz="0" w:space="0" w:color="auto"/>
        <w:bottom w:val="none" w:sz="0" w:space="0" w:color="auto"/>
        <w:right w:val="none" w:sz="0" w:space="0" w:color="auto"/>
      </w:divBdr>
    </w:div>
    <w:div w:id="422990244">
      <w:bodyDiv w:val="1"/>
      <w:marLeft w:val="0"/>
      <w:marRight w:val="0"/>
      <w:marTop w:val="0"/>
      <w:marBottom w:val="0"/>
      <w:divBdr>
        <w:top w:val="none" w:sz="0" w:space="0" w:color="auto"/>
        <w:left w:val="none" w:sz="0" w:space="0" w:color="auto"/>
        <w:bottom w:val="none" w:sz="0" w:space="0" w:color="auto"/>
        <w:right w:val="none" w:sz="0" w:space="0" w:color="auto"/>
      </w:divBdr>
    </w:div>
    <w:div w:id="502206146">
      <w:bodyDiv w:val="1"/>
      <w:marLeft w:val="0"/>
      <w:marRight w:val="0"/>
      <w:marTop w:val="0"/>
      <w:marBottom w:val="0"/>
      <w:divBdr>
        <w:top w:val="none" w:sz="0" w:space="0" w:color="auto"/>
        <w:left w:val="none" w:sz="0" w:space="0" w:color="auto"/>
        <w:bottom w:val="none" w:sz="0" w:space="0" w:color="auto"/>
        <w:right w:val="none" w:sz="0" w:space="0" w:color="auto"/>
      </w:divBdr>
      <w:divsChild>
        <w:div w:id="274949334">
          <w:marLeft w:val="0"/>
          <w:marRight w:val="0"/>
          <w:marTop w:val="0"/>
          <w:marBottom w:val="0"/>
          <w:divBdr>
            <w:top w:val="none" w:sz="0" w:space="0" w:color="auto"/>
            <w:left w:val="none" w:sz="0" w:space="0" w:color="auto"/>
            <w:bottom w:val="none" w:sz="0" w:space="0" w:color="auto"/>
            <w:right w:val="none" w:sz="0" w:space="0" w:color="auto"/>
          </w:divBdr>
        </w:div>
        <w:div w:id="1626503207">
          <w:marLeft w:val="0"/>
          <w:marRight w:val="0"/>
          <w:marTop w:val="0"/>
          <w:marBottom w:val="0"/>
          <w:divBdr>
            <w:top w:val="none" w:sz="0" w:space="0" w:color="auto"/>
            <w:left w:val="none" w:sz="0" w:space="0" w:color="auto"/>
            <w:bottom w:val="none" w:sz="0" w:space="0" w:color="auto"/>
            <w:right w:val="none" w:sz="0" w:space="0" w:color="auto"/>
          </w:divBdr>
        </w:div>
      </w:divsChild>
    </w:div>
    <w:div w:id="528445722">
      <w:bodyDiv w:val="1"/>
      <w:marLeft w:val="0"/>
      <w:marRight w:val="0"/>
      <w:marTop w:val="0"/>
      <w:marBottom w:val="0"/>
      <w:divBdr>
        <w:top w:val="none" w:sz="0" w:space="0" w:color="auto"/>
        <w:left w:val="none" w:sz="0" w:space="0" w:color="auto"/>
        <w:bottom w:val="none" w:sz="0" w:space="0" w:color="auto"/>
        <w:right w:val="none" w:sz="0" w:space="0" w:color="auto"/>
      </w:divBdr>
    </w:div>
    <w:div w:id="606935984">
      <w:bodyDiv w:val="1"/>
      <w:marLeft w:val="0"/>
      <w:marRight w:val="0"/>
      <w:marTop w:val="0"/>
      <w:marBottom w:val="0"/>
      <w:divBdr>
        <w:top w:val="none" w:sz="0" w:space="0" w:color="auto"/>
        <w:left w:val="none" w:sz="0" w:space="0" w:color="auto"/>
        <w:bottom w:val="none" w:sz="0" w:space="0" w:color="auto"/>
        <w:right w:val="none" w:sz="0" w:space="0" w:color="auto"/>
      </w:divBdr>
      <w:divsChild>
        <w:div w:id="1573585497">
          <w:marLeft w:val="0"/>
          <w:marRight w:val="0"/>
          <w:marTop w:val="20"/>
          <w:marBottom w:val="0"/>
          <w:divBdr>
            <w:top w:val="none" w:sz="0" w:space="0" w:color="auto"/>
            <w:left w:val="none" w:sz="0" w:space="0" w:color="auto"/>
            <w:bottom w:val="none" w:sz="0" w:space="0" w:color="auto"/>
            <w:right w:val="none" w:sz="0" w:space="0" w:color="auto"/>
          </w:divBdr>
          <w:divsChild>
            <w:div w:id="61413834">
              <w:marLeft w:val="0"/>
              <w:marRight w:val="0"/>
              <w:marTop w:val="0"/>
              <w:marBottom w:val="0"/>
              <w:divBdr>
                <w:top w:val="none" w:sz="0" w:space="0" w:color="auto"/>
                <w:left w:val="none" w:sz="0" w:space="0" w:color="auto"/>
                <w:bottom w:val="none" w:sz="0" w:space="0" w:color="auto"/>
                <w:right w:val="none" w:sz="0" w:space="0" w:color="auto"/>
              </w:divBdr>
              <w:divsChild>
                <w:div w:id="1890726048">
                  <w:marLeft w:val="0"/>
                  <w:marRight w:val="0"/>
                  <w:marTop w:val="0"/>
                  <w:marBottom w:val="0"/>
                  <w:divBdr>
                    <w:top w:val="none" w:sz="0" w:space="0" w:color="auto"/>
                    <w:left w:val="none" w:sz="0" w:space="0" w:color="auto"/>
                    <w:bottom w:val="none" w:sz="0" w:space="0" w:color="auto"/>
                    <w:right w:val="none" w:sz="0" w:space="0" w:color="auto"/>
                  </w:divBdr>
                  <w:divsChild>
                    <w:div w:id="2010012858">
                      <w:marLeft w:val="0"/>
                      <w:marRight w:val="0"/>
                      <w:marTop w:val="0"/>
                      <w:marBottom w:val="0"/>
                      <w:divBdr>
                        <w:top w:val="single" w:sz="4" w:space="0" w:color="005AA7"/>
                        <w:left w:val="single" w:sz="4" w:space="0" w:color="005AA7"/>
                        <w:bottom w:val="single" w:sz="4" w:space="0" w:color="005AA7"/>
                        <w:right w:val="single" w:sz="4" w:space="0" w:color="005AA7"/>
                      </w:divBdr>
                    </w:div>
                  </w:divsChild>
                </w:div>
              </w:divsChild>
            </w:div>
          </w:divsChild>
        </w:div>
      </w:divsChild>
    </w:div>
    <w:div w:id="795493168">
      <w:bodyDiv w:val="1"/>
      <w:marLeft w:val="0"/>
      <w:marRight w:val="0"/>
      <w:marTop w:val="0"/>
      <w:marBottom w:val="0"/>
      <w:divBdr>
        <w:top w:val="none" w:sz="0" w:space="0" w:color="auto"/>
        <w:left w:val="none" w:sz="0" w:space="0" w:color="auto"/>
        <w:bottom w:val="none" w:sz="0" w:space="0" w:color="auto"/>
        <w:right w:val="none" w:sz="0" w:space="0" w:color="auto"/>
      </w:divBdr>
    </w:div>
    <w:div w:id="805001639">
      <w:bodyDiv w:val="1"/>
      <w:marLeft w:val="0"/>
      <w:marRight w:val="0"/>
      <w:marTop w:val="0"/>
      <w:marBottom w:val="0"/>
      <w:divBdr>
        <w:top w:val="none" w:sz="0" w:space="0" w:color="auto"/>
        <w:left w:val="none" w:sz="0" w:space="0" w:color="auto"/>
        <w:bottom w:val="none" w:sz="0" w:space="0" w:color="auto"/>
        <w:right w:val="none" w:sz="0" w:space="0" w:color="auto"/>
      </w:divBdr>
    </w:div>
    <w:div w:id="838883300">
      <w:bodyDiv w:val="1"/>
      <w:marLeft w:val="0"/>
      <w:marRight w:val="0"/>
      <w:marTop w:val="0"/>
      <w:marBottom w:val="0"/>
      <w:divBdr>
        <w:top w:val="none" w:sz="0" w:space="0" w:color="auto"/>
        <w:left w:val="none" w:sz="0" w:space="0" w:color="auto"/>
        <w:bottom w:val="none" w:sz="0" w:space="0" w:color="auto"/>
        <w:right w:val="none" w:sz="0" w:space="0" w:color="auto"/>
      </w:divBdr>
    </w:div>
    <w:div w:id="981468811">
      <w:bodyDiv w:val="1"/>
      <w:marLeft w:val="0"/>
      <w:marRight w:val="0"/>
      <w:marTop w:val="0"/>
      <w:marBottom w:val="0"/>
      <w:divBdr>
        <w:top w:val="none" w:sz="0" w:space="0" w:color="auto"/>
        <w:left w:val="none" w:sz="0" w:space="0" w:color="auto"/>
        <w:bottom w:val="none" w:sz="0" w:space="0" w:color="auto"/>
        <w:right w:val="none" w:sz="0" w:space="0" w:color="auto"/>
      </w:divBdr>
    </w:div>
    <w:div w:id="1045107707">
      <w:bodyDiv w:val="1"/>
      <w:marLeft w:val="0"/>
      <w:marRight w:val="0"/>
      <w:marTop w:val="0"/>
      <w:marBottom w:val="0"/>
      <w:divBdr>
        <w:top w:val="none" w:sz="0" w:space="0" w:color="auto"/>
        <w:left w:val="none" w:sz="0" w:space="0" w:color="auto"/>
        <w:bottom w:val="none" w:sz="0" w:space="0" w:color="auto"/>
        <w:right w:val="none" w:sz="0" w:space="0" w:color="auto"/>
      </w:divBdr>
    </w:div>
    <w:div w:id="1047410191">
      <w:bodyDiv w:val="1"/>
      <w:marLeft w:val="0"/>
      <w:marRight w:val="0"/>
      <w:marTop w:val="0"/>
      <w:marBottom w:val="0"/>
      <w:divBdr>
        <w:top w:val="none" w:sz="0" w:space="0" w:color="auto"/>
        <w:left w:val="none" w:sz="0" w:space="0" w:color="auto"/>
        <w:bottom w:val="none" w:sz="0" w:space="0" w:color="auto"/>
        <w:right w:val="none" w:sz="0" w:space="0" w:color="auto"/>
      </w:divBdr>
    </w:div>
    <w:div w:id="1129935807">
      <w:bodyDiv w:val="1"/>
      <w:marLeft w:val="0"/>
      <w:marRight w:val="0"/>
      <w:marTop w:val="0"/>
      <w:marBottom w:val="0"/>
      <w:divBdr>
        <w:top w:val="none" w:sz="0" w:space="0" w:color="auto"/>
        <w:left w:val="none" w:sz="0" w:space="0" w:color="auto"/>
        <w:bottom w:val="none" w:sz="0" w:space="0" w:color="auto"/>
        <w:right w:val="none" w:sz="0" w:space="0" w:color="auto"/>
      </w:divBdr>
    </w:div>
    <w:div w:id="1131946976">
      <w:bodyDiv w:val="1"/>
      <w:marLeft w:val="0"/>
      <w:marRight w:val="0"/>
      <w:marTop w:val="0"/>
      <w:marBottom w:val="0"/>
      <w:divBdr>
        <w:top w:val="none" w:sz="0" w:space="0" w:color="auto"/>
        <w:left w:val="none" w:sz="0" w:space="0" w:color="auto"/>
        <w:bottom w:val="none" w:sz="0" w:space="0" w:color="auto"/>
        <w:right w:val="none" w:sz="0" w:space="0" w:color="auto"/>
      </w:divBdr>
    </w:div>
    <w:div w:id="1178665429">
      <w:bodyDiv w:val="1"/>
      <w:marLeft w:val="0"/>
      <w:marRight w:val="0"/>
      <w:marTop w:val="0"/>
      <w:marBottom w:val="0"/>
      <w:divBdr>
        <w:top w:val="none" w:sz="0" w:space="0" w:color="auto"/>
        <w:left w:val="none" w:sz="0" w:space="0" w:color="auto"/>
        <w:bottom w:val="none" w:sz="0" w:space="0" w:color="auto"/>
        <w:right w:val="none" w:sz="0" w:space="0" w:color="auto"/>
      </w:divBdr>
    </w:div>
    <w:div w:id="1206525998">
      <w:bodyDiv w:val="1"/>
      <w:marLeft w:val="0"/>
      <w:marRight w:val="0"/>
      <w:marTop w:val="0"/>
      <w:marBottom w:val="0"/>
      <w:divBdr>
        <w:top w:val="none" w:sz="0" w:space="0" w:color="auto"/>
        <w:left w:val="none" w:sz="0" w:space="0" w:color="auto"/>
        <w:bottom w:val="none" w:sz="0" w:space="0" w:color="auto"/>
        <w:right w:val="none" w:sz="0" w:space="0" w:color="auto"/>
      </w:divBdr>
    </w:div>
    <w:div w:id="1294018257">
      <w:bodyDiv w:val="1"/>
      <w:marLeft w:val="0"/>
      <w:marRight w:val="0"/>
      <w:marTop w:val="0"/>
      <w:marBottom w:val="0"/>
      <w:divBdr>
        <w:top w:val="none" w:sz="0" w:space="0" w:color="auto"/>
        <w:left w:val="none" w:sz="0" w:space="0" w:color="auto"/>
        <w:bottom w:val="none" w:sz="0" w:space="0" w:color="auto"/>
        <w:right w:val="none" w:sz="0" w:space="0" w:color="auto"/>
      </w:divBdr>
    </w:div>
    <w:div w:id="1317497016">
      <w:bodyDiv w:val="1"/>
      <w:marLeft w:val="0"/>
      <w:marRight w:val="0"/>
      <w:marTop w:val="0"/>
      <w:marBottom w:val="0"/>
      <w:divBdr>
        <w:top w:val="none" w:sz="0" w:space="0" w:color="auto"/>
        <w:left w:val="none" w:sz="0" w:space="0" w:color="auto"/>
        <w:bottom w:val="none" w:sz="0" w:space="0" w:color="auto"/>
        <w:right w:val="none" w:sz="0" w:space="0" w:color="auto"/>
      </w:divBdr>
    </w:div>
    <w:div w:id="1387677266">
      <w:bodyDiv w:val="1"/>
      <w:marLeft w:val="0"/>
      <w:marRight w:val="0"/>
      <w:marTop w:val="0"/>
      <w:marBottom w:val="0"/>
      <w:divBdr>
        <w:top w:val="none" w:sz="0" w:space="0" w:color="auto"/>
        <w:left w:val="none" w:sz="0" w:space="0" w:color="auto"/>
        <w:bottom w:val="none" w:sz="0" w:space="0" w:color="auto"/>
        <w:right w:val="none" w:sz="0" w:space="0" w:color="auto"/>
      </w:divBdr>
    </w:div>
    <w:div w:id="1411344139">
      <w:bodyDiv w:val="1"/>
      <w:marLeft w:val="0"/>
      <w:marRight w:val="0"/>
      <w:marTop w:val="0"/>
      <w:marBottom w:val="0"/>
      <w:divBdr>
        <w:top w:val="none" w:sz="0" w:space="0" w:color="auto"/>
        <w:left w:val="none" w:sz="0" w:space="0" w:color="auto"/>
        <w:bottom w:val="none" w:sz="0" w:space="0" w:color="auto"/>
        <w:right w:val="none" w:sz="0" w:space="0" w:color="auto"/>
      </w:divBdr>
    </w:div>
    <w:div w:id="1433354643">
      <w:bodyDiv w:val="1"/>
      <w:marLeft w:val="0"/>
      <w:marRight w:val="0"/>
      <w:marTop w:val="0"/>
      <w:marBottom w:val="0"/>
      <w:divBdr>
        <w:top w:val="none" w:sz="0" w:space="0" w:color="auto"/>
        <w:left w:val="none" w:sz="0" w:space="0" w:color="auto"/>
        <w:bottom w:val="none" w:sz="0" w:space="0" w:color="auto"/>
        <w:right w:val="none" w:sz="0" w:space="0" w:color="auto"/>
      </w:divBdr>
    </w:div>
    <w:div w:id="1648316474">
      <w:bodyDiv w:val="1"/>
      <w:marLeft w:val="0"/>
      <w:marRight w:val="0"/>
      <w:marTop w:val="0"/>
      <w:marBottom w:val="0"/>
      <w:divBdr>
        <w:top w:val="none" w:sz="0" w:space="0" w:color="auto"/>
        <w:left w:val="none" w:sz="0" w:space="0" w:color="auto"/>
        <w:bottom w:val="none" w:sz="0" w:space="0" w:color="auto"/>
        <w:right w:val="none" w:sz="0" w:space="0" w:color="auto"/>
      </w:divBdr>
    </w:div>
    <w:div w:id="1695224986">
      <w:bodyDiv w:val="1"/>
      <w:marLeft w:val="0"/>
      <w:marRight w:val="0"/>
      <w:marTop w:val="0"/>
      <w:marBottom w:val="0"/>
      <w:divBdr>
        <w:top w:val="none" w:sz="0" w:space="0" w:color="auto"/>
        <w:left w:val="none" w:sz="0" w:space="0" w:color="auto"/>
        <w:bottom w:val="none" w:sz="0" w:space="0" w:color="auto"/>
        <w:right w:val="none" w:sz="0" w:space="0" w:color="auto"/>
      </w:divBdr>
    </w:div>
    <w:div w:id="1745953943">
      <w:bodyDiv w:val="1"/>
      <w:marLeft w:val="0"/>
      <w:marRight w:val="0"/>
      <w:marTop w:val="0"/>
      <w:marBottom w:val="0"/>
      <w:divBdr>
        <w:top w:val="none" w:sz="0" w:space="0" w:color="auto"/>
        <w:left w:val="none" w:sz="0" w:space="0" w:color="auto"/>
        <w:bottom w:val="none" w:sz="0" w:space="0" w:color="auto"/>
        <w:right w:val="none" w:sz="0" w:space="0" w:color="auto"/>
      </w:divBdr>
    </w:div>
    <w:div w:id="1839615166">
      <w:bodyDiv w:val="1"/>
      <w:marLeft w:val="0"/>
      <w:marRight w:val="0"/>
      <w:marTop w:val="0"/>
      <w:marBottom w:val="0"/>
      <w:divBdr>
        <w:top w:val="none" w:sz="0" w:space="0" w:color="auto"/>
        <w:left w:val="none" w:sz="0" w:space="0" w:color="auto"/>
        <w:bottom w:val="none" w:sz="0" w:space="0" w:color="auto"/>
        <w:right w:val="none" w:sz="0" w:space="0" w:color="auto"/>
      </w:divBdr>
    </w:div>
    <w:div w:id="2006587083">
      <w:bodyDiv w:val="1"/>
      <w:marLeft w:val="0"/>
      <w:marRight w:val="0"/>
      <w:marTop w:val="0"/>
      <w:marBottom w:val="0"/>
      <w:divBdr>
        <w:top w:val="none" w:sz="0" w:space="0" w:color="auto"/>
        <w:left w:val="none" w:sz="0" w:space="0" w:color="auto"/>
        <w:bottom w:val="none" w:sz="0" w:space="0" w:color="auto"/>
        <w:right w:val="none" w:sz="0" w:space="0" w:color="auto"/>
      </w:divBdr>
    </w:div>
    <w:div w:id="2033527143">
      <w:bodyDiv w:val="1"/>
      <w:marLeft w:val="0"/>
      <w:marRight w:val="0"/>
      <w:marTop w:val="0"/>
      <w:marBottom w:val="0"/>
      <w:divBdr>
        <w:top w:val="none" w:sz="0" w:space="0" w:color="auto"/>
        <w:left w:val="none" w:sz="0" w:space="0" w:color="auto"/>
        <w:bottom w:val="none" w:sz="0" w:space="0" w:color="auto"/>
        <w:right w:val="none" w:sz="0" w:space="0" w:color="auto"/>
      </w:divBdr>
    </w:div>
    <w:div w:id="2058964135">
      <w:bodyDiv w:val="1"/>
      <w:marLeft w:val="0"/>
      <w:marRight w:val="0"/>
      <w:marTop w:val="0"/>
      <w:marBottom w:val="0"/>
      <w:divBdr>
        <w:top w:val="none" w:sz="0" w:space="0" w:color="auto"/>
        <w:left w:val="none" w:sz="0" w:space="0" w:color="auto"/>
        <w:bottom w:val="none" w:sz="0" w:space="0" w:color="auto"/>
        <w:right w:val="none" w:sz="0" w:space="0" w:color="auto"/>
      </w:divBdr>
    </w:div>
    <w:div w:id="2109304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oe.org/joe/2006june/rb7.ph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nc.edu/depts/jomc/teenmedia/pdf/Accessing.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BB387-F582-463B-A895-A4685678C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3976</Words>
  <Characters>22669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Abt Double-Sided Body Template</vt:lpstr>
    </vt:vector>
  </TitlesOfParts>
  <Company>Abt Associates Inc.</Company>
  <LinksUpToDate>false</LinksUpToDate>
  <CharactersWithSpaces>26592</CharactersWithSpaces>
  <SharedDoc>false</SharedDoc>
  <HLinks>
    <vt:vector size="72" baseType="variant">
      <vt:variant>
        <vt:i4>1900607</vt:i4>
      </vt:variant>
      <vt:variant>
        <vt:i4>68</vt:i4>
      </vt:variant>
      <vt:variant>
        <vt:i4>0</vt:i4>
      </vt:variant>
      <vt:variant>
        <vt:i4>5</vt:i4>
      </vt:variant>
      <vt:variant>
        <vt:lpwstr/>
      </vt:variant>
      <vt:variant>
        <vt:lpwstr>_Toc290647925</vt:lpwstr>
      </vt:variant>
      <vt:variant>
        <vt:i4>1900607</vt:i4>
      </vt:variant>
      <vt:variant>
        <vt:i4>62</vt:i4>
      </vt:variant>
      <vt:variant>
        <vt:i4>0</vt:i4>
      </vt:variant>
      <vt:variant>
        <vt:i4>5</vt:i4>
      </vt:variant>
      <vt:variant>
        <vt:lpwstr/>
      </vt:variant>
      <vt:variant>
        <vt:lpwstr>_Toc290647924</vt:lpwstr>
      </vt:variant>
      <vt:variant>
        <vt:i4>1900607</vt:i4>
      </vt:variant>
      <vt:variant>
        <vt:i4>56</vt:i4>
      </vt:variant>
      <vt:variant>
        <vt:i4>0</vt:i4>
      </vt:variant>
      <vt:variant>
        <vt:i4>5</vt:i4>
      </vt:variant>
      <vt:variant>
        <vt:lpwstr/>
      </vt:variant>
      <vt:variant>
        <vt:lpwstr>_Toc290647923</vt:lpwstr>
      </vt:variant>
      <vt:variant>
        <vt:i4>1900607</vt:i4>
      </vt:variant>
      <vt:variant>
        <vt:i4>50</vt:i4>
      </vt:variant>
      <vt:variant>
        <vt:i4>0</vt:i4>
      </vt:variant>
      <vt:variant>
        <vt:i4>5</vt:i4>
      </vt:variant>
      <vt:variant>
        <vt:lpwstr/>
      </vt:variant>
      <vt:variant>
        <vt:lpwstr>_Toc290647922</vt:lpwstr>
      </vt:variant>
      <vt:variant>
        <vt:i4>1900607</vt:i4>
      </vt:variant>
      <vt:variant>
        <vt:i4>44</vt:i4>
      </vt:variant>
      <vt:variant>
        <vt:i4>0</vt:i4>
      </vt:variant>
      <vt:variant>
        <vt:i4>5</vt:i4>
      </vt:variant>
      <vt:variant>
        <vt:lpwstr/>
      </vt:variant>
      <vt:variant>
        <vt:lpwstr>_Toc290647921</vt:lpwstr>
      </vt:variant>
      <vt:variant>
        <vt:i4>1900607</vt:i4>
      </vt:variant>
      <vt:variant>
        <vt:i4>38</vt:i4>
      </vt:variant>
      <vt:variant>
        <vt:i4>0</vt:i4>
      </vt:variant>
      <vt:variant>
        <vt:i4>5</vt:i4>
      </vt:variant>
      <vt:variant>
        <vt:lpwstr/>
      </vt:variant>
      <vt:variant>
        <vt:lpwstr>_Toc290647920</vt:lpwstr>
      </vt:variant>
      <vt:variant>
        <vt:i4>1966143</vt:i4>
      </vt:variant>
      <vt:variant>
        <vt:i4>32</vt:i4>
      </vt:variant>
      <vt:variant>
        <vt:i4>0</vt:i4>
      </vt:variant>
      <vt:variant>
        <vt:i4>5</vt:i4>
      </vt:variant>
      <vt:variant>
        <vt:lpwstr/>
      </vt:variant>
      <vt:variant>
        <vt:lpwstr>_Toc290647919</vt:lpwstr>
      </vt:variant>
      <vt:variant>
        <vt:i4>1966143</vt:i4>
      </vt:variant>
      <vt:variant>
        <vt:i4>26</vt:i4>
      </vt:variant>
      <vt:variant>
        <vt:i4>0</vt:i4>
      </vt:variant>
      <vt:variant>
        <vt:i4>5</vt:i4>
      </vt:variant>
      <vt:variant>
        <vt:lpwstr/>
      </vt:variant>
      <vt:variant>
        <vt:lpwstr>_Toc290647918</vt:lpwstr>
      </vt:variant>
      <vt:variant>
        <vt:i4>1966143</vt:i4>
      </vt:variant>
      <vt:variant>
        <vt:i4>20</vt:i4>
      </vt:variant>
      <vt:variant>
        <vt:i4>0</vt:i4>
      </vt:variant>
      <vt:variant>
        <vt:i4>5</vt:i4>
      </vt:variant>
      <vt:variant>
        <vt:lpwstr/>
      </vt:variant>
      <vt:variant>
        <vt:lpwstr>_Toc290647917</vt:lpwstr>
      </vt:variant>
      <vt:variant>
        <vt:i4>1966143</vt:i4>
      </vt:variant>
      <vt:variant>
        <vt:i4>14</vt:i4>
      </vt:variant>
      <vt:variant>
        <vt:i4>0</vt:i4>
      </vt:variant>
      <vt:variant>
        <vt:i4>5</vt:i4>
      </vt:variant>
      <vt:variant>
        <vt:lpwstr/>
      </vt:variant>
      <vt:variant>
        <vt:lpwstr>_Toc290647916</vt:lpwstr>
      </vt:variant>
      <vt:variant>
        <vt:i4>1966143</vt:i4>
      </vt:variant>
      <vt:variant>
        <vt:i4>8</vt:i4>
      </vt:variant>
      <vt:variant>
        <vt:i4>0</vt:i4>
      </vt:variant>
      <vt:variant>
        <vt:i4>5</vt:i4>
      </vt:variant>
      <vt:variant>
        <vt:lpwstr/>
      </vt:variant>
      <vt:variant>
        <vt:lpwstr>_Toc290647915</vt:lpwstr>
      </vt:variant>
      <vt:variant>
        <vt:i4>1966143</vt:i4>
      </vt:variant>
      <vt:variant>
        <vt:i4>2</vt:i4>
      </vt:variant>
      <vt:variant>
        <vt:i4>0</vt:i4>
      </vt:variant>
      <vt:variant>
        <vt:i4>5</vt:i4>
      </vt:variant>
      <vt:variant>
        <vt:lpwstr/>
      </vt:variant>
      <vt:variant>
        <vt:lpwstr>_Toc290647914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Double-Sided Body Template</dc:title>
  <dc:creator>Abt Associates Inc</dc:creator>
  <cp:keywords>Double-Sided Body Templates</cp:keywords>
  <cp:lastModifiedBy>Teel, Frances C. (HQ-JF000)</cp:lastModifiedBy>
  <cp:revision>2</cp:revision>
  <cp:lastPrinted>2011-04-27T18:33:00Z</cp:lastPrinted>
  <dcterms:created xsi:type="dcterms:W3CDTF">2015-12-11T14:54:00Z</dcterms:created>
  <dcterms:modified xsi:type="dcterms:W3CDTF">2015-12-11T14:54:00Z</dcterms:modified>
  <cp:category>Templates</cp:category>
</cp:coreProperties>
</file>