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1365D" w14:textId="77777777" w:rsidR="00C00837" w:rsidRDefault="00C00837" w:rsidP="00C00837">
      <w:pPr>
        <w:widowControl w:val="0"/>
        <w:tabs>
          <w:tab w:val="left" w:pos="5490"/>
        </w:tabs>
        <w:suppressAutoHyphens/>
        <w:jc w:val="center"/>
        <w:rPr>
          <w:bCs/>
          <w:sz w:val="32"/>
          <w:szCs w:val="32"/>
        </w:rPr>
      </w:pPr>
    </w:p>
    <w:p w14:paraId="181F7E8E" w14:textId="77777777" w:rsidR="00C00837" w:rsidRDefault="00C00837" w:rsidP="00C00837">
      <w:pPr>
        <w:widowControl w:val="0"/>
        <w:suppressAutoHyphens/>
        <w:jc w:val="center"/>
        <w:rPr>
          <w:bCs/>
          <w:sz w:val="32"/>
          <w:szCs w:val="32"/>
        </w:rPr>
      </w:pPr>
    </w:p>
    <w:p w14:paraId="0B46CF4D" w14:textId="77777777" w:rsidR="00C00837" w:rsidRDefault="00C00837" w:rsidP="00C00837">
      <w:pPr>
        <w:widowControl w:val="0"/>
        <w:suppressAutoHyphens/>
        <w:jc w:val="center"/>
        <w:rPr>
          <w:bCs/>
          <w:sz w:val="32"/>
          <w:szCs w:val="32"/>
        </w:rPr>
      </w:pPr>
    </w:p>
    <w:p w14:paraId="368B7BEA" w14:textId="77777777" w:rsidR="00C00837" w:rsidRDefault="00C00837" w:rsidP="00C00837">
      <w:pPr>
        <w:widowControl w:val="0"/>
        <w:suppressAutoHyphens/>
        <w:jc w:val="center"/>
        <w:rPr>
          <w:bCs/>
          <w:sz w:val="32"/>
          <w:szCs w:val="32"/>
        </w:rPr>
      </w:pPr>
    </w:p>
    <w:p w14:paraId="201D89AA" w14:textId="77777777" w:rsidR="00C00837" w:rsidRDefault="00F84E4D" w:rsidP="00C00837">
      <w:pPr>
        <w:widowControl w:val="0"/>
        <w:suppressAutoHyphens/>
        <w:jc w:val="center"/>
        <w:rPr>
          <w:bCs/>
          <w:sz w:val="32"/>
          <w:szCs w:val="32"/>
        </w:rPr>
      </w:pPr>
      <w:r>
        <w:rPr>
          <w:bCs/>
          <w:sz w:val="32"/>
          <w:szCs w:val="32"/>
        </w:rPr>
        <w:t>2700-0150</w:t>
      </w:r>
    </w:p>
    <w:p w14:paraId="28370771" w14:textId="77777777" w:rsidR="00C00837" w:rsidRPr="00A30497" w:rsidRDefault="00C00837" w:rsidP="00C00837">
      <w:pPr>
        <w:widowControl w:val="0"/>
        <w:suppressAutoHyphens/>
        <w:jc w:val="center"/>
        <w:rPr>
          <w:bCs/>
          <w:sz w:val="32"/>
          <w:szCs w:val="32"/>
        </w:rPr>
      </w:pPr>
      <w:r w:rsidRPr="00A30497">
        <w:rPr>
          <w:bCs/>
          <w:sz w:val="32"/>
          <w:szCs w:val="32"/>
        </w:rPr>
        <w:t>SUPPORTING STATEMENT</w:t>
      </w:r>
    </w:p>
    <w:p w14:paraId="622534DE" w14:textId="77777777" w:rsidR="00C00837" w:rsidRPr="00A30497" w:rsidRDefault="00C00837" w:rsidP="00C00837">
      <w:pPr>
        <w:widowControl w:val="0"/>
        <w:suppressAutoHyphens/>
        <w:jc w:val="center"/>
        <w:rPr>
          <w:bCs/>
          <w:sz w:val="32"/>
          <w:szCs w:val="32"/>
        </w:rPr>
      </w:pPr>
      <w:r w:rsidRPr="00A30497">
        <w:rPr>
          <w:bCs/>
          <w:sz w:val="32"/>
          <w:szCs w:val="32"/>
        </w:rPr>
        <w:t>FOR OMB CLEARANCE</w:t>
      </w:r>
    </w:p>
    <w:p w14:paraId="486A190A" w14:textId="77777777" w:rsidR="00C00837" w:rsidRPr="00A30497" w:rsidRDefault="00C00837" w:rsidP="00C00837">
      <w:pPr>
        <w:widowControl w:val="0"/>
        <w:suppressAutoHyphens/>
        <w:jc w:val="center"/>
        <w:rPr>
          <w:sz w:val="32"/>
          <w:szCs w:val="32"/>
        </w:rPr>
      </w:pPr>
      <w:r w:rsidRPr="00A30497">
        <w:rPr>
          <w:sz w:val="32"/>
          <w:szCs w:val="32"/>
        </w:rPr>
        <w:t>PART A</w:t>
      </w:r>
    </w:p>
    <w:p w14:paraId="294F8028" w14:textId="77777777" w:rsidR="00C00837" w:rsidRPr="00A30497" w:rsidRDefault="00C00837" w:rsidP="00C00837">
      <w:pPr>
        <w:widowControl w:val="0"/>
        <w:suppressAutoHyphens/>
        <w:jc w:val="center"/>
        <w:rPr>
          <w:sz w:val="32"/>
          <w:szCs w:val="32"/>
        </w:rPr>
      </w:pPr>
    </w:p>
    <w:p w14:paraId="69F44B1B" w14:textId="77777777" w:rsidR="00C00837" w:rsidRPr="00A30497" w:rsidRDefault="00C00837" w:rsidP="00C00837">
      <w:pPr>
        <w:widowControl w:val="0"/>
        <w:suppressAutoHyphens/>
        <w:jc w:val="center"/>
        <w:rPr>
          <w:sz w:val="32"/>
          <w:szCs w:val="32"/>
        </w:rPr>
      </w:pPr>
    </w:p>
    <w:p w14:paraId="5BF23D13" w14:textId="77777777" w:rsidR="00405E96" w:rsidRPr="00A30497" w:rsidRDefault="00C00837" w:rsidP="00C00837">
      <w:pPr>
        <w:widowControl w:val="0"/>
        <w:suppressAutoHyphens/>
        <w:jc w:val="center"/>
        <w:rPr>
          <w:sz w:val="32"/>
          <w:szCs w:val="32"/>
        </w:rPr>
      </w:pPr>
      <w:r w:rsidRPr="00A30497">
        <w:rPr>
          <w:sz w:val="32"/>
          <w:szCs w:val="32"/>
        </w:rPr>
        <w:t xml:space="preserve">NASA </w:t>
      </w:r>
      <w:r w:rsidR="00471C3F">
        <w:rPr>
          <w:sz w:val="32"/>
          <w:szCs w:val="32"/>
        </w:rPr>
        <w:t>STEM Challenges</w:t>
      </w:r>
    </w:p>
    <w:p w14:paraId="771DDBD0" w14:textId="77777777" w:rsidR="00405E96" w:rsidRPr="00A30497" w:rsidRDefault="00405E96" w:rsidP="00C00837">
      <w:pPr>
        <w:widowControl w:val="0"/>
        <w:suppressAutoHyphens/>
        <w:jc w:val="center"/>
        <w:rPr>
          <w:sz w:val="32"/>
          <w:szCs w:val="32"/>
        </w:rPr>
      </w:pPr>
    </w:p>
    <w:p w14:paraId="4F86B991" w14:textId="77777777" w:rsidR="00C00837" w:rsidRPr="00A30497" w:rsidRDefault="00405E96" w:rsidP="00C00837">
      <w:pPr>
        <w:widowControl w:val="0"/>
        <w:suppressAutoHyphens/>
        <w:jc w:val="center"/>
        <w:rPr>
          <w:sz w:val="32"/>
          <w:szCs w:val="32"/>
        </w:rPr>
      </w:pPr>
      <w:r w:rsidRPr="00A30497">
        <w:rPr>
          <w:sz w:val="32"/>
          <w:szCs w:val="32"/>
        </w:rPr>
        <w:t>EVALUATION DATA COLLECTION</w:t>
      </w:r>
    </w:p>
    <w:p w14:paraId="7E89C504" w14:textId="77777777" w:rsidR="00C00837" w:rsidRPr="00A30497" w:rsidRDefault="00C00837" w:rsidP="00C00837">
      <w:pPr>
        <w:widowControl w:val="0"/>
        <w:suppressAutoHyphens/>
        <w:jc w:val="center"/>
        <w:rPr>
          <w:sz w:val="32"/>
          <w:szCs w:val="32"/>
        </w:rPr>
      </w:pPr>
    </w:p>
    <w:p w14:paraId="06582663" w14:textId="77777777" w:rsidR="00C00837" w:rsidRPr="00A30497" w:rsidRDefault="00C00837" w:rsidP="00C00837">
      <w:pPr>
        <w:widowControl w:val="0"/>
        <w:suppressAutoHyphens/>
        <w:jc w:val="center"/>
        <w:rPr>
          <w:sz w:val="32"/>
          <w:szCs w:val="32"/>
        </w:rPr>
      </w:pPr>
    </w:p>
    <w:p w14:paraId="7EC56839" w14:textId="77777777" w:rsidR="00C00837" w:rsidRPr="00A30497" w:rsidRDefault="00C00837" w:rsidP="00C00837">
      <w:pPr>
        <w:widowControl w:val="0"/>
        <w:suppressAutoHyphens/>
        <w:jc w:val="center"/>
        <w:rPr>
          <w:sz w:val="32"/>
          <w:szCs w:val="32"/>
        </w:rPr>
      </w:pPr>
    </w:p>
    <w:p w14:paraId="763C3EC0" w14:textId="77777777" w:rsidR="00C00837" w:rsidRPr="00A30497" w:rsidRDefault="00C00837" w:rsidP="00C00837">
      <w:pPr>
        <w:widowControl w:val="0"/>
        <w:suppressAutoHyphens/>
        <w:jc w:val="center"/>
        <w:rPr>
          <w:sz w:val="32"/>
          <w:szCs w:val="32"/>
        </w:rPr>
      </w:pPr>
    </w:p>
    <w:p w14:paraId="00404942" w14:textId="77777777" w:rsidR="00C00837" w:rsidRPr="00A30497" w:rsidRDefault="00C00837" w:rsidP="00C00837">
      <w:pPr>
        <w:widowControl w:val="0"/>
        <w:suppressAutoHyphens/>
        <w:jc w:val="center"/>
        <w:rPr>
          <w:sz w:val="32"/>
          <w:szCs w:val="32"/>
        </w:rPr>
      </w:pPr>
      <w:r w:rsidRPr="00A30497">
        <w:rPr>
          <w:sz w:val="32"/>
          <w:szCs w:val="32"/>
        </w:rPr>
        <w:t>National Aeronautics and Science Administration</w:t>
      </w:r>
    </w:p>
    <w:p w14:paraId="3D47260B" w14:textId="77777777" w:rsidR="00C00837" w:rsidRPr="00A30497" w:rsidRDefault="00C00837" w:rsidP="00C00837">
      <w:pPr>
        <w:widowControl w:val="0"/>
        <w:suppressAutoHyphens/>
        <w:jc w:val="center"/>
        <w:rPr>
          <w:sz w:val="32"/>
          <w:szCs w:val="32"/>
        </w:rPr>
      </w:pPr>
    </w:p>
    <w:p w14:paraId="6D8B4F42" w14:textId="77777777" w:rsidR="00C00837" w:rsidRPr="00A30497" w:rsidRDefault="00C00837" w:rsidP="00C00837">
      <w:pPr>
        <w:widowControl w:val="0"/>
        <w:suppressAutoHyphens/>
        <w:jc w:val="center"/>
        <w:rPr>
          <w:b/>
          <w:bCs/>
          <w:sz w:val="32"/>
          <w:szCs w:val="32"/>
        </w:rPr>
      </w:pPr>
    </w:p>
    <w:p w14:paraId="146C8859" w14:textId="38A59278" w:rsidR="00C00837" w:rsidRPr="00A30497" w:rsidRDefault="00CC6716" w:rsidP="00C00837">
      <w:pPr>
        <w:widowControl w:val="0"/>
        <w:suppressAutoHyphens/>
        <w:jc w:val="center"/>
        <w:rPr>
          <w:sz w:val="32"/>
          <w:szCs w:val="32"/>
        </w:rPr>
      </w:pPr>
      <w:r>
        <w:rPr>
          <w:sz w:val="32"/>
          <w:szCs w:val="32"/>
        </w:rPr>
        <w:t>July 14, 2015</w:t>
      </w:r>
    </w:p>
    <w:p w14:paraId="22B76B11" w14:textId="77777777" w:rsidR="00C00837" w:rsidRPr="00A30497" w:rsidRDefault="00C00837" w:rsidP="00C00837">
      <w:pPr>
        <w:pStyle w:val="EndnoteText"/>
        <w:jc w:val="center"/>
        <w:rPr>
          <w:sz w:val="32"/>
          <w:szCs w:val="32"/>
        </w:rPr>
      </w:pPr>
    </w:p>
    <w:p w14:paraId="71932F82" w14:textId="77777777" w:rsidR="00C00837" w:rsidRPr="00A30497" w:rsidRDefault="00C00837" w:rsidP="00C00837">
      <w:pPr>
        <w:widowControl w:val="0"/>
        <w:suppressAutoHyphens/>
        <w:jc w:val="both"/>
        <w:rPr>
          <w:szCs w:val="24"/>
        </w:rPr>
      </w:pPr>
    </w:p>
    <w:p w14:paraId="3692813E" w14:textId="77777777" w:rsidR="00C00837" w:rsidRPr="00A30497" w:rsidRDefault="00C00837" w:rsidP="00C00837">
      <w:pPr>
        <w:widowControl w:val="0"/>
        <w:suppressAutoHyphens/>
        <w:jc w:val="both"/>
        <w:rPr>
          <w:szCs w:val="24"/>
        </w:rPr>
      </w:pPr>
    </w:p>
    <w:p w14:paraId="2D74FA78" w14:textId="77777777" w:rsidR="00C00837" w:rsidRPr="00A30497" w:rsidRDefault="00C00837" w:rsidP="00C00837">
      <w:pPr>
        <w:pStyle w:val="AbtHeadA"/>
        <w:spacing w:after="240"/>
      </w:pPr>
    </w:p>
    <w:p w14:paraId="7BB9AA5A" w14:textId="77777777" w:rsidR="00C00837" w:rsidRPr="00A30497" w:rsidRDefault="00C00837" w:rsidP="00C00837">
      <w:pPr>
        <w:pStyle w:val="AbtHeadA"/>
        <w:spacing w:after="240"/>
      </w:pPr>
    </w:p>
    <w:p w14:paraId="1CC939F4" w14:textId="77777777" w:rsidR="00C00837" w:rsidRPr="00A30497" w:rsidRDefault="00C00837" w:rsidP="00C00837">
      <w:pPr>
        <w:pStyle w:val="BodyText"/>
        <w:tabs>
          <w:tab w:val="clear" w:pos="1080"/>
          <w:tab w:val="clear" w:pos="1440"/>
          <w:tab w:val="clear" w:pos="1800"/>
          <w:tab w:val="right" w:leader="dot" w:pos="9270"/>
        </w:tabs>
        <w:ind w:right="432"/>
      </w:pPr>
    </w:p>
    <w:p w14:paraId="6EC117D6" w14:textId="77777777" w:rsidR="00C00837" w:rsidRPr="00A30497" w:rsidRDefault="00C00837" w:rsidP="00C00837"/>
    <w:p w14:paraId="00BC508D" w14:textId="77777777" w:rsidR="00C00837" w:rsidRPr="00A30497" w:rsidRDefault="00C00837" w:rsidP="00C00837">
      <w:pPr>
        <w:sectPr w:rsidR="00C00837" w:rsidRPr="00A30497" w:rsidSect="00C00837">
          <w:footerReference w:type="even" r:id="rId8"/>
          <w:footerReference w:type="default" r:id="rId9"/>
          <w:footerReference w:type="first" r:id="rId10"/>
          <w:pgSz w:w="12240" w:h="15840" w:code="1"/>
          <w:pgMar w:top="1440" w:right="1440" w:bottom="1008" w:left="1440" w:header="720" w:footer="576" w:gutter="0"/>
          <w:pgNumType w:fmt="lowerRoman" w:start="1"/>
          <w:cols w:space="720"/>
        </w:sectPr>
      </w:pPr>
    </w:p>
    <w:p w14:paraId="2FB12E99" w14:textId="77777777" w:rsidR="00C075E9" w:rsidRPr="00CC6716" w:rsidRDefault="00C075E9" w:rsidP="00C075E9">
      <w:pPr>
        <w:pStyle w:val="AbtHeadA"/>
        <w:spacing w:after="0"/>
      </w:pPr>
      <w:bookmarkStart w:id="0" w:name="_Toc534193417"/>
      <w:bookmarkStart w:id="1" w:name="_Toc8118876"/>
      <w:bookmarkStart w:id="2" w:name="_Toc81803506"/>
      <w:bookmarkStart w:id="3" w:name="_Toc88301177"/>
      <w:bookmarkStart w:id="4" w:name="_Toc213748171"/>
      <w:bookmarkStart w:id="5" w:name="_Toc341972151"/>
      <w:r w:rsidRPr="00CC6716">
        <w:rPr>
          <w:rFonts w:ascii="Times New Roman" w:hAnsi="Times New Roman"/>
          <w:snapToGrid w:val="0"/>
          <w:sz w:val="24"/>
        </w:rPr>
        <w:lastRenderedPageBreak/>
        <w:t>TYPE OF INFORMATION COLLECTION:</w:t>
      </w:r>
      <w:r w:rsidRPr="00CC6716">
        <w:t xml:space="preserve"> </w:t>
      </w:r>
    </w:p>
    <w:p w14:paraId="537E8852" w14:textId="3B557B06" w:rsidR="00C075E9" w:rsidRPr="00C075E9" w:rsidRDefault="00C075E9" w:rsidP="00BA3634">
      <w:pPr>
        <w:pStyle w:val="AbtHeadA"/>
        <w:spacing w:after="240"/>
        <w:rPr>
          <w:rFonts w:ascii="Times New Roman" w:hAnsi="Times New Roman"/>
          <w:b w:val="0"/>
        </w:rPr>
      </w:pPr>
      <w:r w:rsidRPr="00CC6716">
        <w:rPr>
          <w:rFonts w:ascii="Times New Roman" w:hAnsi="Times New Roman"/>
          <w:b w:val="0"/>
          <w:snapToGrid w:val="0"/>
          <w:sz w:val="24"/>
        </w:rPr>
        <w:t>Revision of a currently approved information collection</w:t>
      </w:r>
    </w:p>
    <w:p w14:paraId="536AE299" w14:textId="77777777" w:rsidR="00C00837" w:rsidRPr="00A30497" w:rsidRDefault="00145291" w:rsidP="00BA3634">
      <w:pPr>
        <w:pStyle w:val="AbtHeadA"/>
        <w:spacing w:after="240"/>
        <w:rPr>
          <w:rFonts w:ascii="Times New Roman" w:hAnsi="Times New Roman"/>
        </w:rPr>
      </w:pPr>
      <w:r>
        <w:rPr>
          <w:rFonts w:ascii="Times New Roman" w:hAnsi="Times New Roman"/>
        </w:rPr>
        <w:t>P</w:t>
      </w:r>
      <w:r w:rsidR="00C00837" w:rsidRPr="00A30497">
        <w:rPr>
          <w:rFonts w:ascii="Times New Roman" w:hAnsi="Times New Roman"/>
        </w:rPr>
        <w:t>art A</w:t>
      </w:r>
      <w:bookmarkEnd w:id="0"/>
      <w:bookmarkEnd w:id="1"/>
      <w:bookmarkEnd w:id="2"/>
      <w:r w:rsidR="00C00837" w:rsidRPr="00A30497">
        <w:rPr>
          <w:rFonts w:ascii="Times New Roman" w:hAnsi="Times New Roman"/>
        </w:rPr>
        <w:t>:</w:t>
      </w:r>
      <w:bookmarkStart w:id="6" w:name="_Toc8118877"/>
      <w:bookmarkStart w:id="7" w:name="_Toc81803507"/>
      <w:r w:rsidR="00C00837" w:rsidRPr="00A30497">
        <w:rPr>
          <w:rFonts w:ascii="Times New Roman" w:hAnsi="Times New Roman"/>
        </w:rPr>
        <w:tab/>
        <w:t>Justification</w:t>
      </w:r>
      <w:bookmarkEnd w:id="3"/>
      <w:bookmarkEnd w:id="4"/>
      <w:bookmarkEnd w:id="5"/>
      <w:bookmarkEnd w:id="6"/>
      <w:bookmarkEnd w:id="7"/>
    </w:p>
    <w:p w14:paraId="4683FC52" w14:textId="280A2610" w:rsidR="00167DFA" w:rsidRDefault="006F3AE2" w:rsidP="00471C3F">
      <w:pPr>
        <w:pStyle w:val="ReportBodyText"/>
        <w:rPr>
          <w:szCs w:val="22"/>
        </w:rPr>
      </w:pPr>
      <w:bookmarkStart w:id="8" w:name="_Toc8118878"/>
      <w:bookmarkStart w:id="9" w:name="_Toc81803508"/>
      <w:bookmarkStart w:id="10" w:name="_Toc88301178"/>
      <w:bookmarkStart w:id="11" w:name="_Toc213748172"/>
      <w:r w:rsidRPr="00A30497">
        <w:rPr>
          <w:szCs w:val="22"/>
        </w:rPr>
        <w:t xml:space="preserve">The National Aeronautics and Space Administration (NASA) Office of Education, requests that the Office of Management and Budget (OMB) approve, under the </w:t>
      </w:r>
      <w:r w:rsidRPr="00A30497">
        <w:rPr>
          <w:i/>
          <w:szCs w:val="22"/>
        </w:rPr>
        <w:t>Paperwork Reduction Act of 1995</w:t>
      </w:r>
      <w:r w:rsidRPr="00A30497">
        <w:rPr>
          <w:szCs w:val="22"/>
        </w:rPr>
        <w:t xml:space="preserve">, a clearance for NASA to collect </w:t>
      </w:r>
      <w:r w:rsidR="008552CE" w:rsidRPr="00A30497">
        <w:rPr>
          <w:szCs w:val="22"/>
        </w:rPr>
        <w:t>youth</w:t>
      </w:r>
      <w:r w:rsidR="00D80D41" w:rsidRPr="00A30497">
        <w:rPr>
          <w:szCs w:val="22"/>
        </w:rPr>
        <w:t xml:space="preserve"> survey</w:t>
      </w:r>
      <w:r w:rsidR="008622DE">
        <w:rPr>
          <w:szCs w:val="22"/>
        </w:rPr>
        <w:t xml:space="preserve"> </w:t>
      </w:r>
      <w:r w:rsidRPr="00A30497">
        <w:rPr>
          <w:szCs w:val="22"/>
        </w:rPr>
        <w:t xml:space="preserve">data as part of an outcome evaluation study of </w:t>
      </w:r>
      <w:r w:rsidR="00471C3F">
        <w:rPr>
          <w:szCs w:val="22"/>
        </w:rPr>
        <w:t>NASA STEM Challenge activities</w:t>
      </w:r>
      <w:r w:rsidR="00C956A4">
        <w:rPr>
          <w:szCs w:val="22"/>
        </w:rPr>
        <w:t>, an outgrowth of the Summer of Innovation pilot that concluded in FY2014</w:t>
      </w:r>
      <w:r w:rsidR="00471C3F">
        <w:rPr>
          <w:szCs w:val="22"/>
        </w:rPr>
        <w:t xml:space="preserve">. </w:t>
      </w:r>
    </w:p>
    <w:p w14:paraId="5073BAF1" w14:textId="77777777" w:rsidR="00471C3F" w:rsidRPr="007D6D77" w:rsidRDefault="00471C3F" w:rsidP="00DB79F4">
      <w:pPr>
        <w:pStyle w:val="BodyText"/>
        <w:rPr>
          <w:szCs w:val="18"/>
        </w:rPr>
      </w:pPr>
    </w:p>
    <w:p w14:paraId="02D791A3" w14:textId="652B3065" w:rsidR="00AF0C0A" w:rsidRPr="007D6D77" w:rsidRDefault="00C00837" w:rsidP="00145291">
      <w:pPr>
        <w:pStyle w:val="Heading3"/>
      </w:pPr>
      <w:bookmarkStart w:id="12" w:name="_Toc341972152"/>
      <w:r w:rsidRPr="007D6D77">
        <w:t>A.1</w:t>
      </w:r>
      <w:r w:rsidRPr="007D6D77">
        <w:tab/>
      </w:r>
      <w:bookmarkEnd w:id="8"/>
      <w:bookmarkEnd w:id="9"/>
      <w:bookmarkEnd w:id="10"/>
      <w:bookmarkEnd w:id="11"/>
      <w:r w:rsidR="00AF0C0A" w:rsidRPr="007D6D77">
        <w:t>EXPLAIN THE CIRCUMSTANCES THAT MAKE THE COLLECTION OF INFORMATION NECESSARY.</w:t>
      </w:r>
      <w:bookmarkEnd w:id="12"/>
      <w:r w:rsidR="00AF0C0A" w:rsidRPr="007D6D77">
        <w:t xml:space="preserve">  </w:t>
      </w:r>
    </w:p>
    <w:p w14:paraId="22FAC4C7" w14:textId="77777777" w:rsidR="00C956A4" w:rsidRPr="008622DE" w:rsidRDefault="00C956A4" w:rsidP="00C956A4">
      <w:pPr>
        <w:pStyle w:val="Heading3"/>
        <w:rPr>
          <w:rStyle w:val="Strong"/>
        </w:rPr>
      </w:pPr>
      <w:r w:rsidRPr="008622DE">
        <w:rPr>
          <w:rStyle w:val="Strong"/>
        </w:rPr>
        <w:t>Background</w:t>
      </w:r>
    </w:p>
    <w:p w14:paraId="095BC05E" w14:textId="77777777" w:rsidR="00C956A4" w:rsidRDefault="00C956A4" w:rsidP="009F338D">
      <w:pPr>
        <w:pStyle w:val="ReportBodyText"/>
      </w:pPr>
      <w:r>
        <w:rPr>
          <w:szCs w:val="22"/>
        </w:rPr>
        <w:t xml:space="preserve">The NASA STEM Challenges activity is the result of </w:t>
      </w:r>
      <w:r w:rsidR="0049134C">
        <w:rPr>
          <w:szCs w:val="22"/>
        </w:rPr>
        <w:t xml:space="preserve">previous </w:t>
      </w:r>
      <w:r w:rsidR="0049134C">
        <w:t>OMB guidance</w:t>
      </w:r>
      <w:r w:rsidRPr="000E3AF3">
        <w:t xml:space="preserve"> to redesign </w:t>
      </w:r>
      <w:r>
        <w:t>the Summer of Innovation</w:t>
      </w:r>
      <w:r w:rsidRPr="000E3AF3">
        <w:t xml:space="preserve"> </w:t>
      </w:r>
      <w:r>
        <w:t>(</w:t>
      </w:r>
      <w:proofErr w:type="spellStart"/>
      <w:r>
        <w:t>SoI</w:t>
      </w:r>
      <w:proofErr w:type="spellEnd"/>
      <w:r>
        <w:t xml:space="preserve">) pilot </w:t>
      </w:r>
      <w:r w:rsidRPr="000E3AF3">
        <w:t xml:space="preserve">as a </w:t>
      </w:r>
      <w:r>
        <w:t xml:space="preserve">sustainable </w:t>
      </w:r>
      <w:r w:rsidRPr="000E3AF3">
        <w:t>model for STEM engagement across the Federal STEM Agencies</w:t>
      </w:r>
      <w:r>
        <w:t xml:space="preserve"> and</w:t>
      </w:r>
      <w:r w:rsidRPr="000E3AF3">
        <w:t xml:space="preserve"> to offer </w:t>
      </w:r>
      <w:proofErr w:type="spellStart"/>
      <w:r w:rsidRPr="000E3AF3">
        <w:t>SoI</w:t>
      </w:r>
      <w:proofErr w:type="spellEnd"/>
      <w:r w:rsidRPr="000E3AF3">
        <w:t xml:space="preserve"> as a model through the work of the Committee on STEM (</w:t>
      </w:r>
      <w:proofErr w:type="spellStart"/>
      <w:r w:rsidRPr="000E3AF3">
        <w:t>CoSTEM</w:t>
      </w:r>
      <w:proofErr w:type="spellEnd"/>
      <w:r w:rsidRPr="000E3AF3">
        <w:t>).</w:t>
      </w:r>
      <w:r>
        <w:t xml:space="preserve"> NASA applied its previous design work and evaluation findings to the design of a STEM Challenges pilot collaboration with the </w:t>
      </w:r>
      <w:r w:rsidRPr="00BF66BB">
        <w:t xml:space="preserve">U.S. Department of Education (ED) </w:t>
      </w:r>
      <w:r>
        <w:t>in 2013-14.</w:t>
      </w:r>
      <w:r>
        <w:rPr>
          <w:rStyle w:val="FootnoteReference"/>
        </w:rPr>
        <w:footnoteReference w:id="1"/>
      </w:r>
      <w:r>
        <w:t xml:space="preserve"> This pilot </w:t>
      </w:r>
      <w:r w:rsidRPr="00BF66BB">
        <w:t>pair</w:t>
      </w:r>
      <w:r>
        <w:t>ed</w:t>
      </w:r>
      <w:r w:rsidRPr="00BF66BB">
        <w:t xml:space="preserve"> the extensive reach and infrastructure of ED with NASA’s </w:t>
      </w:r>
      <w:r>
        <w:t xml:space="preserve">experience with training community partners through Summer of Innovation in STEM engagement activities and its </w:t>
      </w:r>
      <w:r w:rsidRPr="00BF66BB">
        <w:t xml:space="preserve">access to world-class subject matter experts and content in support of the shared </w:t>
      </w:r>
      <w:proofErr w:type="spellStart"/>
      <w:r w:rsidRPr="00BF66BB">
        <w:t>CoSTEM</w:t>
      </w:r>
      <w:proofErr w:type="spellEnd"/>
      <w:r w:rsidRPr="00BF66BB">
        <w:t xml:space="preserve"> goal of increasing and supporting the public engagement of youth (National Science and Technology Council, 2013). During the 2013-14 school year NASA collaborated with 3 states to provide dynamic and engaging STEM Design Challenges to students in </w:t>
      </w:r>
      <w:r>
        <w:t xml:space="preserve">the </w:t>
      </w:r>
      <w:r w:rsidRPr="00BF66BB">
        <w:t>21</w:t>
      </w:r>
      <w:r w:rsidRPr="00BF66BB">
        <w:rPr>
          <w:vertAlign w:val="superscript"/>
        </w:rPr>
        <w:t>st</w:t>
      </w:r>
      <w:r w:rsidRPr="00BF66BB">
        <w:t xml:space="preserve"> Century Community Learning Center</w:t>
      </w:r>
      <w:r>
        <w:t xml:space="preserve"> (21CCLC) afterschool programs.</w:t>
      </w:r>
      <w:r w:rsidR="009F338D">
        <w:t xml:space="preserve"> During the 2014-15 school year, </w:t>
      </w:r>
      <w:r>
        <w:t xml:space="preserve">NASA and ED </w:t>
      </w:r>
      <w:r w:rsidRPr="00BF66BB">
        <w:t>expand</w:t>
      </w:r>
      <w:r w:rsidR="009F338D">
        <w:t>ed</w:t>
      </w:r>
      <w:r w:rsidRPr="00BF66BB">
        <w:t xml:space="preserve"> the </w:t>
      </w:r>
      <w:r w:rsidR="009F338D">
        <w:t>activity</w:t>
      </w:r>
      <w:r w:rsidRPr="00BF66BB">
        <w:t xml:space="preserve"> to more states and 21CCLC sites</w:t>
      </w:r>
      <w:r w:rsidR="009F338D">
        <w:t xml:space="preserve">, reaching </w:t>
      </w:r>
      <w:r>
        <w:t>10 states</w:t>
      </w:r>
      <w:r w:rsidR="009F338D">
        <w:t xml:space="preserve"> with </w:t>
      </w:r>
      <w:r>
        <w:t>high quality NASA STEM Design Challenges.</w:t>
      </w:r>
    </w:p>
    <w:p w14:paraId="1FEF97DD" w14:textId="77777777" w:rsidR="009F338D" w:rsidRDefault="009F338D" w:rsidP="009F338D">
      <w:pPr>
        <w:pStyle w:val="ReportBodyText"/>
      </w:pPr>
    </w:p>
    <w:p w14:paraId="45A1B83A" w14:textId="77777777" w:rsidR="00C956A4" w:rsidRPr="00C956A4" w:rsidRDefault="009F338D" w:rsidP="002F4A82">
      <w:pPr>
        <w:pStyle w:val="ReportBodyText"/>
        <w:rPr>
          <w:rFonts w:cstheme="majorBidi"/>
        </w:rPr>
      </w:pPr>
      <w:r>
        <w:t xml:space="preserve">The STEM Challenges activity </w:t>
      </w:r>
      <w:r w:rsidR="002F4A82">
        <w:t>focuses on</w:t>
      </w:r>
      <w:r>
        <w:t xml:space="preserve"> </w:t>
      </w:r>
      <w:r w:rsidR="00C956A4">
        <w:t xml:space="preserve">STEM Design Challenges </w:t>
      </w:r>
      <w:r w:rsidR="002F4A82">
        <w:t xml:space="preserve">for middle school students designed by NASA </w:t>
      </w:r>
      <w:r w:rsidR="00C956A4">
        <w:t xml:space="preserve">to meet the content needs of </w:t>
      </w:r>
      <w:r w:rsidR="002F4A82">
        <w:t xml:space="preserve">out-of-school time sites (e.g., 21CCLC, 4-H). NASA facilitates the Challenges by providing </w:t>
      </w:r>
      <w:r w:rsidR="00C956A4">
        <w:t>a blended professional development strategy to su</w:t>
      </w:r>
      <w:r w:rsidR="002F4A82">
        <w:t xml:space="preserve">pport instructional staff in their </w:t>
      </w:r>
      <w:r w:rsidR="00C956A4">
        <w:t>implementation with a minimum of one in person training sessio</w:t>
      </w:r>
      <w:r w:rsidR="002F4A82">
        <w:t>n in each participating state. NASA also p</w:t>
      </w:r>
      <w:r w:rsidR="00C956A4">
        <w:t>rovide</w:t>
      </w:r>
      <w:r w:rsidR="002F4A82">
        <w:t>s</w:t>
      </w:r>
      <w:r w:rsidR="00C956A4">
        <w:t xml:space="preserve"> regular opportunities for 21CCLC sites and students to engage with </w:t>
      </w:r>
      <w:r w:rsidR="002F4A82">
        <w:t xml:space="preserve">NASA </w:t>
      </w:r>
      <w:r w:rsidR="00C956A4">
        <w:t>scientists and engineer</w:t>
      </w:r>
      <w:r w:rsidR="002F4A82">
        <w:t>s through a range of technology-</w:t>
      </w:r>
      <w:r w:rsidR="00C956A4">
        <w:t xml:space="preserve">based experiences </w:t>
      </w:r>
      <w:r w:rsidR="002F4A82">
        <w:t xml:space="preserve">(e.g., Skype) </w:t>
      </w:r>
      <w:r w:rsidR="00C956A4">
        <w:t xml:space="preserve">during </w:t>
      </w:r>
      <w:r w:rsidR="00AE284C">
        <w:t xml:space="preserve">a minimum of 20 hours </w:t>
      </w:r>
      <w:r w:rsidR="002F4A82">
        <w:t xml:space="preserve">of implementation </w:t>
      </w:r>
      <w:r w:rsidR="00AE284C">
        <w:t xml:space="preserve">across </w:t>
      </w:r>
      <w:r w:rsidR="00C956A4">
        <w:t>an 8 week implementation cycle sche</w:t>
      </w:r>
      <w:r w:rsidR="002F4A82">
        <w:t>duled during the school year</w:t>
      </w:r>
      <w:r w:rsidR="00C956A4">
        <w:t>.</w:t>
      </w:r>
      <w:r w:rsidR="002F4A82">
        <w:t xml:space="preserve"> Following the success of the 21CCLC pilot, NASA continues to offer STEM Design Challenges in collaboration with the Department of Education and to seek other partnerships </w:t>
      </w:r>
      <w:r w:rsidR="0067081C">
        <w:t xml:space="preserve">through which this activity could be offered. </w:t>
      </w:r>
    </w:p>
    <w:p w14:paraId="682552B9" w14:textId="77777777" w:rsidR="009F338D" w:rsidRDefault="009F338D" w:rsidP="00AE284C">
      <w:pPr>
        <w:pStyle w:val="ReportBodyText"/>
      </w:pPr>
    </w:p>
    <w:p w14:paraId="7AE3723F" w14:textId="77777777" w:rsidR="0090584E" w:rsidRPr="00AE284C" w:rsidRDefault="00B67140" w:rsidP="00AE284C">
      <w:pPr>
        <w:pStyle w:val="ReportBodyText"/>
      </w:pPr>
      <w:r w:rsidRPr="00AE284C">
        <w:t xml:space="preserve">This clearance package </w:t>
      </w:r>
      <w:r w:rsidR="00AE284C" w:rsidRPr="00AE284C">
        <w:t>modifie</w:t>
      </w:r>
      <w:r w:rsidRPr="00AE284C">
        <w:t xml:space="preserve">s the </w:t>
      </w:r>
      <w:proofErr w:type="spellStart"/>
      <w:r w:rsidRPr="00AE284C">
        <w:t>SoI</w:t>
      </w:r>
      <w:proofErr w:type="spellEnd"/>
      <w:r w:rsidRPr="00AE284C">
        <w:t xml:space="preserve"> evaluation activities previously approved under </w:t>
      </w:r>
      <w:r w:rsidR="00AE284C" w:rsidRPr="00AE284C">
        <w:t xml:space="preserve">OMB control number </w:t>
      </w:r>
      <w:r w:rsidRPr="00AE284C">
        <w:t xml:space="preserve">2700-0150 </w:t>
      </w:r>
      <w:r w:rsidR="00AE284C" w:rsidRPr="00AE284C">
        <w:t xml:space="preserve">to align with the new circumstances of this information collection. </w:t>
      </w:r>
      <w:r w:rsidR="00192849" w:rsidRPr="00AE284C">
        <w:t>T</w:t>
      </w:r>
      <w:r w:rsidR="00E16612" w:rsidRPr="00AE284C">
        <w:t>his request</w:t>
      </w:r>
      <w:r w:rsidR="009E28FE" w:rsidRPr="00AE284C">
        <w:t xml:space="preserve"> includes </w:t>
      </w:r>
      <w:r w:rsidR="008552CE" w:rsidRPr="00AE284C">
        <w:t xml:space="preserve">the following instruments that </w:t>
      </w:r>
      <w:r w:rsidR="0090584E" w:rsidRPr="00AE284C">
        <w:t>collect standardized data from 10 or more respondents:</w:t>
      </w:r>
    </w:p>
    <w:p w14:paraId="02A2E270" w14:textId="77777777" w:rsidR="00AE284C" w:rsidRDefault="00AE284C" w:rsidP="00AE284C">
      <w:pPr>
        <w:pStyle w:val="ReportBodyText"/>
      </w:pPr>
    </w:p>
    <w:p w14:paraId="3DD5866E" w14:textId="77777777" w:rsidR="001E1D69" w:rsidRPr="007D6D77" w:rsidRDefault="001E1D69" w:rsidP="00AE284C">
      <w:pPr>
        <w:pStyle w:val="ReportBodyText"/>
        <w:numPr>
          <w:ilvl w:val="0"/>
          <w:numId w:val="35"/>
        </w:numPr>
      </w:pPr>
      <w:r w:rsidRPr="007D6D77">
        <w:t xml:space="preserve">Baseline </w:t>
      </w:r>
      <w:r w:rsidR="008552CE" w:rsidRPr="007D6D77">
        <w:t>youth</w:t>
      </w:r>
      <w:r w:rsidR="00AC0B8D" w:rsidRPr="007D6D77">
        <w:t xml:space="preserve"> survey</w:t>
      </w:r>
      <w:r w:rsidR="009D1326">
        <w:t xml:space="preserve"> (Appendix 1</w:t>
      </w:r>
      <w:r w:rsidR="0090584E" w:rsidRPr="007D6D77">
        <w:t>; item by item just</w:t>
      </w:r>
      <w:r w:rsidR="009D1326">
        <w:t>ification provided in Appendix 2</w:t>
      </w:r>
      <w:r w:rsidR="0090584E" w:rsidRPr="007D6D77">
        <w:t>)</w:t>
      </w:r>
    </w:p>
    <w:p w14:paraId="4392F617" w14:textId="77777777" w:rsidR="00AC0B8D" w:rsidRPr="007D6D77" w:rsidRDefault="001E1D69" w:rsidP="00AE284C">
      <w:pPr>
        <w:pStyle w:val="ReportBodyText"/>
        <w:numPr>
          <w:ilvl w:val="0"/>
          <w:numId w:val="35"/>
        </w:numPr>
      </w:pPr>
      <w:r w:rsidRPr="007D6D77">
        <w:t xml:space="preserve">Follow-up </w:t>
      </w:r>
      <w:r w:rsidR="008552CE" w:rsidRPr="007D6D77">
        <w:t>youth</w:t>
      </w:r>
      <w:r w:rsidRPr="007D6D77">
        <w:t xml:space="preserve"> survey</w:t>
      </w:r>
      <w:r w:rsidR="009D1326">
        <w:t xml:space="preserve"> (Appendix 3</w:t>
      </w:r>
      <w:r w:rsidR="0090584E" w:rsidRPr="007D6D77">
        <w:t>; item by item just</w:t>
      </w:r>
      <w:r w:rsidR="009D1326">
        <w:t>ification provided in Appendix 4</w:t>
      </w:r>
      <w:r w:rsidR="0090584E" w:rsidRPr="007D6D77">
        <w:t>)</w:t>
      </w:r>
    </w:p>
    <w:p w14:paraId="77F7AFD0" w14:textId="77777777" w:rsidR="00AE284C" w:rsidRDefault="00AE284C" w:rsidP="00AE284C">
      <w:pPr>
        <w:pStyle w:val="ReportBodyText"/>
      </w:pPr>
    </w:p>
    <w:p w14:paraId="7420A822" w14:textId="7FDFD158" w:rsidR="00176856" w:rsidRPr="007D6D77" w:rsidRDefault="00E16612" w:rsidP="00AE284C">
      <w:pPr>
        <w:pStyle w:val="ReportBodyText"/>
      </w:pPr>
      <w:r w:rsidRPr="007D6D77">
        <w:t>T</w:t>
      </w:r>
      <w:r w:rsidR="00E164E7" w:rsidRPr="007D6D77">
        <w:t xml:space="preserve">he data </w:t>
      </w:r>
      <w:r w:rsidR="00626A12" w:rsidRPr="007D6D77">
        <w:t>to be collected</w:t>
      </w:r>
      <w:r w:rsidR="00E164E7" w:rsidRPr="007D6D77">
        <w:t xml:space="preserve"> are not available elsewhere unless collected through </w:t>
      </w:r>
      <w:r w:rsidR="0090584E" w:rsidRPr="007D6D77">
        <w:t>this information collection</w:t>
      </w:r>
      <w:r w:rsidR="00E164E7" w:rsidRPr="007D6D77">
        <w:t>. T</w:t>
      </w:r>
      <w:r w:rsidR="00C00837" w:rsidRPr="007D6D77">
        <w:t>he</w:t>
      </w:r>
      <w:r w:rsidR="009E28FE" w:rsidRPr="007D6D77">
        <w:t xml:space="preserve"> </w:t>
      </w:r>
      <w:r w:rsidR="008552CE" w:rsidRPr="007D6D77">
        <w:t>youth</w:t>
      </w:r>
      <w:r w:rsidR="00C00837" w:rsidRPr="007D6D77">
        <w:t xml:space="preserve"> instruments will be used to gather </w:t>
      </w:r>
      <w:r w:rsidR="0090584E" w:rsidRPr="007D6D77">
        <w:t xml:space="preserve">data prior to and following </w:t>
      </w:r>
      <w:r w:rsidR="0066553A" w:rsidRPr="007D6D77">
        <w:t xml:space="preserve">the </w:t>
      </w:r>
      <w:r w:rsidR="00AE284C">
        <w:t>STEM Challenge</w:t>
      </w:r>
      <w:r w:rsidR="008545D0" w:rsidRPr="007D6D77">
        <w:t xml:space="preserve"> activit</w:t>
      </w:r>
      <w:r w:rsidR="0066553A" w:rsidRPr="007D6D77">
        <w:t>ies in order</w:t>
      </w:r>
      <w:r w:rsidR="00C00837" w:rsidRPr="007D6D77">
        <w:t xml:space="preserve"> to </w:t>
      </w:r>
      <w:r w:rsidR="00CE084F" w:rsidRPr="007D6D77">
        <w:t>assess</w:t>
      </w:r>
      <w:r w:rsidR="008545D0" w:rsidRPr="007D6D77">
        <w:t xml:space="preserve"> </w:t>
      </w:r>
      <w:r w:rsidR="00C00837" w:rsidRPr="007D6D77">
        <w:t>change</w:t>
      </w:r>
      <w:r w:rsidR="009E28FE" w:rsidRPr="007D6D77">
        <w:t xml:space="preserve"> in </w:t>
      </w:r>
      <w:r w:rsidR="0049134C">
        <w:t>the</w:t>
      </w:r>
      <w:r w:rsidR="0067081C">
        <w:t xml:space="preserve"> key short-</w:t>
      </w:r>
      <w:r w:rsidR="002D5EC6" w:rsidRPr="007D6D77">
        <w:t xml:space="preserve">term outcome of youth </w:t>
      </w:r>
      <w:r w:rsidR="0049134C">
        <w:t>attitude toward</w:t>
      </w:r>
      <w:r w:rsidR="002D5EC6" w:rsidRPr="007D6D77">
        <w:t xml:space="preserve"> STEM</w:t>
      </w:r>
      <w:r w:rsidR="00C00837" w:rsidRPr="007D6D77">
        <w:t xml:space="preserve">. </w:t>
      </w:r>
      <w:r w:rsidR="00A27329" w:rsidRPr="007D6D77">
        <w:t>Information about implementation will be gathered from numerous sources, i</w:t>
      </w:r>
      <w:r w:rsidR="002D5EC6" w:rsidRPr="007D6D77">
        <w:t xml:space="preserve">ncluding </w:t>
      </w:r>
      <w:r w:rsidR="00D84F0E">
        <w:t>review of student work products and activity observations</w:t>
      </w:r>
      <w:r w:rsidR="00C534B7">
        <w:t>; the implementation data collection is not subject to the Paperwork Reduction Act</w:t>
      </w:r>
      <w:r w:rsidR="00D84F0E">
        <w:t xml:space="preserve">. </w:t>
      </w:r>
    </w:p>
    <w:p w14:paraId="23DF1E02" w14:textId="77777777" w:rsidR="005176EB" w:rsidRPr="007D6D77" w:rsidRDefault="005176EB" w:rsidP="000427C9">
      <w:pPr>
        <w:pStyle w:val="BodyText"/>
        <w:rPr>
          <w:szCs w:val="22"/>
        </w:rPr>
      </w:pPr>
    </w:p>
    <w:p w14:paraId="418EFDBB" w14:textId="7AA7A410" w:rsidR="00C00837" w:rsidRPr="007D6D77" w:rsidRDefault="00C00837" w:rsidP="00145291">
      <w:pPr>
        <w:pStyle w:val="Heading3"/>
        <w:rPr>
          <w:rFonts w:ascii="Times New Roman" w:hAnsi="Times New Roman"/>
        </w:rPr>
      </w:pPr>
      <w:bookmarkStart w:id="13" w:name="_Toc8118879"/>
      <w:bookmarkStart w:id="14" w:name="_Toc81803509"/>
      <w:bookmarkStart w:id="15" w:name="_Toc88301179"/>
      <w:bookmarkStart w:id="16" w:name="_Toc213748173"/>
      <w:bookmarkStart w:id="17" w:name="_Toc341972153"/>
      <w:r w:rsidRPr="007D6D77">
        <w:t>A.2</w:t>
      </w:r>
      <w:r w:rsidRPr="007D6D77">
        <w:tab/>
      </w:r>
      <w:bookmarkEnd w:id="13"/>
      <w:bookmarkEnd w:id="14"/>
      <w:bookmarkEnd w:id="15"/>
      <w:bookmarkEnd w:id="16"/>
      <w:r w:rsidR="00AF0C0A" w:rsidRPr="007D6D77">
        <w:t>INDICATE HOW, BY WHOM, AND FOR WHAT PURPOSE THE INFORMATION IS TO BE USED.</w:t>
      </w:r>
      <w:r w:rsidR="00AF0C0A" w:rsidRPr="007D6D77">
        <w:rPr>
          <w:rFonts w:ascii="Times New Roman" w:hAnsi="Times New Roman"/>
        </w:rPr>
        <w:t xml:space="preserve">  </w:t>
      </w:r>
      <w:bookmarkEnd w:id="17"/>
    </w:p>
    <w:p w14:paraId="25A8C1F5" w14:textId="77777777" w:rsidR="00C00837" w:rsidRPr="007D6D77" w:rsidRDefault="00C00837" w:rsidP="00484B24">
      <w:pPr>
        <w:pStyle w:val="Heading3"/>
      </w:pPr>
      <w:bookmarkStart w:id="18" w:name="_Toc341972154"/>
      <w:r w:rsidRPr="007D6D77">
        <w:t>How Information Will Be Collected</w:t>
      </w:r>
      <w:bookmarkEnd w:id="18"/>
      <w:r w:rsidRPr="007D6D77">
        <w:t xml:space="preserve"> </w:t>
      </w:r>
    </w:p>
    <w:p w14:paraId="5625915F" w14:textId="3E38F49B" w:rsidR="009640FB" w:rsidRPr="007D6D77" w:rsidRDefault="00D9753A" w:rsidP="00484B24">
      <w:pPr>
        <w:pStyle w:val="ReportBodyText"/>
      </w:pPr>
      <w:r w:rsidRPr="007D6D77">
        <w:t xml:space="preserve">Data will be collected </w:t>
      </w:r>
      <w:r w:rsidR="00D84F0E">
        <w:t>through surveys</w:t>
      </w:r>
      <w:r w:rsidR="002D5EC6" w:rsidRPr="007D6D77">
        <w:t xml:space="preserve">; see Exhibit 1 for an overview of the data collection associated with the </w:t>
      </w:r>
      <w:r w:rsidR="00484B24">
        <w:t>STEM Challenges</w:t>
      </w:r>
      <w:r w:rsidR="002D5EC6" w:rsidRPr="007D6D77">
        <w:t xml:space="preserve"> </w:t>
      </w:r>
      <w:r w:rsidR="0082120B">
        <w:t xml:space="preserve">summative </w:t>
      </w:r>
      <w:r w:rsidR="002D5EC6" w:rsidRPr="007D6D77">
        <w:t>evaluation, including a crosswalk between the research questions and the data collection strategies</w:t>
      </w:r>
      <w:r w:rsidR="003D7CDA" w:rsidRPr="007D6D77">
        <w:t xml:space="preserve">. </w:t>
      </w:r>
      <w:r w:rsidR="008552CE" w:rsidRPr="007D6D77">
        <w:t>Youth</w:t>
      </w:r>
      <w:r w:rsidR="003D7CDA" w:rsidRPr="007D6D77">
        <w:t xml:space="preserve"> </w:t>
      </w:r>
      <w:r w:rsidR="008552CE" w:rsidRPr="007D6D77">
        <w:t xml:space="preserve">outcome </w:t>
      </w:r>
      <w:r w:rsidR="003D7CDA" w:rsidRPr="007D6D77">
        <w:t xml:space="preserve">data will be collected </w:t>
      </w:r>
      <w:r w:rsidR="00313289" w:rsidRPr="007D6D77">
        <w:t xml:space="preserve">through </w:t>
      </w:r>
      <w:r w:rsidRPr="007D6D77">
        <w:t>survey instruments</w:t>
      </w:r>
      <w:r w:rsidR="009640FB" w:rsidRPr="007D6D77">
        <w:t xml:space="preserve">. Data collected through the OMB-cleared forms will be complemented by other information collected through different strategies (e.g., </w:t>
      </w:r>
      <w:r w:rsidR="00484B24">
        <w:t xml:space="preserve">activity </w:t>
      </w:r>
      <w:r w:rsidR="009640FB" w:rsidRPr="007D6D77">
        <w:t xml:space="preserve">observations, </w:t>
      </w:r>
      <w:r w:rsidR="00484B24">
        <w:t>analysis of student work products)</w:t>
      </w:r>
      <w:r w:rsidR="009640FB" w:rsidRPr="007D6D77">
        <w:t xml:space="preserve"> that are not required </w:t>
      </w:r>
      <w:r w:rsidR="00A3332C" w:rsidRPr="007D6D77">
        <w:t xml:space="preserve">to be cleared </w:t>
      </w:r>
      <w:r w:rsidR="009D1326">
        <w:t>through</w:t>
      </w:r>
      <w:r w:rsidR="009640FB" w:rsidRPr="007D6D77">
        <w:t xml:space="preserve"> the Paperwork Reduction Act </w:t>
      </w:r>
      <w:r w:rsidR="009D1326">
        <w:t xml:space="preserve">regular clearance process </w:t>
      </w:r>
      <w:r w:rsidR="00A3332C" w:rsidRPr="007D6D77">
        <w:t xml:space="preserve">due to the small number of participants or the nature of the information collection. </w:t>
      </w:r>
    </w:p>
    <w:p w14:paraId="7A46BA48" w14:textId="77777777" w:rsidR="009640FB" w:rsidRDefault="009640FB" w:rsidP="00D9753A">
      <w:pPr>
        <w:pStyle w:val="BodyText"/>
        <w:rPr>
          <w:szCs w:val="22"/>
        </w:rPr>
      </w:pPr>
    </w:p>
    <w:p w14:paraId="06655505" w14:textId="77777777" w:rsidR="00650AB4" w:rsidRPr="00E561FE" w:rsidRDefault="00C8515C" w:rsidP="00D9753A">
      <w:pPr>
        <w:pStyle w:val="BodyText"/>
        <w:rPr>
          <w:b/>
          <w:i/>
          <w:szCs w:val="22"/>
        </w:rPr>
      </w:pPr>
      <w:r w:rsidRPr="00C8515C">
        <w:rPr>
          <w:b/>
          <w:i/>
          <w:szCs w:val="22"/>
        </w:rPr>
        <w:t>Consent Process</w:t>
      </w:r>
    </w:p>
    <w:p w14:paraId="787B53D7" w14:textId="30EF6455" w:rsidR="004C3ED3" w:rsidRDefault="00D84F0E" w:rsidP="004C3ED3">
      <w:pPr>
        <w:pStyle w:val="ReportBodyText"/>
      </w:pPr>
      <w:r>
        <w:t>Site coordinators</w:t>
      </w:r>
      <w:r w:rsidR="00484B24" w:rsidRPr="004C3ED3">
        <w:t xml:space="preserve"> selected for participation in this evaluation study</w:t>
      </w:r>
      <w:r w:rsidR="00E561FE" w:rsidRPr="004C3ED3">
        <w:t xml:space="preserve"> will </w:t>
      </w:r>
      <w:r w:rsidR="00484B24" w:rsidRPr="004C3ED3">
        <w:t xml:space="preserve">be asked to administer </w:t>
      </w:r>
      <w:r w:rsidR="00E561FE" w:rsidRPr="004C3ED3">
        <w:t xml:space="preserve">a parent consent </w:t>
      </w:r>
      <w:r w:rsidR="00484B24" w:rsidRPr="004C3ED3">
        <w:t>notice</w:t>
      </w:r>
      <w:r w:rsidR="00E561FE" w:rsidRPr="004C3ED3">
        <w:t xml:space="preserve"> that describes the evaluation components (</w:t>
      </w:r>
      <w:r w:rsidR="009D1326" w:rsidRPr="004C3ED3">
        <w:t xml:space="preserve">a </w:t>
      </w:r>
      <w:r>
        <w:t>youth</w:t>
      </w:r>
      <w:r w:rsidR="009D1326" w:rsidRPr="004C3ED3">
        <w:t xml:space="preserve"> baseline survey</w:t>
      </w:r>
      <w:r w:rsidR="00E561FE" w:rsidRPr="004C3ED3">
        <w:t xml:space="preserve"> and a </w:t>
      </w:r>
      <w:r>
        <w:t>youth</w:t>
      </w:r>
      <w:r w:rsidR="00E561FE" w:rsidRPr="004C3ED3">
        <w:t xml:space="preserve"> follow-up survey) and asks parents</w:t>
      </w:r>
      <w:r w:rsidR="00117A82" w:rsidRPr="004C3ED3">
        <w:t xml:space="preserve"> to</w:t>
      </w:r>
      <w:r w:rsidR="00E561FE" w:rsidRPr="004C3ED3">
        <w:t xml:space="preserve"> give consent for </w:t>
      </w:r>
      <w:r w:rsidR="00B036DB">
        <w:t>t</w:t>
      </w:r>
      <w:r w:rsidR="00E561FE" w:rsidRPr="004C3ED3">
        <w:t>heir children’s inclusion in the evaluation</w:t>
      </w:r>
      <w:r w:rsidR="00434477" w:rsidRPr="004C3ED3">
        <w:t xml:space="preserve"> (see Appendix </w:t>
      </w:r>
      <w:r>
        <w:t>5</w:t>
      </w:r>
      <w:r w:rsidR="00434477" w:rsidRPr="004C3ED3">
        <w:t>)</w:t>
      </w:r>
      <w:r w:rsidR="00E561FE" w:rsidRPr="004C3ED3">
        <w:t xml:space="preserve">.  </w:t>
      </w:r>
      <w:r w:rsidR="009D1326" w:rsidRPr="004C3ED3">
        <w:t xml:space="preserve">NASA intends to use a passive parental consent </w:t>
      </w:r>
      <w:r w:rsidR="004C3ED3">
        <w:t>notice</w:t>
      </w:r>
      <w:r w:rsidR="009D1326" w:rsidRPr="004C3ED3">
        <w:t>,</w:t>
      </w:r>
      <w:r w:rsidR="004714AF">
        <w:rPr>
          <w:rStyle w:val="FootnoteReference"/>
        </w:rPr>
        <w:footnoteReference w:id="2"/>
      </w:r>
      <w:r w:rsidR="009D1326" w:rsidRPr="004C3ED3">
        <w:t xml:space="preserve"> which will include information about the study, time required, risks, benefits, confidentiality, and voluntary participation, as well as contact information for further questions. Parents will be informed that if they do not wish for their </w:t>
      </w:r>
      <w:proofErr w:type="gramStart"/>
      <w:r w:rsidR="009D1326" w:rsidRPr="004C3ED3">
        <w:t>child(</w:t>
      </w:r>
      <w:proofErr w:type="spellStart"/>
      <w:proofErr w:type="gramEnd"/>
      <w:r w:rsidR="009D1326" w:rsidRPr="004C3ED3">
        <w:t>ren</w:t>
      </w:r>
      <w:proofErr w:type="spellEnd"/>
      <w:r w:rsidR="009D1326" w:rsidRPr="004C3ED3">
        <w:t xml:space="preserve">) to participate in the evaluation, then they can opt them out of these activities by calling or emailing the designated evaluation staff person. Parents will be assured that students will not be punished nor rewarded for parental consent. Students without consent for the evaluation will still be allowed to participate in the activity. </w:t>
      </w:r>
    </w:p>
    <w:p w14:paraId="2E4C53B2" w14:textId="77777777" w:rsidR="004C3ED3" w:rsidRPr="004C3ED3" w:rsidRDefault="004C3ED3" w:rsidP="004C3ED3">
      <w:pPr>
        <w:pStyle w:val="ReportBodyText"/>
      </w:pPr>
    </w:p>
    <w:p w14:paraId="41339F6B" w14:textId="335FD57D" w:rsidR="009D1326" w:rsidRPr="004C3ED3" w:rsidRDefault="004C3ED3" w:rsidP="004C3ED3">
      <w:pPr>
        <w:pStyle w:val="ReportBodyText"/>
      </w:pPr>
      <w:r>
        <w:t>A</w:t>
      </w:r>
      <w:r w:rsidRPr="004C3ED3">
        <w:t>s recommended for the protection of human subjects,</w:t>
      </w:r>
      <w:r w:rsidRPr="004C3ED3">
        <w:rPr>
          <w:rStyle w:val="FootnoteReference"/>
        </w:rPr>
        <w:footnoteReference w:id="3"/>
      </w:r>
      <w:r w:rsidRPr="004C3ED3">
        <w:t xml:space="preserve"> a statement that participation in individual surveys is voluntary is included on each survey form. That is, survey participation remains voluntary and will not affect student participation in </w:t>
      </w:r>
      <w:r>
        <w:t>a STEM Challenge</w:t>
      </w:r>
      <w:r w:rsidRPr="004C3ED3">
        <w:t xml:space="preserve">. </w:t>
      </w:r>
      <w:r>
        <w:t>S</w:t>
      </w:r>
      <w:r w:rsidRPr="004C3ED3">
        <w:t xml:space="preserve">tudents can choose to skip any questions that make them uncomfortable. The consent strategy </w:t>
      </w:r>
      <w:r>
        <w:t xml:space="preserve">also </w:t>
      </w:r>
      <w:r w:rsidRPr="004C3ED3">
        <w:t>will be reviewed internally as part of the IRB clearance process.</w:t>
      </w:r>
      <w:r>
        <w:t xml:space="preserve"> </w:t>
      </w:r>
    </w:p>
    <w:p w14:paraId="747797D8" w14:textId="77777777" w:rsidR="009D1326" w:rsidRPr="004C3ED3" w:rsidRDefault="009D1326" w:rsidP="004C3ED3">
      <w:pPr>
        <w:pStyle w:val="ReportBodyText"/>
      </w:pPr>
    </w:p>
    <w:p w14:paraId="2B0940B7" w14:textId="77777777" w:rsidR="00C57A86" w:rsidRPr="007D6D77" w:rsidRDefault="008552CE" w:rsidP="000427C9">
      <w:pPr>
        <w:pStyle w:val="BodyText"/>
        <w:rPr>
          <w:b/>
          <w:i/>
          <w:szCs w:val="22"/>
        </w:rPr>
      </w:pPr>
      <w:r w:rsidRPr="007D6D77">
        <w:rPr>
          <w:b/>
          <w:i/>
          <w:szCs w:val="22"/>
        </w:rPr>
        <w:t>Youth</w:t>
      </w:r>
      <w:r w:rsidR="00C57A86" w:rsidRPr="007D6D77">
        <w:rPr>
          <w:b/>
          <w:i/>
          <w:szCs w:val="22"/>
        </w:rPr>
        <w:t xml:space="preserve"> Surveys</w:t>
      </w:r>
    </w:p>
    <w:p w14:paraId="1D048114" w14:textId="77777777" w:rsidR="00A70E82" w:rsidRPr="007D6D77" w:rsidRDefault="00292820" w:rsidP="000427C9">
      <w:pPr>
        <w:pStyle w:val="BodyText"/>
        <w:rPr>
          <w:szCs w:val="22"/>
        </w:rPr>
      </w:pPr>
      <w:r w:rsidRPr="007D6D77">
        <w:rPr>
          <w:szCs w:val="22"/>
        </w:rPr>
        <w:t xml:space="preserve">The </w:t>
      </w:r>
      <w:r w:rsidR="006747CB" w:rsidRPr="007D6D77">
        <w:rPr>
          <w:szCs w:val="22"/>
        </w:rPr>
        <w:t>youths</w:t>
      </w:r>
      <w:r w:rsidR="004714AF">
        <w:rPr>
          <w:szCs w:val="22"/>
        </w:rPr>
        <w:t xml:space="preserve"> in grades 5</w:t>
      </w:r>
      <w:r w:rsidRPr="007D6D77">
        <w:rPr>
          <w:szCs w:val="22"/>
        </w:rPr>
        <w:t xml:space="preserve">-8 taking part in </w:t>
      </w:r>
      <w:r w:rsidR="004714AF">
        <w:rPr>
          <w:szCs w:val="22"/>
        </w:rPr>
        <w:t>STEM Challenges</w:t>
      </w:r>
      <w:r w:rsidRPr="007D6D77">
        <w:rPr>
          <w:szCs w:val="22"/>
        </w:rPr>
        <w:t xml:space="preserve"> will be </w:t>
      </w:r>
      <w:r w:rsidR="00F56709" w:rsidRPr="007D6D77">
        <w:rPr>
          <w:szCs w:val="22"/>
        </w:rPr>
        <w:t xml:space="preserve">asked to complete </w:t>
      </w:r>
      <w:r w:rsidRPr="007D6D77">
        <w:rPr>
          <w:szCs w:val="22"/>
        </w:rPr>
        <w:t>baseline and follow-up</w:t>
      </w:r>
      <w:r w:rsidR="00F56709" w:rsidRPr="007D6D77">
        <w:rPr>
          <w:szCs w:val="22"/>
        </w:rPr>
        <w:t xml:space="preserve"> surveys</w:t>
      </w:r>
      <w:r w:rsidR="00277309" w:rsidRPr="007D6D77">
        <w:rPr>
          <w:szCs w:val="22"/>
        </w:rPr>
        <w:t xml:space="preserve"> (</w:t>
      </w:r>
      <w:r w:rsidR="004714AF">
        <w:rPr>
          <w:szCs w:val="22"/>
        </w:rPr>
        <w:t>see Appendices 1 and 3</w:t>
      </w:r>
      <w:r w:rsidR="00277309" w:rsidRPr="007D6D77">
        <w:rPr>
          <w:szCs w:val="22"/>
        </w:rPr>
        <w:t>)</w:t>
      </w:r>
      <w:r w:rsidR="00F86F3A" w:rsidRPr="007D6D77">
        <w:rPr>
          <w:szCs w:val="22"/>
        </w:rPr>
        <w:t xml:space="preserve">. </w:t>
      </w:r>
      <w:r w:rsidR="00835EC0" w:rsidRPr="007D6D77">
        <w:rPr>
          <w:szCs w:val="22"/>
        </w:rPr>
        <w:t xml:space="preserve">The baseline survey form provides information regarding the purpose of the data collection and collects data on motivation for </w:t>
      </w:r>
      <w:r w:rsidR="004714AF">
        <w:rPr>
          <w:szCs w:val="22"/>
        </w:rPr>
        <w:t>signing up</w:t>
      </w:r>
      <w:r w:rsidR="00835EC0" w:rsidRPr="007D6D77">
        <w:rPr>
          <w:szCs w:val="22"/>
        </w:rPr>
        <w:t xml:space="preserve"> for </w:t>
      </w:r>
      <w:r w:rsidR="004714AF">
        <w:rPr>
          <w:szCs w:val="22"/>
        </w:rPr>
        <w:t>a STEM Challenge</w:t>
      </w:r>
      <w:r w:rsidR="00835EC0" w:rsidRPr="007D6D77">
        <w:rPr>
          <w:szCs w:val="22"/>
        </w:rPr>
        <w:t xml:space="preserve">, personal interest in STEM, and participation in STEM activities. The follow-up survey </w:t>
      </w:r>
      <w:r w:rsidR="00B65FD2" w:rsidRPr="007D6D77">
        <w:rPr>
          <w:szCs w:val="22"/>
        </w:rPr>
        <w:t xml:space="preserve">repeats questions on interest and participation in STEM to track differences in these areas and also asks questions that </w:t>
      </w:r>
      <w:r w:rsidR="00A16A5C" w:rsidRPr="007D6D77">
        <w:rPr>
          <w:szCs w:val="22"/>
        </w:rPr>
        <w:t>require</w:t>
      </w:r>
      <w:r w:rsidR="00A653B2" w:rsidRPr="007D6D77">
        <w:rPr>
          <w:szCs w:val="22"/>
        </w:rPr>
        <w:t xml:space="preserve"> youth to </w:t>
      </w:r>
      <w:r w:rsidR="00B65FD2" w:rsidRPr="007D6D77">
        <w:rPr>
          <w:szCs w:val="22"/>
        </w:rPr>
        <w:t xml:space="preserve">recall </w:t>
      </w:r>
      <w:r w:rsidR="004714AF">
        <w:rPr>
          <w:szCs w:val="22"/>
        </w:rPr>
        <w:t>the STEM Challenge</w:t>
      </w:r>
      <w:r w:rsidR="00B65FD2" w:rsidRPr="007D6D77">
        <w:rPr>
          <w:szCs w:val="22"/>
        </w:rPr>
        <w:t xml:space="preserve"> and </w:t>
      </w:r>
      <w:r w:rsidR="00CD66BC" w:rsidRPr="007D6D77">
        <w:rPr>
          <w:szCs w:val="22"/>
        </w:rPr>
        <w:t xml:space="preserve">its impact on them. </w:t>
      </w:r>
      <w:r w:rsidRPr="007D6D77">
        <w:rPr>
          <w:szCs w:val="22"/>
        </w:rPr>
        <w:t>C</w:t>
      </w:r>
      <w:r w:rsidR="00AC1C2A" w:rsidRPr="007D6D77">
        <w:rPr>
          <w:szCs w:val="22"/>
        </w:rPr>
        <w:t>rosswalk</w:t>
      </w:r>
      <w:r w:rsidRPr="007D6D77">
        <w:rPr>
          <w:szCs w:val="22"/>
        </w:rPr>
        <w:t>s that describe</w:t>
      </w:r>
      <w:r w:rsidR="00AC1C2A" w:rsidRPr="007D6D77">
        <w:rPr>
          <w:szCs w:val="22"/>
        </w:rPr>
        <w:t xml:space="preserve"> how the survey items link to the research questions, their purpose, and their source</w:t>
      </w:r>
      <w:r w:rsidR="00137603" w:rsidRPr="007D6D77">
        <w:rPr>
          <w:szCs w:val="22"/>
        </w:rPr>
        <w:t>s</w:t>
      </w:r>
      <w:r w:rsidR="00AC1C2A" w:rsidRPr="007D6D77">
        <w:rPr>
          <w:szCs w:val="22"/>
        </w:rPr>
        <w:t xml:space="preserve"> </w:t>
      </w:r>
      <w:r w:rsidRPr="007D6D77">
        <w:rPr>
          <w:szCs w:val="22"/>
        </w:rPr>
        <w:t>are included in Appendices</w:t>
      </w:r>
      <w:r w:rsidR="00AC1C2A" w:rsidRPr="007D6D77">
        <w:rPr>
          <w:szCs w:val="22"/>
        </w:rPr>
        <w:t xml:space="preserve"> </w:t>
      </w:r>
      <w:r w:rsidR="004714AF">
        <w:rPr>
          <w:szCs w:val="22"/>
        </w:rPr>
        <w:t>2</w:t>
      </w:r>
      <w:r w:rsidRPr="007D6D77">
        <w:rPr>
          <w:szCs w:val="22"/>
        </w:rPr>
        <w:t xml:space="preserve"> and </w:t>
      </w:r>
      <w:r w:rsidR="004714AF">
        <w:rPr>
          <w:szCs w:val="22"/>
        </w:rPr>
        <w:t>4</w:t>
      </w:r>
      <w:r w:rsidR="00AC1C2A" w:rsidRPr="007D6D77">
        <w:rPr>
          <w:szCs w:val="22"/>
        </w:rPr>
        <w:t>.</w:t>
      </w:r>
      <w:r w:rsidR="00D9753A" w:rsidRPr="007D6D77">
        <w:rPr>
          <w:szCs w:val="22"/>
        </w:rPr>
        <w:t xml:space="preserve"> </w:t>
      </w:r>
    </w:p>
    <w:p w14:paraId="50D89283" w14:textId="77777777" w:rsidR="00A70E82" w:rsidRPr="007D6D77" w:rsidRDefault="00A70E82" w:rsidP="000427C9">
      <w:pPr>
        <w:pStyle w:val="BodyText"/>
        <w:rPr>
          <w:szCs w:val="22"/>
        </w:rPr>
      </w:pPr>
    </w:p>
    <w:p w14:paraId="1F7998EA" w14:textId="78616C28" w:rsidR="00A653B2" w:rsidRPr="007D6D77" w:rsidRDefault="00621878" w:rsidP="00B65FD2">
      <w:pPr>
        <w:pStyle w:val="PlainText"/>
        <w:spacing w:line="264" w:lineRule="auto"/>
        <w:rPr>
          <w:rFonts w:ascii="Times New Roman" w:hAnsi="Times New Roman"/>
          <w:szCs w:val="22"/>
        </w:rPr>
      </w:pPr>
      <w:r w:rsidRPr="007D6D77">
        <w:rPr>
          <w:rFonts w:ascii="Times New Roman" w:hAnsi="Times New Roman"/>
          <w:szCs w:val="22"/>
        </w:rPr>
        <w:t xml:space="preserve">The baseline youth survey form </w:t>
      </w:r>
      <w:r w:rsidR="002907A9" w:rsidRPr="007D6D77">
        <w:rPr>
          <w:rFonts w:ascii="Times New Roman" w:hAnsi="Times New Roman"/>
          <w:szCs w:val="22"/>
        </w:rPr>
        <w:t xml:space="preserve">will </w:t>
      </w:r>
      <w:r w:rsidRPr="007D6D77">
        <w:rPr>
          <w:rFonts w:ascii="Times New Roman" w:hAnsi="Times New Roman"/>
          <w:szCs w:val="22"/>
        </w:rPr>
        <w:t xml:space="preserve">be </w:t>
      </w:r>
      <w:r w:rsidR="002907A9" w:rsidRPr="007D6D77">
        <w:rPr>
          <w:rFonts w:ascii="Times New Roman" w:hAnsi="Times New Roman"/>
          <w:szCs w:val="22"/>
        </w:rPr>
        <w:t xml:space="preserve">made </w:t>
      </w:r>
      <w:r w:rsidRPr="007D6D77">
        <w:rPr>
          <w:rFonts w:ascii="Times New Roman" w:hAnsi="Times New Roman"/>
          <w:szCs w:val="22"/>
        </w:rPr>
        <w:t xml:space="preserve">available in </w:t>
      </w:r>
      <w:r w:rsidR="002907A9" w:rsidRPr="007D6D77">
        <w:rPr>
          <w:rFonts w:ascii="Times New Roman" w:hAnsi="Times New Roman"/>
          <w:szCs w:val="22"/>
        </w:rPr>
        <w:t>paper format</w:t>
      </w:r>
      <w:r w:rsidR="004714AF">
        <w:rPr>
          <w:rFonts w:ascii="Times New Roman" w:hAnsi="Times New Roman"/>
          <w:szCs w:val="22"/>
        </w:rPr>
        <w:t xml:space="preserve"> due to anticipated constraints in access to technology in sites</w:t>
      </w:r>
      <w:r w:rsidR="002907A9" w:rsidRPr="007D6D77">
        <w:rPr>
          <w:rFonts w:ascii="Times New Roman" w:hAnsi="Times New Roman"/>
          <w:szCs w:val="22"/>
        </w:rPr>
        <w:t>.</w:t>
      </w:r>
      <w:r w:rsidRPr="007D6D77">
        <w:rPr>
          <w:rFonts w:ascii="Times New Roman" w:hAnsi="Times New Roman"/>
          <w:szCs w:val="22"/>
        </w:rPr>
        <w:t xml:space="preserve"> </w:t>
      </w:r>
      <w:r w:rsidR="00D84F0E">
        <w:rPr>
          <w:rFonts w:ascii="Times New Roman" w:hAnsi="Times New Roman"/>
          <w:szCs w:val="22"/>
        </w:rPr>
        <w:t xml:space="preserve">For example, NASA found that some 21CCLC sites did not have </w:t>
      </w:r>
      <w:r w:rsidR="002B1E12">
        <w:rPr>
          <w:rFonts w:ascii="Times New Roman" w:hAnsi="Times New Roman"/>
          <w:szCs w:val="22"/>
        </w:rPr>
        <w:t xml:space="preserve">adequate technology to survey students using an online form; paper survey forms were provided to sites upon request. </w:t>
      </w:r>
      <w:r w:rsidR="002907A9" w:rsidRPr="007D6D77">
        <w:rPr>
          <w:rFonts w:ascii="Times New Roman" w:hAnsi="Times New Roman"/>
          <w:szCs w:val="22"/>
        </w:rPr>
        <w:t xml:space="preserve">The survey will be administered to all </w:t>
      </w:r>
      <w:r w:rsidR="004714AF">
        <w:rPr>
          <w:rFonts w:ascii="Times New Roman" w:hAnsi="Times New Roman"/>
          <w:szCs w:val="22"/>
        </w:rPr>
        <w:t>participating</w:t>
      </w:r>
      <w:r w:rsidR="002907A9" w:rsidRPr="007D6D77">
        <w:rPr>
          <w:rFonts w:ascii="Times New Roman" w:hAnsi="Times New Roman"/>
          <w:szCs w:val="22"/>
        </w:rPr>
        <w:t xml:space="preserve"> youth </w:t>
      </w:r>
      <w:r w:rsidR="00EE6D1E">
        <w:rPr>
          <w:rFonts w:ascii="Times New Roman" w:hAnsi="Times New Roman"/>
          <w:szCs w:val="22"/>
        </w:rPr>
        <w:t xml:space="preserve">by the site coordinators </w:t>
      </w:r>
      <w:r w:rsidR="004714AF">
        <w:rPr>
          <w:rFonts w:ascii="Times New Roman" w:hAnsi="Times New Roman"/>
          <w:szCs w:val="22"/>
        </w:rPr>
        <w:t xml:space="preserve">after they have signed up for a STEM Challenge but prior to participation in any Challenge-related activities. </w:t>
      </w:r>
      <w:r w:rsidR="002907A9" w:rsidRPr="007D6D77">
        <w:rPr>
          <w:rFonts w:ascii="Times New Roman" w:hAnsi="Times New Roman"/>
          <w:szCs w:val="22"/>
        </w:rPr>
        <w:t xml:space="preserve">Paper survey forms will be returned to </w:t>
      </w:r>
      <w:r w:rsidRPr="007D6D77">
        <w:rPr>
          <w:rFonts w:ascii="Times New Roman" w:hAnsi="Times New Roman"/>
          <w:szCs w:val="22"/>
        </w:rPr>
        <w:t xml:space="preserve">the external evaluator </w:t>
      </w:r>
      <w:r w:rsidR="00FA54AB">
        <w:rPr>
          <w:rFonts w:ascii="Times New Roman" w:hAnsi="Times New Roman"/>
          <w:szCs w:val="22"/>
        </w:rPr>
        <w:t xml:space="preserve">using a self-addressed stamped envelope </w:t>
      </w:r>
      <w:r w:rsidRPr="007D6D77">
        <w:rPr>
          <w:rFonts w:ascii="Times New Roman" w:hAnsi="Times New Roman"/>
          <w:szCs w:val="22"/>
        </w:rPr>
        <w:t xml:space="preserve">for safe-keeping and data entry. </w:t>
      </w:r>
    </w:p>
    <w:p w14:paraId="16EBFD03" w14:textId="77777777" w:rsidR="008D772A" w:rsidRPr="007D6D77" w:rsidRDefault="008D772A" w:rsidP="00B65FD2">
      <w:pPr>
        <w:pStyle w:val="PlainText"/>
        <w:spacing w:line="264" w:lineRule="auto"/>
        <w:rPr>
          <w:rFonts w:ascii="Times New Roman" w:hAnsi="Times New Roman"/>
          <w:szCs w:val="22"/>
        </w:rPr>
      </w:pPr>
    </w:p>
    <w:p w14:paraId="765611CF" w14:textId="22808B58" w:rsidR="00BA4B6E" w:rsidRPr="007D6D77" w:rsidRDefault="00BA4B6E" w:rsidP="00BA4B6E">
      <w:pPr>
        <w:pStyle w:val="BodyText"/>
      </w:pPr>
      <w:r w:rsidRPr="007D6D77">
        <w:t xml:space="preserve">Follow-up surveys will be administered by </w:t>
      </w:r>
      <w:r w:rsidR="00EE6D1E">
        <w:t xml:space="preserve">the site coordinators following the conclusion of the STEM Challenge – approximately 9 weeks following the administration of the baseline survey. </w:t>
      </w:r>
      <w:r w:rsidR="00A40F13">
        <w:t xml:space="preserve">Since </w:t>
      </w:r>
      <w:r w:rsidR="00B036DB">
        <w:t>student transience</w:t>
      </w:r>
      <w:r w:rsidR="00A40F13">
        <w:t xml:space="preserve"> is expected to be ongoing </w:t>
      </w:r>
      <w:r w:rsidR="00EE6D1E">
        <w:t>during</w:t>
      </w:r>
      <w:r w:rsidR="00A40F13">
        <w:t xml:space="preserve"> the school year, </w:t>
      </w:r>
      <w:r w:rsidR="00EE6D1E">
        <w:t xml:space="preserve">we </w:t>
      </w:r>
      <w:r w:rsidR="00EE6D1E" w:rsidRPr="002B1E12">
        <w:t xml:space="preserve">anticipate some attrition as </w:t>
      </w:r>
      <w:r w:rsidR="002B1E12" w:rsidRPr="002B1E12">
        <w:t>youth</w:t>
      </w:r>
      <w:r w:rsidR="00EE6D1E" w:rsidRPr="002B1E12">
        <w:t xml:space="preserve"> move out of their </w:t>
      </w:r>
      <w:r w:rsidR="002B1E12" w:rsidRPr="002B1E12">
        <w:t>out-of-school time program</w:t>
      </w:r>
      <w:r w:rsidR="00EE6D1E" w:rsidRPr="002B1E12">
        <w:t xml:space="preserve"> or leave the STEM Challenge. For those students who complete the STEM Challenge, we anticipate a high response rate since students will remain in the same out of school time setting. </w:t>
      </w:r>
      <w:r w:rsidR="00E73619" w:rsidRPr="002B1E12">
        <w:t xml:space="preserve">Follow-up efforts </w:t>
      </w:r>
      <w:r w:rsidR="00EE6D1E" w:rsidRPr="002B1E12">
        <w:t xml:space="preserve">with the site coordinators </w:t>
      </w:r>
      <w:r w:rsidR="00E73619" w:rsidRPr="002B1E12">
        <w:t xml:space="preserve">to </w:t>
      </w:r>
      <w:r w:rsidRPr="002B1E12">
        <w:t>increase response rates</w:t>
      </w:r>
      <w:r w:rsidR="00E73619" w:rsidRPr="002B1E12">
        <w:t xml:space="preserve"> include up to three phone calls to encourage </w:t>
      </w:r>
      <w:r w:rsidR="00EE6D1E" w:rsidRPr="002B1E12">
        <w:t>non-responsive sites</w:t>
      </w:r>
      <w:r w:rsidR="00E73619" w:rsidRPr="002B1E12">
        <w:t xml:space="preserve"> to complete their surveys</w:t>
      </w:r>
      <w:r w:rsidR="002B1E12" w:rsidRPr="002B1E12">
        <w:t xml:space="preserve"> </w:t>
      </w:r>
      <w:r w:rsidRPr="002B1E12">
        <w:t xml:space="preserve">and mailing </w:t>
      </w:r>
      <w:r w:rsidR="00EE6D1E" w:rsidRPr="002B1E12">
        <w:t>additio</w:t>
      </w:r>
      <w:r w:rsidR="002B1E12" w:rsidRPr="002B1E12">
        <w:t>nal sets of surveys if paper survey forms were used.</w:t>
      </w:r>
    </w:p>
    <w:p w14:paraId="5EF63B77" w14:textId="77777777" w:rsidR="00BA4B6E" w:rsidRPr="007D6D77" w:rsidRDefault="00BA4B6E" w:rsidP="00621878">
      <w:pPr>
        <w:pStyle w:val="BodyText"/>
      </w:pPr>
    </w:p>
    <w:p w14:paraId="27543B71" w14:textId="77777777" w:rsidR="00A653B2" w:rsidRPr="007D6D77" w:rsidRDefault="00EE6D1E" w:rsidP="00621878">
      <w:pPr>
        <w:pStyle w:val="BodyText"/>
        <w:rPr>
          <w:color w:val="000000"/>
          <w:szCs w:val="22"/>
        </w:rPr>
      </w:pPr>
      <w:r>
        <w:rPr>
          <w:szCs w:val="22"/>
        </w:rPr>
        <w:t>While dates may vary in ensuing years, w</w:t>
      </w:r>
      <w:r w:rsidR="00621878" w:rsidRPr="007D6D77">
        <w:rPr>
          <w:szCs w:val="22"/>
        </w:rPr>
        <w:t xml:space="preserve">e anticipate that baseline survey administration </w:t>
      </w:r>
      <w:r>
        <w:rPr>
          <w:szCs w:val="22"/>
        </w:rPr>
        <w:t>in 201</w:t>
      </w:r>
      <w:r w:rsidR="002B1E12">
        <w:rPr>
          <w:szCs w:val="22"/>
        </w:rPr>
        <w:t>6</w:t>
      </w:r>
      <w:r>
        <w:rPr>
          <w:szCs w:val="22"/>
        </w:rPr>
        <w:t xml:space="preserve"> </w:t>
      </w:r>
      <w:r w:rsidR="00621878" w:rsidRPr="007D6D77">
        <w:rPr>
          <w:szCs w:val="22"/>
        </w:rPr>
        <w:t xml:space="preserve">will begin </w:t>
      </w:r>
      <w:r>
        <w:rPr>
          <w:szCs w:val="22"/>
        </w:rPr>
        <w:t xml:space="preserve">in </w:t>
      </w:r>
      <w:r w:rsidR="00621878" w:rsidRPr="007D6D77">
        <w:rPr>
          <w:szCs w:val="22"/>
        </w:rPr>
        <w:t xml:space="preserve">early </w:t>
      </w:r>
      <w:r w:rsidR="002B1E12">
        <w:rPr>
          <w:szCs w:val="22"/>
        </w:rPr>
        <w:t>February 2016</w:t>
      </w:r>
      <w:r w:rsidR="00621878" w:rsidRPr="007D6D77">
        <w:rPr>
          <w:szCs w:val="22"/>
        </w:rPr>
        <w:t xml:space="preserve"> and follow-up survey administration </w:t>
      </w:r>
      <w:r w:rsidR="00E73619">
        <w:rPr>
          <w:szCs w:val="22"/>
        </w:rPr>
        <w:t xml:space="preserve">in </w:t>
      </w:r>
      <w:r w:rsidR="002B1E12">
        <w:rPr>
          <w:szCs w:val="22"/>
        </w:rPr>
        <w:t>early May 2016</w:t>
      </w:r>
      <w:r w:rsidR="00621878" w:rsidRPr="007D6D77">
        <w:rPr>
          <w:szCs w:val="22"/>
        </w:rPr>
        <w:t xml:space="preserve">. </w:t>
      </w:r>
      <w:r w:rsidR="002B1E12">
        <w:rPr>
          <w:szCs w:val="22"/>
        </w:rPr>
        <w:t xml:space="preserve">The broad survey administration period is required since historically some sites have initiated the activity at different times. </w:t>
      </w:r>
      <w:r w:rsidR="00BA4B6E" w:rsidRPr="007D6D77">
        <w:rPr>
          <w:szCs w:val="22"/>
        </w:rPr>
        <w:t>Data collection procedures are</w:t>
      </w:r>
      <w:r w:rsidR="00A653B2" w:rsidRPr="007D6D77">
        <w:rPr>
          <w:szCs w:val="22"/>
        </w:rPr>
        <w:t xml:space="preserve"> </w:t>
      </w:r>
      <w:r w:rsidR="00BA4B6E" w:rsidRPr="007D6D77">
        <w:rPr>
          <w:szCs w:val="22"/>
        </w:rPr>
        <w:t xml:space="preserve">also </w:t>
      </w:r>
      <w:r w:rsidR="00A653B2" w:rsidRPr="007D6D77">
        <w:rPr>
          <w:szCs w:val="22"/>
        </w:rPr>
        <w:t xml:space="preserve">discussed in </w:t>
      </w:r>
      <w:r w:rsidR="00BA4B6E" w:rsidRPr="007D6D77">
        <w:rPr>
          <w:szCs w:val="22"/>
        </w:rPr>
        <w:t>Part B.</w:t>
      </w:r>
    </w:p>
    <w:p w14:paraId="65793783" w14:textId="77777777" w:rsidR="00B65FD2" w:rsidRPr="007D6D77" w:rsidRDefault="00B65FD2" w:rsidP="000427C9">
      <w:pPr>
        <w:pStyle w:val="BodyText"/>
        <w:rPr>
          <w:szCs w:val="22"/>
        </w:rPr>
      </w:pPr>
    </w:p>
    <w:p w14:paraId="76539825" w14:textId="77777777" w:rsidR="003E3DDE" w:rsidRPr="007D6D77" w:rsidRDefault="003E3DDE" w:rsidP="00C54A4D">
      <w:pPr>
        <w:pStyle w:val="subheading"/>
        <w:spacing w:after="0"/>
        <w:rPr>
          <w:rFonts w:ascii="Times New Roman" w:hAnsi="Times New Roman"/>
          <w:sz w:val="22"/>
          <w:szCs w:val="22"/>
        </w:rPr>
      </w:pPr>
      <w:bookmarkStart w:id="19" w:name="_Toc341972155"/>
      <w:r w:rsidRPr="007D6D77">
        <w:rPr>
          <w:rFonts w:ascii="Times New Roman" w:hAnsi="Times New Roman"/>
          <w:sz w:val="22"/>
          <w:szCs w:val="22"/>
        </w:rPr>
        <w:t xml:space="preserve">Who Will Collect the </w:t>
      </w:r>
      <w:proofErr w:type="gramStart"/>
      <w:r w:rsidRPr="007D6D77">
        <w:rPr>
          <w:rFonts w:ascii="Times New Roman" w:hAnsi="Times New Roman"/>
          <w:sz w:val="22"/>
          <w:szCs w:val="22"/>
        </w:rPr>
        <w:t>Information</w:t>
      </w:r>
      <w:bookmarkEnd w:id="19"/>
      <w:proofErr w:type="gramEnd"/>
    </w:p>
    <w:p w14:paraId="0000B171" w14:textId="77777777" w:rsidR="00C54A4D" w:rsidRPr="007D6D77" w:rsidRDefault="00C54A4D" w:rsidP="00C54A4D">
      <w:pPr>
        <w:pStyle w:val="subheading"/>
        <w:spacing w:after="0"/>
        <w:rPr>
          <w:rFonts w:ascii="Times New Roman" w:hAnsi="Times New Roman"/>
          <w:sz w:val="22"/>
          <w:szCs w:val="22"/>
        </w:rPr>
      </w:pPr>
    </w:p>
    <w:p w14:paraId="35A3E20A" w14:textId="77777777" w:rsidR="007A7396" w:rsidRPr="007D6D77" w:rsidRDefault="00EE6D1E" w:rsidP="00C54A4D">
      <w:pPr>
        <w:pStyle w:val="BodyText"/>
        <w:rPr>
          <w:szCs w:val="22"/>
        </w:rPr>
      </w:pPr>
      <w:r>
        <w:rPr>
          <w:szCs w:val="22"/>
        </w:rPr>
        <w:t xml:space="preserve">In early communications with selected sites, NASA </w:t>
      </w:r>
      <w:r w:rsidR="002B1E12">
        <w:rPr>
          <w:szCs w:val="22"/>
        </w:rPr>
        <w:t>will provide</w:t>
      </w:r>
      <w:r>
        <w:rPr>
          <w:szCs w:val="22"/>
        </w:rPr>
        <w:t xml:space="preserve"> an</w:t>
      </w:r>
      <w:r w:rsidR="000D5BBC">
        <w:rPr>
          <w:szCs w:val="22"/>
        </w:rPr>
        <w:t xml:space="preserve"> overview of the </w:t>
      </w:r>
      <w:r w:rsidR="002B1E12">
        <w:rPr>
          <w:szCs w:val="22"/>
        </w:rPr>
        <w:t>evaluation study and articulate</w:t>
      </w:r>
      <w:r w:rsidR="000D5BBC">
        <w:rPr>
          <w:szCs w:val="22"/>
        </w:rPr>
        <w:t xml:space="preserve"> the role of site coordinators / instructors in supporting the parent consent and survey administration process. </w:t>
      </w:r>
      <w:r w:rsidR="002D0A54" w:rsidRPr="007D6D77">
        <w:rPr>
          <w:szCs w:val="22"/>
        </w:rPr>
        <w:t xml:space="preserve">An evaluation point of contact will </w:t>
      </w:r>
      <w:r w:rsidR="000D5BBC">
        <w:rPr>
          <w:szCs w:val="22"/>
        </w:rPr>
        <w:t>be requested for each site</w:t>
      </w:r>
      <w:r w:rsidR="002D0A54" w:rsidRPr="007D6D77">
        <w:rPr>
          <w:szCs w:val="22"/>
        </w:rPr>
        <w:t xml:space="preserve">. This individual will hold responsibility for ensuring that </w:t>
      </w:r>
      <w:r w:rsidR="000D5BBC">
        <w:rPr>
          <w:szCs w:val="22"/>
        </w:rPr>
        <w:t xml:space="preserve">parent consent notices and surveys </w:t>
      </w:r>
      <w:r w:rsidR="002D0A54" w:rsidRPr="007D6D77">
        <w:rPr>
          <w:szCs w:val="22"/>
        </w:rPr>
        <w:t xml:space="preserve">are administered by instructors and collected and submitted to the external evaluator. </w:t>
      </w:r>
      <w:r w:rsidR="00FC614D" w:rsidRPr="007D6D77">
        <w:rPr>
          <w:szCs w:val="22"/>
        </w:rPr>
        <w:t xml:space="preserve">The </w:t>
      </w:r>
      <w:r w:rsidR="000D5BBC">
        <w:rPr>
          <w:szCs w:val="22"/>
        </w:rPr>
        <w:t xml:space="preserve">site </w:t>
      </w:r>
      <w:r w:rsidR="00FC614D" w:rsidRPr="007D6D77">
        <w:rPr>
          <w:szCs w:val="22"/>
        </w:rPr>
        <w:t xml:space="preserve">POCs </w:t>
      </w:r>
      <w:r w:rsidR="007A7396" w:rsidRPr="007D6D77">
        <w:rPr>
          <w:szCs w:val="22"/>
        </w:rPr>
        <w:t>will be accountable to NASA for ensuring that all data collection occurs in a timely manner.</w:t>
      </w:r>
      <w:r w:rsidR="00B254F4" w:rsidRPr="007D6D77">
        <w:rPr>
          <w:szCs w:val="22"/>
        </w:rPr>
        <w:t xml:space="preserve"> </w:t>
      </w:r>
      <w:r w:rsidR="004D2B62" w:rsidRPr="007D6D77">
        <w:rPr>
          <w:szCs w:val="22"/>
        </w:rPr>
        <w:t xml:space="preserve">The NASA Headquarters Evaluation Manager is responsible for providing oversight of the evaluation, while the </w:t>
      </w:r>
      <w:r w:rsidR="002B1E12">
        <w:rPr>
          <w:szCs w:val="22"/>
        </w:rPr>
        <w:t>evaluation contractor</w:t>
      </w:r>
      <w:r w:rsidR="004D2B62" w:rsidRPr="007D6D77">
        <w:rPr>
          <w:szCs w:val="22"/>
        </w:rPr>
        <w:t xml:space="preserve"> will coordinate evaluation activities. </w:t>
      </w:r>
    </w:p>
    <w:p w14:paraId="6B2376FE" w14:textId="77777777" w:rsidR="007A7396" w:rsidRPr="007D6D77" w:rsidRDefault="007A7396" w:rsidP="00C54A4D">
      <w:pPr>
        <w:pStyle w:val="BodyText"/>
        <w:rPr>
          <w:szCs w:val="22"/>
        </w:rPr>
      </w:pPr>
    </w:p>
    <w:p w14:paraId="4A98E256" w14:textId="1B9E8FDB" w:rsidR="00770310" w:rsidRPr="007D6D77" w:rsidRDefault="0041567C" w:rsidP="00C54A4D">
      <w:pPr>
        <w:pStyle w:val="BodyText"/>
        <w:rPr>
          <w:szCs w:val="22"/>
        </w:rPr>
      </w:pPr>
      <w:r w:rsidRPr="007D6D77">
        <w:rPr>
          <w:szCs w:val="22"/>
        </w:rPr>
        <w:t>Prior to administration</w:t>
      </w:r>
      <w:r w:rsidR="006F0C59" w:rsidRPr="007D6D77">
        <w:rPr>
          <w:szCs w:val="22"/>
        </w:rPr>
        <w:t>,</w:t>
      </w:r>
      <w:r w:rsidR="0084390F" w:rsidRPr="007D6D77">
        <w:rPr>
          <w:szCs w:val="22"/>
        </w:rPr>
        <w:t xml:space="preserve"> </w:t>
      </w:r>
      <w:r w:rsidR="00042D71" w:rsidRPr="007D6D77">
        <w:rPr>
          <w:szCs w:val="22"/>
        </w:rPr>
        <w:t>mandatory</w:t>
      </w:r>
      <w:r w:rsidR="006F0C59" w:rsidRPr="007D6D77">
        <w:rPr>
          <w:szCs w:val="22"/>
        </w:rPr>
        <w:t xml:space="preserve"> webinar training</w:t>
      </w:r>
      <w:r w:rsidR="00042D71" w:rsidRPr="007D6D77">
        <w:rPr>
          <w:szCs w:val="22"/>
        </w:rPr>
        <w:t>s</w:t>
      </w:r>
      <w:r w:rsidR="006F0C59" w:rsidRPr="007D6D77">
        <w:rPr>
          <w:szCs w:val="22"/>
        </w:rPr>
        <w:t xml:space="preserve"> </w:t>
      </w:r>
      <w:r w:rsidR="00784731" w:rsidRPr="007D6D77">
        <w:rPr>
          <w:szCs w:val="22"/>
        </w:rPr>
        <w:t xml:space="preserve">will be </w:t>
      </w:r>
      <w:r w:rsidR="006F0C59" w:rsidRPr="007D6D77">
        <w:rPr>
          <w:szCs w:val="22"/>
        </w:rPr>
        <w:t>provided to</w:t>
      </w:r>
      <w:r w:rsidR="00C00837" w:rsidRPr="007D6D77">
        <w:rPr>
          <w:szCs w:val="22"/>
        </w:rPr>
        <w:t xml:space="preserve"> </w:t>
      </w:r>
      <w:r w:rsidR="00FC614D" w:rsidRPr="007D6D77">
        <w:rPr>
          <w:szCs w:val="22"/>
        </w:rPr>
        <w:t xml:space="preserve">evaluation </w:t>
      </w:r>
      <w:r w:rsidRPr="007D6D77">
        <w:rPr>
          <w:szCs w:val="22"/>
        </w:rPr>
        <w:t>points of contacts</w:t>
      </w:r>
      <w:r w:rsidR="00B254F4" w:rsidRPr="007D6D77">
        <w:rPr>
          <w:szCs w:val="22"/>
        </w:rPr>
        <w:t xml:space="preserve"> </w:t>
      </w:r>
      <w:r w:rsidR="00042D71" w:rsidRPr="007D6D77">
        <w:rPr>
          <w:szCs w:val="22"/>
        </w:rPr>
        <w:t xml:space="preserve">in order to prepare them </w:t>
      </w:r>
      <w:r w:rsidR="00541164" w:rsidRPr="007D6D77">
        <w:rPr>
          <w:szCs w:val="22"/>
        </w:rPr>
        <w:t xml:space="preserve">to </w:t>
      </w:r>
      <w:r w:rsidR="0087133E">
        <w:rPr>
          <w:szCs w:val="22"/>
        </w:rPr>
        <w:t xml:space="preserve">collect parent consent and </w:t>
      </w:r>
      <w:r w:rsidR="00C00837" w:rsidRPr="007D6D77">
        <w:rPr>
          <w:szCs w:val="22"/>
        </w:rPr>
        <w:t>administer</w:t>
      </w:r>
      <w:r w:rsidR="00541164" w:rsidRPr="007D6D77">
        <w:rPr>
          <w:szCs w:val="22"/>
        </w:rPr>
        <w:t xml:space="preserve"> the surveys to ensure that the data are collected </w:t>
      </w:r>
      <w:r w:rsidR="00D457F7" w:rsidRPr="007D6D77">
        <w:rPr>
          <w:szCs w:val="22"/>
        </w:rPr>
        <w:t>consistently a</w:t>
      </w:r>
      <w:r w:rsidR="00C00837" w:rsidRPr="007D6D77">
        <w:rPr>
          <w:szCs w:val="22"/>
        </w:rPr>
        <w:t xml:space="preserve">cross </w:t>
      </w:r>
      <w:r w:rsidR="00541164" w:rsidRPr="007D6D77">
        <w:rPr>
          <w:szCs w:val="22"/>
        </w:rPr>
        <w:t>sites</w:t>
      </w:r>
      <w:r w:rsidR="00C00837" w:rsidRPr="007D6D77">
        <w:rPr>
          <w:szCs w:val="22"/>
        </w:rPr>
        <w:t xml:space="preserve">. </w:t>
      </w:r>
      <w:r w:rsidR="00042D71" w:rsidRPr="007D6D77">
        <w:rPr>
          <w:szCs w:val="22"/>
        </w:rPr>
        <w:t xml:space="preserve">Additional </w:t>
      </w:r>
      <w:r w:rsidR="00EA4285" w:rsidRPr="007D6D77">
        <w:rPr>
          <w:szCs w:val="22"/>
        </w:rPr>
        <w:t xml:space="preserve">evaluation </w:t>
      </w:r>
      <w:r w:rsidR="00042D71" w:rsidRPr="007D6D77">
        <w:rPr>
          <w:szCs w:val="22"/>
        </w:rPr>
        <w:t xml:space="preserve">guidance will be provided </w:t>
      </w:r>
      <w:r w:rsidR="00EA4285" w:rsidRPr="007D6D77">
        <w:rPr>
          <w:szCs w:val="22"/>
        </w:rPr>
        <w:t xml:space="preserve">in the form of a comprehensive guide to the evaluation activities available </w:t>
      </w:r>
      <w:r w:rsidR="000C26DE">
        <w:rPr>
          <w:szCs w:val="22"/>
        </w:rPr>
        <w:t xml:space="preserve">in electronic format. </w:t>
      </w:r>
    </w:p>
    <w:p w14:paraId="662FE504" w14:textId="77777777" w:rsidR="00722179" w:rsidRPr="007D6D77" w:rsidRDefault="00722179" w:rsidP="00C54A4D">
      <w:pPr>
        <w:pStyle w:val="BodyText"/>
        <w:rPr>
          <w:szCs w:val="22"/>
        </w:rPr>
      </w:pPr>
    </w:p>
    <w:p w14:paraId="5671BA3F" w14:textId="77777777" w:rsidR="00C00837" w:rsidRPr="007D6D77" w:rsidRDefault="00C00837" w:rsidP="00C54A4D">
      <w:pPr>
        <w:pStyle w:val="subheading"/>
        <w:spacing w:after="0"/>
        <w:rPr>
          <w:rFonts w:ascii="Times New Roman" w:hAnsi="Times New Roman"/>
          <w:sz w:val="22"/>
          <w:szCs w:val="22"/>
        </w:rPr>
      </w:pPr>
      <w:bookmarkStart w:id="20" w:name="_Toc341972156"/>
      <w:r w:rsidRPr="007D6D77">
        <w:rPr>
          <w:rFonts w:ascii="Times New Roman" w:hAnsi="Times New Roman"/>
          <w:sz w:val="22"/>
          <w:szCs w:val="22"/>
        </w:rPr>
        <w:t>For What Purpose</w:t>
      </w:r>
      <w:bookmarkEnd w:id="20"/>
    </w:p>
    <w:p w14:paraId="6402DD06" w14:textId="77777777" w:rsidR="00C54A4D" w:rsidRPr="007D6D77" w:rsidRDefault="00C54A4D" w:rsidP="00C54A4D">
      <w:pPr>
        <w:pStyle w:val="subheading"/>
        <w:spacing w:after="0"/>
        <w:rPr>
          <w:rFonts w:ascii="Times New Roman" w:hAnsi="Times New Roman"/>
          <w:sz w:val="22"/>
          <w:szCs w:val="22"/>
        </w:rPr>
      </w:pPr>
    </w:p>
    <w:p w14:paraId="5CE61CB9" w14:textId="2D01744A" w:rsidR="002914E6" w:rsidRPr="008F04E7" w:rsidRDefault="00750303" w:rsidP="008F04E7">
      <w:pPr>
        <w:pStyle w:val="ReportBodyText"/>
      </w:pPr>
      <w:r w:rsidRPr="008F04E7">
        <w:t xml:space="preserve">The purpose of this data collection effort is to support the evaluation of the </w:t>
      </w:r>
      <w:r w:rsidR="000D5BBC" w:rsidRPr="008F04E7">
        <w:t>STEM Challenges activity</w:t>
      </w:r>
      <w:r w:rsidRPr="008F04E7">
        <w:t xml:space="preserve">. </w:t>
      </w:r>
      <w:r w:rsidR="00C00837" w:rsidRPr="008F04E7">
        <w:t xml:space="preserve">The goal of </w:t>
      </w:r>
      <w:r w:rsidR="00EE22A2" w:rsidRPr="008F04E7">
        <w:t xml:space="preserve">this evaluation is twofold: to collect information on implementation to inform NASA’s continued </w:t>
      </w:r>
      <w:r w:rsidR="00176804" w:rsidRPr="008F04E7">
        <w:t>improve</w:t>
      </w:r>
      <w:r w:rsidR="00EE22A2" w:rsidRPr="008F04E7">
        <w:t xml:space="preserve">ment of the program model, and to collect outcome data to assess the </w:t>
      </w:r>
      <w:r w:rsidR="007A72F7">
        <w:t xml:space="preserve">activity’s </w:t>
      </w:r>
      <w:r w:rsidR="00EE22A2" w:rsidRPr="008F04E7">
        <w:t xml:space="preserve">effectiveness. </w:t>
      </w:r>
    </w:p>
    <w:p w14:paraId="02E8D47B" w14:textId="77777777" w:rsidR="00200931" w:rsidRPr="008F04E7" w:rsidRDefault="00200931" w:rsidP="008F04E7">
      <w:pPr>
        <w:pStyle w:val="ReportBodyText"/>
      </w:pPr>
    </w:p>
    <w:p w14:paraId="392C1C0B" w14:textId="57095FC1" w:rsidR="00C00837" w:rsidRPr="008F04E7" w:rsidRDefault="00C00837" w:rsidP="008F04E7">
      <w:pPr>
        <w:pStyle w:val="ReportBodyText"/>
      </w:pPr>
      <w:r w:rsidRPr="008F04E7">
        <w:t xml:space="preserve">Exhibit 1 </w:t>
      </w:r>
      <w:r w:rsidR="000F275E" w:rsidRPr="008F04E7">
        <w:t xml:space="preserve">below </w:t>
      </w:r>
      <w:r w:rsidR="002611C3">
        <w:t>outlines the key summative research questions</w:t>
      </w:r>
      <w:r w:rsidRPr="008F04E7">
        <w:t xml:space="preserve"> for the </w:t>
      </w:r>
      <w:r w:rsidR="00FD4F82" w:rsidRPr="008F04E7">
        <w:t>STEM Challenges</w:t>
      </w:r>
      <w:r w:rsidRPr="008F04E7">
        <w:t xml:space="preserve"> evaluation, data</w:t>
      </w:r>
      <w:r w:rsidR="00176804" w:rsidRPr="008F04E7">
        <w:t xml:space="preserve"> collection instruments and</w:t>
      </w:r>
      <w:r w:rsidRPr="008F04E7">
        <w:t xml:space="preserve"> sources</w:t>
      </w:r>
      <w:r w:rsidR="000C26DE">
        <w:t xml:space="preserve">, and analytical approach. </w:t>
      </w:r>
      <w:r w:rsidR="0036051C" w:rsidRPr="008F04E7">
        <w:t>As is explained in more detail in Part B, th</w:t>
      </w:r>
      <w:r w:rsidR="00FD4F82" w:rsidRPr="008F04E7">
        <w:t xml:space="preserve">e </w:t>
      </w:r>
      <w:r w:rsidR="007A72F7">
        <w:t xml:space="preserve">anticipated </w:t>
      </w:r>
      <w:r w:rsidR="002611C3">
        <w:t xml:space="preserve">annual participation </w:t>
      </w:r>
      <w:r w:rsidR="00FD4F82" w:rsidRPr="008F04E7">
        <w:t xml:space="preserve">includes </w:t>
      </w:r>
      <w:r w:rsidR="007A72F7">
        <w:t>80</w:t>
      </w:r>
      <w:r w:rsidR="00FD4F82" w:rsidRPr="008F04E7">
        <w:t xml:space="preserve"> sites within ten states participating in at least one of the NASA STEM Challenges. </w:t>
      </w:r>
      <w:r w:rsidR="00077672" w:rsidRPr="008F04E7">
        <w:t xml:space="preserve">Data collections for which we are seeking PRA clearance are highlighted in bold in the Data </w:t>
      </w:r>
      <w:r w:rsidR="008F04E7" w:rsidRPr="008F04E7">
        <w:t>Source/</w:t>
      </w:r>
      <w:r w:rsidR="00077672" w:rsidRPr="008F04E7">
        <w:t xml:space="preserve"> Instrument column. </w:t>
      </w:r>
    </w:p>
    <w:p w14:paraId="6C3CB606" w14:textId="77777777" w:rsidR="00FD4F82" w:rsidRPr="008F04E7" w:rsidRDefault="00FD4F82" w:rsidP="008F04E7">
      <w:pPr>
        <w:pStyle w:val="ReportBodyText"/>
      </w:pPr>
    </w:p>
    <w:p w14:paraId="702007D3" w14:textId="6A9A5843" w:rsidR="00C00837" w:rsidRPr="008F04E7" w:rsidRDefault="00FD4F82" w:rsidP="008F04E7">
      <w:pPr>
        <w:pStyle w:val="ReportBodyText"/>
      </w:pPr>
      <w:r w:rsidRPr="008F04E7">
        <w:t xml:space="preserve">Exhibit 1. STEM Challenge </w:t>
      </w:r>
      <w:r w:rsidR="0082120B">
        <w:t xml:space="preserve">Summative </w:t>
      </w:r>
      <w:r w:rsidRPr="008F04E7">
        <w:t>Evaluation Questions</w:t>
      </w:r>
    </w:p>
    <w:tbl>
      <w:tblPr>
        <w:tblW w:w="9592"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422"/>
        <w:gridCol w:w="3068"/>
        <w:gridCol w:w="3102"/>
      </w:tblGrid>
      <w:tr w:rsidR="00FD4F82" w:rsidRPr="008F04E7" w14:paraId="1BF4BDC7" w14:textId="77777777" w:rsidTr="00CC1E5C">
        <w:trPr>
          <w:trHeight w:val="226"/>
          <w:jc w:val="center"/>
        </w:trPr>
        <w:tc>
          <w:tcPr>
            <w:tcW w:w="3422" w:type="dxa"/>
            <w:tcBorders>
              <w:top w:val="single" w:sz="4" w:space="0" w:color="4472C4"/>
              <w:left w:val="single" w:sz="4" w:space="0" w:color="4472C4"/>
              <w:bottom w:val="single" w:sz="4" w:space="0" w:color="4472C4"/>
              <w:right w:val="nil"/>
            </w:tcBorders>
            <w:shd w:val="clear" w:color="auto" w:fill="4BACC6"/>
            <w:vAlign w:val="center"/>
          </w:tcPr>
          <w:p w14:paraId="17D92F67" w14:textId="77777777" w:rsidR="00FD4F82" w:rsidRPr="008F04E7" w:rsidRDefault="00FD4F82" w:rsidP="00CC1E5C">
            <w:pPr>
              <w:spacing w:line="240" w:lineRule="auto"/>
              <w:contextualSpacing/>
              <w:rPr>
                <w:b/>
                <w:bCs/>
                <w:color w:val="FFFFFF"/>
                <w:sz w:val="20"/>
              </w:rPr>
            </w:pPr>
            <w:r w:rsidRPr="008F04E7">
              <w:rPr>
                <w:b/>
                <w:bCs/>
                <w:color w:val="FFFFFF"/>
                <w:sz w:val="20"/>
              </w:rPr>
              <w:t>Evaluation Question</w:t>
            </w:r>
          </w:p>
        </w:tc>
        <w:tc>
          <w:tcPr>
            <w:tcW w:w="3068" w:type="dxa"/>
            <w:tcBorders>
              <w:top w:val="single" w:sz="4" w:space="0" w:color="4472C4"/>
              <w:left w:val="nil"/>
              <w:bottom w:val="single" w:sz="4" w:space="0" w:color="4472C4"/>
              <w:right w:val="nil"/>
            </w:tcBorders>
            <w:shd w:val="clear" w:color="auto" w:fill="4BACC6"/>
            <w:vAlign w:val="center"/>
          </w:tcPr>
          <w:p w14:paraId="01FC3EBD" w14:textId="77777777" w:rsidR="00FD4F82" w:rsidRPr="008F04E7" w:rsidRDefault="00FD4F82" w:rsidP="00CC1E5C">
            <w:pPr>
              <w:spacing w:line="240" w:lineRule="auto"/>
              <w:contextualSpacing/>
              <w:jc w:val="center"/>
              <w:rPr>
                <w:b/>
                <w:bCs/>
                <w:color w:val="FFFFFF"/>
                <w:sz w:val="20"/>
              </w:rPr>
            </w:pPr>
            <w:r w:rsidRPr="008F04E7">
              <w:rPr>
                <w:b/>
                <w:bCs/>
                <w:color w:val="FFFFFF"/>
                <w:sz w:val="20"/>
              </w:rPr>
              <w:t>Data Source/Instrument</w:t>
            </w:r>
          </w:p>
        </w:tc>
        <w:tc>
          <w:tcPr>
            <w:tcW w:w="3102" w:type="dxa"/>
            <w:tcBorders>
              <w:top w:val="single" w:sz="4" w:space="0" w:color="4472C4"/>
              <w:left w:val="nil"/>
              <w:bottom w:val="single" w:sz="4" w:space="0" w:color="4472C4"/>
              <w:right w:val="single" w:sz="4" w:space="0" w:color="4472C4"/>
            </w:tcBorders>
            <w:shd w:val="clear" w:color="auto" w:fill="4BACC6"/>
            <w:vAlign w:val="center"/>
          </w:tcPr>
          <w:p w14:paraId="44FF949A" w14:textId="77777777" w:rsidR="00FD4F82" w:rsidRPr="008F04E7" w:rsidRDefault="00FD4F82" w:rsidP="00CC1E5C">
            <w:pPr>
              <w:spacing w:line="240" w:lineRule="auto"/>
              <w:contextualSpacing/>
              <w:jc w:val="center"/>
              <w:rPr>
                <w:b/>
                <w:bCs/>
                <w:color w:val="FFFFFF"/>
                <w:sz w:val="20"/>
              </w:rPr>
            </w:pPr>
            <w:r w:rsidRPr="008F04E7">
              <w:rPr>
                <w:b/>
                <w:bCs/>
                <w:color w:val="FFFFFF"/>
                <w:sz w:val="20"/>
              </w:rPr>
              <w:t>Data Analysis Approach</w:t>
            </w:r>
          </w:p>
        </w:tc>
      </w:tr>
      <w:tr w:rsidR="00FD4F82" w:rsidRPr="008F04E7" w14:paraId="50E271C8" w14:textId="77777777" w:rsidTr="00CC1E5C">
        <w:trPr>
          <w:trHeight w:val="239"/>
          <w:jc w:val="center"/>
        </w:trPr>
        <w:tc>
          <w:tcPr>
            <w:tcW w:w="9592" w:type="dxa"/>
            <w:gridSpan w:val="3"/>
            <w:shd w:val="clear" w:color="auto" w:fill="00B0F0"/>
            <w:vAlign w:val="center"/>
          </w:tcPr>
          <w:p w14:paraId="6A1C0B17" w14:textId="77777777" w:rsidR="00FD4F82" w:rsidRPr="008F04E7" w:rsidRDefault="00FD4F82" w:rsidP="00CC1E5C">
            <w:pPr>
              <w:spacing w:line="240" w:lineRule="auto"/>
              <w:contextualSpacing/>
              <w:jc w:val="center"/>
              <w:rPr>
                <w:b/>
                <w:bCs/>
                <w:sz w:val="20"/>
              </w:rPr>
            </w:pPr>
            <w:r w:rsidRPr="008F04E7">
              <w:rPr>
                <w:b/>
                <w:bCs/>
                <w:sz w:val="20"/>
              </w:rPr>
              <w:t>Summative Evaluation</w:t>
            </w:r>
          </w:p>
        </w:tc>
      </w:tr>
      <w:tr w:rsidR="00FD4F82" w:rsidRPr="008F04E7" w14:paraId="72BD8FAC" w14:textId="77777777" w:rsidTr="00CC1E5C">
        <w:trPr>
          <w:trHeight w:val="927"/>
          <w:jc w:val="center"/>
        </w:trPr>
        <w:tc>
          <w:tcPr>
            <w:tcW w:w="3422" w:type="dxa"/>
            <w:shd w:val="clear" w:color="auto" w:fill="D9E2F3"/>
            <w:vAlign w:val="center"/>
          </w:tcPr>
          <w:p w14:paraId="1A33EC3C" w14:textId="77777777" w:rsidR="00FD4F82" w:rsidRPr="008F04E7" w:rsidRDefault="00FD4F82" w:rsidP="00CC1E5C">
            <w:pPr>
              <w:spacing w:line="240" w:lineRule="auto"/>
              <w:contextualSpacing/>
              <w:rPr>
                <w:b/>
                <w:bCs/>
                <w:sz w:val="20"/>
              </w:rPr>
            </w:pPr>
          </w:p>
          <w:p w14:paraId="54FA86D2" w14:textId="77777777" w:rsidR="00FD4F82" w:rsidRPr="008F04E7" w:rsidRDefault="00FD4F82" w:rsidP="00CC1E5C">
            <w:pPr>
              <w:spacing w:line="240" w:lineRule="auto"/>
              <w:contextualSpacing/>
              <w:rPr>
                <w:b/>
                <w:bCs/>
                <w:sz w:val="20"/>
              </w:rPr>
            </w:pPr>
            <w:r w:rsidRPr="008F04E7">
              <w:rPr>
                <w:b/>
                <w:bCs/>
                <w:sz w:val="20"/>
              </w:rPr>
              <w:t xml:space="preserve">1. Do students completing a NASA Challenge demonstrate increased positive attitudes toward STEM?  </w:t>
            </w:r>
          </w:p>
        </w:tc>
        <w:tc>
          <w:tcPr>
            <w:tcW w:w="3068" w:type="dxa"/>
            <w:shd w:val="clear" w:color="auto" w:fill="D9E2F3"/>
            <w:vAlign w:val="center"/>
          </w:tcPr>
          <w:p w14:paraId="3A26138D" w14:textId="77777777" w:rsidR="00FD4F82" w:rsidRPr="008F04E7" w:rsidRDefault="00FD4F82" w:rsidP="00FD4F82">
            <w:pPr>
              <w:numPr>
                <w:ilvl w:val="0"/>
                <w:numId w:val="38"/>
              </w:numPr>
              <w:tabs>
                <w:tab w:val="clear" w:pos="720"/>
                <w:tab w:val="clear" w:pos="1080"/>
                <w:tab w:val="clear" w:pos="1440"/>
                <w:tab w:val="clear" w:pos="1800"/>
              </w:tabs>
              <w:spacing w:line="240" w:lineRule="auto"/>
              <w:contextualSpacing/>
              <w:rPr>
                <w:b/>
                <w:sz w:val="20"/>
              </w:rPr>
            </w:pPr>
            <w:r w:rsidRPr="008F04E7">
              <w:rPr>
                <w:b/>
                <w:sz w:val="20"/>
              </w:rPr>
              <w:t>Pre and post student attitudes toward STEM</w:t>
            </w:r>
            <w:r w:rsidR="008F04E7" w:rsidRPr="008F04E7">
              <w:rPr>
                <w:b/>
                <w:sz w:val="20"/>
              </w:rPr>
              <w:t xml:space="preserve"> (Surveys)</w:t>
            </w:r>
          </w:p>
        </w:tc>
        <w:tc>
          <w:tcPr>
            <w:tcW w:w="3102" w:type="dxa"/>
            <w:shd w:val="clear" w:color="auto" w:fill="D9E2F3"/>
            <w:vAlign w:val="center"/>
          </w:tcPr>
          <w:p w14:paraId="61C8E31C" w14:textId="77777777" w:rsidR="00FD4F82" w:rsidRPr="008F04E7" w:rsidRDefault="00FD4F82" w:rsidP="00FD4F82">
            <w:pPr>
              <w:numPr>
                <w:ilvl w:val="0"/>
                <w:numId w:val="38"/>
              </w:numPr>
              <w:tabs>
                <w:tab w:val="clear" w:pos="720"/>
                <w:tab w:val="clear" w:pos="1080"/>
                <w:tab w:val="clear" w:pos="1440"/>
                <w:tab w:val="clear" w:pos="1800"/>
              </w:tabs>
              <w:spacing w:line="240" w:lineRule="auto"/>
              <w:contextualSpacing/>
              <w:rPr>
                <w:sz w:val="20"/>
              </w:rPr>
            </w:pPr>
            <w:r w:rsidRPr="008F04E7">
              <w:rPr>
                <w:sz w:val="20"/>
              </w:rPr>
              <w:t>Descriptive statistical analysis</w:t>
            </w:r>
          </w:p>
        </w:tc>
      </w:tr>
      <w:tr w:rsidR="00FD4F82" w:rsidRPr="008F04E7" w14:paraId="095CD607" w14:textId="77777777" w:rsidTr="00CC1E5C">
        <w:trPr>
          <w:trHeight w:val="1179"/>
          <w:jc w:val="center"/>
        </w:trPr>
        <w:tc>
          <w:tcPr>
            <w:tcW w:w="3422" w:type="dxa"/>
            <w:shd w:val="clear" w:color="auto" w:fill="auto"/>
            <w:vAlign w:val="center"/>
          </w:tcPr>
          <w:p w14:paraId="6D3DA5E7" w14:textId="77777777" w:rsidR="00FD4F82" w:rsidRPr="008F04E7" w:rsidRDefault="00FD4F82" w:rsidP="00CC1E5C">
            <w:pPr>
              <w:spacing w:line="240" w:lineRule="auto"/>
              <w:contextualSpacing/>
              <w:rPr>
                <w:sz w:val="20"/>
              </w:rPr>
            </w:pPr>
            <w:r w:rsidRPr="008F04E7">
              <w:rPr>
                <w:sz w:val="20"/>
              </w:rPr>
              <w:t xml:space="preserve"> ]</w:t>
            </w:r>
          </w:p>
          <w:p w14:paraId="711288D3" w14:textId="77777777" w:rsidR="00FD4F82" w:rsidRPr="008F04E7" w:rsidRDefault="00FD4F82" w:rsidP="00CC1E5C">
            <w:pPr>
              <w:spacing w:line="240" w:lineRule="auto"/>
              <w:contextualSpacing/>
              <w:rPr>
                <w:b/>
                <w:bCs/>
                <w:sz w:val="20"/>
              </w:rPr>
            </w:pPr>
            <w:r w:rsidRPr="008F04E7">
              <w:rPr>
                <w:b/>
                <w:sz w:val="20"/>
              </w:rPr>
              <w:t>2.</w:t>
            </w:r>
            <w:r w:rsidRPr="008F04E7">
              <w:rPr>
                <w:sz w:val="20"/>
              </w:rPr>
              <w:t xml:space="preserve"> </w:t>
            </w:r>
            <w:r w:rsidRPr="008F04E7">
              <w:rPr>
                <w:b/>
                <w:bCs/>
                <w:sz w:val="20"/>
              </w:rPr>
              <w:t>To what extent is there an association between participation in the NASA Challenges and a change in students’ attitudes towards STEM?</w:t>
            </w:r>
          </w:p>
        </w:tc>
        <w:tc>
          <w:tcPr>
            <w:tcW w:w="3068" w:type="dxa"/>
            <w:shd w:val="clear" w:color="auto" w:fill="auto"/>
            <w:vAlign w:val="center"/>
          </w:tcPr>
          <w:p w14:paraId="6F17F4DF" w14:textId="77777777" w:rsidR="00FD4F82" w:rsidRPr="008F04E7" w:rsidRDefault="00FD4F82" w:rsidP="00CC1E5C">
            <w:pPr>
              <w:spacing w:line="240" w:lineRule="auto"/>
              <w:ind w:left="360"/>
              <w:rPr>
                <w:sz w:val="20"/>
              </w:rPr>
            </w:pPr>
            <w:r w:rsidRPr="008F04E7">
              <w:rPr>
                <w:sz w:val="20"/>
              </w:rPr>
              <w:t xml:space="preserve"> </w:t>
            </w:r>
          </w:p>
          <w:p w14:paraId="4F263802" w14:textId="77777777" w:rsidR="00FD4F82" w:rsidRPr="008F04E7" w:rsidRDefault="00FD4F82" w:rsidP="00FD4F82">
            <w:pPr>
              <w:numPr>
                <w:ilvl w:val="0"/>
                <w:numId w:val="38"/>
              </w:numPr>
              <w:tabs>
                <w:tab w:val="clear" w:pos="720"/>
                <w:tab w:val="clear" w:pos="1080"/>
                <w:tab w:val="clear" w:pos="1440"/>
                <w:tab w:val="clear" w:pos="1800"/>
              </w:tabs>
              <w:spacing w:line="240" w:lineRule="auto"/>
              <w:contextualSpacing/>
              <w:rPr>
                <w:b/>
                <w:sz w:val="20"/>
              </w:rPr>
            </w:pPr>
            <w:r w:rsidRPr="008F04E7">
              <w:rPr>
                <w:b/>
                <w:sz w:val="20"/>
              </w:rPr>
              <w:t>Pre and Post student attitudes toward STEM</w:t>
            </w:r>
            <w:r w:rsidR="008F04E7" w:rsidRPr="008F04E7">
              <w:rPr>
                <w:b/>
                <w:sz w:val="20"/>
              </w:rPr>
              <w:t xml:space="preserve"> (Surveys)</w:t>
            </w:r>
          </w:p>
        </w:tc>
        <w:tc>
          <w:tcPr>
            <w:tcW w:w="3102" w:type="dxa"/>
            <w:shd w:val="clear" w:color="auto" w:fill="auto"/>
            <w:vAlign w:val="center"/>
          </w:tcPr>
          <w:p w14:paraId="083F8EFB" w14:textId="77777777" w:rsidR="00FD4F82" w:rsidRPr="008F04E7" w:rsidRDefault="00FD4F82" w:rsidP="00FD4F82">
            <w:pPr>
              <w:numPr>
                <w:ilvl w:val="0"/>
                <w:numId w:val="38"/>
              </w:numPr>
              <w:tabs>
                <w:tab w:val="clear" w:pos="720"/>
                <w:tab w:val="clear" w:pos="1080"/>
                <w:tab w:val="clear" w:pos="1440"/>
                <w:tab w:val="clear" w:pos="1800"/>
              </w:tabs>
              <w:spacing w:line="240" w:lineRule="auto"/>
              <w:contextualSpacing/>
              <w:rPr>
                <w:sz w:val="20"/>
              </w:rPr>
            </w:pPr>
            <w:r w:rsidRPr="008F04E7">
              <w:rPr>
                <w:sz w:val="20"/>
              </w:rPr>
              <w:t>Descriptive statistical analysis including multi-level models such as HLM</w:t>
            </w:r>
          </w:p>
        </w:tc>
      </w:tr>
      <w:tr w:rsidR="008F04E7" w:rsidRPr="009D067A" w14:paraId="74B28A9C" w14:textId="77777777" w:rsidTr="008F04E7">
        <w:trPr>
          <w:trHeight w:val="1442"/>
          <w:jc w:val="center"/>
        </w:trPr>
        <w:tc>
          <w:tcPr>
            <w:tcW w:w="3422" w:type="dxa"/>
            <w:tcBorders>
              <w:top w:val="single" w:sz="4" w:space="0" w:color="8EAADB"/>
              <w:left w:val="single" w:sz="4" w:space="0" w:color="8EAADB"/>
              <w:bottom w:val="single" w:sz="4" w:space="0" w:color="8EAADB"/>
              <w:right w:val="single" w:sz="4" w:space="0" w:color="8EAADB"/>
            </w:tcBorders>
            <w:shd w:val="clear" w:color="auto" w:fill="auto"/>
            <w:vAlign w:val="center"/>
          </w:tcPr>
          <w:p w14:paraId="59D6FBA7" w14:textId="7FA18862" w:rsidR="008F04E7" w:rsidRPr="008F04E7" w:rsidRDefault="008F04E7" w:rsidP="0093571B">
            <w:pPr>
              <w:spacing w:line="240" w:lineRule="auto"/>
              <w:contextualSpacing/>
              <w:rPr>
                <w:b/>
                <w:sz w:val="20"/>
              </w:rPr>
            </w:pPr>
            <w:r w:rsidRPr="008F04E7">
              <w:rPr>
                <w:b/>
                <w:sz w:val="20"/>
              </w:rPr>
              <w:br w:type="page"/>
            </w:r>
            <w:r w:rsidR="0093571B">
              <w:rPr>
                <w:b/>
                <w:sz w:val="20"/>
              </w:rPr>
              <w:t>3</w:t>
            </w:r>
            <w:r w:rsidRPr="008F04E7">
              <w:rPr>
                <w:b/>
                <w:sz w:val="20"/>
              </w:rPr>
              <w:t xml:space="preserve">. Do students describe a quality engineering design process in their final product (i.e., video)?  </w:t>
            </w:r>
          </w:p>
        </w:tc>
        <w:tc>
          <w:tcPr>
            <w:tcW w:w="3068" w:type="dxa"/>
            <w:tcBorders>
              <w:top w:val="single" w:sz="4" w:space="0" w:color="8EAADB"/>
              <w:left w:val="single" w:sz="4" w:space="0" w:color="8EAADB"/>
              <w:bottom w:val="single" w:sz="4" w:space="0" w:color="8EAADB"/>
              <w:right w:val="single" w:sz="4" w:space="0" w:color="8EAADB"/>
            </w:tcBorders>
            <w:shd w:val="clear" w:color="auto" w:fill="auto"/>
            <w:vAlign w:val="center"/>
          </w:tcPr>
          <w:p w14:paraId="278121CB" w14:textId="77777777" w:rsidR="008F04E7" w:rsidRPr="008F04E7" w:rsidRDefault="008F04E7" w:rsidP="008F04E7">
            <w:pPr>
              <w:numPr>
                <w:ilvl w:val="0"/>
                <w:numId w:val="38"/>
              </w:numPr>
              <w:tabs>
                <w:tab w:val="clear" w:pos="720"/>
                <w:tab w:val="clear" w:pos="1080"/>
                <w:tab w:val="clear" w:pos="1440"/>
                <w:tab w:val="clear" w:pos="1800"/>
              </w:tabs>
              <w:spacing w:line="240" w:lineRule="auto"/>
              <w:contextualSpacing/>
              <w:rPr>
                <w:sz w:val="20"/>
              </w:rPr>
            </w:pPr>
            <w:r w:rsidRPr="008F04E7">
              <w:rPr>
                <w:sz w:val="20"/>
              </w:rPr>
              <w:t>Observation of the final student products using scoring rubric</w:t>
            </w:r>
          </w:p>
        </w:tc>
        <w:tc>
          <w:tcPr>
            <w:tcW w:w="3102" w:type="dxa"/>
            <w:tcBorders>
              <w:top w:val="single" w:sz="4" w:space="0" w:color="8EAADB"/>
              <w:left w:val="single" w:sz="4" w:space="0" w:color="8EAADB"/>
              <w:bottom w:val="single" w:sz="4" w:space="0" w:color="8EAADB"/>
              <w:right w:val="single" w:sz="4" w:space="0" w:color="8EAADB"/>
            </w:tcBorders>
            <w:shd w:val="clear" w:color="auto" w:fill="auto"/>
            <w:vAlign w:val="center"/>
          </w:tcPr>
          <w:p w14:paraId="1FFA2058" w14:textId="77777777" w:rsidR="008F04E7" w:rsidRPr="008F04E7" w:rsidRDefault="008F04E7" w:rsidP="008F04E7">
            <w:pPr>
              <w:numPr>
                <w:ilvl w:val="0"/>
                <w:numId w:val="38"/>
              </w:numPr>
              <w:tabs>
                <w:tab w:val="clear" w:pos="720"/>
                <w:tab w:val="clear" w:pos="1080"/>
                <w:tab w:val="clear" w:pos="1440"/>
                <w:tab w:val="clear" w:pos="1800"/>
              </w:tabs>
              <w:spacing w:line="240" w:lineRule="auto"/>
              <w:contextualSpacing/>
              <w:rPr>
                <w:sz w:val="20"/>
              </w:rPr>
            </w:pPr>
            <w:r w:rsidRPr="008F04E7">
              <w:rPr>
                <w:sz w:val="20"/>
              </w:rPr>
              <w:t xml:space="preserve">Rating of engineering design process and skills </w:t>
            </w:r>
          </w:p>
          <w:p w14:paraId="59B7A144" w14:textId="77777777" w:rsidR="008F04E7" w:rsidRPr="008F04E7" w:rsidRDefault="008F04E7" w:rsidP="008F04E7">
            <w:pPr>
              <w:numPr>
                <w:ilvl w:val="0"/>
                <w:numId w:val="38"/>
              </w:numPr>
              <w:tabs>
                <w:tab w:val="clear" w:pos="720"/>
                <w:tab w:val="clear" w:pos="1080"/>
                <w:tab w:val="clear" w:pos="1440"/>
                <w:tab w:val="clear" w:pos="1800"/>
              </w:tabs>
              <w:spacing w:line="240" w:lineRule="auto"/>
              <w:contextualSpacing/>
              <w:rPr>
                <w:sz w:val="20"/>
              </w:rPr>
            </w:pPr>
            <w:r w:rsidRPr="008F04E7">
              <w:rPr>
                <w:sz w:val="20"/>
              </w:rPr>
              <w:t>Descriptive statistical analysis including multi-level models such as HLM</w:t>
            </w:r>
          </w:p>
        </w:tc>
      </w:tr>
    </w:tbl>
    <w:p w14:paraId="2F5EFA0E" w14:textId="77777777" w:rsidR="00C00837" w:rsidRPr="007D6D77" w:rsidRDefault="00C00837" w:rsidP="00C00837">
      <w:pPr>
        <w:pStyle w:val="BodyText"/>
        <w:rPr>
          <w:color w:val="0000FF"/>
        </w:rPr>
      </w:pPr>
    </w:p>
    <w:p w14:paraId="69ABC4D9" w14:textId="77777777" w:rsidR="000053B8" w:rsidRPr="007D6D77" w:rsidRDefault="008F04E7" w:rsidP="000053B8">
      <w:pPr>
        <w:pStyle w:val="BodyText"/>
        <w:rPr>
          <w:szCs w:val="22"/>
        </w:rPr>
      </w:pPr>
      <w:r>
        <w:rPr>
          <w:szCs w:val="22"/>
        </w:rPr>
        <w:t xml:space="preserve">Summative research questions 1-3 will be </w:t>
      </w:r>
      <w:r w:rsidR="000053B8" w:rsidRPr="007D6D77">
        <w:rPr>
          <w:szCs w:val="22"/>
        </w:rPr>
        <w:t xml:space="preserve">answered </w:t>
      </w:r>
      <w:r>
        <w:rPr>
          <w:szCs w:val="22"/>
        </w:rPr>
        <w:t xml:space="preserve">in part </w:t>
      </w:r>
      <w:r w:rsidR="000053B8" w:rsidRPr="007D6D77">
        <w:rPr>
          <w:szCs w:val="22"/>
        </w:rPr>
        <w:t>using the baseline and follow-up survey</w:t>
      </w:r>
      <w:r>
        <w:rPr>
          <w:szCs w:val="22"/>
        </w:rPr>
        <w:t>s</w:t>
      </w:r>
      <w:r w:rsidR="000053B8" w:rsidRPr="007D6D77">
        <w:rPr>
          <w:szCs w:val="22"/>
        </w:rPr>
        <w:t xml:space="preserve">. Analysis of survey data will allow the external evaluator to explore changes associated with youth interest </w:t>
      </w:r>
      <w:r w:rsidR="00722179" w:rsidRPr="007D6D77">
        <w:rPr>
          <w:szCs w:val="22"/>
        </w:rPr>
        <w:t xml:space="preserve">and participation </w:t>
      </w:r>
      <w:r>
        <w:rPr>
          <w:szCs w:val="22"/>
        </w:rPr>
        <w:t xml:space="preserve">in STEM. In the </w:t>
      </w:r>
      <w:r w:rsidR="000053B8" w:rsidRPr="007D6D77">
        <w:rPr>
          <w:szCs w:val="22"/>
        </w:rPr>
        <w:t>survey</w:t>
      </w:r>
      <w:r w:rsidR="00F57055" w:rsidRPr="007D6D77">
        <w:rPr>
          <w:szCs w:val="22"/>
        </w:rPr>
        <w:t>,</w:t>
      </w:r>
      <w:r w:rsidR="000053B8" w:rsidRPr="007D6D77">
        <w:rPr>
          <w:szCs w:val="22"/>
        </w:rPr>
        <w:t xml:space="preserve"> NASA focuses </w:t>
      </w:r>
      <w:r w:rsidR="004305CB" w:rsidRPr="007D6D77">
        <w:rPr>
          <w:szCs w:val="22"/>
        </w:rPr>
        <w:t>primari</w:t>
      </w:r>
      <w:r w:rsidR="000053B8" w:rsidRPr="007D6D77">
        <w:rPr>
          <w:szCs w:val="22"/>
        </w:rPr>
        <w:t>ly on youths’ interest in science</w:t>
      </w:r>
      <w:r w:rsidR="004305CB" w:rsidRPr="007D6D77">
        <w:rPr>
          <w:szCs w:val="22"/>
        </w:rPr>
        <w:t xml:space="preserve">. </w:t>
      </w:r>
      <w:r w:rsidR="00142902" w:rsidRPr="007D6D77">
        <w:rPr>
          <w:szCs w:val="22"/>
        </w:rPr>
        <w:t xml:space="preserve">While NASA is certain science will be addressed by all </w:t>
      </w:r>
      <w:r>
        <w:rPr>
          <w:szCs w:val="22"/>
        </w:rPr>
        <w:t>STEM Challenges</w:t>
      </w:r>
      <w:r w:rsidR="00142902" w:rsidRPr="007D6D77">
        <w:rPr>
          <w:szCs w:val="22"/>
        </w:rPr>
        <w:t xml:space="preserve">, technology and engineering </w:t>
      </w:r>
      <w:r w:rsidR="00C80443" w:rsidRPr="007D6D77">
        <w:rPr>
          <w:szCs w:val="22"/>
        </w:rPr>
        <w:t>are</w:t>
      </w:r>
      <w:r w:rsidR="00B011DF" w:rsidRPr="007D6D77">
        <w:rPr>
          <w:szCs w:val="22"/>
        </w:rPr>
        <w:t xml:space="preserve"> </w:t>
      </w:r>
      <w:r>
        <w:rPr>
          <w:szCs w:val="22"/>
        </w:rPr>
        <w:t xml:space="preserve">also </w:t>
      </w:r>
      <w:r w:rsidR="00142902" w:rsidRPr="007D6D77">
        <w:rPr>
          <w:szCs w:val="22"/>
        </w:rPr>
        <w:t>addressed</w:t>
      </w:r>
      <w:r>
        <w:rPr>
          <w:szCs w:val="22"/>
        </w:rPr>
        <w:t xml:space="preserve"> through the adoption in these instruments of </w:t>
      </w:r>
      <w:r w:rsidR="00142902" w:rsidRPr="007D6D77">
        <w:rPr>
          <w:szCs w:val="22"/>
        </w:rPr>
        <w:t xml:space="preserve">attitudinal scales </w:t>
      </w:r>
      <w:r w:rsidR="00B011DF" w:rsidRPr="007D6D77">
        <w:rPr>
          <w:szCs w:val="22"/>
        </w:rPr>
        <w:t xml:space="preserve">for the youth surveys </w:t>
      </w:r>
      <w:r w:rsidR="00142902" w:rsidRPr="007D6D77">
        <w:rPr>
          <w:szCs w:val="22"/>
        </w:rPr>
        <w:t xml:space="preserve">that incorporate statements about </w:t>
      </w:r>
      <w:r w:rsidR="004305CB" w:rsidRPr="007D6D77">
        <w:rPr>
          <w:szCs w:val="22"/>
        </w:rPr>
        <w:t xml:space="preserve">engineering and technology. </w:t>
      </w:r>
      <w:r w:rsidR="00B011DF" w:rsidRPr="007D6D77">
        <w:rPr>
          <w:szCs w:val="22"/>
        </w:rPr>
        <w:t>Example attitudinal statements addressing engineering and technology are as follows:</w:t>
      </w:r>
    </w:p>
    <w:p w14:paraId="7DABA9E5" w14:textId="77777777" w:rsidR="00B011DF" w:rsidRPr="007D6D77" w:rsidRDefault="00B011DF" w:rsidP="00B011DF">
      <w:pPr>
        <w:pStyle w:val="BodyText"/>
        <w:numPr>
          <w:ilvl w:val="0"/>
          <w:numId w:val="31"/>
        </w:numPr>
        <w:rPr>
          <w:szCs w:val="22"/>
        </w:rPr>
      </w:pPr>
      <w:r w:rsidRPr="007D6D77">
        <w:rPr>
          <w:color w:val="000000"/>
          <w:szCs w:val="22"/>
        </w:rPr>
        <w:t>I like to take things apart to learn more about them</w:t>
      </w:r>
      <w:r w:rsidR="00A93679" w:rsidRPr="007D6D77">
        <w:rPr>
          <w:color w:val="000000"/>
          <w:szCs w:val="22"/>
        </w:rPr>
        <w:t>.</w:t>
      </w:r>
    </w:p>
    <w:p w14:paraId="3DA1BA11" w14:textId="77777777" w:rsidR="00A93679" w:rsidRPr="007D6D77" w:rsidRDefault="00A93679" w:rsidP="00B011DF">
      <w:pPr>
        <w:pStyle w:val="BodyText"/>
        <w:numPr>
          <w:ilvl w:val="0"/>
          <w:numId w:val="31"/>
        </w:numPr>
        <w:rPr>
          <w:szCs w:val="22"/>
        </w:rPr>
      </w:pPr>
      <w:r w:rsidRPr="007D6D77">
        <w:rPr>
          <w:szCs w:val="22"/>
        </w:rPr>
        <w:t>I like to be part of a team that designs and builds a hands-on project.</w:t>
      </w:r>
    </w:p>
    <w:p w14:paraId="006BEC08" w14:textId="77777777" w:rsidR="00A93679" w:rsidRPr="007D6D77" w:rsidRDefault="00A93679" w:rsidP="00B011DF">
      <w:pPr>
        <w:pStyle w:val="BodyText"/>
        <w:numPr>
          <w:ilvl w:val="0"/>
          <w:numId w:val="31"/>
        </w:numPr>
        <w:rPr>
          <w:szCs w:val="22"/>
        </w:rPr>
      </w:pPr>
      <w:r w:rsidRPr="007D6D77">
        <w:rPr>
          <w:szCs w:val="22"/>
        </w:rPr>
        <w:t>I like to design a solution to a problem.</w:t>
      </w:r>
    </w:p>
    <w:p w14:paraId="474A97D1" w14:textId="77777777" w:rsidR="00A93679" w:rsidRPr="007D6D77" w:rsidRDefault="00A93679" w:rsidP="00B011DF">
      <w:pPr>
        <w:pStyle w:val="BodyText"/>
        <w:numPr>
          <w:ilvl w:val="0"/>
          <w:numId w:val="31"/>
        </w:numPr>
        <w:rPr>
          <w:szCs w:val="22"/>
        </w:rPr>
      </w:pPr>
      <w:r w:rsidRPr="007D6D77">
        <w:rPr>
          <w:color w:val="000000"/>
          <w:szCs w:val="22"/>
        </w:rPr>
        <w:t>I’m curious to learn how to program a computer game.</w:t>
      </w:r>
    </w:p>
    <w:p w14:paraId="13AF0D83" w14:textId="77777777" w:rsidR="00A93679" w:rsidRPr="007D6D77" w:rsidRDefault="00A93679" w:rsidP="00B011DF">
      <w:pPr>
        <w:pStyle w:val="BodyText"/>
        <w:numPr>
          <w:ilvl w:val="0"/>
          <w:numId w:val="31"/>
        </w:numPr>
        <w:rPr>
          <w:szCs w:val="22"/>
        </w:rPr>
      </w:pPr>
      <w:r w:rsidRPr="007D6D77">
        <w:rPr>
          <w:szCs w:val="22"/>
        </w:rPr>
        <w:t>I like to design and build something mechanical that works.</w:t>
      </w:r>
    </w:p>
    <w:p w14:paraId="3DA61EB3" w14:textId="77777777" w:rsidR="000053B8" w:rsidRPr="007D6D77" w:rsidRDefault="000053B8" w:rsidP="000053B8">
      <w:pPr>
        <w:pStyle w:val="BodyText"/>
        <w:rPr>
          <w:szCs w:val="22"/>
        </w:rPr>
      </w:pPr>
    </w:p>
    <w:p w14:paraId="28F49724" w14:textId="77777777" w:rsidR="000053B8" w:rsidRPr="007D6D77" w:rsidRDefault="000053B8" w:rsidP="000053B8">
      <w:pPr>
        <w:pStyle w:val="BodyText"/>
        <w:rPr>
          <w:szCs w:val="22"/>
        </w:rPr>
      </w:pPr>
      <w:r w:rsidRPr="007D6D77">
        <w:rPr>
          <w:szCs w:val="22"/>
        </w:rPr>
        <w:t xml:space="preserve">As mentioned earlier, while measuring outcomes at multiple points in time can provide evidence of whether the outcomes of interest change, it will not allow us to rule out the possibility that something other than the program is affecting this change. However, it will support investigation into associations </w:t>
      </w:r>
      <w:r w:rsidRPr="007D6D77">
        <w:rPr>
          <w:szCs w:val="22"/>
        </w:rPr>
        <w:lastRenderedPageBreak/>
        <w:t>between implementation and outcomes of interest to inform future program strategy, as well as inform the future decision about whether a</w:t>
      </w:r>
      <w:r w:rsidR="008F04E7">
        <w:rPr>
          <w:szCs w:val="22"/>
        </w:rPr>
        <w:t>n investment in a</w:t>
      </w:r>
      <w:r w:rsidRPr="007D6D77">
        <w:rPr>
          <w:szCs w:val="22"/>
        </w:rPr>
        <w:t xml:space="preserve"> more rigorous impact evaluation should be undertaken. </w:t>
      </w:r>
    </w:p>
    <w:p w14:paraId="4A56F8F3" w14:textId="77777777" w:rsidR="000053B8" w:rsidRPr="007D6D77" w:rsidRDefault="000053B8" w:rsidP="00C54A4D">
      <w:pPr>
        <w:pStyle w:val="BodyText"/>
        <w:rPr>
          <w:color w:val="0000FF"/>
          <w:szCs w:val="22"/>
        </w:rPr>
      </w:pPr>
    </w:p>
    <w:p w14:paraId="059956F3" w14:textId="77777777" w:rsidR="003F56F6" w:rsidRPr="007D6D77" w:rsidRDefault="00C00837" w:rsidP="00145291">
      <w:pPr>
        <w:pStyle w:val="Heading3"/>
      </w:pPr>
      <w:bookmarkStart w:id="21" w:name="_Toc8118880"/>
      <w:bookmarkStart w:id="22" w:name="_Toc81803510"/>
      <w:bookmarkStart w:id="23" w:name="_Toc88301180"/>
      <w:bookmarkStart w:id="24" w:name="_Toc213748174"/>
      <w:r w:rsidRPr="007D6D77">
        <w:rPr>
          <w:szCs w:val="28"/>
        </w:rPr>
        <w:t>A.3</w:t>
      </w:r>
      <w:r w:rsidRPr="007D6D77">
        <w:rPr>
          <w:szCs w:val="28"/>
        </w:rPr>
        <w:tab/>
      </w:r>
      <w:bookmarkEnd w:id="21"/>
      <w:bookmarkEnd w:id="22"/>
      <w:bookmarkEnd w:id="23"/>
      <w:bookmarkEnd w:id="24"/>
      <w:r w:rsidR="003F56F6" w:rsidRPr="007D6D77">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66A9657E" w14:textId="77777777" w:rsidR="003F56F6" w:rsidRPr="007D6D77" w:rsidRDefault="003F56F6" w:rsidP="00C54A4D">
      <w:pPr>
        <w:pStyle w:val="BodyText"/>
        <w:rPr>
          <w:szCs w:val="22"/>
        </w:rPr>
      </w:pPr>
    </w:p>
    <w:p w14:paraId="0BA77BFA" w14:textId="4377AFFC" w:rsidR="00F04910" w:rsidRPr="008F04E7" w:rsidRDefault="008F04E7" w:rsidP="008F04E7">
      <w:pPr>
        <w:pStyle w:val="ReportBodyText"/>
      </w:pPr>
      <w:r>
        <w:t xml:space="preserve">The surveys will be administered </w:t>
      </w:r>
      <w:r w:rsidR="002611C3">
        <w:t xml:space="preserve">using an online survey administration tool as well as </w:t>
      </w:r>
      <w:r>
        <w:t xml:space="preserve">by paper. </w:t>
      </w:r>
      <w:r w:rsidR="002611C3">
        <w:t xml:space="preserve">Online administration will be used when students have adequate access to an onsite computer lab for survey-taking. Paper administration will be conducted at the request of host sites; this request is typically made when access to a computer lab is difficult. </w:t>
      </w:r>
      <w:r w:rsidR="008A0A23">
        <w:t xml:space="preserve">The evaluator will provide self-returned stamped envelopes for the return of completed paper survey forms to their office for processing. The evaluator will track the completion of online surveys and the return of paper surveys by site in order to conduct appropriate follow-up to ensure a strong response rate. </w:t>
      </w:r>
    </w:p>
    <w:p w14:paraId="334BDA32" w14:textId="77777777" w:rsidR="00866FD4" w:rsidRPr="007D6D77" w:rsidRDefault="00866FD4" w:rsidP="00C54A4D">
      <w:pPr>
        <w:pStyle w:val="BodyText"/>
        <w:rPr>
          <w:szCs w:val="22"/>
        </w:rPr>
      </w:pPr>
    </w:p>
    <w:p w14:paraId="7FFE88BA" w14:textId="27EA4CDA" w:rsidR="00D15A8F" w:rsidRDefault="00C00837">
      <w:pPr>
        <w:pStyle w:val="Heading3"/>
        <w:widowControl w:val="0"/>
      </w:pPr>
      <w:bookmarkStart w:id="25" w:name="_Toc8118881"/>
      <w:bookmarkStart w:id="26" w:name="_Toc81803511"/>
      <w:bookmarkStart w:id="27" w:name="_Toc88301181"/>
      <w:bookmarkStart w:id="28" w:name="_Toc213748175"/>
      <w:r w:rsidRPr="007D6D77">
        <w:t>A.4</w:t>
      </w:r>
      <w:r w:rsidRPr="007D6D77">
        <w:tab/>
      </w:r>
      <w:bookmarkEnd w:id="25"/>
      <w:bookmarkEnd w:id="26"/>
      <w:bookmarkEnd w:id="27"/>
      <w:bookmarkEnd w:id="28"/>
      <w:r w:rsidR="003F56F6" w:rsidRPr="007D6D77">
        <w:t>DESCRIBE EFFORTS TO IDENTIFY DUPLICATION</w:t>
      </w:r>
      <w:r w:rsidR="00CA155B">
        <w:t>.</w:t>
      </w:r>
    </w:p>
    <w:p w14:paraId="62D03C3B" w14:textId="77777777" w:rsidR="00D15A8F" w:rsidRDefault="00D15A8F">
      <w:pPr>
        <w:pStyle w:val="BodyText"/>
        <w:keepNext/>
        <w:keepLines/>
        <w:widowControl w:val="0"/>
        <w:rPr>
          <w:szCs w:val="22"/>
        </w:rPr>
      </w:pPr>
    </w:p>
    <w:p w14:paraId="69A39C97" w14:textId="77777777" w:rsidR="00D15A8F" w:rsidRDefault="00C00837">
      <w:pPr>
        <w:pStyle w:val="BodyText"/>
        <w:keepNext/>
        <w:keepLines/>
        <w:widowControl w:val="0"/>
        <w:rPr>
          <w:szCs w:val="22"/>
        </w:rPr>
      </w:pPr>
      <w:r w:rsidRPr="007D6D77">
        <w:rPr>
          <w:szCs w:val="22"/>
        </w:rPr>
        <w:t xml:space="preserve">This effort will yield data to </w:t>
      </w:r>
      <w:r w:rsidR="00874F21" w:rsidRPr="007D6D77">
        <w:rPr>
          <w:szCs w:val="22"/>
        </w:rPr>
        <w:t>assess</w:t>
      </w:r>
      <w:r w:rsidRPr="007D6D77">
        <w:rPr>
          <w:szCs w:val="22"/>
        </w:rPr>
        <w:t xml:space="preserve"> </w:t>
      </w:r>
      <w:r w:rsidR="008E536B">
        <w:rPr>
          <w:szCs w:val="22"/>
        </w:rPr>
        <w:t>STEM Challenge</w:t>
      </w:r>
      <w:r w:rsidRPr="007D6D77">
        <w:rPr>
          <w:szCs w:val="22"/>
        </w:rPr>
        <w:t xml:space="preserve"> </w:t>
      </w:r>
      <w:r w:rsidR="00874F21" w:rsidRPr="007D6D77">
        <w:rPr>
          <w:szCs w:val="22"/>
        </w:rPr>
        <w:t xml:space="preserve">implementation and </w:t>
      </w:r>
      <w:r w:rsidR="00381B33" w:rsidRPr="007D6D77">
        <w:rPr>
          <w:szCs w:val="22"/>
        </w:rPr>
        <w:t xml:space="preserve">measures of participant </w:t>
      </w:r>
      <w:r w:rsidR="00874F21" w:rsidRPr="007D6D77">
        <w:rPr>
          <w:szCs w:val="22"/>
        </w:rPr>
        <w:t>outcomes; a</w:t>
      </w:r>
      <w:r w:rsidRPr="007D6D77">
        <w:rPr>
          <w:szCs w:val="22"/>
        </w:rPr>
        <w:t xml:space="preserve">s such, there is no similar evaluation being conducted and there is no alternative source for collecting the information. </w:t>
      </w:r>
      <w:r w:rsidR="009F1791" w:rsidRPr="007D6D77">
        <w:rPr>
          <w:szCs w:val="22"/>
        </w:rPr>
        <w:t xml:space="preserve">NASA has identified </w:t>
      </w:r>
      <w:r w:rsidR="008E536B">
        <w:rPr>
          <w:szCs w:val="22"/>
        </w:rPr>
        <w:t xml:space="preserve">a contractor </w:t>
      </w:r>
      <w:r w:rsidR="009F1791" w:rsidRPr="007D6D77">
        <w:rPr>
          <w:szCs w:val="22"/>
        </w:rPr>
        <w:t xml:space="preserve">who will be responsible for coordinating the requests for information from </w:t>
      </w:r>
      <w:r w:rsidR="00C80F6C" w:rsidRPr="007D6D77">
        <w:rPr>
          <w:szCs w:val="22"/>
        </w:rPr>
        <w:t xml:space="preserve">the </w:t>
      </w:r>
      <w:r w:rsidR="008E536B">
        <w:rPr>
          <w:szCs w:val="22"/>
        </w:rPr>
        <w:t>STEM Challenge evaluation</w:t>
      </w:r>
      <w:r w:rsidR="00F04CB8" w:rsidRPr="007D6D77">
        <w:rPr>
          <w:szCs w:val="22"/>
        </w:rPr>
        <w:t xml:space="preserve"> team to ensure that duplicative questions are not asked</w:t>
      </w:r>
      <w:r w:rsidR="009F1791" w:rsidRPr="007D6D77">
        <w:rPr>
          <w:szCs w:val="22"/>
        </w:rPr>
        <w:t xml:space="preserve">. </w:t>
      </w:r>
    </w:p>
    <w:p w14:paraId="44BB420B" w14:textId="77777777" w:rsidR="00F04CB8" w:rsidRPr="007D6D77" w:rsidRDefault="00F04CB8" w:rsidP="00C54A4D">
      <w:pPr>
        <w:pStyle w:val="BodyText"/>
        <w:rPr>
          <w:color w:val="0000FF"/>
          <w:szCs w:val="22"/>
        </w:rPr>
      </w:pPr>
    </w:p>
    <w:p w14:paraId="5EE17D21" w14:textId="77777777" w:rsidR="00C00837" w:rsidRPr="007D6D77" w:rsidRDefault="00C00837" w:rsidP="00145291">
      <w:pPr>
        <w:pStyle w:val="Heading3"/>
      </w:pPr>
      <w:bookmarkStart w:id="29" w:name="_Toc8118882"/>
      <w:bookmarkStart w:id="30" w:name="_Toc81803512"/>
      <w:bookmarkStart w:id="31" w:name="_Toc88301182"/>
      <w:bookmarkStart w:id="32" w:name="_Toc213748176"/>
      <w:bookmarkStart w:id="33" w:name="_Toc341972157"/>
      <w:r w:rsidRPr="007D6D77">
        <w:t>A.5</w:t>
      </w:r>
      <w:r w:rsidRPr="007D6D77">
        <w:tab/>
      </w:r>
      <w:bookmarkEnd w:id="29"/>
      <w:bookmarkEnd w:id="30"/>
      <w:bookmarkEnd w:id="31"/>
      <w:bookmarkEnd w:id="32"/>
      <w:r w:rsidR="003F56F6" w:rsidRPr="007D6D77">
        <w:t>IF THE COLLECTION OF INFORMATION IMPACTS SMALL BUSINESSES OR OTHER SMALL ENTITIES (ITEM 5 OF THE OMB FORM 83-1), DESCRIBE THE METHODS USED TO MINIMIZE BURDEN.</w:t>
      </w:r>
      <w:bookmarkEnd w:id="33"/>
    </w:p>
    <w:p w14:paraId="0B8A52BA" w14:textId="77777777" w:rsidR="00145291" w:rsidRPr="007D6D77" w:rsidRDefault="00145291" w:rsidP="00145291"/>
    <w:p w14:paraId="54946716" w14:textId="77777777" w:rsidR="00C00837" w:rsidRPr="007D6D77" w:rsidRDefault="00F32122" w:rsidP="00C54A4D">
      <w:pPr>
        <w:pStyle w:val="BodyText"/>
        <w:rPr>
          <w:szCs w:val="22"/>
        </w:rPr>
      </w:pPr>
      <w:r w:rsidRPr="007D6D77">
        <w:rPr>
          <w:szCs w:val="22"/>
        </w:rPr>
        <w:t xml:space="preserve">No small businesses will be involved as respondents. </w:t>
      </w:r>
      <w:r w:rsidR="00C00837" w:rsidRPr="007D6D77">
        <w:rPr>
          <w:szCs w:val="22"/>
        </w:rPr>
        <w:t xml:space="preserve">The primary survey entities for data collection efforts described in this package are </w:t>
      </w:r>
      <w:r w:rsidR="008552CE" w:rsidRPr="007D6D77">
        <w:rPr>
          <w:szCs w:val="22"/>
        </w:rPr>
        <w:t>youth</w:t>
      </w:r>
      <w:r w:rsidR="00C00837" w:rsidRPr="007D6D77">
        <w:rPr>
          <w:szCs w:val="22"/>
        </w:rPr>
        <w:t xml:space="preserve">s and </w:t>
      </w:r>
      <w:r w:rsidR="008E536B">
        <w:rPr>
          <w:szCs w:val="22"/>
        </w:rPr>
        <w:t>educators employed by 21CCLC sites</w:t>
      </w:r>
      <w:r w:rsidR="00C00837" w:rsidRPr="007D6D77">
        <w:rPr>
          <w:szCs w:val="22"/>
        </w:rPr>
        <w:t xml:space="preserve">. Burden is minimized for all respondents by requesting only the minimum information to meet study objectives. </w:t>
      </w:r>
    </w:p>
    <w:p w14:paraId="5C4395B3" w14:textId="77777777" w:rsidR="00C00837" w:rsidRPr="007D6D77" w:rsidRDefault="00C00837" w:rsidP="007E239F">
      <w:pPr>
        <w:pStyle w:val="Heading3"/>
      </w:pPr>
      <w:bookmarkStart w:id="34" w:name="_Toc8118883"/>
      <w:bookmarkStart w:id="35" w:name="_Toc81803513"/>
      <w:bookmarkStart w:id="36" w:name="_Toc88301183"/>
      <w:bookmarkStart w:id="37" w:name="_Toc213748177"/>
      <w:bookmarkStart w:id="38" w:name="_Toc341972158"/>
      <w:r w:rsidRPr="007D6D77">
        <w:t>A.6</w:t>
      </w:r>
      <w:r w:rsidRPr="007D6D77">
        <w:tab/>
      </w:r>
      <w:bookmarkEnd w:id="34"/>
      <w:bookmarkEnd w:id="35"/>
      <w:bookmarkEnd w:id="36"/>
      <w:bookmarkEnd w:id="37"/>
      <w:r w:rsidR="003F56F6" w:rsidRPr="007D6D77">
        <w:t>DESCRIBE THE CONSEQUENCE TO FEDERAL PROGRAM OR POLICY ACTIVITIES IF THE COLLECTION IS NOT CONDUCTED OR IS CONDUCTED LESS FREQUENTLY, AS WELL AS ANY TECHNICAL OR LEGAL OBSTACLES TO REDUCING BURDEN.</w:t>
      </w:r>
      <w:bookmarkEnd w:id="38"/>
    </w:p>
    <w:p w14:paraId="27D2E4A5" w14:textId="77777777" w:rsidR="00D348F3" w:rsidRPr="007D6D77" w:rsidRDefault="00D348F3" w:rsidP="00106A59">
      <w:pPr>
        <w:pStyle w:val="BodyText"/>
        <w:tabs>
          <w:tab w:val="clear" w:pos="720"/>
        </w:tabs>
        <w:rPr>
          <w:szCs w:val="22"/>
        </w:rPr>
      </w:pPr>
    </w:p>
    <w:p w14:paraId="609A6801" w14:textId="77777777" w:rsidR="00EA724D" w:rsidRDefault="00D348F3" w:rsidP="00106A59">
      <w:pPr>
        <w:pStyle w:val="BodyText"/>
        <w:tabs>
          <w:tab w:val="clear" w:pos="720"/>
        </w:tabs>
        <w:rPr>
          <w:szCs w:val="22"/>
        </w:rPr>
      </w:pPr>
      <w:r w:rsidRPr="007D6D77">
        <w:rPr>
          <w:szCs w:val="22"/>
        </w:rPr>
        <w:t xml:space="preserve">Each form is used once </w:t>
      </w:r>
      <w:r w:rsidR="0014410C">
        <w:rPr>
          <w:szCs w:val="22"/>
        </w:rPr>
        <w:t xml:space="preserve">annually </w:t>
      </w:r>
      <w:r w:rsidRPr="007D6D77">
        <w:rPr>
          <w:szCs w:val="22"/>
        </w:rPr>
        <w:t>in this evaluation, therefore frequency of use of individual forms is not an issue.</w:t>
      </w:r>
      <w:r w:rsidR="00EA724D" w:rsidRPr="007D6D77">
        <w:rPr>
          <w:szCs w:val="22"/>
        </w:rPr>
        <w:t xml:space="preserve"> None of these information forms in their present s</w:t>
      </w:r>
      <w:r w:rsidR="0014410C">
        <w:rPr>
          <w:szCs w:val="22"/>
        </w:rPr>
        <w:t>tate have been utilized before with this target population in 21CCLC sites.</w:t>
      </w:r>
    </w:p>
    <w:p w14:paraId="39A82F88" w14:textId="77777777" w:rsidR="000C26DE" w:rsidRPr="007D6D77" w:rsidRDefault="000C26DE" w:rsidP="00106A59">
      <w:pPr>
        <w:pStyle w:val="BodyText"/>
        <w:tabs>
          <w:tab w:val="clear" w:pos="720"/>
        </w:tabs>
        <w:rPr>
          <w:szCs w:val="22"/>
        </w:rPr>
      </w:pPr>
    </w:p>
    <w:p w14:paraId="1E94D4F1" w14:textId="77777777" w:rsidR="00D348F3" w:rsidRPr="007D6D77" w:rsidRDefault="00C00837" w:rsidP="00106A59">
      <w:pPr>
        <w:pStyle w:val="BodyText"/>
        <w:tabs>
          <w:tab w:val="clear" w:pos="720"/>
        </w:tabs>
        <w:rPr>
          <w:szCs w:val="22"/>
        </w:rPr>
      </w:pPr>
      <w:r w:rsidRPr="007D6D77">
        <w:rPr>
          <w:szCs w:val="22"/>
        </w:rPr>
        <w:t xml:space="preserve">If the proposed </w:t>
      </w:r>
      <w:r w:rsidR="008552CE" w:rsidRPr="007D6D77">
        <w:rPr>
          <w:szCs w:val="22"/>
        </w:rPr>
        <w:t>youth</w:t>
      </w:r>
      <w:r w:rsidRPr="007D6D77">
        <w:rPr>
          <w:szCs w:val="22"/>
        </w:rPr>
        <w:t xml:space="preserve"> survey data were not collected, NASA would not fulfill its objectives in </w:t>
      </w:r>
      <w:r w:rsidR="00381B33" w:rsidRPr="007D6D77">
        <w:rPr>
          <w:szCs w:val="22"/>
        </w:rPr>
        <w:t xml:space="preserve">investigating </w:t>
      </w:r>
      <w:r w:rsidR="008552CE" w:rsidRPr="007D6D77">
        <w:rPr>
          <w:szCs w:val="22"/>
        </w:rPr>
        <w:t>youth</w:t>
      </w:r>
      <w:r w:rsidRPr="007D6D77">
        <w:rPr>
          <w:szCs w:val="22"/>
        </w:rPr>
        <w:t xml:space="preserve"> outcomes </w:t>
      </w:r>
      <w:r w:rsidR="00EA1C48" w:rsidRPr="007D6D77">
        <w:rPr>
          <w:szCs w:val="22"/>
        </w:rPr>
        <w:t xml:space="preserve">that may be </w:t>
      </w:r>
      <w:r w:rsidRPr="007D6D77">
        <w:rPr>
          <w:szCs w:val="22"/>
        </w:rPr>
        <w:t xml:space="preserve">associated with participation in </w:t>
      </w:r>
      <w:r w:rsidR="0014410C">
        <w:rPr>
          <w:szCs w:val="22"/>
        </w:rPr>
        <w:t>STEM Challenges</w:t>
      </w:r>
      <w:r w:rsidRPr="007D6D77">
        <w:rPr>
          <w:szCs w:val="22"/>
        </w:rPr>
        <w:t xml:space="preserve">. </w:t>
      </w:r>
      <w:r w:rsidR="0014410C">
        <w:rPr>
          <w:szCs w:val="22"/>
        </w:rPr>
        <w:t>B</w:t>
      </w:r>
      <w:r w:rsidRPr="007D6D77">
        <w:rPr>
          <w:szCs w:val="22"/>
        </w:rPr>
        <w:t xml:space="preserve">y not </w:t>
      </w:r>
      <w:r w:rsidR="00561D13" w:rsidRPr="007D6D77">
        <w:rPr>
          <w:szCs w:val="22"/>
        </w:rPr>
        <w:lastRenderedPageBreak/>
        <w:t>collecting survey</w:t>
      </w:r>
      <w:r w:rsidR="00F57BA1" w:rsidRPr="007D6D77">
        <w:rPr>
          <w:szCs w:val="22"/>
        </w:rPr>
        <w:t xml:space="preserve"> </w:t>
      </w:r>
      <w:r w:rsidR="00561D13" w:rsidRPr="007D6D77">
        <w:rPr>
          <w:szCs w:val="22"/>
        </w:rPr>
        <w:t>data</w:t>
      </w:r>
      <w:r w:rsidRPr="007D6D77">
        <w:rPr>
          <w:szCs w:val="22"/>
        </w:rPr>
        <w:t xml:space="preserve">, </w:t>
      </w:r>
      <w:r w:rsidR="0026261A" w:rsidRPr="007D6D77">
        <w:rPr>
          <w:szCs w:val="22"/>
        </w:rPr>
        <w:t>F</w:t>
      </w:r>
      <w:r w:rsidRPr="007D6D77">
        <w:rPr>
          <w:szCs w:val="22"/>
        </w:rPr>
        <w:t xml:space="preserve">ederal resources would be allocated and program decisions would be made in the absence of </w:t>
      </w:r>
      <w:r w:rsidR="00561D13" w:rsidRPr="007D6D77">
        <w:rPr>
          <w:szCs w:val="22"/>
        </w:rPr>
        <w:t xml:space="preserve">information about </w:t>
      </w:r>
      <w:r w:rsidR="00716ED7" w:rsidRPr="007D6D77">
        <w:rPr>
          <w:szCs w:val="22"/>
        </w:rPr>
        <w:t xml:space="preserve">the actual </w:t>
      </w:r>
      <w:r w:rsidR="0014410C">
        <w:rPr>
          <w:szCs w:val="22"/>
        </w:rPr>
        <w:t>outcomes</w:t>
      </w:r>
      <w:r w:rsidR="00716ED7" w:rsidRPr="007D6D77">
        <w:rPr>
          <w:szCs w:val="22"/>
        </w:rPr>
        <w:t xml:space="preserve"> </w:t>
      </w:r>
      <w:r w:rsidR="0014410C">
        <w:rPr>
          <w:szCs w:val="22"/>
        </w:rPr>
        <w:t xml:space="preserve">achieved in 21CCLC sites. </w:t>
      </w:r>
    </w:p>
    <w:p w14:paraId="4EB9EE94" w14:textId="77777777" w:rsidR="00926E13" w:rsidRPr="007D6D77" w:rsidRDefault="00C00837" w:rsidP="00145291">
      <w:pPr>
        <w:pStyle w:val="Heading3"/>
      </w:pPr>
      <w:bookmarkStart w:id="39" w:name="_Toc8118884"/>
      <w:bookmarkStart w:id="40" w:name="_Toc81803514"/>
      <w:bookmarkStart w:id="41" w:name="_Toc88301184"/>
      <w:bookmarkStart w:id="42" w:name="_Toc213748178"/>
      <w:bookmarkStart w:id="43" w:name="_Toc341972159"/>
      <w:r w:rsidRPr="007D6D77">
        <w:t>A.7</w:t>
      </w:r>
      <w:r w:rsidRPr="007D6D77">
        <w:tab/>
      </w:r>
      <w:bookmarkEnd w:id="39"/>
      <w:bookmarkEnd w:id="40"/>
      <w:bookmarkEnd w:id="41"/>
      <w:bookmarkEnd w:id="42"/>
      <w:r w:rsidR="00926E13" w:rsidRPr="007D6D77">
        <w:t>EXPLAIN ANY SPECIAL CIRCUMSTANCES THAT WOULD CAUSE AN INFORMATION COLLECTION TO BE CONDUCTED IN A MANNER:</w:t>
      </w:r>
      <w:bookmarkEnd w:id="43"/>
      <w:r w:rsidR="00926E13" w:rsidRPr="007D6D77">
        <w:t xml:space="preserve">  </w:t>
      </w:r>
    </w:p>
    <w:p w14:paraId="4E02731D" w14:textId="77777777" w:rsidR="00926E13" w:rsidRPr="007D6D77" w:rsidRDefault="00926E13" w:rsidP="00926E13">
      <w:pPr>
        <w:rPr>
          <w:rFonts w:ascii="Arial Narrow" w:hAnsi="Arial Narrow"/>
          <w:b/>
          <w:sz w:val="24"/>
          <w:szCs w:val="24"/>
        </w:rPr>
      </w:pPr>
    </w:p>
    <w:p w14:paraId="4F070716" w14:textId="77777777"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 xml:space="preserve">REQUIRING RESPONDENTS TO REPORT INFORMATION TO THE AGENCY MORE OFTEN THAN QUARTERLY; </w:t>
      </w:r>
    </w:p>
    <w:p w14:paraId="5BA7B1E1" w14:textId="77777777" w:rsidR="00926E13" w:rsidRPr="007D6D77" w:rsidRDefault="00926E13" w:rsidP="00926E13">
      <w:pPr>
        <w:rPr>
          <w:rFonts w:ascii="Arial Narrow" w:hAnsi="Arial Narrow"/>
          <w:b/>
          <w:sz w:val="24"/>
          <w:szCs w:val="24"/>
        </w:rPr>
      </w:pPr>
    </w:p>
    <w:p w14:paraId="4B5FEB3D" w14:textId="77777777"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REQUIRING RESPONDENTS TO PREPARE A WRITTEN RESPONSE TO A COLLECTION OF INFORMATION IN FEWER THAN 30 DAYS AFTER RECEIPT OF IT;</w:t>
      </w:r>
    </w:p>
    <w:p w14:paraId="39D06F95" w14:textId="77777777" w:rsidR="00926E13" w:rsidRPr="007D6D77" w:rsidRDefault="00926E13" w:rsidP="00926E13">
      <w:pPr>
        <w:rPr>
          <w:rFonts w:ascii="Arial Narrow" w:hAnsi="Arial Narrow"/>
          <w:b/>
          <w:sz w:val="24"/>
          <w:szCs w:val="24"/>
        </w:rPr>
      </w:pPr>
    </w:p>
    <w:p w14:paraId="0C557A9A" w14:textId="77777777"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 xml:space="preserve">REQUIRING RESPONDENTS TO SUBMIT MORE THAN AN ORIGINAL AND TWO COPIES OF ANY DOCUMENT; </w:t>
      </w:r>
    </w:p>
    <w:p w14:paraId="464D26C2" w14:textId="77777777" w:rsidR="00926E13" w:rsidRPr="007D6D77" w:rsidRDefault="00926E13" w:rsidP="00926E13">
      <w:pPr>
        <w:rPr>
          <w:rFonts w:ascii="Arial Narrow" w:hAnsi="Arial Narrow"/>
          <w:b/>
          <w:sz w:val="24"/>
          <w:szCs w:val="24"/>
        </w:rPr>
      </w:pPr>
    </w:p>
    <w:p w14:paraId="18D4BEE4" w14:textId="77777777"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 xml:space="preserve">REQUIRING RESPONDENTS TO RETAIN RECORDS, OTHER THAN HEALTH, MEDICAL, GOVERNMENT CONTRACT, GRANT-IN-AID, OR TAX RECORDS FOR MORE THAN 3 YEARS; </w:t>
      </w:r>
    </w:p>
    <w:p w14:paraId="34ABDF36" w14:textId="77777777" w:rsidR="00926E13" w:rsidRPr="007D6D77" w:rsidRDefault="00926E13" w:rsidP="00926E13">
      <w:pPr>
        <w:tabs>
          <w:tab w:val="left" w:pos="-1440"/>
        </w:tabs>
        <w:ind w:left="2880" w:hanging="720"/>
        <w:rPr>
          <w:rFonts w:ascii="Arial Narrow" w:hAnsi="Arial Narrow"/>
          <w:b/>
          <w:sz w:val="24"/>
          <w:szCs w:val="24"/>
        </w:rPr>
      </w:pPr>
    </w:p>
    <w:p w14:paraId="409EDECD" w14:textId="77777777"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IN CONNECTION WITH A STATISTICAL SURVEY, THAT IS NOT DESIGNED TO PRODUCE VALID AND RELIABLE RESULTS THAT CAN BE GENERALIZED TO THE UNIVERSE OF STUDY;</w:t>
      </w:r>
    </w:p>
    <w:p w14:paraId="29D6438D" w14:textId="77777777" w:rsidR="00926E13" w:rsidRPr="007D6D77" w:rsidRDefault="00926E13" w:rsidP="00926E13">
      <w:pPr>
        <w:rPr>
          <w:rFonts w:ascii="Arial Narrow" w:hAnsi="Arial Narrow"/>
          <w:b/>
          <w:sz w:val="24"/>
          <w:szCs w:val="24"/>
        </w:rPr>
      </w:pPr>
    </w:p>
    <w:p w14:paraId="1BEA5357" w14:textId="77777777"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REQUIRING THE USE OF A STATISTICAL DATA CLASSIFICATION THAT HAS NOT BEEN REVIEWED AND APPROVED BY OMB;</w:t>
      </w:r>
    </w:p>
    <w:p w14:paraId="078BDF4A" w14:textId="77777777" w:rsidR="00926E13" w:rsidRPr="007D6D77" w:rsidRDefault="00926E13" w:rsidP="00926E13">
      <w:pPr>
        <w:rPr>
          <w:rFonts w:ascii="Arial Narrow" w:hAnsi="Arial Narrow"/>
          <w:b/>
          <w:sz w:val="24"/>
          <w:szCs w:val="24"/>
        </w:rPr>
      </w:pPr>
    </w:p>
    <w:p w14:paraId="1C01D395" w14:textId="77777777" w:rsidR="00926E13" w:rsidRPr="007D6D77" w:rsidRDefault="00926E13" w:rsidP="00926E13">
      <w:pPr>
        <w:widowControl w:val="0"/>
        <w:numPr>
          <w:ilvl w:val="0"/>
          <w:numId w:val="28"/>
        </w:numPr>
        <w:tabs>
          <w:tab w:val="clear" w:pos="720"/>
          <w:tab w:val="clear" w:pos="1080"/>
          <w:tab w:val="clear" w:pos="1440"/>
          <w:tab w:val="clear" w:pos="1800"/>
          <w:tab w:val="left" w:pos="-1440"/>
        </w:tabs>
        <w:spacing w:line="240" w:lineRule="auto"/>
        <w:rPr>
          <w:rFonts w:ascii="Arial Narrow" w:hAnsi="Arial Narrow"/>
          <w:b/>
          <w:sz w:val="24"/>
          <w:szCs w:val="24"/>
        </w:rPr>
      </w:pPr>
      <w:r w:rsidRPr="007D6D77">
        <w:rPr>
          <w:rFonts w:ascii="Arial Narrow" w:hAnsi="Arial Narrow"/>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D1EA95D" w14:textId="77777777" w:rsidR="00926E13" w:rsidRPr="007D6D77" w:rsidRDefault="00926E13" w:rsidP="00926E13">
      <w:pPr>
        <w:tabs>
          <w:tab w:val="left" w:pos="-1440"/>
        </w:tabs>
        <w:ind w:left="2160"/>
        <w:rPr>
          <w:rFonts w:ascii="Arial Narrow" w:hAnsi="Arial Narrow"/>
          <w:b/>
          <w:sz w:val="24"/>
          <w:szCs w:val="24"/>
        </w:rPr>
      </w:pPr>
    </w:p>
    <w:p w14:paraId="6C540B08" w14:textId="77777777" w:rsidR="00926E13" w:rsidRPr="007D6D77" w:rsidRDefault="00926E13" w:rsidP="00926E13">
      <w:pPr>
        <w:widowControl w:val="0"/>
        <w:numPr>
          <w:ilvl w:val="0"/>
          <w:numId w:val="28"/>
        </w:numPr>
        <w:tabs>
          <w:tab w:val="clear" w:pos="720"/>
          <w:tab w:val="clear" w:pos="1080"/>
          <w:tab w:val="clear" w:pos="1440"/>
          <w:tab w:val="clear" w:pos="1800"/>
          <w:tab w:val="left" w:pos="-1440"/>
        </w:tabs>
        <w:spacing w:line="240" w:lineRule="auto"/>
        <w:rPr>
          <w:rFonts w:ascii="Arial Narrow" w:hAnsi="Arial Narrow"/>
          <w:b/>
          <w:sz w:val="24"/>
          <w:szCs w:val="24"/>
        </w:rPr>
      </w:pPr>
      <w:r w:rsidRPr="007D6D77">
        <w:rPr>
          <w:rFonts w:ascii="Arial Narrow" w:hAnsi="Arial Narrow"/>
          <w:b/>
          <w:sz w:val="24"/>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14:paraId="6F381F39" w14:textId="77777777" w:rsidR="00C00837" w:rsidRPr="007D6D77" w:rsidRDefault="00C00837" w:rsidP="00C00837">
      <w:pPr>
        <w:pStyle w:val="AbtHeadB"/>
        <w:ind w:left="720" w:hanging="720"/>
        <w:rPr>
          <w:rFonts w:ascii="Times New Roman" w:hAnsi="Times New Roman"/>
        </w:rPr>
      </w:pPr>
    </w:p>
    <w:p w14:paraId="5712CE82" w14:textId="77777777" w:rsidR="00C00837" w:rsidRPr="007D6D77" w:rsidRDefault="00C00837" w:rsidP="00C00837">
      <w:pPr>
        <w:pStyle w:val="BodyText"/>
        <w:rPr>
          <w:szCs w:val="22"/>
        </w:rPr>
      </w:pPr>
      <w:r w:rsidRPr="007D6D77">
        <w:rPr>
          <w:szCs w:val="22"/>
        </w:rPr>
        <w:t>There are no special circumstances associated with this data collection.</w:t>
      </w:r>
    </w:p>
    <w:p w14:paraId="0789345C" w14:textId="77777777" w:rsidR="00C00837" w:rsidRPr="007D6D77" w:rsidRDefault="00C00837" w:rsidP="00C00837">
      <w:pPr>
        <w:pStyle w:val="BodyText"/>
      </w:pPr>
    </w:p>
    <w:p w14:paraId="35AA6CD0" w14:textId="629315DE" w:rsidR="005C0866" w:rsidRPr="007D6D77" w:rsidRDefault="00C00837" w:rsidP="00145291">
      <w:pPr>
        <w:pStyle w:val="Heading3"/>
        <w:rPr>
          <w:rFonts w:ascii="Times New Roman" w:hAnsi="Times New Roman"/>
        </w:rPr>
      </w:pPr>
      <w:bookmarkStart w:id="44" w:name="_Toc8118885"/>
      <w:bookmarkStart w:id="45" w:name="_Toc81803515"/>
      <w:bookmarkStart w:id="46" w:name="_Toc88301185"/>
      <w:bookmarkStart w:id="47" w:name="_Toc213748179"/>
      <w:bookmarkStart w:id="48" w:name="_Toc341972160"/>
      <w:r w:rsidRPr="007D6D77">
        <w:lastRenderedPageBreak/>
        <w:t>A.8</w:t>
      </w:r>
      <w:r w:rsidRPr="007D6D77">
        <w:tab/>
      </w:r>
      <w:bookmarkEnd w:id="44"/>
      <w:bookmarkEnd w:id="45"/>
      <w:bookmarkEnd w:id="46"/>
      <w:bookmarkEnd w:id="47"/>
      <w:r w:rsidR="005C0866" w:rsidRPr="007D6D77">
        <w:t xml:space="preserve">IF APPLICABLE, PROVIDE A COPY AND </w:t>
      </w:r>
      <w:r w:rsidR="00FF56CC" w:rsidRPr="007D6D77">
        <w:t xml:space="preserve">IDENTIFY THE </w:t>
      </w:r>
      <w:r w:rsidR="005C0866" w:rsidRPr="007D6D77">
        <w:t>DATE AND PAGE NUMBER OF PUBLICATION</w:t>
      </w:r>
      <w:r w:rsidR="00FF56CC" w:rsidRPr="007D6D77">
        <w:t xml:space="preserve"> IN THE </w:t>
      </w:r>
      <w:r w:rsidR="005C0866" w:rsidRPr="007D6D77">
        <w:t xml:space="preserve">FEDERAL REGISTER OF THE AGENCY'S </w:t>
      </w:r>
      <w:r w:rsidR="00FF56CC" w:rsidRPr="007D6D77">
        <w:t>NOTICE,</w:t>
      </w:r>
      <w:r w:rsidR="00FF56CC" w:rsidRPr="007D6D77">
        <w:rPr>
          <w:szCs w:val="24"/>
        </w:rPr>
        <w:t xml:space="preserve"> REQUIRED </w:t>
      </w:r>
      <w:r w:rsidR="005C0866" w:rsidRPr="007D6D77">
        <w:rPr>
          <w:szCs w:val="24"/>
        </w:rPr>
        <w:t>BY 5 CFR 1320.8(d), SOLICITING COMMENT</w:t>
      </w:r>
      <w:r w:rsidR="00FF56CC" w:rsidRPr="007D6D77">
        <w:rPr>
          <w:szCs w:val="24"/>
        </w:rPr>
        <w:t xml:space="preserve">S ON THE </w:t>
      </w:r>
      <w:r w:rsidR="005C0866" w:rsidRPr="007D6D77">
        <w:rPr>
          <w:szCs w:val="24"/>
        </w:rPr>
        <w:t xml:space="preserve">INFORMATION COLLECTION PRIOR </w:t>
      </w:r>
      <w:r w:rsidR="00FF56CC" w:rsidRPr="007D6D77">
        <w:rPr>
          <w:szCs w:val="24"/>
        </w:rPr>
        <w:t xml:space="preserve">TO SUBMISSION TO </w:t>
      </w:r>
      <w:r w:rsidR="005C0866" w:rsidRPr="007D6D77">
        <w:rPr>
          <w:szCs w:val="24"/>
        </w:rPr>
        <w:t xml:space="preserve">OMB.  </w:t>
      </w:r>
      <w:bookmarkEnd w:id="48"/>
    </w:p>
    <w:p w14:paraId="661D34A9" w14:textId="77777777" w:rsidR="00145291" w:rsidRPr="007D6D77" w:rsidRDefault="00145291" w:rsidP="005C0866">
      <w:pPr>
        <w:spacing w:line="240" w:lineRule="auto"/>
      </w:pPr>
    </w:p>
    <w:p w14:paraId="302CA055" w14:textId="0833338D" w:rsidR="00C81608" w:rsidRPr="007D6D77" w:rsidRDefault="00C00837" w:rsidP="005C0866">
      <w:pPr>
        <w:spacing w:line="240" w:lineRule="auto"/>
        <w:rPr>
          <w:szCs w:val="22"/>
        </w:rPr>
      </w:pPr>
      <w:r w:rsidRPr="00CC6716">
        <w:t xml:space="preserve">In accordance with the Paperwork Reduction Act of 1995, </w:t>
      </w:r>
      <w:r w:rsidR="00450878" w:rsidRPr="00CC6716">
        <w:t>o</w:t>
      </w:r>
      <w:r w:rsidR="00C075E9" w:rsidRPr="00CC6716">
        <w:t xml:space="preserve">n January 20, 2015, Vol. 80 No. 12, pages 2745 to 2746, NASA published the 60-day federal register notice associated with this information collection in the Federal Register. Comments were not received. </w:t>
      </w:r>
    </w:p>
    <w:p w14:paraId="3B0FB824" w14:textId="77777777" w:rsidR="00A03D38" w:rsidRPr="007D6D77" w:rsidRDefault="00A03D38" w:rsidP="00A03D38">
      <w:pPr>
        <w:rPr>
          <w:szCs w:val="28"/>
        </w:rPr>
      </w:pPr>
      <w:bookmarkStart w:id="49" w:name="_Toc8118886"/>
      <w:bookmarkStart w:id="50" w:name="_Toc81803516"/>
      <w:bookmarkStart w:id="51" w:name="_Toc88301186"/>
      <w:bookmarkStart w:id="52" w:name="_Toc213748180"/>
    </w:p>
    <w:bookmarkEnd w:id="49"/>
    <w:bookmarkEnd w:id="50"/>
    <w:bookmarkEnd w:id="51"/>
    <w:bookmarkEnd w:id="52"/>
    <w:p w14:paraId="6518200E" w14:textId="77777777" w:rsidR="00A03D38" w:rsidRPr="007D6D77" w:rsidRDefault="00A03D38" w:rsidP="000B5116">
      <w:pPr>
        <w:ind w:left="720"/>
        <w:rPr>
          <w:rFonts w:ascii="Arial Narrow" w:hAnsi="Arial Narrow"/>
          <w:b/>
          <w:sz w:val="24"/>
          <w:szCs w:val="24"/>
        </w:rPr>
      </w:pPr>
      <w:r w:rsidRPr="007D6D77">
        <w:rPr>
          <w:rFonts w:ascii="Arial Narrow" w:hAnsi="Arial Narrow"/>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992B743" w14:textId="77777777" w:rsidR="00A03D38" w:rsidRPr="007D6D77" w:rsidRDefault="00A03D38" w:rsidP="000B5116">
      <w:pPr>
        <w:ind w:left="720"/>
        <w:rPr>
          <w:rFonts w:ascii="Arial Narrow" w:hAnsi="Arial Narrow"/>
          <w:b/>
          <w:sz w:val="24"/>
          <w:szCs w:val="24"/>
        </w:rPr>
      </w:pPr>
    </w:p>
    <w:p w14:paraId="1B9C7EEE" w14:textId="77777777" w:rsidR="00A03D38" w:rsidRPr="007D6D77" w:rsidRDefault="00A03D38" w:rsidP="00A03D38">
      <w:pPr>
        <w:spacing w:line="240" w:lineRule="auto"/>
        <w:rPr>
          <w:rFonts w:ascii="Arial Narrow" w:hAnsi="Arial Narrow"/>
          <w:b/>
          <w:sz w:val="24"/>
          <w:szCs w:val="24"/>
        </w:rPr>
      </w:pPr>
    </w:p>
    <w:p w14:paraId="5DBE3492" w14:textId="5F50EF62" w:rsidR="00A03D38" w:rsidRPr="007D6D77" w:rsidRDefault="00A03D38" w:rsidP="00A03D38">
      <w:pPr>
        <w:spacing w:line="240" w:lineRule="auto"/>
        <w:rPr>
          <w:szCs w:val="22"/>
        </w:rPr>
      </w:pPr>
      <w:r w:rsidRPr="007D6D77">
        <w:rPr>
          <w:szCs w:val="22"/>
        </w:rPr>
        <w:t>The youth surveys</w:t>
      </w:r>
      <w:r w:rsidR="005E74D7">
        <w:rPr>
          <w:szCs w:val="22"/>
        </w:rPr>
        <w:t xml:space="preserve"> </w:t>
      </w:r>
      <w:r w:rsidRPr="007D6D77">
        <w:rPr>
          <w:szCs w:val="22"/>
        </w:rPr>
        <w:t xml:space="preserve">and </w:t>
      </w:r>
      <w:r w:rsidR="005E74D7">
        <w:rPr>
          <w:szCs w:val="22"/>
        </w:rPr>
        <w:t xml:space="preserve">guidance on their administration </w:t>
      </w:r>
      <w:r w:rsidRPr="007D6D77">
        <w:rPr>
          <w:szCs w:val="22"/>
        </w:rPr>
        <w:t xml:space="preserve">were developed by NASA staff in consultation with several external experts, including Laura </w:t>
      </w:r>
      <w:proofErr w:type="spellStart"/>
      <w:r w:rsidRPr="007D6D77">
        <w:rPr>
          <w:szCs w:val="22"/>
        </w:rPr>
        <w:t>LoGerfo</w:t>
      </w:r>
      <w:proofErr w:type="spellEnd"/>
      <w:r w:rsidRPr="007D6D77">
        <w:rPr>
          <w:szCs w:val="22"/>
        </w:rPr>
        <w:t xml:space="preserve">, the </w:t>
      </w:r>
      <w:r w:rsidR="005E74D7">
        <w:rPr>
          <w:szCs w:val="22"/>
        </w:rPr>
        <w:t xml:space="preserve">former </w:t>
      </w:r>
      <w:r w:rsidRPr="007D6D77">
        <w:rPr>
          <w:szCs w:val="22"/>
        </w:rPr>
        <w:t xml:space="preserve">Project Officer for High School Longitudinal Study of 2009 at the U.S. Department of Education National Center for Education Statistics; Gil Noam, </w:t>
      </w:r>
      <w:r w:rsidRPr="007D6D77">
        <w:rPr>
          <w:rStyle w:val="st1"/>
          <w:szCs w:val="22"/>
        </w:rPr>
        <w:t xml:space="preserve">Founder and Director of the Program in Education, Afterschool &amp; Resiliency (PEAR), Harvard University; and Sara Spiegel, Director of Administration at the </w:t>
      </w:r>
      <w:proofErr w:type="spellStart"/>
      <w:r w:rsidRPr="007D6D77">
        <w:rPr>
          <w:rStyle w:val="st1"/>
          <w:szCs w:val="22"/>
        </w:rPr>
        <w:t>Noyce</w:t>
      </w:r>
      <w:proofErr w:type="spellEnd"/>
      <w:r w:rsidRPr="007D6D77">
        <w:rPr>
          <w:rStyle w:val="st1"/>
          <w:szCs w:val="22"/>
        </w:rPr>
        <w:t xml:space="preserve"> Foundation. </w:t>
      </w:r>
      <w:r w:rsidRPr="007D6D77">
        <w:rPr>
          <w:szCs w:val="22"/>
        </w:rPr>
        <w:t xml:space="preserve">Several experts also advised on the evaluation design, including Henry Frierson, University of Florida; Anita </w:t>
      </w:r>
      <w:proofErr w:type="spellStart"/>
      <w:r w:rsidRPr="007D6D77">
        <w:rPr>
          <w:szCs w:val="22"/>
        </w:rPr>
        <w:t>Krishnamurthi</w:t>
      </w:r>
      <w:proofErr w:type="spellEnd"/>
      <w:r w:rsidRPr="007D6D77">
        <w:rPr>
          <w:szCs w:val="22"/>
        </w:rPr>
        <w:t xml:space="preserve">, Afterschool Alliance; Carol </w:t>
      </w:r>
      <w:proofErr w:type="spellStart"/>
      <w:r w:rsidRPr="007D6D77">
        <w:rPr>
          <w:szCs w:val="22"/>
        </w:rPr>
        <w:t>Stoel</w:t>
      </w:r>
      <w:proofErr w:type="spellEnd"/>
      <w:r w:rsidRPr="007D6D77">
        <w:rPr>
          <w:szCs w:val="22"/>
        </w:rPr>
        <w:t xml:space="preserve">, National Science Foundation; Robert Tai, University of Virginia; and Diego Zapata-Rivera, Educational Testing Service. Copies of the instruments were also distributed to representatives of Summer of Innovation awards, who </w:t>
      </w:r>
      <w:r w:rsidR="005E74D7">
        <w:rPr>
          <w:szCs w:val="22"/>
        </w:rPr>
        <w:t>we</w:t>
      </w:r>
      <w:r w:rsidR="004E3D44" w:rsidRPr="007D6D77">
        <w:rPr>
          <w:szCs w:val="22"/>
        </w:rPr>
        <w:t xml:space="preserve">re responsible for administration of </w:t>
      </w:r>
      <w:r w:rsidR="00763012">
        <w:rPr>
          <w:szCs w:val="22"/>
        </w:rPr>
        <w:t>the baseline youth survey</w:t>
      </w:r>
      <w:r w:rsidR="004E3D44" w:rsidRPr="007D6D77">
        <w:rPr>
          <w:szCs w:val="22"/>
        </w:rPr>
        <w:t xml:space="preserve">. The awardees </w:t>
      </w:r>
      <w:r w:rsidRPr="007D6D77">
        <w:rPr>
          <w:szCs w:val="22"/>
        </w:rPr>
        <w:t xml:space="preserve">provided some feedback on </w:t>
      </w:r>
      <w:r w:rsidR="00892A04" w:rsidRPr="007D6D77">
        <w:rPr>
          <w:szCs w:val="22"/>
        </w:rPr>
        <w:t>individual</w:t>
      </w:r>
      <w:r w:rsidRPr="007D6D77">
        <w:rPr>
          <w:szCs w:val="22"/>
        </w:rPr>
        <w:t xml:space="preserve"> question items and survey administration. </w:t>
      </w:r>
    </w:p>
    <w:p w14:paraId="64F3A326" w14:textId="77777777" w:rsidR="00A03D38" w:rsidRPr="007D6D77" w:rsidRDefault="00A03D38" w:rsidP="00A03D38">
      <w:pPr>
        <w:pStyle w:val="Default"/>
        <w:rPr>
          <w:rStyle w:val="st1"/>
          <w:color w:val="222222"/>
          <w:sz w:val="22"/>
          <w:szCs w:val="22"/>
        </w:rPr>
      </w:pPr>
    </w:p>
    <w:p w14:paraId="71C6C809" w14:textId="77777777" w:rsidR="00A03D38" w:rsidRPr="007D6D77" w:rsidRDefault="00A03D38" w:rsidP="00A03D38">
      <w:pPr>
        <w:pStyle w:val="Default"/>
        <w:rPr>
          <w:sz w:val="22"/>
          <w:szCs w:val="22"/>
        </w:rPr>
      </w:pPr>
      <w:r w:rsidRPr="007D6D77">
        <w:rPr>
          <w:sz w:val="22"/>
          <w:szCs w:val="22"/>
        </w:rPr>
        <w:t xml:space="preserve">The surveys are based on the theory of change depicted in the </w:t>
      </w:r>
      <w:proofErr w:type="spellStart"/>
      <w:r w:rsidRPr="007D6D77">
        <w:rPr>
          <w:sz w:val="22"/>
          <w:szCs w:val="22"/>
        </w:rPr>
        <w:t>SoI</w:t>
      </w:r>
      <w:proofErr w:type="spellEnd"/>
      <w:r w:rsidRPr="007D6D77">
        <w:rPr>
          <w:sz w:val="22"/>
          <w:szCs w:val="22"/>
        </w:rPr>
        <w:t xml:space="preserve"> logic model</w:t>
      </w:r>
      <w:r w:rsidR="005E74D7">
        <w:rPr>
          <w:sz w:val="22"/>
          <w:szCs w:val="22"/>
        </w:rPr>
        <w:t xml:space="preserve"> and the agency’s STEM Engagement logic model</w:t>
      </w:r>
      <w:r w:rsidRPr="007D6D77">
        <w:rPr>
          <w:sz w:val="22"/>
          <w:szCs w:val="22"/>
        </w:rPr>
        <w:t xml:space="preserve"> and informed by the evaluators’ knowledge of the program</w:t>
      </w:r>
      <w:r w:rsidR="005E74D7">
        <w:rPr>
          <w:sz w:val="22"/>
          <w:szCs w:val="22"/>
        </w:rPr>
        <w:t>matic activities</w:t>
      </w:r>
      <w:r w:rsidRPr="007D6D77">
        <w:rPr>
          <w:sz w:val="22"/>
          <w:szCs w:val="22"/>
        </w:rPr>
        <w:t>. Survey question items were selected and/or adapted from previously field-tested and validated instruments, eliminating the need for cognitive testing. The source instruments for the survey question items are as follows:</w:t>
      </w:r>
    </w:p>
    <w:p w14:paraId="71F4FC4D" w14:textId="77777777" w:rsidR="00A03D38" w:rsidRPr="007D6D77" w:rsidRDefault="00A03D38" w:rsidP="00A03D38">
      <w:pPr>
        <w:pStyle w:val="Default"/>
        <w:rPr>
          <w:sz w:val="22"/>
          <w:szCs w:val="22"/>
        </w:rPr>
      </w:pPr>
    </w:p>
    <w:p w14:paraId="5E7FF9B3" w14:textId="77777777" w:rsidR="00A03D38" w:rsidRPr="007D6D77" w:rsidRDefault="00A03D38" w:rsidP="00A03D38">
      <w:pPr>
        <w:pStyle w:val="Default"/>
        <w:numPr>
          <w:ilvl w:val="0"/>
          <w:numId w:val="25"/>
        </w:numPr>
        <w:rPr>
          <w:sz w:val="22"/>
          <w:szCs w:val="22"/>
        </w:rPr>
      </w:pPr>
      <w:r w:rsidRPr="007D6D77">
        <w:rPr>
          <w:sz w:val="22"/>
          <w:szCs w:val="22"/>
        </w:rPr>
        <w:t>Student Baseline Survey and Parent Baseline Survey, High School Longitudinal Study (HSLS) of 2009, IES/Department of Education</w:t>
      </w:r>
    </w:p>
    <w:p w14:paraId="6E9B3F3C" w14:textId="77777777" w:rsidR="00A03D38" w:rsidRPr="007D6D77" w:rsidRDefault="00A03D38" w:rsidP="00A03D38">
      <w:pPr>
        <w:pStyle w:val="Default"/>
        <w:numPr>
          <w:ilvl w:val="0"/>
          <w:numId w:val="25"/>
        </w:numPr>
        <w:rPr>
          <w:sz w:val="22"/>
          <w:szCs w:val="22"/>
        </w:rPr>
      </w:pPr>
      <w:r w:rsidRPr="007D6D77">
        <w:rPr>
          <w:sz w:val="22"/>
          <w:szCs w:val="22"/>
        </w:rPr>
        <w:t>Assessing Women and Men In Engineering (AWE), Middle School Students Pre-Activity Surveys and Immediate Post-Activity Surveys for Middle School-Aged Participants – Science and Engineering (2009)</w:t>
      </w:r>
    </w:p>
    <w:p w14:paraId="54D5E0A0" w14:textId="77777777" w:rsidR="00A03D38" w:rsidRPr="007D6D77" w:rsidRDefault="00A03D38" w:rsidP="00A03D38">
      <w:pPr>
        <w:pStyle w:val="Default"/>
        <w:numPr>
          <w:ilvl w:val="0"/>
          <w:numId w:val="25"/>
        </w:numPr>
        <w:rPr>
          <w:sz w:val="22"/>
          <w:szCs w:val="22"/>
        </w:rPr>
      </w:pPr>
      <w:r w:rsidRPr="007D6D77">
        <w:rPr>
          <w:sz w:val="22"/>
          <w:szCs w:val="22"/>
        </w:rPr>
        <w:t>4-H Science Youth Survey (2012)</w:t>
      </w:r>
    </w:p>
    <w:p w14:paraId="2C172F78" w14:textId="77777777" w:rsidR="00A03D38" w:rsidRPr="007D6D77" w:rsidRDefault="00A03D38" w:rsidP="00A03D38">
      <w:pPr>
        <w:pStyle w:val="Default"/>
        <w:numPr>
          <w:ilvl w:val="0"/>
          <w:numId w:val="25"/>
        </w:numPr>
        <w:rPr>
          <w:sz w:val="22"/>
          <w:szCs w:val="22"/>
        </w:rPr>
      </w:pPr>
      <w:r w:rsidRPr="007D6D77">
        <w:rPr>
          <w:sz w:val="22"/>
          <w:szCs w:val="22"/>
        </w:rPr>
        <w:t>Summer of Innovation Parent Survey and Baseline Student Survey (2011)</w:t>
      </w:r>
    </w:p>
    <w:p w14:paraId="1084E42A" w14:textId="77777777" w:rsidR="00A03D38" w:rsidRPr="007D6D77" w:rsidRDefault="00A03D38" w:rsidP="00A03D38">
      <w:pPr>
        <w:pStyle w:val="Default"/>
        <w:numPr>
          <w:ilvl w:val="0"/>
          <w:numId w:val="25"/>
        </w:numPr>
        <w:rPr>
          <w:color w:val="auto"/>
          <w:sz w:val="22"/>
          <w:szCs w:val="22"/>
        </w:rPr>
      </w:pPr>
      <w:r w:rsidRPr="007D6D77">
        <w:rPr>
          <w:color w:val="auto"/>
          <w:sz w:val="22"/>
          <w:szCs w:val="22"/>
        </w:rPr>
        <w:t xml:space="preserve">Excited, Engaged and Interested Science Learner Survey (2011), </w:t>
      </w:r>
      <w:proofErr w:type="spellStart"/>
      <w:r w:rsidRPr="007D6D77">
        <w:rPr>
          <w:color w:val="auto"/>
          <w:sz w:val="22"/>
          <w:szCs w:val="22"/>
        </w:rPr>
        <w:t>Noyce</w:t>
      </w:r>
      <w:proofErr w:type="spellEnd"/>
      <w:r w:rsidRPr="007D6D77">
        <w:rPr>
          <w:color w:val="auto"/>
          <w:sz w:val="22"/>
          <w:szCs w:val="22"/>
        </w:rPr>
        <w:t xml:space="preserve"> Foundation</w:t>
      </w:r>
    </w:p>
    <w:p w14:paraId="5531E35E" w14:textId="77777777" w:rsidR="00A03D38" w:rsidRPr="007D6D77" w:rsidRDefault="00A03D38" w:rsidP="00A03D38">
      <w:pPr>
        <w:pStyle w:val="Default"/>
        <w:rPr>
          <w:sz w:val="22"/>
          <w:szCs w:val="22"/>
        </w:rPr>
      </w:pPr>
    </w:p>
    <w:p w14:paraId="6B6E31ED" w14:textId="77777777" w:rsidR="004F5FBC" w:rsidRDefault="00B71E3D" w:rsidP="00A03D38">
      <w:pPr>
        <w:pStyle w:val="Default"/>
        <w:rPr>
          <w:sz w:val="22"/>
          <w:szCs w:val="22"/>
        </w:rPr>
      </w:pPr>
      <w:r>
        <w:rPr>
          <w:sz w:val="22"/>
          <w:szCs w:val="22"/>
        </w:rPr>
        <w:t>A</w:t>
      </w:r>
      <w:r w:rsidR="00A03D38" w:rsidRPr="007D6D77">
        <w:rPr>
          <w:sz w:val="22"/>
          <w:szCs w:val="22"/>
        </w:rPr>
        <w:t xml:space="preserve">n entire scale of question items on youth interest in science (“Enthusiasm for Science”) was adopted from the </w:t>
      </w:r>
      <w:r w:rsidR="00A03D38" w:rsidRPr="007D6D77">
        <w:rPr>
          <w:color w:val="auto"/>
          <w:sz w:val="22"/>
          <w:szCs w:val="22"/>
        </w:rPr>
        <w:t xml:space="preserve">Excited, Engaged and Interested Science Learner Survey </w:t>
      </w:r>
      <w:r w:rsidR="00A03D38" w:rsidRPr="007D6D77">
        <w:rPr>
          <w:sz w:val="22"/>
          <w:szCs w:val="22"/>
        </w:rPr>
        <w:t xml:space="preserve">developed by the </w:t>
      </w:r>
      <w:r w:rsidR="00A03D38" w:rsidRPr="007D6D77">
        <w:rPr>
          <w:rStyle w:val="st1"/>
          <w:color w:val="222222"/>
          <w:sz w:val="22"/>
          <w:szCs w:val="22"/>
        </w:rPr>
        <w:t xml:space="preserve">Program in Education, Afterschool &amp; Resiliency (PEAR) for the </w:t>
      </w:r>
      <w:proofErr w:type="spellStart"/>
      <w:r w:rsidR="00A03D38" w:rsidRPr="007D6D77">
        <w:rPr>
          <w:rStyle w:val="st1"/>
          <w:color w:val="222222"/>
          <w:sz w:val="22"/>
          <w:szCs w:val="22"/>
        </w:rPr>
        <w:t>Noyce</w:t>
      </w:r>
      <w:proofErr w:type="spellEnd"/>
      <w:r w:rsidR="00A03D38" w:rsidRPr="007D6D77">
        <w:rPr>
          <w:rStyle w:val="st1"/>
          <w:color w:val="222222"/>
          <w:sz w:val="22"/>
          <w:szCs w:val="22"/>
        </w:rPr>
        <w:t xml:space="preserve"> Foundation and recently validated with a middle school audience as part of the national </w:t>
      </w:r>
      <w:r w:rsidR="00A03D38" w:rsidRPr="007D6D77">
        <w:rPr>
          <w:bCs/>
          <w:sz w:val="22"/>
          <w:szCs w:val="22"/>
        </w:rPr>
        <w:t xml:space="preserve">Youth Engagement, Attitudes, and Knowledge </w:t>
      </w:r>
      <w:r w:rsidR="00A03D38" w:rsidRPr="007D6D77">
        <w:rPr>
          <w:rStyle w:val="st1"/>
          <w:color w:val="222222"/>
          <w:sz w:val="22"/>
          <w:szCs w:val="22"/>
        </w:rPr>
        <w:t xml:space="preserve">study of the 4-H Science Initiative. This scale incorporates question items from NAEP - Science (2005, 2009), allowing comparison of </w:t>
      </w:r>
      <w:proofErr w:type="spellStart"/>
      <w:r w:rsidR="00A03D38" w:rsidRPr="007D6D77">
        <w:rPr>
          <w:rStyle w:val="st1"/>
          <w:color w:val="222222"/>
          <w:sz w:val="22"/>
          <w:szCs w:val="22"/>
        </w:rPr>
        <w:t>SoI</w:t>
      </w:r>
      <w:proofErr w:type="spellEnd"/>
      <w:r w:rsidR="00A03D38" w:rsidRPr="007D6D77">
        <w:rPr>
          <w:rStyle w:val="st1"/>
          <w:color w:val="222222"/>
          <w:sz w:val="22"/>
          <w:szCs w:val="22"/>
        </w:rPr>
        <w:t xml:space="preserve"> survey data to nationally representative NAEP results available from the </w:t>
      </w:r>
      <w:r w:rsidR="00A03D38" w:rsidRPr="007D6D77">
        <w:rPr>
          <w:rStyle w:val="st1"/>
          <w:color w:val="222222"/>
          <w:sz w:val="22"/>
          <w:szCs w:val="22"/>
        </w:rPr>
        <w:lastRenderedPageBreak/>
        <w:t>Department of Education.</w:t>
      </w:r>
      <w:r w:rsidR="00A03D38" w:rsidRPr="007D6D77">
        <w:rPr>
          <w:rStyle w:val="st1"/>
          <w:rFonts w:ascii="Arial" w:hAnsi="Arial" w:cs="Arial"/>
          <w:color w:val="222222"/>
          <w:sz w:val="22"/>
          <w:szCs w:val="22"/>
        </w:rPr>
        <w:t xml:space="preserve"> </w:t>
      </w:r>
      <w:r w:rsidR="00763012">
        <w:rPr>
          <w:sz w:val="22"/>
          <w:szCs w:val="22"/>
        </w:rPr>
        <w:t>An adapted version of this scale was</w:t>
      </w:r>
      <w:r w:rsidR="00563D7A" w:rsidRPr="007D6D77">
        <w:rPr>
          <w:sz w:val="22"/>
          <w:szCs w:val="22"/>
        </w:rPr>
        <w:t xml:space="preserve"> released as the Common Instrument in 2013 following the release of a validation study by Harvard University.</w:t>
      </w:r>
      <w:r w:rsidR="00FA54AB">
        <w:rPr>
          <w:sz w:val="22"/>
          <w:szCs w:val="22"/>
        </w:rPr>
        <w:t xml:space="preserve"> </w:t>
      </w:r>
    </w:p>
    <w:p w14:paraId="722CE6DA" w14:textId="77777777" w:rsidR="004F5FBC" w:rsidRDefault="004F5FBC" w:rsidP="00A03D38">
      <w:pPr>
        <w:pStyle w:val="Default"/>
        <w:rPr>
          <w:sz w:val="22"/>
          <w:szCs w:val="22"/>
        </w:rPr>
      </w:pPr>
    </w:p>
    <w:p w14:paraId="75EC6B41" w14:textId="2B264FC7" w:rsidR="00A03D38" w:rsidRPr="007D6D77" w:rsidRDefault="00FA54AB" w:rsidP="00A03D38">
      <w:pPr>
        <w:pStyle w:val="Default"/>
        <w:rPr>
          <w:rStyle w:val="st1"/>
          <w:rFonts w:ascii="Arial" w:hAnsi="Arial" w:cs="Arial"/>
          <w:color w:val="222222"/>
          <w:sz w:val="22"/>
          <w:szCs w:val="22"/>
        </w:rPr>
      </w:pPr>
      <w:r>
        <w:rPr>
          <w:sz w:val="22"/>
          <w:szCs w:val="22"/>
        </w:rPr>
        <w:t xml:space="preserve">The use of validated question items and scales enabled NASA to reduce cost by foregoing cognitive testing of instruments. </w:t>
      </w:r>
      <w:r w:rsidR="004F5FBC">
        <w:rPr>
          <w:sz w:val="22"/>
          <w:szCs w:val="22"/>
        </w:rPr>
        <w:t xml:space="preserve">However, the survey instruments were tested for comprehensibility with </w:t>
      </w:r>
      <w:r w:rsidR="00383F96">
        <w:rPr>
          <w:sz w:val="22"/>
          <w:szCs w:val="22"/>
        </w:rPr>
        <w:t>six</w:t>
      </w:r>
      <w:r w:rsidR="004F5FBC">
        <w:rPr>
          <w:sz w:val="22"/>
          <w:szCs w:val="22"/>
        </w:rPr>
        <w:t xml:space="preserve"> youth ranging in grade level from </w:t>
      </w:r>
      <w:r w:rsidR="00383F96">
        <w:rPr>
          <w:sz w:val="22"/>
          <w:szCs w:val="22"/>
        </w:rPr>
        <w:t>5</w:t>
      </w:r>
      <w:r w:rsidR="004F5FBC" w:rsidRPr="004F5FBC">
        <w:rPr>
          <w:sz w:val="22"/>
          <w:szCs w:val="22"/>
          <w:vertAlign w:val="superscript"/>
        </w:rPr>
        <w:t>th</w:t>
      </w:r>
      <w:r w:rsidR="004F5FBC">
        <w:rPr>
          <w:sz w:val="22"/>
          <w:szCs w:val="22"/>
        </w:rPr>
        <w:t xml:space="preserve"> through 8</w:t>
      </w:r>
      <w:r w:rsidR="004F5FBC" w:rsidRPr="004F5FBC">
        <w:rPr>
          <w:sz w:val="22"/>
          <w:szCs w:val="22"/>
          <w:vertAlign w:val="superscript"/>
        </w:rPr>
        <w:t>th</w:t>
      </w:r>
      <w:r w:rsidR="004F5FBC">
        <w:rPr>
          <w:sz w:val="22"/>
          <w:szCs w:val="22"/>
        </w:rPr>
        <w:t xml:space="preserve"> grade; burden estimates were also obtained through this process. As a result of the testing, minor modifications were made to question items that were not part of a scale.   </w:t>
      </w:r>
    </w:p>
    <w:p w14:paraId="09DBA237" w14:textId="77777777" w:rsidR="000B5116" w:rsidRPr="007D6D77" w:rsidRDefault="000B5116" w:rsidP="00A03D38">
      <w:pPr>
        <w:pStyle w:val="Default"/>
        <w:rPr>
          <w:szCs w:val="22"/>
        </w:rPr>
      </w:pPr>
    </w:p>
    <w:p w14:paraId="49EAC65C" w14:textId="77777777" w:rsidR="00C00837" w:rsidRPr="007D6D77" w:rsidRDefault="000B5116" w:rsidP="0068743C">
      <w:pPr>
        <w:pStyle w:val="Heading3"/>
        <w:widowControl w:val="0"/>
      </w:pPr>
      <w:bookmarkStart w:id="53" w:name="_Toc341972161"/>
      <w:r w:rsidRPr="007D6D77">
        <w:t xml:space="preserve">A.9 </w:t>
      </w:r>
      <w:r w:rsidRPr="007D6D77">
        <w:tab/>
      </w:r>
      <w:r w:rsidR="00FF56CC" w:rsidRPr="007D6D77">
        <w:t>EXPLAIN ANY DECISION TO PROVIDE ANY PAYMENT OR GIFT TO RESPONDENTS, OTHER THAN REMUNERATION OF CONTRACTORS OR GRANTEES.</w:t>
      </w:r>
      <w:bookmarkEnd w:id="53"/>
      <w:r w:rsidR="00FF56CC" w:rsidRPr="007D6D77">
        <w:t xml:space="preserve">  </w:t>
      </w:r>
    </w:p>
    <w:p w14:paraId="4EC8A1F8" w14:textId="77777777" w:rsidR="000B5116" w:rsidRPr="007D6D77" w:rsidRDefault="000B5116" w:rsidP="0068743C">
      <w:pPr>
        <w:keepNext/>
        <w:keepLines/>
        <w:widowControl w:val="0"/>
      </w:pPr>
    </w:p>
    <w:p w14:paraId="01FA8C2D" w14:textId="77777777" w:rsidR="00B45217" w:rsidRPr="007D6D77" w:rsidRDefault="002B0301" w:rsidP="0068743C">
      <w:pPr>
        <w:keepNext/>
        <w:keepLines/>
        <w:widowControl w:val="0"/>
        <w:tabs>
          <w:tab w:val="clear" w:pos="720"/>
          <w:tab w:val="clear" w:pos="1080"/>
          <w:tab w:val="clear" w:pos="1440"/>
          <w:tab w:val="clear" w:pos="1800"/>
        </w:tabs>
        <w:autoSpaceDE w:val="0"/>
        <w:autoSpaceDN w:val="0"/>
        <w:adjustRightInd w:val="0"/>
        <w:spacing w:line="240" w:lineRule="auto"/>
      </w:pPr>
      <w:r w:rsidRPr="007D6D77">
        <w:rPr>
          <w:szCs w:val="22"/>
        </w:rPr>
        <w:t xml:space="preserve">No payment or gifts will be provided to respondents. </w:t>
      </w:r>
    </w:p>
    <w:p w14:paraId="03E04F1A" w14:textId="77777777" w:rsidR="00B45217" w:rsidRPr="007D6D77" w:rsidRDefault="00B45217" w:rsidP="000C38CB">
      <w:pPr>
        <w:tabs>
          <w:tab w:val="clear" w:pos="720"/>
          <w:tab w:val="clear" w:pos="1080"/>
          <w:tab w:val="clear" w:pos="1440"/>
          <w:tab w:val="clear" w:pos="1800"/>
        </w:tabs>
        <w:autoSpaceDE w:val="0"/>
        <w:autoSpaceDN w:val="0"/>
        <w:adjustRightInd w:val="0"/>
        <w:spacing w:line="240" w:lineRule="auto"/>
        <w:rPr>
          <w:szCs w:val="22"/>
        </w:rPr>
      </w:pPr>
    </w:p>
    <w:p w14:paraId="4F474721" w14:textId="77777777" w:rsidR="00C00837" w:rsidRPr="007D6D77" w:rsidRDefault="00C00837" w:rsidP="000B5116">
      <w:pPr>
        <w:pStyle w:val="Heading3"/>
        <w:rPr>
          <w:i/>
          <w:iCs/>
        </w:rPr>
      </w:pPr>
      <w:bookmarkStart w:id="54" w:name="_Toc8118887"/>
      <w:bookmarkStart w:id="55" w:name="_Toc81803517"/>
      <w:bookmarkStart w:id="56" w:name="_Toc88301187"/>
      <w:bookmarkStart w:id="57" w:name="_Toc213748181"/>
      <w:bookmarkStart w:id="58" w:name="_Toc341972162"/>
      <w:r w:rsidRPr="007D6D77">
        <w:t>A.10</w:t>
      </w:r>
      <w:r w:rsidRPr="007D6D77">
        <w:tab/>
      </w:r>
      <w:bookmarkEnd w:id="54"/>
      <w:bookmarkEnd w:id="55"/>
      <w:bookmarkEnd w:id="56"/>
      <w:bookmarkEnd w:id="57"/>
      <w:r w:rsidR="000B5116" w:rsidRPr="007D6D77">
        <w:t>DESCRIBE ANY ASSURANCE OF CONFIDENTIALITY PROVIDED TO RESPONDENTS AND THE BASIS FOR THE ASSURANCE IN STATUTE, REGULATION, OR AGENCY POLICY.</w:t>
      </w:r>
      <w:bookmarkEnd w:id="58"/>
    </w:p>
    <w:p w14:paraId="7C808DAC" w14:textId="77777777" w:rsidR="000B5116" w:rsidRPr="007D6D77" w:rsidRDefault="000B5116" w:rsidP="00C00837">
      <w:pPr>
        <w:pStyle w:val="BodyText"/>
        <w:rPr>
          <w:szCs w:val="22"/>
        </w:rPr>
      </w:pPr>
    </w:p>
    <w:p w14:paraId="6AC80873" w14:textId="77777777" w:rsidR="00C00837" w:rsidRPr="007D6D77" w:rsidRDefault="00C00837" w:rsidP="00C00837">
      <w:pPr>
        <w:pStyle w:val="BodyText"/>
        <w:rPr>
          <w:szCs w:val="22"/>
        </w:rPr>
      </w:pPr>
      <w:r w:rsidRPr="007D6D77">
        <w:rPr>
          <w:szCs w:val="22"/>
        </w:rPr>
        <w:t xml:space="preserve">Every effort will be made to maintain the </w:t>
      </w:r>
      <w:r w:rsidR="00DC1A04" w:rsidRPr="007D6D77">
        <w:rPr>
          <w:szCs w:val="22"/>
        </w:rPr>
        <w:t xml:space="preserve">privacy </w:t>
      </w:r>
      <w:r w:rsidRPr="007D6D77">
        <w:rPr>
          <w:szCs w:val="22"/>
        </w:rPr>
        <w:t>of respondents</w:t>
      </w:r>
      <w:r w:rsidR="00452EB8" w:rsidRPr="007D6D77">
        <w:rPr>
          <w:szCs w:val="22"/>
        </w:rPr>
        <w:t xml:space="preserve"> </w:t>
      </w:r>
      <w:r w:rsidR="00452EB8" w:rsidRPr="007D6D77">
        <w:rPr>
          <w:color w:val="000000"/>
          <w:szCs w:val="22"/>
        </w:rPr>
        <w:t>to the extent provided by law</w:t>
      </w:r>
      <w:r w:rsidR="006A099C" w:rsidRPr="007D6D77">
        <w:rPr>
          <w:color w:val="000000"/>
          <w:szCs w:val="22"/>
        </w:rPr>
        <w:t>,</w:t>
      </w:r>
      <w:r w:rsidR="00452EB8" w:rsidRPr="007D6D77">
        <w:rPr>
          <w:color w:val="000000"/>
          <w:szCs w:val="22"/>
        </w:rPr>
        <w:t xml:space="preserve"> includ</w:t>
      </w:r>
      <w:r w:rsidR="006A099C" w:rsidRPr="007D6D77">
        <w:rPr>
          <w:color w:val="000000"/>
          <w:szCs w:val="22"/>
        </w:rPr>
        <w:t xml:space="preserve">ing the </w:t>
      </w:r>
      <w:r w:rsidRPr="007D6D77">
        <w:rPr>
          <w:szCs w:val="22"/>
        </w:rPr>
        <w:t>us</w:t>
      </w:r>
      <w:r w:rsidR="006A099C" w:rsidRPr="007D6D77">
        <w:rPr>
          <w:szCs w:val="22"/>
        </w:rPr>
        <w:t>e of</w:t>
      </w:r>
      <w:r w:rsidRPr="007D6D77">
        <w:rPr>
          <w:szCs w:val="22"/>
        </w:rPr>
        <w:t xml:space="preserve"> several procedural and control measures to protect the data from unauthorized use. Collected data will not be released with </w:t>
      </w:r>
      <w:r w:rsidR="00521C9E" w:rsidRPr="007D6D77">
        <w:rPr>
          <w:szCs w:val="22"/>
        </w:rPr>
        <w:t>personally identifiable information</w:t>
      </w:r>
      <w:r w:rsidRPr="007D6D77">
        <w:rPr>
          <w:szCs w:val="22"/>
        </w:rPr>
        <w:t xml:space="preserve">, and results will be presented only in aggregated form. A statement to this effect will be included </w:t>
      </w:r>
      <w:r w:rsidR="001A71F5" w:rsidRPr="007D6D77">
        <w:rPr>
          <w:szCs w:val="22"/>
        </w:rPr>
        <w:t xml:space="preserve">on </w:t>
      </w:r>
      <w:r w:rsidR="003D28D8" w:rsidRPr="007D6D77">
        <w:rPr>
          <w:szCs w:val="22"/>
        </w:rPr>
        <w:t xml:space="preserve">all instruments. </w:t>
      </w:r>
      <w:r w:rsidRPr="007D6D77">
        <w:rPr>
          <w:szCs w:val="22"/>
        </w:rPr>
        <w:t xml:space="preserve">Respondents will be assured that all information identifying them will be kept </w:t>
      </w:r>
      <w:r w:rsidR="00DC1A04" w:rsidRPr="007D6D77">
        <w:rPr>
          <w:szCs w:val="22"/>
        </w:rPr>
        <w:t>private</w:t>
      </w:r>
      <w:r w:rsidR="0037275D" w:rsidRPr="007D6D77">
        <w:rPr>
          <w:szCs w:val="22"/>
        </w:rPr>
        <w:t>.</w:t>
      </w:r>
    </w:p>
    <w:p w14:paraId="16F9257B" w14:textId="77777777" w:rsidR="00C00837" w:rsidRPr="007D6D77" w:rsidRDefault="00C00837" w:rsidP="00C00837">
      <w:pPr>
        <w:pStyle w:val="BodyText"/>
        <w:rPr>
          <w:color w:val="0000FF"/>
          <w:szCs w:val="22"/>
        </w:rPr>
      </w:pPr>
    </w:p>
    <w:p w14:paraId="6F1FA357" w14:textId="77777777" w:rsidR="00C00837" w:rsidRPr="007D6D77" w:rsidRDefault="00C00837" w:rsidP="00C00837">
      <w:pPr>
        <w:pStyle w:val="BodyText"/>
        <w:rPr>
          <w:szCs w:val="22"/>
        </w:rPr>
      </w:pPr>
      <w:r w:rsidRPr="007D6D77">
        <w:rPr>
          <w:szCs w:val="22"/>
        </w:rPr>
        <w:t>The procedures to protect data during information collection, data processing, and analysis activities are as follows:</w:t>
      </w:r>
    </w:p>
    <w:p w14:paraId="2BCA41A2" w14:textId="77777777" w:rsidR="00C00837" w:rsidRPr="007D6D77" w:rsidRDefault="00C00837" w:rsidP="00C00837">
      <w:pPr>
        <w:pStyle w:val="BodyText"/>
        <w:rPr>
          <w:color w:val="0000FF"/>
          <w:szCs w:val="22"/>
        </w:rPr>
      </w:pPr>
    </w:p>
    <w:p w14:paraId="0944B59A" w14:textId="77777777" w:rsidR="00C00837" w:rsidRPr="007D6D77" w:rsidRDefault="00C00837" w:rsidP="004053EC">
      <w:pPr>
        <w:pStyle w:val="BodyText"/>
        <w:numPr>
          <w:ilvl w:val="0"/>
          <w:numId w:val="1"/>
        </w:numPr>
        <w:tabs>
          <w:tab w:val="clear" w:pos="720"/>
          <w:tab w:val="num" w:pos="1080"/>
        </w:tabs>
        <w:spacing w:after="120"/>
        <w:ind w:left="1080"/>
        <w:rPr>
          <w:szCs w:val="22"/>
        </w:rPr>
      </w:pPr>
      <w:r w:rsidRPr="007D6D77">
        <w:rPr>
          <w:szCs w:val="22"/>
        </w:rPr>
        <w:t>All respondents included in the study sample will be informed that the information they provide will be used only for the purpose of this research. Individuals will not be cited as sources of information in prepared reports.</w:t>
      </w:r>
    </w:p>
    <w:p w14:paraId="2BF78EF1" w14:textId="77777777" w:rsidR="00C00837" w:rsidRPr="007D6D77" w:rsidRDefault="00C00837" w:rsidP="004053EC">
      <w:pPr>
        <w:numPr>
          <w:ilvl w:val="0"/>
          <w:numId w:val="2"/>
        </w:numPr>
        <w:tabs>
          <w:tab w:val="clear" w:pos="360"/>
          <w:tab w:val="clear" w:pos="720"/>
          <w:tab w:val="clear" w:pos="1080"/>
          <w:tab w:val="clear" w:pos="1440"/>
          <w:tab w:val="clear" w:pos="1800"/>
        </w:tabs>
        <w:spacing w:after="120"/>
        <w:ind w:left="1080"/>
        <w:rPr>
          <w:szCs w:val="22"/>
        </w:rPr>
      </w:pPr>
      <w:r w:rsidRPr="007D6D77">
        <w:rPr>
          <w:szCs w:val="22"/>
        </w:rPr>
        <w:t xml:space="preserve">Hard-copy data collection forms will be delivered to a locked area at the </w:t>
      </w:r>
      <w:r w:rsidR="00D064FA" w:rsidRPr="007D6D77">
        <w:rPr>
          <w:szCs w:val="22"/>
        </w:rPr>
        <w:t>external evaluator</w:t>
      </w:r>
      <w:r w:rsidRPr="007D6D77">
        <w:rPr>
          <w:szCs w:val="22"/>
        </w:rPr>
        <w:t>’s office for receipt and processing. The contractor will maintain restricted access to all data preparation areas (i.e., receipt, coding, and data entry). All data files on multi-user systems will be under the control of a database manager, with access limited to project staff on a “need-to-know” basis only.</w:t>
      </w:r>
    </w:p>
    <w:p w14:paraId="53337DA7" w14:textId="77777777" w:rsidR="00C00837" w:rsidRPr="007D6D77" w:rsidRDefault="000D65B0" w:rsidP="004053EC">
      <w:pPr>
        <w:numPr>
          <w:ilvl w:val="0"/>
          <w:numId w:val="1"/>
        </w:numPr>
        <w:tabs>
          <w:tab w:val="clear" w:pos="720"/>
          <w:tab w:val="clear" w:pos="1080"/>
          <w:tab w:val="clear" w:pos="1440"/>
          <w:tab w:val="clear" w:pos="1800"/>
        </w:tabs>
        <w:spacing w:after="120"/>
        <w:ind w:left="1080"/>
        <w:rPr>
          <w:szCs w:val="22"/>
        </w:rPr>
      </w:pPr>
      <w:r w:rsidRPr="007D6D77">
        <w:rPr>
          <w:szCs w:val="22"/>
        </w:rPr>
        <w:t xml:space="preserve">The </w:t>
      </w:r>
      <w:r w:rsidR="00901D14" w:rsidRPr="007D6D77">
        <w:rPr>
          <w:szCs w:val="22"/>
        </w:rPr>
        <w:t>external evaluator</w:t>
      </w:r>
      <w:r w:rsidRPr="007D6D77">
        <w:rPr>
          <w:szCs w:val="22"/>
        </w:rPr>
        <w:t xml:space="preserve">’s security measures </w:t>
      </w:r>
      <w:r w:rsidRPr="007D6D77">
        <w:rPr>
          <w:color w:val="000000"/>
          <w:szCs w:val="22"/>
        </w:rPr>
        <w:t>comply with NASA's privacy and security requirements</w:t>
      </w:r>
    </w:p>
    <w:p w14:paraId="79686228" w14:textId="77777777" w:rsidR="000D65B0" w:rsidRPr="007D6D77" w:rsidRDefault="000D65B0" w:rsidP="004053EC">
      <w:pPr>
        <w:numPr>
          <w:ilvl w:val="0"/>
          <w:numId w:val="1"/>
        </w:numPr>
        <w:tabs>
          <w:tab w:val="clear" w:pos="720"/>
          <w:tab w:val="clear" w:pos="1080"/>
          <w:tab w:val="clear" w:pos="1440"/>
          <w:tab w:val="clear" w:pos="1800"/>
        </w:tabs>
        <w:spacing w:after="120"/>
        <w:ind w:left="1080"/>
        <w:rPr>
          <w:szCs w:val="22"/>
        </w:rPr>
      </w:pPr>
      <w:r w:rsidRPr="007D6D77">
        <w:rPr>
          <w:szCs w:val="22"/>
        </w:rPr>
        <w:t>Individual identifying information will be maintained separately from completed data collection forms and from computerized data files used for analysis.</w:t>
      </w:r>
    </w:p>
    <w:p w14:paraId="348A875A" w14:textId="77777777" w:rsidR="00FA5E8D" w:rsidRPr="007D6D77" w:rsidRDefault="00FA5E8D" w:rsidP="00FA5E8D">
      <w:pPr>
        <w:tabs>
          <w:tab w:val="clear" w:pos="720"/>
          <w:tab w:val="clear" w:pos="1080"/>
          <w:tab w:val="clear" w:pos="1440"/>
          <w:tab w:val="clear" w:pos="1800"/>
        </w:tabs>
        <w:ind w:left="720"/>
        <w:rPr>
          <w:szCs w:val="22"/>
        </w:rPr>
      </w:pPr>
    </w:p>
    <w:p w14:paraId="4177540C" w14:textId="3FBADB36" w:rsidR="000B5116" w:rsidRPr="007D6D77" w:rsidRDefault="00B35992" w:rsidP="00145291">
      <w:pPr>
        <w:pStyle w:val="Heading3"/>
        <w:rPr>
          <w:szCs w:val="24"/>
        </w:rPr>
      </w:pPr>
      <w:bookmarkStart w:id="59" w:name="_Toc341972163"/>
      <w:r w:rsidRPr="007D6D77">
        <w:t>A.11</w:t>
      </w:r>
      <w:r w:rsidRPr="007D6D77">
        <w:tab/>
      </w:r>
      <w:r w:rsidR="000B5116" w:rsidRPr="007D6D77">
        <w:t>PROVIDE ADDITIONAL JUSTIFICATION FOR ANY QUESTIONS OF A SENSITIVE NATURE, SUCH AS SEXUAL BEHAVIOR AND ATTITUDES, RELIGIOUS BELIEFS, AND OTHER MATTERS THAT ARE COMMONLY CONSIDERED PRIVATE.</w:t>
      </w:r>
      <w:bookmarkEnd w:id="59"/>
      <w:r w:rsidR="000B5116" w:rsidRPr="007D6D77">
        <w:rPr>
          <w:szCs w:val="24"/>
        </w:rPr>
        <w:t xml:space="preserve">  </w:t>
      </w:r>
    </w:p>
    <w:p w14:paraId="19E02DB9" w14:textId="77777777" w:rsidR="00A5016D" w:rsidRPr="007D6D77" w:rsidRDefault="00A5016D" w:rsidP="004053EC">
      <w:pPr>
        <w:pStyle w:val="BodyText"/>
        <w:rPr>
          <w:b/>
        </w:rPr>
      </w:pPr>
    </w:p>
    <w:p w14:paraId="4846D21F" w14:textId="77777777" w:rsidR="00B35992" w:rsidRPr="007D6D77" w:rsidRDefault="0062165E" w:rsidP="00A5016D">
      <w:pPr>
        <w:rPr>
          <w:szCs w:val="22"/>
        </w:rPr>
      </w:pPr>
      <w:r>
        <w:t xml:space="preserve">Questions of a sensitive nature are not asked on these survey instruments. </w:t>
      </w:r>
      <w:r w:rsidR="00B35992" w:rsidRPr="007D6D77">
        <w:rPr>
          <w:szCs w:val="22"/>
        </w:rPr>
        <w:t xml:space="preserve"> </w:t>
      </w:r>
    </w:p>
    <w:p w14:paraId="5FF7C6C7" w14:textId="77777777" w:rsidR="00B35992" w:rsidRPr="007D6D77" w:rsidRDefault="00B35992" w:rsidP="004053EC">
      <w:pPr>
        <w:pStyle w:val="BodyText"/>
        <w:rPr>
          <w:szCs w:val="22"/>
        </w:rPr>
      </w:pPr>
    </w:p>
    <w:p w14:paraId="3F91A020" w14:textId="77777777" w:rsidR="00B35992" w:rsidRPr="007D6D77" w:rsidRDefault="00B35992" w:rsidP="00A5016D">
      <w:pPr>
        <w:pStyle w:val="Heading3"/>
      </w:pPr>
      <w:bookmarkStart w:id="60" w:name="_Toc8118889"/>
      <w:bookmarkStart w:id="61" w:name="_Toc81803519"/>
      <w:bookmarkStart w:id="62" w:name="_Toc88301189"/>
      <w:bookmarkStart w:id="63" w:name="_Toc213748183"/>
      <w:bookmarkStart w:id="64" w:name="_Toc341972164"/>
      <w:r w:rsidRPr="007D6D77">
        <w:t>A.12</w:t>
      </w:r>
      <w:r w:rsidRPr="007D6D77">
        <w:tab/>
      </w:r>
      <w:bookmarkEnd w:id="60"/>
      <w:bookmarkEnd w:id="61"/>
      <w:bookmarkEnd w:id="62"/>
      <w:bookmarkEnd w:id="63"/>
      <w:r w:rsidR="00A5016D" w:rsidRPr="007D6D77">
        <w:t>PROVIDE ESTIMATES OF THE HOUR BURDEN OF THE COLLECTION OF INFORMATION.</w:t>
      </w:r>
      <w:bookmarkEnd w:id="64"/>
      <w:r w:rsidR="00A5016D" w:rsidRPr="007D6D77">
        <w:t xml:space="preserve">  </w:t>
      </w:r>
    </w:p>
    <w:p w14:paraId="50B8D1AD" w14:textId="77777777" w:rsidR="005B2EA0" w:rsidRPr="007D6D77" w:rsidRDefault="005B2EA0" w:rsidP="005B2EA0">
      <w:pPr>
        <w:rPr>
          <w:rFonts w:ascii="Arial Narrow" w:hAnsi="Arial Narrow"/>
        </w:rPr>
      </w:pPr>
    </w:p>
    <w:p w14:paraId="16CF83D7" w14:textId="77777777" w:rsidR="005B2EA0" w:rsidRDefault="00B35992" w:rsidP="004053EC">
      <w:pPr>
        <w:pStyle w:val="BodyText"/>
        <w:rPr>
          <w:szCs w:val="22"/>
        </w:rPr>
      </w:pPr>
      <w:r w:rsidRPr="007D6D77">
        <w:rPr>
          <w:szCs w:val="22"/>
        </w:rPr>
        <w:t>Exhibit 2 presents estimates of the reporting burden for the</w:t>
      </w:r>
      <w:r w:rsidR="00C0728F" w:rsidRPr="007D6D77">
        <w:rPr>
          <w:szCs w:val="22"/>
        </w:rPr>
        <w:t xml:space="preserve"> </w:t>
      </w:r>
      <w:r w:rsidR="008552CE" w:rsidRPr="007D6D77">
        <w:rPr>
          <w:szCs w:val="22"/>
        </w:rPr>
        <w:t>youth</w:t>
      </w:r>
      <w:r w:rsidRPr="007D6D77">
        <w:rPr>
          <w:szCs w:val="22"/>
        </w:rPr>
        <w:t xml:space="preserve"> surveys</w:t>
      </w:r>
      <w:r w:rsidR="00D65629">
        <w:rPr>
          <w:szCs w:val="22"/>
        </w:rPr>
        <w:t xml:space="preserve">. </w:t>
      </w:r>
      <w:r w:rsidR="005B2EA0" w:rsidRPr="007D6D77">
        <w:rPr>
          <w:szCs w:val="22"/>
        </w:rPr>
        <w:t>NASA</w:t>
      </w:r>
      <w:r w:rsidRPr="007D6D77">
        <w:rPr>
          <w:szCs w:val="22"/>
        </w:rPr>
        <w:t xml:space="preserve"> estimate</w:t>
      </w:r>
      <w:r w:rsidR="005B2EA0" w:rsidRPr="007D6D77">
        <w:rPr>
          <w:szCs w:val="22"/>
        </w:rPr>
        <w:t>s</w:t>
      </w:r>
      <w:r w:rsidRPr="007D6D77">
        <w:rPr>
          <w:szCs w:val="22"/>
        </w:rPr>
        <w:t xml:space="preserve"> that the annualized response burden</w:t>
      </w:r>
      <w:r w:rsidR="001A5D43" w:rsidRPr="007D6D77">
        <w:rPr>
          <w:szCs w:val="22"/>
        </w:rPr>
        <w:t xml:space="preserve"> for the entire evaluation</w:t>
      </w:r>
      <w:r w:rsidRPr="007D6D77">
        <w:rPr>
          <w:szCs w:val="22"/>
        </w:rPr>
        <w:t xml:space="preserve"> </w:t>
      </w:r>
      <w:r w:rsidR="00C0728F" w:rsidRPr="007D6D77">
        <w:rPr>
          <w:szCs w:val="22"/>
        </w:rPr>
        <w:t>is</w:t>
      </w:r>
      <w:r w:rsidR="00570B26" w:rsidRPr="007D6D77">
        <w:rPr>
          <w:szCs w:val="22"/>
        </w:rPr>
        <w:t xml:space="preserve"> </w:t>
      </w:r>
      <w:r w:rsidR="00D65629">
        <w:rPr>
          <w:szCs w:val="22"/>
        </w:rPr>
        <w:t xml:space="preserve">162 hours. </w:t>
      </w:r>
      <w:r w:rsidR="005B2EA0" w:rsidRPr="007D6D77">
        <w:rPr>
          <w:szCs w:val="22"/>
        </w:rPr>
        <w:t xml:space="preserve">The estimate of the number of respondents is based on </w:t>
      </w:r>
      <w:r w:rsidR="00D65629">
        <w:rPr>
          <w:szCs w:val="22"/>
        </w:rPr>
        <w:t xml:space="preserve">an estimate of the universe of STEM Challenge participants across the participating ten states. This estimate is based on </w:t>
      </w:r>
      <w:r w:rsidR="005B2EA0" w:rsidRPr="007D6D77">
        <w:rPr>
          <w:szCs w:val="22"/>
        </w:rPr>
        <w:t xml:space="preserve">actual </w:t>
      </w:r>
      <w:r w:rsidR="00D65629">
        <w:rPr>
          <w:szCs w:val="22"/>
        </w:rPr>
        <w:t xml:space="preserve">Challenge participation </w:t>
      </w:r>
      <w:r w:rsidR="005B2EA0" w:rsidRPr="007D6D77">
        <w:rPr>
          <w:szCs w:val="22"/>
        </w:rPr>
        <w:t xml:space="preserve">numbers </w:t>
      </w:r>
      <w:r w:rsidR="00D65629">
        <w:rPr>
          <w:szCs w:val="22"/>
        </w:rPr>
        <w:t xml:space="preserve">in FY2014. </w:t>
      </w:r>
    </w:p>
    <w:p w14:paraId="320184AE" w14:textId="77777777" w:rsidR="00D65629" w:rsidRPr="007D6D77" w:rsidRDefault="00D65629" w:rsidP="004053EC">
      <w:pPr>
        <w:pStyle w:val="BodyText"/>
        <w:rPr>
          <w:szCs w:val="22"/>
        </w:rPr>
      </w:pPr>
    </w:p>
    <w:p w14:paraId="7F4BDC2D" w14:textId="77777777" w:rsidR="00457DC6" w:rsidRPr="007D6D77" w:rsidRDefault="008E466A" w:rsidP="00457DC6">
      <w:pPr>
        <w:pStyle w:val="BodyText"/>
        <w:rPr>
          <w:szCs w:val="22"/>
        </w:rPr>
      </w:pPr>
      <w:r w:rsidRPr="007D6D77">
        <w:rPr>
          <w:szCs w:val="22"/>
        </w:rPr>
        <w:t>For the youth surveys, t</w:t>
      </w:r>
      <w:r w:rsidR="00B35992" w:rsidRPr="007D6D77">
        <w:rPr>
          <w:szCs w:val="22"/>
        </w:rPr>
        <w:t xml:space="preserve">his estimate assumes that it will take </w:t>
      </w:r>
      <w:r w:rsidR="008552CE" w:rsidRPr="007D6D77">
        <w:rPr>
          <w:szCs w:val="22"/>
        </w:rPr>
        <w:t>youth</w:t>
      </w:r>
      <w:r w:rsidR="008A383F" w:rsidRPr="007D6D77">
        <w:rPr>
          <w:szCs w:val="22"/>
        </w:rPr>
        <w:t xml:space="preserve">s </w:t>
      </w:r>
      <w:r w:rsidR="00B35992" w:rsidRPr="007D6D77">
        <w:rPr>
          <w:szCs w:val="22"/>
        </w:rPr>
        <w:t xml:space="preserve">about </w:t>
      </w:r>
      <w:r w:rsidR="005045C8" w:rsidRPr="007D6D77">
        <w:rPr>
          <w:szCs w:val="22"/>
        </w:rPr>
        <w:t>6</w:t>
      </w:r>
      <w:r w:rsidR="00B35992" w:rsidRPr="007D6D77">
        <w:rPr>
          <w:szCs w:val="22"/>
        </w:rPr>
        <w:t xml:space="preserve"> minutes to read </w:t>
      </w:r>
      <w:r w:rsidR="00901D14" w:rsidRPr="007D6D77">
        <w:rPr>
          <w:szCs w:val="22"/>
        </w:rPr>
        <w:t>each</w:t>
      </w:r>
      <w:r w:rsidR="00B35992" w:rsidRPr="007D6D77">
        <w:rPr>
          <w:szCs w:val="22"/>
        </w:rPr>
        <w:t xml:space="preserve"> </w:t>
      </w:r>
      <w:r w:rsidR="008A383F" w:rsidRPr="007D6D77">
        <w:rPr>
          <w:szCs w:val="22"/>
        </w:rPr>
        <w:t>survey’s introduction</w:t>
      </w:r>
      <w:r w:rsidR="00B35992" w:rsidRPr="007D6D77">
        <w:rPr>
          <w:szCs w:val="22"/>
        </w:rPr>
        <w:t xml:space="preserve"> and answer the questions. Estimates for the </w:t>
      </w:r>
      <w:r w:rsidR="008552CE" w:rsidRPr="007D6D77">
        <w:rPr>
          <w:szCs w:val="22"/>
        </w:rPr>
        <w:t>youth</w:t>
      </w:r>
      <w:r w:rsidR="00F52F50" w:rsidRPr="007D6D77">
        <w:rPr>
          <w:szCs w:val="22"/>
        </w:rPr>
        <w:t xml:space="preserve"> </w:t>
      </w:r>
      <w:r w:rsidR="00B35992" w:rsidRPr="007D6D77">
        <w:rPr>
          <w:szCs w:val="22"/>
        </w:rPr>
        <w:t xml:space="preserve">burden are based on </w:t>
      </w:r>
      <w:r w:rsidR="00A517C0" w:rsidRPr="007D6D77">
        <w:rPr>
          <w:szCs w:val="22"/>
        </w:rPr>
        <w:t>timed</w:t>
      </w:r>
      <w:r w:rsidR="002D05D4" w:rsidRPr="007D6D77">
        <w:rPr>
          <w:szCs w:val="22"/>
        </w:rPr>
        <w:t xml:space="preserve"> </w:t>
      </w:r>
      <w:r w:rsidR="00457DC6" w:rsidRPr="007D6D77">
        <w:rPr>
          <w:szCs w:val="22"/>
        </w:rPr>
        <w:t>administration of th</w:t>
      </w:r>
      <w:r w:rsidR="00901D14" w:rsidRPr="007D6D77">
        <w:rPr>
          <w:szCs w:val="22"/>
        </w:rPr>
        <w:t>e survey</w:t>
      </w:r>
      <w:r w:rsidR="00457DC6" w:rsidRPr="007D6D77">
        <w:rPr>
          <w:szCs w:val="22"/>
        </w:rPr>
        <w:t xml:space="preserve"> instrument</w:t>
      </w:r>
      <w:r w:rsidR="00901D14" w:rsidRPr="007D6D77">
        <w:rPr>
          <w:szCs w:val="22"/>
        </w:rPr>
        <w:t>s</w:t>
      </w:r>
      <w:r w:rsidR="00457DC6" w:rsidRPr="007D6D77">
        <w:rPr>
          <w:szCs w:val="22"/>
        </w:rPr>
        <w:t xml:space="preserve"> to </w:t>
      </w:r>
      <w:r w:rsidR="005045C8" w:rsidRPr="007D6D77">
        <w:rPr>
          <w:szCs w:val="22"/>
        </w:rPr>
        <w:t>six</w:t>
      </w:r>
      <w:r w:rsidR="00457DC6" w:rsidRPr="007D6D77">
        <w:rPr>
          <w:szCs w:val="22"/>
        </w:rPr>
        <w:t xml:space="preserve"> youth w</w:t>
      </w:r>
      <w:r w:rsidR="00D65629">
        <w:rPr>
          <w:szCs w:val="22"/>
        </w:rPr>
        <w:t xml:space="preserve">ithin the targeted grade range. </w:t>
      </w:r>
    </w:p>
    <w:p w14:paraId="1C4AA9CE" w14:textId="77777777" w:rsidR="008E466A" w:rsidRPr="007D6D77" w:rsidRDefault="008E466A" w:rsidP="004053EC">
      <w:pPr>
        <w:pStyle w:val="BodyText"/>
        <w:rPr>
          <w:szCs w:val="22"/>
        </w:rPr>
      </w:pPr>
    </w:p>
    <w:p w14:paraId="7760F642" w14:textId="77777777" w:rsidR="008E466A" w:rsidRPr="007D6D77" w:rsidRDefault="008E466A" w:rsidP="004053EC">
      <w:pPr>
        <w:pStyle w:val="BodyText"/>
        <w:rPr>
          <w:b/>
        </w:rPr>
      </w:pPr>
      <w:r w:rsidRPr="007D6D77">
        <w:rPr>
          <w:b/>
        </w:rPr>
        <w:t>Provide estimates of annualized cost to respondents for the hour burdens for collections of information, identifying and using appropriate wage rate categories.</w:t>
      </w:r>
    </w:p>
    <w:p w14:paraId="5DD44B8B" w14:textId="77777777" w:rsidR="008E466A" w:rsidRPr="007D6D77" w:rsidRDefault="008E466A" w:rsidP="004053EC">
      <w:pPr>
        <w:pStyle w:val="BodyText"/>
        <w:rPr>
          <w:b/>
        </w:rPr>
      </w:pPr>
    </w:p>
    <w:p w14:paraId="34630038" w14:textId="77777777" w:rsidR="004C1EF4" w:rsidRDefault="004C1EF4" w:rsidP="004C1EF4">
      <w:pPr>
        <w:rPr>
          <w:szCs w:val="22"/>
        </w:rPr>
      </w:pPr>
      <w:r>
        <w:rPr>
          <w:szCs w:val="22"/>
        </w:rPr>
        <w:t>An estimate</w:t>
      </w:r>
      <w:r w:rsidR="00530970" w:rsidRPr="007D6D77">
        <w:rPr>
          <w:szCs w:val="22"/>
        </w:rPr>
        <w:t xml:space="preserve"> of r</w:t>
      </w:r>
      <w:r w:rsidR="008E466A" w:rsidRPr="007D6D77">
        <w:rPr>
          <w:szCs w:val="22"/>
        </w:rPr>
        <w:t>espondents’ time to complete the surveys</w:t>
      </w:r>
      <w:r>
        <w:rPr>
          <w:szCs w:val="22"/>
        </w:rPr>
        <w:t xml:space="preserve"> is</w:t>
      </w:r>
      <w:r w:rsidR="008E466A" w:rsidRPr="007D6D77">
        <w:rPr>
          <w:szCs w:val="22"/>
        </w:rPr>
        <w:t xml:space="preserve"> </w:t>
      </w:r>
      <w:r w:rsidR="00530970" w:rsidRPr="007D6D77">
        <w:rPr>
          <w:szCs w:val="22"/>
        </w:rPr>
        <w:t>provid</w:t>
      </w:r>
      <w:r w:rsidR="008E466A" w:rsidRPr="007D6D77">
        <w:rPr>
          <w:szCs w:val="22"/>
        </w:rPr>
        <w:t>ed in Exhibit 2</w:t>
      </w:r>
      <w:r w:rsidR="00530970" w:rsidRPr="007D6D77">
        <w:rPr>
          <w:szCs w:val="22"/>
        </w:rPr>
        <w:t xml:space="preserve">. </w:t>
      </w:r>
      <w:r w:rsidR="008E466A" w:rsidRPr="007D6D77">
        <w:rPr>
          <w:szCs w:val="22"/>
        </w:rPr>
        <w:t xml:space="preserve">We estimate that the annualized cost burden for their time is </w:t>
      </w:r>
      <w:r w:rsidR="00201587" w:rsidRPr="006F31E7">
        <w:rPr>
          <w:color w:val="000000"/>
          <w:szCs w:val="22"/>
        </w:rPr>
        <w:t>$</w:t>
      </w:r>
      <w:r>
        <w:rPr>
          <w:color w:val="000000"/>
          <w:szCs w:val="22"/>
        </w:rPr>
        <w:t>1,174.50</w:t>
      </w:r>
      <w:r w:rsidR="00201587" w:rsidRPr="006F31E7">
        <w:rPr>
          <w:color w:val="000000"/>
          <w:szCs w:val="22"/>
        </w:rPr>
        <w:t xml:space="preserve"> </w:t>
      </w:r>
      <w:r w:rsidR="008E466A" w:rsidRPr="007D6D77">
        <w:rPr>
          <w:szCs w:val="22"/>
        </w:rPr>
        <w:t xml:space="preserve">for youth </w:t>
      </w:r>
      <w:r>
        <w:rPr>
          <w:szCs w:val="22"/>
        </w:rPr>
        <w:t xml:space="preserve">to complete </w:t>
      </w:r>
      <w:r w:rsidR="008E466A" w:rsidRPr="007D6D77">
        <w:rPr>
          <w:szCs w:val="22"/>
        </w:rPr>
        <w:t>the baseline and follow-up surveys</w:t>
      </w:r>
      <w:r>
        <w:rPr>
          <w:szCs w:val="22"/>
        </w:rPr>
        <w:t xml:space="preserve">. </w:t>
      </w:r>
      <w:r w:rsidR="008E466A" w:rsidRPr="007D6D77">
        <w:rPr>
          <w:szCs w:val="22"/>
        </w:rPr>
        <w:t>The cost burd</w:t>
      </w:r>
      <w:r>
        <w:rPr>
          <w:szCs w:val="22"/>
        </w:rPr>
        <w:t>en associated with the surveys wa</w:t>
      </w:r>
      <w:r w:rsidR="008E466A" w:rsidRPr="007D6D77">
        <w:rPr>
          <w:szCs w:val="22"/>
        </w:rPr>
        <w:t xml:space="preserve">s estimated </w:t>
      </w:r>
      <w:r>
        <w:rPr>
          <w:szCs w:val="22"/>
        </w:rPr>
        <w:t>using</w:t>
      </w:r>
      <w:r w:rsidR="008E466A" w:rsidRPr="007D6D77">
        <w:rPr>
          <w:szCs w:val="22"/>
        </w:rPr>
        <w:t xml:space="preserve"> the federal minimum wage</w:t>
      </w:r>
      <w:r>
        <w:rPr>
          <w:szCs w:val="22"/>
        </w:rPr>
        <w:t xml:space="preserve"> of $7.25. </w:t>
      </w:r>
    </w:p>
    <w:p w14:paraId="550C2D53" w14:textId="77777777" w:rsidR="004C1EF4" w:rsidRDefault="004C1EF4" w:rsidP="008E466A">
      <w:pPr>
        <w:pStyle w:val="BodyText"/>
        <w:rPr>
          <w:szCs w:val="22"/>
        </w:rPr>
      </w:pPr>
    </w:p>
    <w:p w14:paraId="4F339FD8" w14:textId="1964F20E" w:rsidR="004C1EF4" w:rsidRPr="007D6D77" w:rsidRDefault="004C1EF4" w:rsidP="008E466A">
      <w:pPr>
        <w:pStyle w:val="BodyText"/>
        <w:rPr>
          <w:szCs w:val="22"/>
        </w:rPr>
      </w:pPr>
      <w:r>
        <w:rPr>
          <w:szCs w:val="22"/>
        </w:rPr>
        <w:t xml:space="preserve">Exhibit 2. </w:t>
      </w:r>
      <w:r w:rsidRPr="004C1EF4">
        <w:rPr>
          <w:rStyle w:val="ReportBodyTextChar"/>
        </w:rPr>
        <w:t>Estimates of Annualized Burden Hours and Cost for Data Collection</w:t>
      </w:r>
      <w:r w:rsidR="00CC6716">
        <w:rPr>
          <w:rStyle w:val="ReportBodyTextChar"/>
        </w:rPr>
        <w:t>; Data Collection Format</w:t>
      </w:r>
    </w:p>
    <w:p w14:paraId="0A880161" w14:textId="77777777" w:rsidR="004C1EF4" w:rsidRDefault="004C1EF4">
      <w:pPr>
        <w:tabs>
          <w:tab w:val="clear" w:pos="720"/>
          <w:tab w:val="clear" w:pos="1080"/>
          <w:tab w:val="clear" w:pos="1440"/>
          <w:tab w:val="clear" w:pos="1800"/>
        </w:tabs>
        <w:spacing w:line="240" w:lineRule="auto"/>
        <w:rPr>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197"/>
        <w:gridCol w:w="1170"/>
        <w:gridCol w:w="1170"/>
        <w:gridCol w:w="1350"/>
        <w:gridCol w:w="1260"/>
        <w:gridCol w:w="1260"/>
      </w:tblGrid>
      <w:tr w:rsidR="004C1EF4" w:rsidRPr="004C1EF4" w14:paraId="78897E65" w14:textId="77777777" w:rsidTr="004C1EF4">
        <w:trPr>
          <w:trHeight w:val="872"/>
        </w:trPr>
        <w:tc>
          <w:tcPr>
            <w:tcW w:w="1593" w:type="dxa"/>
            <w:shd w:val="clear" w:color="auto" w:fill="auto"/>
            <w:vAlign w:val="bottom"/>
            <w:hideMark/>
          </w:tcPr>
          <w:p w14:paraId="1EA9ACE6" w14:textId="68E86484" w:rsidR="004C1EF4" w:rsidRPr="004C1EF4" w:rsidRDefault="00C075E9" w:rsidP="004C1EF4">
            <w:pPr>
              <w:tabs>
                <w:tab w:val="clear" w:pos="720"/>
                <w:tab w:val="clear" w:pos="1080"/>
                <w:tab w:val="clear" w:pos="1440"/>
                <w:tab w:val="clear" w:pos="1800"/>
              </w:tabs>
              <w:spacing w:line="240" w:lineRule="auto"/>
              <w:jc w:val="center"/>
              <w:rPr>
                <w:b/>
                <w:bCs/>
                <w:color w:val="000000"/>
                <w:sz w:val="18"/>
                <w:szCs w:val="18"/>
              </w:rPr>
            </w:pPr>
            <w:r w:rsidRPr="00C075E9">
              <w:rPr>
                <w:b/>
                <w:bCs/>
                <w:color w:val="000000"/>
                <w:sz w:val="18"/>
                <w:szCs w:val="18"/>
              </w:rPr>
              <w:t>Category of Respondent</w:t>
            </w:r>
          </w:p>
        </w:tc>
        <w:tc>
          <w:tcPr>
            <w:tcW w:w="1197" w:type="dxa"/>
            <w:shd w:val="clear" w:color="auto" w:fill="auto"/>
            <w:vAlign w:val="bottom"/>
            <w:hideMark/>
          </w:tcPr>
          <w:p w14:paraId="6E5AB20B" w14:textId="77777777" w:rsidR="004C1EF4" w:rsidRPr="004C1EF4" w:rsidRDefault="004C1EF4" w:rsidP="004C1EF4">
            <w:pPr>
              <w:tabs>
                <w:tab w:val="clear" w:pos="720"/>
                <w:tab w:val="clear" w:pos="1080"/>
                <w:tab w:val="clear" w:pos="1440"/>
                <w:tab w:val="clear" w:pos="1800"/>
              </w:tabs>
              <w:spacing w:line="240" w:lineRule="auto"/>
              <w:jc w:val="center"/>
              <w:rPr>
                <w:b/>
                <w:bCs/>
                <w:color w:val="000000"/>
                <w:sz w:val="18"/>
                <w:szCs w:val="18"/>
              </w:rPr>
            </w:pPr>
            <w:r w:rsidRPr="004C1EF4">
              <w:rPr>
                <w:b/>
                <w:bCs/>
                <w:color w:val="000000"/>
                <w:sz w:val="18"/>
                <w:szCs w:val="18"/>
              </w:rPr>
              <w:t>Number of Respondents</w:t>
            </w:r>
          </w:p>
        </w:tc>
        <w:tc>
          <w:tcPr>
            <w:tcW w:w="1170" w:type="dxa"/>
            <w:shd w:val="clear" w:color="auto" w:fill="auto"/>
            <w:vAlign w:val="bottom"/>
            <w:hideMark/>
          </w:tcPr>
          <w:p w14:paraId="286D3C92" w14:textId="77777777" w:rsidR="004C1EF4" w:rsidRPr="004C1EF4" w:rsidRDefault="004C1EF4" w:rsidP="004C1EF4">
            <w:pPr>
              <w:tabs>
                <w:tab w:val="clear" w:pos="720"/>
                <w:tab w:val="clear" w:pos="1080"/>
                <w:tab w:val="clear" w:pos="1440"/>
                <w:tab w:val="clear" w:pos="1800"/>
              </w:tabs>
              <w:spacing w:line="240" w:lineRule="auto"/>
              <w:jc w:val="center"/>
              <w:rPr>
                <w:b/>
                <w:bCs/>
                <w:color w:val="000000"/>
                <w:sz w:val="18"/>
                <w:szCs w:val="18"/>
              </w:rPr>
            </w:pPr>
            <w:r w:rsidRPr="004C1EF4">
              <w:rPr>
                <w:b/>
                <w:bCs/>
                <w:color w:val="000000"/>
                <w:sz w:val="18"/>
                <w:szCs w:val="18"/>
              </w:rPr>
              <w:t>Frequency of Response</w:t>
            </w:r>
          </w:p>
        </w:tc>
        <w:tc>
          <w:tcPr>
            <w:tcW w:w="1170" w:type="dxa"/>
            <w:shd w:val="clear" w:color="auto" w:fill="auto"/>
            <w:vAlign w:val="bottom"/>
            <w:hideMark/>
          </w:tcPr>
          <w:p w14:paraId="01B96829" w14:textId="77777777" w:rsidR="004C1EF4" w:rsidRPr="004C1EF4" w:rsidRDefault="004C1EF4" w:rsidP="004C1EF4">
            <w:pPr>
              <w:tabs>
                <w:tab w:val="clear" w:pos="720"/>
                <w:tab w:val="clear" w:pos="1080"/>
                <w:tab w:val="clear" w:pos="1440"/>
                <w:tab w:val="clear" w:pos="1800"/>
              </w:tabs>
              <w:spacing w:line="240" w:lineRule="auto"/>
              <w:jc w:val="center"/>
              <w:rPr>
                <w:b/>
                <w:bCs/>
                <w:color w:val="000000"/>
                <w:sz w:val="18"/>
                <w:szCs w:val="18"/>
              </w:rPr>
            </w:pPr>
            <w:r w:rsidRPr="004C1EF4">
              <w:rPr>
                <w:b/>
                <w:bCs/>
                <w:color w:val="000000"/>
                <w:sz w:val="18"/>
                <w:szCs w:val="18"/>
              </w:rPr>
              <w:t>Total Minutes per Respondent</w:t>
            </w:r>
          </w:p>
        </w:tc>
        <w:tc>
          <w:tcPr>
            <w:tcW w:w="1350" w:type="dxa"/>
            <w:shd w:val="clear" w:color="auto" w:fill="auto"/>
            <w:vAlign w:val="bottom"/>
            <w:hideMark/>
          </w:tcPr>
          <w:p w14:paraId="40DDAC6F" w14:textId="77777777" w:rsidR="004C1EF4" w:rsidRPr="004C1EF4" w:rsidRDefault="004C1EF4" w:rsidP="004C1EF4">
            <w:pPr>
              <w:tabs>
                <w:tab w:val="clear" w:pos="720"/>
                <w:tab w:val="clear" w:pos="1080"/>
                <w:tab w:val="clear" w:pos="1440"/>
                <w:tab w:val="clear" w:pos="1800"/>
              </w:tabs>
              <w:spacing w:line="240" w:lineRule="auto"/>
              <w:jc w:val="center"/>
              <w:rPr>
                <w:b/>
                <w:bCs/>
                <w:color w:val="000000"/>
                <w:sz w:val="18"/>
                <w:szCs w:val="18"/>
              </w:rPr>
            </w:pPr>
            <w:r w:rsidRPr="004C1EF4">
              <w:rPr>
                <w:b/>
                <w:bCs/>
                <w:color w:val="000000"/>
                <w:sz w:val="18"/>
                <w:szCs w:val="18"/>
              </w:rPr>
              <w:t>Total Response Burden in Hours</w:t>
            </w:r>
          </w:p>
        </w:tc>
        <w:tc>
          <w:tcPr>
            <w:tcW w:w="1260" w:type="dxa"/>
            <w:shd w:val="clear" w:color="auto" w:fill="auto"/>
            <w:vAlign w:val="bottom"/>
            <w:hideMark/>
          </w:tcPr>
          <w:p w14:paraId="132CF95E" w14:textId="77777777" w:rsidR="004C1EF4" w:rsidRPr="004C1EF4" w:rsidRDefault="004C1EF4" w:rsidP="004C1EF4">
            <w:pPr>
              <w:tabs>
                <w:tab w:val="clear" w:pos="720"/>
                <w:tab w:val="clear" w:pos="1080"/>
                <w:tab w:val="clear" w:pos="1440"/>
                <w:tab w:val="clear" w:pos="1800"/>
              </w:tabs>
              <w:spacing w:line="240" w:lineRule="auto"/>
              <w:jc w:val="center"/>
              <w:rPr>
                <w:b/>
                <w:bCs/>
                <w:color w:val="000000"/>
                <w:sz w:val="18"/>
                <w:szCs w:val="18"/>
              </w:rPr>
            </w:pPr>
            <w:r w:rsidRPr="004C1EF4">
              <w:rPr>
                <w:b/>
                <w:bCs/>
                <w:color w:val="000000"/>
                <w:sz w:val="18"/>
                <w:szCs w:val="18"/>
              </w:rPr>
              <w:t>Estimated Cost Per Hour</w:t>
            </w:r>
          </w:p>
        </w:tc>
        <w:tc>
          <w:tcPr>
            <w:tcW w:w="1260" w:type="dxa"/>
            <w:shd w:val="clear" w:color="auto" w:fill="auto"/>
            <w:vAlign w:val="bottom"/>
            <w:hideMark/>
          </w:tcPr>
          <w:p w14:paraId="3F6749DD" w14:textId="77777777" w:rsidR="004C1EF4" w:rsidRPr="004C1EF4" w:rsidRDefault="004C1EF4" w:rsidP="004C1EF4">
            <w:pPr>
              <w:tabs>
                <w:tab w:val="clear" w:pos="720"/>
                <w:tab w:val="clear" w:pos="1080"/>
                <w:tab w:val="clear" w:pos="1440"/>
                <w:tab w:val="clear" w:pos="1800"/>
              </w:tabs>
              <w:spacing w:line="240" w:lineRule="auto"/>
              <w:jc w:val="center"/>
              <w:rPr>
                <w:b/>
                <w:bCs/>
                <w:color w:val="000000"/>
                <w:sz w:val="18"/>
                <w:szCs w:val="18"/>
              </w:rPr>
            </w:pPr>
            <w:r w:rsidRPr="004C1EF4">
              <w:rPr>
                <w:b/>
                <w:bCs/>
                <w:color w:val="000000"/>
                <w:sz w:val="18"/>
                <w:szCs w:val="18"/>
              </w:rPr>
              <w:t>Total Cost Burden</w:t>
            </w:r>
          </w:p>
        </w:tc>
      </w:tr>
      <w:tr w:rsidR="004C1EF4" w:rsidRPr="004C1EF4" w14:paraId="2908325D" w14:textId="77777777" w:rsidTr="004C1EF4">
        <w:trPr>
          <w:trHeight w:val="300"/>
        </w:trPr>
        <w:tc>
          <w:tcPr>
            <w:tcW w:w="1593" w:type="dxa"/>
            <w:shd w:val="clear" w:color="auto" w:fill="auto"/>
            <w:vAlign w:val="bottom"/>
            <w:hideMark/>
          </w:tcPr>
          <w:p w14:paraId="4DC2E419" w14:textId="4B12D983" w:rsidR="004C1EF4" w:rsidRPr="004C1EF4" w:rsidRDefault="00C075E9" w:rsidP="004C1EF4">
            <w:pPr>
              <w:tabs>
                <w:tab w:val="clear" w:pos="720"/>
                <w:tab w:val="clear" w:pos="1080"/>
                <w:tab w:val="clear" w:pos="1440"/>
                <w:tab w:val="clear" w:pos="1800"/>
              </w:tabs>
              <w:spacing w:line="240" w:lineRule="auto"/>
              <w:rPr>
                <w:color w:val="000000"/>
                <w:sz w:val="18"/>
                <w:szCs w:val="18"/>
              </w:rPr>
            </w:pPr>
            <w:r>
              <w:rPr>
                <w:color w:val="000000"/>
                <w:sz w:val="18"/>
                <w:szCs w:val="18"/>
              </w:rPr>
              <w:t>Individuals (</w:t>
            </w:r>
            <w:r w:rsidR="00CC6716">
              <w:rPr>
                <w:color w:val="000000"/>
                <w:sz w:val="18"/>
                <w:szCs w:val="18"/>
              </w:rPr>
              <w:t xml:space="preserve">Pre-Post </w:t>
            </w:r>
            <w:r w:rsidR="004C1EF4" w:rsidRPr="004C1EF4">
              <w:rPr>
                <w:color w:val="000000"/>
                <w:sz w:val="18"/>
                <w:szCs w:val="18"/>
              </w:rPr>
              <w:t>Student Surveys</w:t>
            </w:r>
            <w:r>
              <w:rPr>
                <w:color w:val="000000"/>
                <w:sz w:val="18"/>
                <w:szCs w:val="18"/>
              </w:rPr>
              <w:t>)</w:t>
            </w:r>
          </w:p>
        </w:tc>
        <w:tc>
          <w:tcPr>
            <w:tcW w:w="1197" w:type="dxa"/>
            <w:shd w:val="clear" w:color="auto" w:fill="auto"/>
            <w:vAlign w:val="bottom"/>
            <w:hideMark/>
          </w:tcPr>
          <w:p w14:paraId="48B57337" w14:textId="77777777" w:rsidR="004C1EF4" w:rsidRPr="004C1EF4" w:rsidRDefault="004C1EF4" w:rsidP="004C1EF4">
            <w:pPr>
              <w:tabs>
                <w:tab w:val="clear" w:pos="720"/>
                <w:tab w:val="clear" w:pos="1080"/>
                <w:tab w:val="clear" w:pos="1440"/>
                <w:tab w:val="clear" w:pos="1800"/>
              </w:tabs>
              <w:spacing w:line="240" w:lineRule="auto"/>
              <w:jc w:val="center"/>
              <w:rPr>
                <w:color w:val="000000"/>
                <w:sz w:val="18"/>
                <w:szCs w:val="18"/>
              </w:rPr>
            </w:pPr>
            <w:r w:rsidRPr="004C1EF4">
              <w:rPr>
                <w:color w:val="000000"/>
                <w:sz w:val="18"/>
                <w:szCs w:val="18"/>
              </w:rPr>
              <w:t xml:space="preserve">810 </w:t>
            </w:r>
            <w:r w:rsidRPr="004C1EF4">
              <w:rPr>
                <w:color w:val="000000"/>
                <w:sz w:val="18"/>
                <w:szCs w:val="18"/>
                <w:vertAlign w:val="superscript"/>
              </w:rPr>
              <w:t xml:space="preserve">a </w:t>
            </w:r>
          </w:p>
        </w:tc>
        <w:tc>
          <w:tcPr>
            <w:tcW w:w="1170" w:type="dxa"/>
            <w:shd w:val="clear" w:color="auto" w:fill="auto"/>
            <w:vAlign w:val="bottom"/>
            <w:hideMark/>
          </w:tcPr>
          <w:p w14:paraId="7411E08A" w14:textId="77777777" w:rsidR="004C1EF4" w:rsidRPr="004C1EF4" w:rsidRDefault="004C1EF4" w:rsidP="004C1EF4">
            <w:pPr>
              <w:tabs>
                <w:tab w:val="clear" w:pos="720"/>
                <w:tab w:val="clear" w:pos="1080"/>
                <w:tab w:val="clear" w:pos="1440"/>
                <w:tab w:val="clear" w:pos="1800"/>
              </w:tabs>
              <w:spacing w:line="240" w:lineRule="auto"/>
              <w:jc w:val="center"/>
              <w:rPr>
                <w:color w:val="000000"/>
                <w:sz w:val="18"/>
                <w:szCs w:val="18"/>
              </w:rPr>
            </w:pPr>
            <w:r w:rsidRPr="004C1EF4">
              <w:rPr>
                <w:color w:val="000000"/>
                <w:sz w:val="18"/>
                <w:szCs w:val="18"/>
              </w:rPr>
              <w:t>2</w:t>
            </w:r>
          </w:p>
        </w:tc>
        <w:tc>
          <w:tcPr>
            <w:tcW w:w="1170" w:type="dxa"/>
            <w:shd w:val="clear" w:color="auto" w:fill="auto"/>
            <w:vAlign w:val="bottom"/>
            <w:hideMark/>
          </w:tcPr>
          <w:p w14:paraId="6CE00CFC" w14:textId="77777777" w:rsidR="004C1EF4" w:rsidRPr="004C1EF4" w:rsidRDefault="004C1EF4" w:rsidP="004C1EF4">
            <w:pPr>
              <w:tabs>
                <w:tab w:val="clear" w:pos="720"/>
                <w:tab w:val="clear" w:pos="1080"/>
                <w:tab w:val="clear" w:pos="1440"/>
                <w:tab w:val="clear" w:pos="1800"/>
              </w:tabs>
              <w:spacing w:line="240" w:lineRule="auto"/>
              <w:jc w:val="center"/>
              <w:rPr>
                <w:color w:val="000000"/>
                <w:sz w:val="18"/>
                <w:szCs w:val="18"/>
              </w:rPr>
            </w:pPr>
            <w:r w:rsidRPr="004C1EF4">
              <w:rPr>
                <w:color w:val="000000"/>
                <w:sz w:val="18"/>
                <w:szCs w:val="18"/>
              </w:rPr>
              <w:t>6</w:t>
            </w:r>
          </w:p>
        </w:tc>
        <w:tc>
          <w:tcPr>
            <w:tcW w:w="1350" w:type="dxa"/>
            <w:shd w:val="clear" w:color="auto" w:fill="auto"/>
            <w:vAlign w:val="bottom"/>
            <w:hideMark/>
          </w:tcPr>
          <w:p w14:paraId="6A5F0D51" w14:textId="77777777" w:rsidR="004C1EF4" w:rsidRPr="004C1EF4" w:rsidRDefault="004C1EF4" w:rsidP="004C1EF4">
            <w:pPr>
              <w:tabs>
                <w:tab w:val="clear" w:pos="720"/>
                <w:tab w:val="clear" w:pos="1080"/>
                <w:tab w:val="clear" w:pos="1440"/>
                <w:tab w:val="clear" w:pos="1800"/>
              </w:tabs>
              <w:spacing w:line="240" w:lineRule="auto"/>
              <w:jc w:val="center"/>
              <w:rPr>
                <w:color w:val="000000"/>
                <w:sz w:val="18"/>
                <w:szCs w:val="18"/>
              </w:rPr>
            </w:pPr>
            <w:r w:rsidRPr="004C1EF4">
              <w:rPr>
                <w:color w:val="000000"/>
                <w:sz w:val="18"/>
                <w:szCs w:val="18"/>
              </w:rPr>
              <w:t>162</w:t>
            </w:r>
          </w:p>
        </w:tc>
        <w:tc>
          <w:tcPr>
            <w:tcW w:w="1260" w:type="dxa"/>
            <w:shd w:val="clear" w:color="auto" w:fill="auto"/>
            <w:noWrap/>
            <w:vAlign w:val="bottom"/>
            <w:hideMark/>
          </w:tcPr>
          <w:p w14:paraId="5B8EBA4F" w14:textId="77777777" w:rsidR="004C1EF4" w:rsidRPr="004C1EF4" w:rsidRDefault="004C1EF4" w:rsidP="004C1EF4">
            <w:pPr>
              <w:tabs>
                <w:tab w:val="clear" w:pos="720"/>
                <w:tab w:val="clear" w:pos="1080"/>
                <w:tab w:val="clear" w:pos="1440"/>
                <w:tab w:val="clear" w:pos="1800"/>
              </w:tabs>
              <w:spacing w:line="240" w:lineRule="auto"/>
              <w:rPr>
                <w:color w:val="000000"/>
                <w:sz w:val="18"/>
                <w:szCs w:val="18"/>
              </w:rPr>
            </w:pPr>
            <w:r w:rsidRPr="004C1EF4">
              <w:rPr>
                <w:color w:val="000000"/>
                <w:sz w:val="18"/>
                <w:szCs w:val="18"/>
              </w:rPr>
              <w:t xml:space="preserve"> $          7.25</w:t>
            </w:r>
            <w:r w:rsidRPr="004C1EF4">
              <w:rPr>
                <w:color w:val="000000"/>
                <w:sz w:val="18"/>
                <w:szCs w:val="18"/>
                <w:vertAlign w:val="superscript"/>
              </w:rPr>
              <w:t>b</w:t>
            </w:r>
            <w:r w:rsidRPr="004C1EF4">
              <w:rPr>
                <w:color w:val="000000"/>
                <w:sz w:val="18"/>
                <w:szCs w:val="18"/>
              </w:rPr>
              <w:t xml:space="preserve"> </w:t>
            </w:r>
          </w:p>
        </w:tc>
        <w:tc>
          <w:tcPr>
            <w:tcW w:w="1260" w:type="dxa"/>
            <w:shd w:val="clear" w:color="auto" w:fill="auto"/>
            <w:noWrap/>
            <w:vAlign w:val="bottom"/>
            <w:hideMark/>
          </w:tcPr>
          <w:p w14:paraId="0D8E5965" w14:textId="77777777" w:rsidR="004C1EF4" w:rsidRPr="004C1EF4" w:rsidRDefault="004C1EF4" w:rsidP="004C1EF4">
            <w:pPr>
              <w:tabs>
                <w:tab w:val="clear" w:pos="720"/>
                <w:tab w:val="clear" w:pos="1080"/>
                <w:tab w:val="clear" w:pos="1440"/>
                <w:tab w:val="clear" w:pos="1800"/>
              </w:tabs>
              <w:spacing w:line="240" w:lineRule="auto"/>
              <w:rPr>
                <w:color w:val="000000"/>
                <w:sz w:val="18"/>
                <w:szCs w:val="18"/>
              </w:rPr>
            </w:pPr>
            <w:r w:rsidRPr="004C1EF4">
              <w:rPr>
                <w:color w:val="000000"/>
                <w:sz w:val="18"/>
                <w:szCs w:val="18"/>
              </w:rPr>
              <w:t xml:space="preserve"> $     1,174.50 </w:t>
            </w:r>
          </w:p>
        </w:tc>
      </w:tr>
      <w:tr w:rsidR="004C1EF4" w:rsidRPr="004C1EF4" w14:paraId="7A635F0E" w14:textId="77777777" w:rsidTr="004C1EF4">
        <w:trPr>
          <w:trHeight w:val="285"/>
        </w:trPr>
        <w:tc>
          <w:tcPr>
            <w:tcW w:w="1593" w:type="dxa"/>
            <w:shd w:val="clear" w:color="auto" w:fill="auto"/>
            <w:vAlign w:val="bottom"/>
            <w:hideMark/>
          </w:tcPr>
          <w:p w14:paraId="3A80D5E1" w14:textId="77777777" w:rsidR="004C1EF4" w:rsidRPr="004C1EF4" w:rsidRDefault="004C1EF4" w:rsidP="004C1EF4">
            <w:pPr>
              <w:tabs>
                <w:tab w:val="clear" w:pos="720"/>
                <w:tab w:val="clear" w:pos="1080"/>
                <w:tab w:val="clear" w:pos="1440"/>
                <w:tab w:val="clear" w:pos="1800"/>
              </w:tabs>
              <w:spacing w:line="240" w:lineRule="auto"/>
              <w:rPr>
                <w:b/>
                <w:bCs/>
                <w:i/>
                <w:iCs/>
                <w:color w:val="000000"/>
                <w:sz w:val="18"/>
                <w:szCs w:val="18"/>
              </w:rPr>
            </w:pPr>
            <w:r w:rsidRPr="004C1EF4">
              <w:rPr>
                <w:b/>
                <w:bCs/>
                <w:i/>
                <w:iCs/>
                <w:color w:val="000000"/>
                <w:sz w:val="18"/>
                <w:szCs w:val="18"/>
              </w:rPr>
              <w:t>Total Annual Burden</w:t>
            </w:r>
          </w:p>
        </w:tc>
        <w:tc>
          <w:tcPr>
            <w:tcW w:w="1197" w:type="dxa"/>
            <w:shd w:val="clear" w:color="auto" w:fill="auto"/>
            <w:vAlign w:val="bottom"/>
            <w:hideMark/>
          </w:tcPr>
          <w:p w14:paraId="7B99E623" w14:textId="77777777" w:rsidR="004C1EF4" w:rsidRPr="004C1EF4" w:rsidRDefault="004C1EF4" w:rsidP="004C1EF4">
            <w:pPr>
              <w:tabs>
                <w:tab w:val="clear" w:pos="720"/>
                <w:tab w:val="clear" w:pos="1080"/>
                <w:tab w:val="clear" w:pos="1440"/>
                <w:tab w:val="clear" w:pos="1800"/>
              </w:tabs>
              <w:spacing w:line="240" w:lineRule="auto"/>
              <w:jc w:val="center"/>
              <w:rPr>
                <w:b/>
                <w:bCs/>
                <w:color w:val="000000"/>
                <w:sz w:val="18"/>
                <w:szCs w:val="18"/>
              </w:rPr>
            </w:pPr>
            <w:r w:rsidRPr="004C1EF4">
              <w:rPr>
                <w:b/>
                <w:bCs/>
                <w:color w:val="000000"/>
                <w:sz w:val="18"/>
                <w:szCs w:val="18"/>
              </w:rPr>
              <w:t>810</w:t>
            </w:r>
          </w:p>
        </w:tc>
        <w:tc>
          <w:tcPr>
            <w:tcW w:w="1170" w:type="dxa"/>
            <w:shd w:val="clear" w:color="auto" w:fill="auto"/>
            <w:vAlign w:val="bottom"/>
            <w:hideMark/>
          </w:tcPr>
          <w:p w14:paraId="5A1EBEE7" w14:textId="77777777" w:rsidR="004C1EF4" w:rsidRPr="004C1EF4" w:rsidRDefault="004C1EF4" w:rsidP="004C1EF4">
            <w:pPr>
              <w:tabs>
                <w:tab w:val="clear" w:pos="720"/>
                <w:tab w:val="clear" w:pos="1080"/>
                <w:tab w:val="clear" w:pos="1440"/>
                <w:tab w:val="clear" w:pos="1800"/>
              </w:tabs>
              <w:spacing w:line="240" w:lineRule="auto"/>
              <w:jc w:val="center"/>
              <w:rPr>
                <w:b/>
                <w:bCs/>
                <w:color w:val="000000"/>
                <w:sz w:val="18"/>
                <w:szCs w:val="18"/>
              </w:rPr>
            </w:pPr>
            <w:r w:rsidRPr="004C1EF4">
              <w:rPr>
                <w:b/>
                <w:bCs/>
                <w:color w:val="000000"/>
                <w:sz w:val="18"/>
                <w:szCs w:val="18"/>
              </w:rPr>
              <w:t> </w:t>
            </w:r>
          </w:p>
        </w:tc>
        <w:tc>
          <w:tcPr>
            <w:tcW w:w="1170" w:type="dxa"/>
            <w:shd w:val="clear" w:color="auto" w:fill="auto"/>
            <w:vAlign w:val="bottom"/>
            <w:hideMark/>
          </w:tcPr>
          <w:p w14:paraId="688E9D3A" w14:textId="77777777" w:rsidR="004C1EF4" w:rsidRPr="004C1EF4" w:rsidRDefault="004C1EF4" w:rsidP="004C1EF4">
            <w:pPr>
              <w:tabs>
                <w:tab w:val="clear" w:pos="720"/>
                <w:tab w:val="clear" w:pos="1080"/>
                <w:tab w:val="clear" w:pos="1440"/>
                <w:tab w:val="clear" w:pos="1800"/>
              </w:tabs>
              <w:spacing w:line="240" w:lineRule="auto"/>
              <w:jc w:val="center"/>
              <w:rPr>
                <w:b/>
                <w:bCs/>
                <w:color w:val="000000"/>
                <w:sz w:val="18"/>
                <w:szCs w:val="18"/>
              </w:rPr>
            </w:pPr>
            <w:r w:rsidRPr="004C1EF4">
              <w:rPr>
                <w:b/>
                <w:bCs/>
                <w:color w:val="000000"/>
                <w:sz w:val="18"/>
                <w:szCs w:val="18"/>
              </w:rPr>
              <w:t> </w:t>
            </w:r>
          </w:p>
        </w:tc>
        <w:tc>
          <w:tcPr>
            <w:tcW w:w="1350" w:type="dxa"/>
            <w:shd w:val="clear" w:color="auto" w:fill="auto"/>
            <w:vAlign w:val="bottom"/>
            <w:hideMark/>
          </w:tcPr>
          <w:p w14:paraId="423296D5" w14:textId="77777777" w:rsidR="004C1EF4" w:rsidRPr="004C1EF4" w:rsidRDefault="004C1EF4" w:rsidP="004C1EF4">
            <w:pPr>
              <w:tabs>
                <w:tab w:val="clear" w:pos="720"/>
                <w:tab w:val="clear" w:pos="1080"/>
                <w:tab w:val="clear" w:pos="1440"/>
                <w:tab w:val="clear" w:pos="1800"/>
              </w:tabs>
              <w:spacing w:line="240" w:lineRule="auto"/>
              <w:jc w:val="center"/>
              <w:rPr>
                <w:b/>
                <w:bCs/>
                <w:color w:val="000000"/>
                <w:sz w:val="18"/>
                <w:szCs w:val="18"/>
              </w:rPr>
            </w:pPr>
            <w:r w:rsidRPr="004C1EF4">
              <w:rPr>
                <w:b/>
                <w:bCs/>
                <w:color w:val="000000"/>
                <w:sz w:val="18"/>
                <w:szCs w:val="18"/>
              </w:rPr>
              <w:t>162</w:t>
            </w:r>
          </w:p>
        </w:tc>
        <w:tc>
          <w:tcPr>
            <w:tcW w:w="1260" w:type="dxa"/>
            <w:shd w:val="clear" w:color="auto" w:fill="auto"/>
            <w:noWrap/>
            <w:vAlign w:val="bottom"/>
            <w:hideMark/>
          </w:tcPr>
          <w:p w14:paraId="29D13E46" w14:textId="77777777" w:rsidR="004C1EF4" w:rsidRPr="004C1EF4" w:rsidRDefault="004C1EF4" w:rsidP="004C1EF4">
            <w:pPr>
              <w:tabs>
                <w:tab w:val="clear" w:pos="720"/>
                <w:tab w:val="clear" w:pos="1080"/>
                <w:tab w:val="clear" w:pos="1440"/>
                <w:tab w:val="clear" w:pos="1800"/>
              </w:tabs>
              <w:spacing w:line="240" w:lineRule="auto"/>
              <w:rPr>
                <w:color w:val="000000"/>
                <w:sz w:val="18"/>
                <w:szCs w:val="18"/>
              </w:rPr>
            </w:pPr>
            <w:r w:rsidRPr="004C1EF4">
              <w:rPr>
                <w:color w:val="000000"/>
                <w:sz w:val="18"/>
                <w:szCs w:val="18"/>
              </w:rPr>
              <w:t> </w:t>
            </w:r>
          </w:p>
        </w:tc>
        <w:tc>
          <w:tcPr>
            <w:tcW w:w="1260" w:type="dxa"/>
            <w:shd w:val="clear" w:color="auto" w:fill="auto"/>
            <w:noWrap/>
            <w:vAlign w:val="bottom"/>
            <w:hideMark/>
          </w:tcPr>
          <w:p w14:paraId="5B4ED58D" w14:textId="77777777" w:rsidR="004C1EF4" w:rsidRPr="004C1EF4" w:rsidRDefault="004C1EF4" w:rsidP="004C1EF4">
            <w:pPr>
              <w:tabs>
                <w:tab w:val="clear" w:pos="720"/>
                <w:tab w:val="clear" w:pos="1080"/>
                <w:tab w:val="clear" w:pos="1440"/>
                <w:tab w:val="clear" w:pos="1800"/>
              </w:tabs>
              <w:spacing w:line="240" w:lineRule="auto"/>
              <w:rPr>
                <w:color w:val="000000"/>
                <w:sz w:val="18"/>
                <w:szCs w:val="18"/>
              </w:rPr>
            </w:pPr>
            <w:r w:rsidRPr="004C1EF4">
              <w:rPr>
                <w:color w:val="000000"/>
                <w:sz w:val="18"/>
                <w:szCs w:val="18"/>
              </w:rPr>
              <w:t xml:space="preserve"> $     1,174.50 </w:t>
            </w:r>
          </w:p>
        </w:tc>
      </w:tr>
    </w:tbl>
    <w:p w14:paraId="51429E50" w14:textId="77777777" w:rsidR="004C1EF4" w:rsidRDefault="004C1EF4">
      <w:pPr>
        <w:tabs>
          <w:tab w:val="clear" w:pos="720"/>
          <w:tab w:val="clear" w:pos="1080"/>
          <w:tab w:val="clear" w:pos="1440"/>
          <w:tab w:val="clear" w:pos="1800"/>
        </w:tabs>
        <w:spacing w:line="240" w:lineRule="auto"/>
        <w:rPr>
          <w:color w:val="000000"/>
          <w:sz w:val="18"/>
          <w:szCs w:val="18"/>
        </w:rPr>
      </w:pPr>
      <w:proofErr w:type="gramStart"/>
      <w:r w:rsidRPr="004C1EF4">
        <w:rPr>
          <w:color w:val="000000"/>
          <w:sz w:val="18"/>
          <w:szCs w:val="18"/>
          <w:vertAlign w:val="superscript"/>
        </w:rPr>
        <w:t>a</w:t>
      </w:r>
      <w:proofErr w:type="gramEnd"/>
      <w:r w:rsidRPr="004C1EF4">
        <w:rPr>
          <w:color w:val="000000"/>
          <w:sz w:val="18"/>
          <w:szCs w:val="18"/>
        </w:rPr>
        <w:t xml:space="preserve"> Number of respondents based on estimated total universe.</w:t>
      </w:r>
    </w:p>
    <w:p w14:paraId="03C03137" w14:textId="77777777" w:rsidR="008E466A" w:rsidRPr="007D6D77" w:rsidRDefault="004C1EF4" w:rsidP="00D65629">
      <w:pPr>
        <w:tabs>
          <w:tab w:val="clear" w:pos="720"/>
          <w:tab w:val="clear" w:pos="1080"/>
          <w:tab w:val="clear" w:pos="1440"/>
          <w:tab w:val="clear" w:pos="1800"/>
        </w:tabs>
        <w:spacing w:line="240" w:lineRule="auto"/>
        <w:rPr>
          <w:szCs w:val="22"/>
        </w:rPr>
      </w:pPr>
      <w:proofErr w:type="gramStart"/>
      <w:r>
        <w:rPr>
          <w:color w:val="000000"/>
          <w:sz w:val="18"/>
          <w:szCs w:val="18"/>
          <w:vertAlign w:val="superscript"/>
        </w:rPr>
        <w:t>b</w:t>
      </w:r>
      <w:proofErr w:type="gramEnd"/>
      <w:r w:rsidRPr="004C1EF4">
        <w:rPr>
          <w:color w:val="000000"/>
          <w:sz w:val="18"/>
          <w:szCs w:val="18"/>
        </w:rPr>
        <w:t xml:space="preserve"> Estimated cost per hour for youths is calculated based on federal minimum wage of $7.25 per hour effective July 24, 2009.</w:t>
      </w:r>
      <w:r w:rsidR="00BC1A9C" w:rsidRPr="007D6D77">
        <w:rPr>
          <w:szCs w:val="2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1135"/>
        <w:gridCol w:w="1135"/>
      </w:tblGrid>
      <w:tr w:rsidR="00CC6716" w:rsidRPr="00CC6716" w14:paraId="38379C2C" w14:textId="77777777" w:rsidTr="00CC6716">
        <w:trPr>
          <w:jc w:val="center"/>
        </w:trPr>
        <w:tc>
          <w:tcPr>
            <w:tcW w:w="3884" w:type="dxa"/>
            <w:shd w:val="clear" w:color="auto" w:fill="auto"/>
          </w:tcPr>
          <w:p w14:paraId="281BAEFE" w14:textId="60399C36" w:rsidR="00CC6716" w:rsidRPr="00CC6716" w:rsidRDefault="00CC6716" w:rsidP="00727F06">
            <w:pPr>
              <w:pStyle w:val="Heading3"/>
              <w:rPr>
                <w:rFonts w:ascii="Times New Roman" w:hAnsi="Times New Roman"/>
                <w:sz w:val="18"/>
                <w:szCs w:val="18"/>
              </w:rPr>
            </w:pPr>
            <w:r w:rsidRPr="00CC6716">
              <w:rPr>
                <w:rFonts w:ascii="Times New Roman" w:hAnsi="Times New Roman"/>
                <w:b w:val="0"/>
                <w:sz w:val="18"/>
                <w:szCs w:val="18"/>
              </w:rPr>
              <w:lastRenderedPageBreak/>
              <w:t>Information Collection Instrument Title (and form number when applicable)</w:t>
            </w:r>
          </w:p>
        </w:tc>
        <w:tc>
          <w:tcPr>
            <w:tcW w:w="1135" w:type="dxa"/>
          </w:tcPr>
          <w:p w14:paraId="49151027" w14:textId="251528A1" w:rsidR="00CC6716" w:rsidRPr="00CC6716" w:rsidRDefault="00CC6716" w:rsidP="00CC6716">
            <w:pPr>
              <w:pStyle w:val="Heading3"/>
              <w:rPr>
                <w:rFonts w:ascii="Times New Roman" w:hAnsi="Times New Roman"/>
                <w:b w:val="0"/>
                <w:sz w:val="18"/>
                <w:szCs w:val="18"/>
              </w:rPr>
            </w:pPr>
            <w:r w:rsidRPr="00CC6716">
              <w:rPr>
                <w:rFonts w:ascii="Times New Roman" w:hAnsi="Times New Roman"/>
                <w:b w:val="0"/>
                <w:sz w:val="18"/>
                <w:szCs w:val="18"/>
              </w:rPr>
              <w:t>A1 Youth Survey (Baseline)</w:t>
            </w:r>
          </w:p>
        </w:tc>
        <w:tc>
          <w:tcPr>
            <w:tcW w:w="1135" w:type="dxa"/>
          </w:tcPr>
          <w:p w14:paraId="48199141" w14:textId="76EA7610" w:rsidR="00CC6716" w:rsidRPr="00CC6716" w:rsidRDefault="00CC6716" w:rsidP="00CC6716">
            <w:pPr>
              <w:pStyle w:val="Heading3"/>
              <w:rPr>
                <w:rFonts w:ascii="Times New Roman" w:hAnsi="Times New Roman"/>
                <w:b w:val="0"/>
                <w:sz w:val="18"/>
                <w:szCs w:val="18"/>
              </w:rPr>
            </w:pPr>
            <w:r w:rsidRPr="00CC6716">
              <w:rPr>
                <w:rFonts w:ascii="Times New Roman" w:hAnsi="Times New Roman"/>
                <w:b w:val="0"/>
                <w:sz w:val="18"/>
                <w:szCs w:val="18"/>
              </w:rPr>
              <w:t>A3 Youth Survey (Follow-up)</w:t>
            </w:r>
          </w:p>
        </w:tc>
      </w:tr>
      <w:tr w:rsidR="00CC6716" w:rsidRPr="00CC6716" w14:paraId="139B81A4" w14:textId="77777777" w:rsidTr="00CC6716">
        <w:trPr>
          <w:jc w:val="center"/>
        </w:trPr>
        <w:tc>
          <w:tcPr>
            <w:tcW w:w="3884" w:type="dxa"/>
            <w:shd w:val="clear" w:color="auto" w:fill="auto"/>
          </w:tcPr>
          <w:p w14:paraId="0D7A8910" w14:textId="77777777"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 xml:space="preserve">Instrument format (paper or </w:t>
            </w:r>
            <w:proofErr w:type="gramStart"/>
            <w:r w:rsidRPr="00CC6716">
              <w:rPr>
                <w:rFonts w:ascii="Times New Roman" w:hAnsi="Times New Roman"/>
                <w:b w:val="0"/>
                <w:sz w:val="18"/>
                <w:szCs w:val="18"/>
              </w:rPr>
              <w:t>electronic )</w:t>
            </w:r>
            <w:proofErr w:type="gramEnd"/>
            <w:r w:rsidRPr="00CC6716">
              <w:rPr>
                <w:rFonts w:ascii="Times New Roman" w:hAnsi="Times New Roman"/>
                <w:b w:val="0"/>
                <w:sz w:val="18"/>
                <w:szCs w:val="18"/>
              </w:rPr>
              <w:t xml:space="preserve"> </w:t>
            </w:r>
          </w:p>
        </w:tc>
        <w:tc>
          <w:tcPr>
            <w:tcW w:w="1135" w:type="dxa"/>
          </w:tcPr>
          <w:p w14:paraId="30E8D7B2" w14:textId="2192CB72"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Electronic; Paper upon request</w:t>
            </w:r>
          </w:p>
        </w:tc>
        <w:tc>
          <w:tcPr>
            <w:tcW w:w="1135" w:type="dxa"/>
          </w:tcPr>
          <w:p w14:paraId="6FA799EF" w14:textId="5FBBAFF1"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Electronic; Paper upon request</w:t>
            </w:r>
          </w:p>
        </w:tc>
      </w:tr>
      <w:tr w:rsidR="00CC6716" w:rsidRPr="00CC6716" w14:paraId="4BBD256D" w14:textId="77777777" w:rsidTr="00CC6716">
        <w:trPr>
          <w:jc w:val="center"/>
        </w:trPr>
        <w:tc>
          <w:tcPr>
            <w:tcW w:w="3884" w:type="dxa"/>
            <w:shd w:val="clear" w:color="auto" w:fill="auto"/>
          </w:tcPr>
          <w:p w14:paraId="4FC92015" w14:textId="77777777"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If electronic, is the instrument fillable?   Yes/No</w:t>
            </w:r>
          </w:p>
        </w:tc>
        <w:tc>
          <w:tcPr>
            <w:tcW w:w="1135" w:type="dxa"/>
          </w:tcPr>
          <w:p w14:paraId="71E0A59C" w14:textId="38776231"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Yes</w:t>
            </w:r>
          </w:p>
        </w:tc>
        <w:tc>
          <w:tcPr>
            <w:tcW w:w="1135" w:type="dxa"/>
          </w:tcPr>
          <w:p w14:paraId="523E45A9" w14:textId="56FEBD7A"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Yes</w:t>
            </w:r>
          </w:p>
        </w:tc>
      </w:tr>
      <w:tr w:rsidR="00CC6716" w:rsidRPr="00CC6716" w14:paraId="12340B49" w14:textId="77777777" w:rsidTr="00CC6716">
        <w:trPr>
          <w:jc w:val="center"/>
        </w:trPr>
        <w:tc>
          <w:tcPr>
            <w:tcW w:w="3884" w:type="dxa"/>
            <w:shd w:val="clear" w:color="auto" w:fill="auto"/>
          </w:tcPr>
          <w:p w14:paraId="3251A7A2" w14:textId="77777777"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If electronic, is the instrument savable electronically    Yes, No</w:t>
            </w:r>
          </w:p>
        </w:tc>
        <w:tc>
          <w:tcPr>
            <w:tcW w:w="1135" w:type="dxa"/>
          </w:tcPr>
          <w:p w14:paraId="0198ADF3" w14:textId="05B7DCB2"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No</w:t>
            </w:r>
          </w:p>
        </w:tc>
        <w:tc>
          <w:tcPr>
            <w:tcW w:w="1135" w:type="dxa"/>
          </w:tcPr>
          <w:p w14:paraId="5955EA50" w14:textId="3C52B81C"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No</w:t>
            </w:r>
          </w:p>
        </w:tc>
      </w:tr>
      <w:tr w:rsidR="00CC6716" w:rsidRPr="00CC6716" w14:paraId="19AEBA52" w14:textId="77777777" w:rsidTr="00CC6716">
        <w:trPr>
          <w:jc w:val="center"/>
        </w:trPr>
        <w:tc>
          <w:tcPr>
            <w:tcW w:w="3884" w:type="dxa"/>
            <w:shd w:val="clear" w:color="auto" w:fill="auto"/>
          </w:tcPr>
          <w:p w14:paraId="71A1AE3B" w14:textId="77777777"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Can the instrument be filed electronically?  Yes, No</w:t>
            </w:r>
          </w:p>
        </w:tc>
        <w:tc>
          <w:tcPr>
            <w:tcW w:w="1135" w:type="dxa"/>
          </w:tcPr>
          <w:p w14:paraId="62A60EE8" w14:textId="31141F7B"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Yes</w:t>
            </w:r>
          </w:p>
        </w:tc>
        <w:tc>
          <w:tcPr>
            <w:tcW w:w="1135" w:type="dxa"/>
          </w:tcPr>
          <w:p w14:paraId="1796D5B1" w14:textId="6C088AEC" w:rsidR="00CC6716" w:rsidRPr="00CC6716" w:rsidRDefault="00CC6716" w:rsidP="00727F06">
            <w:pPr>
              <w:pStyle w:val="Heading3"/>
              <w:rPr>
                <w:rFonts w:ascii="Times New Roman" w:hAnsi="Times New Roman"/>
                <w:b w:val="0"/>
                <w:sz w:val="18"/>
                <w:szCs w:val="18"/>
              </w:rPr>
            </w:pPr>
            <w:r w:rsidRPr="00CC6716">
              <w:rPr>
                <w:rFonts w:ascii="Times New Roman" w:hAnsi="Times New Roman"/>
                <w:b w:val="0"/>
                <w:sz w:val="18"/>
                <w:szCs w:val="18"/>
              </w:rPr>
              <w:t>Yes</w:t>
            </w:r>
          </w:p>
        </w:tc>
      </w:tr>
    </w:tbl>
    <w:p w14:paraId="526E7C09" w14:textId="77777777" w:rsidR="00727F06" w:rsidRDefault="00727F06" w:rsidP="00145291">
      <w:pPr>
        <w:pStyle w:val="Heading3"/>
      </w:pPr>
      <w:bookmarkStart w:id="65" w:name="_Toc8118890"/>
      <w:bookmarkStart w:id="66" w:name="_Toc81803520"/>
      <w:bookmarkStart w:id="67" w:name="_Toc88301190"/>
      <w:bookmarkStart w:id="68" w:name="_Toc213748184"/>
      <w:bookmarkStart w:id="69" w:name="_Toc341972165"/>
    </w:p>
    <w:p w14:paraId="190E0B85" w14:textId="6DB4F4D1" w:rsidR="00530970" w:rsidRPr="007D6D77" w:rsidRDefault="00B35992" w:rsidP="00CA155B">
      <w:pPr>
        <w:pStyle w:val="Heading3"/>
        <w:rPr>
          <w:szCs w:val="22"/>
        </w:rPr>
      </w:pPr>
      <w:r w:rsidRPr="007D6D77">
        <w:t>A.13</w:t>
      </w:r>
      <w:r w:rsidRPr="007D6D77">
        <w:tab/>
      </w:r>
      <w:bookmarkEnd w:id="65"/>
      <w:bookmarkEnd w:id="66"/>
      <w:bookmarkEnd w:id="67"/>
      <w:bookmarkEnd w:id="68"/>
      <w:r w:rsidR="00530970" w:rsidRPr="007D6D77">
        <w:t>PROVIDE AN ESTIMATE OF THE TOTAL ANNUAL COST BURDEN TO RESPONDENTS OR RECORDKEEPERS RESULTING FROM THE COLLECTION OF INFORMATION.</w:t>
      </w:r>
      <w:bookmarkEnd w:id="69"/>
      <w:r w:rsidR="00530970" w:rsidRPr="007D6D77">
        <w:rPr>
          <w:sz w:val="22"/>
          <w:szCs w:val="22"/>
        </w:rPr>
        <w:t xml:space="preserve">  (</w:t>
      </w:r>
    </w:p>
    <w:p w14:paraId="4ADCA25E" w14:textId="77777777" w:rsidR="004D2F59" w:rsidRPr="007D6D77" w:rsidRDefault="00D65629" w:rsidP="004053EC">
      <w:pPr>
        <w:rPr>
          <w:szCs w:val="22"/>
        </w:rPr>
      </w:pPr>
      <w:r>
        <w:rPr>
          <w:szCs w:val="22"/>
        </w:rPr>
        <w:t>Other than youth’s</w:t>
      </w:r>
      <w:r w:rsidR="00457DC6" w:rsidRPr="007D6D77">
        <w:rPr>
          <w:szCs w:val="22"/>
        </w:rPr>
        <w:t xml:space="preserve"> time to complete the surveys</w:t>
      </w:r>
      <w:r>
        <w:rPr>
          <w:szCs w:val="22"/>
        </w:rPr>
        <w:t xml:space="preserve">, </w:t>
      </w:r>
      <w:r w:rsidR="00457DC6" w:rsidRPr="007D6D77">
        <w:rPr>
          <w:szCs w:val="22"/>
        </w:rPr>
        <w:t xml:space="preserve">which are estimated in Exhibit 2, there are no direct monetary costs to respondents.  </w:t>
      </w:r>
      <w:r w:rsidR="00791847" w:rsidRPr="007D6D77">
        <w:rPr>
          <w:szCs w:val="22"/>
        </w:rPr>
        <w:t xml:space="preserve">That is, there are no capital and start-up costs nor are there total operation and maintenance and purchase of services costs. </w:t>
      </w:r>
    </w:p>
    <w:p w14:paraId="0D4DBAB5" w14:textId="77777777" w:rsidR="00791847" w:rsidRPr="007D6D77" w:rsidRDefault="00791847" w:rsidP="004053EC">
      <w:pPr>
        <w:rPr>
          <w:szCs w:val="22"/>
        </w:rPr>
      </w:pPr>
    </w:p>
    <w:p w14:paraId="7A005AF6" w14:textId="5220F574" w:rsidR="00791847" w:rsidRPr="007D6D77" w:rsidRDefault="00DA670A" w:rsidP="00145291">
      <w:pPr>
        <w:pStyle w:val="Heading3"/>
      </w:pPr>
      <w:bookmarkStart w:id="70" w:name="_Toc8118891"/>
      <w:bookmarkStart w:id="71" w:name="_Toc81803521"/>
      <w:bookmarkStart w:id="72" w:name="_Toc88301191"/>
      <w:bookmarkStart w:id="73" w:name="_Toc213748185"/>
      <w:bookmarkStart w:id="74" w:name="_Toc341972166"/>
      <w:r w:rsidRPr="007D6D77">
        <w:t>A.14</w:t>
      </w:r>
      <w:r w:rsidRPr="007D6D77">
        <w:tab/>
      </w:r>
      <w:bookmarkEnd w:id="70"/>
      <w:bookmarkEnd w:id="71"/>
      <w:bookmarkEnd w:id="72"/>
      <w:bookmarkEnd w:id="73"/>
      <w:r w:rsidR="00791847" w:rsidRPr="007D6D77">
        <w:t>PROVIDE ESTIMATES OF ANNUALIZED COST TO THE FEDERAL GOVERNMENT.</w:t>
      </w:r>
      <w:bookmarkEnd w:id="74"/>
      <w:r w:rsidR="00791847" w:rsidRPr="007D6D77">
        <w:t xml:space="preserve">  </w:t>
      </w:r>
    </w:p>
    <w:p w14:paraId="7AAE8BD2" w14:textId="77777777" w:rsidR="00791847" w:rsidRPr="007D6D77" w:rsidRDefault="00791847" w:rsidP="00DA670A">
      <w:pPr>
        <w:pStyle w:val="BodyText"/>
        <w:rPr>
          <w:szCs w:val="22"/>
        </w:rPr>
      </w:pPr>
    </w:p>
    <w:p w14:paraId="1536EC41" w14:textId="0D10094C" w:rsidR="00DA670A" w:rsidRPr="007D6D77" w:rsidRDefault="00DA670A" w:rsidP="00DA670A">
      <w:pPr>
        <w:pStyle w:val="BodyText"/>
        <w:rPr>
          <w:szCs w:val="22"/>
        </w:rPr>
      </w:pPr>
      <w:r w:rsidRPr="007D6D77">
        <w:rPr>
          <w:szCs w:val="22"/>
        </w:rPr>
        <w:t>Th</w:t>
      </w:r>
      <w:r w:rsidR="00F63A01" w:rsidRPr="007D6D77">
        <w:rPr>
          <w:szCs w:val="22"/>
        </w:rPr>
        <w:t xml:space="preserve">e </w:t>
      </w:r>
      <w:r w:rsidR="00791847" w:rsidRPr="007D6D77">
        <w:rPr>
          <w:szCs w:val="22"/>
        </w:rPr>
        <w:t xml:space="preserve">total </w:t>
      </w:r>
      <w:r w:rsidR="004767BA" w:rsidRPr="007D6D77">
        <w:rPr>
          <w:szCs w:val="22"/>
        </w:rPr>
        <w:t>annualiz</w:t>
      </w:r>
      <w:r w:rsidR="00791847" w:rsidRPr="007D6D77">
        <w:rPr>
          <w:szCs w:val="22"/>
        </w:rPr>
        <w:t xml:space="preserve">ed cost of the </w:t>
      </w:r>
      <w:r w:rsidR="00D65629">
        <w:rPr>
          <w:szCs w:val="22"/>
        </w:rPr>
        <w:t>STEM Challenges</w:t>
      </w:r>
      <w:r w:rsidR="00791847" w:rsidRPr="007D6D77">
        <w:rPr>
          <w:szCs w:val="22"/>
        </w:rPr>
        <w:t xml:space="preserve"> evaluation study is </w:t>
      </w:r>
      <w:r w:rsidR="004767BA" w:rsidRPr="007D6D77">
        <w:rPr>
          <w:szCs w:val="22"/>
        </w:rPr>
        <w:t>$</w:t>
      </w:r>
      <w:r w:rsidR="00D65629">
        <w:rPr>
          <w:szCs w:val="22"/>
        </w:rPr>
        <w:t>200,000</w:t>
      </w:r>
      <w:r w:rsidR="004767BA" w:rsidRPr="007D6D77">
        <w:rPr>
          <w:szCs w:val="22"/>
        </w:rPr>
        <w:t xml:space="preserve"> </w:t>
      </w:r>
      <w:r w:rsidR="00FC39BE">
        <w:rPr>
          <w:szCs w:val="22"/>
        </w:rPr>
        <w:t xml:space="preserve">estimated </w:t>
      </w:r>
      <w:r w:rsidR="004767BA" w:rsidRPr="007D6D77">
        <w:rPr>
          <w:szCs w:val="22"/>
        </w:rPr>
        <w:t xml:space="preserve">based on </w:t>
      </w:r>
      <w:r w:rsidR="00FC39BE">
        <w:rPr>
          <w:szCs w:val="22"/>
        </w:rPr>
        <w:t xml:space="preserve">past </w:t>
      </w:r>
      <w:r w:rsidR="00D65629">
        <w:rPr>
          <w:szCs w:val="22"/>
        </w:rPr>
        <w:t>contract</w:t>
      </w:r>
      <w:r w:rsidR="00FC39BE">
        <w:rPr>
          <w:szCs w:val="22"/>
        </w:rPr>
        <w:t>s</w:t>
      </w:r>
      <w:r w:rsidR="00D65629">
        <w:rPr>
          <w:szCs w:val="22"/>
        </w:rPr>
        <w:t xml:space="preserve"> awarded by NASA. </w:t>
      </w:r>
      <w:r w:rsidR="004767BA" w:rsidRPr="007D6D77">
        <w:rPr>
          <w:szCs w:val="22"/>
        </w:rPr>
        <w:t>Th</w:t>
      </w:r>
      <w:r w:rsidR="00D65629">
        <w:rPr>
          <w:szCs w:val="22"/>
        </w:rPr>
        <w:t>e government estimate for this</w:t>
      </w:r>
      <w:r w:rsidR="004767BA" w:rsidRPr="007D6D77">
        <w:rPr>
          <w:szCs w:val="22"/>
        </w:rPr>
        <w:t xml:space="preserve"> </w:t>
      </w:r>
      <w:r w:rsidR="00D65629">
        <w:rPr>
          <w:szCs w:val="22"/>
        </w:rPr>
        <w:t>contract award</w:t>
      </w:r>
      <w:r w:rsidR="004767BA" w:rsidRPr="007D6D77">
        <w:rPr>
          <w:szCs w:val="22"/>
        </w:rPr>
        <w:t xml:space="preserve"> was developed using actual costs of past contracts for this type of evaluation work</w:t>
      </w:r>
      <w:r w:rsidR="00D65629">
        <w:rPr>
          <w:szCs w:val="22"/>
        </w:rPr>
        <w:t xml:space="preserve"> and on the actual labor rates charged by this </w:t>
      </w:r>
      <w:r w:rsidR="004767BA" w:rsidRPr="007D6D77">
        <w:rPr>
          <w:szCs w:val="22"/>
        </w:rPr>
        <w:t xml:space="preserve">contractor. </w:t>
      </w:r>
    </w:p>
    <w:p w14:paraId="771241EB" w14:textId="77777777" w:rsidR="00B61BC0" w:rsidRPr="007D6D77" w:rsidRDefault="00B61BC0" w:rsidP="00DA670A">
      <w:pPr>
        <w:pStyle w:val="BodyText"/>
        <w:rPr>
          <w:rFonts w:ascii="Arial Narrow" w:hAnsi="Arial Narrow"/>
          <w:b/>
          <w:sz w:val="24"/>
          <w:szCs w:val="24"/>
        </w:rPr>
      </w:pPr>
    </w:p>
    <w:p w14:paraId="1277B914" w14:textId="77777777" w:rsidR="008C09E0" w:rsidRPr="007D6D77" w:rsidRDefault="00DA670A" w:rsidP="00145291">
      <w:pPr>
        <w:pStyle w:val="Heading3"/>
      </w:pPr>
      <w:bookmarkStart w:id="75" w:name="_Toc8118892"/>
      <w:bookmarkStart w:id="76" w:name="_Toc81803522"/>
      <w:bookmarkStart w:id="77" w:name="_Toc88301192"/>
      <w:bookmarkStart w:id="78" w:name="_Toc213748186"/>
      <w:bookmarkStart w:id="79" w:name="_Toc341972167"/>
      <w:r w:rsidRPr="007D6D77">
        <w:t>A.15</w:t>
      </w:r>
      <w:r w:rsidRPr="007D6D77">
        <w:tab/>
      </w:r>
      <w:bookmarkEnd w:id="75"/>
      <w:bookmarkEnd w:id="76"/>
      <w:bookmarkEnd w:id="77"/>
      <w:bookmarkEnd w:id="78"/>
      <w:r w:rsidR="008C09E0" w:rsidRPr="007D6D77">
        <w:t>EXPLAIN THE REASON FOR ANY PROGRAM CHANGES OR ADJUSTMENTS REPORTED IN ITEMS 13 OR 14 OF THE OMB FORM 83-1.</w:t>
      </w:r>
      <w:bookmarkEnd w:id="79"/>
      <w:r w:rsidR="008C09E0" w:rsidRPr="007D6D77">
        <w:t xml:space="preserve">  </w:t>
      </w:r>
    </w:p>
    <w:p w14:paraId="1603EC8A" w14:textId="77777777" w:rsidR="008C09E0" w:rsidRPr="007D6D77" w:rsidRDefault="008C09E0" w:rsidP="00DA670A">
      <w:pPr>
        <w:pStyle w:val="BodyText"/>
        <w:rPr>
          <w:b/>
          <w:sz w:val="28"/>
        </w:rPr>
      </w:pPr>
    </w:p>
    <w:p w14:paraId="2F962D6B" w14:textId="77777777" w:rsidR="00DA670A" w:rsidRPr="007D6D77" w:rsidRDefault="00F756A0" w:rsidP="00DA670A">
      <w:pPr>
        <w:pStyle w:val="BodyText"/>
        <w:rPr>
          <w:szCs w:val="22"/>
        </w:rPr>
      </w:pPr>
      <w:r w:rsidRPr="007D6D77">
        <w:rPr>
          <w:szCs w:val="22"/>
        </w:rPr>
        <w:t>This data collection</w:t>
      </w:r>
      <w:r w:rsidR="00075A98" w:rsidRPr="007D6D77">
        <w:rPr>
          <w:szCs w:val="22"/>
        </w:rPr>
        <w:t xml:space="preserve"> significantly reduces the respondent burden by narrowing </w:t>
      </w:r>
      <w:r w:rsidR="00781C3D">
        <w:rPr>
          <w:szCs w:val="22"/>
        </w:rPr>
        <w:t>the focus of the evaluation to 5</w:t>
      </w:r>
      <w:r w:rsidR="00075A98" w:rsidRPr="007D6D77">
        <w:rPr>
          <w:szCs w:val="22"/>
          <w:vertAlign w:val="superscript"/>
        </w:rPr>
        <w:t>th</w:t>
      </w:r>
      <w:r w:rsidR="00075A98" w:rsidRPr="007D6D77">
        <w:rPr>
          <w:szCs w:val="22"/>
        </w:rPr>
        <w:t xml:space="preserve"> through 8</w:t>
      </w:r>
      <w:r w:rsidR="00075A98" w:rsidRPr="007D6D77">
        <w:rPr>
          <w:szCs w:val="22"/>
          <w:vertAlign w:val="superscript"/>
        </w:rPr>
        <w:t>th</w:t>
      </w:r>
      <w:r w:rsidR="00075A98" w:rsidRPr="007D6D77">
        <w:rPr>
          <w:szCs w:val="22"/>
        </w:rPr>
        <w:t xml:space="preserve"> grade youth participating in </w:t>
      </w:r>
      <w:r w:rsidR="00781C3D">
        <w:rPr>
          <w:szCs w:val="22"/>
        </w:rPr>
        <w:t>STEM Challenges and eliminating information collections from other respondent groups, including parents and teachers</w:t>
      </w:r>
      <w:r w:rsidR="00075A98" w:rsidRPr="007D6D77">
        <w:rPr>
          <w:szCs w:val="22"/>
        </w:rPr>
        <w:t xml:space="preserve">. </w:t>
      </w:r>
    </w:p>
    <w:p w14:paraId="2F59400F" w14:textId="77777777" w:rsidR="008750AE" w:rsidRPr="007D6D77" w:rsidRDefault="008750AE" w:rsidP="00DA670A">
      <w:pPr>
        <w:pStyle w:val="BodyText"/>
        <w:rPr>
          <w:szCs w:val="22"/>
        </w:rPr>
      </w:pPr>
    </w:p>
    <w:p w14:paraId="0DFB3F4B" w14:textId="1FDD5539" w:rsidR="008750AE" w:rsidRPr="007D6D77" w:rsidRDefault="005016F8" w:rsidP="006111ED">
      <w:pPr>
        <w:pStyle w:val="BodyText"/>
        <w:keepNext/>
        <w:keepLines/>
        <w:widowControl w:val="0"/>
        <w:rPr>
          <w:szCs w:val="22"/>
        </w:rPr>
      </w:pPr>
      <w:r>
        <w:rPr>
          <w:szCs w:val="22"/>
        </w:rPr>
        <w:t xml:space="preserve">Exhibit </w:t>
      </w:r>
      <w:r w:rsidR="00CC6716">
        <w:rPr>
          <w:szCs w:val="22"/>
        </w:rPr>
        <w:t>3</w:t>
      </w:r>
      <w:r w:rsidR="008750AE" w:rsidRPr="007D6D77">
        <w:rPr>
          <w:szCs w:val="22"/>
        </w:rPr>
        <w:t>. Program Change</w:t>
      </w:r>
    </w:p>
    <w:tbl>
      <w:tblPr>
        <w:tblW w:w="999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070"/>
        <w:gridCol w:w="1440"/>
        <w:gridCol w:w="1530"/>
        <w:gridCol w:w="1440"/>
        <w:gridCol w:w="1440"/>
      </w:tblGrid>
      <w:tr w:rsidR="005016F8" w:rsidRPr="005016F8" w14:paraId="18DEF9A2" w14:textId="5AEDDAA8" w:rsidTr="00CC6716">
        <w:trPr>
          <w:trHeight w:val="1095"/>
        </w:trPr>
        <w:tc>
          <w:tcPr>
            <w:tcW w:w="2070" w:type="dxa"/>
            <w:shd w:val="clear" w:color="auto" w:fill="auto"/>
            <w:vAlign w:val="bottom"/>
          </w:tcPr>
          <w:p w14:paraId="5BD17AAF" w14:textId="4EA4A150" w:rsidR="005016F8" w:rsidRPr="00CC6716" w:rsidRDefault="005016F8" w:rsidP="006111ED">
            <w:pPr>
              <w:keepNext/>
              <w:keepLines/>
              <w:widowControl w:val="0"/>
              <w:tabs>
                <w:tab w:val="clear" w:pos="720"/>
                <w:tab w:val="clear" w:pos="1080"/>
                <w:tab w:val="clear" w:pos="1440"/>
                <w:tab w:val="clear" w:pos="1800"/>
              </w:tabs>
              <w:spacing w:line="240" w:lineRule="auto"/>
              <w:jc w:val="center"/>
              <w:rPr>
                <w:sz w:val="20"/>
              </w:rPr>
            </w:pPr>
            <w:r w:rsidRPr="00CC6716">
              <w:rPr>
                <w:sz w:val="20"/>
              </w:rPr>
              <w:t>REG. NO.</w:t>
            </w:r>
          </w:p>
        </w:tc>
        <w:tc>
          <w:tcPr>
            <w:tcW w:w="2070" w:type="dxa"/>
            <w:shd w:val="clear" w:color="auto" w:fill="auto"/>
            <w:vAlign w:val="bottom"/>
            <w:hideMark/>
          </w:tcPr>
          <w:p w14:paraId="7AB7CA6D" w14:textId="523B7107" w:rsidR="005016F8" w:rsidRPr="00CC6716" w:rsidRDefault="005016F8" w:rsidP="006111ED">
            <w:pPr>
              <w:keepNext/>
              <w:keepLines/>
              <w:widowControl w:val="0"/>
              <w:tabs>
                <w:tab w:val="clear" w:pos="720"/>
                <w:tab w:val="clear" w:pos="1080"/>
                <w:tab w:val="clear" w:pos="1440"/>
                <w:tab w:val="clear" w:pos="1800"/>
              </w:tabs>
              <w:spacing w:line="240" w:lineRule="auto"/>
              <w:jc w:val="center"/>
              <w:rPr>
                <w:bCs/>
                <w:color w:val="000000"/>
                <w:sz w:val="20"/>
              </w:rPr>
            </w:pPr>
            <w:r w:rsidRPr="00CC6716">
              <w:rPr>
                <w:sz w:val="20"/>
              </w:rPr>
              <w:t>REASON</w:t>
            </w:r>
          </w:p>
        </w:tc>
        <w:tc>
          <w:tcPr>
            <w:tcW w:w="1440" w:type="dxa"/>
            <w:shd w:val="clear" w:color="auto" w:fill="auto"/>
            <w:vAlign w:val="bottom"/>
            <w:hideMark/>
          </w:tcPr>
          <w:p w14:paraId="77DDC1EA" w14:textId="3834219A" w:rsidR="005016F8" w:rsidRPr="00CC6716" w:rsidRDefault="005016F8" w:rsidP="006111ED">
            <w:pPr>
              <w:keepNext/>
              <w:keepLines/>
              <w:widowControl w:val="0"/>
              <w:tabs>
                <w:tab w:val="clear" w:pos="720"/>
                <w:tab w:val="clear" w:pos="1080"/>
                <w:tab w:val="clear" w:pos="1440"/>
                <w:tab w:val="clear" w:pos="1800"/>
              </w:tabs>
              <w:spacing w:line="240" w:lineRule="auto"/>
              <w:jc w:val="center"/>
              <w:rPr>
                <w:bCs/>
                <w:color w:val="000000"/>
                <w:sz w:val="20"/>
              </w:rPr>
            </w:pPr>
            <w:r w:rsidRPr="00CC6716">
              <w:rPr>
                <w:bCs/>
                <w:color w:val="000000"/>
                <w:sz w:val="20"/>
              </w:rPr>
              <w:t>PREVIOUS BURDEN</w:t>
            </w:r>
          </w:p>
        </w:tc>
        <w:tc>
          <w:tcPr>
            <w:tcW w:w="1530" w:type="dxa"/>
            <w:shd w:val="clear" w:color="auto" w:fill="auto"/>
            <w:vAlign w:val="bottom"/>
            <w:hideMark/>
          </w:tcPr>
          <w:p w14:paraId="116513D7" w14:textId="6544A272" w:rsidR="005016F8" w:rsidRPr="00CC6716" w:rsidRDefault="005016F8" w:rsidP="006111ED">
            <w:pPr>
              <w:keepNext/>
              <w:keepLines/>
              <w:widowControl w:val="0"/>
              <w:tabs>
                <w:tab w:val="clear" w:pos="720"/>
                <w:tab w:val="clear" w:pos="1080"/>
                <w:tab w:val="clear" w:pos="1440"/>
                <w:tab w:val="clear" w:pos="1800"/>
              </w:tabs>
              <w:spacing w:line="240" w:lineRule="auto"/>
              <w:jc w:val="center"/>
              <w:rPr>
                <w:bCs/>
                <w:color w:val="000000"/>
                <w:sz w:val="20"/>
              </w:rPr>
            </w:pPr>
            <w:r w:rsidRPr="00CC6716">
              <w:rPr>
                <w:bCs/>
                <w:color w:val="000000"/>
                <w:sz w:val="20"/>
              </w:rPr>
              <w:t>NEW BURDEN</w:t>
            </w:r>
          </w:p>
        </w:tc>
        <w:tc>
          <w:tcPr>
            <w:tcW w:w="1440" w:type="dxa"/>
            <w:shd w:val="clear" w:color="auto" w:fill="auto"/>
            <w:vAlign w:val="bottom"/>
            <w:hideMark/>
          </w:tcPr>
          <w:p w14:paraId="6DB6CCE2" w14:textId="12FC4CAC" w:rsidR="005016F8" w:rsidRPr="00CC6716" w:rsidRDefault="005016F8" w:rsidP="006111ED">
            <w:pPr>
              <w:keepNext/>
              <w:keepLines/>
              <w:widowControl w:val="0"/>
              <w:tabs>
                <w:tab w:val="clear" w:pos="720"/>
                <w:tab w:val="clear" w:pos="1080"/>
                <w:tab w:val="clear" w:pos="1440"/>
                <w:tab w:val="clear" w:pos="1800"/>
              </w:tabs>
              <w:spacing w:line="240" w:lineRule="auto"/>
              <w:jc w:val="center"/>
              <w:rPr>
                <w:bCs/>
                <w:color w:val="000000"/>
                <w:sz w:val="20"/>
              </w:rPr>
            </w:pPr>
            <w:r w:rsidRPr="00CC6716">
              <w:rPr>
                <w:bCs/>
                <w:color w:val="000000"/>
                <w:sz w:val="20"/>
              </w:rPr>
              <w:t>DIFFERENCE</w:t>
            </w:r>
          </w:p>
        </w:tc>
        <w:tc>
          <w:tcPr>
            <w:tcW w:w="1440" w:type="dxa"/>
            <w:shd w:val="clear" w:color="auto" w:fill="auto"/>
            <w:vAlign w:val="bottom"/>
          </w:tcPr>
          <w:p w14:paraId="71EA55F1" w14:textId="74162F95" w:rsidR="005016F8" w:rsidRPr="00CC6716" w:rsidRDefault="005016F8" w:rsidP="006111ED">
            <w:pPr>
              <w:keepNext/>
              <w:keepLines/>
              <w:widowControl w:val="0"/>
              <w:tabs>
                <w:tab w:val="clear" w:pos="720"/>
                <w:tab w:val="clear" w:pos="1080"/>
                <w:tab w:val="clear" w:pos="1440"/>
                <w:tab w:val="clear" w:pos="1800"/>
              </w:tabs>
              <w:spacing w:line="240" w:lineRule="auto"/>
              <w:jc w:val="center"/>
              <w:rPr>
                <w:bCs/>
                <w:color w:val="000000"/>
                <w:sz w:val="20"/>
              </w:rPr>
            </w:pPr>
            <w:r w:rsidRPr="00CC6716">
              <w:rPr>
                <w:bCs/>
                <w:color w:val="000000"/>
                <w:sz w:val="20"/>
              </w:rPr>
              <w:t>TYPE OF CHANGE</w:t>
            </w:r>
          </w:p>
        </w:tc>
      </w:tr>
      <w:tr w:rsidR="005016F8" w:rsidRPr="007D6D77" w14:paraId="14484BCC" w14:textId="45EFE281" w:rsidTr="00CC6716">
        <w:trPr>
          <w:trHeight w:val="555"/>
        </w:trPr>
        <w:tc>
          <w:tcPr>
            <w:tcW w:w="2070" w:type="dxa"/>
            <w:shd w:val="clear" w:color="auto" w:fill="auto"/>
            <w:vAlign w:val="bottom"/>
          </w:tcPr>
          <w:p w14:paraId="0E34B0EF" w14:textId="3A4CF23B" w:rsidR="005016F8" w:rsidRPr="00CC6716" w:rsidRDefault="00CC6716" w:rsidP="006F4762">
            <w:pPr>
              <w:tabs>
                <w:tab w:val="clear" w:pos="720"/>
                <w:tab w:val="clear" w:pos="1080"/>
                <w:tab w:val="clear" w:pos="1440"/>
                <w:tab w:val="clear" w:pos="1800"/>
              </w:tabs>
              <w:spacing w:line="240" w:lineRule="auto"/>
              <w:rPr>
                <w:color w:val="000000"/>
                <w:sz w:val="20"/>
              </w:rPr>
            </w:pPr>
            <w:r w:rsidRPr="00CC6716">
              <w:rPr>
                <w:color w:val="000000"/>
                <w:sz w:val="20"/>
              </w:rPr>
              <w:t>N/A</w:t>
            </w:r>
          </w:p>
        </w:tc>
        <w:tc>
          <w:tcPr>
            <w:tcW w:w="2070" w:type="dxa"/>
            <w:shd w:val="clear" w:color="auto" w:fill="auto"/>
            <w:vAlign w:val="bottom"/>
            <w:hideMark/>
          </w:tcPr>
          <w:p w14:paraId="3D1B7552" w14:textId="0E5C83B0" w:rsidR="005016F8" w:rsidRPr="00CC6716" w:rsidRDefault="005016F8" w:rsidP="006F4762">
            <w:pPr>
              <w:tabs>
                <w:tab w:val="clear" w:pos="720"/>
                <w:tab w:val="clear" w:pos="1080"/>
                <w:tab w:val="clear" w:pos="1440"/>
                <w:tab w:val="clear" w:pos="1800"/>
              </w:tabs>
              <w:spacing w:line="240" w:lineRule="auto"/>
              <w:rPr>
                <w:color w:val="000000"/>
                <w:sz w:val="20"/>
              </w:rPr>
            </w:pPr>
            <w:r w:rsidRPr="00CC6716">
              <w:rPr>
                <w:color w:val="000000"/>
                <w:sz w:val="20"/>
              </w:rPr>
              <w:t xml:space="preserve">Program change: Change in evaluation design; Reduction in respondent types </w:t>
            </w:r>
          </w:p>
        </w:tc>
        <w:tc>
          <w:tcPr>
            <w:tcW w:w="1440" w:type="dxa"/>
            <w:shd w:val="clear" w:color="auto" w:fill="auto"/>
            <w:vAlign w:val="bottom"/>
            <w:hideMark/>
          </w:tcPr>
          <w:p w14:paraId="6170B0D7" w14:textId="77777777" w:rsidR="005016F8" w:rsidRPr="00CC6716" w:rsidRDefault="005016F8" w:rsidP="006111ED">
            <w:pPr>
              <w:tabs>
                <w:tab w:val="clear" w:pos="720"/>
                <w:tab w:val="clear" w:pos="1080"/>
                <w:tab w:val="clear" w:pos="1440"/>
                <w:tab w:val="clear" w:pos="1800"/>
              </w:tabs>
              <w:spacing w:line="240" w:lineRule="auto"/>
              <w:jc w:val="center"/>
              <w:rPr>
                <w:color w:val="000000"/>
                <w:sz w:val="20"/>
              </w:rPr>
            </w:pPr>
            <w:r w:rsidRPr="00CC6716">
              <w:rPr>
                <w:color w:val="000000"/>
                <w:sz w:val="20"/>
              </w:rPr>
              <w:t>822.7 burden hours</w:t>
            </w:r>
          </w:p>
        </w:tc>
        <w:tc>
          <w:tcPr>
            <w:tcW w:w="1530" w:type="dxa"/>
            <w:shd w:val="clear" w:color="auto" w:fill="auto"/>
            <w:vAlign w:val="bottom"/>
            <w:hideMark/>
          </w:tcPr>
          <w:p w14:paraId="3B3D1115" w14:textId="77777777" w:rsidR="005016F8" w:rsidRPr="00CC6716" w:rsidRDefault="005016F8" w:rsidP="006111ED">
            <w:pPr>
              <w:tabs>
                <w:tab w:val="clear" w:pos="720"/>
                <w:tab w:val="clear" w:pos="1080"/>
                <w:tab w:val="clear" w:pos="1440"/>
                <w:tab w:val="clear" w:pos="1800"/>
              </w:tabs>
              <w:spacing w:line="240" w:lineRule="auto"/>
              <w:jc w:val="center"/>
              <w:rPr>
                <w:color w:val="000000"/>
                <w:sz w:val="20"/>
              </w:rPr>
            </w:pPr>
            <w:r w:rsidRPr="00CC6716">
              <w:rPr>
                <w:bCs/>
                <w:color w:val="000000"/>
                <w:sz w:val="20"/>
              </w:rPr>
              <w:t>162</w:t>
            </w:r>
            <w:r w:rsidRPr="00CC6716">
              <w:rPr>
                <w:rFonts w:ascii="Arial Narrow" w:hAnsi="Arial Narrow" w:cs="Calibri"/>
                <w:b/>
                <w:bCs/>
                <w:color w:val="000000"/>
                <w:sz w:val="20"/>
              </w:rPr>
              <w:t xml:space="preserve"> </w:t>
            </w:r>
            <w:r w:rsidRPr="00CC6716">
              <w:rPr>
                <w:bCs/>
                <w:color w:val="000000"/>
                <w:sz w:val="20"/>
              </w:rPr>
              <w:t>burden hours</w:t>
            </w:r>
          </w:p>
        </w:tc>
        <w:tc>
          <w:tcPr>
            <w:tcW w:w="1440" w:type="dxa"/>
            <w:shd w:val="clear" w:color="auto" w:fill="auto"/>
            <w:vAlign w:val="bottom"/>
            <w:hideMark/>
          </w:tcPr>
          <w:p w14:paraId="30C51877" w14:textId="77777777" w:rsidR="005016F8" w:rsidRPr="00CC6716" w:rsidRDefault="005016F8" w:rsidP="006111ED">
            <w:pPr>
              <w:tabs>
                <w:tab w:val="clear" w:pos="720"/>
                <w:tab w:val="clear" w:pos="1080"/>
                <w:tab w:val="clear" w:pos="1440"/>
                <w:tab w:val="clear" w:pos="1800"/>
              </w:tabs>
              <w:spacing w:line="240" w:lineRule="auto"/>
              <w:jc w:val="center"/>
              <w:rPr>
                <w:color w:val="000000"/>
                <w:sz w:val="20"/>
              </w:rPr>
            </w:pPr>
            <w:r w:rsidRPr="00CC6716">
              <w:rPr>
                <w:color w:val="000000"/>
                <w:sz w:val="20"/>
              </w:rPr>
              <w:t>660.7 burden hours</w:t>
            </w:r>
          </w:p>
        </w:tc>
        <w:tc>
          <w:tcPr>
            <w:tcW w:w="1440" w:type="dxa"/>
            <w:shd w:val="clear" w:color="auto" w:fill="auto"/>
            <w:vAlign w:val="bottom"/>
          </w:tcPr>
          <w:p w14:paraId="1ED154B1" w14:textId="73DAF976" w:rsidR="005016F8" w:rsidRPr="00CC6716" w:rsidRDefault="00CC6716" w:rsidP="006111ED">
            <w:pPr>
              <w:tabs>
                <w:tab w:val="clear" w:pos="720"/>
                <w:tab w:val="clear" w:pos="1080"/>
                <w:tab w:val="clear" w:pos="1440"/>
                <w:tab w:val="clear" w:pos="1800"/>
              </w:tabs>
              <w:spacing w:line="240" w:lineRule="auto"/>
              <w:jc w:val="center"/>
              <w:rPr>
                <w:color w:val="000000"/>
                <w:sz w:val="20"/>
              </w:rPr>
            </w:pPr>
            <w:r>
              <w:rPr>
                <w:color w:val="000000"/>
                <w:sz w:val="20"/>
              </w:rPr>
              <w:t>Program change</w:t>
            </w:r>
          </w:p>
        </w:tc>
      </w:tr>
    </w:tbl>
    <w:p w14:paraId="34909E49" w14:textId="77777777" w:rsidR="008C09E0" w:rsidRPr="007D6D77" w:rsidRDefault="008C09E0" w:rsidP="00DA670A">
      <w:pPr>
        <w:pStyle w:val="BodyText"/>
        <w:rPr>
          <w:szCs w:val="22"/>
        </w:rPr>
      </w:pPr>
    </w:p>
    <w:p w14:paraId="67714525" w14:textId="557542F9" w:rsidR="00FF6CC7" w:rsidRPr="007D6D77" w:rsidRDefault="00B35992" w:rsidP="00145291">
      <w:pPr>
        <w:pStyle w:val="Heading3"/>
      </w:pPr>
      <w:bookmarkStart w:id="80" w:name="_Toc8118893"/>
      <w:bookmarkStart w:id="81" w:name="_Toc81803523"/>
      <w:bookmarkStart w:id="82" w:name="_Toc88301193"/>
      <w:bookmarkStart w:id="83" w:name="_Toc213748187"/>
      <w:bookmarkStart w:id="84" w:name="_Toc341972168"/>
      <w:r w:rsidRPr="007D6D77">
        <w:lastRenderedPageBreak/>
        <w:t>A.16</w:t>
      </w:r>
      <w:r w:rsidRPr="007D6D77">
        <w:tab/>
      </w:r>
      <w:bookmarkEnd w:id="80"/>
      <w:bookmarkEnd w:id="81"/>
      <w:bookmarkEnd w:id="82"/>
      <w:bookmarkEnd w:id="83"/>
      <w:r w:rsidR="00FF6CC7" w:rsidRPr="007D6D77">
        <w:t>FOR COLLECTIONS OF INFORMATION WHOSE RESULTS WILL BE PUBLISHED, OUTLINE PLANS FOR TABULATION, AND PUBLICATION.</w:t>
      </w:r>
      <w:bookmarkEnd w:id="84"/>
      <w:r w:rsidR="00FF6CC7" w:rsidRPr="007D6D77">
        <w:t xml:space="preserve">  </w:t>
      </w:r>
    </w:p>
    <w:p w14:paraId="7F767813" w14:textId="77777777" w:rsidR="00FF6CC7" w:rsidRPr="007D6D77" w:rsidRDefault="00FF6CC7" w:rsidP="00B35992">
      <w:pPr>
        <w:pStyle w:val="BodyText"/>
      </w:pPr>
    </w:p>
    <w:p w14:paraId="7EE976B9" w14:textId="6FA48845" w:rsidR="00B35992" w:rsidRPr="007D6D77" w:rsidRDefault="00B35992" w:rsidP="00B35992">
      <w:pPr>
        <w:pStyle w:val="BodyText"/>
      </w:pPr>
      <w:r w:rsidRPr="007D6D77">
        <w:t xml:space="preserve">The schedule shown in Exhibit 3 displays the sequence of activities required to conduct the information collection activities and includes key dates for activities related to data collection, analysis, and reporting. </w:t>
      </w:r>
      <w:r w:rsidR="00C65A5A">
        <w:t>An evaluation report</w:t>
      </w:r>
      <w:r w:rsidRPr="007D6D77">
        <w:t xml:space="preserve"> based on findings from the surveys and </w:t>
      </w:r>
      <w:r w:rsidR="00C65A5A">
        <w:t xml:space="preserve">other evaluation data </w:t>
      </w:r>
      <w:r w:rsidRPr="007D6D77">
        <w:t>will be prepared</w:t>
      </w:r>
      <w:r w:rsidR="00B127F5" w:rsidRPr="007D6D77">
        <w:t>: the outcome evaluation study report</w:t>
      </w:r>
      <w:r w:rsidRPr="007D6D77">
        <w:t xml:space="preserve"> </w:t>
      </w:r>
      <w:r w:rsidR="00C65A5A">
        <w:t xml:space="preserve">is anticipated </w:t>
      </w:r>
      <w:r w:rsidR="00B127F5" w:rsidRPr="007D6D77">
        <w:t xml:space="preserve">by </w:t>
      </w:r>
      <w:r w:rsidR="00C65A5A">
        <w:t>July</w:t>
      </w:r>
      <w:r w:rsidR="00B127F5" w:rsidRPr="007D6D77">
        <w:t xml:space="preserve"> 201</w:t>
      </w:r>
      <w:r w:rsidR="00B328E4">
        <w:t>6</w:t>
      </w:r>
      <w:r w:rsidR="00C65A5A">
        <w:t xml:space="preserve"> and annually thereafter</w:t>
      </w:r>
      <w:r w:rsidRPr="007D6D77">
        <w:t>.</w:t>
      </w:r>
      <w:r w:rsidR="00B328E4">
        <w:t xml:space="preserve"> Please note that this is a notional schedule that may be revised as programmatic details are confirmed. </w:t>
      </w:r>
    </w:p>
    <w:p w14:paraId="5D7C80EE" w14:textId="77777777" w:rsidR="00B35992" w:rsidRPr="007D6D77" w:rsidRDefault="00B35992" w:rsidP="00B35992">
      <w:pPr>
        <w:pStyle w:val="BodyText"/>
      </w:pPr>
    </w:p>
    <w:tbl>
      <w:tblPr>
        <w:tblW w:w="900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227"/>
        <w:gridCol w:w="2093"/>
        <w:gridCol w:w="135"/>
        <w:gridCol w:w="2227"/>
        <w:gridCol w:w="158"/>
        <w:gridCol w:w="2160"/>
      </w:tblGrid>
      <w:tr w:rsidR="001C7AA0" w:rsidRPr="007D6D77" w14:paraId="4C6717ED" w14:textId="77777777" w:rsidTr="001C7AA0">
        <w:trPr>
          <w:gridAfter w:val="2"/>
          <w:wAfter w:w="2318" w:type="dxa"/>
        </w:trPr>
        <w:tc>
          <w:tcPr>
            <w:tcW w:w="2227" w:type="dxa"/>
            <w:tcBorders>
              <w:top w:val="single" w:sz="18" w:space="0" w:color="auto"/>
              <w:left w:val="nil"/>
              <w:bottom w:val="single" w:sz="18" w:space="0" w:color="auto"/>
              <w:right w:val="nil"/>
            </w:tcBorders>
            <w:vAlign w:val="bottom"/>
          </w:tcPr>
          <w:p w14:paraId="0C6B0FB1" w14:textId="77777777" w:rsidR="001C7AA0" w:rsidRPr="007D6D77" w:rsidRDefault="001C7AA0" w:rsidP="001C7AA0">
            <w:pPr>
              <w:pStyle w:val="Table"/>
              <w:spacing w:before="60" w:after="60"/>
              <w:rPr>
                <w:rFonts w:ascii="Times New Roman" w:hAnsi="Times New Roman"/>
                <w:b/>
                <w:bCs/>
              </w:rPr>
            </w:pPr>
            <w:r w:rsidRPr="000E06CF">
              <w:rPr>
                <w:rFonts w:ascii="Times New Roman" w:hAnsi="Times New Roman"/>
                <w:b/>
                <w:bCs/>
              </w:rPr>
              <w:t>Exhibit 4. FY 201</w:t>
            </w:r>
            <w:r>
              <w:rPr>
                <w:rFonts w:ascii="Times New Roman" w:hAnsi="Times New Roman"/>
                <w:b/>
                <w:bCs/>
              </w:rPr>
              <w:t>6</w:t>
            </w:r>
            <w:r w:rsidRPr="000E06CF">
              <w:rPr>
                <w:rFonts w:ascii="Times New Roman" w:hAnsi="Times New Roman"/>
                <w:b/>
                <w:bCs/>
              </w:rPr>
              <w:t xml:space="preserve"> </w:t>
            </w:r>
            <w:r>
              <w:rPr>
                <w:rFonts w:ascii="Times New Roman" w:hAnsi="Times New Roman"/>
                <w:b/>
                <w:bCs/>
              </w:rPr>
              <w:t xml:space="preserve">Sample </w:t>
            </w:r>
            <w:r w:rsidRPr="000E06CF">
              <w:rPr>
                <w:rFonts w:ascii="Times New Roman" w:hAnsi="Times New Roman"/>
                <w:b/>
                <w:bCs/>
              </w:rPr>
              <w:t xml:space="preserve">Evaluation Schedule </w:t>
            </w:r>
          </w:p>
        </w:tc>
        <w:tc>
          <w:tcPr>
            <w:tcW w:w="2228" w:type="dxa"/>
            <w:gridSpan w:val="2"/>
            <w:tcBorders>
              <w:top w:val="single" w:sz="18" w:space="0" w:color="auto"/>
              <w:left w:val="nil"/>
              <w:bottom w:val="single" w:sz="18" w:space="0" w:color="auto"/>
              <w:right w:val="nil"/>
            </w:tcBorders>
            <w:vAlign w:val="bottom"/>
          </w:tcPr>
          <w:p w14:paraId="0245BBFE" w14:textId="77777777" w:rsidR="001C7AA0" w:rsidRPr="007D6D77" w:rsidRDefault="001C7AA0" w:rsidP="001C7AA0">
            <w:pPr>
              <w:pStyle w:val="Table"/>
              <w:spacing w:before="60" w:after="60"/>
              <w:rPr>
                <w:rFonts w:ascii="Times New Roman" w:hAnsi="Times New Roman"/>
                <w:b/>
                <w:bCs/>
              </w:rPr>
            </w:pPr>
          </w:p>
        </w:tc>
        <w:tc>
          <w:tcPr>
            <w:tcW w:w="2227" w:type="dxa"/>
            <w:tcBorders>
              <w:top w:val="single" w:sz="18" w:space="0" w:color="auto"/>
              <w:left w:val="nil"/>
              <w:bottom w:val="single" w:sz="18" w:space="0" w:color="auto"/>
              <w:right w:val="nil"/>
            </w:tcBorders>
            <w:vAlign w:val="bottom"/>
          </w:tcPr>
          <w:p w14:paraId="4849A5B6" w14:textId="77777777" w:rsidR="001C7AA0" w:rsidRPr="007D6D77" w:rsidRDefault="001C7AA0" w:rsidP="001C7AA0">
            <w:pPr>
              <w:pStyle w:val="Table"/>
              <w:spacing w:before="60" w:after="60"/>
              <w:rPr>
                <w:rFonts w:ascii="Times New Roman" w:hAnsi="Times New Roman"/>
                <w:b/>
                <w:bCs/>
              </w:rPr>
            </w:pPr>
          </w:p>
        </w:tc>
      </w:tr>
      <w:tr w:rsidR="001C7AA0" w:rsidRPr="007D6D77" w14:paraId="665E2548" w14:textId="77777777" w:rsidTr="001C7AA0">
        <w:tc>
          <w:tcPr>
            <w:tcW w:w="4320" w:type="dxa"/>
            <w:gridSpan w:val="2"/>
            <w:tcBorders>
              <w:top w:val="single" w:sz="18" w:space="0" w:color="auto"/>
              <w:left w:val="nil"/>
              <w:bottom w:val="single" w:sz="4" w:space="0" w:color="auto"/>
              <w:right w:val="nil"/>
            </w:tcBorders>
            <w:vAlign w:val="bottom"/>
          </w:tcPr>
          <w:p w14:paraId="2A0DC3A7" w14:textId="77777777" w:rsidR="001C7AA0" w:rsidRPr="007D6D77" w:rsidRDefault="001C7AA0" w:rsidP="006111ED">
            <w:pPr>
              <w:pStyle w:val="Table"/>
              <w:spacing w:before="60" w:after="60"/>
              <w:rPr>
                <w:rFonts w:ascii="Times New Roman" w:hAnsi="Times New Roman"/>
                <w:b/>
                <w:bCs/>
              </w:rPr>
            </w:pPr>
            <w:r w:rsidRPr="007D6D77">
              <w:rPr>
                <w:rFonts w:ascii="Times New Roman" w:hAnsi="Times New Roman"/>
                <w:b/>
                <w:bCs/>
              </w:rPr>
              <w:t>Activities and Deliverables</w:t>
            </w:r>
          </w:p>
        </w:tc>
        <w:tc>
          <w:tcPr>
            <w:tcW w:w="2520" w:type="dxa"/>
            <w:gridSpan w:val="3"/>
            <w:tcBorders>
              <w:top w:val="single" w:sz="18" w:space="0" w:color="auto"/>
              <w:left w:val="nil"/>
              <w:bottom w:val="single" w:sz="4" w:space="0" w:color="auto"/>
              <w:right w:val="nil"/>
            </w:tcBorders>
            <w:vAlign w:val="bottom"/>
          </w:tcPr>
          <w:p w14:paraId="6D17AE5D" w14:textId="77777777" w:rsidR="001C7AA0" w:rsidRPr="007D6D77" w:rsidRDefault="001C7AA0" w:rsidP="006111ED">
            <w:pPr>
              <w:pStyle w:val="Table"/>
              <w:spacing w:before="60" w:after="60"/>
              <w:rPr>
                <w:rFonts w:ascii="Times New Roman" w:hAnsi="Times New Roman"/>
                <w:b/>
                <w:bCs/>
              </w:rPr>
            </w:pPr>
            <w:r w:rsidRPr="007D6D77">
              <w:rPr>
                <w:rFonts w:ascii="Times New Roman" w:hAnsi="Times New Roman"/>
                <w:b/>
                <w:bCs/>
              </w:rPr>
              <w:t>Responsible Party</w:t>
            </w:r>
          </w:p>
        </w:tc>
        <w:tc>
          <w:tcPr>
            <w:tcW w:w="2160" w:type="dxa"/>
            <w:tcBorders>
              <w:top w:val="single" w:sz="18" w:space="0" w:color="auto"/>
              <w:left w:val="nil"/>
              <w:bottom w:val="single" w:sz="4" w:space="0" w:color="auto"/>
              <w:right w:val="nil"/>
            </w:tcBorders>
            <w:vAlign w:val="bottom"/>
          </w:tcPr>
          <w:p w14:paraId="408917AD" w14:textId="77777777" w:rsidR="001C7AA0" w:rsidRPr="007D6D77" w:rsidRDefault="001C7AA0" w:rsidP="006111ED">
            <w:pPr>
              <w:pStyle w:val="Table"/>
              <w:spacing w:before="60" w:after="60"/>
              <w:rPr>
                <w:rFonts w:ascii="Times New Roman" w:hAnsi="Times New Roman"/>
                <w:b/>
                <w:bCs/>
              </w:rPr>
            </w:pPr>
            <w:r w:rsidRPr="007D6D77">
              <w:rPr>
                <w:rFonts w:ascii="Times New Roman" w:hAnsi="Times New Roman"/>
                <w:b/>
                <w:bCs/>
              </w:rPr>
              <w:t>Date</w:t>
            </w:r>
          </w:p>
        </w:tc>
      </w:tr>
      <w:tr w:rsidR="001C7AA0" w:rsidRPr="007D6D77" w14:paraId="5EE40118"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44C92867" w14:textId="77777777" w:rsidR="001C7AA0" w:rsidRPr="007D6D77" w:rsidRDefault="001C7AA0" w:rsidP="001C356D">
            <w:pPr>
              <w:pStyle w:val="Table"/>
              <w:spacing w:before="60" w:after="60"/>
              <w:rPr>
                <w:rFonts w:ascii="Times New Roman" w:hAnsi="Times New Roman"/>
              </w:rPr>
            </w:pPr>
            <w:r w:rsidRPr="007D6D77">
              <w:rPr>
                <w:rFonts w:ascii="Times New Roman" w:hAnsi="Times New Roman"/>
              </w:rPr>
              <w:t xml:space="preserve">Kick-off meeting </w:t>
            </w:r>
            <w:r>
              <w:rPr>
                <w:rFonts w:ascii="Times New Roman" w:hAnsi="Times New Roman"/>
              </w:rPr>
              <w:t>with evaluation contractor</w:t>
            </w:r>
          </w:p>
        </w:tc>
        <w:tc>
          <w:tcPr>
            <w:tcW w:w="2520" w:type="dxa"/>
            <w:gridSpan w:val="3"/>
            <w:tcBorders>
              <w:top w:val="single" w:sz="4" w:space="0" w:color="auto"/>
              <w:left w:val="single" w:sz="4" w:space="0" w:color="auto"/>
              <w:bottom w:val="single" w:sz="4" w:space="0" w:color="auto"/>
              <w:right w:val="single" w:sz="4" w:space="0" w:color="auto"/>
            </w:tcBorders>
          </w:tcPr>
          <w:p w14:paraId="741FCACF" w14:textId="77777777" w:rsidR="001C7AA0" w:rsidRPr="007D6D77" w:rsidRDefault="001C7AA0" w:rsidP="00F978C5">
            <w:pPr>
              <w:pStyle w:val="Table"/>
              <w:spacing w:before="60" w:after="60"/>
              <w:rPr>
                <w:rFonts w:ascii="Times New Roman" w:hAnsi="Times New Roman"/>
              </w:rPr>
            </w:pPr>
            <w:r w:rsidRPr="007D6D77">
              <w:rPr>
                <w:rFonts w:ascii="Times New Roman" w:hAnsi="Times New Roman"/>
              </w:rPr>
              <w:t>NASA</w:t>
            </w:r>
          </w:p>
        </w:tc>
        <w:tc>
          <w:tcPr>
            <w:tcW w:w="2160" w:type="dxa"/>
            <w:tcBorders>
              <w:top w:val="single" w:sz="4" w:space="0" w:color="auto"/>
              <w:left w:val="single" w:sz="4" w:space="0" w:color="auto"/>
              <w:bottom w:val="single" w:sz="4" w:space="0" w:color="auto"/>
              <w:right w:val="single" w:sz="4" w:space="0" w:color="auto"/>
            </w:tcBorders>
          </w:tcPr>
          <w:p w14:paraId="02B46DC6" w14:textId="77777777" w:rsidR="001C7AA0" w:rsidRPr="007D6D77" w:rsidRDefault="001C7AA0" w:rsidP="00F978C5">
            <w:pPr>
              <w:pStyle w:val="Table"/>
              <w:spacing w:before="60" w:after="60"/>
              <w:rPr>
                <w:rFonts w:ascii="Times New Roman" w:hAnsi="Times New Roman"/>
              </w:rPr>
            </w:pPr>
            <w:r>
              <w:rPr>
                <w:rFonts w:ascii="Times New Roman" w:hAnsi="Times New Roman"/>
              </w:rPr>
              <w:t>October 2015</w:t>
            </w:r>
          </w:p>
        </w:tc>
      </w:tr>
      <w:tr w:rsidR="001C7AA0" w:rsidRPr="007D6D77" w14:paraId="11B686EB"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6C0AF074" w14:textId="77777777" w:rsidR="001C7AA0" w:rsidRPr="007D6D77" w:rsidRDefault="001C7AA0" w:rsidP="001C356D">
            <w:pPr>
              <w:pStyle w:val="Table"/>
              <w:spacing w:before="60" w:after="60"/>
              <w:rPr>
                <w:rFonts w:ascii="Times New Roman" w:hAnsi="Times New Roman"/>
              </w:rPr>
            </w:pPr>
            <w:r>
              <w:rPr>
                <w:rFonts w:ascii="Times New Roman" w:hAnsi="Times New Roman"/>
              </w:rPr>
              <w:t>Preparation of evaluation plan by contractor</w:t>
            </w:r>
          </w:p>
        </w:tc>
        <w:tc>
          <w:tcPr>
            <w:tcW w:w="2520" w:type="dxa"/>
            <w:gridSpan w:val="3"/>
            <w:tcBorders>
              <w:top w:val="single" w:sz="4" w:space="0" w:color="auto"/>
              <w:left w:val="single" w:sz="4" w:space="0" w:color="auto"/>
              <w:bottom w:val="single" w:sz="4" w:space="0" w:color="auto"/>
              <w:right w:val="single" w:sz="4" w:space="0" w:color="auto"/>
            </w:tcBorders>
          </w:tcPr>
          <w:p w14:paraId="7AB770D9" w14:textId="77777777" w:rsidR="001C7AA0" w:rsidRPr="007D6D77" w:rsidRDefault="001C7AA0" w:rsidP="00B824FC">
            <w:pPr>
              <w:pStyle w:val="Table"/>
              <w:spacing w:before="60" w:after="60"/>
              <w:rPr>
                <w:rFonts w:ascii="Times New Roman" w:hAnsi="Times New Roman"/>
              </w:rPr>
            </w:pPr>
            <w:r w:rsidRPr="007D6D77">
              <w:rPr>
                <w:rFonts w:ascii="Times New Roman" w:hAnsi="Times New Roman"/>
              </w:rPr>
              <w:t>NASA</w:t>
            </w:r>
            <w:r>
              <w:rPr>
                <w:rFonts w:ascii="Times New Roman" w:hAnsi="Times New Roman"/>
              </w:rPr>
              <w:t>, ED, evaluation contractor</w:t>
            </w:r>
          </w:p>
        </w:tc>
        <w:tc>
          <w:tcPr>
            <w:tcW w:w="2160" w:type="dxa"/>
            <w:tcBorders>
              <w:top w:val="single" w:sz="4" w:space="0" w:color="auto"/>
              <w:left w:val="single" w:sz="4" w:space="0" w:color="auto"/>
              <w:bottom w:val="single" w:sz="4" w:space="0" w:color="auto"/>
              <w:right w:val="single" w:sz="4" w:space="0" w:color="auto"/>
            </w:tcBorders>
          </w:tcPr>
          <w:p w14:paraId="6A712572" w14:textId="77777777" w:rsidR="001C7AA0" w:rsidRPr="007D6D77" w:rsidRDefault="001C7AA0" w:rsidP="00F978C5">
            <w:pPr>
              <w:pStyle w:val="Table"/>
              <w:spacing w:before="60" w:after="60"/>
              <w:rPr>
                <w:rFonts w:ascii="Times New Roman" w:hAnsi="Times New Roman"/>
              </w:rPr>
            </w:pPr>
            <w:r>
              <w:rPr>
                <w:rFonts w:ascii="Times New Roman" w:hAnsi="Times New Roman"/>
              </w:rPr>
              <w:t>November – December 2015</w:t>
            </w:r>
          </w:p>
        </w:tc>
      </w:tr>
      <w:tr w:rsidR="001C7AA0" w:rsidRPr="007D6D77" w14:paraId="13C5252B"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2262AC8E" w14:textId="77777777" w:rsidR="001C7AA0" w:rsidRPr="007D6D77" w:rsidRDefault="001C7AA0" w:rsidP="00F22681">
            <w:pPr>
              <w:pStyle w:val="Table"/>
              <w:spacing w:before="60" w:after="60"/>
              <w:rPr>
                <w:rFonts w:ascii="Times New Roman" w:hAnsi="Times New Roman"/>
              </w:rPr>
            </w:pPr>
            <w:r>
              <w:rPr>
                <w:rFonts w:ascii="Times New Roman" w:hAnsi="Times New Roman"/>
              </w:rPr>
              <w:t>Recruitment of external evaluation experts</w:t>
            </w:r>
          </w:p>
        </w:tc>
        <w:tc>
          <w:tcPr>
            <w:tcW w:w="2520" w:type="dxa"/>
            <w:gridSpan w:val="3"/>
            <w:tcBorders>
              <w:top w:val="single" w:sz="4" w:space="0" w:color="auto"/>
              <w:left w:val="single" w:sz="4" w:space="0" w:color="auto"/>
              <w:bottom w:val="single" w:sz="4" w:space="0" w:color="auto"/>
              <w:right w:val="single" w:sz="4" w:space="0" w:color="auto"/>
            </w:tcBorders>
          </w:tcPr>
          <w:p w14:paraId="3E828C7E" w14:textId="77777777" w:rsidR="001C7AA0" w:rsidRPr="007D6D77" w:rsidRDefault="001C7AA0" w:rsidP="00F978C5">
            <w:pPr>
              <w:pStyle w:val="Table"/>
              <w:spacing w:before="60" w:after="60"/>
              <w:rPr>
                <w:rFonts w:ascii="Times New Roman" w:hAnsi="Times New Roman"/>
              </w:rPr>
            </w:pPr>
            <w:r>
              <w:rPr>
                <w:rFonts w:ascii="Times New Roman" w:hAnsi="Times New Roman"/>
              </w:rPr>
              <w:t>Evaluation contractor</w:t>
            </w:r>
          </w:p>
        </w:tc>
        <w:tc>
          <w:tcPr>
            <w:tcW w:w="2160" w:type="dxa"/>
            <w:tcBorders>
              <w:top w:val="single" w:sz="4" w:space="0" w:color="auto"/>
              <w:left w:val="single" w:sz="4" w:space="0" w:color="auto"/>
              <w:bottom w:val="single" w:sz="4" w:space="0" w:color="auto"/>
              <w:right w:val="single" w:sz="4" w:space="0" w:color="auto"/>
            </w:tcBorders>
          </w:tcPr>
          <w:p w14:paraId="31548D80" w14:textId="77777777" w:rsidR="001C7AA0" w:rsidRPr="007D6D77" w:rsidRDefault="001C7AA0" w:rsidP="001C7AA0">
            <w:pPr>
              <w:pStyle w:val="Table"/>
              <w:spacing w:before="60" w:after="60"/>
              <w:rPr>
                <w:rFonts w:ascii="Times New Roman" w:hAnsi="Times New Roman"/>
              </w:rPr>
            </w:pPr>
            <w:r>
              <w:rPr>
                <w:rFonts w:ascii="Times New Roman" w:hAnsi="Times New Roman"/>
              </w:rPr>
              <w:t>November 2015</w:t>
            </w:r>
            <w:r w:rsidRPr="007D6D77">
              <w:rPr>
                <w:rFonts w:ascii="Times New Roman" w:hAnsi="Times New Roman"/>
              </w:rPr>
              <w:t xml:space="preserve"> – January 201</w:t>
            </w:r>
            <w:r>
              <w:rPr>
                <w:rFonts w:ascii="Times New Roman" w:hAnsi="Times New Roman"/>
              </w:rPr>
              <w:t>6</w:t>
            </w:r>
          </w:p>
        </w:tc>
      </w:tr>
      <w:tr w:rsidR="001C7AA0" w:rsidRPr="007D6D77" w14:paraId="63CC54FB"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0D2FA8E8" w14:textId="77777777" w:rsidR="001C7AA0" w:rsidRPr="007D6D77" w:rsidRDefault="001C7AA0" w:rsidP="00B824FC">
            <w:pPr>
              <w:pStyle w:val="Table"/>
              <w:spacing w:before="60" w:after="60"/>
              <w:rPr>
                <w:rFonts w:ascii="Times New Roman" w:hAnsi="Times New Roman"/>
              </w:rPr>
            </w:pPr>
            <w:r w:rsidRPr="007D6D77">
              <w:rPr>
                <w:rFonts w:ascii="Times New Roman" w:hAnsi="Times New Roman"/>
              </w:rPr>
              <w:t>Finalization of evaluation plan</w:t>
            </w:r>
          </w:p>
        </w:tc>
        <w:tc>
          <w:tcPr>
            <w:tcW w:w="2520" w:type="dxa"/>
            <w:gridSpan w:val="3"/>
            <w:tcBorders>
              <w:top w:val="single" w:sz="4" w:space="0" w:color="auto"/>
              <w:left w:val="single" w:sz="4" w:space="0" w:color="auto"/>
              <w:bottom w:val="single" w:sz="4" w:space="0" w:color="auto"/>
              <w:right w:val="single" w:sz="4" w:space="0" w:color="auto"/>
            </w:tcBorders>
          </w:tcPr>
          <w:p w14:paraId="786F8E4A" w14:textId="77777777" w:rsidR="001C7AA0" w:rsidRPr="007D6D77" w:rsidRDefault="001C7AA0" w:rsidP="00B824FC">
            <w:pPr>
              <w:pStyle w:val="Table"/>
              <w:spacing w:before="60" w:after="60"/>
              <w:rPr>
                <w:rFonts w:ascii="Times New Roman" w:hAnsi="Times New Roman"/>
              </w:rPr>
            </w:pPr>
            <w:r>
              <w:rPr>
                <w:rFonts w:ascii="Times New Roman" w:hAnsi="Times New Roman"/>
              </w:rPr>
              <w:t>Evaluation contractor</w:t>
            </w:r>
          </w:p>
        </w:tc>
        <w:tc>
          <w:tcPr>
            <w:tcW w:w="2160" w:type="dxa"/>
            <w:tcBorders>
              <w:top w:val="single" w:sz="4" w:space="0" w:color="auto"/>
              <w:left w:val="single" w:sz="4" w:space="0" w:color="auto"/>
              <w:bottom w:val="single" w:sz="4" w:space="0" w:color="auto"/>
              <w:right w:val="single" w:sz="4" w:space="0" w:color="auto"/>
            </w:tcBorders>
          </w:tcPr>
          <w:p w14:paraId="6AB2AE0F" w14:textId="77777777" w:rsidR="001C7AA0" w:rsidRPr="007D6D77" w:rsidRDefault="001C7AA0" w:rsidP="001C7AA0">
            <w:pPr>
              <w:pStyle w:val="Table"/>
              <w:spacing w:before="60" w:after="60"/>
              <w:rPr>
                <w:rFonts w:ascii="Times New Roman" w:hAnsi="Times New Roman"/>
              </w:rPr>
            </w:pPr>
            <w:r w:rsidRPr="007D6D77">
              <w:rPr>
                <w:rFonts w:ascii="Times New Roman" w:hAnsi="Times New Roman"/>
              </w:rPr>
              <w:t>December 201</w:t>
            </w:r>
            <w:r>
              <w:rPr>
                <w:rFonts w:ascii="Times New Roman" w:hAnsi="Times New Roman"/>
              </w:rPr>
              <w:t>5 – January 2016</w:t>
            </w:r>
          </w:p>
        </w:tc>
      </w:tr>
      <w:tr w:rsidR="001C7AA0" w:rsidRPr="007D6D77" w14:paraId="4407C028"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30E511BA" w14:textId="77777777" w:rsidR="001C7AA0" w:rsidRPr="007D6D77" w:rsidRDefault="001C7AA0" w:rsidP="00B824FC">
            <w:pPr>
              <w:pStyle w:val="Table"/>
              <w:spacing w:before="60" w:after="60"/>
              <w:rPr>
                <w:rFonts w:ascii="Times New Roman" w:hAnsi="Times New Roman"/>
              </w:rPr>
            </w:pPr>
            <w:r>
              <w:rPr>
                <w:rFonts w:ascii="Times New Roman" w:hAnsi="Times New Roman"/>
              </w:rPr>
              <w:t>Orientation of sites; dissemination of evaluation guidance</w:t>
            </w:r>
          </w:p>
        </w:tc>
        <w:tc>
          <w:tcPr>
            <w:tcW w:w="2520" w:type="dxa"/>
            <w:gridSpan w:val="3"/>
            <w:tcBorders>
              <w:top w:val="single" w:sz="4" w:space="0" w:color="auto"/>
              <w:left w:val="single" w:sz="4" w:space="0" w:color="auto"/>
              <w:bottom w:val="single" w:sz="4" w:space="0" w:color="auto"/>
              <w:right w:val="single" w:sz="4" w:space="0" w:color="auto"/>
            </w:tcBorders>
          </w:tcPr>
          <w:p w14:paraId="5EE5DFAA" w14:textId="77777777" w:rsidR="001C7AA0" w:rsidRPr="007D6D77" w:rsidRDefault="001C7AA0" w:rsidP="00B824FC">
            <w:pPr>
              <w:pStyle w:val="Table"/>
              <w:spacing w:before="60" w:after="60"/>
              <w:rPr>
                <w:rFonts w:ascii="Times New Roman" w:hAnsi="Times New Roman"/>
              </w:rPr>
            </w:pPr>
            <w:r>
              <w:rPr>
                <w:rFonts w:ascii="Times New Roman" w:hAnsi="Times New Roman"/>
              </w:rPr>
              <w:t>Evaluation contractor</w:t>
            </w:r>
          </w:p>
        </w:tc>
        <w:tc>
          <w:tcPr>
            <w:tcW w:w="2160" w:type="dxa"/>
            <w:tcBorders>
              <w:top w:val="single" w:sz="4" w:space="0" w:color="auto"/>
              <w:left w:val="single" w:sz="4" w:space="0" w:color="auto"/>
              <w:bottom w:val="single" w:sz="4" w:space="0" w:color="auto"/>
              <w:right w:val="single" w:sz="4" w:space="0" w:color="auto"/>
            </w:tcBorders>
          </w:tcPr>
          <w:p w14:paraId="33C26775" w14:textId="77777777" w:rsidR="001C7AA0" w:rsidRPr="007D6D77" w:rsidRDefault="001C7AA0" w:rsidP="001C7AA0">
            <w:pPr>
              <w:pStyle w:val="Table"/>
              <w:spacing w:before="60" w:after="60"/>
              <w:rPr>
                <w:rFonts w:ascii="Times New Roman" w:hAnsi="Times New Roman"/>
              </w:rPr>
            </w:pPr>
            <w:r>
              <w:rPr>
                <w:rFonts w:ascii="Times New Roman" w:hAnsi="Times New Roman"/>
              </w:rPr>
              <w:t>December 2015 – January 2016</w:t>
            </w:r>
          </w:p>
        </w:tc>
      </w:tr>
      <w:tr w:rsidR="001C7AA0" w:rsidRPr="007D6D77" w14:paraId="56C02A78"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78639166" w14:textId="77777777" w:rsidR="001C7AA0" w:rsidRPr="007D6D77" w:rsidRDefault="001C7AA0" w:rsidP="00B824FC">
            <w:pPr>
              <w:pStyle w:val="Table"/>
              <w:spacing w:before="60" w:after="60"/>
              <w:rPr>
                <w:rFonts w:ascii="Times New Roman" w:hAnsi="Times New Roman"/>
              </w:rPr>
            </w:pPr>
            <w:r w:rsidRPr="007D6D77">
              <w:rPr>
                <w:rFonts w:ascii="Times New Roman" w:hAnsi="Times New Roman"/>
              </w:rPr>
              <w:t>Baseline youth survey collection</w:t>
            </w:r>
            <w:r w:rsidRPr="007D6D77">
              <w:rPr>
                <w:rFonts w:ascii="Times New Roman" w:hAnsi="Times New Roman"/>
                <w:vertAlign w:val="superscript"/>
              </w:rPr>
              <w:t xml:space="preserve"> </w:t>
            </w:r>
          </w:p>
        </w:tc>
        <w:tc>
          <w:tcPr>
            <w:tcW w:w="2520" w:type="dxa"/>
            <w:gridSpan w:val="3"/>
            <w:tcBorders>
              <w:top w:val="single" w:sz="4" w:space="0" w:color="auto"/>
              <w:left w:val="single" w:sz="4" w:space="0" w:color="auto"/>
              <w:bottom w:val="single" w:sz="4" w:space="0" w:color="auto"/>
              <w:right w:val="single" w:sz="4" w:space="0" w:color="auto"/>
            </w:tcBorders>
          </w:tcPr>
          <w:p w14:paraId="1ECDF237" w14:textId="77777777" w:rsidR="001C7AA0" w:rsidRPr="007D6D77" w:rsidRDefault="001C7AA0" w:rsidP="00B824FC">
            <w:pPr>
              <w:pStyle w:val="Table"/>
              <w:spacing w:before="60" w:after="60"/>
              <w:rPr>
                <w:rFonts w:ascii="Times New Roman" w:hAnsi="Times New Roman"/>
              </w:rPr>
            </w:pPr>
            <w:r>
              <w:rPr>
                <w:rFonts w:ascii="Times New Roman" w:hAnsi="Times New Roman"/>
              </w:rPr>
              <w:t xml:space="preserve">Evaluation contractor </w:t>
            </w:r>
            <w:r w:rsidRPr="007D6D77">
              <w:rPr>
                <w:rFonts w:ascii="Times New Roman" w:hAnsi="Times New Roman"/>
              </w:rPr>
              <w:t xml:space="preserve">&amp; site </w:t>
            </w:r>
            <w:r>
              <w:rPr>
                <w:rFonts w:ascii="Times New Roman" w:hAnsi="Times New Roman"/>
              </w:rPr>
              <w:t>coordinators/ instructors</w:t>
            </w:r>
          </w:p>
        </w:tc>
        <w:tc>
          <w:tcPr>
            <w:tcW w:w="2160" w:type="dxa"/>
            <w:tcBorders>
              <w:top w:val="single" w:sz="4" w:space="0" w:color="auto"/>
              <w:left w:val="single" w:sz="4" w:space="0" w:color="auto"/>
              <w:bottom w:val="single" w:sz="4" w:space="0" w:color="auto"/>
              <w:right w:val="single" w:sz="4" w:space="0" w:color="auto"/>
            </w:tcBorders>
          </w:tcPr>
          <w:p w14:paraId="5DD1DAB5" w14:textId="77777777" w:rsidR="001C7AA0" w:rsidRPr="007D6D77" w:rsidRDefault="001C7AA0" w:rsidP="00B824FC">
            <w:pPr>
              <w:pStyle w:val="Table"/>
              <w:spacing w:before="60" w:after="60"/>
              <w:rPr>
                <w:rFonts w:ascii="Times New Roman" w:hAnsi="Times New Roman"/>
              </w:rPr>
            </w:pPr>
            <w:r>
              <w:rPr>
                <w:rFonts w:ascii="Times New Roman" w:hAnsi="Times New Roman"/>
              </w:rPr>
              <w:t>February 2016</w:t>
            </w:r>
          </w:p>
        </w:tc>
      </w:tr>
      <w:tr w:rsidR="001C7AA0" w:rsidRPr="007D6D77" w14:paraId="60556F41"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252A19D5" w14:textId="77777777" w:rsidR="001C7AA0" w:rsidRPr="007D6D77" w:rsidRDefault="001C7AA0" w:rsidP="001C7AA0">
            <w:pPr>
              <w:pStyle w:val="Table"/>
              <w:spacing w:before="60" w:after="60"/>
              <w:rPr>
                <w:rFonts w:ascii="Times New Roman" w:hAnsi="Times New Roman"/>
              </w:rPr>
            </w:pPr>
            <w:r w:rsidRPr="007D6D77">
              <w:rPr>
                <w:rFonts w:ascii="Times New Roman" w:hAnsi="Times New Roman"/>
              </w:rPr>
              <w:t>Follow-up youth survey collection</w:t>
            </w:r>
          </w:p>
        </w:tc>
        <w:tc>
          <w:tcPr>
            <w:tcW w:w="2520" w:type="dxa"/>
            <w:gridSpan w:val="3"/>
            <w:tcBorders>
              <w:top w:val="single" w:sz="4" w:space="0" w:color="auto"/>
              <w:left w:val="single" w:sz="4" w:space="0" w:color="auto"/>
              <w:bottom w:val="single" w:sz="4" w:space="0" w:color="auto"/>
              <w:right w:val="single" w:sz="4" w:space="0" w:color="auto"/>
            </w:tcBorders>
          </w:tcPr>
          <w:p w14:paraId="5B2DCADB" w14:textId="77777777" w:rsidR="001C7AA0" w:rsidRPr="007D6D77" w:rsidRDefault="001C7AA0" w:rsidP="001C7AA0">
            <w:pPr>
              <w:pStyle w:val="Table"/>
              <w:spacing w:before="60" w:after="60"/>
              <w:rPr>
                <w:rFonts w:ascii="Times New Roman" w:hAnsi="Times New Roman"/>
              </w:rPr>
            </w:pPr>
            <w:r>
              <w:rPr>
                <w:rFonts w:ascii="Times New Roman" w:hAnsi="Times New Roman"/>
              </w:rPr>
              <w:t>Evaluation contractor</w:t>
            </w:r>
          </w:p>
        </w:tc>
        <w:tc>
          <w:tcPr>
            <w:tcW w:w="2160" w:type="dxa"/>
            <w:tcBorders>
              <w:top w:val="single" w:sz="4" w:space="0" w:color="auto"/>
              <w:left w:val="single" w:sz="4" w:space="0" w:color="auto"/>
              <w:bottom w:val="single" w:sz="4" w:space="0" w:color="auto"/>
              <w:right w:val="single" w:sz="4" w:space="0" w:color="auto"/>
            </w:tcBorders>
          </w:tcPr>
          <w:p w14:paraId="06CC2288" w14:textId="77777777" w:rsidR="001C7AA0" w:rsidRPr="007D6D77" w:rsidRDefault="001C7AA0" w:rsidP="001C7AA0">
            <w:pPr>
              <w:pStyle w:val="Table"/>
              <w:spacing w:before="60" w:after="60"/>
              <w:rPr>
                <w:rFonts w:ascii="Times New Roman" w:hAnsi="Times New Roman"/>
              </w:rPr>
            </w:pPr>
            <w:r>
              <w:rPr>
                <w:rFonts w:ascii="Times New Roman" w:hAnsi="Times New Roman"/>
              </w:rPr>
              <w:t>May 2016</w:t>
            </w:r>
          </w:p>
        </w:tc>
      </w:tr>
      <w:tr w:rsidR="001C7AA0" w:rsidRPr="007D6D77" w14:paraId="4414F80D"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489A0520" w14:textId="77777777" w:rsidR="001C7AA0" w:rsidRPr="007D6D77" w:rsidRDefault="001C7AA0" w:rsidP="001C7AA0">
            <w:pPr>
              <w:pStyle w:val="Table"/>
              <w:spacing w:before="60" w:after="60"/>
              <w:rPr>
                <w:rFonts w:ascii="Times New Roman" w:hAnsi="Times New Roman"/>
              </w:rPr>
            </w:pPr>
            <w:r w:rsidRPr="007D6D77">
              <w:rPr>
                <w:rFonts w:ascii="Times New Roman" w:hAnsi="Times New Roman"/>
              </w:rPr>
              <w:t>Data analysis of baseline/follow-up youth survey</w:t>
            </w:r>
            <w:r>
              <w:rPr>
                <w:rFonts w:ascii="Times New Roman" w:hAnsi="Times New Roman"/>
              </w:rPr>
              <w:t>s, including non-response bias analysis</w:t>
            </w:r>
          </w:p>
        </w:tc>
        <w:tc>
          <w:tcPr>
            <w:tcW w:w="2520" w:type="dxa"/>
            <w:gridSpan w:val="3"/>
            <w:tcBorders>
              <w:top w:val="single" w:sz="4" w:space="0" w:color="auto"/>
              <w:left w:val="single" w:sz="4" w:space="0" w:color="auto"/>
              <w:bottom w:val="single" w:sz="4" w:space="0" w:color="auto"/>
              <w:right w:val="single" w:sz="4" w:space="0" w:color="auto"/>
            </w:tcBorders>
          </w:tcPr>
          <w:p w14:paraId="57C387C5" w14:textId="77777777" w:rsidR="001C7AA0" w:rsidRPr="007D6D77" w:rsidRDefault="001C7AA0" w:rsidP="001C7AA0">
            <w:pPr>
              <w:pStyle w:val="Table"/>
              <w:spacing w:before="60" w:after="60"/>
              <w:rPr>
                <w:rFonts w:ascii="Times New Roman" w:hAnsi="Times New Roman"/>
              </w:rPr>
            </w:pPr>
            <w:r>
              <w:rPr>
                <w:rFonts w:ascii="Times New Roman" w:hAnsi="Times New Roman"/>
              </w:rPr>
              <w:t>Evaluation contractor</w:t>
            </w:r>
          </w:p>
        </w:tc>
        <w:tc>
          <w:tcPr>
            <w:tcW w:w="2160" w:type="dxa"/>
            <w:tcBorders>
              <w:top w:val="single" w:sz="4" w:space="0" w:color="auto"/>
              <w:left w:val="single" w:sz="4" w:space="0" w:color="auto"/>
              <w:bottom w:val="single" w:sz="4" w:space="0" w:color="auto"/>
              <w:right w:val="single" w:sz="4" w:space="0" w:color="auto"/>
            </w:tcBorders>
          </w:tcPr>
          <w:p w14:paraId="033C8708" w14:textId="77777777" w:rsidR="001C7AA0" w:rsidRPr="007D6D77" w:rsidRDefault="001C7AA0" w:rsidP="001C7AA0">
            <w:pPr>
              <w:pStyle w:val="Table"/>
              <w:spacing w:before="60" w:after="60"/>
              <w:rPr>
                <w:rFonts w:ascii="Times New Roman" w:hAnsi="Times New Roman"/>
              </w:rPr>
            </w:pPr>
            <w:r>
              <w:rPr>
                <w:rFonts w:ascii="Times New Roman" w:hAnsi="Times New Roman"/>
              </w:rPr>
              <w:t>May – June 2016</w:t>
            </w:r>
          </w:p>
        </w:tc>
      </w:tr>
      <w:tr w:rsidR="001C7AA0" w:rsidRPr="007D6D77" w14:paraId="3C2A89DA"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737CE2C3" w14:textId="77777777" w:rsidR="001C7AA0" w:rsidRPr="007D6D77" w:rsidRDefault="001C7AA0" w:rsidP="001C7AA0">
            <w:pPr>
              <w:pStyle w:val="Table"/>
              <w:spacing w:before="60" w:after="60"/>
              <w:rPr>
                <w:rFonts w:ascii="Times New Roman" w:hAnsi="Times New Roman"/>
              </w:rPr>
            </w:pPr>
            <w:r>
              <w:rPr>
                <w:rFonts w:ascii="Times New Roman" w:hAnsi="Times New Roman"/>
              </w:rPr>
              <w:t>E</w:t>
            </w:r>
            <w:r w:rsidRPr="007D6D77">
              <w:rPr>
                <w:rFonts w:ascii="Times New Roman" w:hAnsi="Times New Roman"/>
              </w:rPr>
              <w:t xml:space="preserve">valuation report </w:t>
            </w:r>
            <w:r w:rsidRPr="007D6D77">
              <w:rPr>
                <w:rFonts w:ascii="Times New Roman" w:hAnsi="Times New Roman"/>
                <w:i/>
              </w:rPr>
              <w:t>(deliverable)</w:t>
            </w:r>
          </w:p>
        </w:tc>
        <w:tc>
          <w:tcPr>
            <w:tcW w:w="2520" w:type="dxa"/>
            <w:gridSpan w:val="3"/>
            <w:tcBorders>
              <w:top w:val="single" w:sz="4" w:space="0" w:color="auto"/>
              <w:left w:val="single" w:sz="4" w:space="0" w:color="auto"/>
              <w:bottom w:val="single" w:sz="4" w:space="0" w:color="auto"/>
              <w:right w:val="single" w:sz="4" w:space="0" w:color="auto"/>
            </w:tcBorders>
          </w:tcPr>
          <w:p w14:paraId="19145418" w14:textId="77777777" w:rsidR="001C7AA0" w:rsidRPr="007D6D77" w:rsidRDefault="001C7AA0" w:rsidP="001C7AA0">
            <w:pPr>
              <w:pStyle w:val="Table"/>
              <w:spacing w:before="60" w:after="60"/>
              <w:rPr>
                <w:rFonts w:ascii="Times New Roman" w:hAnsi="Times New Roman"/>
              </w:rPr>
            </w:pPr>
            <w:r>
              <w:rPr>
                <w:rFonts w:ascii="Times New Roman" w:hAnsi="Times New Roman"/>
              </w:rPr>
              <w:t>Evaluation contractor</w:t>
            </w:r>
          </w:p>
        </w:tc>
        <w:tc>
          <w:tcPr>
            <w:tcW w:w="2160" w:type="dxa"/>
            <w:tcBorders>
              <w:top w:val="single" w:sz="4" w:space="0" w:color="auto"/>
              <w:left w:val="single" w:sz="4" w:space="0" w:color="auto"/>
              <w:bottom w:val="single" w:sz="4" w:space="0" w:color="auto"/>
              <w:right w:val="single" w:sz="4" w:space="0" w:color="auto"/>
            </w:tcBorders>
          </w:tcPr>
          <w:p w14:paraId="3BEADCEF" w14:textId="77777777" w:rsidR="001C7AA0" w:rsidRPr="007D6D77" w:rsidRDefault="001C7AA0" w:rsidP="001C7AA0">
            <w:pPr>
              <w:pStyle w:val="Table"/>
              <w:spacing w:before="60" w:after="60"/>
              <w:rPr>
                <w:rFonts w:ascii="Times New Roman" w:hAnsi="Times New Roman"/>
              </w:rPr>
            </w:pPr>
            <w:r>
              <w:rPr>
                <w:rFonts w:ascii="Times New Roman" w:hAnsi="Times New Roman"/>
              </w:rPr>
              <w:t>July</w:t>
            </w:r>
            <w:r w:rsidRPr="007D6D77">
              <w:rPr>
                <w:rFonts w:ascii="Times New Roman" w:hAnsi="Times New Roman"/>
              </w:rPr>
              <w:t xml:space="preserve"> 201</w:t>
            </w:r>
            <w:r>
              <w:rPr>
                <w:rFonts w:ascii="Times New Roman" w:hAnsi="Times New Roman"/>
              </w:rPr>
              <w:t>6</w:t>
            </w:r>
          </w:p>
        </w:tc>
      </w:tr>
      <w:tr w:rsidR="001C7AA0" w:rsidRPr="007D6D77" w14:paraId="0E87D964"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46F73F8B" w14:textId="77777777" w:rsidR="001C7AA0" w:rsidRPr="007D6D77" w:rsidRDefault="001C7AA0" w:rsidP="001C7AA0">
            <w:pPr>
              <w:pStyle w:val="Table"/>
              <w:spacing w:before="60" w:after="60"/>
              <w:rPr>
                <w:rFonts w:ascii="Times New Roman" w:hAnsi="Times New Roman"/>
              </w:rPr>
            </w:pPr>
            <w:r w:rsidRPr="007D6D77">
              <w:rPr>
                <w:rFonts w:ascii="Times New Roman" w:hAnsi="Times New Roman"/>
              </w:rPr>
              <w:t>Review of evaluation report by evaluation experts</w:t>
            </w:r>
          </w:p>
        </w:tc>
        <w:tc>
          <w:tcPr>
            <w:tcW w:w="2520" w:type="dxa"/>
            <w:gridSpan w:val="3"/>
            <w:tcBorders>
              <w:top w:val="single" w:sz="4" w:space="0" w:color="auto"/>
              <w:left w:val="single" w:sz="4" w:space="0" w:color="auto"/>
              <w:bottom w:val="single" w:sz="4" w:space="0" w:color="auto"/>
              <w:right w:val="single" w:sz="4" w:space="0" w:color="auto"/>
            </w:tcBorders>
          </w:tcPr>
          <w:p w14:paraId="164D9F0D" w14:textId="77777777" w:rsidR="001C7AA0" w:rsidRPr="007D6D77" w:rsidRDefault="001C7AA0" w:rsidP="001C7AA0">
            <w:pPr>
              <w:pStyle w:val="Table"/>
              <w:spacing w:before="60" w:after="60"/>
              <w:rPr>
                <w:rFonts w:ascii="Times New Roman" w:hAnsi="Times New Roman"/>
              </w:rPr>
            </w:pPr>
            <w:r w:rsidRPr="007D6D77">
              <w:rPr>
                <w:rFonts w:ascii="Times New Roman" w:hAnsi="Times New Roman"/>
              </w:rPr>
              <w:t xml:space="preserve">NASA </w:t>
            </w:r>
          </w:p>
        </w:tc>
        <w:tc>
          <w:tcPr>
            <w:tcW w:w="2160" w:type="dxa"/>
            <w:tcBorders>
              <w:top w:val="single" w:sz="4" w:space="0" w:color="auto"/>
              <w:left w:val="single" w:sz="4" w:space="0" w:color="auto"/>
              <w:bottom w:val="single" w:sz="4" w:space="0" w:color="auto"/>
              <w:right w:val="single" w:sz="4" w:space="0" w:color="auto"/>
            </w:tcBorders>
          </w:tcPr>
          <w:p w14:paraId="3ADB6A3F" w14:textId="77777777" w:rsidR="001C7AA0" w:rsidRPr="007D6D77" w:rsidRDefault="001C7AA0" w:rsidP="001C7AA0">
            <w:pPr>
              <w:pStyle w:val="Table"/>
              <w:spacing w:before="60" w:after="60"/>
              <w:rPr>
                <w:rFonts w:ascii="Times New Roman" w:hAnsi="Times New Roman"/>
              </w:rPr>
            </w:pPr>
            <w:r>
              <w:rPr>
                <w:rFonts w:ascii="Times New Roman" w:hAnsi="Times New Roman"/>
              </w:rPr>
              <w:t>August</w:t>
            </w:r>
            <w:r w:rsidRPr="007D6D77">
              <w:rPr>
                <w:rFonts w:ascii="Times New Roman" w:hAnsi="Times New Roman"/>
              </w:rPr>
              <w:t xml:space="preserve"> 201</w:t>
            </w:r>
            <w:r>
              <w:rPr>
                <w:rFonts w:ascii="Times New Roman" w:hAnsi="Times New Roman"/>
              </w:rPr>
              <w:t>6</w:t>
            </w:r>
          </w:p>
        </w:tc>
      </w:tr>
      <w:tr w:rsidR="001C7AA0" w:rsidRPr="007D6D77" w14:paraId="64FF75E8" w14:textId="77777777" w:rsidTr="001C7AA0">
        <w:tc>
          <w:tcPr>
            <w:tcW w:w="4320" w:type="dxa"/>
            <w:gridSpan w:val="2"/>
            <w:tcBorders>
              <w:top w:val="single" w:sz="4" w:space="0" w:color="auto"/>
              <w:left w:val="single" w:sz="4" w:space="0" w:color="auto"/>
              <w:bottom w:val="single" w:sz="4" w:space="0" w:color="auto"/>
              <w:right w:val="single" w:sz="4" w:space="0" w:color="auto"/>
            </w:tcBorders>
          </w:tcPr>
          <w:p w14:paraId="0CAB9764" w14:textId="77777777" w:rsidR="001C7AA0" w:rsidRPr="007D6D77" w:rsidRDefault="001C7AA0" w:rsidP="001C7AA0">
            <w:pPr>
              <w:pStyle w:val="Table"/>
              <w:spacing w:before="60" w:after="60"/>
              <w:rPr>
                <w:rFonts w:ascii="Times New Roman" w:hAnsi="Times New Roman"/>
              </w:rPr>
            </w:pPr>
            <w:r w:rsidRPr="007D6D77">
              <w:rPr>
                <w:rFonts w:ascii="Times New Roman" w:hAnsi="Times New Roman"/>
              </w:rPr>
              <w:t>Program recommendations for NASA portfolio based on outcome evaluation findings by evaluation experts in collaboration with NASA staff</w:t>
            </w:r>
          </w:p>
        </w:tc>
        <w:tc>
          <w:tcPr>
            <w:tcW w:w="2520" w:type="dxa"/>
            <w:gridSpan w:val="3"/>
            <w:tcBorders>
              <w:top w:val="single" w:sz="4" w:space="0" w:color="auto"/>
              <w:left w:val="single" w:sz="4" w:space="0" w:color="auto"/>
              <w:bottom w:val="single" w:sz="4" w:space="0" w:color="auto"/>
              <w:right w:val="single" w:sz="4" w:space="0" w:color="auto"/>
            </w:tcBorders>
          </w:tcPr>
          <w:p w14:paraId="2DDB8470" w14:textId="77777777" w:rsidR="001C7AA0" w:rsidRPr="007D6D77" w:rsidRDefault="001C7AA0" w:rsidP="001C7AA0">
            <w:pPr>
              <w:pStyle w:val="Table"/>
              <w:spacing w:before="60" w:after="60"/>
              <w:rPr>
                <w:rFonts w:ascii="Times New Roman" w:hAnsi="Times New Roman"/>
              </w:rPr>
            </w:pPr>
            <w:r w:rsidRPr="007D6D77">
              <w:rPr>
                <w:rFonts w:ascii="Times New Roman" w:hAnsi="Times New Roman"/>
              </w:rPr>
              <w:t>NASA</w:t>
            </w:r>
          </w:p>
        </w:tc>
        <w:tc>
          <w:tcPr>
            <w:tcW w:w="2160" w:type="dxa"/>
            <w:tcBorders>
              <w:top w:val="single" w:sz="4" w:space="0" w:color="auto"/>
              <w:left w:val="single" w:sz="4" w:space="0" w:color="auto"/>
              <w:bottom w:val="single" w:sz="4" w:space="0" w:color="auto"/>
              <w:right w:val="single" w:sz="4" w:space="0" w:color="auto"/>
            </w:tcBorders>
          </w:tcPr>
          <w:p w14:paraId="59747D80" w14:textId="77777777" w:rsidR="001C7AA0" w:rsidRPr="007D6D77" w:rsidRDefault="001C7AA0" w:rsidP="001C7AA0">
            <w:pPr>
              <w:pStyle w:val="Table"/>
              <w:spacing w:before="60" w:after="60"/>
              <w:rPr>
                <w:rFonts w:ascii="Times New Roman" w:hAnsi="Times New Roman"/>
              </w:rPr>
            </w:pPr>
            <w:r>
              <w:rPr>
                <w:rFonts w:ascii="Times New Roman" w:hAnsi="Times New Roman"/>
              </w:rPr>
              <w:t>August 2016</w:t>
            </w:r>
          </w:p>
        </w:tc>
      </w:tr>
    </w:tbl>
    <w:p w14:paraId="375B4064" w14:textId="77777777" w:rsidR="007E1EAB" w:rsidRPr="007D6D77" w:rsidRDefault="007E1EAB" w:rsidP="00B35992"/>
    <w:p w14:paraId="42C20083" w14:textId="77777777" w:rsidR="00042EC0" w:rsidRPr="007D6D77" w:rsidRDefault="00196EF1" w:rsidP="00B35992">
      <w:pPr>
        <w:rPr>
          <w:b/>
          <w:i/>
        </w:rPr>
      </w:pPr>
      <w:r w:rsidRPr="007D6D77">
        <w:rPr>
          <w:b/>
          <w:i/>
        </w:rPr>
        <w:t>Analysis of Survey Data</w:t>
      </w:r>
    </w:p>
    <w:p w14:paraId="279A86AC" w14:textId="77777777" w:rsidR="00042EC0" w:rsidRPr="007D6D77" w:rsidRDefault="00042EC0" w:rsidP="00FD5D29">
      <w:pPr>
        <w:pStyle w:val="BodyText"/>
      </w:pPr>
      <w:r w:rsidRPr="007D6D77">
        <w:t xml:space="preserve">Below, the analysis plan for the survey data is summarized. It is discussed in fuller detail in Supporting Statement B. </w:t>
      </w:r>
    </w:p>
    <w:p w14:paraId="6E2D293B" w14:textId="77777777" w:rsidR="004053EC" w:rsidRPr="007D6D77" w:rsidRDefault="004053EC" w:rsidP="001646A5">
      <w:pPr>
        <w:rPr>
          <w:i/>
          <w:iCs/>
        </w:rPr>
      </w:pPr>
    </w:p>
    <w:p w14:paraId="5593B7D7" w14:textId="77777777" w:rsidR="001646A5" w:rsidRPr="007D6D77" w:rsidRDefault="001646A5" w:rsidP="001646A5">
      <w:pPr>
        <w:rPr>
          <w:i/>
          <w:iCs/>
        </w:rPr>
      </w:pPr>
      <w:r w:rsidRPr="007D6D77">
        <w:rPr>
          <w:i/>
          <w:iCs/>
        </w:rPr>
        <w:t>Descriptive Cross-Sectional Analyses</w:t>
      </w:r>
    </w:p>
    <w:p w14:paraId="1F00933E" w14:textId="77777777" w:rsidR="001646A5" w:rsidRPr="007D6D77" w:rsidRDefault="001646A5" w:rsidP="001646A5">
      <w:pPr>
        <w:pStyle w:val="BodyText"/>
      </w:pPr>
      <w:r w:rsidRPr="007D6D77">
        <w:t xml:space="preserve">Because the universe of </w:t>
      </w:r>
      <w:r w:rsidR="00620242" w:rsidRPr="007D6D77">
        <w:t>youth</w:t>
      </w:r>
      <w:r w:rsidRPr="007D6D77">
        <w:t xml:space="preserve"> will be sampled, the descriptive statistics for a single point in time do not need to be adjusted for sampling design. Means and standard deviations will be used to describe central tendency and variation for survey items using continuous scales. Frequency distributions and percentages will be used to summarize answers given on ordinal scales. </w:t>
      </w:r>
    </w:p>
    <w:p w14:paraId="741D66B8" w14:textId="77777777" w:rsidR="001646A5" w:rsidRPr="007D6D77" w:rsidRDefault="001646A5" w:rsidP="001646A5">
      <w:pPr>
        <w:pStyle w:val="BodyText"/>
        <w:rPr>
          <w:b/>
          <w:bCs/>
        </w:rPr>
      </w:pPr>
    </w:p>
    <w:p w14:paraId="26FA9FB3" w14:textId="77777777" w:rsidR="001646A5" w:rsidRPr="007D6D77" w:rsidRDefault="001646A5" w:rsidP="008C2291">
      <w:pPr>
        <w:keepNext/>
        <w:keepLines/>
        <w:widowControl w:val="0"/>
        <w:rPr>
          <w:i/>
          <w:iCs/>
        </w:rPr>
      </w:pPr>
      <w:r w:rsidRPr="007D6D77">
        <w:rPr>
          <w:i/>
          <w:iCs/>
        </w:rPr>
        <w:t xml:space="preserve">Descriptive Change </w:t>
      </w:r>
      <w:proofErr w:type="gramStart"/>
      <w:r w:rsidRPr="007D6D77">
        <w:rPr>
          <w:i/>
          <w:iCs/>
        </w:rPr>
        <w:t>Over</w:t>
      </w:r>
      <w:proofErr w:type="gramEnd"/>
      <w:r w:rsidRPr="007D6D77">
        <w:rPr>
          <w:i/>
          <w:iCs/>
        </w:rPr>
        <w:t xml:space="preserve"> Time Analyses </w:t>
      </w:r>
    </w:p>
    <w:p w14:paraId="77CD5D6E" w14:textId="77777777" w:rsidR="001646A5" w:rsidRPr="007D6D77" w:rsidRDefault="00B824FC" w:rsidP="008C2291">
      <w:pPr>
        <w:keepNext/>
        <w:keepLines/>
        <w:widowControl w:val="0"/>
        <w:rPr>
          <w:color w:val="1F497D"/>
        </w:rPr>
      </w:pPr>
      <w:r>
        <w:t>NASA</w:t>
      </w:r>
      <w:r w:rsidR="001646A5" w:rsidRPr="007D6D77">
        <w:t xml:space="preserve"> will examine the </w:t>
      </w:r>
      <w:r w:rsidR="008552CE" w:rsidRPr="007D6D77">
        <w:t>youth</w:t>
      </w:r>
      <w:r w:rsidR="001646A5" w:rsidRPr="007D6D77">
        <w:t xml:space="preserve"> survey data to provide simple descriptions of change in a variable over time. </w:t>
      </w:r>
      <w:r>
        <w:t>W</w:t>
      </w:r>
      <w:r w:rsidR="001646A5" w:rsidRPr="007D6D77">
        <w:t xml:space="preserve">e will test whether the difference in proportions and means between two time points is zero using a </w:t>
      </w:r>
      <w:proofErr w:type="spellStart"/>
      <w:r w:rsidR="001646A5" w:rsidRPr="007D6D77">
        <w:t>McNemar</w:t>
      </w:r>
      <w:proofErr w:type="spellEnd"/>
      <w:r w:rsidR="001646A5" w:rsidRPr="007D6D77">
        <w:t xml:space="preserve"> test or paired t-test, depending on the distribution of the outcome variables. </w:t>
      </w:r>
    </w:p>
    <w:p w14:paraId="1C864923" w14:textId="77777777" w:rsidR="00B35992" w:rsidRPr="007D6D77" w:rsidRDefault="00B35992" w:rsidP="00145291">
      <w:pPr>
        <w:pStyle w:val="Heading3"/>
      </w:pPr>
      <w:bookmarkStart w:id="85" w:name="_Toc8118894"/>
      <w:bookmarkStart w:id="86" w:name="_Toc81803524"/>
      <w:bookmarkStart w:id="87" w:name="_Toc88301194"/>
      <w:bookmarkStart w:id="88" w:name="_Toc213748188"/>
      <w:bookmarkStart w:id="89" w:name="_Toc341972169"/>
      <w:r w:rsidRPr="007D6D77">
        <w:t>A.17</w:t>
      </w:r>
      <w:r w:rsidRPr="007D6D77">
        <w:tab/>
      </w:r>
      <w:bookmarkEnd w:id="85"/>
      <w:bookmarkEnd w:id="86"/>
      <w:bookmarkEnd w:id="87"/>
      <w:bookmarkEnd w:id="88"/>
      <w:r w:rsidR="00BD72C6" w:rsidRPr="007D6D77">
        <w:t>IF SEEKING APPROVAL TO NOT DISPLAY THE EXPIRATION DATE FOR OMB APPROVAL OF THE INFORMATION COLLECTION, EXPLAIN THE REASONS THAT DISPLAY WOULD BE INAPPROPRIATE.</w:t>
      </w:r>
      <w:bookmarkEnd w:id="89"/>
      <w:r w:rsidR="00BD72C6" w:rsidRPr="007D6D77">
        <w:t xml:space="preserve">  </w:t>
      </w:r>
    </w:p>
    <w:p w14:paraId="66B08713" w14:textId="77777777" w:rsidR="00A76DAD" w:rsidRDefault="00A76DAD" w:rsidP="00BD72C6"/>
    <w:p w14:paraId="55F6F345" w14:textId="6EB4F91C" w:rsidR="005016F8" w:rsidRPr="007D6D77" w:rsidRDefault="00BD72C6" w:rsidP="00CA155B">
      <w:r w:rsidRPr="007D6D77">
        <w:t xml:space="preserve">The agency </w:t>
      </w:r>
      <w:r w:rsidR="00CA155B">
        <w:t xml:space="preserve">will </w:t>
      </w:r>
      <w:r w:rsidRPr="007D6D77">
        <w:t>display the expiration date</w:t>
      </w:r>
      <w:r w:rsidR="00E00F99">
        <w:t xml:space="preserve"> and burden estimate </w:t>
      </w:r>
      <w:r w:rsidR="005016F8">
        <w:t xml:space="preserve">on </w:t>
      </w:r>
      <w:r w:rsidR="00E00F99">
        <w:t>the information collection</w:t>
      </w:r>
      <w:r w:rsidR="005016F8">
        <w:t xml:space="preserve"> instruments</w:t>
      </w:r>
      <w:r w:rsidR="00CA155B">
        <w:t>, within the PRA Statement.</w:t>
      </w:r>
    </w:p>
    <w:p w14:paraId="7340002A" w14:textId="77777777" w:rsidR="00B35992" w:rsidRPr="007D6D77" w:rsidRDefault="00B35992" w:rsidP="00145291">
      <w:pPr>
        <w:pStyle w:val="Heading3"/>
      </w:pPr>
      <w:bookmarkStart w:id="90" w:name="_Toc8118895"/>
      <w:bookmarkStart w:id="91" w:name="_Toc81803525"/>
      <w:bookmarkStart w:id="92" w:name="_Toc88301195"/>
      <w:bookmarkStart w:id="93" w:name="_Toc213748189"/>
      <w:bookmarkStart w:id="94" w:name="_Toc341972170"/>
      <w:r w:rsidRPr="007D6D77">
        <w:t>A.18</w:t>
      </w:r>
      <w:r w:rsidRPr="007D6D77">
        <w:tab/>
      </w:r>
      <w:bookmarkEnd w:id="90"/>
      <w:bookmarkEnd w:id="91"/>
      <w:bookmarkEnd w:id="92"/>
      <w:bookmarkEnd w:id="93"/>
      <w:r w:rsidR="00BD72C6" w:rsidRPr="007D6D77">
        <w:t>EXPLAIN EACH EXCEPTION TO THE CERTIFICATION STATEMENT IDENTIFIED IN ITEM 19, "CERTIFICATION FOR PAPERWORK REDUCTION ACT SUBMISSIONS," OF OMB FORM 83-1.</w:t>
      </w:r>
      <w:bookmarkEnd w:id="94"/>
    </w:p>
    <w:p w14:paraId="6F3FB19B" w14:textId="729599A2" w:rsidR="00471C3F" w:rsidRDefault="000665C9" w:rsidP="00BD72C6">
      <w:r w:rsidRPr="000665C9">
        <w:t>The NASA office conducting or sponsoring this information collection certifies compliance with all provisions listed above.</w:t>
      </w:r>
    </w:p>
    <w:p w14:paraId="37BA2883" w14:textId="77777777" w:rsidR="00E00F99" w:rsidRPr="00A07830" w:rsidRDefault="00E00F99" w:rsidP="00E00F99">
      <w:pPr>
        <w:pStyle w:val="CM11"/>
        <w:jc w:val="both"/>
        <w:rPr>
          <w:rFonts w:ascii="Times New Roman" w:hAnsi="Times New Roman"/>
        </w:rPr>
      </w:pPr>
      <w:r w:rsidRPr="00A07830">
        <w:rPr>
          <w:rFonts w:ascii="Times New Roman" w:hAnsi="Times New Roman"/>
          <w:i/>
          <w:iCs/>
        </w:rPr>
        <w:t xml:space="preserve">The proposed collection of information – </w:t>
      </w:r>
    </w:p>
    <w:p w14:paraId="7BB0F171" w14:textId="77777777" w:rsidR="00E00F99" w:rsidRPr="00CA155B" w:rsidRDefault="00E00F99" w:rsidP="00CA155B">
      <w:pPr>
        <w:pStyle w:val="Default"/>
        <w:spacing w:after="46"/>
        <w:ind w:left="720"/>
        <w:rPr>
          <w:color w:val="auto"/>
          <w:sz w:val="22"/>
          <w:szCs w:val="22"/>
        </w:rPr>
      </w:pPr>
      <w:r w:rsidRPr="00CA155B">
        <w:rPr>
          <w:i/>
          <w:iCs/>
          <w:color w:val="auto"/>
          <w:sz w:val="22"/>
          <w:szCs w:val="22"/>
        </w:rPr>
        <w:t>(</w:t>
      </w:r>
      <w:proofErr w:type="gramStart"/>
      <w:r w:rsidRPr="00CA155B">
        <w:rPr>
          <w:i/>
          <w:iCs/>
          <w:color w:val="auto"/>
          <w:sz w:val="22"/>
          <w:szCs w:val="22"/>
        </w:rPr>
        <w:t>a</w:t>
      </w:r>
      <w:proofErr w:type="gramEnd"/>
      <w:r w:rsidRPr="00CA155B">
        <w:rPr>
          <w:i/>
          <w:iCs/>
          <w:color w:val="auto"/>
          <w:sz w:val="22"/>
          <w:szCs w:val="22"/>
        </w:rPr>
        <w:t xml:space="preserve">) is necessary for the proper performance of the functions of NASA, including that the information to be collected will have practical utility; </w:t>
      </w:r>
    </w:p>
    <w:p w14:paraId="4E2B83AC" w14:textId="77777777" w:rsidR="00E00F99" w:rsidRPr="00CA155B" w:rsidRDefault="00E00F99" w:rsidP="00CA155B">
      <w:pPr>
        <w:pStyle w:val="Default"/>
        <w:spacing w:after="46"/>
        <w:ind w:left="720"/>
        <w:rPr>
          <w:color w:val="auto"/>
          <w:sz w:val="22"/>
          <w:szCs w:val="22"/>
        </w:rPr>
      </w:pPr>
      <w:r w:rsidRPr="00CA155B">
        <w:rPr>
          <w:i/>
          <w:iCs/>
          <w:color w:val="auto"/>
          <w:sz w:val="22"/>
          <w:szCs w:val="22"/>
        </w:rPr>
        <w:t>(</w:t>
      </w:r>
      <w:proofErr w:type="gramStart"/>
      <w:r w:rsidRPr="00CA155B">
        <w:rPr>
          <w:i/>
          <w:iCs/>
          <w:color w:val="auto"/>
          <w:sz w:val="22"/>
          <w:szCs w:val="22"/>
        </w:rPr>
        <w:t>b</w:t>
      </w:r>
      <w:proofErr w:type="gramEnd"/>
      <w:r w:rsidRPr="00CA155B">
        <w:rPr>
          <w:i/>
          <w:iCs/>
          <w:color w:val="auto"/>
          <w:sz w:val="22"/>
          <w:szCs w:val="22"/>
        </w:rPr>
        <w:t xml:space="preserve">) is not unnecessarily duplicative of information that is reasonably accessible to the agency; </w:t>
      </w:r>
    </w:p>
    <w:p w14:paraId="76672EA1" w14:textId="77777777" w:rsidR="00E00F99" w:rsidRPr="00CA155B" w:rsidRDefault="00E00F99" w:rsidP="00CA155B">
      <w:pPr>
        <w:pStyle w:val="Default"/>
        <w:ind w:left="720"/>
        <w:rPr>
          <w:sz w:val="22"/>
          <w:szCs w:val="22"/>
        </w:rPr>
      </w:pPr>
      <w:r w:rsidRPr="00CA155B">
        <w:rPr>
          <w:i/>
          <w:iCs/>
          <w:color w:val="auto"/>
          <w:sz w:val="22"/>
          <w:szCs w:val="22"/>
        </w:rPr>
        <w:t xml:space="preserve">(c) reduces to the extent practicable and appropriate the burden on </w:t>
      </w:r>
      <w:r w:rsidRPr="00CA155B">
        <w:rPr>
          <w:i/>
          <w:iCs/>
          <w:sz w:val="22"/>
          <w:szCs w:val="22"/>
        </w:rPr>
        <w:t xml:space="preserve">persons who shall provide information to or for the agency, including with respect to small entities, as defined in the Regulatory Flexibility Act (5 U.S.C. 601(6)), the use of such techniques as: </w:t>
      </w:r>
    </w:p>
    <w:p w14:paraId="6F74CBD3" w14:textId="77777777" w:rsidR="00E00F99" w:rsidRPr="00CA155B" w:rsidRDefault="00E00F99" w:rsidP="00CA155B">
      <w:pPr>
        <w:pStyle w:val="Default"/>
        <w:spacing w:after="41"/>
        <w:ind w:left="720"/>
        <w:rPr>
          <w:color w:val="auto"/>
          <w:sz w:val="22"/>
          <w:szCs w:val="22"/>
        </w:rPr>
      </w:pPr>
      <w:r w:rsidRPr="00CA155B">
        <w:rPr>
          <w:i/>
          <w:iCs/>
          <w:color w:val="auto"/>
          <w:sz w:val="22"/>
          <w:szCs w:val="22"/>
        </w:rPr>
        <w:t xml:space="preserve">(1) </w:t>
      </w:r>
      <w:proofErr w:type="gramStart"/>
      <w:r w:rsidRPr="00CA155B">
        <w:rPr>
          <w:i/>
          <w:iCs/>
          <w:color w:val="auto"/>
          <w:sz w:val="22"/>
          <w:szCs w:val="22"/>
        </w:rPr>
        <w:t>establishing</w:t>
      </w:r>
      <w:proofErr w:type="gramEnd"/>
      <w:r w:rsidRPr="00CA155B">
        <w:rPr>
          <w:i/>
          <w:iCs/>
          <w:color w:val="auto"/>
          <w:sz w:val="22"/>
          <w:szCs w:val="22"/>
        </w:rPr>
        <w:t xml:space="preserve"> differing compliance or reporting requirements or timelines that take into account the resources available to those who are to respond; </w:t>
      </w:r>
    </w:p>
    <w:p w14:paraId="6EBC48DF" w14:textId="77777777" w:rsidR="00E00F99" w:rsidRPr="00CA155B" w:rsidRDefault="00E00F99" w:rsidP="00CA155B">
      <w:pPr>
        <w:pStyle w:val="Default"/>
        <w:spacing w:after="41"/>
        <w:ind w:left="720"/>
        <w:rPr>
          <w:color w:val="auto"/>
          <w:sz w:val="22"/>
          <w:szCs w:val="22"/>
        </w:rPr>
      </w:pPr>
      <w:r w:rsidRPr="00CA155B">
        <w:rPr>
          <w:i/>
          <w:iCs/>
          <w:color w:val="auto"/>
          <w:sz w:val="22"/>
          <w:szCs w:val="22"/>
        </w:rPr>
        <w:t xml:space="preserve">(2) </w:t>
      </w:r>
      <w:proofErr w:type="gramStart"/>
      <w:r w:rsidRPr="00CA155B">
        <w:rPr>
          <w:i/>
          <w:iCs/>
          <w:color w:val="auto"/>
          <w:sz w:val="22"/>
          <w:szCs w:val="22"/>
        </w:rPr>
        <w:t>the</w:t>
      </w:r>
      <w:proofErr w:type="gramEnd"/>
      <w:r w:rsidRPr="00CA155B">
        <w:rPr>
          <w:i/>
          <w:iCs/>
          <w:color w:val="auto"/>
          <w:sz w:val="22"/>
          <w:szCs w:val="22"/>
        </w:rPr>
        <w:t xml:space="preserve"> clarification, consolidation, or simplification of compliance and reporting requirements; or </w:t>
      </w:r>
    </w:p>
    <w:p w14:paraId="48449084" w14:textId="77777777" w:rsidR="00E00F99" w:rsidRPr="00CA155B" w:rsidRDefault="00E00F99" w:rsidP="00CA155B">
      <w:pPr>
        <w:pStyle w:val="Default"/>
        <w:ind w:left="720"/>
        <w:rPr>
          <w:color w:val="auto"/>
          <w:sz w:val="22"/>
          <w:szCs w:val="22"/>
        </w:rPr>
      </w:pPr>
      <w:r w:rsidRPr="00CA155B">
        <w:rPr>
          <w:i/>
          <w:iCs/>
          <w:color w:val="auto"/>
          <w:sz w:val="22"/>
          <w:szCs w:val="22"/>
        </w:rPr>
        <w:t xml:space="preserve">(3) </w:t>
      </w:r>
      <w:proofErr w:type="gramStart"/>
      <w:r w:rsidRPr="00CA155B">
        <w:rPr>
          <w:i/>
          <w:iCs/>
          <w:color w:val="auto"/>
          <w:sz w:val="22"/>
          <w:szCs w:val="22"/>
        </w:rPr>
        <w:t>an</w:t>
      </w:r>
      <w:proofErr w:type="gramEnd"/>
      <w:r w:rsidRPr="00CA155B">
        <w:rPr>
          <w:i/>
          <w:iCs/>
          <w:color w:val="auto"/>
          <w:sz w:val="22"/>
          <w:szCs w:val="22"/>
        </w:rPr>
        <w:t xml:space="preserve"> exemption from coverage of the collection of information, or any part thereof; </w:t>
      </w:r>
      <w:bookmarkStart w:id="95" w:name="_GoBack"/>
      <w:bookmarkEnd w:id="95"/>
    </w:p>
    <w:p w14:paraId="0968FB63" w14:textId="77777777" w:rsidR="00E00F99" w:rsidRPr="00CA155B" w:rsidRDefault="00E00F99" w:rsidP="00CA155B">
      <w:pPr>
        <w:pStyle w:val="Default"/>
        <w:spacing w:after="42"/>
        <w:ind w:left="720"/>
        <w:rPr>
          <w:color w:val="auto"/>
          <w:sz w:val="22"/>
          <w:szCs w:val="22"/>
        </w:rPr>
      </w:pPr>
      <w:r w:rsidRPr="00CA155B">
        <w:rPr>
          <w:i/>
          <w:iCs/>
          <w:color w:val="auto"/>
          <w:sz w:val="22"/>
          <w:szCs w:val="22"/>
        </w:rPr>
        <w:t xml:space="preserve">(d) </w:t>
      </w:r>
      <w:proofErr w:type="gramStart"/>
      <w:r w:rsidRPr="00CA155B">
        <w:rPr>
          <w:i/>
          <w:iCs/>
          <w:color w:val="auto"/>
          <w:sz w:val="22"/>
          <w:szCs w:val="22"/>
        </w:rPr>
        <w:t>is</w:t>
      </w:r>
      <w:proofErr w:type="gramEnd"/>
      <w:r w:rsidRPr="00CA155B">
        <w:rPr>
          <w:i/>
          <w:iCs/>
          <w:color w:val="auto"/>
          <w:sz w:val="22"/>
          <w:szCs w:val="22"/>
        </w:rPr>
        <w:t xml:space="preserve"> written using plain, coherent, and unambiguous terminology and is understandable to those who are targeted to respond; </w:t>
      </w:r>
    </w:p>
    <w:p w14:paraId="1B80B9DE" w14:textId="77777777" w:rsidR="00E00F99" w:rsidRPr="00CA155B" w:rsidRDefault="00E00F99" w:rsidP="00CA155B">
      <w:pPr>
        <w:pStyle w:val="Default"/>
        <w:spacing w:after="42"/>
        <w:ind w:left="720"/>
        <w:rPr>
          <w:color w:val="auto"/>
          <w:sz w:val="22"/>
          <w:szCs w:val="22"/>
        </w:rPr>
      </w:pPr>
      <w:r w:rsidRPr="00CA155B">
        <w:rPr>
          <w:i/>
          <w:iCs/>
          <w:color w:val="auto"/>
          <w:sz w:val="22"/>
          <w:szCs w:val="22"/>
        </w:rPr>
        <w:t xml:space="preserve">(e) </w:t>
      </w:r>
      <w:proofErr w:type="gramStart"/>
      <w:r w:rsidRPr="00CA155B">
        <w:rPr>
          <w:i/>
          <w:iCs/>
          <w:color w:val="auto"/>
          <w:sz w:val="22"/>
          <w:szCs w:val="22"/>
        </w:rPr>
        <w:t>indicates</w:t>
      </w:r>
      <w:proofErr w:type="gramEnd"/>
      <w:r w:rsidRPr="00CA155B">
        <w:rPr>
          <w:i/>
          <w:iCs/>
          <w:color w:val="auto"/>
          <w:sz w:val="22"/>
          <w:szCs w:val="22"/>
        </w:rPr>
        <w:t xml:space="preserve"> for each recordkeeping requirement the length of time persons are required to maintain the records specified; </w:t>
      </w:r>
    </w:p>
    <w:p w14:paraId="34673644" w14:textId="77777777" w:rsidR="00E00F99" w:rsidRPr="00CA155B" w:rsidRDefault="00E00F99" w:rsidP="00CA155B">
      <w:pPr>
        <w:pStyle w:val="Default"/>
        <w:spacing w:after="42"/>
        <w:ind w:left="720"/>
        <w:rPr>
          <w:color w:val="auto"/>
          <w:sz w:val="22"/>
          <w:szCs w:val="22"/>
        </w:rPr>
      </w:pPr>
      <w:r w:rsidRPr="00CA155B">
        <w:rPr>
          <w:i/>
          <w:iCs/>
          <w:color w:val="auto"/>
          <w:sz w:val="22"/>
          <w:szCs w:val="22"/>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14:paraId="7699A684" w14:textId="77777777" w:rsidR="00E00F99" w:rsidRPr="00CA155B" w:rsidRDefault="00E00F99" w:rsidP="00CA155B">
      <w:pPr>
        <w:pStyle w:val="Default"/>
        <w:spacing w:after="42"/>
        <w:ind w:left="720"/>
        <w:rPr>
          <w:color w:val="auto"/>
          <w:sz w:val="22"/>
          <w:szCs w:val="22"/>
        </w:rPr>
      </w:pPr>
      <w:r w:rsidRPr="00CA155B">
        <w:rPr>
          <w:i/>
          <w:iCs/>
          <w:color w:val="auto"/>
          <w:sz w:val="22"/>
          <w:szCs w:val="22"/>
        </w:rPr>
        <w:t xml:space="preserve">(g) </w:t>
      </w:r>
      <w:proofErr w:type="gramStart"/>
      <w:r w:rsidRPr="00CA155B">
        <w:rPr>
          <w:i/>
          <w:iCs/>
          <w:color w:val="auto"/>
          <w:sz w:val="22"/>
          <w:szCs w:val="22"/>
        </w:rPr>
        <w:t>when</w:t>
      </w:r>
      <w:proofErr w:type="gramEnd"/>
      <w:r w:rsidRPr="00CA155B">
        <w:rPr>
          <w:i/>
          <w:iCs/>
          <w:color w:val="auto"/>
          <w:sz w:val="22"/>
          <w:szCs w:val="22"/>
        </w:rPr>
        <w:t xml:space="preserve"> applicable, uses effective and efficient statistical survey methodology appropriate to the purpose for which the information is to be collected; and </w:t>
      </w:r>
    </w:p>
    <w:p w14:paraId="7F9611A8" w14:textId="77777777" w:rsidR="00E00F99" w:rsidRPr="00CA155B" w:rsidRDefault="00E00F99" w:rsidP="00CA155B">
      <w:pPr>
        <w:pStyle w:val="Default"/>
        <w:spacing w:after="42"/>
        <w:ind w:left="720"/>
        <w:rPr>
          <w:color w:val="auto"/>
          <w:sz w:val="22"/>
          <w:szCs w:val="22"/>
        </w:rPr>
      </w:pPr>
      <w:r w:rsidRPr="00CA155B">
        <w:rPr>
          <w:i/>
          <w:iCs/>
          <w:color w:val="auto"/>
          <w:sz w:val="22"/>
          <w:szCs w:val="22"/>
        </w:rPr>
        <w:t xml:space="preserve">(h) </w:t>
      </w:r>
      <w:proofErr w:type="gramStart"/>
      <w:r w:rsidRPr="00CA155B">
        <w:rPr>
          <w:i/>
          <w:iCs/>
          <w:color w:val="auto"/>
          <w:sz w:val="22"/>
          <w:szCs w:val="22"/>
        </w:rPr>
        <w:t>to</w:t>
      </w:r>
      <w:proofErr w:type="gramEnd"/>
      <w:r w:rsidRPr="00CA155B">
        <w:rPr>
          <w:i/>
          <w:iCs/>
          <w:color w:val="auto"/>
          <w:sz w:val="22"/>
          <w:szCs w:val="22"/>
        </w:rPr>
        <w:t xml:space="preserve"> the maximum extent practicable, uses appropriate information technology to reduce burden and improve data quality, agency efficiency and responsiveness to the public; and </w:t>
      </w:r>
    </w:p>
    <w:p w14:paraId="3B30560A" w14:textId="77777777" w:rsidR="00E00F99" w:rsidRPr="00CA155B" w:rsidRDefault="00E00F99" w:rsidP="00CA155B">
      <w:pPr>
        <w:pStyle w:val="Default"/>
        <w:spacing w:after="42"/>
        <w:ind w:left="720"/>
        <w:rPr>
          <w:i/>
          <w:iCs/>
          <w:color w:val="auto"/>
          <w:sz w:val="22"/>
          <w:szCs w:val="22"/>
        </w:rPr>
      </w:pPr>
      <w:r w:rsidRPr="00CA155B">
        <w:rPr>
          <w:color w:val="auto"/>
          <w:sz w:val="22"/>
          <w:szCs w:val="22"/>
        </w:rPr>
        <w:t>(</w:t>
      </w:r>
      <w:r w:rsidRPr="00CA155B">
        <w:rPr>
          <w:i/>
          <w:iCs/>
          <w:color w:val="auto"/>
          <w:sz w:val="22"/>
          <w:szCs w:val="22"/>
        </w:rPr>
        <w:t xml:space="preserve">i) </w:t>
      </w:r>
      <w:proofErr w:type="gramStart"/>
      <w:r w:rsidRPr="00CA155B">
        <w:rPr>
          <w:i/>
          <w:iCs/>
          <w:color w:val="auto"/>
          <w:sz w:val="22"/>
          <w:szCs w:val="22"/>
        </w:rPr>
        <w:t>will</w:t>
      </w:r>
      <w:proofErr w:type="gramEnd"/>
      <w:r w:rsidRPr="00CA155B">
        <w:rPr>
          <w:i/>
          <w:iCs/>
          <w:color w:val="auto"/>
          <w:sz w:val="22"/>
          <w:szCs w:val="22"/>
        </w:rPr>
        <w:t xml:space="preserve"> display the required PRA statement with the active OMB control number, as validated on www.reginfo.gov </w:t>
      </w:r>
    </w:p>
    <w:p w14:paraId="486188C9" w14:textId="77777777" w:rsidR="00E00F99" w:rsidRPr="00A07830" w:rsidRDefault="00E00F99" w:rsidP="00E00F99">
      <w:pPr>
        <w:pStyle w:val="Default"/>
        <w:spacing w:after="42"/>
        <w:rPr>
          <w:color w:val="auto"/>
          <w:sz w:val="16"/>
          <w:szCs w:val="16"/>
        </w:rPr>
      </w:pPr>
    </w:p>
    <w:p w14:paraId="797C7C51" w14:textId="77777777" w:rsidR="00E00F99" w:rsidRDefault="00E00F99" w:rsidP="00BD72C6"/>
    <w:p w14:paraId="1B1E7F6A" w14:textId="26E6FE16" w:rsidR="00471C3F" w:rsidRPr="00471C3F" w:rsidRDefault="005016F8" w:rsidP="00CA155B">
      <w:pPr>
        <w:rPr>
          <w:u w:val="single"/>
        </w:rPr>
      </w:pPr>
      <w:r w:rsidRPr="007C4BDC">
        <w:rPr>
          <w:i/>
        </w:rPr>
        <w:t>Name</w:t>
      </w:r>
      <w:r w:rsidR="00471C3F" w:rsidRPr="00EE1807">
        <w:t xml:space="preserve">:  </w:t>
      </w:r>
      <w:r w:rsidR="00CA155B">
        <w:rPr>
          <w:u w:val="single"/>
        </w:rPr>
        <w:t xml:space="preserve">Carolyn </w:t>
      </w:r>
      <w:proofErr w:type="gramStart"/>
      <w:r w:rsidR="00CA155B">
        <w:rPr>
          <w:u w:val="single"/>
        </w:rPr>
        <w:t>Knowles</w:t>
      </w:r>
      <w:r w:rsidR="00CA155B">
        <w:t xml:space="preserve"> ,</w:t>
      </w:r>
      <w:proofErr w:type="gramEnd"/>
      <w:r w:rsidR="00CA155B">
        <w:t xml:space="preserve"> NASA Education </w:t>
      </w:r>
      <w:r w:rsidR="00471C3F" w:rsidRPr="00471C3F">
        <w:rPr>
          <w:u w:val="single"/>
        </w:rPr>
        <w:t>Infrastructure Division</w:t>
      </w:r>
    </w:p>
    <w:p w14:paraId="11080EC2" w14:textId="77777777" w:rsidR="00C00837" w:rsidRPr="007D6D77" w:rsidRDefault="00C66D3A" w:rsidP="00145291">
      <w:pPr>
        <w:pStyle w:val="Heading3"/>
      </w:pPr>
      <w:r w:rsidRPr="007D6D77">
        <w:br w:type="page"/>
      </w:r>
      <w:bookmarkStart w:id="96" w:name="_Toc341972171"/>
      <w:r w:rsidRPr="007D6D77">
        <w:lastRenderedPageBreak/>
        <w:t>References</w:t>
      </w:r>
      <w:bookmarkEnd w:id="96"/>
    </w:p>
    <w:p w14:paraId="7D2AE9A9" w14:textId="77777777" w:rsidR="00145291" w:rsidRPr="007D6D77" w:rsidRDefault="00145291" w:rsidP="00145291"/>
    <w:p w14:paraId="7252F9A5" w14:textId="77777777" w:rsidR="001F4FDB" w:rsidRPr="007D6D77" w:rsidRDefault="001F4FDB" w:rsidP="00C86B53">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Assessing Women and Men in Engineering. </w:t>
      </w:r>
      <w:r w:rsidR="008746B9" w:rsidRPr="007D6D77">
        <w:rPr>
          <w:szCs w:val="22"/>
        </w:rPr>
        <w:t>(</w:t>
      </w:r>
      <w:r w:rsidRPr="007D6D77">
        <w:rPr>
          <w:szCs w:val="22"/>
        </w:rPr>
        <w:t>Undated</w:t>
      </w:r>
      <w:r w:rsidR="008746B9" w:rsidRPr="007D6D77">
        <w:rPr>
          <w:szCs w:val="22"/>
        </w:rPr>
        <w:t>)</w:t>
      </w:r>
      <w:r w:rsidRPr="007D6D77">
        <w:rPr>
          <w:szCs w:val="22"/>
        </w:rPr>
        <w:t xml:space="preserve">. </w:t>
      </w:r>
      <w:r w:rsidRPr="007D6D77">
        <w:rPr>
          <w:i/>
          <w:szCs w:val="22"/>
        </w:rPr>
        <w:t xml:space="preserve">STEM assessment tools. </w:t>
      </w:r>
      <w:r w:rsidRPr="007D6D77">
        <w:rPr>
          <w:szCs w:val="22"/>
        </w:rPr>
        <w:t>Retrieved October 20, 2012, from: http://www.engr.psu.edu/awe/.</w:t>
      </w:r>
    </w:p>
    <w:p w14:paraId="74401584" w14:textId="77777777" w:rsidR="001F4FDB" w:rsidRPr="007D6D77" w:rsidRDefault="001F4FDB" w:rsidP="00C86B53">
      <w:pPr>
        <w:tabs>
          <w:tab w:val="clear" w:pos="720"/>
          <w:tab w:val="clear" w:pos="1080"/>
          <w:tab w:val="clear" w:pos="1440"/>
          <w:tab w:val="clear" w:pos="1800"/>
        </w:tabs>
        <w:autoSpaceDE w:val="0"/>
        <w:autoSpaceDN w:val="0"/>
        <w:adjustRightInd w:val="0"/>
        <w:spacing w:line="240" w:lineRule="auto"/>
        <w:rPr>
          <w:szCs w:val="22"/>
        </w:rPr>
      </w:pPr>
    </w:p>
    <w:p w14:paraId="59865C6B" w14:textId="77777777" w:rsidR="005B0F37" w:rsidRPr="007D6D77" w:rsidRDefault="005B0F37" w:rsidP="00C86B53">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Berry, </w:t>
      </w:r>
      <w:r w:rsidR="00C86B53" w:rsidRPr="007D6D77">
        <w:rPr>
          <w:szCs w:val="22"/>
        </w:rPr>
        <w:t xml:space="preserve">S., </w:t>
      </w:r>
      <w:proofErr w:type="spellStart"/>
      <w:r w:rsidR="00C86B53" w:rsidRPr="007D6D77">
        <w:rPr>
          <w:szCs w:val="22"/>
        </w:rPr>
        <w:t>Pevar</w:t>
      </w:r>
      <w:proofErr w:type="spellEnd"/>
      <w:r w:rsidR="00C86B53" w:rsidRPr="007D6D77">
        <w:rPr>
          <w:szCs w:val="22"/>
        </w:rPr>
        <w:t>, J., &amp; Zander-</w:t>
      </w:r>
      <w:proofErr w:type="spellStart"/>
      <w:r w:rsidR="00C86B53" w:rsidRPr="007D6D77">
        <w:rPr>
          <w:szCs w:val="22"/>
        </w:rPr>
        <w:t>Cotugno</w:t>
      </w:r>
      <w:proofErr w:type="spellEnd"/>
      <w:r w:rsidR="00C86B53" w:rsidRPr="007D6D77">
        <w:rPr>
          <w:szCs w:val="22"/>
        </w:rPr>
        <w:t xml:space="preserve">, M. </w:t>
      </w:r>
      <w:r w:rsidRPr="007D6D77">
        <w:rPr>
          <w:szCs w:val="22"/>
        </w:rPr>
        <w:t xml:space="preserve">(2008). </w:t>
      </w:r>
      <w:r w:rsidR="00C86B53" w:rsidRPr="007D6D77">
        <w:rPr>
          <w:i/>
          <w:szCs w:val="22"/>
        </w:rPr>
        <w:t>Use of i</w:t>
      </w:r>
      <w:r w:rsidRPr="007D6D77">
        <w:rPr>
          <w:i/>
          <w:szCs w:val="22"/>
        </w:rPr>
        <w:t>ncentives in</w:t>
      </w:r>
      <w:r w:rsidR="00C86B53" w:rsidRPr="007D6D77">
        <w:rPr>
          <w:i/>
          <w:szCs w:val="22"/>
        </w:rPr>
        <w:t xml:space="preserve"> s</w:t>
      </w:r>
      <w:r w:rsidRPr="007D6D77">
        <w:rPr>
          <w:i/>
          <w:szCs w:val="22"/>
        </w:rPr>
        <w:t xml:space="preserve">urveys </w:t>
      </w:r>
      <w:r w:rsidR="00C86B53" w:rsidRPr="007D6D77">
        <w:rPr>
          <w:i/>
          <w:szCs w:val="22"/>
        </w:rPr>
        <w:t>s</w:t>
      </w:r>
      <w:r w:rsidRPr="007D6D77">
        <w:rPr>
          <w:i/>
          <w:szCs w:val="22"/>
        </w:rPr>
        <w:t>upported by</w:t>
      </w:r>
      <w:r w:rsidR="00C86B53" w:rsidRPr="007D6D77">
        <w:rPr>
          <w:i/>
          <w:szCs w:val="22"/>
        </w:rPr>
        <w:t xml:space="preserve"> </w:t>
      </w:r>
      <w:r w:rsidRPr="007D6D77">
        <w:rPr>
          <w:i/>
          <w:szCs w:val="22"/>
        </w:rPr>
        <w:t xml:space="preserve">Federal </w:t>
      </w:r>
      <w:r w:rsidR="00C86B53" w:rsidRPr="007D6D77">
        <w:rPr>
          <w:i/>
          <w:szCs w:val="22"/>
        </w:rPr>
        <w:t>g</w:t>
      </w:r>
      <w:r w:rsidRPr="007D6D77">
        <w:rPr>
          <w:i/>
          <w:szCs w:val="22"/>
        </w:rPr>
        <w:t>rants</w:t>
      </w:r>
      <w:r w:rsidR="00C86B53" w:rsidRPr="007D6D77">
        <w:rPr>
          <w:i/>
          <w:szCs w:val="22"/>
        </w:rPr>
        <w:t xml:space="preserve">: </w:t>
      </w:r>
      <w:r w:rsidRPr="007D6D77">
        <w:rPr>
          <w:i/>
          <w:szCs w:val="22"/>
        </w:rPr>
        <w:t xml:space="preserve">Paper </w:t>
      </w:r>
      <w:r w:rsidR="00C86B53" w:rsidRPr="007D6D77">
        <w:rPr>
          <w:i/>
          <w:szCs w:val="22"/>
        </w:rPr>
        <w:t>p</w:t>
      </w:r>
      <w:r w:rsidRPr="007D6D77">
        <w:rPr>
          <w:i/>
          <w:szCs w:val="22"/>
        </w:rPr>
        <w:t>resented at Council of</w:t>
      </w:r>
      <w:r w:rsidR="00C86B53" w:rsidRPr="007D6D77">
        <w:rPr>
          <w:i/>
          <w:szCs w:val="22"/>
        </w:rPr>
        <w:t xml:space="preserve"> </w:t>
      </w:r>
      <w:r w:rsidRPr="007D6D77">
        <w:rPr>
          <w:i/>
          <w:szCs w:val="22"/>
        </w:rPr>
        <w:t>Professional Associations on</w:t>
      </w:r>
      <w:r w:rsidR="00C86B53" w:rsidRPr="007D6D77">
        <w:rPr>
          <w:i/>
          <w:szCs w:val="22"/>
        </w:rPr>
        <w:t xml:space="preserve"> </w:t>
      </w:r>
      <w:r w:rsidRPr="007D6D77">
        <w:rPr>
          <w:i/>
          <w:szCs w:val="22"/>
        </w:rPr>
        <w:t xml:space="preserve">Federal Statistics </w:t>
      </w:r>
      <w:r w:rsidR="00C86B53" w:rsidRPr="007D6D77">
        <w:rPr>
          <w:i/>
          <w:szCs w:val="22"/>
        </w:rPr>
        <w:t>s</w:t>
      </w:r>
      <w:r w:rsidRPr="007D6D77">
        <w:rPr>
          <w:i/>
          <w:szCs w:val="22"/>
        </w:rPr>
        <w:t xml:space="preserve">eminar </w:t>
      </w:r>
      <w:r w:rsidR="00C86B53" w:rsidRPr="007D6D77">
        <w:rPr>
          <w:i/>
          <w:szCs w:val="22"/>
        </w:rPr>
        <w:t>t</w:t>
      </w:r>
      <w:r w:rsidRPr="007D6D77">
        <w:rPr>
          <w:i/>
          <w:szCs w:val="22"/>
        </w:rPr>
        <w:t>itled</w:t>
      </w:r>
      <w:r w:rsidR="00C86B53" w:rsidRPr="007D6D77">
        <w:rPr>
          <w:i/>
          <w:szCs w:val="22"/>
        </w:rPr>
        <w:t xml:space="preserve"> </w:t>
      </w:r>
      <w:r w:rsidRPr="007D6D77">
        <w:rPr>
          <w:i/>
          <w:szCs w:val="22"/>
        </w:rPr>
        <w:t>“Survey Respondent Incentives:</w:t>
      </w:r>
      <w:r w:rsidR="00C86B53" w:rsidRPr="007D6D77">
        <w:rPr>
          <w:i/>
          <w:szCs w:val="22"/>
        </w:rPr>
        <w:t xml:space="preserve"> </w:t>
      </w:r>
      <w:r w:rsidRPr="007D6D77">
        <w:rPr>
          <w:i/>
          <w:szCs w:val="22"/>
        </w:rPr>
        <w:t>Research and Practice</w:t>
      </w:r>
      <w:r w:rsidR="00C86B53" w:rsidRPr="007D6D77">
        <w:rPr>
          <w:i/>
          <w:szCs w:val="22"/>
        </w:rPr>
        <w:t>.</w:t>
      </w:r>
      <w:r w:rsidRPr="007D6D77">
        <w:rPr>
          <w:i/>
          <w:szCs w:val="22"/>
        </w:rPr>
        <w:t>”</w:t>
      </w:r>
      <w:r w:rsidR="00C86B53" w:rsidRPr="007D6D77">
        <w:rPr>
          <w:szCs w:val="22"/>
        </w:rPr>
        <w:t xml:space="preserve"> </w:t>
      </w:r>
      <w:r w:rsidRPr="007D6D77">
        <w:rPr>
          <w:szCs w:val="22"/>
        </w:rPr>
        <w:t>March 10, 2008</w:t>
      </w:r>
      <w:r w:rsidR="00C86B53" w:rsidRPr="007D6D77">
        <w:rPr>
          <w:szCs w:val="22"/>
        </w:rPr>
        <w:t xml:space="preserve">. Retrieved October 22, 2012, from: </w:t>
      </w:r>
      <w:hyperlink r:id="rId11" w:history="1">
        <w:r w:rsidR="00C86B53" w:rsidRPr="007D6D77">
          <w:rPr>
            <w:rStyle w:val="Hyperlink"/>
            <w:szCs w:val="22"/>
          </w:rPr>
          <w:t>http://www.rand.org/content/dam/rand/pubs/working_papers/2008/RAND_WR590.pdf</w:t>
        </w:r>
      </w:hyperlink>
      <w:r w:rsidR="00C86B53" w:rsidRPr="007D6D77">
        <w:rPr>
          <w:szCs w:val="22"/>
        </w:rPr>
        <w:t xml:space="preserve">. </w:t>
      </w:r>
    </w:p>
    <w:p w14:paraId="12944B44" w14:textId="77777777" w:rsidR="00331129" w:rsidRPr="007D6D77" w:rsidRDefault="00C86B53" w:rsidP="00951022">
      <w:pPr>
        <w:pStyle w:val="NormalWeb"/>
        <w:rPr>
          <w:sz w:val="22"/>
          <w:szCs w:val="22"/>
        </w:rPr>
      </w:pPr>
      <w:r w:rsidRPr="007D6D77">
        <w:rPr>
          <w:sz w:val="22"/>
          <w:szCs w:val="22"/>
        </w:rPr>
        <w:t xml:space="preserve">Church, A. </w:t>
      </w:r>
      <w:r w:rsidR="008746B9" w:rsidRPr="007D6D77">
        <w:rPr>
          <w:sz w:val="22"/>
          <w:szCs w:val="22"/>
        </w:rPr>
        <w:t>(</w:t>
      </w:r>
      <w:r w:rsidRPr="007D6D77">
        <w:rPr>
          <w:sz w:val="22"/>
          <w:szCs w:val="22"/>
        </w:rPr>
        <w:t>1993</w:t>
      </w:r>
      <w:r w:rsidR="008746B9" w:rsidRPr="007D6D77">
        <w:rPr>
          <w:sz w:val="22"/>
          <w:szCs w:val="22"/>
        </w:rPr>
        <w:t>)</w:t>
      </w:r>
      <w:r w:rsidRPr="007D6D77">
        <w:rPr>
          <w:sz w:val="22"/>
          <w:szCs w:val="22"/>
        </w:rPr>
        <w:t xml:space="preserve">. </w:t>
      </w:r>
      <w:r w:rsidR="00331129" w:rsidRPr="007D6D77">
        <w:rPr>
          <w:sz w:val="22"/>
          <w:szCs w:val="22"/>
        </w:rPr>
        <w:t>Incentives in</w:t>
      </w:r>
      <w:r w:rsidRPr="007D6D77">
        <w:rPr>
          <w:sz w:val="22"/>
          <w:szCs w:val="22"/>
        </w:rPr>
        <w:t xml:space="preserve"> Mail Surveys: A Meta-Analysis.</w:t>
      </w:r>
      <w:r w:rsidR="00331129" w:rsidRPr="007D6D77">
        <w:rPr>
          <w:sz w:val="22"/>
          <w:szCs w:val="22"/>
        </w:rPr>
        <w:t xml:space="preserve"> </w:t>
      </w:r>
      <w:r w:rsidR="00331129" w:rsidRPr="007D6D77">
        <w:rPr>
          <w:i/>
          <w:sz w:val="22"/>
          <w:szCs w:val="22"/>
        </w:rPr>
        <w:t>Public Opinion Quarterly 57</w:t>
      </w:r>
      <w:r w:rsidR="00331129" w:rsidRPr="007D6D77">
        <w:rPr>
          <w:sz w:val="22"/>
          <w:szCs w:val="22"/>
        </w:rPr>
        <w:t>(1):62-79.</w:t>
      </w:r>
    </w:p>
    <w:p w14:paraId="5E1833BD" w14:textId="77777777" w:rsidR="00BE71C8" w:rsidRPr="007D6D77" w:rsidRDefault="00BE71C8" w:rsidP="00BE71C8">
      <w:pPr>
        <w:tabs>
          <w:tab w:val="left" w:pos="5685"/>
        </w:tabs>
        <w:rPr>
          <w:szCs w:val="22"/>
        </w:rPr>
      </w:pPr>
      <w:r w:rsidRPr="007D6D77">
        <w:rPr>
          <w:szCs w:val="22"/>
        </w:rPr>
        <w:t xml:space="preserve">Conrad, F.G., </w:t>
      </w:r>
      <w:proofErr w:type="spellStart"/>
      <w:r w:rsidRPr="007D6D77">
        <w:rPr>
          <w:szCs w:val="22"/>
        </w:rPr>
        <w:t>Couper</w:t>
      </w:r>
      <w:proofErr w:type="spellEnd"/>
      <w:r w:rsidRPr="007D6D77">
        <w:rPr>
          <w:szCs w:val="22"/>
        </w:rPr>
        <w:t xml:space="preserve">, M.P., </w:t>
      </w:r>
      <w:proofErr w:type="spellStart"/>
      <w:r w:rsidRPr="007D6D77">
        <w:rPr>
          <w:szCs w:val="22"/>
        </w:rPr>
        <w:t>Tourangeau</w:t>
      </w:r>
      <w:proofErr w:type="spellEnd"/>
      <w:r w:rsidRPr="007D6D77">
        <w:rPr>
          <w:szCs w:val="22"/>
        </w:rPr>
        <w:t xml:space="preserve">, R., and </w:t>
      </w:r>
      <w:proofErr w:type="spellStart"/>
      <w:r w:rsidRPr="007D6D77">
        <w:rPr>
          <w:szCs w:val="22"/>
        </w:rPr>
        <w:t>Peytchev</w:t>
      </w:r>
      <w:proofErr w:type="spellEnd"/>
      <w:r w:rsidRPr="007D6D77">
        <w:rPr>
          <w:szCs w:val="22"/>
        </w:rPr>
        <w:t xml:space="preserve">, A. </w:t>
      </w:r>
      <w:r w:rsidR="008746B9" w:rsidRPr="007D6D77">
        <w:rPr>
          <w:szCs w:val="22"/>
        </w:rPr>
        <w:t>(</w:t>
      </w:r>
      <w:r w:rsidRPr="007D6D77">
        <w:rPr>
          <w:szCs w:val="22"/>
        </w:rPr>
        <w:t>2006</w:t>
      </w:r>
      <w:r w:rsidR="008746B9" w:rsidRPr="007D6D77">
        <w:rPr>
          <w:szCs w:val="22"/>
        </w:rPr>
        <w:t>)</w:t>
      </w:r>
      <w:r w:rsidRPr="007D6D77">
        <w:rPr>
          <w:szCs w:val="22"/>
        </w:rPr>
        <w:t xml:space="preserve">. Use and non-use of clarification features in web surveys. </w:t>
      </w:r>
      <w:r w:rsidRPr="007D6D77">
        <w:rPr>
          <w:i/>
          <w:szCs w:val="22"/>
        </w:rPr>
        <w:t>Journal of Official Statistics</w:t>
      </w:r>
      <w:r w:rsidRPr="007D6D77">
        <w:rPr>
          <w:szCs w:val="22"/>
        </w:rPr>
        <w:t xml:space="preserve"> </w:t>
      </w:r>
      <w:r w:rsidRPr="007D6D77">
        <w:rPr>
          <w:i/>
          <w:szCs w:val="22"/>
        </w:rPr>
        <w:t>22</w:t>
      </w:r>
      <w:r w:rsidRPr="007D6D77">
        <w:rPr>
          <w:szCs w:val="22"/>
        </w:rPr>
        <w:t>, 245-269.</w:t>
      </w:r>
    </w:p>
    <w:p w14:paraId="6185B0CD" w14:textId="77777777" w:rsidR="00BE71C8" w:rsidRPr="007D6D77" w:rsidRDefault="00BE71C8" w:rsidP="00BE71C8">
      <w:pPr>
        <w:tabs>
          <w:tab w:val="left" w:pos="5685"/>
        </w:tabs>
        <w:rPr>
          <w:szCs w:val="22"/>
        </w:rPr>
      </w:pPr>
    </w:p>
    <w:p w14:paraId="60DC8BD3" w14:textId="77777777" w:rsidR="00BE71C8" w:rsidRPr="007D6D77" w:rsidRDefault="00BE71C8" w:rsidP="00BE71C8">
      <w:pPr>
        <w:tabs>
          <w:tab w:val="left" w:pos="5685"/>
        </w:tabs>
        <w:rPr>
          <w:szCs w:val="22"/>
        </w:rPr>
      </w:pPr>
      <w:proofErr w:type="spellStart"/>
      <w:r w:rsidRPr="007D6D77">
        <w:rPr>
          <w:szCs w:val="22"/>
        </w:rPr>
        <w:t>Couper</w:t>
      </w:r>
      <w:proofErr w:type="spellEnd"/>
      <w:r w:rsidRPr="007D6D77">
        <w:rPr>
          <w:szCs w:val="22"/>
        </w:rPr>
        <w:t xml:space="preserve">, M. P. </w:t>
      </w:r>
      <w:r w:rsidR="008746B9" w:rsidRPr="007D6D77">
        <w:rPr>
          <w:szCs w:val="22"/>
        </w:rPr>
        <w:t>(</w:t>
      </w:r>
      <w:r w:rsidRPr="007D6D77">
        <w:rPr>
          <w:szCs w:val="22"/>
        </w:rPr>
        <w:t>2008</w:t>
      </w:r>
      <w:r w:rsidR="008746B9" w:rsidRPr="007D6D77">
        <w:rPr>
          <w:szCs w:val="22"/>
        </w:rPr>
        <w:t>)</w:t>
      </w:r>
      <w:r w:rsidRPr="007D6D77">
        <w:rPr>
          <w:szCs w:val="22"/>
        </w:rPr>
        <w:t xml:space="preserve">. </w:t>
      </w:r>
      <w:r w:rsidRPr="007D6D77">
        <w:rPr>
          <w:i/>
          <w:szCs w:val="22"/>
        </w:rPr>
        <w:t>Designing Effective Web Surveys</w:t>
      </w:r>
      <w:r w:rsidRPr="007D6D77">
        <w:rPr>
          <w:szCs w:val="22"/>
        </w:rPr>
        <w:t>. Cambridge, England: Cambridge University Press.</w:t>
      </w:r>
      <w:r w:rsidRPr="007D6D77">
        <w:rPr>
          <w:szCs w:val="22"/>
        </w:rPr>
        <w:tab/>
      </w:r>
    </w:p>
    <w:p w14:paraId="07ED1850" w14:textId="77777777" w:rsidR="00BE71C8" w:rsidRPr="007D6D77" w:rsidRDefault="00BE71C8" w:rsidP="00C66D3A">
      <w:pPr>
        <w:rPr>
          <w:bCs/>
          <w:szCs w:val="22"/>
        </w:rPr>
      </w:pPr>
    </w:p>
    <w:p w14:paraId="2DCA75CD" w14:textId="77777777" w:rsidR="00BE6B81" w:rsidRPr="007D6D77" w:rsidRDefault="00BE6B81" w:rsidP="00BE6B81">
      <w:pPr>
        <w:tabs>
          <w:tab w:val="clear" w:pos="720"/>
          <w:tab w:val="clear" w:pos="1080"/>
          <w:tab w:val="clear" w:pos="1440"/>
          <w:tab w:val="clear" w:pos="1800"/>
        </w:tabs>
        <w:autoSpaceDE w:val="0"/>
        <w:autoSpaceDN w:val="0"/>
        <w:adjustRightInd w:val="0"/>
        <w:spacing w:line="240" w:lineRule="auto"/>
        <w:rPr>
          <w:i/>
          <w:iCs/>
          <w:szCs w:val="22"/>
        </w:rPr>
      </w:pPr>
      <w:proofErr w:type="spellStart"/>
      <w:r w:rsidRPr="007D6D77">
        <w:rPr>
          <w:bCs/>
          <w:szCs w:val="22"/>
        </w:rPr>
        <w:t>Dillman</w:t>
      </w:r>
      <w:proofErr w:type="spellEnd"/>
      <w:r w:rsidRPr="007D6D77">
        <w:rPr>
          <w:bCs/>
          <w:szCs w:val="22"/>
        </w:rPr>
        <w:t xml:space="preserve">, D. A., </w:t>
      </w:r>
      <w:r w:rsidRPr="007D6D77">
        <w:rPr>
          <w:szCs w:val="22"/>
        </w:rPr>
        <w:t xml:space="preserve">Smyth, J.D.; and Christian, L.M. (2009). </w:t>
      </w:r>
      <w:r w:rsidRPr="007D6D77">
        <w:rPr>
          <w:i/>
          <w:iCs/>
          <w:szCs w:val="22"/>
        </w:rPr>
        <w:t>Internet, mail, and mixed-mode surveys: The</w:t>
      </w:r>
    </w:p>
    <w:p w14:paraId="4B1610EA" w14:textId="77777777" w:rsidR="00BE6B81" w:rsidRPr="007D6D77" w:rsidRDefault="00BE6B81" w:rsidP="00BE6B81">
      <w:pPr>
        <w:rPr>
          <w:szCs w:val="22"/>
        </w:rPr>
      </w:pPr>
      <w:proofErr w:type="gramStart"/>
      <w:r w:rsidRPr="007D6D77">
        <w:rPr>
          <w:i/>
          <w:iCs/>
          <w:szCs w:val="22"/>
        </w:rPr>
        <w:t>tailored</w:t>
      </w:r>
      <w:proofErr w:type="gramEnd"/>
      <w:r w:rsidRPr="007D6D77">
        <w:rPr>
          <w:i/>
          <w:iCs/>
          <w:szCs w:val="22"/>
        </w:rPr>
        <w:t xml:space="preserve"> design method</w:t>
      </w:r>
      <w:r w:rsidRPr="007D6D77">
        <w:rPr>
          <w:szCs w:val="22"/>
        </w:rPr>
        <w:t>, 3rd Edition, Hoboken, NJ: John Wiley &amp; Sons.</w:t>
      </w:r>
    </w:p>
    <w:p w14:paraId="2893B9E0" w14:textId="77777777" w:rsidR="00BE6B81" w:rsidRPr="007D6D77" w:rsidRDefault="00BE6B81" w:rsidP="00BE6B81">
      <w:pPr>
        <w:rPr>
          <w:bCs/>
          <w:szCs w:val="22"/>
        </w:rPr>
      </w:pPr>
    </w:p>
    <w:p w14:paraId="464E8A2F" w14:textId="77777777" w:rsidR="00D902FD" w:rsidRPr="007D6D77" w:rsidRDefault="00D902FD" w:rsidP="00C66D3A">
      <w:pPr>
        <w:rPr>
          <w:bCs/>
          <w:szCs w:val="22"/>
        </w:rPr>
      </w:pPr>
      <w:proofErr w:type="spellStart"/>
      <w:r w:rsidRPr="007D6D77">
        <w:rPr>
          <w:bCs/>
          <w:szCs w:val="22"/>
        </w:rPr>
        <w:t>Dillman</w:t>
      </w:r>
      <w:proofErr w:type="spellEnd"/>
      <w:r w:rsidRPr="007D6D77">
        <w:rPr>
          <w:bCs/>
          <w:szCs w:val="22"/>
        </w:rPr>
        <w:t xml:space="preserve">, D. A. (undated), </w:t>
      </w:r>
      <w:r w:rsidRPr="007D6D77">
        <w:rPr>
          <w:bCs/>
          <w:i/>
          <w:szCs w:val="22"/>
        </w:rPr>
        <w:t>Token financial incentives and the reduction on nonresponse error in mail surveys</w:t>
      </w:r>
      <w:r w:rsidRPr="007D6D77">
        <w:rPr>
          <w:bCs/>
          <w:szCs w:val="22"/>
        </w:rPr>
        <w:t xml:space="preserve">. Retrieved October 22, 2012, from: </w:t>
      </w:r>
      <w:hyperlink r:id="rId12" w:history="1">
        <w:r w:rsidRPr="007D6D77">
          <w:rPr>
            <w:rStyle w:val="Hyperlink"/>
            <w:bCs/>
            <w:szCs w:val="22"/>
          </w:rPr>
          <w:t>http://sesrc.wsu.edu/pap_tok.htm</w:t>
        </w:r>
      </w:hyperlink>
      <w:r w:rsidRPr="007D6D77">
        <w:rPr>
          <w:bCs/>
          <w:szCs w:val="22"/>
        </w:rPr>
        <w:t>.</w:t>
      </w:r>
    </w:p>
    <w:p w14:paraId="4E1815AC" w14:textId="77777777" w:rsidR="00D902FD" w:rsidRPr="007D6D77" w:rsidRDefault="00D902FD" w:rsidP="00C66D3A">
      <w:pPr>
        <w:rPr>
          <w:bCs/>
          <w:szCs w:val="22"/>
        </w:rPr>
      </w:pPr>
    </w:p>
    <w:p w14:paraId="0D045735" w14:textId="77777777" w:rsidR="00BE71C8" w:rsidRPr="007D6D77" w:rsidRDefault="00BE71C8" w:rsidP="00BE71C8">
      <w:pPr>
        <w:rPr>
          <w:szCs w:val="22"/>
        </w:rPr>
      </w:pPr>
      <w:proofErr w:type="spellStart"/>
      <w:r w:rsidRPr="007D6D77">
        <w:rPr>
          <w:szCs w:val="22"/>
        </w:rPr>
        <w:t>Galesic</w:t>
      </w:r>
      <w:proofErr w:type="spellEnd"/>
      <w:r w:rsidRPr="007D6D77">
        <w:rPr>
          <w:szCs w:val="22"/>
        </w:rPr>
        <w:t xml:space="preserve">, M., </w:t>
      </w:r>
      <w:proofErr w:type="spellStart"/>
      <w:r w:rsidRPr="007D6D77">
        <w:rPr>
          <w:szCs w:val="22"/>
        </w:rPr>
        <w:t>Tourangeau</w:t>
      </w:r>
      <w:proofErr w:type="spellEnd"/>
      <w:r w:rsidRPr="007D6D77">
        <w:rPr>
          <w:szCs w:val="22"/>
        </w:rPr>
        <w:t xml:space="preserve">, R., </w:t>
      </w:r>
      <w:proofErr w:type="spellStart"/>
      <w:r w:rsidRPr="007D6D77">
        <w:rPr>
          <w:szCs w:val="22"/>
        </w:rPr>
        <w:t>Couper</w:t>
      </w:r>
      <w:proofErr w:type="spellEnd"/>
      <w:r w:rsidRPr="007D6D77">
        <w:rPr>
          <w:szCs w:val="22"/>
        </w:rPr>
        <w:t xml:space="preserve">, M.P., and Conrad, F. </w:t>
      </w:r>
      <w:r w:rsidR="00796A46" w:rsidRPr="007D6D77">
        <w:rPr>
          <w:szCs w:val="22"/>
        </w:rPr>
        <w:t>(</w:t>
      </w:r>
      <w:r w:rsidRPr="007D6D77">
        <w:rPr>
          <w:szCs w:val="22"/>
        </w:rPr>
        <w:t>2008</w:t>
      </w:r>
      <w:r w:rsidR="00796A46" w:rsidRPr="007D6D77">
        <w:rPr>
          <w:szCs w:val="22"/>
        </w:rPr>
        <w:t>)</w:t>
      </w:r>
      <w:r w:rsidRPr="007D6D77">
        <w:rPr>
          <w:szCs w:val="22"/>
        </w:rPr>
        <w:t xml:space="preserve">. Eye-tracking data: New insights on response order effects and other cognitive shortcuts in survey responding. </w:t>
      </w:r>
      <w:r w:rsidRPr="007D6D77">
        <w:rPr>
          <w:i/>
          <w:szCs w:val="22"/>
        </w:rPr>
        <w:t>Public Opinion Quarterly</w:t>
      </w:r>
      <w:r w:rsidRPr="007D6D77">
        <w:rPr>
          <w:szCs w:val="22"/>
        </w:rPr>
        <w:t xml:space="preserve"> 72, 892-913.</w:t>
      </w:r>
    </w:p>
    <w:p w14:paraId="7A92390F" w14:textId="77777777" w:rsidR="00BE71C8" w:rsidRPr="007D6D77" w:rsidRDefault="00BE71C8" w:rsidP="00BE71C8">
      <w:pPr>
        <w:rPr>
          <w:szCs w:val="22"/>
        </w:rPr>
      </w:pPr>
    </w:p>
    <w:p w14:paraId="56A3E61D" w14:textId="77777777" w:rsidR="00BE71C8" w:rsidRPr="007D6D77" w:rsidRDefault="00BE71C8" w:rsidP="00BE71C8">
      <w:pPr>
        <w:rPr>
          <w:rFonts w:eastAsia="Arial Unicode MS"/>
          <w:szCs w:val="22"/>
        </w:rPr>
      </w:pPr>
      <w:proofErr w:type="spellStart"/>
      <w:r w:rsidRPr="007D6D77">
        <w:rPr>
          <w:szCs w:val="22"/>
        </w:rPr>
        <w:t>Heerwegh</w:t>
      </w:r>
      <w:proofErr w:type="spellEnd"/>
      <w:r w:rsidRPr="007D6D77">
        <w:rPr>
          <w:szCs w:val="22"/>
        </w:rPr>
        <w:t xml:space="preserve">, D. and </w:t>
      </w:r>
      <w:proofErr w:type="spellStart"/>
      <w:r w:rsidRPr="007D6D77">
        <w:rPr>
          <w:szCs w:val="22"/>
        </w:rPr>
        <w:t>Loosveldt</w:t>
      </w:r>
      <w:proofErr w:type="spellEnd"/>
      <w:r w:rsidRPr="007D6D77">
        <w:rPr>
          <w:szCs w:val="22"/>
        </w:rPr>
        <w:t xml:space="preserve">, G. </w:t>
      </w:r>
      <w:r w:rsidR="00796A46" w:rsidRPr="007D6D77">
        <w:rPr>
          <w:szCs w:val="22"/>
        </w:rPr>
        <w:t>(</w:t>
      </w:r>
      <w:r w:rsidRPr="007D6D77">
        <w:rPr>
          <w:szCs w:val="22"/>
        </w:rPr>
        <w:t>2003</w:t>
      </w:r>
      <w:r w:rsidR="00796A46" w:rsidRPr="007D6D77">
        <w:rPr>
          <w:szCs w:val="22"/>
        </w:rPr>
        <w:t>)</w:t>
      </w:r>
      <w:r w:rsidRPr="007D6D77">
        <w:rPr>
          <w:szCs w:val="22"/>
        </w:rPr>
        <w:t xml:space="preserve">. An evaluation of the semiautomatic login procedure to control web survey access.  </w:t>
      </w:r>
      <w:r w:rsidRPr="007D6D77">
        <w:rPr>
          <w:i/>
          <w:szCs w:val="22"/>
        </w:rPr>
        <w:t>Social Science Computer Review</w:t>
      </w:r>
      <w:r w:rsidRPr="007D6D77">
        <w:rPr>
          <w:szCs w:val="22"/>
        </w:rPr>
        <w:t xml:space="preserve"> 21, 223-234.</w:t>
      </w:r>
    </w:p>
    <w:p w14:paraId="68BFD580" w14:textId="77777777" w:rsidR="00BE71C8" w:rsidRPr="007D6D77" w:rsidRDefault="00BE71C8" w:rsidP="00BE71C8">
      <w:pPr>
        <w:rPr>
          <w:szCs w:val="22"/>
        </w:rPr>
      </w:pPr>
    </w:p>
    <w:p w14:paraId="226E9014" w14:textId="77777777" w:rsidR="00796A46" w:rsidRPr="007D6D77" w:rsidRDefault="00796A46" w:rsidP="003371C9">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Hunt-White, T. (2007). The influence of selected factors on student survey participation and mode of completion. Retrieved December 19, 2012, from: </w:t>
      </w:r>
      <w:hyperlink r:id="rId13" w:history="1">
        <w:r w:rsidRPr="007D6D77">
          <w:rPr>
            <w:rStyle w:val="Hyperlink"/>
            <w:szCs w:val="22"/>
          </w:rPr>
          <w:t>http://www.fcsm.gov/07papers/Hunt-White.III-C.pdf</w:t>
        </w:r>
      </w:hyperlink>
      <w:r w:rsidRPr="007D6D77">
        <w:rPr>
          <w:szCs w:val="22"/>
        </w:rPr>
        <w:t>.</w:t>
      </w:r>
    </w:p>
    <w:p w14:paraId="069A1D6B" w14:textId="77777777" w:rsidR="00796A46" w:rsidRPr="007D6D77" w:rsidRDefault="00796A46" w:rsidP="003371C9">
      <w:pPr>
        <w:tabs>
          <w:tab w:val="clear" w:pos="720"/>
          <w:tab w:val="clear" w:pos="1080"/>
          <w:tab w:val="clear" w:pos="1440"/>
          <w:tab w:val="clear" w:pos="1800"/>
        </w:tabs>
        <w:autoSpaceDE w:val="0"/>
        <w:autoSpaceDN w:val="0"/>
        <w:adjustRightInd w:val="0"/>
        <w:spacing w:line="240" w:lineRule="auto"/>
        <w:rPr>
          <w:szCs w:val="22"/>
        </w:rPr>
      </w:pPr>
    </w:p>
    <w:p w14:paraId="616756A7" w14:textId="77777777" w:rsidR="003371C9" w:rsidRPr="007D6D77" w:rsidRDefault="003371C9" w:rsidP="003371C9">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James, J.M., and </w:t>
      </w:r>
      <w:proofErr w:type="spellStart"/>
      <w:r w:rsidRPr="007D6D77">
        <w:rPr>
          <w:szCs w:val="22"/>
        </w:rPr>
        <w:t>Bolstein</w:t>
      </w:r>
      <w:proofErr w:type="spellEnd"/>
      <w:r w:rsidRPr="007D6D77">
        <w:rPr>
          <w:szCs w:val="22"/>
        </w:rPr>
        <w:t>, R. (1992). Large monetary incentives and their effect on mail survey response</w:t>
      </w:r>
    </w:p>
    <w:p w14:paraId="54743B21" w14:textId="77777777" w:rsidR="003371C9" w:rsidRPr="007D6D77" w:rsidRDefault="003371C9" w:rsidP="003371C9">
      <w:pPr>
        <w:rPr>
          <w:szCs w:val="22"/>
        </w:rPr>
      </w:pPr>
      <w:proofErr w:type="gramStart"/>
      <w:r w:rsidRPr="007D6D77">
        <w:rPr>
          <w:szCs w:val="22"/>
        </w:rPr>
        <w:t>rates</w:t>
      </w:r>
      <w:proofErr w:type="gramEnd"/>
      <w:r w:rsidRPr="007D6D77">
        <w:rPr>
          <w:szCs w:val="22"/>
        </w:rPr>
        <w:t xml:space="preserve">. </w:t>
      </w:r>
      <w:r w:rsidRPr="007D6D77">
        <w:rPr>
          <w:i/>
          <w:iCs/>
          <w:szCs w:val="22"/>
        </w:rPr>
        <w:t xml:space="preserve">Public Opinion Quarterly, </w:t>
      </w:r>
      <w:r w:rsidRPr="007D6D77">
        <w:rPr>
          <w:szCs w:val="22"/>
        </w:rPr>
        <w:t>56, 442-453.</w:t>
      </w:r>
    </w:p>
    <w:p w14:paraId="0A0D4180" w14:textId="77777777" w:rsidR="003371C9" w:rsidRPr="007D6D77" w:rsidRDefault="003371C9" w:rsidP="003371C9">
      <w:pPr>
        <w:rPr>
          <w:szCs w:val="22"/>
        </w:rPr>
      </w:pPr>
    </w:p>
    <w:p w14:paraId="39967D2E" w14:textId="77777777" w:rsidR="00875952" w:rsidRPr="007D6D77" w:rsidRDefault="00875952" w:rsidP="00875952">
      <w:pPr>
        <w:tabs>
          <w:tab w:val="clear" w:pos="720"/>
          <w:tab w:val="clear" w:pos="1080"/>
          <w:tab w:val="clear" w:pos="1440"/>
          <w:tab w:val="clear" w:pos="1800"/>
        </w:tabs>
        <w:autoSpaceDE w:val="0"/>
        <w:autoSpaceDN w:val="0"/>
        <w:adjustRightInd w:val="0"/>
        <w:spacing w:line="240" w:lineRule="auto"/>
        <w:rPr>
          <w:iCs/>
          <w:szCs w:val="22"/>
        </w:rPr>
      </w:pPr>
      <w:proofErr w:type="spellStart"/>
      <w:r w:rsidRPr="007D6D77">
        <w:rPr>
          <w:szCs w:val="22"/>
        </w:rPr>
        <w:t>Kerachsky</w:t>
      </w:r>
      <w:proofErr w:type="spellEnd"/>
      <w:r w:rsidRPr="007D6D77">
        <w:rPr>
          <w:szCs w:val="22"/>
        </w:rPr>
        <w:t xml:space="preserve">, S. J., &amp; </w:t>
      </w:r>
      <w:proofErr w:type="spellStart"/>
      <w:r w:rsidRPr="007D6D77">
        <w:rPr>
          <w:szCs w:val="22"/>
        </w:rPr>
        <w:t>Mallar</w:t>
      </w:r>
      <w:proofErr w:type="spellEnd"/>
      <w:r w:rsidRPr="007D6D77">
        <w:rPr>
          <w:szCs w:val="22"/>
        </w:rPr>
        <w:t xml:space="preserve">, C.D. (1981). The effects of monetary payments on survey responses: Experimental evidence from a longitudinal study of economically disadvantaged youth. </w:t>
      </w:r>
      <w:r w:rsidRPr="007D6D77">
        <w:rPr>
          <w:i/>
          <w:iCs/>
          <w:szCs w:val="22"/>
        </w:rPr>
        <w:t xml:space="preserve">Proceedings of the Section on Survey Research Methods, </w:t>
      </w:r>
      <w:r w:rsidRPr="007D6D77">
        <w:rPr>
          <w:iCs/>
          <w:szCs w:val="22"/>
        </w:rPr>
        <w:t>pp. 258-263. Alexandria, VA: American Statistical Association.</w:t>
      </w:r>
    </w:p>
    <w:p w14:paraId="5D4D1198" w14:textId="77777777" w:rsidR="00875952" w:rsidRPr="007D6D77" w:rsidRDefault="00875952" w:rsidP="00875952">
      <w:pPr>
        <w:tabs>
          <w:tab w:val="clear" w:pos="720"/>
          <w:tab w:val="clear" w:pos="1080"/>
          <w:tab w:val="clear" w:pos="1440"/>
          <w:tab w:val="clear" w:pos="1800"/>
        </w:tabs>
        <w:autoSpaceDE w:val="0"/>
        <w:autoSpaceDN w:val="0"/>
        <w:adjustRightInd w:val="0"/>
        <w:spacing w:line="240" w:lineRule="auto"/>
        <w:rPr>
          <w:sz w:val="24"/>
          <w:szCs w:val="24"/>
        </w:rPr>
      </w:pPr>
    </w:p>
    <w:p w14:paraId="70A8E3C9" w14:textId="77777777" w:rsidR="007B1617" w:rsidRPr="007D6D77" w:rsidRDefault="007B1617" w:rsidP="00875952">
      <w:pPr>
        <w:rPr>
          <w:bCs/>
          <w:szCs w:val="22"/>
        </w:rPr>
      </w:pPr>
      <w:r w:rsidRPr="007D6D77">
        <w:rPr>
          <w:szCs w:val="22"/>
        </w:rPr>
        <w:t xml:space="preserve">McGrath, J. (2006). </w:t>
      </w:r>
      <w:r w:rsidRPr="007D6D77">
        <w:rPr>
          <w:bCs/>
          <w:i/>
          <w:szCs w:val="22"/>
        </w:rPr>
        <w:t>An Incentives Experiment in the U.S. Consumer Expenditure Quarterly Survey</w:t>
      </w:r>
      <w:r w:rsidRPr="007D6D77">
        <w:rPr>
          <w:bCs/>
          <w:szCs w:val="22"/>
        </w:rPr>
        <w:t xml:space="preserve">. Retrieved December 19, 2012, from: </w:t>
      </w:r>
      <w:hyperlink r:id="rId14" w:history="1">
        <w:r w:rsidRPr="007D6D77">
          <w:rPr>
            <w:rStyle w:val="Hyperlink"/>
            <w:bCs/>
            <w:szCs w:val="22"/>
          </w:rPr>
          <w:t>http://www.bls.gov/ore/pdf/st060030.pdf</w:t>
        </w:r>
      </w:hyperlink>
      <w:r w:rsidRPr="007D6D77">
        <w:rPr>
          <w:bCs/>
          <w:szCs w:val="22"/>
        </w:rPr>
        <w:t xml:space="preserve">. </w:t>
      </w:r>
    </w:p>
    <w:p w14:paraId="1A37819F" w14:textId="77777777" w:rsidR="007B1617" w:rsidRPr="007D6D77" w:rsidRDefault="007B1617" w:rsidP="00BE71C8">
      <w:pPr>
        <w:rPr>
          <w:szCs w:val="22"/>
        </w:rPr>
      </w:pPr>
    </w:p>
    <w:p w14:paraId="5E745DF1" w14:textId="77777777" w:rsidR="00C9512E" w:rsidRPr="007D6D77" w:rsidRDefault="00C9512E" w:rsidP="00BE71C8">
      <w:pPr>
        <w:rPr>
          <w:szCs w:val="22"/>
        </w:rPr>
      </w:pPr>
      <w:r w:rsidRPr="007D6D77">
        <w:rPr>
          <w:szCs w:val="22"/>
        </w:rPr>
        <w:t xml:space="preserve">National Center for Education Statistics. </w:t>
      </w:r>
      <w:r w:rsidR="008746B9" w:rsidRPr="007D6D77">
        <w:rPr>
          <w:szCs w:val="22"/>
        </w:rPr>
        <w:t>(</w:t>
      </w:r>
      <w:r w:rsidRPr="007D6D77">
        <w:rPr>
          <w:szCs w:val="22"/>
        </w:rPr>
        <w:t>Undated</w:t>
      </w:r>
      <w:r w:rsidR="008746B9" w:rsidRPr="007D6D77">
        <w:rPr>
          <w:szCs w:val="22"/>
        </w:rPr>
        <w:t>)</w:t>
      </w:r>
      <w:r w:rsidRPr="007D6D77">
        <w:rPr>
          <w:szCs w:val="22"/>
        </w:rPr>
        <w:t xml:space="preserve">. </w:t>
      </w:r>
      <w:r w:rsidRPr="007D6D77">
        <w:rPr>
          <w:i/>
          <w:szCs w:val="22"/>
        </w:rPr>
        <w:t xml:space="preserve">National Assessment of Educational Progress: More about NAEP science. </w:t>
      </w:r>
      <w:r w:rsidRPr="007D6D77">
        <w:rPr>
          <w:szCs w:val="22"/>
        </w:rPr>
        <w:t xml:space="preserve">Retrieved October 25, 2012, from:  </w:t>
      </w:r>
      <w:hyperlink r:id="rId15" w:history="1">
        <w:r w:rsidRPr="007D6D77">
          <w:rPr>
            <w:rStyle w:val="Hyperlink"/>
            <w:szCs w:val="22"/>
          </w:rPr>
          <w:t>http://nces.ed.gov/nationsreportcard/science/moreabout.asp</w:t>
        </w:r>
      </w:hyperlink>
      <w:r w:rsidRPr="007D6D77">
        <w:rPr>
          <w:szCs w:val="22"/>
        </w:rPr>
        <w:t>.</w:t>
      </w:r>
    </w:p>
    <w:p w14:paraId="3144D4B2" w14:textId="77777777" w:rsidR="00C9512E" w:rsidRPr="007D6D77" w:rsidRDefault="00C9512E" w:rsidP="00BE71C8">
      <w:pPr>
        <w:rPr>
          <w:szCs w:val="22"/>
        </w:rPr>
      </w:pPr>
    </w:p>
    <w:p w14:paraId="38A08AF4" w14:textId="77777777" w:rsidR="00E406FA" w:rsidRPr="007D6D77" w:rsidRDefault="00E406FA" w:rsidP="00BE71C8">
      <w:pPr>
        <w:rPr>
          <w:szCs w:val="22"/>
        </w:rPr>
      </w:pPr>
      <w:r w:rsidRPr="007D6D77">
        <w:rPr>
          <w:szCs w:val="22"/>
        </w:rPr>
        <w:lastRenderedPageBreak/>
        <w:t xml:space="preserve">National Center for Education Statistics. </w:t>
      </w:r>
      <w:r w:rsidR="008746B9" w:rsidRPr="007D6D77">
        <w:rPr>
          <w:szCs w:val="22"/>
        </w:rPr>
        <w:t>(</w:t>
      </w:r>
      <w:r w:rsidRPr="007D6D77">
        <w:rPr>
          <w:szCs w:val="22"/>
        </w:rPr>
        <w:t>Undated</w:t>
      </w:r>
      <w:r w:rsidR="008746B9" w:rsidRPr="007D6D77">
        <w:rPr>
          <w:szCs w:val="22"/>
        </w:rPr>
        <w:t>)</w:t>
      </w:r>
      <w:r w:rsidRPr="007D6D77">
        <w:rPr>
          <w:szCs w:val="22"/>
        </w:rPr>
        <w:t xml:space="preserve">. High </w:t>
      </w:r>
      <w:r w:rsidRPr="007D6D77">
        <w:rPr>
          <w:i/>
          <w:szCs w:val="22"/>
        </w:rPr>
        <w:t>School Longitudinal Study of 2009 (HSLS: 2009): Questionnaires</w:t>
      </w:r>
      <w:r w:rsidRPr="007D6D77">
        <w:rPr>
          <w:szCs w:val="22"/>
        </w:rPr>
        <w:t xml:space="preserve">. Retrieved October 20, 2012, from: </w:t>
      </w:r>
      <w:hyperlink r:id="rId16" w:history="1">
        <w:r w:rsidRPr="007D6D77">
          <w:rPr>
            <w:rStyle w:val="Hyperlink"/>
            <w:szCs w:val="22"/>
          </w:rPr>
          <w:t>http://nces.ed.gov/surveys/hsls09/questionnaires.asp</w:t>
        </w:r>
      </w:hyperlink>
      <w:r w:rsidRPr="007D6D77">
        <w:rPr>
          <w:szCs w:val="22"/>
        </w:rPr>
        <w:t>.</w:t>
      </w:r>
    </w:p>
    <w:p w14:paraId="01FF87C3" w14:textId="77777777" w:rsidR="00E406FA" w:rsidRPr="007D6D77" w:rsidRDefault="00E406FA" w:rsidP="00BE71C8">
      <w:pPr>
        <w:rPr>
          <w:szCs w:val="22"/>
        </w:rPr>
      </w:pPr>
    </w:p>
    <w:p w14:paraId="43080481" w14:textId="77777777" w:rsidR="00BE71C8" w:rsidRPr="007D6D77" w:rsidRDefault="00BE71C8" w:rsidP="00BE71C8">
      <w:pPr>
        <w:rPr>
          <w:szCs w:val="22"/>
        </w:rPr>
      </w:pPr>
      <w:proofErr w:type="spellStart"/>
      <w:r w:rsidRPr="007D6D77">
        <w:rPr>
          <w:szCs w:val="22"/>
        </w:rPr>
        <w:t>Peytchev</w:t>
      </w:r>
      <w:proofErr w:type="spellEnd"/>
      <w:r w:rsidRPr="007D6D77">
        <w:rPr>
          <w:szCs w:val="22"/>
        </w:rPr>
        <w:t xml:space="preserve">, A., </w:t>
      </w:r>
      <w:proofErr w:type="spellStart"/>
      <w:r w:rsidRPr="007D6D77">
        <w:rPr>
          <w:szCs w:val="22"/>
        </w:rPr>
        <w:t>Couper</w:t>
      </w:r>
      <w:proofErr w:type="spellEnd"/>
      <w:r w:rsidRPr="007D6D77">
        <w:rPr>
          <w:szCs w:val="22"/>
        </w:rPr>
        <w:t xml:space="preserve">, M.P., McCabe, S., </w:t>
      </w:r>
      <w:r w:rsidR="008746B9" w:rsidRPr="007D6D77">
        <w:rPr>
          <w:szCs w:val="22"/>
        </w:rPr>
        <w:t>&amp;</w:t>
      </w:r>
      <w:r w:rsidRPr="007D6D77">
        <w:rPr>
          <w:szCs w:val="22"/>
        </w:rPr>
        <w:t xml:space="preserve"> Crawford, S. </w:t>
      </w:r>
      <w:r w:rsidR="008746B9" w:rsidRPr="007D6D77">
        <w:rPr>
          <w:szCs w:val="22"/>
        </w:rPr>
        <w:t>(</w:t>
      </w:r>
      <w:r w:rsidRPr="007D6D77">
        <w:rPr>
          <w:szCs w:val="22"/>
        </w:rPr>
        <w:t>2006</w:t>
      </w:r>
      <w:r w:rsidR="008746B9" w:rsidRPr="007D6D77">
        <w:rPr>
          <w:szCs w:val="22"/>
        </w:rPr>
        <w:t>)</w:t>
      </w:r>
      <w:r w:rsidRPr="007D6D77">
        <w:rPr>
          <w:szCs w:val="22"/>
        </w:rPr>
        <w:t xml:space="preserve">. Web survey design: Paging versus scrolling. </w:t>
      </w:r>
      <w:r w:rsidRPr="007D6D77">
        <w:rPr>
          <w:i/>
          <w:szCs w:val="22"/>
        </w:rPr>
        <w:t>Public Opinion Quarterly</w:t>
      </w:r>
      <w:r w:rsidRPr="007D6D77">
        <w:rPr>
          <w:szCs w:val="22"/>
        </w:rPr>
        <w:t xml:space="preserve"> 70, 596-607.</w:t>
      </w:r>
    </w:p>
    <w:p w14:paraId="25A19957" w14:textId="77777777" w:rsidR="00BE71C8" w:rsidRPr="007D6D77" w:rsidRDefault="00BE71C8" w:rsidP="00BE71C8">
      <w:pPr>
        <w:rPr>
          <w:szCs w:val="22"/>
        </w:rPr>
      </w:pPr>
    </w:p>
    <w:p w14:paraId="43846C3B" w14:textId="77777777" w:rsidR="001850AE" w:rsidRPr="007D6D77" w:rsidRDefault="001850AE" w:rsidP="00BE71C8">
      <w:pPr>
        <w:rPr>
          <w:szCs w:val="22"/>
        </w:rPr>
      </w:pPr>
      <w:r w:rsidRPr="007D6D77">
        <w:rPr>
          <w:szCs w:val="22"/>
        </w:rPr>
        <w:t xml:space="preserve">Policy </w:t>
      </w:r>
      <w:r w:rsidR="00E406FA" w:rsidRPr="007D6D77">
        <w:rPr>
          <w:szCs w:val="22"/>
        </w:rPr>
        <w:t xml:space="preserve">Studies Associates, Inc. </w:t>
      </w:r>
      <w:r w:rsidR="008746B9" w:rsidRPr="007D6D77">
        <w:rPr>
          <w:szCs w:val="22"/>
        </w:rPr>
        <w:t>(</w:t>
      </w:r>
      <w:r w:rsidR="00E406FA" w:rsidRPr="007D6D77">
        <w:rPr>
          <w:szCs w:val="22"/>
        </w:rPr>
        <w:t>2012</w:t>
      </w:r>
      <w:r w:rsidR="008746B9" w:rsidRPr="007D6D77">
        <w:rPr>
          <w:szCs w:val="22"/>
        </w:rPr>
        <w:t>)</w:t>
      </w:r>
      <w:r w:rsidR="00E406FA" w:rsidRPr="007D6D77">
        <w:rPr>
          <w:szCs w:val="22"/>
        </w:rPr>
        <w:t>.</w:t>
      </w:r>
      <w:r w:rsidRPr="007D6D77">
        <w:rPr>
          <w:szCs w:val="22"/>
        </w:rPr>
        <w:t xml:space="preserve"> </w:t>
      </w:r>
      <w:r w:rsidRPr="007D6D77">
        <w:rPr>
          <w:i/>
          <w:szCs w:val="22"/>
        </w:rPr>
        <w:t>4-H Science Initiative: Youth engagement, attitudes, and knowledge study</w:t>
      </w:r>
      <w:r w:rsidRPr="007D6D77">
        <w:rPr>
          <w:szCs w:val="22"/>
        </w:rPr>
        <w:t xml:space="preserve">. Prepared for the National 4-H Council. Retrieved October 13, 2012, from: </w:t>
      </w:r>
      <w:hyperlink r:id="rId17" w:history="1">
        <w:r w:rsidR="00E406FA" w:rsidRPr="007D6D77">
          <w:rPr>
            <w:rStyle w:val="Hyperlink"/>
            <w:szCs w:val="22"/>
          </w:rPr>
          <w:t>http://www.pearweb.org/atis/tools/62</w:t>
        </w:r>
      </w:hyperlink>
      <w:r w:rsidR="00E406FA" w:rsidRPr="007D6D77">
        <w:rPr>
          <w:szCs w:val="22"/>
        </w:rPr>
        <w:t>.</w:t>
      </w:r>
    </w:p>
    <w:p w14:paraId="4A38F42A" w14:textId="77777777" w:rsidR="00E406FA" w:rsidRPr="007D6D77" w:rsidRDefault="00E406FA" w:rsidP="00BE71C8">
      <w:pPr>
        <w:rPr>
          <w:szCs w:val="22"/>
        </w:rPr>
      </w:pPr>
    </w:p>
    <w:p w14:paraId="05FBDC35" w14:textId="77777777" w:rsidR="00BE71C8" w:rsidRPr="007D6D77" w:rsidRDefault="00BE71C8" w:rsidP="00BE71C8">
      <w:pPr>
        <w:rPr>
          <w:szCs w:val="22"/>
        </w:rPr>
      </w:pPr>
      <w:r w:rsidRPr="007D6D77">
        <w:rPr>
          <w:szCs w:val="22"/>
        </w:rPr>
        <w:t>Redline, C</w:t>
      </w:r>
      <w:r w:rsidR="008746B9" w:rsidRPr="007D6D77">
        <w:rPr>
          <w:szCs w:val="22"/>
        </w:rPr>
        <w:t>.</w:t>
      </w:r>
      <w:r w:rsidRPr="007D6D77">
        <w:rPr>
          <w:szCs w:val="22"/>
        </w:rPr>
        <w:t xml:space="preserve"> </w:t>
      </w:r>
      <w:r w:rsidR="008746B9" w:rsidRPr="007D6D77">
        <w:rPr>
          <w:szCs w:val="22"/>
        </w:rPr>
        <w:t>&amp;</w:t>
      </w:r>
      <w:r w:rsidRPr="007D6D77">
        <w:rPr>
          <w:szCs w:val="22"/>
        </w:rPr>
        <w:t xml:space="preserve"> </w:t>
      </w:r>
      <w:proofErr w:type="spellStart"/>
      <w:r w:rsidRPr="007D6D77">
        <w:rPr>
          <w:szCs w:val="22"/>
        </w:rPr>
        <w:t>Dillman</w:t>
      </w:r>
      <w:proofErr w:type="spellEnd"/>
      <w:r w:rsidRPr="007D6D77">
        <w:rPr>
          <w:szCs w:val="22"/>
        </w:rPr>
        <w:t xml:space="preserve">, D. </w:t>
      </w:r>
      <w:r w:rsidR="008746B9" w:rsidRPr="007D6D77">
        <w:rPr>
          <w:szCs w:val="22"/>
        </w:rPr>
        <w:t>(</w:t>
      </w:r>
      <w:r w:rsidRPr="007D6D77">
        <w:rPr>
          <w:szCs w:val="22"/>
        </w:rPr>
        <w:t>2002</w:t>
      </w:r>
      <w:r w:rsidR="008746B9" w:rsidRPr="007D6D77">
        <w:rPr>
          <w:szCs w:val="22"/>
        </w:rPr>
        <w:t>)</w:t>
      </w:r>
      <w:r w:rsidRPr="007D6D77">
        <w:rPr>
          <w:szCs w:val="22"/>
        </w:rPr>
        <w:t xml:space="preserve">. The Influence of alternative visual designs on respondents’ performance with branching questions in self-administered questionnaires. In R.M. Groves, D.A. </w:t>
      </w:r>
      <w:proofErr w:type="spellStart"/>
      <w:r w:rsidRPr="007D6D77">
        <w:rPr>
          <w:szCs w:val="22"/>
        </w:rPr>
        <w:t>Dillman</w:t>
      </w:r>
      <w:proofErr w:type="spellEnd"/>
      <w:r w:rsidRPr="007D6D77">
        <w:rPr>
          <w:szCs w:val="22"/>
        </w:rPr>
        <w:t xml:space="preserve">, J.A. </w:t>
      </w:r>
      <w:proofErr w:type="spellStart"/>
      <w:r w:rsidRPr="007D6D77">
        <w:rPr>
          <w:szCs w:val="22"/>
        </w:rPr>
        <w:t>Eltinge</w:t>
      </w:r>
      <w:proofErr w:type="spellEnd"/>
      <w:r w:rsidRPr="007D6D77">
        <w:rPr>
          <w:szCs w:val="22"/>
        </w:rPr>
        <w:t xml:space="preserve">, and R.J.A. Little (Eds.), </w:t>
      </w:r>
      <w:r w:rsidRPr="007D6D77">
        <w:rPr>
          <w:i/>
          <w:szCs w:val="22"/>
        </w:rPr>
        <w:t>Survey Nonresponse</w:t>
      </w:r>
      <w:r w:rsidRPr="007D6D77">
        <w:rPr>
          <w:szCs w:val="22"/>
        </w:rPr>
        <w:t>. New York: Wiley, 179-193.</w:t>
      </w:r>
    </w:p>
    <w:p w14:paraId="2A3B94C7" w14:textId="77777777" w:rsidR="00C66D3A" w:rsidRPr="007D6D77" w:rsidRDefault="00C66D3A" w:rsidP="00C66D3A">
      <w:pPr>
        <w:rPr>
          <w:i/>
          <w:szCs w:val="22"/>
        </w:rPr>
      </w:pPr>
    </w:p>
    <w:p w14:paraId="4AC7609F" w14:textId="77777777" w:rsidR="00A4628A" w:rsidRPr="007D6D77" w:rsidRDefault="00A4628A" w:rsidP="00ED2C41">
      <w:pPr>
        <w:tabs>
          <w:tab w:val="clear" w:pos="720"/>
          <w:tab w:val="clear" w:pos="1080"/>
          <w:tab w:val="clear" w:pos="1440"/>
          <w:tab w:val="clear" w:pos="1800"/>
        </w:tabs>
        <w:autoSpaceDE w:val="0"/>
        <w:autoSpaceDN w:val="0"/>
        <w:adjustRightInd w:val="0"/>
        <w:spacing w:line="240" w:lineRule="auto"/>
        <w:rPr>
          <w:szCs w:val="22"/>
        </w:rPr>
      </w:pPr>
      <w:proofErr w:type="spellStart"/>
      <w:r w:rsidRPr="007D6D77">
        <w:rPr>
          <w:szCs w:val="22"/>
        </w:rPr>
        <w:t>Rosoff</w:t>
      </w:r>
      <w:proofErr w:type="spellEnd"/>
      <w:r w:rsidRPr="007D6D77">
        <w:rPr>
          <w:szCs w:val="22"/>
        </w:rPr>
        <w:t xml:space="preserve">, P., Werner, C., </w:t>
      </w:r>
      <w:proofErr w:type="spellStart"/>
      <w:r w:rsidRPr="007D6D77">
        <w:rPr>
          <w:szCs w:val="22"/>
        </w:rPr>
        <w:t>Clipp</w:t>
      </w:r>
      <w:proofErr w:type="spellEnd"/>
      <w:r w:rsidRPr="007D6D77">
        <w:rPr>
          <w:szCs w:val="22"/>
        </w:rPr>
        <w:t xml:space="preserve">, E.C., </w:t>
      </w:r>
      <w:proofErr w:type="spellStart"/>
      <w:r w:rsidRPr="007D6D77">
        <w:rPr>
          <w:szCs w:val="22"/>
        </w:rPr>
        <w:t>Buill</w:t>
      </w:r>
      <w:proofErr w:type="spellEnd"/>
      <w:r w:rsidRPr="007D6D77">
        <w:rPr>
          <w:szCs w:val="22"/>
        </w:rPr>
        <w:t>, A.B., Bonner, M., &amp; Demark-</w:t>
      </w:r>
      <w:proofErr w:type="spellStart"/>
      <w:r w:rsidRPr="007D6D77">
        <w:rPr>
          <w:szCs w:val="22"/>
        </w:rPr>
        <w:t>Wahnefried</w:t>
      </w:r>
      <w:proofErr w:type="spellEnd"/>
      <w:r w:rsidRPr="007D6D77">
        <w:rPr>
          <w:szCs w:val="22"/>
        </w:rPr>
        <w:t>, W. (2005). Response rates to a mailed survey of c</w:t>
      </w:r>
      <w:r w:rsidR="00A93340" w:rsidRPr="007D6D77">
        <w:rPr>
          <w:szCs w:val="22"/>
        </w:rPr>
        <w:t>hildhood c</w:t>
      </w:r>
      <w:r w:rsidRPr="007D6D77">
        <w:rPr>
          <w:szCs w:val="22"/>
        </w:rPr>
        <w:t>ancer</w:t>
      </w:r>
      <w:r w:rsidR="00A93340" w:rsidRPr="007D6D77">
        <w:rPr>
          <w:szCs w:val="22"/>
        </w:rPr>
        <w:t xml:space="preserve"> survivors: A comparison of conditional versus unconditional incentives. </w:t>
      </w:r>
      <w:r w:rsidR="00A93340" w:rsidRPr="007D6D77">
        <w:rPr>
          <w:i/>
          <w:szCs w:val="22"/>
        </w:rPr>
        <w:t xml:space="preserve">Cancer Epidemiology, Biomarkers &amp; Prevention, </w:t>
      </w:r>
      <w:r w:rsidR="00A93340" w:rsidRPr="007D6D77">
        <w:rPr>
          <w:szCs w:val="22"/>
        </w:rPr>
        <w:t xml:space="preserve">May 2005, </w:t>
      </w:r>
      <w:r w:rsidR="00A93340" w:rsidRPr="007D6D77">
        <w:rPr>
          <w:i/>
          <w:szCs w:val="22"/>
        </w:rPr>
        <w:t>14.</w:t>
      </w:r>
    </w:p>
    <w:p w14:paraId="5DD294CB" w14:textId="77777777" w:rsidR="00A4628A" w:rsidRPr="007D6D77" w:rsidRDefault="00A4628A" w:rsidP="00ED2C41">
      <w:pPr>
        <w:tabs>
          <w:tab w:val="clear" w:pos="720"/>
          <w:tab w:val="clear" w:pos="1080"/>
          <w:tab w:val="clear" w:pos="1440"/>
          <w:tab w:val="clear" w:pos="1800"/>
        </w:tabs>
        <w:autoSpaceDE w:val="0"/>
        <w:autoSpaceDN w:val="0"/>
        <w:adjustRightInd w:val="0"/>
        <w:spacing w:line="240" w:lineRule="auto"/>
        <w:rPr>
          <w:szCs w:val="22"/>
        </w:rPr>
      </w:pPr>
    </w:p>
    <w:p w14:paraId="72A31233" w14:textId="77777777" w:rsidR="00ED2C41" w:rsidRPr="007D6D77" w:rsidRDefault="00ED2C41" w:rsidP="00ED2C41">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Singer, E. (2002). </w:t>
      </w:r>
      <w:r w:rsidR="00C54C2C" w:rsidRPr="007D6D77">
        <w:rPr>
          <w:szCs w:val="22"/>
        </w:rPr>
        <w:t>“The use of incentives to reduce n</w:t>
      </w:r>
      <w:r w:rsidRPr="007D6D77">
        <w:rPr>
          <w:szCs w:val="22"/>
        </w:rPr>
        <w:t>onresponse in</w:t>
      </w:r>
      <w:r w:rsidR="00C54C2C" w:rsidRPr="007D6D77">
        <w:rPr>
          <w:szCs w:val="22"/>
        </w:rPr>
        <w:t xml:space="preserve"> household s</w:t>
      </w:r>
      <w:r w:rsidRPr="007D6D77">
        <w:rPr>
          <w:szCs w:val="22"/>
        </w:rPr>
        <w:t xml:space="preserve">urveys” Chapter 11 in </w:t>
      </w:r>
      <w:r w:rsidRPr="007D6D77">
        <w:rPr>
          <w:i/>
          <w:iCs/>
          <w:szCs w:val="22"/>
        </w:rPr>
        <w:t xml:space="preserve">Survey Nonresponse, </w:t>
      </w:r>
      <w:r w:rsidRPr="007D6D77">
        <w:rPr>
          <w:szCs w:val="22"/>
        </w:rPr>
        <w:t>John Wiley and Sons, Inc. New York (2002).</w:t>
      </w:r>
    </w:p>
    <w:p w14:paraId="74FE224A" w14:textId="77777777" w:rsidR="00C54C2C" w:rsidRPr="007D6D77" w:rsidRDefault="00C54C2C" w:rsidP="00ED2C41">
      <w:pPr>
        <w:tabs>
          <w:tab w:val="clear" w:pos="720"/>
          <w:tab w:val="clear" w:pos="1080"/>
          <w:tab w:val="clear" w:pos="1440"/>
          <w:tab w:val="clear" w:pos="1800"/>
        </w:tabs>
        <w:autoSpaceDE w:val="0"/>
        <w:autoSpaceDN w:val="0"/>
        <w:adjustRightInd w:val="0"/>
        <w:spacing w:line="240" w:lineRule="auto"/>
        <w:rPr>
          <w:szCs w:val="22"/>
        </w:rPr>
      </w:pPr>
    </w:p>
    <w:p w14:paraId="54766326" w14:textId="77777777" w:rsidR="00C54C2C" w:rsidRPr="007D6D77" w:rsidRDefault="00C54C2C" w:rsidP="00ED2C41">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Singer, E., &amp; </w:t>
      </w:r>
      <w:proofErr w:type="spellStart"/>
      <w:r w:rsidRPr="007D6D77">
        <w:rPr>
          <w:szCs w:val="22"/>
        </w:rPr>
        <w:t>Kulka</w:t>
      </w:r>
      <w:proofErr w:type="spellEnd"/>
      <w:r w:rsidRPr="007D6D77">
        <w:rPr>
          <w:szCs w:val="22"/>
        </w:rPr>
        <w:t xml:space="preserve">, R.A. (2004). </w:t>
      </w:r>
      <w:r w:rsidRPr="007D6D77">
        <w:rPr>
          <w:i/>
          <w:szCs w:val="22"/>
        </w:rPr>
        <w:t>Paying respondents for survey participation.</w:t>
      </w:r>
      <w:r w:rsidRPr="007D6D77">
        <w:rPr>
          <w:szCs w:val="22"/>
        </w:rPr>
        <w:t xml:space="preserve"> Retrieved December 19, 2012, from: http://aspe.hhs.gov/hsp/welf-res-data-issues02/pdf/04.pdf.</w:t>
      </w:r>
    </w:p>
    <w:p w14:paraId="5CC682CB" w14:textId="77777777" w:rsidR="00ED2C41" w:rsidRPr="007D6D77" w:rsidRDefault="00ED2C41" w:rsidP="00ED2C41">
      <w:pPr>
        <w:tabs>
          <w:tab w:val="clear" w:pos="720"/>
          <w:tab w:val="clear" w:pos="1080"/>
          <w:tab w:val="clear" w:pos="1440"/>
          <w:tab w:val="clear" w:pos="1800"/>
        </w:tabs>
        <w:autoSpaceDE w:val="0"/>
        <w:autoSpaceDN w:val="0"/>
        <w:adjustRightInd w:val="0"/>
        <w:spacing w:line="240" w:lineRule="auto"/>
        <w:rPr>
          <w:szCs w:val="22"/>
        </w:rPr>
      </w:pPr>
    </w:p>
    <w:p w14:paraId="4694855B" w14:textId="77777777" w:rsidR="00BE71C8" w:rsidRPr="00BE6B81" w:rsidRDefault="00BE71C8" w:rsidP="00BE71C8">
      <w:pPr>
        <w:rPr>
          <w:szCs w:val="22"/>
        </w:rPr>
      </w:pPr>
      <w:r w:rsidRPr="007D6D77">
        <w:rPr>
          <w:szCs w:val="22"/>
        </w:rPr>
        <w:t xml:space="preserve">U.S. Department of Health and Human Services (HHS). </w:t>
      </w:r>
      <w:r w:rsidR="00B86CA0" w:rsidRPr="007D6D77">
        <w:rPr>
          <w:szCs w:val="22"/>
        </w:rPr>
        <w:t>(</w:t>
      </w:r>
      <w:r w:rsidRPr="007D6D77">
        <w:rPr>
          <w:szCs w:val="22"/>
        </w:rPr>
        <w:t>2006</w:t>
      </w:r>
      <w:r w:rsidR="00B86CA0" w:rsidRPr="007D6D77">
        <w:rPr>
          <w:szCs w:val="22"/>
        </w:rPr>
        <w:t>)</w:t>
      </w:r>
      <w:r w:rsidRPr="007D6D77">
        <w:rPr>
          <w:szCs w:val="22"/>
        </w:rPr>
        <w:t xml:space="preserve">. </w:t>
      </w:r>
      <w:r w:rsidRPr="007D6D77">
        <w:rPr>
          <w:i/>
          <w:szCs w:val="22"/>
        </w:rPr>
        <w:t>Research-Based Web Design &amp; Usability Guidelines</w:t>
      </w:r>
      <w:r w:rsidRPr="007D6D77">
        <w:rPr>
          <w:szCs w:val="22"/>
        </w:rPr>
        <w:t>. Washington D.C.: Government Printing Office.</w:t>
      </w:r>
    </w:p>
    <w:p w14:paraId="4ACCC535" w14:textId="77777777" w:rsidR="00C66D3A" w:rsidRPr="00BE6B81" w:rsidRDefault="00C66D3A" w:rsidP="00C66D3A">
      <w:pPr>
        <w:rPr>
          <w:rFonts w:cs="Calibri"/>
          <w:szCs w:val="22"/>
        </w:rPr>
      </w:pPr>
    </w:p>
    <w:sectPr w:rsidR="00C66D3A" w:rsidRPr="00BE6B81" w:rsidSect="00C00837">
      <w:footerReference w:type="first" r:id="rId18"/>
      <w:pgSz w:w="12240" w:h="15840" w:code="1"/>
      <w:pgMar w:top="1440" w:right="1440" w:bottom="1008" w:left="144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B8AB3" w14:textId="77777777" w:rsidR="00B77237" w:rsidRDefault="00B77237">
      <w:r>
        <w:separator/>
      </w:r>
    </w:p>
  </w:endnote>
  <w:endnote w:type="continuationSeparator" w:id="0">
    <w:p w14:paraId="63EB7932" w14:textId="77777777" w:rsidR="00B77237" w:rsidRDefault="00B7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94">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8F6BA" w14:textId="77777777" w:rsidR="00471C3F" w:rsidRDefault="00471C3F" w:rsidP="00C008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E0E1E" w14:textId="77777777" w:rsidR="00471C3F" w:rsidRDefault="00471C3F" w:rsidP="00C00837">
    <w:pPr>
      <w:pStyle w:val="Footer"/>
      <w:pBdr>
        <w:top w:val="single" w:sz="8" w:space="1" w:color="auto"/>
      </w:pBdr>
      <w:ind w:right="360"/>
    </w:pPr>
    <w:r>
      <w:tab/>
      <w:t>Contents</w:t>
    </w:r>
    <w:r>
      <w:tab/>
    </w:r>
    <w:proofErr w:type="spellStart"/>
    <w:r>
      <w:t>Abt</w:t>
    </w:r>
    <w:proofErr w:type="spellEnd"/>
    <w:r>
      <w:t xml:space="preserve"> Associates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28E0" w14:textId="77777777" w:rsidR="00471C3F" w:rsidRDefault="00471C3F">
    <w:pPr>
      <w:pStyle w:val="Footer"/>
      <w:jc w:val="right"/>
    </w:pPr>
    <w:r>
      <w:t>PART A-</w:t>
    </w:r>
    <w:sdt>
      <w:sdtPr>
        <w:id w:val="89937213"/>
        <w:docPartObj>
          <w:docPartGallery w:val="Page Numbers (Bottom of Page)"/>
          <w:docPartUnique/>
        </w:docPartObj>
      </w:sdtPr>
      <w:sdtEndPr/>
      <w:sdtContent>
        <w:r>
          <w:fldChar w:fldCharType="begin"/>
        </w:r>
        <w:r>
          <w:instrText xml:space="preserve"> PAGE   \* MERGEFORMAT </w:instrText>
        </w:r>
        <w:r>
          <w:fldChar w:fldCharType="separate"/>
        </w:r>
        <w:r w:rsidR="00CA155B">
          <w:rPr>
            <w:noProof/>
          </w:rPr>
          <w:t>i</w:t>
        </w:r>
        <w:r>
          <w:rPr>
            <w:noProof/>
          </w:rPr>
          <w:fldChar w:fldCharType="end"/>
        </w:r>
      </w:sdtContent>
    </w:sdt>
  </w:p>
  <w:p w14:paraId="2301DF83" w14:textId="77777777" w:rsidR="00471C3F" w:rsidRDefault="00471C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E54D1" w14:textId="77777777" w:rsidR="00471C3F" w:rsidRPr="00DC2C9F" w:rsidRDefault="00471C3F" w:rsidP="009D3668">
    <w:pPr>
      <w:pStyle w:val="Footer"/>
      <w:pBdr>
        <w:top w:val="single" w:sz="8" w:space="1" w:color="auto"/>
      </w:pBdr>
      <w:tabs>
        <w:tab w:val="clear" w:pos="9000"/>
        <w:tab w:val="right" w:pos="8640"/>
        <w:tab w:val="right" w:pos="9360"/>
      </w:tabs>
      <w:rPr>
        <w:sz w:val="16"/>
        <w:szCs w:val="16"/>
      </w:rPr>
    </w:pPr>
    <w:r>
      <w:rPr>
        <w:sz w:val="16"/>
        <w:szCs w:val="16"/>
      </w:rPr>
      <w:t>National Aeronautics and Space Administration</w:t>
    </w:r>
    <w:r>
      <w:rPr>
        <w:sz w:val="16"/>
        <w:szCs w:val="16"/>
      </w:rPr>
      <w:tab/>
      <w:t>Part A:</w:t>
    </w:r>
    <w:r w:rsidRPr="00DC2C9F">
      <w:rPr>
        <w:sz w:val="16"/>
        <w:szCs w:val="16"/>
      </w:rPr>
      <w:t xml:space="preserve"> </w:t>
    </w:r>
    <w:r>
      <w:rPr>
        <w:sz w:val="16"/>
        <w:szCs w:val="16"/>
      </w:rPr>
      <w:t>Justification</w:t>
    </w:r>
    <w:r w:rsidRPr="00DC2C9F">
      <w:rPr>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2288E59" w14:textId="77777777" w:rsidR="00471C3F" w:rsidRDefault="00471C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9D208" w14:textId="77777777" w:rsidR="00471C3F" w:rsidRDefault="00471C3F" w:rsidP="00F772B3">
    <w:pPr>
      <w:pStyle w:val="Footer"/>
      <w:pBdr>
        <w:top w:val="single" w:sz="8" w:space="1" w:color="auto"/>
      </w:pBdr>
      <w:tabs>
        <w:tab w:val="clear" w:pos="9000"/>
        <w:tab w:val="right" w:pos="8640"/>
        <w:tab w:val="right" w:pos="9360"/>
      </w:tabs>
    </w:pPr>
    <w:r>
      <w:rPr>
        <w:sz w:val="16"/>
        <w:szCs w:val="16"/>
      </w:rPr>
      <w:t>National Aeronautics and Space Administration</w:t>
    </w:r>
    <w:r>
      <w:rPr>
        <w:sz w:val="16"/>
        <w:szCs w:val="16"/>
      </w:rPr>
      <w:tab/>
    </w:r>
    <w:r w:rsidRPr="00DC2C9F">
      <w:rPr>
        <w:sz w:val="16"/>
        <w:szCs w:val="16"/>
      </w:rPr>
      <w:tab/>
    </w:r>
    <w:r>
      <w:rPr>
        <w:sz w:val="16"/>
        <w:szCs w:val="16"/>
      </w:rPr>
      <w:t>PART A-</w:t>
    </w:r>
    <w:r>
      <w:rPr>
        <w:rStyle w:val="PageNumber"/>
      </w:rPr>
      <w:fldChar w:fldCharType="begin"/>
    </w:r>
    <w:r>
      <w:rPr>
        <w:rStyle w:val="PageNumber"/>
      </w:rPr>
      <w:instrText xml:space="preserve"> PAGE </w:instrText>
    </w:r>
    <w:r>
      <w:rPr>
        <w:rStyle w:val="PageNumber"/>
      </w:rPr>
      <w:fldChar w:fldCharType="separate"/>
    </w:r>
    <w:r w:rsidR="00CA155B">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27E60" w14:textId="77777777" w:rsidR="00B77237" w:rsidRDefault="00B77237">
      <w:r>
        <w:separator/>
      </w:r>
    </w:p>
  </w:footnote>
  <w:footnote w:type="continuationSeparator" w:id="0">
    <w:p w14:paraId="6380640D" w14:textId="77777777" w:rsidR="00B77237" w:rsidRDefault="00B77237">
      <w:r>
        <w:continuationSeparator/>
      </w:r>
    </w:p>
  </w:footnote>
  <w:footnote w:id="1">
    <w:p w14:paraId="388F5955" w14:textId="77777777" w:rsidR="00C956A4" w:rsidRPr="00BF66BB" w:rsidRDefault="00C956A4" w:rsidP="00C956A4">
      <w:pPr>
        <w:pStyle w:val="ReportBodyText"/>
        <w:rPr>
          <w:rFonts w:cstheme="majorBidi"/>
        </w:rPr>
      </w:pPr>
      <w:r>
        <w:rPr>
          <w:rStyle w:val="FootnoteReference"/>
        </w:rPr>
        <w:footnoteRef/>
      </w:r>
      <w:r>
        <w:t xml:space="preserve"> </w:t>
      </w:r>
      <w:r w:rsidRPr="00C956A4">
        <w:rPr>
          <w:sz w:val="20"/>
          <w:szCs w:val="20"/>
        </w:rPr>
        <w:t xml:space="preserve">The STEM Challenges pilot with NASA is part of the </w:t>
      </w:r>
      <w:r w:rsidRPr="00C956A4">
        <w:rPr>
          <w:rFonts w:cs="Arial"/>
          <w:sz w:val="20"/>
          <w:szCs w:val="20"/>
        </w:rPr>
        <w:t>Department of Education’s multi-year initiative to expand high-quality STEM programming in 21CCLC. This initiative created a technical assistance working group of researchers, evaluators, practitioners, and other Federal agencies to support the development of a strategy and series of tools that would assist both state education agencies and sub-grantee sites in the implementation of high-quality STEM efforts. Through this effort ED developed a support strategy to collaborate with other federal agencies to achieve this goal.</w:t>
      </w:r>
      <w:r>
        <w:rPr>
          <w:rFonts w:cs="Arial"/>
        </w:rPr>
        <w:t xml:space="preserve"> </w:t>
      </w:r>
    </w:p>
    <w:p w14:paraId="6E62D89C" w14:textId="77777777" w:rsidR="00C956A4" w:rsidRDefault="00C956A4" w:rsidP="00C956A4">
      <w:pPr>
        <w:pStyle w:val="FootnoteText"/>
      </w:pPr>
    </w:p>
  </w:footnote>
  <w:footnote w:id="2">
    <w:p w14:paraId="611CC47E" w14:textId="77777777" w:rsidR="004714AF" w:rsidRPr="004714AF" w:rsidRDefault="004714AF">
      <w:pPr>
        <w:pStyle w:val="FootnoteText"/>
      </w:pPr>
      <w:r>
        <w:rPr>
          <w:rStyle w:val="FootnoteReference"/>
        </w:rPr>
        <w:footnoteRef/>
      </w:r>
      <w:r>
        <w:t xml:space="preserve"> </w:t>
      </w:r>
      <w:r w:rsidRPr="004714AF">
        <w:t xml:space="preserve">Research on the use of active versus passive consent in middle school settings has found that a passive consent strategy is a cost-effective, viable alternative to active consent when supplemented by appropriate back-up and privacy safeguard measures. See P. </w:t>
      </w:r>
      <w:proofErr w:type="spellStart"/>
      <w:r w:rsidRPr="004714AF">
        <w:t>Ellickson</w:t>
      </w:r>
      <w:proofErr w:type="spellEnd"/>
      <w:r w:rsidRPr="004714AF">
        <w:t xml:space="preserve"> &amp; J. Hawes (1989), </w:t>
      </w:r>
      <w:proofErr w:type="gramStart"/>
      <w:r w:rsidRPr="004714AF">
        <w:rPr>
          <w:i/>
        </w:rPr>
        <w:t>An</w:t>
      </w:r>
      <w:proofErr w:type="gramEnd"/>
      <w:r w:rsidRPr="004714AF">
        <w:rPr>
          <w:i/>
        </w:rPr>
        <w:t xml:space="preserve"> assessment of active versus passive methods for obtaining parental consent, </w:t>
      </w:r>
      <w:r w:rsidRPr="004714AF">
        <w:t>Santa Monica, CA: RAND Corporation. Retrieved December 14, 2014, from: http://www.rand.org/content/dam/rand/pubs/notes/2005/N2935.pdf.</w:t>
      </w:r>
    </w:p>
  </w:footnote>
  <w:footnote w:id="3">
    <w:p w14:paraId="27AAFE4D" w14:textId="77777777" w:rsidR="004C3ED3" w:rsidRDefault="004C3ED3" w:rsidP="004C3ED3">
      <w:pPr>
        <w:pStyle w:val="NormalWeb"/>
      </w:pPr>
      <w:r>
        <w:rPr>
          <w:rStyle w:val="FootnoteReference"/>
        </w:rPr>
        <w:footnoteRef/>
      </w:r>
      <w:r>
        <w:t xml:space="preserve"> </w:t>
      </w:r>
      <w:r w:rsidRPr="001516BF">
        <w:rPr>
          <w:sz w:val="20"/>
          <w:szCs w:val="20"/>
        </w:rPr>
        <w:t xml:space="preserve">See, for instance, see Subpart A, Section 46.116 </w:t>
      </w:r>
      <w:r>
        <w:rPr>
          <w:sz w:val="20"/>
          <w:szCs w:val="20"/>
        </w:rPr>
        <w:t xml:space="preserve">(General Requirements for Informed Consent) </w:t>
      </w:r>
      <w:r w:rsidRPr="001516BF">
        <w:rPr>
          <w:sz w:val="20"/>
          <w:szCs w:val="20"/>
        </w:rPr>
        <w:t xml:space="preserve">of the </w:t>
      </w:r>
      <w:r w:rsidRPr="00C8515C">
        <w:rPr>
          <w:bCs/>
          <w:i/>
          <w:sz w:val="20"/>
          <w:szCs w:val="20"/>
        </w:rPr>
        <w:t>Code of Federal Regulations, TITLE 45, Public Welfare, Department of Health and Human Services, Part 46, Protection of Human Subjects</w:t>
      </w:r>
      <w:r w:rsidRPr="00C8515C">
        <w:rPr>
          <w:bCs/>
          <w:sz w:val="20"/>
          <w:szCs w:val="20"/>
        </w:rPr>
        <w:t xml:space="preserve">. Retrieved January 22, 2013, from: </w:t>
      </w:r>
      <w:hyperlink r:id="rId1" w:anchor="46.116" w:history="1">
        <w:r w:rsidRPr="00C8515C">
          <w:rPr>
            <w:rStyle w:val="Hyperlink"/>
            <w:bCs/>
            <w:sz w:val="20"/>
            <w:szCs w:val="20"/>
          </w:rPr>
          <w:t>http://www.hhs.gov/ohrp/humansubjects/guidance/45cfr46.html#46.116</w:t>
        </w:r>
      </w:hyperlink>
      <w:r w:rsidRPr="00C8515C">
        <w:rPr>
          <w:bCs/>
          <w:sz w:val="20"/>
          <w:szCs w:val="20"/>
        </w:rPr>
        <w:t>.</w:t>
      </w:r>
      <w:r>
        <w:rPr>
          <w:b/>
          <w:b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5861026"/>
    <w:name w:val="WW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2"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3" w15:restartNumberingAfterBreak="0">
    <w:nsid w:val="081252AD"/>
    <w:multiLevelType w:val="hybridMultilevel"/>
    <w:tmpl w:val="A4CC8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343C8"/>
    <w:multiLevelType w:val="hybridMultilevel"/>
    <w:tmpl w:val="41AC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46F20"/>
    <w:multiLevelType w:val="hybridMultilevel"/>
    <w:tmpl w:val="CE205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E7225A"/>
    <w:multiLevelType w:val="hybridMultilevel"/>
    <w:tmpl w:val="11649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203D3"/>
    <w:multiLevelType w:val="hybridMultilevel"/>
    <w:tmpl w:val="DC309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04411C"/>
    <w:multiLevelType w:val="multilevel"/>
    <w:tmpl w:val="2B1C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80C37"/>
    <w:multiLevelType w:val="hybridMultilevel"/>
    <w:tmpl w:val="64325E66"/>
    <w:lvl w:ilvl="0" w:tplc="19E6D34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6811E3"/>
    <w:multiLevelType w:val="hybridMultilevel"/>
    <w:tmpl w:val="F02EC736"/>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736DD2C">
      <w:start w:val="1"/>
      <w:numFmt w:val="lowerLetter"/>
      <w:lvlText w:val="(%4)"/>
      <w:lvlJc w:val="left"/>
      <w:pPr>
        <w:ind w:left="2880" w:hanging="360"/>
      </w:pPr>
      <w:rPr>
        <w:rFonts w:hint="default"/>
      </w:rPr>
    </w:lvl>
    <w:lvl w:ilvl="4" w:tplc="F3662F14">
      <w:start w:val="1"/>
      <w:numFmt w:val="decimal"/>
      <w:lvlText w:val="%5."/>
      <w:lvlJc w:val="left"/>
      <w:pPr>
        <w:ind w:left="3600" w:hanging="360"/>
      </w:pPr>
      <w:rPr>
        <w:rFonts w:hint="default"/>
      </w:rPr>
    </w:lvl>
    <w:lvl w:ilvl="5" w:tplc="BE066D24">
      <w:start w:val="1"/>
      <w:numFmt w:val="lowerLetter"/>
      <w:lvlText w:val="%6)"/>
      <w:lvlJc w:val="left"/>
      <w:pPr>
        <w:ind w:left="4500" w:hanging="360"/>
      </w:pPr>
      <w:rPr>
        <w:rFonts w:hint="default"/>
      </w:rPr>
    </w:lvl>
    <w:lvl w:ilvl="6" w:tplc="B3B84EF6">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84B92"/>
    <w:multiLevelType w:val="hybridMultilevel"/>
    <w:tmpl w:val="B0D4276E"/>
    <w:lvl w:ilvl="0" w:tplc="169E339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963AE"/>
    <w:multiLevelType w:val="hybridMultilevel"/>
    <w:tmpl w:val="C420A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9C7A2D"/>
    <w:multiLevelType w:val="hybridMultilevel"/>
    <w:tmpl w:val="9B28CB0E"/>
    <w:lvl w:ilvl="0" w:tplc="648E27A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5" w15:restartNumberingAfterBreak="0">
    <w:nsid w:val="2A622AA3"/>
    <w:multiLevelType w:val="hybridMultilevel"/>
    <w:tmpl w:val="BDD2989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02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3B07D8"/>
    <w:multiLevelType w:val="hybridMultilevel"/>
    <w:tmpl w:val="1F00B8F0"/>
    <w:lvl w:ilvl="0" w:tplc="506E224E">
      <w:start w:val="1"/>
      <w:numFmt w:val="bullet"/>
      <w:pStyle w:val="Bullets"/>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CC2B05"/>
    <w:multiLevelType w:val="hybridMultilevel"/>
    <w:tmpl w:val="4CA8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D598A"/>
    <w:multiLevelType w:val="hybridMultilevel"/>
    <w:tmpl w:val="981C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C6454C"/>
    <w:multiLevelType w:val="hybridMultilevel"/>
    <w:tmpl w:val="77B0F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D962A9"/>
    <w:multiLevelType w:val="hybridMultilevel"/>
    <w:tmpl w:val="730C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C3E9A"/>
    <w:multiLevelType w:val="hybridMultilevel"/>
    <w:tmpl w:val="912A9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2455FF"/>
    <w:multiLevelType w:val="hybridMultilevel"/>
    <w:tmpl w:val="3C9A6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87081"/>
    <w:multiLevelType w:val="hybridMultilevel"/>
    <w:tmpl w:val="C7FA3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E1731A"/>
    <w:multiLevelType w:val="hybridMultilevel"/>
    <w:tmpl w:val="EFBC98EE"/>
    <w:lvl w:ilvl="0" w:tplc="169E3390">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7" w15:restartNumberingAfterBreak="0">
    <w:nsid w:val="5AF07D35"/>
    <w:multiLevelType w:val="hybridMultilevel"/>
    <w:tmpl w:val="396C47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E25198"/>
    <w:multiLevelType w:val="multilevel"/>
    <w:tmpl w:val="B0D4276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A67C48"/>
    <w:multiLevelType w:val="hybridMultilevel"/>
    <w:tmpl w:val="5866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E2F1B"/>
    <w:multiLevelType w:val="hybridMultilevel"/>
    <w:tmpl w:val="BA8C0D5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747C57"/>
    <w:multiLevelType w:val="multilevel"/>
    <w:tmpl w:val="EFBC98EE"/>
    <w:lvl w:ilvl="0">
      <w:start w:val="1"/>
      <w:numFmt w:val="bullet"/>
      <w:lvlText w:val=""/>
      <w:lvlJc w:val="left"/>
      <w:pPr>
        <w:tabs>
          <w:tab w:val="num" w:pos="1500"/>
        </w:tabs>
        <w:ind w:left="150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5D71167"/>
    <w:multiLevelType w:val="hybridMultilevel"/>
    <w:tmpl w:val="84B6A932"/>
    <w:lvl w:ilvl="0" w:tplc="1A78C978">
      <w:start w:val="1"/>
      <w:numFmt w:val="bullet"/>
      <w:lvlText w:val=""/>
      <w:lvlJc w:val="left"/>
      <w:pPr>
        <w:tabs>
          <w:tab w:val="num" w:pos="576"/>
        </w:tabs>
        <w:ind w:left="576" w:hanging="360"/>
      </w:pPr>
      <w:rPr>
        <w:rFonts w:ascii="Symbol" w:hAnsi="Symbol" w:hint="default"/>
        <w:sz w:val="18"/>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33" w15:restartNumberingAfterBreak="0">
    <w:nsid w:val="76A734BA"/>
    <w:multiLevelType w:val="hybridMultilevel"/>
    <w:tmpl w:val="ECA8A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7AD7041"/>
    <w:multiLevelType w:val="singleLevel"/>
    <w:tmpl w:val="BDDE821C"/>
    <w:lvl w:ilvl="0">
      <w:start w:val="1"/>
      <w:numFmt w:val="decimal"/>
      <w:lvlText w:val="%1."/>
      <w:lvlJc w:val="left"/>
      <w:pPr>
        <w:tabs>
          <w:tab w:val="num" w:pos="720"/>
        </w:tabs>
        <w:ind w:left="720" w:hanging="720"/>
      </w:pPr>
    </w:lvl>
  </w:abstractNum>
  <w:abstractNum w:abstractNumId="35" w15:restartNumberingAfterBreak="0">
    <w:nsid w:val="79977177"/>
    <w:multiLevelType w:val="hybridMultilevel"/>
    <w:tmpl w:val="C910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A2DE1"/>
    <w:multiLevelType w:val="hybridMultilevel"/>
    <w:tmpl w:val="77768A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E7C3D43"/>
    <w:multiLevelType w:val="hybridMultilevel"/>
    <w:tmpl w:val="D3DACA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7"/>
  </w:num>
  <w:num w:numId="4">
    <w:abstractNumId w:val="7"/>
  </w:num>
  <w:num w:numId="5">
    <w:abstractNumId w:val="27"/>
  </w:num>
  <w:num w:numId="6">
    <w:abstractNumId w:val="0"/>
  </w:num>
  <w:num w:numId="7">
    <w:abstractNumId w:val="37"/>
  </w:num>
  <w:num w:numId="8">
    <w:abstractNumId w:val="11"/>
  </w:num>
  <w:num w:numId="9">
    <w:abstractNumId w:val="28"/>
  </w:num>
  <w:num w:numId="10">
    <w:abstractNumId w:val="36"/>
  </w:num>
  <w:num w:numId="11">
    <w:abstractNumId w:val="30"/>
  </w:num>
  <w:num w:numId="12">
    <w:abstractNumId w:val="32"/>
  </w:num>
  <w:num w:numId="13">
    <w:abstractNumId w:val="34"/>
  </w:num>
  <w:num w:numId="14">
    <w:abstractNumId w:val="25"/>
  </w:num>
  <w:num w:numId="15">
    <w:abstractNumId w:val="31"/>
  </w:num>
  <w:num w:numId="16">
    <w:abstractNumId w:val="33"/>
  </w:num>
  <w:num w:numId="17">
    <w:abstractNumId w:val="18"/>
  </w:num>
  <w:num w:numId="18">
    <w:abstractNumId w:val="35"/>
  </w:num>
  <w:num w:numId="19">
    <w:abstractNumId w:val="13"/>
  </w:num>
  <w:num w:numId="20">
    <w:abstractNumId w:val="20"/>
  </w:num>
  <w:num w:numId="21">
    <w:abstractNumId w:val="22"/>
  </w:num>
  <w:num w:numId="22">
    <w:abstractNumId w:val="3"/>
  </w:num>
  <w:num w:numId="23">
    <w:abstractNumId w:val="19"/>
  </w:num>
  <w:num w:numId="24">
    <w:abstractNumId w:val="23"/>
  </w:num>
  <w:num w:numId="25">
    <w:abstractNumId w:val="4"/>
  </w:num>
  <w:num w:numId="26">
    <w:abstractNumId w:val="2"/>
  </w:num>
  <w:num w:numId="27">
    <w:abstractNumId w:val="14"/>
  </w:num>
  <w:num w:numId="28">
    <w:abstractNumId w:val="26"/>
  </w:num>
  <w:num w:numId="29">
    <w:abstractNumId w:val="6"/>
  </w:num>
  <w:num w:numId="30">
    <w:abstractNumId w:val="1"/>
  </w:num>
  <w:num w:numId="31">
    <w:abstractNumId w:val="21"/>
  </w:num>
  <w:num w:numId="32">
    <w:abstractNumId w:val="8"/>
  </w:num>
  <w:num w:numId="33">
    <w:abstractNumId w:val="15"/>
  </w:num>
  <w:num w:numId="34">
    <w:abstractNumId w:val="10"/>
  </w:num>
  <w:num w:numId="35">
    <w:abstractNumId w:val="29"/>
  </w:num>
  <w:num w:numId="36">
    <w:abstractNumId w:val="12"/>
  </w:num>
  <w:num w:numId="37">
    <w:abstractNumId w:val="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37"/>
    <w:rsid w:val="0000134F"/>
    <w:rsid w:val="000015E5"/>
    <w:rsid w:val="000053B8"/>
    <w:rsid w:val="00007E28"/>
    <w:rsid w:val="000120E9"/>
    <w:rsid w:val="00013039"/>
    <w:rsid w:val="00013D26"/>
    <w:rsid w:val="0001512A"/>
    <w:rsid w:val="00021B1D"/>
    <w:rsid w:val="000254F3"/>
    <w:rsid w:val="000258F4"/>
    <w:rsid w:val="00025DB9"/>
    <w:rsid w:val="000263A0"/>
    <w:rsid w:val="00027808"/>
    <w:rsid w:val="000313FD"/>
    <w:rsid w:val="000328CE"/>
    <w:rsid w:val="00035B0E"/>
    <w:rsid w:val="0003683E"/>
    <w:rsid w:val="00036B45"/>
    <w:rsid w:val="00037AE9"/>
    <w:rsid w:val="00041B2B"/>
    <w:rsid w:val="00042733"/>
    <w:rsid w:val="000427C9"/>
    <w:rsid w:val="00042D71"/>
    <w:rsid w:val="00042EC0"/>
    <w:rsid w:val="00043D9F"/>
    <w:rsid w:val="000451E1"/>
    <w:rsid w:val="00045497"/>
    <w:rsid w:val="00045CCB"/>
    <w:rsid w:val="00047E64"/>
    <w:rsid w:val="00050678"/>
    <w:rsid w:val="0005299D"/>
    <w:rsid w:val="00053809"/>
    <w:rsid w:val="000539AB"/>
    <w:rsid w:val="000608B2"/>
    <w:rsid w:val="00061D2C"/>
    <w:rsid w:val="00061E60"/>
    <w:rsid w:val="000624B5"/>
    <w:rsid w:val="000627DC"/>
    <w:rsid w:val="00062E26"/>
    <w:rsid w:val="00062FD7"/>
    <w:rsid w:val="00063937"/>
    <w:rsid w:val="00065D71"/>
    <w:rsid w:val="00065E87"/>
    <w:rsid w:val="000665C9"/>
    <w:rsid w:val="00070ADB"/>
    <w:rsid w:val="00070E01"/>
    <w:rsid w:val="00072227"/>
    <w:rsid w:val="000735F7"/>
    <w:rsid w:val="00075112"/>
    <w:rsid w:val="00075A98"/>
    <w:rsid w:val="00077672"/>
    <w:rsid w:val="00077F7E"/>
    <w:rsid w:val="00077F89"/>
    <w:rsid w:val="00081DA2"/>
    <w:rsid w:val="0008314A"/>
    <w:rsid w:val="00084206"/>
    <w:rsid w:val="00086900"/>
    <w:rsid w:val="00086E03"/>
    <w:rsid w:val="00087EEE"/>
    <w:rsid w:val="00090C61"/>
    <w:rsid w:val="00092397"/>
    <w:rsid w:val="00093564"/>
    <w:rsid w:val="0009540C"/>
    <w:rsid w:val="00095919"/>
    <w:rsid w:val="00095FA9"/>
    <w:rsid w:val="000A0F1F"/>
    <w:rsid w:val="000A1971"/>
    <w:rsid w:val="000A4E8C"/>
    <w:rsid w:val="000A6EAF"/>
    <w:rsid w:val="000A7373"/>
    <w:rsid w:val="000B0750"/>
    <w:rsid w:val="000B168D"/>
    <w:rsid w:val="000B2016"/>
    <w:rsid w:val="000B3B3A"/>
    <w:rsid w:val="000B5116"/>
    <w:rsid w:val="000C030D"/>
    <w:rsid w:val="000C245E"/>
    <w:rsid w:val="000C26DE"/>
    <w:rsid w:val="000C38CB"/>
    <w:rsid w:val="000C4F62"/>
    <w:rsid w:val="000D1636"/>
    <w:rsid w:val="000D5BBC"/>
    <w:rsid w:val="000D65B0"/>
    <w:rsid w:val="000D6EE6"/>
    <w:rsid w:val="000E06CF"/>
    <w:rsid w:val="000E0BDA"/>
    <w:rsid w:val="000E3829"/>
    <w:rsid w:val="000F0D4A"/>
    <w:rsid w:val="000F1B95"/>
    <w:rsid w:val="000F1E88"/>
    <w:rsid w:val="000F1F33"/>
    <w:rsid w:val="000F275E"/>
    <w:rsid w:val="000F45BF"/>
    <w:rsid w:val="000F5F46"/>
    <w:rsid w:val="000F7B68"/>
    <w:rsid w:val="00103AF1"/>
    <w:rsid w:val="001056EE"/>
    <w:rsid w:val="00106A59"/>
    <w:rsid w:val="00107C39"/>
    <w:rsid w:val="00107FE6"/>
    <w:rsid w:val="001134AE"/>
    <w:rsid w:val="001138D2"/>
    <w:rsid w:val="001171C9"/>
    <w:rsid w:val="00117A82"/>
    <w:rsid w:val="0012011D"/>
    <w:rsid w:val="001211F2"/>
    <w:rsid w:val="00121336"/>
    <w:rsid w:val="00124620"/>
    <w:rsid w:val="001301C0"/>
    <w:rsid w:val="0013141D"/>
    <w:rsid w:val="00131481"/>
    <w:rsid w:val="00131E36"/>
    <w:rsid w:val="001328C2"/>
    <w:rsid w:val="00133EDD"/>
    <w:rsid w:val="001358B8"/>
    <w:rsid w:val="00137603"/>
    <w:rsid w:val="0014029B"/>
    <w:rsid w:val="00140503"/>
    <w:rsid w:val="001408CE"/>
    <w:rsid w:val="00142902"/>
    <w:rsid w:val="0014410C"/>
    <w:rsid w:val="00145291"/>
    <w:rsid w:val="001516BF"/>
    <w:rsid w:val="0015339D"/>
    <w:rsid w:val="00157268"/>
    <w:rsid w:val="001612EF"/>
    <w:rsid w:val="00162004"/>
    <w:rsid w:val="00163DB6"/>
    <w:rsid w:val="00163F65"/>
    <w:rsid w:val="001642AE"/>
    <w:rsid w:val="001646A5"/>
    <w:rsid w:val="00166BEC"/>
    <w:rsid w:val="00167DFA"/>
    <w:rsid w:val="0017393C"/>
    <w:rsid w:val="00176804"/>
    <w:rsid w:val="00176856"/>
    <w:rsid w:val="001823CF"/>
    <w:rsid w:val="00184496"/>
    <w:rsid w:val="00184E76"/>
    <w:rsid w:val="00184F30"/>
    <w:rsid w:val="001850AE"/>
    <w:rsid w:val="001873DB"/>
    <w:rsid w:val="0019256F"/>
    <w:rsid w:val="00192849"/>
    <w:rsid w:val="00192A11"/>
    <w:rsid w:val="00196EF1"/>
    <w:rsid w:val="0019752D"/>
    <w:rsid w:val="001A1F76"/>
    <w:rsid w:val="001A55AA"/>
    <w:rsid w:val="001A5D43"/>
    <w:rsid w:val="001A71F5"/>
    <w:rsid w:val="001A72DE"/>
    <w:rsid w:val="001A7C7F"/>
    <w:rsid w:val="001A7EAA"/>
    <w:rsid w:val="001B1F02"/>
    <w:rsid w:val="001B313D"/>
    <w:rsid w:val="001B4BB2"/>
    <w:rsid w:val="001B59A0"/>
    <w:rsid w:val="001B66DE"/>
    <w:rsid w:val="001B6DC8"/>
    <w:rsid w:val="001B7468"/>
    <w:rsid w:val="001C00C7"/>
    <w:rsid w:val="001C049F"/>
    <w:rsid w:val="001C06B6"/>
    <w:rsid w:val="001C356D"/>
    <w:rsid w:val="001C4BC7"/>
    <w:rsid w:val="001C6068"/>
    <w:rsid w:val="001C763E"/>
    <w:rsid w:val="001C7AA0"/>
    <w:rsid w:val="001D1DF8"/>
    <w:rsid w:val="001D315F"/>
    <w:rsid w:val="001D33D9"/>
    <w:rsid w:val="001D4356"/>
    <w:rsid w:val="001D4CA4"/>
    <w:rsid w:val="001D720E"/>
    <w:rsid w:val="001D7ED0"/>
    <w:rsid w:val="001E085D"/>
    <w:rsid w:val="001E1D69"/>
    <w:rsid w:val="001E3600"/>
    <w:rsid w:val="001E52FB"/>
    <w:rsid w:val="001E5DF7"/>
    <w:rsid w:val="001F0E07"/>
    <w:rsid w:val="001F39FF"/>
    <w:rsid w:val="001F44AC"/>
    <w:rsid w:val="001F4FDB"/>
    <w:rsid w:val="001F5445"/>
    <w:rsid w:val="001F716C"/>
    <w:rsid w:val="001F7A83"/>
    <w:rsid w:val="00200931"/>
    <w:rsid w:val="00200DB6"/>
    <w:rsid w:val="00201587"/>
    <w:rsid w:val="002019B9"/>
    <w:rsid w:val="00205AE4"/>
    <w:rsid w:val="00205FE3"/>
    <w:rsid w:val="0020678C"/>
    <w:rsid w:val="00206D72"/>
    <w:rsid w:val="002105D6"/>
    <w:rsid w:val="00211096"/>
    <w:rsid w:val="0021131B"/>
    <w:rsid w:val="00212E0C"/>
    <w:rsid w:val="00213487"/>
    <w:rsid w:val="00214C15"/>
    <w:rsid w:val="00215020"/>
    <w:rsid w:val="00216E0A"/>
    <w:rsid w:val="0021798E"/>
    <w:rsid w:val="00226CA1"/>
    <w:rsid w:val="002318E1"/>
    <w:rsid w:val="00232D2D"/>
    <w:rsid w:val="002341C1"/>
    <w:rsid w:val="00240C00"/>
    <w:rsid w:val="00242643"/>
    <w:rsid w:val="00242D9E"/>
    <w:rsid w:val="0024334F"/>
    <w:rsid w:val="0024495F"/>
    <w:rsid w:val="002450FE"/>
    <w:rsid w:val="00246E72"/>
    <w:rsid w:val="00247BF4"/>
    <w:rsid w:val="002502AB"/>
    <w:rsid w:val="00251A14"/>
    <w:rsid w:val="002611C3"/>
    <w:rsid w:val="0026261A"/>
    <w:rsid w:val="00264344"/>
    <w:rsid w:val="00264B44"/>
    <w:rsid w:val="002676F1"/>
    <w:rsid w:val="0027192A"/>
    <w:rsid w:val="0027219B"/>
    <w:rsid w:val="00272B20"/>
    <w:rsid w:val="002765F4"/>
    <w:rsid w:val="00277309"/>
    <w:rsid w:val="002829D0"/>
    <w:rsid w:val="00283352"/>
    <w:rsid w:val="00283651"/>
    <w:rsid w:val="002873E2"/>
    <w:rsid w:val="002907A9"/>
    <w:rsid w:val="002914E6"/>
    <w:rsid w:val="00292468"/>
    <w:rsid w:val="00292820"/>
    <w:rsid w:val="002962AE"/>
    <w:rsid w:val="00297167"/>
    <w:rsid w:val="0029737E"/>
    <w:rsid w:val="002A2E29"/>
    <w:rsid w:val="002A3CE4"/>
    <w:rsid w:val="002A6039"/>
    <w:rsid w:val="002A64D7"/>
    <w:rsid w:val="002A7679"/>
    <w:rsid w:val="002B0301"/>
    <w:rsid w:val="002B1E12"/>
    <w:rsid w:val="002C0CE0"/>
    <w:rsid w:val="002C55F8"/>
    <w:rsid w:val="002C7157"/>
    <w:rsid w:val="002D05D4"/>
    <w:rsid w:val="002D0A54"/>
    <w:rsid w:val="002D0E3E"/>
    <w:rsid w:val="002D1610"/>
    <w:rsid w:val="002D4EB0"/>
    <w:rsid w:val="002D5D92"/>
    <w:rsid w:val="002D5EC6"/>
    <w:rsid w:val="002E0C6E"/>
    <w:rsid w:val="002E609E"/>
    <w:rsid w:val="002E63E8"/>
    <w:rsid w:val="002F4A82"/>
    <w:rsid w:val="002F4F2C"/>
    <w:rsid w:val="002F555F"/>
    <w:rsid w:val="00304C83"/>
    <w:rsid w:val="00305D5E"/>
    <w:rsid w:val="0031073C"/>
    <w:rsid w:val="003112B2"/>
    <w:rsid w:val="00312462"/>
    <w:rsid w:val="00313289"/>
    <w:rsid w:val="00315773"/>
    <w:rsid w:val="003176E7"/>
    <w:rsid w:val="00317DF8"/>
    <w:rsid w:val="003204D2"/>
    <w:rsid w:val="00323187"/>
    <w:rsid w:val="00331129"/>
    <w:rsid w:val="00331178"/>
    <w:rsid w:val="00331BEF"/>
    <w:rsid w:val="00336E3C"/>
    <w:rsid w:val="003371C9"/>
    <w:rsid w:val="00337E30"/>
    <w:rsid w:val="00342305"/>
    <w:rsid w:val="003424FC"/>
    <w:rsid w:val="00342F17"/>
    <w:rsid w:val="00343F65"/>
    <w:rsid w:val="00350227"/>
    <w:rsid w:val="00352278"/>
    <w:rsid w:val="00352DD8"/>
    <w:rsid w:val="0036051C"/>
    <w:rsid w:val="00360FA7"/>
    <w:rsid w:val="003613B4"/>
    <w:rsid w:val="00362146"/>
    <w:rsid w:val="00362172"/>
    <w:rsid w:val="0037055C"/>
    <w:rsid w:val="003716C3"/>
    <w:rsid w:val="0037275D"/>
    <w:rsid w:val="00373F2E"/>
    <w:rsid w:val="00375E05"/>
    <w:rsid w:val="00377AAD"/>
    <w:rsid w:val="00377B3D"/>
    <w:rsid w:val="00380BF2"/>
    <w:rsid w:val="00381B33"/>
    <w:rsid w:val="00383888"/>
    <w:rsid w:val="00383F96"/>
    <w:rsid w:val="003845D3"/>
    <w:rsid w:val="00386B27"/>
    <w:rsid w:val="00386CA2"/>
    <w:rsid w:val="0039137C"/>
    <w:rsid w:val="003925C6"/>
    <w:rsid w:val="00393A1F"/>
    <w:rsid w:val="0039475B"/>
    <w:rsid w:val="003947BA"/>
    <w:rsid w:val="00395A60"/>
    <w:rsid w:val="00395AF5"/>
    <w:rsid w:val="003A0F4D"/>
    <w:rsid w:val="003A4CFE"/>
    <w:rsid w:val="003A5439"/>
    <w:rsid w:val="003B3723"/>
    <w:rsid w:val="003C1ABF"/>
    <w:rsid w:val="003C1B3E"/>
    <w:rsid w:val="003C3C41"/>
    <w:rsid w:val="003D28D8"/>
    <w:rsid w:val="003D30F8"/>
    <w:rsid w:val="003D4389"/>
    <w:rsid w:val="003D43E8"/>
    <w:rsid w:val="003D44C9"/>
    <w:rsid w:val="003D7CDA"/>
    <w:rsid w:val="003E20C9"/>
    <w:rsid w:val="003E2437"/>
    <w:rsid w:val="003E3DDE"/>
    <w:rsid w:val="003E5438"/>
    <w:rsid w:val="003E5E86"/>
    <w:rsid w:val="003F3645"/>
    <w:rsid w:val="003F5301"/>
    <w:rsid w:val="003F56F6"/>
    <w:rsid w:val="003F6BCF"/>
    <w:rsid w:val="00401950"/>
    <w:rsid w:val="004035F8"/>
    <w:rsid w:val="00405150"/>
    <w:rsid w:val="004053EC"/>
    <w:rsid w:val="00405E96"/>
    <w:rsid w:val="00407790"/>
    <w:rsid w:val="0041013E"/>
    <w:rsid w:val="00411D66"/>
    <w:rsid w:val="0041567C"/>
    <w:rsid w:val="00415763"/>
    <w:rsid w:val="004177C4"/>
    <w:rsid w:val="0042309A"/>
    <w:rsid w:val="00423FE7"/>
    <w:rsid w:val="004243DB"/>
    <w:rsid w:val="004261A1"/>
    <w:rsid w:val="00426A91"/>
    <w:rsid w:val="0043055C"/>
    <w:rsid w:val="004305CB"/>
    <w:rsid w:val="0043165C"/>
    <w:rsid w:val="004335DC"/>
    <w:rsid w:val="00433CF2"/>
    <w:rsid w:val="00434477"/>
    <w:rsid w:val="004352F7"/>
    <w:rsid w:val="00450878"/>
    <w:rsid w:val="0045103E"/>
    <w:rsid w:val="00451799"/>
    <w:rsid w:val="004518D9"/>
    <w:rsid w:val="00452E30"/>
    <w:rsid w:val="00452EB8"/>
    <w:rsid w:val="004533DE"/>
    <w:rsid w:val="004544C7"/>
    <w:rsid w:val="0045482F"/>
    <w:rsid w:val="00457099"/>
    <w:rsid w:val="00457DC6"/>
    <w:rsid w:val="00465261"/>
    <w:rsid w:val="004669B3"/>
    <w:rsid w:val="00470A3F"/>
    <w:rsid w:val="004714AF"/>
    <w:rsid w:val="00471C3F"/>
    <w:rsid w:val="00473825"/>
    <w:rsid w:val="004753DE"/>
    <w:rsid w:val="004767BA"/>
    <w:rsid w:val="00477D93"/>
    <w:rsid w:val="00480034"/>
    <w:rsid w:val="0048433C"/>
    <w:rsid w:val="00484AD3"/>
    <w:rsid w:val="00484B24"/>
    <w:rsid w:val="00485EEE"/>
    <w:rsid w:val="0048621D"/>
    <w:rsid w:val="00486808"/>
    <w:rsid w:val="0049134C"/>
    <w:rsid w:val="004942CE"/>
    <w:rsid w:val="004951C6"/>
    <w:rsid w:val="004A2E96"/>
    <w:rsid w:val="004A415D"/>
    <w:rsid w:val="004A77BF"/>
    <w:rsid w:val="004B0E4F"/>
    <w:rsid w:val="004B4BE7"/>
    <w:rsid w:val="004C1EF4"/>
    <w:rsid w:val="004C3E85"/>
    <w:rsid w:val="004C3ED3"/>
    <w:rsid w:val="004C49B7"/>
    <w:rsid w:val="004C568D"/>
    <w:rsid w:val="004D0FEC"/>
    <w:rsid w:val="004D2347"/>
    <w:rsid w:val="004D268E"/>
    <w:rsid w:val="004D27B0"/>
    <w:rsid w:val="004D2B62"/>
    <w:rsid w:val="004D2F59"/>
    <w:rsid w:val="004D47DD"/>
    <w:rsid w:val="004D5259"/>
    <w:rsid w:val="004D6235"/>
    <w:rsid w:val="004D7C1A"/>
    <w:rsid w:val="004E1645"/>
    <w:rsid w:val="004E2A63"/>
    <w:rsid w:val="004E3D44"/>
    <w:rsid w:val="004F16D2"/>
    <w:rsid w:val="004F48BC"/>
    <w:rsid w:val="004F5FBC"/>
    <w:rsid w:val="004F5FFF"/>
    <w:rsid w:val="004F60DE"/>
    <w:rsid w:val="005016F8"/>
    <w:rsid w:val="0050217A"/>
    <w:rsid w:val="005045C8"/>
    <w:rsid w:val="0050702A"/>
    <w:rsid w:val="00512832"/>
    <w:rsid w:val="00512B1B"/>
    <w:rsid w:val="00513254"/>
    <w:rsid w:val="00514637"/>
    <w:rsid w:val="00515307"/>
    <w:rsid w:val="00515A0C"/>
    <w:rsid w:val="005176EB"/>
    <w:rsid w:val="00521C9E"/>
    <w:rsid w:val="00522F3D"/>
    <w:rsid w:val="00527070"/>
    <w:rsid w:val="00530970"/>
    <w:rsid w:val="00537EFE"/>
    <w:rsid w:val="00541164"/>
    <w:rsid w:val="0054131E"/>
    <w:rsid w:val="0054188F"/>
    <w:rsid w:val="00542105"/>
    <w:rsid w:val="00542EB4"/>
    <w:rsid w:val="00543468"/>
    <w:rsid w:val="005445EE"/>
    <w:rsid w:val="005449A2"/>
    <w:rsid w:val="005463F5"/>
    <w:rsid w:val="0055324B"/>
    <w:rsid w:val="00553BCE"/>
    <w:rsid w:val="00554C61"/>
    <w:rsid w:val="00556111"/>
    <w:rsid w:val="00556718"/>
    <w:rsid w:val="00561D13"/>
    <w:rsid w:val="00563D7A"/>
    <w:rsid w:val="00564039"/>
    <w:rsid w:val="00564BBA"/>
    <w:rsid w:val="005657BF"/>
    <w:rsid w:val="0056796A"/>
    <w:rsid w:val="00570B26"/>
    <w:rsid w:val="005720E7"/>
    <w:rsid w:val="00575903"/>
    <w:rsid w:val="00576F2A"/>
    <w:rsid w:val="005830C3"/>
    <w:rsid w:val="0058395A"/>
    <w:rsid w:val="005901AB"/>
    <w:rsid w:val="0059102C"/>
    <w:rsid w:val="00592F2D"/>
    <w:rsid w:val="00595E47"/>
    <w:rsid w:val="00595F5D"/>
    <w:rsid w:val="005A431B"/>
    <w:rsid w:val="005B0EB4"/>
    <w:rsid w:val="005B0F37"/>
    <w:rsid w:val="005B2EA0"/>
    <w:rsid w:val="005B4CCE"/>
    <w:rsid w:val="005B524F"/>
    <w:rsid w:val="005C0866"/>
    <w:rsid w:val="005D5155"/>
    <w:rsid w:val="005D583F"/>
    <w:rsid w:val="005D5A09"/>
    <w:rsid w:val="005E032F"/>
    <w:rsid w:val="005E12B4"/>
    <w:rsid w:val="005E41F1"/>
    <w:rsid w:val="005E7193"/>
    <w:rsid w:val="005E74D7"/>
    <w:rsid w:val="005F18C5"/>
    <w:rsid w:val="006044A6"/>
    <w:rsid w:val="0060475A"/>
    <w:rsid w:val="00605A94"/>
    <w:rsid w:val="00610C55"/>
    <w:rsid w:val="006111ED"/>
    <w:rsid w:val="006145EE"/>
    <w:rsid w:val="00620242"/>
    <w:rsid w:val="00621551"/>
    <w:rsid w:val="0062165E"/>
    <w:rsid w:val="00621878"/>
    <w:rsid w:val="006219BC"/>
    <w:rsid w:val="00623767"/>
    <w:rsid w:val="00623B60"/>
    <w:rsid w:val="00623FCE"/>
    <w:rsid w:val="00625DBE"/>
    <w:rsid w:val="00626A12"/>
    <w:rsid w:val="00630C0B"/>
    <w:rsid w:val="00630FFC"/>
    <w:rsid w:val="006368CC"/>
    <w:rsid w:val="0063748A"/>
    <w:rsid w:val="00645176"/>
    <w:rsid w:val="00646BBE"/>
    <w:rsid w:val="0064702F"/>
    <w:rsid w:val="0064704D"/>
    <w:rsid w:val="00650AB4"/>
    <w:rsid w:val="00651934"/>
    <w:rsid w:val="0065378E"/>
    <w:rsid w:val="00654336"/>
    <w:rsid w:val="00654BB0"/>
    <w:rsid w:val="00657B07"/>
    <w:rsid w:val="00661EC7"/>
    <w:rsid w:val="00662668"/>
    <w:rsid w:val="00664258"/>
    <w:rsid w:val="006651CF"/>
    <w:rsid w:val="0066553A"/>
    <w:rsid w:val="0067053A"/>
    <w:rsid w:val="0067081C"/>
    <w:rsid w:val="006711DE"/>
    <w:rsid w:val="00671392"/>
    <w:rsid w:val="00673130"/>
    <w:rsid w:val="006747CB"/>
    <w:rsid w:val="00676B85"/>
    <w:rsid w:val="00682D23"/>
    <w:rsid w:val="0068743C"/>
    <w:rsid w:val="0068755B"/>
    <w:rsid w:val="006917A8"/>
    <w:rsid w:val="00692454"/>
    <w:rsid w:val="00692F3B"/>
    <w:rsid w:val="00693875"/>
    <w:rsid w:val="006938CF"/>
    <w:rsid w:val="00695710"/>
    <w:rsid w:val="00697C3E"/>
    <w:rsid w:val="00697ED4"/>
    <w:rsid w:val="006A099C"/>
    <w:rsid w:val="006A1B53"/>
    <w:rsid w:val="006A3F24"/>
    <w:rsid w:val="006A4C18"/>
    <w:rsid w:val="006A5960"/>
    <w:rsid w:val="006A7B1F"/>
    <w:rsid w:val="006B274C"/>
    <w:rsid w:val="006B3C85"/>
    <w:rsid w:val="006B619A"/>
    <w:rsid w:val="006B770B"/>
    <w:rsid w:val="006C18F8"/>
    <w:rsid w:val="006C1EEF"/>
    <w:rsid w:val="006C20A5"/>
    <w:rsid w:val="006C2B23"/>
    <w:rsid w:val="006C2CF0"/>
    <w:rsid w:val="006C43DD"/>
    <w:rsid w:val="006C45D8"/>
    <w:rsid w:val="006C57C6"/>
    <w:rsid w:val="006C787B"/>
    <w:rsid w:val="006C7EAA"/>
    <w:rsid w:val="006C7FE5"/>
    <w:rsid w:val="006D1418"/>
    <w:rsid w:val="006D14A4"/>
    <w:rsid w:val="006D18E7"/>
    <w:rsid w:val="006D27F2"/>
    <w:rsid w:val="006D2DF0"/>
    <w:rsid w:val="006D36EB"/>
    <w:rsid w:val="006D554C"/>
    <w:rsid w:val="006D785F"/>
    <w:rsid w:val="006E6377"/>
    <w:rsid w:val="006E7F92"/>
    <w:rsid w:val="006F0C59"/>
    <w:rsid w:val="006F2242"/>
    <w:rsid w:val="006F2D8A"/>
    <w:rsid w:val="006F31E7"/>
    <w:rsid w:val="006F3AE2"/>
    <w:rsid w:val="006F3F71"/>
    <w:rsid w:val="006F44BE"/>
    <w:rsid w:val="006F44D1"/>
    <w:rsid w:val="006F4762"/>
    <w:rsid w:val="00700839"/>
    <w:rsid w:val="00702555"/>
    <w:rsid w:val="00702986"/>
    <w:rsid w:val="00702C5B"/>
    <w:rsid w:val="00703B41"/>
    <w:rsid w:val="00706C8F"/>
    <w:rsid w:val="00710AB0"/>
    <w:rsid w:val="00713DAB"/>
    <w:rsid w:val="00715BA4"/>
    <w:rsid w:val="00716ED7"/>
    <w:rsid w:val="007179E0"/>
    <w:rsid w:val="00722179"/>
    <w:rsid w:val="00722358"/>
    <w:rsid w:val="0072386E"/>
    <w:rsid w:val="007238F0"/>
    <w:rsid w:val="00725F53"/>
    <w:rsid w:val="00727F06"/>
    <w:rsid w:val="0073194C"/>
    <w:rsid w:val="0073431C"/>
    <w:rsid w:val="00734BEE"/>
    <w:rsid w:val="0073542F"/>
    <w:rsid w:val="0073599E"/>
    <w:rsid w:val="007370BD"/>
    <w:rsid w:val="00737A33"/>
    <w:rsid w:val="00740376"/>
    <w:rsid w:val="0074318C"/>
    <w:rsid w:val="00746CD2"/>
    <w:rsid w:val="00747CCA"/>
    <w:rsid w:val="00750303"/>
    <w:rsid w:val="00752EFF"/>
    <w:rsid w:val="00761C84"/>
    <w:rsid w:val="00763012"/>
    <w:rsid w:val="007642CF"/>
    <w:rsid w:val="00764F02"/>
    <w:rsid w:val="00770310"/>
    <w:rsid w:val="00773FC6"/>
    <w:rsid w:val="00777223"/>
    <w:rsid w:val="00781BE7"/>
    <w:rsid w:val="00781C3D"/>
    <w:rsid w:val="00782B92"/>
    <w:rsid w:val="00784731"/>
    <w:rsid w:val="00785593"/>
    <w:rsid w:val="00787501"/>
    <w:rsid w:val="007912F8"/>
    <w:rsid w:val="00791847"/>
    <w:rsid w:val="00796A46"/>
    <w:rsid w:val="007A404E"/>
    <w:rsid w:val="007A4891"/>
    <w:rsid w:val="007A5131"/>
    <w:rsid w:val="007A72F7"/>
    <w:rsid w:val="007A7396"/>
    <w:rsid w:val="007B0F35"/>
    <w:rsid w:val="007B1617"/>
    <w:rsid w:val="007B3C2E"/>
    <w:rsid w:val="007B672F"/>
    <w:rsid w:val="007C154C"/>
    <w:rsid w:val="007C4BDC"/>
    <w:rsid w:val="007C561E"/>
    <w:rsid w:val="007C5836"/>
    <w:rsid w:val="007C5982"/>
    <w:rsid w:val="007C6419"/>
    <w:rsid w:val="007C65D9"/>
    <w:rsid w:val="007C7EC7"/>
    <w:rsid w:val="007D1A24"/>
    <w:rsid w:val="007D6D77"/>
    <w:rsid w:val="007D6DCA"/>
    <w:rsid w:val="007E0B32"/>
    <w:rsid w:val="007E0CB3"/>
    <w:rsid w:val="007E10F5"/>
    <w:rsid w:val="007E1EAB"/>
    <w:rsid w:val="007E239F"/>
    <w:rsid w:val="007E669B"/>
    <w:rsid w:val="007F06C3"/>
    <w:rsid w:val="007F13C2"/>
    <w:rsid w:val="007F15C7"/>
    <w:rsid w:val="007F3EF3"/>
    <w:rsid w:val="007F46DB"/>
    <w:rsid w:val="007F4784"/>
    <w:rsid w:val="007F7CE7"/>
    <w:rsid w:val="0080071D"/>
    <w:rsid w:val="00802415"/>
    <w:rsid w:val="00802931"/>
    <w:rsid w:val="00803EB3"/>
    <w:rsid w:val="00804A12"/>
    <w:rsid w:val="008078CA"/>
    <w:rsid w:val="00812B39"/>
    <w:rsid w:val="008148CD"/>
    <w:rsid w:val="00815BB9"/>
    <w:rsid w:val="008164B1"/>
    <w:rsid w:val="00817457"/>
    <w:rsid w:val="00817ADE"/>
    <w:rsid w:val="0082120B"/>
    <w:rsid w:val="00831962"/>
    <w:rsid w:val="00832AAB"/>
    <w:rsid w:val="00834F33"/>
    <w:rsid w:val="00835160"/>
    <w:rsid w:val="00835EC0"/>
    <w:rsid w:val="00835FC8"/>
    <w:rsid w:val="0084222F"/>
    <w:rsid w:val="0084390F"/>
    <w:rsid w:val="00844A8B"/>
    <w:rsid w:val="00844BE2"/>
    <w:rsid w:val="00844DC8"/>
    <w:rsid w:val="00846652"/>
    <w:rsid w:val="00847899"/>
    <w:rsid w:val="00850155"/>
    <w:rsid w:val="008543E9"/>
    <w:rsid w:val="008545D0"/>
    <w:rsid w:val="008552CE"/>
    <w:rsid w:val="0086068D"/>
    <w:rsid w:val="008622DE"/>
    <w:rsid w:val="008623BB"/>
    <w:rsid w:val="0086394D"/>
    <w:rsid w:val="00866C73"/>
    <w:rsid w:val="00866F8B"/>
    <w:rsid w:val="00866FD4"/>
    <w:rsid w:val="0087133E"/>
    <w:rsid w:val="008737D6"/>
    <w:rsid w:val="008746B9"/>
    <w:rsid w:val="00874F21"/>
    <w:rsid w:val="008750AE"/>
    <w:rsid w:val="008758C6"/>
    <w:rsid w:val="00875952"/>
    <w:rsid w:val="008800FC"/>
    <w:rsid w:val="00880355"/>
    <w:rsid w:val="008823F3"/>
    <w:rsid w:val="00885555"/>
    <w:rsid w:val="00885CD2"/>
    <w:rsid w:val="00892739"/>
    <w:rsid w:val="008928C3"/>
    <w:rsid w:val="00892A04"/>
    <w:rsid w:val="00895D07"/>
    <w:rsid w:val="00897080"/>
    <w:rsid w:val="008A0A23"/>
    <w:rsid w:val="008A383F"/>
    <w:rsid w:val="008A38D4"/>
    <w:rsid w:val="008A63B4"/>
    <w:rsid w:val="008A6F08"/>
    <w:rsid w:val="008A7132"/>
    <w:rsid w:val="008B089C"/>
    <w:rsid w:val="008B09EE"/>
    <w:rsid w:val="008B4F1E"/>
    <w:rsid w:val="008B5816"/>
    <w:rsid w:val="008B610E"/>
    <w:rsid w:val="008B7D47"/>
    <w:rsid w:val="008C00E8"/>
    <w:rsid w:val="008C053A"/>
    <w:rsid w:val="008C09E0"/>
    <w:rsid w:val="008C1C5D"/>
    <w:rsid w:val="008C2291"/>
    <w:rsid w:val="008C2986"/>
    <w:rsid w:val="008C76B3"/>
    <w:rsid w:val="008D279B"/>
    <w:rsid w:val="008D6105"/>
    <w:rsid w:val="008D6ED6"/>
    <w:rsid w:val="008D772A"/>
    <w:rsid w:val="008E2B5C"/>
    <w:rsid w:val="008E466A"/>
    <w:rsid w:val="008E536B"/>
    <w:rsid w:val="008E5BA7"/>
    <w:rsid w:val="008E61DF"/>
    <w:rsid w:val="008F04E7"/>
    <w:rsid w:val="008F1D5B"/>
    <w:rsid w:val="008F291C"/>
    <w:rsid w:val="008F59A6"/>
    <w:rsid w:val="00901D14"/>
    <w:rsid w:val="00905542"/>
    <w:rsid w:val="0090584E"/>
    <w:rsid w:val="00910C5D"/>
    <w:rsid w:val="00911881"/>
    <w:rsid w:val="00917C86"/>
    <w:rsid w:val="00926E13"/>
    <w:rsid w:val="00930789"/>
    <w:rsid w:val="0093111D"/>
    <w:rsid w:val="009318C3"/>
    <w:rsid w:val="00932C44"/>
    <w:rsid w:val="00934248"/>
    <w:rsid w:val="0093571B"/>
    <w:rsid w:val="009358C7"/>
    <w:rsid w:val="009359BF"/>
    <w:rsid w:val="00935A41"/>
    <w:rsid w:val="00936144"/>
    <w:rsid w:val="00940B27"/>
    <w:rsid w:val="0094166B"/>
    <w:rsid w:val="00941C7B"/>
    <w:rsid w:val="009436ED"/>
    <w:rsid w:val="009447F7"/>
    <w:rsid w:val="00945633"/>
    <w:rsid w:val="0094596D"/>
    <w:rsid w:val="00946BDD"/>
    <w:rsid w:val="00950245"/>
    <w:rsid w:val="00950C7B"/>
    <w:rsid w:val="00951022"/>
    <w:rsid w:val="009512C5"/>
    <w:rsid w:val="00957330"/>
    <w:rsid w:val="00957A19"/>
    <w:rsid w:val="0096282B"/>
    <w:rsid w:val="00963FF7"/>
    <w:rsid w:val="009640FB"/>
    <w:rsid w:val="009642F7"/>
    <w:rsid w:val="00964FFA"/>
    <w:rsid w:val="0096531D"/>
    <w:rsid w:val="00967D11"/>
    <w:rsid w:val="00972F70"/>
    <w:rsid w:val="00973EA8"/>
    <w:rsid w:val="0097450F"/>
    <w:rsid w:val="00974AF4"/>
    <w:rsid w:val="0097746D"/>
    <w:rsid w:val="0098249B"/>
    <w:rsid w:val="00984E5D"/>
    <w:rsid w:val="00985201"/>
    <w:rsid w:val="00993046"/>
    <w:rsid w:val="00993A34"/>
    <w:rsid w:val="00993A84"/>
    <w:rsid w:val="009B025D"/>
    <w:rsid w:val="009B1C9B"/>
    <w:rsid w:val="009B206C"/>
    <w:rsid w:val="009B451B"/>
    <w:rsid w:val="009B4EBA"/>
    <w:rsid w:val="009B63AA"/>
    <w:rsid w:val="009C0A94"/>
    <w:rsid w:val="009C1A1F"/>
    <w:rsid w:val="009C2B9D"/>
    <w:rsid w:val="009C2DD7"/>
    <w:rsid w:val="009C42BD"/>
    <w:rsid w:val="009C77DD"/>
    <w:rsid w:val="009D1326"/>
    <w:rsid w:val="009D1DBE"/>
    <w:rsid w:val="009D3668"/>
    <w:rsid w:val="009D4443"/>
    <w:rsid w:val="009D52B2"/>
    <w:rsid w:val="009E0857"/>
    <w:rsid w:val="009E28FE"/>
    <w:rsid w:val="009E652D"/>
    <w:rsid w:val="009E7799"/>
    <w:rsid w:val="009F1791"/>
    <w:rsid w:val="009F2252"/>
    <w:rsid w:val="009F2F8C"/>
    <w:rsid w:val="009F338D"/>
    <w:rsid w:val="009F639B"/>
    <w:rsid w:val="009F7D78"/>
    <w:rsid w:val="00A02F72"/>
    <w:rsid w:val="00A034FE"/>
    <w:rsid w:val="00A03D38"/>
    <w:rsid w:val="00A05A57"/>
    <w:rsid w:val="00A07939"/>
    <w:rsid w:val="00A1060E"/>
    <w:rsid w:val="00A10900"/>
    <w:rsid w:val="00A10E6F"/>
    <w:rsid w:val="00A12D4D"/>
    <w:rsid w:val="00A1545A"/>
    <w:rsid w:val="00A16A5C"/>
    <w:rsid w:val="00A17216"/>
    <w:rsid w:val="00A172DA"/>
    <w:rsid w:val="00A17791"/>
    <w:rsid w:val="00A20117"/>
    <w:rsid w:val="00A2253A"/>
    <w:rsid w:val="00A25566"/>
    <w:rsid w:val="00A27329"/>
    <w:rsid w:val="00A27E5B"/>
    <w:rsid w:val="00A30497"/>
    <w:rsid w:val="00A32663"/>
    <w:rsid w:val="00A3332C"/>
    <w:rsid w:val="00A373F0"/>
    <w:rsid w:val="00A4051D"/>
    <w:rsid w:val="00A40F13"/>
    <w:rsid w:val="00A431C0"/>
    <w:rsid w:val="00A44519"/>
    <w:rsid w:val="00A4483A"/>
    <w:rsid w:val="00A45D9A"/>
    <w:rsid w:val="00A4628A"/>
    <w:rsid w:val="00A4697A"/>
    <w:rsid w:val="00A5016D"/>
    <w:rsid w:val="00A50CBF"/>
    <w:rsid w:val="00A5177D"/>
    <w:rsid w:val="00A517C0"/>
    <w:rsid w:val="00A56298"/>
    <w:rsid w:val="00A61142"/>
    <w:rsid w:val="00A61F5C"/>
    <w:rsid w:val="00A64FA3"/>
    <w:rsid w:val="00A653B2"/>
    <w:rsid w:val="00A6546A"/>
    <w:rsid w:val="00A67B59"/>
    <w:rsid w:val="00A70845"/>
    <w:rsid w:val="00A70E82"/>
    <w:rsid w:val="00A72304"/>
    <w:rsid w:val="00A7529B"/>
    <w:rsid w:val="00A75AFF"/>
    <w:rsid w:val="00A763CD"/>
    <w:rsid w:val="00A76DAD"/>
    <w:rsid w:val="00A77AA6"/>
    <w:rsid w:val="00A83273"/>
    <w:rsid w:val="00A862CB"/>
    <w:rsid w:val="00A8693B"/>
    <w:rsid w:val="00A90976"/>
    <w:rsid w:val="00A93073"/>
    <w:rsid w:val="00A93340"/>
    <w:rsid w:val="00A93477"/>
    <w:rsid w:val="00A93679"/>
    <w:rsid w:val="00A94A54"/>
    <w:rsid w:val="00A97214"/>
    <w:rsid w:val="00AA2491"/>
    <w:rsid w:val="00AA55A4"/>
    <w:rsid w:val="00AA5FD3"/>
    <w:rsid w:val="00AA74DF"/>
    <w:rsid w:val="00AB36CA"/>
    <w:rsid w:val="00AB521F"/>
    <w:rsid w:val="00AB6FB7"/>
    <w:rsid w:val="00AB7F9E"/>
    <w:rsid w:val="00AC0657"/>
    <w:rsid w:val="00AC0B8D"/>
    <w:rsid w:val="00AC1C2A"/>
    <w:rsid w:val="00AC4397"/>
    <w:rsid w:val="00AC5F05"/>
    <w:rsid w:val="00AC74C5"/>
    <w:rsid w:val="00AD07E4"/>
    <w:rsid w:val="00AD2426"/>
    <w:rsid w:val="00AD2BEC"/>
    <w:rsid w:val="00AD69F1"/>
    <w:rsid w:val="00AE04DB"/>
    <w:rsid w:val="00AE284C"/>
    <w:rsid w:val="00AE326B"/>
    <w:rsid w:val="00AE6B97"/>
    <w:rsid w:val="00AF0C0A"/>
    <w:rsid w:val="00AF5D31"/>
    <w:rsid w:val="00AF76E3"/>
    <w:rsid w:val="00B0018F"/>
    <w:rsid w:val="00B011DF"/>
    <w:rsid w:val="00B02B30"/>
    <w:rsid w:val="00B036DB"/>
    <w:rsid w:val="00B04172"/>
    <w:rsid w:val="00B06F2C"/>
    <w:rsid w:val="00B074F8"/>
    <w:rsid w:val="00B11009"/>
    <w:rsid w:val="00B127F5"/>
    <w:rsid w:val="00B12E25"/>
    <w:rsid w:val="00B135AE"/>
    <w:rsid w:val="00B13ECF"/>
    <w:rsid w:val="00B14984"/>
    <w:rsid w:val="00B237F9"/>
    <w:rsid w:val="00B238B7"/>
    <w:rsid w:val="00B24E65"/>
    <w:rsid w:val="00B254F4"/>
    <w:rsid w:val="00B27C90"/>
    <w:rsid w:val="00B30B8B"/>
    <w:rsid w:val="00B32503"/>
    <w:rsid w:val="00B328E4"/>
    <w:rsid w:val="00B35992"/>
    <w:rsid w:val="00B3630F"/>
    <w:rsid w:val="00B41D22"/>
    <w:rsid w:val="00B45217"/>
    <w:rsid w:val="00B479D3"/>
    <w:rsid w:val="00B52193"/>
    <w:rsid w:val="00B560CE"/>
    <w:rsid w:val="00B57660"/>
    <w:rsid w:val="00B61BC0"/>
    <w:rsid w:val="00B621E8"/>
    <w:rsid w:val="00B65FD2"/>
    <w:rsid w:val="00B67140"/>
    <w:rsid w:val="00B70304"/>
    <w:rsid w:val="00B7175B"/>
    <w:rsid w:val="00B71E3D"/>
    <w:rsid w:val="00B726DF"/>
    <w:rsid w:val="00B73748"/>
    <w:rsid w:val="00B75782"/>
    <w:rsid w:val="00B7711A"/>
    <w:rsid w:val="00B77237"/>
    <w:rsid w:val="00B77BA9"/>
    <w:rsid w:val="00B824FC"/>
    <w:rsid w:val="00B82A7C"/>
    <w:rsid w:val="00B84858"/>
    <w:rsid w:val="00B85CAB"/>
    <w:rsid w:val="00B8620A"/>
    <w:rsid w:val="00B86CA0"/>
    <w:rsid w:val="00B87B91"/>
    <w:rsid w:val="00B87FCC"/>
    <w:rsid w:val="00B90035"/>
    <w:rsid w:val="00B96852"/>
    <w:rsid w:val="00B970C3"/>
    <w:rsid w:val="00BA0ECD"/>
    <w:rsid w:val="00BA3634"/>
    <w:rsid w:val="00BA4B6E"/>
    <w:rsid w:val="00BA7608"/>
    <w:rsid w:val="00BB1C16"/>
    <w:rsid w:val="00BB2336"/>
    <w:rsid w:val="00BB2CBB"/>
    <w:rsid w:val="00BB42CB"/>
    <w:rsid w:val="00BB47B8"/>
    <w:rsid w:val="00BB4D09"/>
    <w:rsid w:val="00BC040A"/>
    <w:rsid w:val="00BC0FA3"/>
    <w:rsid w:val="00BC1A9C"/>
    <w:rsid w:val="00BC37A6"/>
    <w:rsid w:val="00BC3F9F"/>
    <w:rsid w:val="00BD3CEF"/>
    <w:rsid w:val="00BD4CEE"/>
    <w:rsid w:val="00BD56E7"/>
    <w:rsid w:val="00BD6E93"/>
    <w:rsid w:val="00BD72C6"/>
    <w:rsid w:val="00BE2859"/>
    <w:rsid w:val="00BE47BC"/>
    <w:rsid w:val="00BE6B81"/>
    <w:rsid w:val="00BE71C8"/>
    <w:rsid w:val="00BE7707"/>
    <w:rsid w:val="00BF11D0"/>
    <w:rsid w:val="00BF2273"/>
    <w:rsid w:val="00BF2DEE"/>
    <w:rsid w:val="00BF2F7E"/>
    <w:rsid w:val="00C00584"/>
    <w:rsid w:val="00C00837"/>
    <w:rsid w:val="00C02CA9"/>
    <w:rsid w:val="00C0728F"/>
    <w:rsid w:val="00C075E9"/>
    <w:rsid w:val="00C10F28"/>
    <w:rsid w:val="00C1176B"/>
    <w:rsid w:val="00C1651E"/>
    <w:rsid w:val="00C21E72"/>
    <w:rsid w:val="00C233FB"/>
    <w:rsid w:val="00C2505B"/>
    <w:rsid w:val="00C26D63"/>
    <w:rsid w:val="00C272CE"/>
    <w:rsid w:val="00C304F2"/>
    <w:rsid w:val="00C3100B"/>
    <w:rsid w:val="00C33366"/>
    <w:rsid w:val="00C33F92"/>
    <w:rsid w:val="00C35196"/>
    <w:rsid w:val="00C35D53"/>
    <w:rsid w:val="00C3633C"/>
    <w:rsid w:val="00C40BB6"/>
    <w:rsid w:val="00C42E60"/>
    <w:rsid w:val="00C4434A"/>
    <w:rsid w:val="00C461CF"/>
    <w:rsid w:val="00C50677"/>
    <w:rsid w:val="00C5304A"/>
    <w:rsid w:val="00C534B7"/>
    <w:rsid w:val="00C54A4D"/>
    <w:rsid w:val="00C54C2C"/>
    <w:rsid w:val="00C57A86"/>
    <w:rsid w:val="00C6045E"/>
    <w:rsid w:val="00C614B3"/>
    <w:rsid w:val="00C65537"/>
    <w:rsid w:val="00C65A5A"/>
    <w:rsid w:val="00C65A85"/>
    <w:rsid w:val="00C66813"/>
    <w:rsid w:val="00C66D3A"/>
    <w:rsid w:val="00C80443"/>
    <w:rsid w:val="00C80F6C"/>
    <w:rsid w:val="00C81221"/>
    <w:rsid w:val="00C81608"/>
    <w:rsid w:val="00C81EC5"/>
    <w:rsid w:val="00C84243"/>
    <w:rsid w:val="00C8515C"/>
    <w:rsid w:val="00C86B53"/>
    <w:rsid w:val="00C87B06"/>
    <w:rsid w:val="00C9097B"/>
    <w:rsid w:val="00C9440D"/>
    <w:rsid w:val="00C9512E"/>
    <w:rsid w:val="00C956A4"/>
    <w:rsid w:val="00C95960"/>
    <w:rsid w:val="00C9744D"/>
    <w:rsid w:val="00CA0B2A"/>
    <w:rsid w:val="00CA155B"/>
    <w:rsid w:val="00CA3D80"/>
    <w:rsid w:val="00CA400E"/>
    <w:rsid w:val="00CC2C7A"/>
    <w:rsid w:val="00CC3CF4"/>
    <w:rsid w:val="00CC6716"/>
    <w:rsid w:val="00CC7047"/>
    <w:rsid w:val="00CD0F7C"/>
    <w:rsid w:val="00CD4D09"/>
    <w:rsid w:val="00CD55BC"/>
    <w:rsid w:val="00CD5C2D"/>
    <w:rsid w:val="00CD66BC"/>
    <w:rsid w:val="00CE084F"/>
    <w:rsid w:val="00CE2261"/>
    <w:rsid w:val="00CE377E"/>
    <w:rsid w:val="00CE4B0A"/>
    <w:rsid w:val="00CE5274"/>
    <w:rsid w:val="00CE5F53"/>
    <w:rsid w:val="00CE7DAC"/>
    <w:rsid w:val="00CF17D1"/>
    <w:rsid w:val="00D0107E"/>
    <w:rsid w:val="00D0111A"/>
    <w:rsid w:val="00D0191D"/>
    <w:rsid w:val="00D03D47"/>
    <w:rsid w:val="00D04235"/>
    <w:rsid w:val="00D064FA"/>
    <w:rsid w:val="00D07FAC"/>
    <w:rsid w:val="00D10A52"/>
    <w:rsid w:val="00D124DC"/>
    <w:rsid w:val="00D147F1"/>
    <w:rsid w:val="00D15A8F"/>
    <w:rsid w:val="00D20FDF"/>
    <w:rsid w:val="00D23888"/>
    <w:rsid w:val="00D25C05"/>
    <w:rsid w:val="00D26987"/>
    <w:rsid w:val="00D27346"/>
    <w:rsid w:val="00D27BA8"/>
    <w:rsid w:val="00D300BF"/>
    <w:rsid w:val="00D33490"/>
    <w:rsid w:val="00D343E7"/>
    <w:rsid w:val="00D348F3"/>
    <w:rsid w:val="00D3645C"/>
    <w:rsid w:val="00D36A1C"/>
    <w:rsid w:val="00D413B8"/>
    <w:rsid w:val="00D43756"/>
    <w:rsid w:val="00D43F8C"/>
    <w:rsid w:val="00D457F7"/>
    <w:rsid w:val="00D45F5C"/>
    <w:rsid w:val="00D4647F"/>
    <w:rsid w:val="00D55A14"/>
    <w:rsid w:val="00D56C2D"/>
    <w:rsid w:val="00D575C2"/>
    <w:rsid w:val="00D63192"/>
    <w:rsid w:val="00D65629"/>
    <w:rsid w:val="00D66E7F"/>
    <w:rsid w:val="00D720D2"/>
    <w:rsid w:val="00D72A69"/>
    <w:rsid w:val="00D7318B"/>
    <w:rsid w:val="00D74389"/>
    <w:rsid w:val="00D74A96"/>
    <w:rsid w:val="00D76966"/>
    <w:rsid w:val="00D80D09"/>
    <w:rsid w:val="00D80D41"/>
    <w:rsid w:val="00D81396"/>
    <w:rsid w:val="00D83945"/>
    <w:rsid w:val="00D84F0E"/>
    <w:rsid w:val="00D902FD"/>
    <w:rsid w:val="00D90FDA"/>
    <w:rsid w:val="00D92079"/>
    <w:rsid w:val="00D94693"/>
    <w:rsid w:val="00D9753A"/>
    <w:rsid w:val="00DA0790"/>
    <w:rsid w:val="00DA1F6C"/>
    <w:rsid w:val="00DA2B2A"/>
    <w:rsid w:val="00DA670A"/>
    <w:rsid w:val="00DB2D00"/>
    <w:rsid w:val="00DB2F3F"/>
    <w:rsid w:val="00DB4929"/>
    <w:rsid w:val="00DB4FC3"/>
    <w:rsid w:val="00DB79F4"/>
    <w:rsid w:val="00DC1A04"/>
    <w:rsid w:val="00DC2855"/>
    <w:rsid w:val="00DD0D0A"/>
    <w:rsid w:val="00DD0F68"/>
    <w:rsid w:val="00DD2A29"/>
    <w:rsid w:val="00DD2C6D"/>
    <w:rsid w:val="00DE0878"/>
    <w:rsid w:val="00DE145D"/>
    <w:rsid w:val="00DE2C0C"/>
    <w:rsid w:val="00DE3C26"/>
    <w:rsid w:val="00DE3C63"/>
    <w:rsid w:val="00DE450F"/>
    <w:rsid w:val="00DE49A8"/>
    <w:rsid w:val="00DE7203"/>
    <w:rsid w:val="00DE7D28"/>
    <w:rsid w:val="00DF06F9"/>
    <w:rsid w:val="00DF07E7"/>
    <w:rsid w:val="00DF13A6"/>
    <w:rsid w:val="00DF5254"/>
    <w:rsid w:val="00DF6B69"/>
    <w:rsid w:val="00E008DB"/>
    <w:rsid w:val="00E00F99"/>
    <w:rsid w:val="00E020A8"/>
    <w:rsid w:val="00E024D5"/>
    <w:rsid w:val="00E02D57"/>
    <w:rsid w:val="00E12D8C"/>
    <w:rsid w:val="00E13E42"/>
    <w:rsid w:val="00E145BA"/>
    <w:rsid w:val="00E1481D"/>
    <w:rsid w:val="00E164E7"/>
    <w:rsid w:val="00E165AF"/>
    <w:rsid w:val="00E16612"/>
    <w:rsid w:val="00E1689C"/>
    <w:rsid w:val="00E25834"/>
    <w:rsid w:val="00E27AAB"/>
    <w:rsid w:val="00E27B6D"/>
    <w:rsid w:val="00E3201B"/>
    <w:rsid w:val="00E336D1"/>
    <w:rsid w:val="00E34ED8"/>
    <w:rsid w:val="00E406FA"/>
    <w:rsid w:val="00E42852"/>
    <w:rsid w:val="00E44994"/>
    <w:rsid w:val="00E461A3"/>
    <w:rsid w:val="00E47C7D"/>
    <w:rsid w:val="00E50627"/>
    <w:rsid w:val="00E50D37"/>
    <w:rsid w:val="00E52891"/>
    <w:rsid w:val="00E52A5D"/>
    <w:rsid w:val="00E53328"/>
    <w:rsid w:val="00E561FE"/>
    <w:rsid w:val="00E576A2"/>
    <w:rsid w:val="00E57D81"/>
    <w:rsid w:val="00E663A2"/>
    <w:rsid w:val="00E7245A"/>
    <w:rsid w:val="00E73619"/>
    <w:rsid w:val="00E74635"/>
    <w:rsid w:val="00E74739"/>
    <w:rsid w:val="00E7544E"/>
    <w:rsid w:val="00E803CC"/>
    <w:rsid w:val="00E80E82"/>
    <w:rsid w:val="00E8159C"/>
    <w:rsid w:val="00E82DED"/>
    <w:rsid w:val="00E90B20"/>
    <w:rsid w:val="00E95A7C"/>
    <w:rsid w:val="00E97A26"/>
    <w:rsid w:val="00EA0203"/>
    <w:rsid w:val="00EA1C48"/>
    <w:rsid w:val="00EA4285"/>
    <w:rsid w:val="00EA724D"/>
    <w:rsid w:val="00EA7BAA"/>
    <w:rsid w:val="00EB5714"/>
    <w:rsid w:val="00EB63F9"/>
    <w:rsid w:val="00EC2FE7"/>
    <w:rsid w:val="00EC3C34"/>
    <w:rsid w:val="00ED1DF1"/>
    <w:rsid w:val="00ED2C41"/>
    <w:rsid w:val="00ED3B0F"/>
    <w:rsid w:val="00ED55FC"/>
    <w:rsid w:val="00ED65F8"/>
    <w:rsid w:val="00ED7F0F"/>
    <w:rsid w:val="00EE22A2"/>
    <w:rsid w:val="00EE2EA9"/>
    <w:rsid w:val="00EE3248"/>
    <w:rsid w:val="00EE3E5F"/>
    <w:rsid w:val="00EE4A28"/>
    <w:rsid w:val="00EE6D1E"/>
    <w:rsid w:val="00EE7584"/>
    <w:rsid w:val="00EF37BF"/>
    <w:rsid w:val="00EF4943"/>
    <w:rsid w:val="00EF5F99"/>
    <w:rsid w:val="00EF6E11"/>
    <w:rsid w:val="00F0032A"/>
    <w:rsid w:val="00F01122"/>
    <w:rsid w:val="00F04910"/>
    <w:rsid w:val="00F04CB8"/>
    <w:rsid w:val="00F05DB6"/>
    <w:rsid w:val="00F11524"/>
    <w:rsid w:val="00F125EC"/>
    <w:rsid w:val="00F12935"/>
    <w:rsid w:val="00F12B24"/>
    <w:rsid w:val="00F13CFF"/>
    <w:rsid w:val="00F145B5"/>
    <w:rsid w:val="00F2044C"/>
    <w:rsid w:val="00F20F25"/>
    <w:rsid w:val="00F21B85"/>
    <w:rsid w:val="00F22681"/>
    <w:rsid w:val="00F2504D"/>
    <w:rsid w:val="00F256D9"/>
    <w:rsid w:val="00F2731C"/>
    <w:rsid w:val="00F32122"/>
    <w:rsid w:val="00F34D6D"/>
    <w:rsid w:val="00F35712"/>
    <w:rsid w:val="00F411C7"/>
    <w:rsid w:val="00F423DA"/>
    <w:rsid w:val="00F4250A"/>
    <w:rsid w:val="00F4263D"/>
    <w:rsid w:val="00F44B4C"/>
    <w:rsid w:val="00F524B7"/>
    <w:rsid w:val="00F52F50"/>
    <w:rsid w:val="00F54818"/>
    <w:rsid w:val="00F56709"/>
    <w:rsid w:val="00F57055"/>
    <w:rsid w:val="00F57B33"/>
    <w:rsid w:val="00F57BA1"/>
    <w:rsid w:val="00F6062F"/>
    <w:rsid w:val="00F63A01"/>
    <w:rsid w:val="00F64B27"/>
    <w:rsid w:val="00F64DD9"/>
    <w:rsid w:val="00F71F47"/>
    <w:rsid w:val="00F724CA"/>
    <w:rsid w:val="00F72B04"/>
    <w:rsid w:val="00F74D52"/>
    <w:rsid w:val="00F756A0"/>
    <w:rsid w:val="00F76E4A"/>
    <w:rsid w:val="00F772B3"/>
    <w:rsid w:val="00F776A6"/>
    <w:rsid w:val="00F814E9"/>
    <w:rsid w:val="00F83F0A"/>
    <w:rsid w:val="00F84E4D"/>
    <w:rsid w:val="00F86F3A"/>
    <w:rsid w:val="00F87B55"/>
    <w:rsid w:val="00F9426F"/>
    <w:rsid w:val="00F952C9"/>
    <w:rsid w:val="00F978C5"/>
    <w:rsid w:val="00FA1A77"/>
    <w:rsid w:val="00FA1A97"/>
    <w:rsid w:val="00FA41A3"/>
    <w:rsid w:val="00FA54AB"/>
    <w:rsid w:val="00FA5E8D"/>
    <w:rsid w:val="00FB27AA"/>
    <w:rsid w:val="00FB4229"/>
    <w:rsid w:val="00FB5212"/>
    <w:rsid w:val="00FB6BF6"/>
    <w:rsid w:val="00FB7353"/>
    <w:rsid w:val="00FB7441"/>
    <w:rsid w:val="00FC071F"/>
    <w:rsid w:val="00FC3794"/>
    <w:rsid w:val="00FC39BE"/>
    <w:rsid w:val="00FC55AC"/>
    <w:rsid w:val="00FC579E"/>
    <w:rsid w:val="00FC614D"/>
    <w:rsid w:val="00FD0955"/>
    <w:rsid w:val="00FD15E1"/>
    <w:rsid w:val="00FD3853"/>
    <w:rsid w:val="00FD4F82"/>
    <w:rsid w:val="00FD5D29"/>
    <w:rsid w:val="00FD6B80"/>
    <w:rsid w:val="00FD7D3D"/>
    <w:rsid w:val="00FD7DCC"/>
    <w:rsid w:val="00FD7E60"/>
    <w:rsid w:val="00FE00C4"/>
    <w:rsid w:val="00FE130F"/>
    <w:rsid w:val="00FF07C6"/>
    <w:rsid w:val="00FF1ADD"/>
    <w:rsid w:val="00FF23F1"/>
    <w:rsid w:val="00FF31C4"/>
    <w:rsid w:val="00FF56CC"/>
    <w:rsid w:val="00FF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0C2C5"/>
  <w15:docId w15:val="{63EBEAE6-E056-4B9D-9FC8-F4FA0B05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837"/>
    <w:pPr>
      <w:tabs>
        <w:tab w:val="left" w:pos="720"/>
        <w:tab w:val="left" w:pos="1080"/>
        <w:tab w:val="left" w:pos="1440"/>
        <w:tab w:val="left" w:pos="1800"/>
      </w:tabs>
      <w:spacing w:line="264" w:lineRule="auto"/>
    </w:pPr>
    <w:rPr>
      <w:sz w:val="22"/>
    </w:rPr>
  </w:style>
  <w:style w:type="paragraph" w:styleId="Heading3">
    <w:name w:val="heading 3"/>
    <w:basedOn w:val="Normal"/>
    <w:next w:val="Normal"/>
    <w:link w:val="Heading3Char"/>
    <w:uiPriority w:val="9"/>
    <w:unhideWhenUsed/>
    <w:qFormat/>
    <w:rsid w:val="00DB79F4"/>
    <w:pPr>
      <w:keepNext/>
      <w:keepLines/>
      <w:tabs>
        <w:tab w:val="clear" w:pos="720"/>
        <w:tab w:val="clear" w:pos="1080"/>
        <w:tab w:val="clear" w:pos="1440"/>
        <w:tab w:val="clear" w:pos="1800"/>
      </w:tabs>
      <w:spacing w:before="200" w:line="276" w:lineRule="auto"/>
      <w:outlineLvl w:val="2"/>
    </w:pPr>
    <w:rPr>
      <w:rFonts w:ascii="Arial Narrow" w:hAnsi="Arial Narro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0837"/>
    <w:pPr>
      <w:tabs>
        <w:tab w:val="clear" w:pos="720"/>
        <w:tab w:val="clear" w:pos="1080"/>
        <w:tab w:val="clear" w:pos="1800"/>
        <w:tab w:val="right" w:pos="9000"/>
      </w:tabs>
      <w:spacing w:line="240" w:lineRule="auto"/>
    </w:pPr>
    <w:rPr>
      <w:rFonts w:ascii="Arial" w:hAnsi="Arial"/>
      <w:b/>
      <w:sz w:val="18"/>
    </w:rPr>
  </w:style>
  <w:style w:type="paragraph" w:styleId="BodyText">
    <w:name w:val="Body Text"/>
    <w:basedOn w:val="Normal"/>
    <w:rsid w:val="00C00837"/>
  </w:style>
  <w:style w:type="character" w:styleId="PageNumber">
    <w:name w:val="page number"/>
    <w:rsid w:val="00C00837"/>
    <w:rPr>
      <w:rFonts w:ascii="Arial" w:hAnsi="Arial"/>
      <w:dstrike w:val="0"/>
      <w:color w:val="auto"/>
      <w:sz w:val="18"/>
      <w:bdr w:val="none" w:sz="0" w:space="0" w:color="auto"/>
      <w:vertAlign w:val="baseline"/>
    </w:rPr>
  </w:style>
  <w:style w:type="paragraph" w:customStyle="1" w:styleId="AbtHeadA">
    <w:name w:val="AbtHead A"/>
    <w:basedOn w:val="Normal"/>
    <w:next w:val="BodyText"/>
    <w:rsid w:val="00C00837"/>
    <w:pPr>
      <w:keepNext/>
      <w:keepLines/>
      <w:spacing w:after="360"/>
      <w:outlineLvl w:val="0"/>
    </w:pPr>
    <w:rPr>
      <w:rFonts w:ascii="Arial" w:hAnsi="Arial"/>
      <w:b/>
      <w:sz w:val="36"/>
    </w:rPr>
  </w:style>
  <w:style w:type="paragraph" w:styleId="Header">
    <w:name w:val="header"/>
    <w:basedOn w:val="Normal"/>
    <w:link w:val="HeaderChar"/>
    <w:rsid w:val="00C00837"/>
    <w:pPr>
      <w:tabs>
        <w:tab w:val="clear" w:pos="720"/>
        <w:tab w:val="clear" w:pos="1080"/>
        <w:tab w:val="clear" w:pos="1440"/>
        <w:tab w:val="center" w:pos="4320"/>
        <w:tab w:val="right" w:pos="8640"/>
      </w:tabs>
    </w:pPr>
  </w:style>
  <w:style w:type="character" w:styleId="CommentReference">
    <w:name w:val="annotation reference"/>
    <w:semiHidden/>
    <w:rsid w:val="00C00837"/>
    <w:rPr>
      <w:sz w:val="16"/>
    </w:rPr>
  </w:style>
  <w:style w:type="paragraph" w:customStyle="1" w:styleId="Table">
    <w:name w:val="Table"/>
    <w:basedOn w:val="Normal"/>
    <w:rsid w:val="00C00837"/>
    <w:rPr>
      <w:rFonts w:ascii="Arial" w:hAnsi="Arial"/>
      <w:sz w:val="20"/>
    </w:rPr>
  </w:style>
  <w:style w:type="paragraph" w:customStyle="1" w:styleId="AbtHeadB">
    <w:name w:val="AbtHead B"/>
    <w:basedOn w:val="Normal"/>
    <w:next w:val="BodyText"/>
    <w:rsid w:val="00C00837"/>
    <w:pPr>
      <w:keepNext/>
      <w:keepLines/>
      <w:spacing w:after="280"/>
      <w:outlineLvl w:val="1"/>
    </w:pPr>
    <w:rPr>
      <w:rFonts w:ascii="Arial" w:hAnsi="Arial"/>
      <w:b/>
      <w:sz w:val="28"/>
    </w:rPr>
  </w:style>
  <w:style w:type="paragraph" w:customStyle="1" w:styleId="AbtHeadC">
    <w:name w:val="AbtHead C"/>
    <w:basedOn w:val="Normal"/>
    <w:next w:val="BodyText"/>
    <w:link w:val="AbtHeadCChar"/>
    <w:rsid w:val="00C00837"/>
    <w:pPr>
      <w:keepNext/>
      <w:keepLines/>
      <w:spacing w:after="240"/>
      <w:outlineLvl w:val="2"/>
    </w:pPr>
    <w:rPr>
      <w:rFonts w:ascii="Arial" w:hAnsi="Arial"/>
      <w:b/>
      <w:sz w:val="20"/>
    </w:rPr>
  </w:style>
  <w:style w:type="paragraph" w:customStyle="1" w:styleId="Bullets">
    <w:name w:val="Bullets"/>
    <w:basedOn w:val="BodyText"/>
    <w:rsid w:val="00C00837"/>
    <w:pPr>
      <w:numPr>
        <w:numId w:val="3"/>
      </w:numPr>
    </w:pPr>
  </w:style>
  <w:style w:type="character" w:styleId="Hyperlink">
    <w:name w:val="Hyperlink"/>
    <w:rsid w:val="00C00837"/>
    <w:rPr>
      <w:color w:val="0000FF"/>
      <w:u w:val="single"/>
    </w:rPr>
  </w:style>
  <w:style w:type="paragraph" w:styleId="CommentText">
    <w:name w:val="annotation text"/>
    <w:basedOn w:val="Normal"/>
    <w:semiHidden/>
    <w:rsid w:val="00C00837"/>
    <w:rPr>
      <w:sz w:val="20"/>
    </w:rPr>
  </w:style>
  <w:style w:type="paragraph" w:styleId="EndnoteText">
    <w:name w:val="endnote text"/>
    <w:basedOn w:val="Normal"/>
    <w:semiHidden/>
    <w:rsid w:val="00C00837"/>
    <w:pPr>
      <w:tabs>
        <w:tab w:val="clear" w:pos="720"/>
        <w:tab w:val="clear" w:pos="1080"/>
        <w:tab w:val="clear" w:pos="1440"/>
        <w:tab w:val="clear" w:pos="1800"/>
      </w:tabs>
      <w:spacing w:after="120" w:line="240" w:lineRule="auto"/>
      <w:ind w:left="360" w:hanging="360"/>
    </w:pPr>
    <w:rPr>
      <w:sz w:val="20"/>
    </w:rPr>
  </w:style>
  <w:style w:type="paragraph" w:customStyle="1" w:styleId="table1">
    <w:name w:val="table1"/>
    <w:basedOn w:val="Normal"/>
    <w:rsid w:val="00C00837"/>
    <w:pPr>
      <w:tabs>
        <w:tab w:val="left" w:pos="216"/>
      </w:tabs>
      <w:spacing w:line="240" w:lineRule="auto"/>
    </w:pPr>
    <w:rPr>
      <w:rFonts w:ascii="Arial Narrow" w:hAnsi="Arial Narrow"/>
      <w:sz w:val="18"/>
    </w:rPr>
  </w:style>
  <w:style w:type="paragraph" w:styleId="BalloonText">
    <w:name w:val="Balloon Text"/>
    <w:basedOn w:val="Normal"/>
    <w:semiHidden/>
    <w:rsid w:val="00C00837"/>
    <w:rPr>
      <w:rFonts w:ascii="Tahoma" w:hAnsi="Tahoma" w:cs="Tahoma"/>
      <w:sz w:val="16"/>
      <w:szCs w:val="16"/>
    </w:rPr>
  </w:style>
  <w:style w:type="paragraph" w:styleId="CommentSubject">
    <w:name w:val="annotation subject"/>
    <w:basedOn w:val="CommentText"/>
    <w:next w:val="CommentText"/>
    <w:semiHidden/>
    <w:rsid w:val="00C9440D"/>
    <w:rPr>
      <w:b/>
      <w:bCs/>
    </w:rPr>
  </w:style>
  <w:style w:type="paragraph" w:styleId="NormalWeb">
    <w:name w:val="Normal (Web)"/>
    <w:basedOn w:val="Normal"/>
    <w:uiPriority w:val="99"/>
    <w:rsid w:val="00A25566"/>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FootnoteText">
    <w:name w:val="footnote text"/>
    <w:aliases w:val="F1"/>
    <w:basedOn w:val="Normal"/>
    <w:link w:val="FootnoteTextChar"/>
    <w:uiPriority w:val="99"/>
    <w:rsid w:val="009E28FE"/>
    <w:rPr>
      <w:sz w:val="20"/>
    </w:rPr>
  </w:style>
  <w:style w:type="character" w:styleId="FootnoteReference">
    <w:name w:val="footnote reference"/>
    <w:uiPriority w:val="99"/>
    <w:rsid w:val="009E28FE"/>
    <w:rPr>
      <w:vertAlign w:val="superscript"/>
    </w:rPr>
  </w:style>
  <w:style w:type="paragraph" w:customStyle="1" w:styleId="Normal1">
    <w:name w:val="Normal1"/>
    <w:basedOn w:val="Normal"/>
    <w:rsid w:val="00047E64"/>
    <w:pPr>
      <w:tabs>
        <w:tab w:val="clear" w:pos="720"/>
        <w:tab w:val="clear" w:pos="1080"/>
        <w:tab w:val="clear" w:pos="1440"/>
        <w:tab w:val="clear" w:pos="1800"/>
      </w:tabs>
      <w:suppressAutoHyphens/>
      <w:spacing w:line="240" w:lineRule="auto"/>
      <w:jc w:val="both"/>
    </w:pPr>
    <w:rPr>
      <w:rFonts w:ascii="Calibri" w:eastAsia="SimSun" w:hAnsi="Calibri" w:cs="font294"/>
      <w:kern w:val="1"/>
      <w:sz w:val="21"/>
      <w:szCs w:val="22"/>
      <w:lang w:eastAsia="ar-SA"/>
    </w:rPr>
  </w:style>
  <w:style w:type="paragraph" w:styleId="NoSpacing">
    <w:name w:val="No Spacing"/>
    <w:qFormat/>
    <w:rsid w:val="00EF5F99"/>
    <w:rPr>
      <w:rFonts w:ascii="Calibri" w:hAnsi="Calibri"/>
      <w:sz w:val="22"/>
      <w:szCs w:val="22"/>
    </w:rPr>
  </w:style>
  <w:style w:type="paragraph" w:styleId="ListParagraph">
    <w:name w:val="List Paragraph"/>
    <w:basedOn w:val="Normal"/>
    <w:uiPriority w:val="34"/>
    <w:qFormat/>
    <w:rsid w:val="00FF07C6"/>
    <w:pPr>
      <w:tabs>
        <w:tab w:val="clear" w:pos="720"/>
        <w:tab w:val="clear" w:pos="1080"/>
        <w:tab w:val="clear" w:pos="1440"/>
        <w:tab w:val="clear" w:pos="1800"/>
      </w:tabs>
      <w:spacing w:line="240" w:lineRule="auto"/>
      <w:ind w:left="720"/>
    </w:pPr>
    <w:rPr>
      <w:rFonts w:ascii="Calibri" w:eastAsia="SimSun" w:hAnsi="Calibri"/>
      <w:szCs w:val="22"/>
      <w:lang w:eastAsia="zh-CN"/>
    </w:rPr>
  </w:style>
  <w:style w:type="character" w:customStyle="1" w:styleId="FootnoteTextChar">
    <w:name w:val="Footnote Text Char"/>
    <w:aliases w:val="F1 Char"/>
    <w:link w:val="FootnoteText"/>
    <w:uiPriority w:val="99"/>
    <w:locked/>
    <w:rsid w:val="003716C3"/>
    <w:rPr>
      <w:lang w:val="en-US" w:eastAsia="en-US" w:bidi="ar-SA"/>
    </w:rPr>
  </w:style>
  <w:style w:type="character" w:customStyle="1" w:styleId="HeaderChar">
    <w:name w:val="Header Char"/>
    <w:link w:val="Header"/>
    <w:semiHidden/>
    <w:locked/>
    <w:rsid w:val="00196EF1"/>
    <w:rPr>
      <w:sz w:val="22"/>
      <w:lang w:val="en-US" w:eastAsia="en-US" w:bidi="ar-SA"/>
    </w:rPr>
  </w:style>
  <w:style w:type="paragraph" w:customStyle="1" w:styleId="AbtHeadD">
    <w:name w:val="AbtHead D"/>
    <w:basedOn w:val="Normal"/>
    <w:rsid w:val="00196EF1"/>
    <w:pPr>
      <w:keepNext/>
      <w:tabs>
        <w:tab w:val="clear" w:pos="720"/>
        <w:tab w:val="clear" w:pos="1080"/>
        <w:tab w:val="clear" w:pos="1440"/>
        <w:tab w:val="clear" w:pos="1800"/>
      </w:tabs>
    </w:pPr>
    <w:rPr>
      <w:rFonts w:eastAsia="Calibri"/>
      <w:b/>
      <w:bCs/>
      <w:i/>
      <w:iCs/>
      <w:szCs w:val="22"/>
    </w:rPr>
  </w:style>
  <w:style w:type="paragraph" w:styleId="TOC1">
    <w:name w:val="toc 1"/>
    <w:basedOn w:val="BodyText"/>
    <w:next w:val="BodyText"/>
    <w:uiPriority w:val="39"/>
    <w:rsid w:val="00BA3634"/>
    <w:pPr>
      <w:tabs>
        <w:tab w:val="clear" w:pos="720"/>
        <w:tab w:val="clear" w:pos="1080"/>
        <w:tab w:val="clear" w:pos="1440"/>
        <w:tab w:val="clear" w:pos="1800"/>
      </w:tabs>
      <w:spacing w:before="240"/>
    </w:pPr>
    <w:rPr>
      <w:b/>
    </w:rPr>
  </w:style>
  <w:style w:type="paragraph" w:styleId="TOC2">
    <w:name w:val="toc 2"/>
    <w:basedOn w:val="BodyText"/>
    <w:next w:val="BodyText"/>
    <w:uiPriority w:val="39"/>
    <w:rsid w:val="00BA3634"/>
    <w:pPr>
      <w:tabs>
        <w:tab w:val="clear" w:pos="720"/>
        <w:tab w:val="clear" w:pos="1080"/>
        <w:tab w:val="clear" w:pos="1440"/>
        <w:tab w:val="clear" w:pos="1800"/>
      </w:tabs>
      <w:ind w:left="576"/>
    </w:pPr>
  </w:style>
  <w:style w:type="paragraph" w:styleId="TOC3">
    <w:name w:val="toc 3"/>
    <w:basedOn w:val="BodyText"/>
    <w:next w:val="BodyText"/>
    <w:uiPriority w:val="39"/>
    <w:rsid w:val="00BA3634"/>
    <w:pPr>
      <w:tabs>
        <w:tab w:val="clear" w:pos="720"/>
        <w:tab w:val="clear" w:pos="1080"/>
        <w:tab w:val="clear" w:pos="1440"/>
        <w:tab w:val="clear" w:pos="1800"/>
      </w:tabs>
      <w:ind w:left="1152"/>
    </w:pPr>
  </w:style>
  <w:style w:type="paragraph" w:styleId="TOC4">
    <w:name w:val="toc 4"/>
    <w:basedOn w:val="BodyText"/>
    <w:next w:val="BodyText"/>
    <w:uiPriority w:val="39"/>
    <w:rsid w:val="00BA3634"/>
    <w:pPr>
      <w:tabs>
        <w:tab w:val="clear" w:pos="720"/>
        <w:tab w:val="clear" w:pos="1080"/>
        <w:tab w:val="clear" w:pos="1440"/>
        <w:tab w:val="clear" w:pos="1800"/>
      </w:tabs>
      <w:ind w:left="1728"/>
    </w:pPr>
  </w:style>
  <w:style w:type="character" w:styleId="FollowedHyperlink">
    <w:name w:val="FollowedHyperlink"/>
    <w:rsid w:val="00D147F1"/>
    <w:rPr>
      <w:color w:val="800080"/>
      <w:u w:val="single"/>
    </w:rPr>
  </w:style>
  <w:style w:type="paragraph" w:customStyle="1" w:styleId="subheading">
    <w:name w:val="subheading"/>
    <w:basedOn w:val="AbtHeadC"/>
    <w:link w:val="subheadingChar"/>
    <w:qFormat/>
    <w:rsid w:val="002341C1"/>
  </w:style>
  <w:style w:type="paragraph" w:styleId="PlainText">
    <w:name w:val="Plain Text"/>
    <w:basedOn w:val="Normal"/>
    <w:link w:val="PlainTextChar"/>
    <w:uiPriority w:val="99"/>
    <w:unhideWhenUsed/>
    <w:rsid w:val="001056EE"/>
    <w:pPr>
      <w:tabs>
        <w:tab w:val="clear" w:pos="720"/>
        <w:tab w:val="clear" w:pos="1080"/>
        <w:tab w:val="clear" w:pos="1440"/>
        <w:tab w:val="clear" w:pos="1800"/>
      </w:tabs>
      <w:spacing w:line="240" w:lineRule="auto"/>
    </w:pPr>
    <w:rPr>
      <w:rFonts w:ascii="Calibri" w:eastAsia="Calibri" w:hAnsi="Calibri"/>
      <w:szCs w:val="21"/>
    </w:rPr>
  </w:style>
  <w:style w:type="character" w:customStyle="1" w:styleId="AbtHeadCChar">
    <w:name w:val="AbtHead C Char"/>
    <w:link w:val="AbtHeadC"/>
    <w:rsid w:val="002341C1"/>
    <w:rPr>
      <w:rFonts w:ascii="Arial" w:hAnsi="Arial"/>
      <w:b/>
    </w:rPr>
  </w:style>
  <w:style w:type="character" w:customStyle="1" w:styleId="subheadingChar">
    <w:name w:val="subheading Char"/>
    <w:basedOn w:val="AbtHeadCChar"/>
    <w:link w:val="subheading"/>
    <w:rsid w:val="002341C1"/>
    <w:rPr>
      <w:rFonts w:ascii="Arial" w:hAnsi="Arial"/>
      <w:b/>
    </w:rPr>
  </w:style>
  <w:style w:type="character" w:customStyle="1" w:styleId="PlainTextChar">
    <w:name w:val="Plain Text Char"/>
    <w:link w:val="PlainText"/>
    <w:uiPriority w:val="99"/>
    <w:rsid w:val="001056EE"/>
    <w:rPr>
      <w:rFonts w:ascii="Calibri" w:eastAsia="Calibri" w:hAnsi="Calibri"/>
      <w:sz w:val="22"/>
      <w:szCs w:val="21"/>
    </w:rPr>
  </w:style>
  <w:style w:type="paragraph" w:customStyle="1" w:styleId="NormalSS">
    <w:name w:val="NormalSS"/>
    <w:basedOn w:val="Normal"/>
    <w:qFormat/>
    <w:rsid w:val="00485EEE"/>
    <w:pPr>
      <w:tabs>
        <w:tab w:val="clear" w:pos="720"/>
        <w:tab w:val="clear" w:pos="1080"/>
        <w:tab w:val="clear" w:pos="1440"/>
        <w:tab w:val="clear" w:pos="1800"/>
        <w:tab w:val="left" w:pos="432"/>
      </w:tabs>
      <w:spacing w:after="240" w:line="240" w:lineRule="auto"/>
      <w:ind w:firstLine="432"/>
      <w:jc w:val="both"/>
    </w:pPr>
    <w:rPr>
      <w:sz w:val="24"/>
    </w:rPr>
  </w:style>
  <w:style w:type="paragraph" w:customStyle="1" w:styleId="ParagraphLAST">
    <w:name w:val="Paragraph (LAST)"/>
    <w:basedOn w:val="Normal"/>
    <w:next w:val="Normal"/>
    <w:rsid w:val="00485EEE"/>
    <w:pPr>
      <w:tabs>
        <w:tab w:val="clear" w:pos="720"/>
        <w:tab w:val="clear" w:pos="1080"/>
        <w:tab w:val="clear" w:pos="1440"/>
        <w:tab w:val="clear" w:pos="1800"/>
        <w:tab w:val="left" w:pos="432"/>
      </w:tabs>
      <w:spacing w:after="240" w:line="480" w:lineRule="auto"/>
      <w:ind w:firstLine="432"/>
      <w:jc w:val="both"/>
    </w:pPr>
    <w:rPr>
      <w:sz w:val="24"/>
    </w:rPr>
  </w:style>
  <w:style w:type="character" w:customStyle="1" w:styleId="Heading3Char">
    <w:name w:val="Heading 3 Char"/>
    <w:basedOn w:val="DefaultParagraphFont"/>
    <w:link w:val="Heading3"/>
    <w:uiPriority w:val="9"/>
    <w:rsid w:val="00DB79F4"/>
    <w:rPr>
      <w:rFonts w:ascii="Arial Narrow" w:hAnsi="Arial Narrow"/>
      <w:b/>
      <w:bCs/>
      <w:sz w:val="24"/>
    </w:rPr>
  </w:style>
  <w:style w:type="paragraph" w:customStyle="1" w:styleId="ReportBodyText">
    <w:name w:val="Report Body Text"/>
    <w:basedOn w:val="ListParagraph"/>
    <w:link w:val="ReportBodyTextChar"/>
    <w:qFormat/>
    <w:rsid w:val="00484B24"/>
    <w:pPr>
      <w:ind w:left="0"/>
    </w:pPr>
    <w:rPr>
      <w:rFonts w:ascii="Times New Roman" w:eastAsia="Times New Roman" w:hAnsi="Times New Roman"/>
      <w:szCs w:val="24"/>
      <w:lang w:eastAsia="en-US"/>
    </w:rPr>
  </w:style>
  <w:style w:type="character" w:customStyle="1" w:styleId="ReportBodyTextChar">
    <w:name w:val="Report Body Text Char"/>
    <w:link w:val="ReportBodyText"/>
    <w:rsid w:val="00484B24"/>
    <w:rPr>
      <w:sz w:val="22"/>
      <w:szCs w:val="24"/>
    </w:rPr>
  </w:style>
  <w:style w:type="paragraph" w:customStyle="1" w:styleId="Default">
    <w:name w:val="Default"/>
    <w:rsid w:val="008823F3"/>
    <w:pPr>
      <w:autoSpaceDE w:val="0"/>
      <w:autoSpaceDN w:val="0"/>
      <w:adjustRightInd w:val="0"/>
    </w:pPr>
    <w:rPr>
      <w:color w:val="000000"/>
      <w:sz w:val="24"/>
      <w:szCs w:val="24"/>
    </w:rPr>
  </w:style>
  <w:style w:type="character" w:customStyle="1" w:styleId="st1">
    <w:name w:val="st1"/>
    <w:basedOn w:val="DefaultParagraphFont"/>
    <w:rsid w:val="00C81608"/>
  </w:style>
  <w:style w:type="character" w:customStyle="1" w:styleId="FooterChar">
    <w:name w:val="Footer Char"/>
    <w:basedOn w:val="DefaultParagraphFont"/>
    <w:link w:val="Footer"/>
    <w:uiPriority w:val="99"/>
    <w:rsid w:val="00192849"/>
    <w:rPr>
      <w:rFonts w:ascii="Arial" w:hAnsi="Arial"/>
      <w:b/>
      <w:sz w:val="18"/>
    </w:rPr>
  </w:style>
  <w:style w:type="character" w:customStyle="1" w:styleId="nlmpublisher-name">
    <w:name w:val="nlm_publisher-name"/>
    <w:basedOn w:val="DefaultParagraphFont"/>
    <w:rsid w:val="0029737E"/>
  </w:style>
  <w:style w:type="character" w:styleId="Emphasis">
    <w:name w:val="Emphasis"/>
    <w:basedOn w:val="DefaultParagraphFont"/>
    <w:uiPriority w:val="20"/>
    <w:qFormat/>
    <w:rsid w:val="00CA400E"/>
    <w:rPr>
      <w:i/>
      <w:iCs/>
    </w:rPr>
  </w:style>
  <w:style w:type="character" w:customStyle="1" w:styleId="name">
    <w:name w:val="name"/>
    <w:basedOn w:val="DefaultParagraphFont"/>
    <w:rsid w:val="00A4628A"/>
  </w:style>
  <w:style w:type="character" w:customStyle="1" w:styleId="xref-sep2">
    <w:name w:val="xref-sep2"/>
    <w:basedOn w:val="DefaultParagraphFont"/>
    <w:rsid w:val="00A4628A"/>
  </w:style>
  <w:style w:type="character" w:customStyle="1" w:styleId="grame">
    <w:name w:val="grame"/>
    <w:basedOn w:val="DefaultParagraphFont"/>
    <w:rsid w:val="00A72304"/>
  </w:style>
  <w:style w:type="character" w:styleId="Strong">
    <w:name w:val="Strong"/>
    <w:basedOn w:val="DefaultParagraphFont"/>
    <w:qFormat/>
    <w:rsid w:val="008622DE"/>
    <w:rPr>
      <w:rFonts w:ascii="Times New Roman" w:hAnsi="Times New Roman"/>
      <w:b/>
      <w:bCs/>
    </w:rPr>
  </w:style>
  <w:style w:type="character" w:customStyle="1" w:styleId="ColorfulList-Accent1Char">
    <w:name w:val="Colorful List - Accent 1 Char"/>
    <w:aliases w:val="Bullet List Char"/>
    <w:link w:val="ColorfulList-Accent1"/>
    <w:uiPriority w:val="34"/>
    <w:rsid w:val="00FD4F82"/>
  </w:style>
  <w:style w:type="table" w:styleId="ColorfulList-Accent1">
    <w:name w:val="Colorful List Accent 1"/>
    <w:basedOn w:val="TableNormal"/>
    <w:link w:val="ColorfulList-Accent1Char"/>
    <w:uiPriority w:val="34"/>
    <w:semiHidden/>
    <w:unhideWhenUsed/>
    <w:rsid w:val="00FD4F82"/>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CM1">
    <w:name w:val="CM1"/>
    <w:basedOn w:val="Default"/>
    <w:next w:val="Default"/>
    <w:uiPriority w:val="99"/>
    <w:rsid w:val="00E00F99"/>
    <w:pPr>
      <w:widowControl w:val="0"/>
    </w:pPr>
    <w:rPr>
      <w:rFonts w:ascii="Calibri" w:eastAsiaTheme="minorEastAsia" w:hAnsi="Calibri"/>
      <w:color w:val="auto"/>
    </w:rPr>
  </w:style>
  <w:style w:type="paragraph" w:customStyle="1" w:styleId="CM11">
    <w:name w:val="CM11"/>
    <w:basedOn w:val="Default"/>
    <w:next w:val="Default"/>
    <w:uiPriority w:val="99"/>
    <w:rsid w:val="00E00F99"/>
    <w:pPr>
      <w:widowControl w:val="0"/>
      <w:spacing w:line="360" w:lineRule="atLeast"/>
    </w:pPr>
    <w:rPr>
      <w:rFonts w:ascii="Calibri" w:eastAsiaTheme="minorEastAsia" w:hAnsi="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845">
      <w:bodyDiv w:val="1"/>
      <w:marLeft w:val="0"/>
      <w:marRight w:val="0"/>
      <w:marTop w:val="0"/>
      <w:marBottom w:val="0"/>
      <w:divBdr>
        <w:top w:val="none" w:sz="0" w:space="0" w:color="auto"/>
        <w:left w:val="none" w:sz="0" w:space="0" w:color="auto"/>
        <w:bottom w:val="none" w:sz="0" w:space="0" w:color="auto"/>
        <w:right w:val="none" w:sz="0" w:space="0" w:color="auto"/>
      </w:divBdr>
    </w:div>
    <w:div w:id="85002528">
      <w:bodyDiv w:val="1"/>
      <w:marLeft w:val="0"/>
      <w:marRight w:val="0"/>
      <w:marTop w:val="0"/>
      <w:marBottom w:val="0"/>
      <w:divBdr>
        <w:top w:val="none" w:sz="0" w:space="0" w:color="auto"/>
        <w:left w:val="none" w:sz="0" w:space="0" w:color="auto"/>
        <w:bottom w:val="none" w:sz="0" w:space="0" w:color="auto"/>
        <w:right w:val="none" w:sz="0" w:space="0" w:color="auto"/>
      </w:divBdr>
    </w:div>
    <w:div w:id="104547314">
      <w:bodyDiv w:val="1"/>
      <w:marLeft w:val="0"/>
      <w:marRight w:val="0"/>
      <w:marTop w:val="0"/>
      <w:marBottom w:val="0"/>
      <w:divBdr>
        <w:top w:val="none" w:sz="0" w:space="0" w:color="auto"/>
        <w:left w:val="none" w:sz="0" w:space="0" w:color="auto"/>
        <w:bottom w:val="none" w:sz="0" w:space="0" w:color="auto"/>
        <w:right w:val="none" w:sz="0" w:space="0" w:color="auto"/>
      </w:divBdr>
    </w:div>
    <w:div w:id="155658532">
      <w:bodyDiv w:val="1"/>
      <w:marLeft w:val="0"/>
      <w:marRight w:val="0"/>
      <w:marTop w:val="0"/>
      <w:marBottom w:val="0"/>
      <w:divBdr>
        <w:top w:val="none" w:sz="0" w:space="0" w:color="auto"/>
        <w:left w:val="none" w:sz="0" w:space="0" w:color="auto"/>
        <w:bottom w:val="none" w:sz="0" w:space="0" w:color="auto"/>
        <w:right w:val="none" w:sz="0" w:space="0" w:color="auto"/>
      </w:divBdr>
    </w:div>
    <w:div w:id="276759362">
      <w:bodyDiv w:val="1"/>
      <w:marLeft w:val="0"/>
      <w:marRight w:val="0"/>
      <w:marTop w:val="0"/>
      <w:marBottom w:val="0"/>
      <w:divBdr>
        <w:top w:val="none" w:sz="0" w:space="0" w:color="auto"/>
        <w:left w:val="none" w:sz="0" w:space="0" w:color="auto"/>
        <w:bottom w:val="none" w:sz="0" w:space="0" w:color="auto"/>
        <w:right w:val="none" w:sz="0" w:space="0" w:color="auto"/>
      </w:divBdr>
    </w:div>
    <w:div w:id="319888498">
      <w:bodyDiv w:val="1"/>
      <w:marLeft w:val="0"/>
      <w:marRight w:val="0"/>
      <w:marTop w:val="0"/>
      <w:marBottom w:val="0"/>
      <w:divBdr>
        <w:top w:val="none" w:sz="0" w:space="0" w:color="auto"/>
        <w:left w:val="none" w:sz="0" w:space="0" w:color="auto"/>
        <w:bottom w:val="none" w:sz="0" w:space="0" w:color="auto"/>
        <w:right w:val="none" w:sz="0" w:space="0" w:color="auto"/>
      </w:divBdr>
    </w:div>
    <w:div w:id="394855877">
      <w:bodyDiv w:val="1"/>
      <w:marLeft w:val="0"/>
      <w:marRight w:val="0"/>
      <w:marTop w:val="0"/>
      <w:marBottom w:val="0"/>
      <w:divBdr>
        <w:top w:val="none" w:sz="0" w:space="0" w:color="auto"/>
        <w:left w:val="none" w:sz="0" w:space="0" w:color="auto"/>
        <w:bottom w:val="none" w:sz="0" w:space="0" w:color="auto"/>
        <w:right w:val="none" w:sz="0" w:space="0" w:color="auto"/>
      </w:divBdr>
    </w:div>
    <w:div w:id="441346117">
      <w:bodyDiv w:val="1"/>
      <w:marLeft w:val="0"/>
      <w:marRight w:val="0"/>
      <w:marTop w:val="0"/>
      <w:marBottom w:val="0"/>
      <w:divBdr>
        <w:top w:val="none" w:sz="0" w:space="0" w:color="auto"/>
        <w:left w:val="none" w:sz="0" w:space="0" w:color="auto"/>
        <w:bottom w:val="none" w:sz="0" w:space="0" w:color="auto"/>
        <w:right w:val="none" w:sz="0" w:space="0" w:color="auto"/>
      </w:divBdr>
    </w:div>
    <w:div w:id="466553440">
      <w:bodyDiv w:val="1"/>
      <w:marLeft w:val="0"/>
      <w:marRight w:val="0"/>
      <w:marTop w:val="0"/>
      <w:marBottom w:val="0"/>
      <w:divBdr>
        <w:top w:val="none" w:sz="0" w:space="0" w:color="auto"/>
        <w:left w:val="none" w:sz="0" w:space="0" w:color="auto"/>
        <w:bottom w:val="none" w:sz="0" w:space="0" w:color="auto"/>
        <w:right w:val="none" w:sz="0" w:space="0" w:color="auto"/>
      </w:divBdr>
      <w:divsChild>
        <w:div w:id="169414204">
          <w:marLeft w:val="0"/>
          <w:marRight w:val="0"/>
          <w:marTop w:val="100"/>
          <w:marBottom w:val="0"/>
          <w:divBdr>
            <w:top w:val="none" w:sz="0" w:space="0" w:color="auto"/>
            <w:left w:val="none" w:sz="0" w:space="0" w:color="auto"/>
            <w:bottom w:val="none" w:sz="0" w:space="0" w:color="auto"/>
            <w:right w:val="none" w:sz="0" w:space="0" w:color="auto"/>
          </w:divBdr>
          <w:divsChild>
            <w:div w:id="1686974237">
              <w:marLeft w:val="0"/>
              <w:marRight w:val="0"/>
              <w:marTop w:val="0"/>
              <w:marBottom w:val="0"/>
              <w:divBdr>
                <w:top w:val="none" w:sz="0" w:space="0" w:color="auto"/>
                <w:left w:val="none" w:sz="0" w:space="0" w:color="auto"/>
                <w:bottom w:val="none" w:sz="0" w:space="0" w:color="auto"/>
                <w:right w:val="none" w:sz="0" w:space="0" w:color="auto"/>
              </w:divBdr>
              <w:divsChild>
                <w:div w:id="11367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1379">
      <w:bodyDiv w:val="1"/>
      <w:marLeft w:val="0"/>
      <w:marRight w:val="0"/>
      <w:marTop w:val="0"/>
      <w:marBottom w:val="0"/>
      <w:divBdr>
        <w:top w:val="none" w:sz="0" w:space="0" w:color="auto"/>
        <w:left w:val="none" w:sz="0" w:space="0" w:color="auto"/>
        <w:bottom w:val="none" w:sz="0" w:space="0" w:color="auto"/>
        <w:right w:val="none" w:sz="0" w:space="0" w:color="auto"/>
      </w:divBdr>
    </w:div>
    <w:div w:id="599681461">
      <w:bodyDiv w:val="1"/>
      <w:marLeft w:val="0"/>
      <w:marRight w:val="0"/>
      <w:marTop w:val="0"/>
      <w:marBottom w:val="0"/>
      <w:divBdr>
        <w:top w:val="none" w:sz="0" w:space="0" w:color="auto"/>
        <w:left w:val="none" w:sz="0" w:space="0" w:color="auto"/>
        <w:bottom w:val="none" w:sz="0" w:space="0" w:color="auto"/>
        <w:right w:val="none" w:sz="0" w:space="0" w:color="auto"/>
      </w:divBdr>
      <w:divsChild>
        <w:div w:id="1293050427">
          <w:marLeft w:val="0"/>
          <w:marRight w:val="0"/>
          <w:marTop w:val="100"/>
          <w:marBottom w:val="100"/>
          <w:divBdr>
            <w:top w:val="single" w:sz="4" w:space="0" w:color="9B9A7A"/>
            <w:left w:val="single" w:sz="4" w:space="0" w:color="9B9A7A"/>
            <w:bottom w:val="single" w:sz="4" w:space="0" w:color="9B9A7A"/>
            <w:right w:val="single" w:sz="4" w:space="0" w:color="9B9A7A"/>
          </w:divBdr>
          <w:divsChild>
            <w:div w:id="1607034716">
              <w:marLeft w:val="0"/>
              <w:marRight w:val="0"/>
              <w:marTop w:val="0"/>
              <w:marBottom w:val="0"/>
              <w:divBdr>
                <w:top w:val="none" w:sz="0" w:space="0" w:color="auto"/>
                <w:left w:val="none" w:sz="0" w:space="0" w:color="auto"/>
                <w:bottom w:val="none" w:sz="0" w:space="0" w:color="auto"/>
                <w:right w:val="none" w:sz="0" w:space="0" w:color="auto"/>
              </w:divBdr>
              <w:divsChild>
                <w:div w:id="10251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1234">
      <w:bodyDiv w:val="1"/>
      <w:marLeft w:val="0"/>
      <w:marRight w:val="0"/>
      <w:marTop w:val="0"/>
      <w:marBottom w:val="0"/>
      <w:divBdr>
        <w:top w:val="none" w:sz="0" w:space="0" w:color="auto"/>
        <w:left w:val="none" w:sz="0" w:space="0" w:color="auto"/>
        <w:bottom w:val="none" w:sz="0" w:space="0" w:color="auto"/>
        <w:right w:val="none" w:sz="0" w:space="0" w:color="auto"/>
      </w:divBdr>
    </w:div>
    <w:div w:id="850874490">
      <w:bodyDiv w:val="1"/>
      <w:marLeft w:val="0"/>
      <w:marRight w:val="0"/>
      <w:marTop w:val="0"/>
      <w:marBottom w:val="0"/>
      <w:divBdr>
        <w:top w:val="none" w:sz="0" w:space="0" w:color="auto"/>
        <w:left w:val="none" w:sz="0" w:space="0" w:color="auto"/>
        <w:bottom w:val="none" w:sz="0" w:space="0" w:color="auto"/>
        <w:right w:val="none" w:sz="0" w:space="0" w:color="auto"/>
      </w:divBdr>
    </w:div>
    <w:div w:id="910240498">
      <w:bodyDiv w:val="1"/>
      <w:marLeft w:val="0"/>
      <w:marRight w:val="0"/>
      <w:marTop w:val="0"/>
      <w:marBottom w:val="0"/>
      <w:divBdr>
        <w:top w:val="none" w:sz="0" w:space="0" w:color="auto"/>
        <w:left w:val="none" w:sz="0" w:space="0" w:color="auto"/>
        <w:bottom w:val="none" w:sz="0" w:space="0" w:color="auto"/>
        <w:right w:val="none" w:sz="0" w:space="0" w:color="auto"/>
      </w:divBdr>
    </w:div>
    <w:div w:id="983195550">
      <w:bodyDiv w:val="1"/>
      <w:marLeft w:val="0"/>
      <w:marRight w:val="0"/>
      <w:marTop w:val="0"/>
      <w:marBottom w:val="0"/>
      <w:divBdr>
        <w:top w:val="none" w:sz="0" w:space="0" w:color="auto"/>
        <w:left w:val="none" w:sz="0" w:space="0" w:color="auto"/>
        <w:bottom w:val="none" w:sz="0" w:space="0" w:color="auto"/>
        <w:right w:val="none" w:sz="0" w:space="0" w:color="auto"/>
      </w:divBdr>
    </w:div>
    <w:div w:id="989747755">
      <w:bodyDiv w:val="1"/>
      <w:marLeft w:val="0"/>
      <w:marRight w:val="0"/>
      <w:marTop w:val="0"/>
      <w:marBottom w:val="0"/>
      <w:divBdr>
        <w:top w:val="none" w:sz="0" w:space="0" w:color="auto"/>
        <w:left w:val="none" w:sz="0" w:space="0" w:color="auto"/>
        <w:bottom w:val="none" w:sz="0" w:space="0" w:color="auto"/>
        <w:right w:val="none" w:sz="0" w:space="0" w:color="auto"/>
      </w:divBdr>
    </w:div>
    <w:div w:id="1045831591">
      <w:bodyDiv w:val="1"/>
      <w:marLeft w:val="0"/>
      <w:marRight w:val="0"/>
      <w:marTop w:val="0"/>
      <w:marBottom w:val="0"/>
      <w:divBdr>
        <w:top w:val="none" w:sz="0" w:space="0" w:color="auto"/>
        <w:left w:val="none" w:sz="0" w:space="0" w:color="auto"/>
        <w:bottom w:val="none" w:sz="0" w:space="0" w:color="auto"/>
        <w:right w:val="none" w:sz="0" w:space="0" w:color="auto"/>
      </w:divBdr>
      <w:divsChild>
        <w:div w:id="1678464464">
          <w:marLeft w:val="0"/>
          <w:marRight w:val="0"/>
          <w:marTop w:val="0"/>
          <w:marBottom w:val="0"/>
          <w:divBdr>
            <w:top w:val="none" w:sz="0" w:space="0" w:color="auto"/>
            <w:left w:val="none" w:sz="0" w:space="0" w:color="auto"/>
            <w:bottom w:val="none" w:sz="0" w:space="0" w:color="auto"/>
            <w:right w:val="none" w:sz="0" w:space="0" w:color="auto"/>
          </w:divBdr>
        </w:div>
      </w:divsChild>
    </w:div>
    <w:div w:id="1095442769">
      <w:bodyDiv w:val="1"/>
      <w:marLeft w:val="0"/>
      <w:marRight w:val="0"/>
      <w:marTop w:val="0"/>
      <w:marBottom w:val="0"/>
      <w:divBdr>
        <w:top w:val="none" w:sz="0" w:space="0" w:color="auto"/>
        <w:left w:val="none" w:sz="0" w:space="0" w:color="auto"/>
        <w:bottom w:val="none" w:sz="0" w:space="0" w:color="auto"/>
        <w:right w:val="none" w:sz="0" w:space="0" w:color="auto"/>
      </w:divBdr>
    </w:div>
    <w:div w:id="1281454335">
      <w:bodyDiv w:val="1"/>
      <w:marLeft w:val="0"/>
      <w:marRight w:val="0"/>
      <w:marTop w:val="0"/>
      <w:marBottom w:val="0"/>
      <w:divBdr>
        <w:top w:val="none" w:sz="0" w:space="0" w:color="auto"/>
        <w:left w:val="none" w:sz="0" w:space="0" w:color="auto"/>
        <w:bottom w:val="none" w:sz="0" w:space="0" w:color="auto"/>
        <w:right w:val="none" w:sz="0" w:space="0" w:color="auto"/>
      </w:divBdr>
    </w:div>
    <w:div w:id="1290479830">
      <w:bodyDiv w:val="1"/>
      <w:marLeft w:val="0"/>
      <w:marRight w:val="0"/>
      <w:marTop w:val="0"/>
      <w:marBottom w:val="0"/>
      <w:divBdr>
        <w:top w:val="none" w:sz="0" w:space="0" w:color="auto"/>
        <w:left w:val="none" w:sz="0" w:space="0" w:color="auto"/>
        <w:bottom w:val="none" w:sz="0" w:space="0" w:color="auto"/>
        <w:right w:val="none" w:sz="0" w:space="0" w:color="auto"/>
      </w:divBdr>
    </w:div>
    <w:div w:id="1384449259">
      <w:bodyDiv w:val="1"/>
      <w:marLeft w:val="0"/>
      <w:marRight w:val="0"/>
      <w:marTop w:val="0"/>
      <w:marBottom w:val="0"/>
      <w:divBdr>
        <w:top w:val="none" w:sz="0" w:space="0" w:color="auto"/>
        <w:left w:val="none" w:sz="0" w:space="0" w:color="auto"/>
        <w:bottom w:val="none" w:sz="0" w:space="0" w:color="auto"/>
        <w:right w:val="none" w:sz="0" w:space="0" w:color="auto"/>
      </w:divBdr>
    </w:div>
    <w:div w:id="1544633033">
      <w:bodyDiv w:val="1"/>
      <w:marLeft w:val="0"/>
      <w:marRight w:val="0"/>
      <w:marTop w:val="0"/>
      <w:marBottom w:val="0"/>
      <w:divBdr>
        <w:top w:val="none" w:sz="0" w:space="0" w:color="auto"/>
        <w:left w:val="none" w:sz="0" w:space="0" w:color="auto"/>
        <w:bottom w:val="none" w:sz="0" w:space="0" w:color="auto"/>
        <w:right w:val="none" w:sz="0" w:space="0" w:color="auto"/>
      </w:divBdr>
    </w:div>
    <w:div w:id="1736780635">
      <w:bodyDiv w:val="1"/>
      <w:marLeft w:val="0"/>
      <w:marRight w:val="0"/>
      <w:marTop w:val="0"/>
      <w:marBottom w:val="0"/>
      <w:divBdr>
        <w:top w:val="none" w:sz="0" w:space="0" w:color="auto"/>
        <w:left w:val="none" w:sz="0" w:space="0" w:color="auto"/>
        <w:bottom w:val="none" w:sz="0" w:space="0" w:color="auto"/>
        <w:right w:val="none" w:sz="0" w:space="0" w:color="auto"/>
      </w:divBdr>
    </w:div>
    <w:div w:id="1947689830">
      <w:bodyDiv w:val="1"/>
      <w:marLeft w:val="0"/>
      <w:marRight w:val="0"/>
      <w:marTop w:val="0"/>
      <w:marBottom w:val="0"/>
      <w:divBdr>
        <w:top w:val="none" w:sz="0" w:space="0" w:color="auto"/>
        <w:left w:val="none" w:sz="0" w:space="0" w:color="auto"/>
        <w:bottom w:val="none" w:sz="0" w:space="0" w:color="auto"/>
        <w:right w:val="none" w:sz="0" w:space="0" w:color="auto"/>
      </w:divBdr>
    </w:div>
    <w:div w:id="1953053610">
      <w:bodyDiv w:val="1"/>
      <w:marLeft w:val="0"/>
      <w:marRight w:val="0"/>
      <w:marTop w:val="0"/>
      <w:marBottom w:val="0"/>
      <w:divBdr>
        <w:top w:val="none" w:sz="0" w:space="0" w:color="auto"/>
        <w:left w:val="none" w:sz="0" w:space="0" w:color="auto"/>
        <w:bottom w:val="none" w:sz="0" w:space="0" w:color="auto"/>
        <w:right w:val="none" w:sz="0" w:space="0" w:color="auto"/>
      </w:divBdr>
    </w:div>
    <w:div w:id="1990943482">
      <w:bodyDiv w:val="1"/>
      <w:marLeft w:val="0"/>
      <w:marRight w:val="0"/>
      <w:marTop w:val="0"/>
      <w:marBottom w:val="0"/>
      <w:divBdr>
        <w:top w:val="none" w:sz="0" w:space="0" w:color="auto"/>
        <w:left w:val="none" w:sz="0" w:space="0" w:color="auto"/>
        <w:bottom w:val="none" w:sz="0" w:space="0" w:color="auto"/>
        <w:right w:val="none" w:sz="0" w:space="0" w:color="auto"/>
      </w:divBdr>
    </w:div>
    <w:div w:id="2025787564">
      <w:bodyDiv w:val="1"/>
      <w:marLeft w:val="0"/>
      <w:marRight w:val="0"/>
      <w:marTop w:val="0"/>
      <w:marBottom w:val="0"/>
      <w:divBdr>
        <w:top w:val="none" w:sz="0" w:space="0" w:color="auto"/>
        <w:left w:val="none" w:sz="0" w:space="0" w:color="auto"/>
        <w:bottom w:val="none" w:sz="0" w:space="0" w:color="auto"/>
        <w:right w:val="none" w:sz="0" w:space="0" w:color="auto"/>
      </w:divBdr>
    </w:div>
    <w:div w:id="2098357651">
      <w:bodyDiv w:val="1"/>
      <w:marLeft w:val="0"/>
      <w:marRight w:val="0"/>
      <w:marTop w:val="0"/>
      <w:marBottom w:val="0"/>
      <w:divBdr>
        <w:top w:val="none" w:sz="0" w:space="0" w:color="auto"/>
        <w:left w:val="none" w:sz="0" w:space="0" w:color="auto"/>
        <w:bottom w:val="none" w:sz="0" w:space="0" w:color="auto"/>
        <w:right w:val="none" w:sz="0" w:space="0" w:color="auto"/>
      </w:divBdr>
      <w:divsChild>
        <w:div w:id="1554656719">
          <w:marLeft w:val="0"/>
          <w:marRight w:val="0"/>
          <w:marTop w:val="100"/>
          <w:marBottom w:val="0"/>
          <w:divBdr>
            <w:top w:val="none" w:sz="0" w:space="0" w:color="auto"/>
            <w:left w:val="none" w:sz="0" w:space="0" w:color="auto"/>
            <w:bottom w:val="none" w:sz="0" w:space="0" w:color="auto"/>
            <w:right w:val="none" w:sz="0" w:space="0" w:color="auto"/>
          </w:divBdr>
          <w:divsChild>
            <w:div w:id="17782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csm.gov/07papers/Hunt-White.III-C.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rc.wsu.edu/pap_tok.htm" TargetMode="External"/><Relationship Id="rId17" Type="http://schemas.openxmlformats.org/officeDocument/2006/relationships/hyperlink" Target="http://www.pearweb.org/atis/tools/62" TargetMode="External"/><Relationship Id="rId2" Type="http://schemas.openxmlformats.org/officeDocument/2006/relationships/numbering" Target="numbering.xml"/><Relationship Id="rId16" Type="http://schemas.openxmlformats.org/officeDocument/2006/relationships/hyperlink" Target="http://nces.ed.gov/surveys/hsls09/questionnaire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nd.org/content/dam/rand/pubs/working_papers/2008/RAND_WR590.pdf" TargetMode="External"/><Relationship Id="rId5" Type="http://schemas.openxmlformats.org/officeDocument/2006/relationships/webSettings" Target="webSettings.xml"/><Relationship Id="rId15" Type="http://schemas.openxmlformats.org/officeDocument/2006/relationships/hyperlink" Target="http://nces.ed.gov/nationsreportcard/science/moreabout.asp"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ls.gov/ore/pdf/st06003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hs.gov/ohrp/humansubjects/guidance/45cfr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01BAC-658A-4C43-8234-2A5A8DDF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5523</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Abt Associates Inc.</Company>
  <LinksUpToDate>false</LinksUpToDate>
  <CharactersWithSpaces>36937</CharactersWithSpaces>
  <SharedDoc>false</SharedDoc>
  <HLinks>
    <vt:vector size="150" baseType="variant">
      <vt:variant>
        <vt:i4>1835061</vt:i4>
      </vt:variant>
      <vt:variant>
        <vt:i4>146</vt:i4>
      </vt:variant>
      <vt:variant>
        <vt:i4>0</vt:i4>
      </vt:variant>
      <vt:variant>
        <vt:i4>5</vt:i4>
      </vt:variant>
      <vt:variant>
        <vt:lpwstr/>
      </vt:variant>
      <vt:variant>
        <vt:lpwstr>_Toc311804762</vt:lpwstr>
      </vt:variant>
      <vt:variant>
        <vt:i4>1835061</vt:i4>
      </vt:variant>
      <vt:variant>
        <vt:i4>140</vt:i4>
      </vt:variant>
      <vt:variant>
        <vt:i4>0</vt:i4>
      </vt:variant>
      <vt:variant>
        <vt:i4>5</vt:i4>
      </vt:variant>
      <vt:variant>
        <vt:lpwstr/>
      </vt:variant>
      <vt:variant>
        <vt:lpwstr>_Toc311804761</vt:lpwstr>
      </vt:variant>
      <vt:variant>
        <vt:i4>1835061</vt:i4>
      </vt:variant>
      <vt:variant>
        <vt:i4>134</vt:i4>
      </vt:variant>
      <vt:variant>
        <vt:i4>0</vt:i4>
      </vt:variant>
      <vt:variant>
        <vt:i4>5</vt:i4>
      </vt:variant>
      <vt:variant>
        <vt:lpwstr/>
      </vt:variant>
      <vt:variant>
        <vt:lpwstr>_Toc311804760</vt:lpwstr>
      </vt:variant>
      <vt:variant>
        <vt:i4>2031669</vt:i4>
      </vt:variant>
      <vt:variant>
        <vt:i4>128</vt:i4>
      </vt:variant>
      <vt:variant>
        <vt:i4>0</vt:i4>
      </vt:variant>
      <vt:variant>
        <vt:i4>5</vt:i4>
      </vt:variant>
      <vt:variant>
        <vt:lpwstr/>
      </vt:variant>
      <vt:variant>
        <vt:lpwstr>_Toc311804759</vt:lpwstr>
      </vt:variant>
      <vt:variant>
        <vt:i4>2031669</vt:i4>
      </vt:variant>
      <vt:variant>
        <vt:i4>122</vt:i4>
      </vt:variant>
      <vt:variant>
        <vt:i4>0</vt:i4>
      </vt:variant>
      <vt:variant>
        <vt:i4>5</vt:i4>
      </vt:variant>
      <vt:variant>
        <vt:lpwstr/>
      </vt:variant>
      <vt:variant>
        <vt:lpwstr>_Toc311804758</vt:lpwstr>
      </vt:variant>
      <vt:variant>
        <vt:i4>2031669</vt:i4>
      </vt:variant>
      <vt:variant>
        <vt:i4>116</vt:i4>
      </vt:variant>
      <vt:variant>
        <vt:i4>0</vt:i4>
      </vt:variant>
      <vt:variant>
        <vt:i4>5</vt:i4>
      </vt:variant>
      <vt:variant>
        <vt:lpwstr/>
      </vt:variant>
      <vt:variant>
        <vt:lpwstr>_Toc311804757</vt:lpwstr>
      </vt:variant>
      <vt:variant>
        <vt:i4>2031669</vt:i4>
      </vt:variant>
      <vt:variant>
        <vt:i4>110</vt:i4>
      </vt:variant>
      <vt:variant>
        <vt:i4>0</vt:i4>
      </vt:variant>
      <vt:variant>
        <vt:i4>5</vt:i4>
      </vt:variant>
      <vt:variant>
        <vt:lpwstr/>
      </vt:variant>
      <vt:variant>
        <vt:lpwstr>_Toc311804756</vt:lpwstr>
      </vt:variant>
      <vt:variant>
        <vt:i4>2031669</vt:i4>
      </vt:variant>
      <vt:variant>
        <vt:i4>104</vt:i4>
      </vt:variant>
      <vt:variant>
        <vt:i4>0</vt:i4>
      </vt:variant>
      <vt:variant>
        <vt:i4>5</vt:i4>
      </vt:variant>
      <vt:variant>
        <vt:lpwstr/>
      </vt:variant>
      <vt:variant>
        <vt:lpwstr>_Toc311804755</vt:lpwstr>
      </vt:variant>
      <vt:variant>
        <vt:i4>2031669</vt:i4>
      </vt:variant>
      <vt:variant>
        <vt:i4>98</vt:i4>
      </vt:variant>
      <vt:variant>
        <vt:i4>0</vt:i4>
      </vt:variant>
      <vt:variant>
        <vt:i4>5</vt:i4>
      </vt:variant>
      <vt:variant>
        <vt:lpwstr/>
      </vt:variant>
      <vt:variant>
        <vt:lpwstr>_Toc311804754</vt:lpwstr>
      </vt:variant>
      <vt:variant>
        <vt:i4>2031669</vt:i4>
      </vt:variant>
      <vt:variant>
        <vt:i4>92</vt:i4>
      </vt:variant>
      <vt:variant>
        <vt:i4>0</vt:i4>
      </vt:variant>
      <vt:variant>
        <vt:i4>5</vt:i4>
      </vt:variant>
      <vt:variant>
        <vt:lpwstr/>
      </vt:variant>
      <vt:variant>
        <vt:lpwstr>_Toc311804753</vt:lpwstr>
      </vt:variant>
      <vt:variant>
        <vt:i4>2031669</vt:i4>
      </vt:variant>
      <vt:variant>
        <vt:i4>86</vt:i4>
      </vt:variant>
      <vt:variant>
        <vt:i4>0</vt:i4>
      </vt:variant>
      <vt:variant>
        <vt:i4>5</vt:i4>
      </vt:variant>
      <vt:variant>
        <vt:lpwstr/>
      </vt:variant>
      <vt:variant>
        <vt:lpwstr>_Toc311804752</vt:lpwstr>
      </vt:variant>
      <vt:variant>
        <vt:i4>2031669</vt:i4>
      </vt:variant>
      <vt:variant>
        <vt:i4>80</vt:i4>
      </vt:variant>
      <vt:variant>
        <vt:i4>0</vt:i4>
      </vt:variant>
      <vt:variant>
        <vt:i4>5</vt:i4>
      </vt:variant>
      <vt:variant>
        <vt:lpwstr/>
      </vt:variant>
      <vt:variant>
        <vt:lpwstr>_Toc311804751</vt:lpwstr>
      </vt:variant>
      <vt:variant>
        <vt:i4>2031669</vt:i4>
      </vt:variant>
      <vt:variant>
        <vt:i4>74</vt:i4>
      </vt:variant>
      <vt:variant>
        <vt:i4>0</vt:i4>
      </vt:variant>
      <vt:variant>
        <vt:i4>5</vt:i4>
      </vt:variant>
      <vt:variant>
        <vt:lpwstr/>
      </vt:variant>
      <vt:variant>
        <vt:lpwstr>_Toc311804750</vt:lpwstr>
      </vt:variant>
      <vt:variant>
        <vt:i4>1966133</vt:i4>
      </vt:variant>
      <vt:variant>
        <vt:i4>68</vt:i4>
      </vt:variant>
      <vt:variant>
        <vt:i4>0</vt:i4>
      </vt:variant>
      <vt:variant>
        <vt:i4>5</vt:i4>
      </vt:variant>
      <vt:variant>
        <vt:lpwstr/>
      </vt:variant>
      <vt:variant>
        <vt:lpwstr>_Toc311804749</vt:lpwstr>
      </vt:variant>
      <vt:variant>
        <vt:i4>1966133</vt:i4>
      </vt:variant>
      <vt:variant>
        <vt:i4>62</vt:i4>
      </vt:variant>
      <vt:variant>
        <vt:i4>0</vt:i4>
      </vt:variant>
      <vt:variant>
        <vt:i4>5</vt:i4>
      </vt:variant>
      <vt:variant>
        <vt:lpwstr/>
      </vt:variant>
      <vt:variant>
        <vt:lpwstr>_Toc311804748</vt:lpwstr>
      </vt:variant>
      <vt:variant>
        <vt:i4>1966133</vt:i4>
      </vt:variant>
      <vt:variant>
        <vt:i4>56</vt:i4>
      </vt:variant>
      <vt:variant>
        <vt:i4>0</vt:i4>
      </vt:variant>
      <vt:variant>
        <vt:i4>5</vt:i4>
      </vt:variant>
      <vt:variant>
        <vt:lpwstr/>
      </vt:variant>
      <vt:variant>
        <vt:lpwstr>_Toc311804747</vt:lpwstr>
      </vt:variant>
      <vt:variant>
        <vt:i4>1966133</vt:i4>
      </vt:variant>
      <vt:variant>
        <vt:i4>50</vt:i4>
      </vt:variant>
      <vt:variant>
        <vt:i4>0</vt:i4>
      </vt:variant>
      <vt:variant>
        <vt:i4>5</vt:i4>
      </vt:variant>
      <vt:variant>
        <vt:lpwstr/>
      </vt:variant>
      <vt:variant>
        <vt:lpwstr>_Toc311804746</vt:lpwstr>
      </vt:variant>
      <vt:variant>
        <vt:i4>1966133</vt:i4>
      </vt:variant>
      <vt:variant>
        <vt:i4>44</vt:i4>
      </vt:variant>
      <vt:variant>
        <vt:i4>0</vt:i4>
      </vt:variant>
      <vt:variant>
        <vt:i4>5</vt:i4>
      </vt:variant>
      <vt:variant>
        <vt:lpwstr/>
      </vt:variant>
      <vt:variant>
        <vt:lpwstr>_Toc311804745</vt:lpwstr>
      </vt:variant>
      <vt:variant>
        <vt:i4>1966133</vt:i4>
      </vt:variant>
      <vt:variant>
        <vt:i4>38</vt:i4>
      </vt:variant>
      <vt:variant>
        <vt:i4>0</vt:i4>
      </vt:variant>
      <vt:variant>
        <vt:i4>5</vt:i4>
      </vt:variant>
      <vt:variant>
        <vt:lpwstr/>
      </vt:variant>
      <vt:variant>
        <vt:lpwstr>_Toc311804744</vt:lpwstr>
      </vt:variant>
      <vt:variant>
        <vt:i4>1966133</vt:i4>
      </vt:variant>
      <vt:variant>
        <vt:i4>32</vt:i4>
      </vt:variant>
      <vt:variant>
        <vt:i4>0</vt:i4>
      </vt:variant>
      <vt:variant>
        <vt:i4>5</vt:i4>
      </vt:variant>
      <vt:variant>
        <vt:lpwstr/>
      </vt:variant>
      <vt:variant>
        <vt:lpwstr>_Toc311804743</vt:lpwstr>
      </vt:variant>
      <vt:variant>
        <vt:i4>1966133</vt:i4>
      </vt:variant>
      <vt:variant>
        <vt:i4>26</vt:i4>
      </vt:variant>
      <vt:variant>
        <vt:i4>0</vt:i4>
      </vt:variant>
      <vt:variant>
        <vt:i4>5</vt:i4>
      </vt:variant>
      <vt:variant>
        <vt:lpwstr/>
      </vt:variant>
      <vt:variant>
        <vt:lpwstr>_Toc311804742</vt:lpwstr>
      </vt:variant>
      <vt:variant>
        <vt:i4>1966133</vt:i4>
      </vt:variant>
      <vt:variant>
        <vt:i4>20</vt:i4>
      </vt:variant>
      <vt:variant>
        <vt:i4>0</vt:i4>
      </vt:variant>
      <vt:variant>
        <vt:i4>5</vt:i4>
      </vt:variant>
      <vt:variant>
        <vt:lpwstr/>
      </vt:variant>
      <vt:variant>
        <vt:lpwstr>_Toc311804741</vt:lpwstr>
      </vt:variant>
      <vt:variant>
        <vt:i4>1966133</vt:i4>
      </vt:variant>
      <vt:variant>
        <vt:i4>14</vt:i4>
      </vt:variant>
      <vt:variant>
        <vt:i4>0</vt:i4>
      </vt:variant>
      <vt:variant>
        <vt:i4>5</vt:i4>
      </vt:variant>
      <vt:variant>
        <vt:lpwstr/>
      </vt:variant>
      <vt:variant>
        <vt:lpwstr>_Toc311804740</vt:lpwstr>
      </vt:variant>
      <vt:variant>
        <vt:i4>1638453</vt:i4>
      </vt:variant>
      <vt:variant>
        <vt:i4>8</vt:i4>
      </vt:variant>
      <vt:variant>
        <vt:i4>0</vt:i4>
      </vt:variant>
      <vt:variant>
        <vt:i4>5</vt:i4>
      </vt:variant>
      <vt:variant>
        <vt:lpwstr/>
      </vt:variant>
      <vt:variant>
        <vt:lpwstr>_Toc311804739</vt:lpwstr>
      </vt:variant>
      <vt:variant>
        <vt:i4>1638453</vt:i4>
      </vt:variant>
      <vt:variant>
        <vt:i4>2</vt:i4>
      </vt:variant>
      <vt:variant>
        <vt:i4>0</vt:i4>
      </vt:variant>
      <vt:variant>
        <vt:i4>5</vt:i4>
      </vt:variant>
      <vt:variant>
        <vt:lpwstr/>
      </vt:variant>
      <vt:variant>
        <vt:lpwstr>_Toc311804738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Patricia Moore Shaffer</dc:creator>
  <cp:lastModifiedBy>Teel, Frances C. (HQ-JF000)</cp:lastModifiedBy>
  <cp:revision>3</cp:revision>
  <cp:lastPrinted>2012-10-23T18:23:00Z</cp:lastPrinted>
  <dcterms:created xsi:type="dcterms:W3CDTF">2015-12-11T14:19:00Z</dcterms:created>
  <dcterms:modified xsi:type="dcterms:W3CDTF">2015-12-11T14:25:00Z</dcterms:modified>
</cp:coreProperties>
</file>