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60E" w:rsidRDefault="006A1246">
      <w:pPr>
        <w:pStyle w:val="Heading1"/>
        <w:rPr>
          <w:sz w:val="24"/>
        </w:rPr>
      </w:pPr>
      <w:bookmarkStart w:id="0" w:name="_GoBack"/>
      <w:bookmarkEnd w:id="0"/>
      <w:r>
        <w:rPr>
          <w:sz w:val="24"/>
        </w:rPr>
        <w:t>SUPPORTING STATEMENT for PAPERWORK REDUCTION ACT SUBMISSIONS</w:t>
      </w:r>
    </w:p>
    <w:p w:rsidR="0003660E" w:rsidRDefault="0003660E">
      <w:pPr>
        <w:tabs>
          <w:tab w:val="left" w:pos="1395"/>
          <w:tab w:val="right" w:pos="9138"/>
        </w:tabs>
        <w:autoSpaceDE w:val="0"/>
        <w:autoSpaceDN w:val="0"/>
        <w:adjustRightInd w:val="0"/>
        <w:ind w:left="1395"/>
        <w:rPr>
          <w:szCs w:val="20"/>
        </w:rPr>
      </w:pPr>
    </w:p>
    <w:p w:rsidR="0003660E" w:rsidRDefault="006A1246">
      <w:pPr>
        <w:tabs>
          <w:tab w:val="right" w:pos="2782"/>
        </w:tabs>
        <w:autoSpaceDE w:val="0"/>
        <w:autoSpaceDN w:val="0"/>
        <w:adjustRightInd w:val="0"/>
        <w:rPr>
          <w:b/>
          <w:bCs/>
          <w:szCs w:val="20"/>
          <w:u w:val="single"/>
        </w:rPr>
      </w:pPr>
      <w:r>
        <w:rPr>
          <w:b/>
          <w:bCs/>
          <w:szCs w:val="20"/>
          <w:u w:val="single"/>
        </w:rPr>
        <w:t>PART A - JUSTIFICATION</w:t>
      </w:r>
    </w:p>
    <w:p w:rsidR="0003660E" w:rsidRDefault="0003660E">
      <w:pPr>
        <w:tabs>
          <w:tab w:val="right" w:pos="2782"/>
        </w:tabs>
        <w:autoSpaceDE w:val="0"/>
        <w:autoSpaceDN w:val="0"/>
        <w:adjustRightInd w:val="0"/>
        <w:rPr>
          <w:szCs w:val="20"/>
        </w:rPr>
      </w:pPr>
    </w:p>
    <w:p w:rsidR="00A54446" w:rsidRPr="00A54446" w:rsidRDefault="006A1246" w:rsidP="00A54446">
      <w:pPr>
        <w:tabs>
          <w:tab w:val="left" w:pos="-720"/>
        </w:tabs>
        <w:suppressAutoHyphens/>
        <w:ind w:left="720"/>
        <w:rPr>
          <w:color w:val="000000"/>
        </w:rPr>
      </w:pPr>
      <w:r w:rsidRPr="00A54446">
        <w:rPr>
          <w:szCs w:val="20"/>
        </w:rPr>
        <w:t xml:space="preserve">Information Collection: </w:t>
      </w:r>
      <w:r w:rsidR="002E038F" w:rsidRPr="00A54446">
        <w:rPr>
          <w:szCs w:val="20"/>
        </w:rPr>
        <w:t xml:space="preserve">Section 3 </w:t>
      </w:r>
      <w:r w:rsidR="00A54446" w:rsidRPr="00A54446">
        <w:rPr>
          <w:color w:val="000000"/>
        </w:rPr>
        <w:t xml:space="preserve">Section 3 Summary Report for Economic Opportunities for Low and Very </w:t>
      </w:r>
      <w:r w:rsidR="00A54446">
        <w:rPr>
          <w:color w:val="000000"/>
        </w:rPr>
        <w:t>L</w:t>
      </w:r>
      <w:r w:rsidR="00A54446" w:rsidRPr="00A54446">
        <w:rPr>
          <w:color w:val="000000"/>
        </w:rPr>
        <w:t>ow Income Persons (Form HUD 60002) and Section 3 Complaint Register (Form HUD 958)</w:t>
      </w:r>
    </w:p>
    <w:p w:rsidR="0003660E" w:rsidRDefault="0003660E" w:rsidP="00827BDE">
      <w:pPr>
        <w:autoSpaceDE w:val="0"/>
        <w:autoSpaceDN w:val="0"/>
        <w:adjustRightInd w:val="0"/>
        <w:ind w:firstLine="720"/>
        <w:rPr>
          <w:szCs w:val="20"/>
        </w:rPr>
      </w:pPr>
    </w:p>
    <w:p w:rsidR="0003660E" w:rsidRDefault="0003660E">
      <w:pPr>
        <w:autoSpaceDE w:val="0"/>
        <w:autoSpaceDN w:val="0"/>
        <w:adjustRightInd w:val="0"/>
        <w:rPr>
          <w:szCs w:val="20"/>
        </w:rPr>
      </w:pPr>
    </w:p>
    <w:p w:rsidR="0003660E" w:rsidRDefault="006A1246">
      <w:pPr>
        <w:tabs>
          <w:tab w:val="left" w:pos="739"/>
          <w:tab w:val="right" w:pos="6337"/>
        </w:tabs>
        <w:autoSpaceDE w:val="0"/>
        <w:autoSpaceDN w:val="0"/>
        <w:adjustRightInd w:val="0"/>
        <w:rPr>
          <w:b/>
          <w:bCs/>
          <w:szCs w:val="20"/>
          <w:u w:val="single"/>
        </w:rPr>
      </w:pPr>
      <w:r>
        <w:rPr>
          <w:b/>
          <w:bCs/>
          <w:szCs w:val="20"/>
        </w:rPr>
        <w:t>A1</w:t>
      </w:r>
      <w:r>
        <w:rPr>
          <w:szCs w:val="20"/>
        </w:rPr>
        <w:t>.</w:t>
      </w:r>
      <w:r>
        <w:rPr>
          <w:szCs w:val="20"/>
        </w:rPr>
        <w:tab/>
      </w:r>
      <w:r>
        <w:rPr>
          <w:b/>
          <w:bCs/>
          <w:szCs w:val="20"/>
          <w:u w:val="single"/>
        </w:rPr>
        <w:t>Circumstances Making Information Collection Necessary</w:t>
      </w:r>
    </w:p>
    <w:p w:rsidR="003C2470" w:rsidRDefault="003C2470">
      <w:pPr>
        <w:tabs>
          <w:tab w:val="left" w:pos="739"/>
          <w:tab w:val="right" w:pos="6337"/>
        </w:tabs>
        <w:autoSpaceDE w:val="0"/>
        <w:autoSpaceDN w:val="0"/>
        <w:adjustRightInd w:val="0"/>
        <w:rPr>
          <w:b/>
          <w:bCs/>
          <w:szCs w:val="20"/>
          <w:u w:val="single"/>
        </w:rPr>
      </w:pPr>
    </w:p>
    <w:p w:rsidR="00707750" w:rsidRDefault="00121560" w:rsidP="00121560">
      <w:pPr>
        <w:pStyle w:val="BodyTextIndent"/>
        <w:ind w:left="720" w:firstLine="0"/>
        <w:rPr>
          <w:sz w:val="24"/>
        </w:rPr>
      </w:pPr>
      <w:r w:rsidRPr="00C270BA">
        <w:rPr>
          <w:sz w:val="24"/>
        </w:rPr>
        <w:t xml:space="preserve">This </w:t>
      </w:r>
      <w:r w:rsidR="00C17FC6">
        <w:rPr>
          <w:sz w:val="24"/>
        </w:rPr>
        <w:t xml:space="preserve">request </w:t>
      </w:r>
      <w:r w:rsidR="00707750">
        <w:rPr>
          <w:sz w:val="24"/>
        </w:rPr>
        <w:t xml:space="preserve">is for </w:t>
      </w:r>
      <w:r w:rsidR="00A54446">
        <w:rPr>
          <w:sz w:val="24"/>
        </w:rPr>
        <w:t xml:space="preserve">both </w:t>
      </w:r>
      <w:r w:rsidR="00707750">
        <w:rPr>
          <w:sz w:val="24"/>
        </w:rPr>
        <w:t xml:space="preserve">a </w:t>
      </w:r>
      <w:r w:rsidR="00747CC4">
        <w:rPr>
          <w:sz w:val="24"/>
        </w:rPr>
        <w:t>revision</w:t>
      </w:r>
      <w:r w:rsidR="00707750">
        <w:rPr>
          <w:sz w:val="24"/>
        </w:rPr>
        <w:t>, of a previously approved collection for which approval has expired</w:t>
      </w:r>
      <w:r w:rsidR="00A54446">
        <w:rPr>
          <w:sz w:val="24"/>
        </w:rPr>
        <w:t xml:space="preserve"> (Form HUD 60002) </w:t>
      </w:r>
      <w:r w:rsidR="00A54446" w:rsidRPr="00747CC4">
        <w:rPr>
          <w:sz w:val="24"/>
          <w:u w:val="single"/>
        </w:rPr>
        <w:t>and</w:t>
      </w:r>
      <w:r w:rsidR="00A54446">
        <w:rPr>
          <w:sz w:val="24"/>
        </w:rPr>
        <w:t xml:space="preserve"> </w:t>
      </w:r>
      <w:r w:rsidR="00747CC4">
        <w:rPr>
          <w:sz w:val="24"/>
        </w:rPr>
        <w:t>an extension</w:t>
      </w:r>
      <w:r w:rsidR="00A54446">
        <w:rPr>
          <w:sz w:val="24"/>
        </w:rPr>
        <w:t xml:space="preserve"> change, of a </w:t>
      </w:r>
      <w:r w:rsidR="00747CC4">
        <w:rPr>
          <w:sz w:val="24"/>
        </w:rPr>
        <w:t>current</w:t>
      </w:r>
      <w:r w:rsidR="00A54446">
        <w:rPr>
          <w:sz w:val="24"/>
        </w:rPr>
        <w:t>ly approved collection (Form HUD 958)</w:t>
      </w:r>
      <w:r w:rsidR="00707750">
        <w:rPr>
          <w:sz w:val="24"/>
        </w:rPr>
        <w:t xml:space="preserve">.  </w:t>
      </w:r>
    </w:p>
    <w:p w:rsidR="00707750" w:rsidRDefault="00707750" w:rsidP="00121560">
      <w:pPr>
        <w:pStyle w:val="BodyTextIndent"/>
        <w:ind w:left="720" w:firstLine="0"/>
        <w:rPr>
          <w:sz w:val="24"/>
        </w:rPr>
      </w:pPr>
    </w:p>
    <w:p w:rsidR="0003660E" w:rsidRDefault="006A1246">
      <w:pPr>
        <w:tabs>
          <w:tab w:val="left" w:pos="739"/>
          <w:tab w:val="right" w:pos="6337"/>
        </w:tabs>
        <w:autoSpaceDE w:val="0"/>
        <w:autoSpaceDN w:val="0"/>
        <w:adjustRightInd w:val="0"/>
        <w:rPr>
          <w:b/>
          <w:bCs/>
          <w:szCs w:val="20"/>
          <w:u w:val="single"/>
        </w:rPr>
      </w:pPr>
      <w:r>
        <w:rPr>
          <w:b/>
          <w:bCs/>
          <w:szCs w:val="20"/>
        </w:rPr>
        <w:t>A2.</w:t>
      </w:r>
      <w:r>
        <w:rPr>
          <w:b/>
          <w:bCs/>
          <w:szCs w:val="20"/>
        </w:rPr>
        <w:tab/>
      </w:r>
      <w:r>
        <w:rPr>
          <w:b/>
          <w:bCs/>
          <w:szCs w:val="20"/>
          <w:u w:val="single"/>
        </w:rPr>
        <w:t>How and By Whom the Data will be Used</w:t>
      </w:r>
    </w:p>
    <w:p w:rsidR="0003660E" w:rsidRDefault="0003660E">
      <w:pPr>
        <w:tabs>
          <w:tab w:val="left" w:pos="739"/>
          <w:tab w:val="right" w:pos="6337"/>
        </w:tabs>
        <w:autoSpaceDE w:val="0"/>
        <w:autoSpaceDN w:val="0"/>
        <w:adjustRightInd w:val="0"/>
        <w:rPr>
          <w:szCs w:val="20"/>
        </w:rPr>
      </w:pPr>
    </w:p>
    <w:p w:rsidR="00A54446" w:rsidRDefault="00A54446" w:rsidP="00A54446">
      <w:pPr>
        <w:tabs>
          <w:tab w:val="left" w:pos="-720"/>
        </w:tabs>
        <w:suppressAutoHyphens/>
        <w:ind w:left="720"/>
        <w:contextualSpacing/>
      </w:pPr>
      <w:r>
        <w:t>The Section 3 Summary Report (Form HUD 60002) is used by recipients of HUD financial assistance (i.e., public housing agencies, municipalities, and property owners) to report the amount of jobs and contracting opportunities that have been generated from their usage of covered HUD financial assistance, as required at 24 CFR § 135.90.  Data collected on this form is used to assess the overall effectiveness of Section 3 and to make determinations of compliance with regulatory requirements.</w:t>
      </w:r>
    </w:p>
    <w:p w:rsidR="00A54446" w:rsidRDefault="00A54446" w:rsidP="00A54446">
      <w:pPr>
        <w:tabs>
          <w:tab w:val="left" w:pos="-720"/>
        </w:tabs>
        <w:suppressAutoHyphens/>
        <w:ind w:left="720"/>
        <w:contextualSpacing/>
      </w:pPr>
    </w:p>
    <w:p w:rsidR="00A54446" w:rsidRPr="00292B3F" w:rsidRDefault="00A54446" w:rsidP="00A54446">
      <w:pPr>
        <w:tabs>
          <w:tab w:val="left" w:pos="-720"/>
        </w:tabs>
        <w:suppressAutoHyphens/>
        <w:ind w:left="720"/>
        <w:contextualSpacing/>
      </w:pPr>
      <w:r>
        <w:t>The Section 3 Complaint Register (Form HUD 958) is used by individuals and business owners that meet the definition of a Section 3 resident or businesses concern set forth at 24 CFR § 135.5, or their representatives, to file complaints alleging noncompliance with the regulatory requirements of Section 3 against recipients of covered HUD financial assistance or their contractors.  Information collected on this form is used to inform the Department about recipients that potentially are not complying with 24 CFR § 135, and to initiate subsequent complaint investigations and compliance reviews.</w:t>
      </w:r>
    </w:p>
    <w:p w:rsidR="009617E1" w:rsidRDefault="009617E1">
      <w:pPr>
        <w:autoSpaceDE w:val="0"/>
        <w:autoSpaceDN w:val="0"/>
        <w:adjustRightInd w:val="0"/>
        <w:ind w:firstLine="738"/>
        <w:rPr>
          <w:szCs w:val="20"/>
        </w:rPr>
      </w:pPr>
    </w:p>
    <w:p w:rsidR="0003660E" w:rsidRDefault="006A1246">
      <w:pPr>
        <w:keepLines/>
        <w:tabs>
          <w:tab w:val="left" w:pos="360"/>
        </w:tabs>
        <w:spacing w:after="80"/>
        <w:ind w:left="720" w:hanging="720"/>
        <w:rPr>
          <w:b/>
          <w:bCs/>
          <w:u w:val="single"/>
        </w:rPr>
      </w:pPr>
      <w:r>
        <w:rPr>
          <w:b/>
          <w:bCs/>
          <w:szCs w:val="20"/>
        </w:rPr>
        <w:t>A3.</w:t>
      </w:r>
      <w:r>
        <w:rPr>
          <w:b/>
          <w:bCs/>
          <w:szCs w:val="20"/>
        </w:rPr>
        <w:tab/>
      </w:r>
      <w:r>
        <w:rPr>
          <w:b/>
          <w:bCs/>
          <w:szCs w:val="20"/>
        </w:rPr>
        <w:tab/>
      </w:r>
      <w:r>
        <w:rPr>
          <w:b/>
          <w:bCs/>
          <w:szCs w:val="20"/>
          <w:u w:val="single"/>
        </w:rPr>
        <w:t xml:space="preserve">The Extent of </w:t>
      </w:r>
      <w:r>
        <w:rPr>
          <w:b/>
          <w:bCs/>
          <w:u w:val="single"/>
        </w:rPr>
        <w:t>the Collection of Information Involving the Use of Automated, Electronic, or Other Forms of Information Technological</w:t>
      </w:r>
    </w:p>
    <w:p w:rsidR="003C2470" w:rsidRDefault="003C2470">
      <w:pPr>
        <w:keepLines/>
        <w:tabs>
          <w:tab w:val="left" w:pos="360"/>
        </w:tabs>
        <w:spacing w:after="80"/>
        <w:ind w:left="720" w:hanging="720"/>
        <w:rPr>
          <w:b/>
          <w:bCs/>
          <w:u w:val="single"/>
        </w:rPr>
      </w:pPr>
    </w:p>
    <w:p w:rsidR="0003660E" w:rsidRDefault="00A54446" w:rsidP="00121560">
      <w:pPr>
        <w:pStyle w:val="BodyTextIndent"/>
        <w:ind w:left="720" w:firstLine="1"/>
        <w:rPr>
          <w:sz w:val="24"/>
        </w:rPr>
      </w:pPr>
      <w:r>
        <w:rPr>
          <w:sz w:val="24"/>
        </w:rPr>
        <w:t>Form HUD 60002 is submitted electronically by recipients of HUD financial assistance.  Form HUD 958 will be made available to users as a fillable Form but must be printed, signed, and dated prior to submission to HUD.</w:t>
      </w:r>
    </w:p>
    <w:p w:rsidR="0003660E" w:rsidRDefault="0003660E">
      <w:pPr>
        <w:keepNext/>
        <w:keepLines/>
        <w:autoSpaceDE w:val="0"/>
        <w:autoSpaceDN w:val="0"/>
        <w:adjustRightInd w:val="0"/>
        <w:rPr>
          <w:b/>
          <w:bCs/>
          <w:szCs w:val="20"/>
        </w:rPr>
      </w:pPr>
    </w:p>
    <w:p w:rsidR="0003660E" w:rsidRDefault="006A1246">
      <w:pPr>
        <w:keepNext/>
        <w:keepLines/>
        <w:autoSpaceDE w:val="0"/>
        <w:autoSpaceDN w:val="0"/>
        <w:adjustRightInd w:val="0"/>
        <w:rPr>
          <w:b/>
          <w:bCs/>
          <w:szCs w:val="20"/>
          <w:u w:val="single"/>
        </w:rPr>
      </w:pPr>
      <w:r>
        <w:rPr>
          <w:b/>
          <w:bCs/>
          <w:szCs w:val="20"/>
        </w:rPr>
        <w:t>A4.</w:t>
      </w:r>
      <w:r>
        <w:rPr>
          <w:b/>
          <w:bCs/>
          <w:szCs w:val="20"/>
        </w:rPr>
        <w:tab/>
      </w:r>
      <w:r>
        <w:rPr>
          <w:b/>
          <w:bCs/>
          <w:szCs w:val="20"/>
          <w:u w:val="single"/>
        </w:rPr>
        <w:t>Efforts to Identify Duplication</w:t>
      </w:r>
    </w:p>
    <w:p w:rsidR="003C2470" w:rsidRDefault="003C2470">
      <w:pPr>
        <w:keepNext/>
        <w:keepLines/>
        <w:autoSpaceDE w:val="0"/>
        <w:autoSpaceDN w:val="0"/>
        <w:adjustRightInd w:val="0"/>
        <w:rPr>
          <w:b/>
          <w:bCs/>
          <w:szCs w:val="20"/>
          <w:u w:val="single"/>
        </w:rPr>
      </w:pPr>
    </w:p>
    <w:p w:rsidR="0003660E" w:rsidRDefault="006A1246" w:rsidP="00121560">
      <w:pPr>
        <w:pStyle w:val="BodyTextIndent2"/>
        <w:ind w:left="720" w:firstLine="18"/>
        <w:rPr>
          <w:sz w:val="24"/>
        </w:rPr>
      </w:pPr>
      <w:r>
        <w:rPr>
          <w:sz w:val="24"/>
        </w:rPr>
        <w:t xml:space="preserve">There is no duplication of information. </w:t>
      </w:r>
    </w:p>
    <w:p w:rsidR="0003660E" w:rsidRDefault="0003660E">
      <w:pPr>
        <w:autoSpaceDE w:val="0"/>
        <w:autoSpaceDN w:val="0"/>
        <w:adjustRightInd w:val="0"/>
        <w:ind w:firstLine="738"/>
        <w:rPr>
          <w:szCs w:val="20"/>
        </w:rPr>
      </w:pPr>
    </w:p>
    <w:p w:rsidR="0003660E" w:rsidRDefault="006A1246">
      <w:pPr>
        <w:tabs>
          <w:tab w:val="left" w:pos="752"/>
          <w:tab w:val="right" w:pos="5539"/>
        </w:tabs>
        <w:autoSpaceDE w:val="0"/>
        <w:autoSpaceDN w:val="0"/>
        <w:adjustRightInd w:val="0"/>
        <w:rPr>
          <w:b/>
          <w:bCs/>
          <w:szCs w:val="20"/>
          <w:u w:val="single"/>
        </w:rPr>
      </w:pPr>
      <w:r>
        <w:rPr>
          <w:b/>
          <w:bCs/>
          <w:szCs w:val="20"/>
        </w:rPr>
        <w:t>A5.</w:t>
      </w:r>
      <w:r>
        <w:rPr>
          <w:b/>
          <w:bCs/>
          <w:szCs w:val="20"/>
        </w:rPr>
        <w:tab/>
      </w:r>
      <w:r>
        <w:rPr>
          <w:b/>
          <w:bCs/>
          <w:szCs w:val="20"/>
          <w:u w:val="single"/>
        </w:rPr>
        <w:t>Efforts to Minimize the Burden on Small Entities</w:t>
      </w:r>
    </w:p>
    <w:p w:rsidR="0003660E" w:rsidRDefault="0003660E">
      <w:pPr>
        <w:tabs>
          <w:tab w:val="left" w:pos="752"/>
          <w:tab w:val="right" w:pos="5539"/>
        </w:tabs>
        <w:autoSpaceDE w:val="0"/>
        <w:autoSpaceDN w:val="0"/>
        <w:adjustRightInd w:val="0"/>
        <w:rPr>
          <w:szCs w:val="20"/>
        </w:rPr>
      </w:pPr>
    </w:p>
    <w:p w:rsidR="0003660E" w:rsidRDefault="00B21DF3" w:rsidP="00121560">
      <w:pPr>
        <w:autoSpaceDE w:val="0"/>
        <w:autoSpaceDN w:val="0"/>
        <w:adjustRightInd w:val="0"/>
        <w:ind w:left="720" w:firstLine="18"/>
        <w:rPr>
          <w:szCs w:val="20"/>
        </w:rPr>
      </w:pPr>
      <w:r>
        <w:rPr>
          <w:szCs w:val="20"/>
        </w:rPr>
        <w:t xml:space="preserve">This collection does not impose a significant burden on Small Entities.  </w:t>
      </w:r>
    </w:p>
    <w:p w:rsidR="0003660E" w:rsidRDefault="0003660E" w:rsidP="00C77A70">
      <w:pPr>
        <w:rPr>
          <w:szCs w:val="20"/>
        </w:rPr>
      </w:pPr>
    </w:p>
    <w:p w:rsidR="0003660E" w:rsidRDefault="006A1246">
      <w:pPr>
        <w:tabs>
          <w:tab w:val="left" w:pos="739"/>
          <w:tab w:val="right" w:pos="5512"/>
        </w:tabs>
        <w:autoSpaceDE w:val="0"/>
        <w:autoSpaceDN w:val="0"/>
        <w:adjustRightInd w:val="0"/>
        <w:rPr>
          <w:b/>
          <w:bCs/>
          <w:szCs w:val="20"/>
          <w:u w:val="single"/>
        </w:rPr>
      </w:pPr>
      <w:r>
        <w:rPr>
          <w:b/>
          <w:bCs/>
          <w:szCs w:val="20"/>
        </w:rPr>
        <w:t>A6.</w:t>
      </w:r>
      <w:r>
        <w:rPr>
          <w:szCs w:val="20"/>
        </w:rPr>
        <w:tab/>
      </w:r>
      <w:r>
        <w:rPr>
          <w:b/>
          <w:bCs/>
          <w:szCs w:val="20"/>
          <w:u w:val="single"/>
        </w:rPr>
        <w:t>Consequences of Less Frequent Data Collection</w:t>
      </w:r>
    </w:p>
    <w:p w:rsidR="003C2470" w:rsidRDefault="003C2470">
      <w:pPr>
        <w:tabs>
          <w:tab w:val="left" w:pos="739"/>
          <w:tab w:val="right" w:pos="5512"/>
        </w:tabs>
        <w:autoSpaceDE w:val="0"/>
        <w:autoSpaceDN w:val="0"/>
        <w:adjustRightInd w:val="0"/>
        <w:rPr>
          <w:b/>
          <w:bCs/>
          <w:szCs w:val="20"/>
          <w:u w:val="single"/>
        </w:rPr>
      </w:pPr>
    </w:p>
    <w:p w:rsidR="00B75275" w:rsidRDefault="00A54446" w:rsidP="00121560">
      <w:pPr>
        <w:autoSpaceDE w:val="0"/>
        <w:autoSpaceDN w:val="0"/>
        <w:adjustRightInd w:val="0"/>
        <w:ind w:left="720" w:firstLine="14"/>
        <w:rPr>
          <w:szCs w:val="20"/>
        </w:rPr>
      </w:pPr>
      <w:r>
        <w:rPr>
          <w:szCs w:val="20"/>
        </w:rPr>
        <w:t>The information collected on both Form HUD 60002 and 958 is required by the regulation entitled Economic Opportunities for Lower Income Persons at 24 CFR § 135.</w:t>
      </w:r>
    </w:p>
    <w:p w:rsidR="00B75275" w:rsidRDefault="00B75275">
      <w:pPr>
        <w:autoSpaceDE w:val="0"/>
        <w:autoSpaceDN w:val="0"/>
        <w:adjustRightInd w:val="0"/>
        <w:ind w:firstLine="734"/>
        <w:rPr>
          <w:szCs w:val="20"/>
        </w:rPr>
      </w:pPr>
    </w:p>
    <w:p w:rsidR="0003660E" w:rsidRDefault="006A1246">
      <w:pPr>
        <w:tabs>
          <w:tab w:val="left" w:pos="741"/>
          <w:tab w:val="right" w:pos="7515"/>
        </w:tabs>
        <w:autoSpaceDE w:val="0"/>
        <w:autoSpaceDN w:val="0"/>
        <w:adjustRightInd w:val="0"/>
        <w:rPr>
          <w:b/>
          <w:bCs/>
          <w:szCs w:val="20"/>
          <w:u w:val="single"/>
        </w:rPr>
      </w:pPr>
      <w:r>
        <w:rPr>
          <w:b/>
          <w:bCs/>
          <w:szCs w:val="20"/>
        </w:rPr>
        <w:t>A7.</w:t>
      </w:r>
      <w:r>
        <w:rPr>
          <w:szCs w:val="20"/>
        </w:rPr>
        <w:tab/>
      </w:r>
      <w:r>
        <w:rPr>
          <w:b/>
          <w:bCs/>
          <w:szCs w:val="20"/>
          <w:u w:val="single"/>
        </w:rPr>
        <w:t>Circumstances Requiring Deviation from Guidelines of 5 CFR 1320.6</w:t>
      </w:r>
    </w:p>
    <w:p w:rsidR="00F57EAA" w:rsidRDefault="00F57EAA">
      <w:pPr>
        <w:tabs>
          <w:tab w:val="left" w:pos="741"/>
          <w:tab w:val="right" w:pos="7515"/>
        </w:tabs>
        <w:autoSpaceDE w:val="0"/>
        <w:autoSpaceDN w:val="0"/>
        <w:adjustRightInd w:val="0"/>
        <w:rPr>
          <w:b/>
          <w:bCs/>
          <w:szCs w:val="20"/>
          <w:u w:val="single"/>
        </w:rPr>
      </w:pPr>
    </w:p>
    <w:p w:rsidR="0003660E" w:rsidRPr="007B0A33" w:rsidRDefault="00B75275">
      <w:pPr>
        <w:pStyle w:val="BodyTextIndent3"/>
        <w:rPr>
          <w:sz w:val="24"/>
          <w:szCs w:val="24"/>
        </w:rPr>
      </w:pPr>
      <w:r>
        <w:rPr>
          <w:sz w:val="24"/>
          <w:szCs w:val="24"/>
        </w:rPr>
        <w:lastRenderedPageBreak/>
        <w:t>There are no circumstances requiring deviation from 5 CFR 1320.6.</w:t>
      </w:r>
    </w:p>
    <w:p w:rsidR="0003660E" w:rsidRDefault="0003660E">
      <w:pPr>
        <w:autoSpaceDE w:val="0"/>
        <w:autoSpaceDN w:val="0"/>
        <w:adjustRightInd w:val="0"/>
        <w:ind w:firstLine="734"/>
        <w:rPr>
          <w:szCs w:val="20"/>
        </w:rPr>
      </w:pPr>
    </w:p>
    <w:p w:rsidR="0003660E" w:rsidRDefault="006A1246">
      <w:pPr>
        <w:autoSpaceDE w:val="0"/>
        <w:autoSpaceDN w:val="0"/>
        <w:adjustRightInd w:val="0"/>
        <w:rPr>
          <w:b/>
          <w:bCs/>
          <w:szCs w:val="20"/>
          <w:u w:val="single"/>
        </w:rPr>
      </w:pPr>
      <w:r>
        <w:rPr>
          <w:b/>
          <w:bCs/>
          <w:szCs w:val="20"/>
        </w:rPr>
        <w:t>A8.</w:t>
      </w:r>
      <w:r>
        <w:rPr>
          <w:b/>
          <w:bCs/>
          <w:szCs w:val="20"/>
        </w:rPr>
        <w:tab/>
      </w:r>
      <w:r>
        <w:rPr>
          <w:b/>
          <w:bCs/>
          <w:szCs w:val="20"/>
          <w:u w:val="single"/>
        </w:rPr>
        <w:t>Federal Register Publication</w:t>
      </w:r>
    </w:p>
    <w:p w:rsidR="00F57EAA" w:rsidRDefault="00F57EAA">
      <w:pPr>
        <w:autoSpaceDE w:val="0"/>
        <w:autoSpaceDN w:val="0"/>
        <w:adjustRightInd w:val="0"/>
        <w:rPr>
          <w:b/>
          <w:bCs/>
          <w:szCs w:val="20"/>
          <w:u w:val="single"/>
        </w:rPr>
      </w:pPr>
    </w:p>
    <w:p w:rsidR="0003660E" w:rsidRDefault="006A1246" w:rsidP="00121560">
      <w:pPr>
        <w:autoSpaceDE w:val="0"/>
        <w:autoSpaceDN w:val="0"/>
        <w:adjustRightInd w:val="0"/>
        <w:ind w:left="720" w:firstLine="14"/>
        <w:rPr>
          <w:szCs w:val="20"/>
        </w:rPr>
      </w:pPr>
      <w:r>
        <w:rPr>
          <w:szCs w:val="20"/>
        </w:rPr>
        <w:t xml:space="preserve">This information is collected in a manner </w:t>
      </w:r>
      <w:r w:rsidR="009847A2">
        <w:rPr>
          <w:szCs w:val="20"/>
        </w:rPr>
        <w:t xml:space="preserve">that is </w:t>
      </w:r>
      <w:r>
        <w:rPr>
          <w:szCs w:val="20"/>
        </w:rPr>
        <w:t xml:space="preserve">consistent with guidelines of 5 CFR 1320.8(d).  The agency </w:t>
      </w:r>
      <w:r w:rsidR="00D07E5C">
        <w:rPr>
          <w:szCs w:val="20"/>
        </w:rPr>
        <w:t>N</w:t>
      </w:r>
      <w:r>
        <w:rPr>
          <w:szCs w:val="20"/>
        </w:rPr>
        <w:t xml:space="preserve">otice announcing this collection of information appeared in the </w:t>
      </w:r>
      <w:r w:rsidRPr="00146BA6">
        <w:rPr>
          <w:i/>
          <w:iCs/>
          <w:szCs w:val="20"/>
        </w:rPr>
        <w:t>Federal Register</w:t>
      </w:r>
      <w:r w:rsidRPr="00146BA6">
        <w:rPr>
          <w:szCs w:val="20"/>
        </w:rPr>
        <w:t xml:space="preserve"> </w:t>
      </w:r>
      <w:r w:rsidRPr="007303A3">
        <w:rPr>
          <w:szCs w:val="20"/>
        </w:rPr>
        <w:t xml:space="preserve">on </w:t>
      </w:r>
      <w:r w:rsidR="00D5027A">
        <w:rPr>
          <w:szCs w:val="20"/>
        </w:rPr>
        <w:t>June 17, 2015 (Vol. 80</w:t>
      </w:r>
      <w:r w:rsidR="00C77A70">
        <w:rPr>
          <w:szCs w:val="20"/>
        </w:rPr>
        <w:t>.</w:t>
      </w:r>
      <w:r w:rsidR="00D5027A">
        <w:rPr>
          <w:szCs w:val="20"/>
        </w:rPr>
        <w:t xml:space="preserve"> </w:t>
      </w:r>
      <w:r w:rsidR="00C77A70">
        <w:rPr>
          <w:szCs w:val="20"/>
        </w:rPr>
        <w:t xml:space="preserve"> No.</w:t>
      </w:r>
      <w:r w:rsidR="00D5027A">
        <w:rPr>
          <w:szCs w:val="20"/>
        </w:rPr>
        <w:t>116</w:t>
      </w:r>
      <w:r w:rsidR="003F5E91" w:rsidRPr="007303A3">
        <w:rPr>
          <w:szCs w:val="20"/>
        </w:rPr>
        <w:t>)</w:t>
      </w:r>
      <w:r w:rsidR="00C77A70">
        <w:rPr>
          <w:szCs w:val="20"/>
        </w:rPr>
        <w:t xml:space="preserve">. </w:t>
      </w:r>
      <w:r w:rsidR="007303A3">
        <w:rPr>
          <w:szCs w:val="20"/>
        </w:rPr>
        <w:t>Requests for additional information were received, but no substantive comments were submitted</w:t>
      </w:r>
      <w:r w:rsidRPr="007303A3">
        <w:rPr>
          <w:szCs w:val="20"/>
        </w:rPr>
        <w:t>.</w:t>
      </w:r>
      <w:r>
        <w:rPr>
          <w:szCs w:val="20"/>
        </w:rPr>
        <w:t xml:space="preserve">  </w:t>
      </w:r>
    </w:p>
    <w:p w:rsidR="0003660E" w:rsidRDefault="0003660E">
      <w:pPr>
        <w:autoSpaceDE w:val="0"/>
        <w:autoSpaceDN w:val="0"/>
        <w:adjustRightInd w:val="0"/>
        <w:ind w:firstLine="734"/>
        <w:rPr>
          <w:szCs w:val="20"/>
        </w:rPr>
      </w:pPr>
    </w:p>
    <w:p w:rsidR="0003660E" w:rsidRDefault="00A60663">
      <w:pPr>
        <w:tabs>
          <w:tab w:val="left" w:pos="749"/>
          <w:tab w:val="right" w:pos="3798"/>
        </w:tabs>
        <w:autoSpaceDE w:val="0"/>
        <w:autoSpaceDN w:val="0"/>
        <w:adjustRightInd w:val="0"/>
        <w:rPr>
          <w:b/>
          <w:bCs/>
          <w:szCs w:val="20"/>
          <w:u w:val="single"/>
        </w:rPr>
      </w:pPr>
      <w:r>
        <w:rPr>
          <w:b/>
          <w:bCs/>
          <w:szCs w:val="20"/>
        </w:rPr>
        <w:t>A</w:t>
      </w:r>
      <w:r w:rsidR="006A1246">
        <w:rPr>
          <w:b/>
          <w:bCs/>
          <w:szCs w:val="20"/>
        </w:rPr>
        <w:t>9.</w:t>
      </w:r>
      <w:r w:rsidR="006A1246">
        <w:rPr>
          <w:b/>
          <w:bCs/>
          <w:szCs w:val="20"/>
        </w:rPr>
        <w:tab/>
      </w:r>
      <w:r w:rsidR="006A1246">
        <w:rPr>
          <w:b/>
          <w:bCs/>
          <w:szCs w:val="20"/>
          <w:u w:val="single"/>
        </w:rPr>
        <w:t>Incentive Payments and Gifts</w:t>
      </w:r>
    </w:p>
    <w:p w:rsidR="00F57EAA" w:rsidRDefault="00F57EAA">
      <w:pPr>
        <w:tabs>
          <w:tab w:val="left" w:pos="749"/>
          <w:tab w:val="right" w:pos="3798"/>
        </w:tabs>
        <w:autoSpaceDE w:val="0"/>
        <w:autoSpaceDN w:val="0"/>
        <w:adjustRightInd w:val="0"/>
        <w:rPr>
          <w:b/>
          <w:bCs/>
          <w:szCs w:val="20"/>
          <w:u w:val="single"/>
        </w:rPr>
      </w:pPr>
    </w:p>
    <w:p w:rsidR="0003660E" w:rsidRDefault="006A1246">
      <w:pPr>
        <w:autoSpaceDE w:val="0"/>
        <w:autoSpaceDN w:val="0"/>
        <w:adjustRightInd w:val="0"/>
        <w:ind w:firstLine="734"/>
        <w:rPr>
          <w:szCs w:val="20"/>
        </w:rPr>
      </w:pPr>
      <w:r>
        <w:rPr>
          <w:szCs w:val="20"/>
        </w:rPr>
        <w:t>This information collection does not involve any payment</w:t>
      </w:r>
      <w:r w:rsidR="00DA5171">
        <w:rPr>
          <w:szCs w:val="20"/>
        </w:rPr>
        <w:t>s</w:t>
      </w:r>
      <w:r>
        <w:rPr>
          <w:szCs w:val="20"/>
        </w:rPr>
        <w:t xml:space="preserve"> or gift</w:t>
      </w:r>
      <w:r w:rsidR="00DA5171">
        <w:rPr>
          <w:szCs w:val="20"/>
        </w:rPr>
        <w:t>s</w:t>
      </w:r>
      <w:r>
        <w:rPr>
          <w:szCs w:val="20"/>
        </w:rPr>
        <w:t xml:space="preserve"> to respondents. </w:t>
      </w:r>
    </w:p>
    <w:p w:rsidR="0003660E" w:rsidRDefault="0003660E">
      <w:pPr>
        <w:autoSpaceDE w:val="0"/>
        <w:autoSpaceDN w:val="0"/>
        <w:adjustRightInd w:val="0"/>
        <w:ind w:firstLine="734"/>
        <w:rPr>
          <w:szCs w:val="20"/>
        </w:rPr>
      </w:pPr>
    </w:p>
    <w:p w:rsidR="0003660E" w:rsidRDefault="006A1246">
      <w:pPr>
        <w:tabs>
          <w:tab w:val="right" w:pos="6343"/>
        </w:tabs>
        <w:autoSpaceDE w:val="0"/>
        <w:autoSpaceDN w:val="0"/>
        <w:adjustRightInd w:val="0"/>
        <w:rPr>
          <w:b/>
          <w:bCs/>
          <w:szCs w:val="20"/>
          <w:u w:val="single"/>
        </w:rPr>
      </w:pPr>
      <w:r>
        <w:rPr>
          <w:b/>
          <w:bCs/>
          <w:szCs w:val="20"/>
        </w:rPr>
        <w:t xml:space="preserve">A10.     </w:t>
      </w:r>
      <w:r>
        <w:rPr>
          <w:b/>
          <w:bCs/>
          <w:szCs w:val="20"/>
          <w:u w:val="single"/>
        </w:rPr>
        <w:t>Arrangements and Assurances Regarding Confidentiality</w:t>
      </w:r>
    </w:p>
    <w:p w:rsidR="00635691" w:rsidRDefault="00635691">
      <w:pPr>
        <w:tabs>
          <w:tab w:val="right" w:pos="6343"/>
        </w:tabs>
        <w:autoSpaceDE w:val="0"/>
        <w:autoSpaceDN w:val="0"/>
        <w:adjustRightInd w:val="0"/>
        <w:rPr>
          <w:b/>
          <w:bCs/>
          <w:szCs w:val="20"/>
          <w:u w:val="single"/>
        </w:rPr>
      </w:pPr>
    </w:p>
    <w:p w:rsidR="00635691" w:rsidRPr="00635691" w:rsidRDefault="00D5027A" w:rsidP="00121560">
      <w:pPr>
        <w:tabs>
          <w:tab w:val="right" w:pos="6343"/>
        </w:tabs>
        <w:autoSpaceDE w:val="0"/>
        <w:autoSpaceDN w:val="0"/>
        <w:adjustRightInd w:val="0"/>
        <w:ind w:left="720"/>
        <w:rPr>
          <w:bCs/>
          <w:szCs w:val="20"/>
        </w:rPr>
      </w:pPr>
      <w:r>
        <w:rPr>
          <w:bCs/>
          <w:szCs w:val="20"/>
        </w:rPr>
        <w:t>Neither Form HUD 60002 nor Form HUD 958 request</w:t>
      </w:r>
      <w:r w:rsidR="00483485">
        <w:rPr>
          <w:bCs/>
          <w:szCs w:val="20"/>
        </w:rPr>
        <w:t>s</w:t>
      </w:r>
      <w:r>
        <w:rPr>
          <w:bCs/>
          <w:szCs w:val="20"/>
        </w:rPr>
        <w:t xml:space="preserve"> </w:t>
      </w:r>
      <w:r w:rsidR="00827BDE">
        <w:rPr>
          <w:bCs/>
          <w:szCs w:val="20"/>
        </w:rPr>
        <w:t>any confidential information.</w:t>
      </w:r>
    </w:p>
    <w:p w:rsidR="0003660E" w:rsidRDefault="0003660E">
      <w:pPr>
        <w:autoSpaceDE w:val="0"/>
        <w:autoSpaceDN w:val="0"/>
        <w:adjustRightInd w:val="0"/>
        <w:ind w:firstLine="724"/>
        <w:rPr>
          <w:szCs w:val="20"/>
        </w:rPr>
      </w:pPr>
    </w:p>
    <w:p w:rsidR="0003660E" w:rsidRDefault="006A1246">
      <w:pPr>
        <w:tabs>
          <w:tab w:val="right" w:pos="2885"/>
        </w:tabs>
        <w:autoSpaceDE w:val="0"/>
        <w:autoSpaceDN w:val="0"/>
        <w:adjustRightInd w:val="0"/>
        <w:rPr>
          <w:b/>
          <w:bCs/>
          <w:szCs w:val="20"/>
          <w:u w:val="single"/>
        </w:rPr>
      </w:pPr>
      <w:r>
        <w:rPr>
          <w:b/>
          <w:bCs/>
          <w:szCs w:val="20"/>
        </w:rPr>
        <w:t>Al1.</w:t>
      </w:r>
      <w:r>
        <w:rPr>
          <w:b/>
          <w:bCs/>
          <w:szCs w:val="20"/>
        </w:rPr>
        <w:tab/>
      </w:r>
      <w:r>
        <w:rPr>
          <w:b/>
          <w:bCs/>
          <w:szCs w:val="20"/>
          <w:u w:val="single"/>
        </w:rPr>
        <w:t>Sensitive Questions</w:t>
      </w:r>
    </w:p>
    <w:p w:rsidR="00F57EAA" w:rsidRDefault="00F57EAA">
      <w:pPr>
        <w:tabs>
          <w:tab w:val="right" w:pos="2885"/>
        </w:tabs>
        <w:autoSpaceDE w:val="0"/>
        <w:autoSpaceDN w:val="0"/>
        <w:adjustRightInd w:val="0"/>
        <w:rPr>
          <w:b/>
          <w:bCs/>
          <w:szCs w:val="20"/>
          <w:u w:val="single"/>
        </w:rPr>
      </w:pPr>
    </w:p>
    <w:p w:rsidR="00955BFC" w:rsidRPr="00C270BA" w:rsidRDefault="00483485" w:rsidP="00483485">
      <w:pPr>
        <w:autoSpaceDE w:val="0"/>
        <w:autoSpaceDN w:val="0"/>
        <w:adjustRightInd w:val="0"/>
        <w:ind w:left="720"/>
      </w:pPr>
      <w:r>
        <w:rPr>
          <w:szCs w:val="20"/>
        </w:rPr>
        <w:t>Neither</w:t>
      </w:r>
      <w:r w:rsidR="006A1246">
        <w:rPr>
          <w:szCs w:val="20"/>
        </w:rPr>
        <w:t xml:space="preserve"> information collection </w:t>
      </w:r>
      <w:r w:rsidR="008126ED">
        <w:rPr>
          <w:szCs w:val="20"/>
        </w:rPr>
        <w:t>request</w:t>
      </w:r>
      <w:r>
        <w:rPr>
          <w:szCs w:val="20"/>
        </w:rPr>
        <w:t>s</w:t>
      </w:r>
      <w:r w:rsidR="006A1246">
        <w:rPr>
          <w:szCs w:val="20"/>
        </w:rPr>
        <w:t xml:space="preserve"> information of a sensitive nature.</w:t>
      </w:r>
      <w:r w:rsidR="00B75275">
        <w:rPr>
          <w:szCs w:val="20"/>
        </w:rPr>
        <w:t xml:space="preserve">  </w:t>
      </w:r>
    </w:p>
    <w:p w:rsidR="00B9634F" w:rsidRDefault="00B9634F" w:rsidP="00B9634F">
      <w:pPr>
        <w:rPr>
          <w:szCs w:val="20"/>
        </w:rPr>
      </w:pPr>
    </w:p>
    <w:p w:rsidR="0003660E" w:rsidRPr="00F63195" w:rsidRDefault="006A1246" w:rsidP="00B9634F">
      <w:pPr>
        <w:rPr>
          <w:b/>
          <w:bCs/>
          <w:szCs w:val="20"/>
          <w:u w:val="single"/>
        </w:rPr>
      </w:pPr>
      <w:r w:rsidRPr="00F63195">
        <w:rPr>
          <w:b/>
          <w:bCs/>
          <w:szCs w:val="20"/>
        </w:rPr>
        <w:t>Al2.</w:t>
      </w:r>
      <w:r w:rsidRPr="00F63195">
        <w:rPr>
          <w:b/>
          <w:bCs/>
          <w:szCs w:val="20"/>
        </w:rPr>
        <w:tab/>
        <w:t xml:space="preserve">        </w:t>
      </w:r>
      <w:r w:rsidR="00CA6A3E" w:rsidRPr="00F63195">
        <w:rPr>
          <w:b/>
          <w:bCs/>
          <w:szCs w:val="20"/>
          <w:u w:val="single"/>
        </w:rPr>
        <w:t>Estimate of Record</w:t>
      </w:r>
      <w:r w:rsidRPr="00F63195">
        <w:rPr>
          <w:b/>
          <w:bCs/>
          <w:szCs w:val="20"/>
          <w:u w:val="single"/>
        </w:rPr>
        <w:t>keeping and Reporting Hour Burden on Respondents</w:t>
      </w:r>
    </w:p>
    <w:p w:rsidR="00F57EAA" w:rsidRPr="00F63195" w:rsidRDefault="00F57EAA">
      <w:pPr>
        <w:tabs>
          <w:tab w:val="right" w:pos="7739"/>
        </w:tabs>
        <w:autoSpaceDE w:val="0"/>
        <w:autoSpaceDN w:val="0"/>
        <w:adjustRightInd w:val="0"/>
        <w:rPr>
          <w:b/>
          <w:bCs/>
          <w:szCs w:val="20"/>
          <w:u w:val="single"/>
        </w:rPr>
      </w:pPr>
    </w:p>
    <w:p w:rsidR="00C071BF" w:rsidRPr="00F63195" w:rsidRDefault="006A1246" w:rsidP="00C071BF">
      <w:pPr>
        <w:keepNext/>
        <w:keepLines/>
        <w:tabs>
          <w:tab w:val="center" w:pos="2520"/>
          <w:tab w:val="center" w:pos="2700"/>
          <w:tab w:val="center" w:pos="4140"/>
          <w:tab w:val="center" w:pos="5760"/>
          <w:tab w:val="center" w:pos="7380"/>
          <w:tab w:val="center" w:pos="8640"/>
          <w:tab w:val="right" w:pos="9718"/>
        </w:tabs>
        <w:autoSpaceDE w:val="0"/>
        <w:autoSpaceDN w:val="0"/>
        <w:adjustRightInd w:val="0"/>
        <w:ind w:left="540"/>
        <w:rPr>
          <w:szCs w:val="20"/>
        </w:rPr>
      </w:pPr>
      <w:r w:rsidRPr="00F63195">
        <w:rPr>
          <w:szCs w:val="20"/>
        </w:rPr>
        <w:t xml:space="preserve">                   </w:t>
      </w:r>
      <w:r w:rsidR="00DD10A7" w:rsidRPr="00F63195">
        <w:rPr>
          <w:szCs w:val="20"/>
        </w:rPr>
        <w:tab/>
      </w:r>
    </w:p>
    <w:tbl>
      <w:tblPr>
        <w:tblStyle w:val="TableGrid"/>
        <w:tblW w:w="10710" w:type="dxa"/>
        <w:tblInd w:w="18" w:type="dxa"/>
        <w:tblLayout w:type="fixed"/>
        <w:tblLook w:val="04A0" w:firstRow="1" w:lastRow="0" w:firstColumn="1" w:lastColumn="0" w:noHBand="0" w:noVBand="1"/>
      </w:tblPr>
      <w:tblGrid>
        <w:gridCol w:w="1530"/>
        <w:gridCol w:w="1530"/>
        <w:gridCol w:w="1350"/>
        <w:gridCol w:w="1350"/>
        <w:gridCol w:w="1260"/>
        <w:gridCol w:w="990"/>
        <w:gridCol w:w="1350"/>
        <w:gridCol w:w="1350"/>
      </w:tblGrid>
      <w:tr w:rsidR="00483485" w:rsidRPr="00292B3F" w:rsidTr="00483485">
        <w:tc>
          <w:tcPr>
            <w:tcW w:w="1530" w:type="dxa"/>
            <w:hideMark/>
          </w:tcPr>
          <w:p w:rsidR="00483485" w:rsidRPr="00292B3F" w:rsidRDefault="00483485" w:rsidP="00C525A5">
            <w:pPr>
              <w:overflowPunct w:val="0"/>
              <w:autoSpaceDE w:val="0"/>
              <w:autoSpaceDN w:val="0"/>
              <w:contextualSpacing/>
              <w:rPr>
                <w:rFonts w:ascii="Times New Roman" w:eastAsia="Calibri" w:hAnsi="Times New Roman" w:cs="Times New Roman"/>
                <w:b/>
                <w:color w:val="000000"/>
              </w:rPr>
            </w:pPr>
            <w:r w:rsidRPr="00292B3F">
              <w:rPr>
                <w:rFonts w:ascii="Times New Roman" w:eastAsia="Times New Roman" w:hAnsi="Times New Roman" w:cs="Times New Roman"/>
                <w:b/>
                <w:color w:val="000000"/>
              </w:rPr>
              <w:t>Information Collection</w:t>
            </w:r>
          </w:p>
        </w:tc>
        <w:tc>
          <w:tcPr>
            <w:tcW w:w="1530" w:type="dxa"/>
            <w:hideMark/>
          </w:tcPr>
          <w:p w:rsidR="00483485" w:rsidRPr="00292B3F" w:rsidRDefault="00483485" w:rsidP="00C525A5">
            <w:pPr>
              <w:overflowPunct w:val="0"/>
              <w:autoSpaceDE w:val="0"/>
              <w:autoSpaceDN w:val="0"/>
              <w:contextualSpacing/>
              <w:rPr>
                <w:rFonts w:ascii="Times New Roman" w:eastAsia="Calibri" w:hAnsi="Times New Roman" w:cs="Times New Roman"/>
                <w:b/>
                <w:color w:val="000000"/>
              </w:rPr>
            </w:pPr>
            <w:r w:rsidRPr="00292B3F">
              <w:rPr>
                <w:rFonts w:ascii="Times New Roman" w:eastAsia="Times New Roman" w:hAnsi="Times New Roman" w:cs="Times New Roman"/>
                <w:b/>
                <w:color w:val="000000"/>
              </w:rPr>
              <w:t>Number of Respondents</w:t>
            </w:r>
          </w:p>
        </w:tc>
        <w:tc>
          <w:tcPr>
            <w:tcW w:w="1350" w:type="dxa"/>
            <w:hideMark/>
          </w:tcPr>
          <w:p w:rsidR="00483485" w:rsidRPr="00292B3F" w:rsidRDefault="00483485" w:rsidP="00C525A5">
            <w:pPr>
              <w:overflowPunct w:val="0"/>
              <w:autoSpaceDE w:val="0"/>
              <w:autoSpaceDN w:val="0"/>
              <w:contextualSpacing/>
              <w:rPr>
                <w:rFonts w:ascii="Times New Roman" w:eastAsia="Calibri" w:hAnsi="Times New Roman" w:cs="Times New Roman"/>
                <w:b/>
                <w:color w:val="000000"/>
              </w:rPr>
            </w:pPr>
            <w:r w:rsidRPr="00292B3F">
              <w:rPr>
                <w:rFonts w:ascii="Times New Roman" w:eastAsia="Times New Roman" w:hAnsi="Times New Roman" w:cs="Times New Roman"/>
                <w:b/>
                <w:color w:val="000000"/>
              </w:rPr>
              <w:t>Frequency of Response</w:t>
            </w:r>
          </w:p>
        </w:tc>
        <w:tc>
          <w:tcPr>
            <w:tcW w:w="1350" w:type="dxa"/>
            <w:hideMark/>
          </w:tcPr>
          <w:p w:rsidR="00483485" w:rsidRPr="00292B3F" w:rsidRDefault="00483485" w:rsidP="00C525A5">
            <w:pPr>
              <w:contextualSpacing/>
              <w:rPr>
                <w:rFonts w:ascii="Times New Roman" w:eastAsia="Calibri" w:hAnsi="Times New Roman" w:cs="Times New Roman"/>
                <w:b/>
                <w:color w:val="000000"/>
              </w:rPr>
            </w:pPr>
            <w:r w:rsidRPr="00292B3F">
              <w:rPr>
                <w:rFonts w:ascii="Times New Roman" w:eastAsia="Times New Roman" w:hAnsi="Times New Roman" w:cs="Times New Roman"/>
                <w:b/>
                <w:color w:val="000000"/>
              </w:rPr>
              <w:t>Responses</w:t>
            </w:r>
          </w:p>
          <w:p w:rsidR="00483485" w:rsidRPr="00292B3F" w:rsidRDefault="00483485" w:rsidP="00C525A5">
            <w:pPr>
              <w:overflowPunct w:val="0"/>
              <w:autoSpaceDE w:val="0"/>
              <w:autoSpaceDN w:val="0"/>
              <w:contextualSpacing/>
              <w:rPr>
                <w:rFonts w:ascii="Times New Roman" w:eastAsia="Calibri" w:hAnsi="Times New Roman" w:cs="Times New Roman"/>
                <w:b/>
                <w:color w:val="000000"/>
              </w:rPr>
            </w:pPr>
            <w:r w:rsidRPr="00292B3F">
              <w:rPr>
                <w:rFonts w:ascii="Times New Roman" w:eastAsia="Times New Roman" w:hAnsi="Times New Roman" w:cs="Times New Roman"/>
                <w:b/>
                <w:color w:val="000000"/>
              </w:rPr>
              <w:t>Per Annum</w:t>
            </w:r>
          </w:p>
        </w:tc>
        <w:tc>
          <w:tcPr>
            <w:tcW w:w="1260" w:type="dxa"/>
            <w:hideMark/>
          </w:tcPr>
          <w:p w:rsidR="00483485" w:rsidRPr="00292B3F" w:rsidRDefault="00483485" w:rsidP="00C525A5">
            <w:pPr>
              <w:overflowPunct w:val="0"/>
              <w:autoSpaceDE w:val="0"/>
              <w:autoSpaceDN w:val="0"/>
              <w:contextualSpacing/>
              <w:rPr>
                <w:rFonts w:ascii="Times New Roman" w:eastAsia="Calibri" w:hAnsi="Times New Roman" w:cs="Times New Roman"/>
                <w:b/>
                <w:color w:val="000000"/>
              </w:rPr>
            </w:pPr>
            <w:r w:rsidRPr="00292B3F">
              <w:rPr>
                <w:rFonts w:ascii="Times New Roman" w:eastAsia="Times New Roman" w:hAnsi="Times New Roman" w:cs="Times New Roman"/>
                <w:b/>
                <w:color w:val="000000"/>
              </w:rPr>
              <w:t>Burden Hour Per Response</w:t>
            </w:r>
          </w:p>
        </w:tc>
        <w:tc>
          <w:tcPr>
            <w:tcW w:w="990" w:type="dxa"/>
            <w:hideMark/>
          </w:tcPr>
          <w:p w:rsidR="00483485" w:rsidRPr="00292B3F" w:rsidRDefault="00483485" w:rsidP="00C525A5">
            <w:pPr>
              <w:overflowPunct w:val="0"/>
              <w:autoSpaceDE w:val="0"/>
              <w:autoSpaceDN w:val="0"/>
              <w:contextualSpacing/>
              <w:rPr>
                <w:rFonts w:ascii="Times New Roman" w:eastAsia="Calibri" w:hAnsi="Times New Roman" w:cs="Times New Roman"/>
                <w:b/>
                <w:color w:val="000000"/>
              </w:rPr>
            </w:pPr>
            <w:r w:rsidRPr="00292B3F">
              <w:rPr>
                <w:rFonts w:ascii="Times New Roman" w:eastAsia="Times New Roman" w:hAnsi="Times New Roman" w:cs="Times New Roman"/>
                <w:b/>
                <w:color w:val="000000"/>
              </w:rPr>
              <w:t>Annual Burden Hours</w:t>
            </w:r>
          </w:p>
        </w:tc>
        <w:tc>
          <w:tcPr>
            <w:tcW w:w="1350" w:type="dxa"/>
            <w:hideMark/>
          </w:tcPr>
          <w:p w:rsidR="00483485" w:rsidRPr="00292B3F" w:rsidRDefault="00483485" w:rsidP="00C525A5">
            <w:pPr>
              <w:overflowPunct w:val="0"/>
              <w:autoSpaceDE w:val="0"/>
              <w:autoSpaceDN w:val="0"/>
              <w:contextualSpacing/>
              <w:rPr>
                <w:rFonts w:ascii="Times New Roman" w:eastAsia="Calibri" w:hAnsi="Times New Roman" w:cs="Times New Roman"/>
                <w:b/>
                <w:color w:val="000000"/>
              </w:rPr>
            </w:pPr>
            <w:r w:rsidRPr="00292B3F">
              <w:rPr>
                <w:rFonts w:ascii="Times New Roman" w:eastAsia="Times New Roman" w:hAnsi="Times New Roman" w:cs="Times New Roman"/>
                <w:b/>
                <w:color w:val="000000"/>
              </w:rPr>
              <w:t>Hourly Cost Per Response</w:t>
            </w:r>
          </w:p>
        </w:tc>
        <w:tc>
          <w:tcPr>
            <w:tcW w:w="1350" w:type="dxa"/>
          </w:tcPr>
          <w:p w:rsidR="00483485" w:rsidRPr="00292B3F" w:rsidRDefault="00483485" w:rsidP="00C525A5">
            <w:pPr>
              <w:contextualSpacing/>
              <w:rPr>
                <w:rFonts w:ascii="Times New Roman" w:eastAsia="Calibri" w:hAnsi="Times New Roman" w:cs="Times New Roman"/>
                <w:b/>
                <w:color w:val="000000"/>
              </w:rPr>
            </w:pPr>
            <w:r w:rsidRPr="00292B3F">
              <w:rPr>
                <w:rFonts w:ascii="Times New Roman" w:eastAsia="Times New Roman" w:hAnsi="Times New Roman" w:cs="Times New Roman"/>
                <w:b/>
                <w:color w:val="000000"/>
              </w:rPr>
              <w:t>Annual Cost</w:t>
            </w:r>
          </w:p>
          <w:p w:rsidR="00483485" w:rsidRPr="00292B3F" w:rsidRDefault="00483485" w:rsidP="00C525A5">
            <w:pPr>
              <w:overflowPunct w:val="0"/>
              <w:autoSpaceDE w:val="0"/>
              <w:autoSpaceDN w:val="0"/>
              <w:contextualSpacing/>
              <w:rPr>
                <w:rFonts w:ascii="Times New Roman" w:eastAsia="Calibri" w:hAnsi="Times New Roman" w:cs="Times New Roman"/>
                <w:b/>
                <w:color w:val="000000"/>
              </w:rPr>
            </w:pPr>
          </w:p>
        </w:tc>
      </w:tr>
      <w:tr w:rsidR="00483485" w:rsidRPr="00292B3F" w:rsidTr="00483485">
        <w:tc>
          <w:tcPr>
            <w:tcW w:w="1530" w:type="dxa"/>
          </w:tcPr>
          <w:p w:rsidR="00483485" w:rsidRPr="00292B3F" w:rsidRDefault="00483485" w:rsidP="00C525A5">
            <w:pPr>
              <w:overflowPunct w:val="0"/>
              <w:autoSpaceDE w:val="0"/>
              <w:autoSpaceDN w:val="0"/>
              <w:contextualSpacing/>
              <w:rPr>
                <w:rFonts w:ascii="Times New Roman" w:eastAsia="Times New Roman" w:hAnsi="Times New Roman" w:cs="Times New Roman"/>
                <w:bCs/>
                <w:color w:val="000000"/>
              </w:rPr>
            </w:pPr>
            <w:r w:rsidRPr="00292B3F">
              <w:rPr>
                <w:rFonts w:ascii="Times New Roman" w:eastAsia="Times New Roman" w:hAnsi="Times New Roman" w:cs="Times New Roman"/>
                <w:bCs/>
                <w:color w:val="000000"/>
              </w:rPr>
              <w:t>HUD-60002</w:t>
            </w:r>
          </w:p>
        </w:tc>
        <w:tc>
          <w:tcPr>
            <w:tcW w:w="1530" w:type="dxa"/>
          </w:tcPr>
          <w:p w:rsidR="00483485" w:rsidRPr="00292B3F" w:rsidRDefault="00483485" w:rsidP="00C525A5">
            <w:pPr>
              <w:overflowPunct w:val="0"/>
              <w:autoSpaceDE w:val="0"/>
              <w:autoSpaceDN w:val="0"/>
              <w:contextualSpacing/>
              <w:rPr>
                <w:rFonts w:ascii="Times New Roman" w:eastAsia="Times New Roman" w:hAnsi="Times New Roman" w:cs="Times New Roman"/>
                <w:bCs/>
                <w:color w:val="000000"/>
              </w:rPr>
            </w:pPr>
            <w:r w:rsidRPr="00292B3F">
              <w:rPr>
                <w:rFonts w:ascii="Times New Roman" w:eastAsia="Times New Roman" w:hAnsi="Times New Roman" w:cs="Times New Roman"/>
                <w:bCs/>
                <w:color w:val="000000"/>
              </w:rPr>
              <w:t>5</w:t>
            </w:r>
            <w:r>
              <w:rPr>
                <w:rFonts w:ascii="Times New Roman" w:eastAsia="Times New Roman" w:hAnsi="Times New Roman" w:cs="Times New Roman"/>
                <w:bCs/>
                <w:color w:val="000000"/>
              </w:rPr>
              <w:t>,</w:t>
            </w:r>
            <w:r w:rsidRPr="00292B3F">
              <w:rPr>
                <w:rFonts w:ascii="Times New Roman" w:eastAsia="Times New Roman" w:hAnsi="Times New Roman" w:cs="Times New Roman"/>
                <w:bCs/>
                <w:color w:val="000000"/>
              </w:rPr>
              <w:t>000</w:t>
            </w:r>
          </w:p>
        </w:tc>
        <w:tc>
          <w:tcPr>
            <w:tcW w:w="1350" w:type="dxa"/>
          </w:tcPr>
          <w:p w:rsidR="00483485" w:rsidRPr="00292B3F" w:rsidRDefault="00483485" w:rsidP="00C525A5">
            <w:pPr>
              <w:overflowPunct w:val="0"/>
              <w:autoSpaceDE w:val="0"/>
              <w:autoSpaceDN w:val="0"/>
              <w:contextualSpacing/>
              <w:rPr>
                <w:rFonts w:ascii="Times New Roman" w:eastAsia="Calibri" w:hAnsi="Times New Roman" w:cs="Times New Roman"/>
                <w:bCs/>
                <w:color w:val="000000"/>
              </w:rPr>
            </w:pPr>
            <w:r>
              <w:rPr>
                <w:rFonts w:ascii="Times New Roman" w:eastAsia="Calibri" w:hAnsi="Times New Roman" w:cs="Times New Roman"/>
                <w:bCs/>
                <w:color w:val="000000"/>
              </w:rPr>
              <w:t>2</w:t>
            </w:r>
          </w:p>
        </w:tc>
        <w:tc>
          <w:tcPr>
            <w:tcW w:w="1350" w:type="dxa"/>
          </w:tcPr>
          <w:p w:rsidR="00483485" w:rsidRPr="003F75C5" w:rsidRDefault="00483485" w:rsidP="00C525A5">
            <w:pPr>
              <w:overflowPunct w:val="0"/>
              <w:autoSpaceDE w:val="0"/>
              <w:autoSpaceDN w:val="0"/>
              <w:contextualSpacing/>
              <w:rPr>
                <w:rFonts w:ascii="Times New Roman" w:eastAsia="Calibri" w:hAnsi="Times New Roman" w:cs="Times New Roman"/>
                <w:bCs/>
                <w:color w:val="000000"/>
              </w:rPr>
            </w:pPr>
            <w:r w:rsidRPr="003F75C5">
              <w:rPr>
                <w:rFonts w:ascii="Times New Roman" w:eastAsia="Calibri" w:hAnsi="Times New Roman" w:cs="Times New Roman"/>
                <w:bCs/>
                <w:color w:val="000000"/>
              </w:rPr>
              <w:t>1</w:t>
            </w:r>
            <w:r>
              <w:rPr>
                <w:rFonts w:ascii="Times New Roman" w:eastAsia="Calibri" w:hAnsi="Times New Roman" w:cs="Times New Roman"/>
                <w:bCs/>
                <w:color w:val="000000"/>
              </w:rPr>
              <w:t>0,000</w:t>
            </w:r>
          </w:p>
        </w:tc>
        <w:tc>
          <w:tcPr>
            <w:tcW w:w="1260" w:type="dxa"/>
          </w:tcPr>
          <w:p w:rsidR="00483485" w:rsidRPr="00292B3F" w:rsidRDefault="00483485" w:rsidP="00C525A5">
            <w:pPr>
              <w:overflowPunct w:val="0"/>
              <w:autoSpaceDE w:val="0"/>
              <w:autoSpaceDN w:val="0"/>
              <w:contextualSpacing/>
              <w:rPr>
                <w:rFonts w:ascii="Times New Roman" w:eastAsia="Calibri" w:hAnsi="Times New Roman" w:cs="Times New Roman"/>
                <w:bCs/>
                <w:color w:val="000000"/>
              </w:rPr>
            </w:pPr>
            <w:r>
              <w:rPr>
                <w:rFonts w:ascii="Times New Roman" w:eastAsia="Calibri" w:hAnsi="Times New Roman" w:cs="Times New Roman"/>
                <w:bCs/>
                <w:color w:val="000000"/>
              </w:rPr>
              <w:t>8</w:t>
            </w:r>
          </w:p>
        </w:tc>
        <w:tc>
          <w:tcPr>
            <w:tcW w:w="990" w:type="dxa"/>
          </w:tcPr>
          <w:p w:rsidR="00483485" w:rsidRPr="00292B3F" w:rsidRDefault="00483485" w:rsidP="00C525A5">
            <w:pPr>
              <w:overflowPunct w:val="0"/>
              <w:autoSpaceDE w:val="0"/>
              <w:autoSpaceDN w:val="0"/>
              <w:contextualSpacing/>
              <w:rPr>
                <w:rFonts w:ascii="Times New Roman" w:eastAsia="Calibri" w:hAnsi="Times New Roman" w:cs="Times New Roman"/>
                <w:bCs/>
                <w:color w:val="000000"/>
              </w:rPr>
            </w:pPr>
            <w:r>
              <w:rPr>
                <w:rFonts w:ascii="Times New Roman" w:eastAsia="Calibri" w:hAnsi="Times New Roman" w:cs="Times New Roman"/>
                <w:bCs/>
                <w:color w:val="000000"/>
              </w:rPr>
              <w:t>80,000</w:t>
            </w:r>
          </w:p>
        </w:tc>
        <w:tc>
          <w:tcPr>
            <w:tcW w:w="1350" w:type="dxa"/>
          </w:tcPr>
          <w:p w:rsidR="00483485" w:rsidRPr="00292B3F" w:rsidRDefault="00483485" w:rsidP="00C525A5">
            <w:pPr>
              <w:overflowPunct w:val="0"/>
              <w:autoSpaceDE w:val="0"/>
              <w:autoSpaceDN w:val="0"/>
              <w:contextualSpacing/>
              <w:rPr>
                <w:rFonts w:ascii="Times New Roman" w:eastAsia="Calibri" w:hAnsi="Times New Roman" w:cs="Times New Roman"/>
                <w:bCs/>
                <w:color w:val="000000"/>
              </w:rPr>
            </w:pPr>
            <w:r>
              <w:rPr>
                <w:rFonts w:ascii="Times New Roman" w:eastAsia="Calibri" w:hAnsi="Times New Roman" w:cs="Times New Roman"/>
                <w:bCs/>
                <w:color w:val="000000"/>
              </w:rPr>
              <w:t>$22.71</w:t>
            </w:r>
          </w:p>
        </w:tc>
        <w:tc>
          <w:tcPr>
            <w:tcW w:w="1350" w:type="dxa"/>
          </w:tcPr>
          <w:p w:rsidR="00483485" w:rsidRPr="00292B3F" w:rsidRDefault="00483485" w:rsidP="00C525A5">
            <w:pPr>
              <w:overflowPunct w:val="0"/>
              <w:autoSpaceDE w:val="0"/>
              <w:autoSpaceDN w:val="0"/>
              <w:contextualSpacing/>
              <w:rPr>
                <w:rFonts w:ascii="Times New Roman" w:eastAsia="Calibri" w:hAnsi="Times New Roman" w:cs="Times New Roman"/>
                <w:bCs/>
                <w:color w:val="000000"/>
              </w:rPr>
            </w:pPr>
            <w:r>
              <w:rPr>
                <w:rFonts w:ascii="Times New Roman" w:eastAsia="Calibri" w:hAnsi="Times New Roman" w:cs="Times New Roman"/>
                <w:bCs/>
                <w:color w:val="000000"/>
              </w:rPr>
              <w:t>$1,816,800</w:t>
            </w:r>
          </w:p>
          <w:p w:rsidR="00483485" w:rsidRPr="00292B3F" w:rsidRDefault="00483485" w:rsidP="00C525A5">
            <w:pPr>
              <w:overflowPunct w:val="0"/>
              <w:autoSpaceDE w:val="0"/>
              <w:autoSpaceDN w:val="0"/>
              <w:contextualSpacing/>
              <w:rPr>
                <w:rFonts w:ascii="Times New Roman" w:eastAsia="Calibri" w:hAnsi="Times New Roman" w:cs="Times New Roman"/>
                <w:bCs/>
                <w:color w:val="000000"/>
              </w:rPr>
            </w:pPr>
          </w:p>
        </w:tc>
      </w:tr>
      <w:tr w:rsidR="00483485" w:rsidRPr="00292B3F" w:rsidTr="00483485">
        <w:tc>
          <w:tcPr>
            <w:tcW w:w="1530" w:type="dxa"/>
          </w:tcPr>
          <w:p w:rsidR="00483485" w:rsidRPr="00292B3F" w:rsidRDefault="00483485" w:rsidP="00C525A5">
            <w:pPr>
              <w:contextualSpacing/>
              <w:rPr>
                <w:rFonts w:ascii="Times New Roman" w:hAnsi="Times New Roman" w:cs="Times New Roman"/>
                <w:color w:val="000000"/>
              </w:rPr>
            </w:pPr>
            <w:r w:rsidRPr="00292B3F">
              <w:rPr>
                <w:rFonts w:ascii="Times New Roman" w:hAnsi="Times New Roman" w:cs="Times New Roman"/>
                <w:color w:val="000000"/>
              </w:rPr>
              <w:t>HUD-958</w:t>
            </w:r>
          </w:p>
        </w:tc>
        <w:tc>
          <w:tcPr>
            <w:tcW w:w="1530" w:type="dxa"/>
          </w:tcPr>
          <w:p w:rsidR="00483485" w:rsidRPr="00292B3F" w:rsidRDefault="00483485" w:rsidP="00C525A5">
            <w:pPr>
              <w:contextualSpacing/>
              <w:rPr>
                <w:rFonts w:ascii="Times New Roman" w:hAnsi="Times New Roman" w:cs="Times New Roman"/>
                <w:color w:val="000000"/>
              </w:rPr>
            </w:pPr>
            <w:r>
              <w:rPr>
                <w:rFonts w:ascii="Times New Roman" w:hAnsi="Times New Roman" w:cs="Times New Roman"/>
                <w:color w:val="000000"/>
              </w:rPr>
              <w:t>20</w:t>
            </w:r>
          </w:p>
        </w:tc>
        <w:tc>
          <w:tcPr>
            <w:tcW w:w="1350" w:type="dxa"/>
          </w:tcPr>
          <w:p w:rsidR="00483485" w:rsidRPr="00292B3F" w:rsidRDefault="00483485" w:rsidP="00C525A5">
            <w:pPr>
              <w:contextualSpacing/>
              <w:rPr>
                <w:rFonts w:ascii="Times New Roman" w:hAnsi="Times New Roman" w:cs="Times New Roman"/>
                <w:color w:val="000000"/>
              </w:rPr>
            </w:pPr>
            <w:r>
              <w:rPr>
                <w:rFonts w:ascii="Times New Roman" w:hAnsi="Times New Roman" w:cs="Times New Roman"/>
                <w:color w:val="000000"/>
              </w:rPr>
              <w:t>1</w:t>
            </w:r>
          </w:p>
        </w:tc>
        <w:tc>
          <w:tcPr>
            <w:tcW w:w="1350" w:type="dxa"/>
          </w:tcPr>
          <w:p w:rsidR="00483485" w:rsidRPr="003F75C5" w:rsidRDefault="00483485" w:rsidP="00C525A5">
            <w:pPr>
              <w:contextualSpacing/>
              <w:rPr>
                <w:rFonts w:ascii="Times New Roman" w:hAnsi="Times New Roman" w:cs="Times New Roman"/>
                <w:color w:val="000000"/>
              </w:rPr>
            </w:pPr>
            <w:r>
              <w:rPr>
                <w:rFonts w:ascii="Times New Roman" w:hAnsi="Times New Roman" w:cs="Times New Roman"/>
                <w:color w:val="000000"/>
              </w:rPr>
              <w:t>20</w:t>
            </w:r>
          </w:p>
        </w:tc>
        <w:tc>
          <w:tcPr>
            <w:tcW w:w="1260" w:type="dxa"/>
          </w:tcPr>
          <w:p w:rsidR="00483485" w:rsidRPr="00292B3F" w:rsidRDefault="00483485" w:rsidP="00C525A5">
            <w:pPr>
              <w:contextualSpacing/>
              <w:rPr>
                <w:rFonts w:ascii="Times New Roman" w:hAnsi="Times New Roman" w:cs="Times New Roman"/>
                <w:color w:val="000000"/>
              </w:rPr>
            </w:pPr>
            <w:r w:rsidRPr="00292B3F">
              <w:rPr>
                <w:rFonts w:ascii="Times New Roman" w:hAnsi="Times New Roman" w:cs="Times New Roman"/>
                <w:color w:val="000000"/>
              </w:rPr>
              <w:t>1</w:t>
            </w:r>
          </w:p>
        </w:tc>
        <w:tc>
          <w:tcPr>
            <w:tcW w:w="990" w:type="dxa"/>
          </w:tcPr>
          <w:p w:rsidR="00483485" w:rsidRPr="00292B3F" w:rsidRDefault="00483485" w:rsidP="00C525A5">
            <w:pPr>
              <w:contextualSpacing/>
              <w:rPr>
                <w:rFonts w:ascii="Times New Roman" w:hAnsi="Times New Roman" w:cs="Times New Roman"/>
              </w:rPr>
            </w:pPr>
            <w:r>
              <w:rPr>
                <w:rFonts w:ascii="Times New Roman" w:hAnsi="Times New Roman" w:cs="Times New Roman"/>
              </w:rPr>
              <w:t>20</w:t>
            </w:r>
          </w:p>
        </w:tc>
        <w:tc>
          <w:tcPr>
            <w:tcW w:w="1350" w:type="dxa"/>
          </w:tcPr>
          <w:p w:rsidR="00483485" w:rsidRPr="00292B3F" w:rsidRDefault="00483485" w:rsidP="00C525A5">
            <w:pPr>
              <w:contextualSpacing/>
              <w:rPr>
                <w:rFonts w:ascii="Times New Roman" w:hAnsi="Times New Roman" w:cs="Times New Roman"/>
                <w:color w:val="000000"/>
              </w:rPr>
            </w:pPr>
            <w:r>
              <w:rPr>
                <w:rFonts w:ascii="Times New Roman" w:hAnsi="Times New Roman" w:cs="Times New Roman"/>
                <w:color w:val="000000"/>
              </w:rPr>
              <w:t>$10.00</w:t>
            </w:r>
          </w:p>
        </w:tc>
        <w:tc>
          <w:tcPr>
            <w:tcW w:w="1350" w:type="dxa"/>
          </w:tcPr>
          <w:p w:rsidR="00483485" w:rsidRPr="00292B3F" w:rsidRDefault="00483485" w:rsidP="00C525A5">
            <w:pPr>
              <w:contextualSpacing/>
              <w:rPr>
                <w:rFonts w:ascii="Times New Roman" w:hAnsi="Times New Roman" w:cs="Times New Roman"/>
                <w:color w:val="000000"/>
              </w:rPr>
            </w:pPr>
            <w:r>
              <w:rPr>
                <w:rFonts w:ascii="Times New Roman" w:hAnsi="Times New Roman" w:cs="Times New Roman"/>
                <w:color w:val="000000"/>
              </w:rPr>
              <w:t>$2</w:t>
            </w:r>
            <w:r w:rsidRPr="00292B3F">
              <w:rPr>
                <w:rFonts w:ascii="Times New Roman" w:hAnsi="Times New Roman" w:cs="Times New Roman"/>
                <w:color w:val="000000"/>
              </w:rPr>
              <w:t>00</w:t>
            </w:r>
          </w:p>
        </w:tc>
      </w:tr>
      <w:tr w:rsidR="00483485" w:rsidRPr="00292B3F" w:rsidTr="00483485">
        <w:tc>
          <w:tcPr>
            <w:tcW w:w="1530" w:type="dxa"/>
          </w:tcPr>
          <w:p w:rsidR="00483485" w:rsidRPr="00292B3F" w:rsidRDefault="00483485" w:rsidP="00C525A5">
            <w:pPr>
              <w:overflowPunct w:val="0"/>
              <w:autoSpaceDE w:val="0"/>
              <w:autoSpaceDN w:val="0"/>
              <w:contextualSpacing/>
              <w:rPr>
                <w:rFonts w:ascii="Times New Roman" w:eastAsia="Times New Roman" w:hAnsi="Times New Roman" w:cs="Times New Roman"/>
                <w:bCs/>
                <w:color w:val="000000"/>
              </w:rPr>
            </w:pPr>
          </w:p>
        </w:tc>
        <w:tc>
          <w:tcPr>
            <w:tcW w:w="1530" w:type="dxa"/>
          </w:tcPr>
          <w:p w:rsidR="00483485" w:rsidRPr="00292B3F" w:rsidRDefault="00483485" w:rsidP="00C525A5">
            <w:pPr>
              <w:overflowPunct w:val="0"/>
              <w:autoSpaceDE w:val="0"/>
              <w:autoSpaceDN w:val="0"/>
              <w:contextualSpacing/>
              <w:rPr>
                <w:rFonts w:ascii="Times New Roman" w:eastAsia="Times New Roman" w:hAnsi="Times New Roman" w:cs="Times New Roman"/>
                <w:bCs/>
                <w:color w:val="000000"/>
              </w:rPr>
            </w:pPr>
          </w:p>
        </w:tc>
        <w:tc>
          <w:tcPr>
            <w:tcW w:w="1350" w:type="dxa"/>
          </w:tcPr>
          <w:p w:rsidR="00483485" w:rsidRPr="00292B3F" w:rsidRDefault="00483485" w:rsidP="00C525A5">
            <w:pPr>
              <w:overflowPunct w:val="0"/>
              <w:autoSpaceDE w:val="0"/>
              <w:autoSpaceDN w:val="0"/>
              <w:contextualSpacing/>
              <w:rPr>
                <w:rFonts w:ascii="Times New Roman" w:eastAsia="Calibri" w:hAnsi="Times New Roman" w:cs="Times New Roman"/>
                <w:bCs/>
                <w:color w:val="000000"/>
              </w:rPr>
            </w:pPr>
          </w:p>
        </w:tc>
        <w:tc>
          <w:tcPr>
            <w:tcW w:w="1350" w:type="dxa"/>
          </w:tcPr>
          <w:p w:rsidR="00483485" w:rsidRPr="00292B3F" w:rsidRDefault="00483485" w:rsidP="00C525A5">
            <w:pPr>
              <w:overflowPunct w:val="0"/>
              <w:autoSpaceDE w:val="0"/>
              <w:autoSpaceDN w:val="0"/>
              <w:contextualSpacing/>
              <w:rPr>
                <w:rFonts w:ascii="Times New Roman" w:eastAsia="Calibri" w:hAnsi="Times New Roman" w:cs="Times New Roman"/>
                <w:b/>
                <w:bCs/>
                <w:color w:val="000000"/>
              </w:rPr>
            </w:pPr>
          </w:p>
        </w:tc>
        <w:tc>
          <w:tcPr>
            <w:tcW w:w="1260" w:type="dxa"/>
          </w:tcPr>
          <w:p w:rsidR="00483485" w:rsidRPr="00292B3F" w:rsidRDefault="00483485" w:rsidP="00C525A5">
            <w:pPr>
              <w:overflowPunct w:val="0"/>
              <w:autoSpaceDE w:val="0"/>
              <w:autoSpaceDN w:val="0"/>
              <w:contextualSpacing/>
              <w:rPr>
                <w:rFonts w:ascii="Times New Roman" w:eastAsia="Calibri" w:hAnsi="Times New Roman" w:cs="Times New Roman"/>
                <w:bCs/>
                <w:color w:val="000000"/>
              </w:rPr>
            </w:pPr>
          </w:p>
        </w:tc>
        <w:tc>
          <w:tcPr>
            <w:tcW w:w="990" w:type="dxa"/>
          </w:tcPr>
          <w:p w:rsidR="00483485" w:rsidRPr="00292B3F" w:rsidRDefault="00483485" w:rsidP="00C525A5">
            <w:pPr>
              <w:overflowPunct w:val="0"/>
              <w:autoSpaceDE w:val="0"/>
              <w:autoSpaceDN w:val="0"/>
              <w:contextualSpacing/>
              <w:rPr>
                <w:rFonts w:ascii="Times New Roman" w:eastAsia="Calibri" w:hAnsi="Times New Roman" w:cs="Times New Roman"/>
                <w:bCs/>
                <w:color w:val="000000"/>
              </w:rPr>
            </w:pPr>
          </w:p>
        </w:tc>
        <w:tc>
          <w:tcPr>
            <w:tcW w:w="1350" w:type="dxa"/>
          </w:tcPr>
          <w:p w:rsidR="00483485" w:rsidRPr="00292B3F" w:rsidRDefault="00483485" w:rsidP="00C525A5">
            <w:pPr>
              <w:overflowPunct w:val="0"/>
              <w:autoSpaceDE w:val="0"/>
              <w:autoSpaceDN w:val="0"/>
              <w:contextualSpacing/>
              <w:rPr>
                <w:rFonts w:ascii="Times New Roman" w:eastAsia="Calibri" w:hAnsi="Times New Roman" w:cs="Times New Roman"/>
                <w:bCs/>
                <w:color w:val="000000"/>
              </w:rPr>
            </w:pPr>
          </w:p>
        </w:tc>
        <w:tc>
          <w:tcPr>
            <w:tcW w:w="1350" w:type="dxa"/>
          </w:tcPr>
          <w:p w:rsidR="00483485" w:rsidRPr="00292B3F" w:rsidRDefault="00483485" w:rsidP="00C525A5">
            <w:pPr>
              <w:overflowPunct w:val="0"/>
              <w:autoSpaceDE w:val="0"/>
              <w:autoSpaceDN w:val="0"/>
              <w:contextualSpacing/>
              <w:rPr>
                <w:rFonts w:ascii="Times New Roman" w:eastAsia="Calibri" w:hAnsi="Times New Roman" w:cs="Times New Roman"/>
                <w:bCs/>
                <w:color w:val="000000"/>
              </w:rPr>
            </w:pPr>
          </w:p>
        </w:tc>
      </w:tr>
      <w:tr w:rsidR="00483485" w:rsidRPr="00FF164E" w:rsidTr="00483485">
        <w:tc>
          <w:tcPr>
            <w:tcW w:w="1530" w:type="dxa"/>
            <w:hideMark/>
          </w:tcPr>
          <w:p w:rsidR="00483485" w:rsidRPr="00FF164E" w:rsidRDefault="00483485" w:rsidP="00C525A5">
            <w:pPr>
              <w:overflowPunct w:val="0"/>
              <w:autoSpaceDE w:val="0"/>
              <w:autoSpaceDN w:val="0"/>
              <w:contextualSpacing/>
              <w:rPr>
                <w:rFonts w:ascii="Times New Roman" w:eastAsia="Times New Roman" w:hAnsi="Times New Roman" w:cs="Times New Roman"/>
                <w:b/>
                <w:bCs/>
                <w:color w:val="000000"/>
              </w:rPr>
            </w:pPr>
            <w:r w:rsidRPr="00FF164E">
              <w:rPr>
                <w:rFonts w:ascii="Times New Roman" w:eastAsia="Times New Roman" w:hAnsi="Times New Roman" w:cs="Times New Roman"/>
                <w:b/>
                <w:bCs/>
                <w:color w:val="000000"/>
              </w:rPr>
              <w:t>Total</w:t>
            </w:r>
          </w:p>
        </w:tc>
        <w:tc>
          <w:tcPr>
            <w:tcW w:w="1530" w:type="dxa"/>
          </w:tcPr>
          <w:p w:rsidR="00483485" w:rsidRPr="00FF164E" w:rsidRDefault="00483485" w:rsidP="00C525A5">
            <w:pPr>
              <w:overflowPunct w:val="0"/>
              <w:autoSpaceDE w:val="0"/>
              <w:autoSpaceDN w:val="0"/>
              <w:contextualSpacing/>
              <w:rPr>
                <w:rFonts w:ascii="Times New Roman" w:eastAsia="Times New Roman" w:hAnsi="Times New Roman" w:cs="Times New Roman"/>
                <w:bCs/>
                <w:color w:val="000000"/>
              </w:rPr>
            </w:pPr>
            <w:r w:rsidRPr="00FF164E">
              <w:rPr>
                <w:rFonts w:ascii="Times New Roman" w:eastAsia="Times New Roman" w:hAnsi="Times New Roman" w:cs="Times New Roman"/>
                <w:bCs/>
                <w:color w:val="000000"/>
              </w:rPr>
              <w:t>5,020</w:t>
            </w:r>
          </w:p>
          <w:p w:rsidR="00483485" w:rsidRPr="00FF164E" w:rsidRDefault="00483485" w:rsidP="00C525A5">
            <w:pPr>
              <w:overflowPunct w:val="0"/>
              <w:autoSpaceDE w:val="0"/>
              <w:autoSpaceDN w:val="0"/>
              <w:contextualSpacing/>
              <w:rPr>
                <w:rFonts w:ascii="Times New Roman" w:eastAsia="Times New Roman" w:hAnsi="Times New Roman" w:cs="Times New Roman"/>
                <w:bCs/>
                <w:color w:val="000000"/>
              </w:rPr>
            </w:pPr>
          </w:p>
        </w:tc>
        <w:tc>
          <w:tcPr>
            <w:tcW w:w="1350" w:type="dxa"/>
          </w:tcPr>
          <w:p w:rsidR="00483485" w:rsidRPr="00FF164E" w:rsidRDefault="00483485" w:rsidP="00C525A5">
            <w:pPr>
              <w:overflowPunct w:val="0"/>
              <w:autoSpaceDE w:val="0"/>
              <w:autoSpaceDN w:val="0"/>
              <w:contextualSpacing/>
              <w:rPr>
                <w:rFonts w:ascii="Times New Roman" w:eastAsia="Calibri" w:hAnsi="Times New Roman" w:cs="Times New Roman"/>
                <w:bCs/>
                <w:color w:val="000000"/>
              </w:rPr>
            </w:pPr>
            <w:r w:rsidRPr="00FF164E">
              <w:rPr>
                <w:rFonts w:ascii="Times New Roman" w:eastAsia="Calibri" w:hAnsi="Times New Roman" w:cs="Times New Roman"/>
                <w:bCs/>
                <w:color w:val="000000"/>
              </w:rPr>
              <w:t>3</w:t>
            </w:r>
          </w:p>
        </w:tc>
        <w:tc>
          <w:tcPr>
            <w:tcW w:w="1350" w:type="dxa"/>
          </w:tcPr>
          <w:p w:rsidR="00483485" w:rsidRPr="00FF164E" w:rsidRDefault="00483485" w:rsidP="00C525A5">
            <w:pPr>
              <w:overflowPunct w:val="0"/>
              <w:autoSpaceDE w:val="0"/>
              <w:autoSpaceDN w:val="0"/>
              <w:contextualSpacing/>
              <w:rPr>
                <w:rFonts w:ascii="Times New Roman" w:eastAsia="Calibri" w:hAnsi="Times New Roman" w:cs="Times New Roman"/>
                <w:bCs/>
                <w:color w:val="000000"/>
              </w:rPr>
            </w:pPr>
            <w:r w:rsidRPr="00FF164E">
              <w:rPr>
                <w:rFonts w:ascii="Times New Roman" w:eastAsia="Calibri" w:hAnsi="Times New Roman" w:cs="Times New Roman"/>
                <w:bCs/>
                <w:color w:val="000000"/>
              </w:rPr>
              <w:t>10,020</w:t>
            </w:r>
          </w:p>
        </w:tc>
        <w:tc>
          <w:tcPr>
            <w:tcW w:w="1260" w:type="dxa"/>
          </w:tcPr>
          <w:p w:rsidR="00483485" w:rsidRPr="00FF164E" w:rsidRDefault="00483485" w:rsidP="00C525A5">
            <w:pPr>
              <w:overflowPunct w:val="0"/>
              <w:autoSpaceDE w:val="0"/>
              <w:autoSpaceDN w:val="0"/>
              <w:contextualSpacing/>
              <w:rPr>
                <w:rFonts w:ascii="Times New Roman" w:eastAsia="Calibri" w:hAnsi="Times New Roman" w:cs="Times New Roman"/>
                <w:bCs/>
                <w:color w:val="000000"/>
              </w:rPr>
            </w:pPr>
            <w:r w:rsidRPr="00FF164E">
              <w:rPr>
                <w:rFonts w:ascii="Times New Roman" w:eastAsia="Calibri" w:hAnsi="Times New Roman" w:cs="Times New Roman"/>
                <w:bCs/>
                <w:color w:val="000000"/>
              </w:rPr>
              <w:t>9</w:t>
            </w:r>
          </w:p>
        </w:tc>
        <w:tc>
          <w:tcPr>
            <w:tcW w:w="990" w:type="dxa"/>
          </w:tcPr>
          <w:p w:rsidR="00483485" w:rsidRPr="00FF164E" w:rsidRDefault="00483485" w:rsidP="00C525A5">
            <w:pPr>
              <w:overflowPunct w:val="0"/>
              <w:autoSpaceDE w:val="0"/>
              <w:autoSpaceDN w:val="0"/>
              <w:contextualSpacing/>
              <w:rPr>
                <w:rFonts w:ascii="Times New Roman" w:eastAsia="Calibri" w:hAnsi="Times New Roman" w:cs="Times New Roman"/>
                <w:bCs/>
                <w:color w:val="000000"/>
              </w:rPr>
            </w:pPr>
            <w:r>
              <w:rPr>
                <w:rFonts w:ascii="Times New Roman" w:eastAsia="Calibri" w:hAnsi="Times New Roman" w:cs="Times New Roman"/>
                <w:bCs/>
                <w:color w:val="000000"/>
              </w:rPr>
              <w:t>90,180</w:t>
            </w:r>
          </w:p>
        </w:tc>
        <w:tc>
          <w:tcPr>
            <w:tcW w:w="1350" w:type="dxa"/>
          </w:tcPr>
          <w:p w:rsidR="00483485" w:rsidRPr="00FF164E" w:rsidRDefault="00483485" w:rsidP="00C525A5">
            <w:pPr>
              <w:overflowPunct w:val="0"/>
              <w:autoSpaceDE w:val="0"/>
              <w:autoSpaceDN w:val="0"/>
              <w:contextualSpacing/>
              <w:rPr>
                <w:rFonts w:ascii="Times New Roman" w:eastAsia="Calibri" w:hAnsi="Times New Roman" w:cs="Times New Roman"/>
                <w:bCs/>
                <w:color w:val="000000"/>
              </w:rPr>
            </w:pPr>
            <w:r>
              <w:rPr>
                <w:rFonts w:ascii="Times New Roman" w:eastAsia="Calibri" w:hAnsi="Times New Roman" w:cs="Times New Roman"/>
                <w:bCs/>
                <w:color w:val="000000"/>
              </w:rPr>
              <w:t>$2</w:t>
            </w:r>
            <w:r w:rsidRPr="00FF164E">
              <w:rPr>
                <w:rFonts w:ascii="Times New Roman" w:eastAsia="Calibri" w:hAnsi="Times New Roman" w:cs="Times New Roman"/>
                <w:bCs/>
                <w:color w:val="000000"/>
              </w:rPr>
              <w:t>2.71</w:t>
            </w:r>
          </w:p>
        </w:tc>
        <w:tc>
          <w:tcPr>
            <w:tcW w:w="1350" w:type="dxa"/>
          </w:tcPr>
          <w:p w:rsidR="00483485" w:rsidRPr="00FF164E" w:rsidRDefault="00483485" w:rsidP="00C525A5">
            <w:pPr>
              <w:overflowPunct w:val="0"/>
              <w:autoSpaceDE w:val="0"/>
              <w:autoSpaceDN w:val="0"/>
              <w:contextualSpacing/>
              <w:rPr>
                <w:rFonts w:ascii="Times New Roman" w:eastAsia="Calibri" w:hAnsi="Times New Roman" w:cs="Times New Roman"/>
                <w:bCs/>
                <w:color w:val="000000"/>
              </w:rPr>
            </w:pPr>
            <w:r>
              <w:rPr>
                <w:rFonts w:ascii="Times New Roman" w:eastAsia="Calibri" w:hAnsi="Times New Roman" w:cs="Times New Roman"/>
                <w:bCs/>
                <w:color w:val="000000"/>
              </w:rPr>
              <w:t>$1,817,000</w:t>
            </w:r>
          </w:p>
        </w:tc>
      </w:tr>
    </w:tbl>
    <w:p w:rsidR="0003660E" w:rsidRPr="00F63195" w:rsidRDefault="0003660E" w:rsidP="00C071BF">
      <w:pPr>
        <w:keepNext/>
        <w:keepLines/>
        <w:tabs>
          <w:tab w:val="center" w:pos="2520"/>
          <w:tab w:val="center" w:pos="2700"/>
          <w:tab w:val="center" w:pos="4140"/>
          <w:tab w:val="center" w:pos="5760"/>
          <w:tab w:val="center" w:pos="7380"/>
          <w:tab w:val="center" w:pos="8640"/>
          <w:tab w:val="right" w:pos="9718"/>
        </w:tabs>
        <w:autoSpaceDE w:val="0"/>
        <w:autoSpaceDN w:val="0"/>
        <w:adjustRightInd w:val="0"/>
        <w:ind w:left="540"/>
        <w:rPr>
          <w:szCs w:val="20"/>
        </w:rPr>
      </w:pPr>
    </w:p>
    <w:p w:rsidR="0003660E" w:rsidRPr="00F63195" w:rsidRDefault="0003660E">
      <w:pPr>
        <w:tabs>
          <w:tab w:val="center" w:pos="2520"/>
          <w:tab w:val="center" w:pos="4140"/>
          <w:tab w:val="center" w:pos="5760"/>
          <w:tab w:val="center" w:pos="7380"/>
          <w:tab w:val="center" w:pos="9180"/>
        </w:tabs>
        <w:autoSpaceDE w:val="0"/>
        <w:autoSpaceDN w:val="0"/>
        <w:adjustRightInd w:val="0"/>
        <w:ind w:left="540"/>
        <w:rPr>
          <w:szCs w:val="20"/>
        </w:rPr>
      </w:pPr>
    </w:p>
    <w:p w:rsidR="0003660E" w:rsidRPr="00F63195" w:rsidRDefault="006A1246">
      <w:pPr>
        <w:pStyle w:val="Heading3"/>
        <w:rPr>
          <w:sz w:val="24"/>
        </w:rPr>
      </w:pPr>
      <w:r w:rsidRPr="00F63195">
        <w:rPr>
          <w:sz w:val="24"/>
        </w:rPr>
        <w:t>Annualized Cost to Respondents for Hour Burdens for Information Collections</w:t>
      </w:r>
    </w:p>
    <w:p w:rsidR="00B967FE" w:rsidRPr="00F63195" w:rsidRDefault="00B967FE" w:rsidP="00B967FE"/>
    <w:p w:rsidR="0003660E" w:rsidRDefault="007D4D83" w:rsidP="00955BFC">
      <w:pPr>
        <w:autoSpaceDE w:val="0"/>
        <w:autoSpaceDN w:val="0"/>
        <w:adjustRightInd w:val="0"/>
        <w:ind w:left="720" w:firstLine="1"/>
        <w:rPr>
          <w:b/>
          <w:bCs/>
          <w:i/>
          <w:iCs/>
          <w:szCs w:val="20"/>
        </w:rPr>
      </w:pPr>
      <w:r>
        <w:rPr>
          <w:szCs w:val="20"/>
        </w:rPr>
        <w:t>See above.</w:t>
      </w:r>
    </w:p>
    <w:p w:rsidR="0003660E" w:rsidRDefault="0003660E">
      <w:pPr>
        <w:autoSpaceDE w:val="0"/>
        <w:autoSpaceDN w:val="0"/>
        <w:adjustRightInd w:val="0"/>
        <w:ind w:firstLine="721"/>
        <w:rPr>
          <w:szCs w:val="20"/>
        </w:rPr>
      </w:pPr>
    </w:p>
    <w:p w:rsidR="0003660E" w:rsidRDefault="006A1246">
      <w:pPr>
        <w:tabs>
          <w:tab w:val="right" w:pos="7719"/>
        </w:tabs>
        <w:autoSpaceDE w:val="0"/>
        <w:autoSpaceDN w:val="0"/>
        <w:adjustRightInd w:val="0"/>
        <w:rPr>
          <w:b/>
          <w:bCs/>
          <w:szCs w:val="20"/>
          <w:u w:val="single"/>
        </w:rPr>
      </w:pPr>
      <w:r>
        <w:rPr>
          <w:b/>
          <w:bCs/>
          <w:szCs w:val="20"/>
        </w:rPr>
        <w:t>A13.</w:t>
      </w:r>
      <w:r w:rsidR="00F8516E">
        <w:rPr>
          <w:b/>
          <w:bCs/>
          <w:szCs w:val="20"/>
        </w:rPr>
        <w:t xml:space="preserve"> </w:t>
      </w:r>
      <w:r w:rsidR="007D4D83">
        <w:rPr>
          <w:b/>
          <w:bCs/>
          <w:szCs w:val="20"/>
        </w:rPr>
        <w:tab/>
        <w:t xml:space="preserve"> </w:t>
      </w:r>
      <w:r w:rsidR="00CA6A3E">
        <w:rPr>
          <w:b/>
          <w:bCs/>
          <w:szCs w:val="20"/>
          <w:u w:val="single"/>
        </w:rPr>
        <w:t>Estimate of Record</w:t>
      </w:r>
      <w:r>
        <w:rPr>
          <w:b/>
          <w:bCs/>
          <w:szCs w:val="20"/>
          <w:u w:val="single"/>
        </w:rPr>
        <w:t>keeping and Reporting Cost Burden on Respondents</w:t>
      </w:r>
    </w:p>
    <w:p w:rsidR="0003660E" w:rsidRDefault="0003660E">
      <w:pPr>
        <w:tabs>
          <w:tab w:val="right" w:pos="7719"/>
        </w:tabs>
        <w:autoSpaceDE w:val="0"/>
        <w:autoSpaceDN w:val="0"/>
        <w:adjustRightInd w:val="0"/>
        <w:rPr>
          <w:szCs w:val="20"/>
        </w:rPr>
      </w:pPr>
    </w:p>
    <w:p w:rsidR="0003660E" w:rsidRDefault="00BC7D70">
      <w:pPr>
        <w:autoSpaceDE w:val="0"/>
        <w:autoSpaceDN w:val="0"/>
        <w:adjustRightInd w:val="0"/>
        <w:ind w:left="738"/>
        <w:rPr>
          <w:szCs w:val="20"/>
        </w:rPr>
      </w:pPr>
      <w:r>
        <w:rPr>
          <w:szCs w:val="20"/>
        </w:rPr>
        <w:t xml:space="preserve">The estimates provided above include time spent for recordkeeping, completing </w:t>
      </w:r>
      <w:r w:rsidR="009847A2">
        <w:rPr>
          <w:szCs w:val="20"/>
        </w:rPr>
        <w:t>both</w:t>
      </w:r>
      <w:r>
        <w:rPr>
          <w:szCs w:val="20"/>
        </w:rPr>
        <w:t xml:space="preserve"> information collection</w:t>
      </w:r>
      <w:r w:rsidR="009847A2">
        <w:rPr>
          <w:szCs w:val="20"/>
        </w:rPr>
        <w:t>s</w:t>
      </w:r>
      <w:r>
        <w:rPr>
          <w:szCs w:val="20"/>
        </w:rPr>
        <w:t xml:space="preserve">, and submitting </w:t>
      </w:r>
      <w:r w:rsidR="009847A2">
        <w:rPr>
          <w:szCs w:val="20"/>
        </w:rPr>
        <w:t>them</w:t>
      </w:r>
      <w:r>
        <w:rPr>
          <w:szCs w:val="20"/>
        </w:rPr>
        <w:t xml:space="preserve"> to the Department.</w:t>
      </w:r>
    </w:p>
    <w:p w:rsidR="0003660E" w:rsidRDefault="0003660E">
      <w:pPr>
        <w:autoSpaceDE w:val="0"/>
        <w:autoSpaceDN w:val="0"/>
        <w:adjustRightInd w:val="0"/>
        <w:ind w:left="738"/>
        <w:rPr>
          <w:szCs w:val="20"/>
        </w:rPr>
      </w:pPr>
    </w:p>
    <w:p w:rsidR="0003660E" w:rsidRDefault="006A1246">
      <w:pPr>
        <w:keepNext/>
        <w:tabs>
          <w:tab w:val="right" w:pos="5053"/>
        </w:tabs>
        <w:autoSpaceDE w:val="0"/>
        <w:autoSpaceDN w:val="0"/>
        <w:adjustRightInd w:val="0"/>
        <w:rPr>
          <w:b/>
          <w:bCs/>
          <w:szCs w:val="20"/>
          <w:u w:val="single"/>
        </w:rPr>
      </w:pPr>
      <w:r>
        <w:rPr>
          <w:b/>
          <w:bCs/>
          <w:szCs w:val="20"/>
        </w:rPr>
        <w:t xml:space="preserve">A14. </w:t>
      </w:r>
      <w:r>
        <w:rPr>
          <w:b/>
          <w:bCs/>
          <w:szCs w:val="20"/>
          <w:u w:val="single"/>
        </w:rPr>
        <w:t>Estimated Cost to the Federal Government</w:t>
      </w:r>
    </w:p>
    <w:p w:rsidR="00F8516E" w:rsidRDefault="00F8516E">
      <w:pPr>
        <w:keepNext/>
        <w:tabs>
          <w:tab w:val="right" w:pos="5053"/>
        </w:tabs>
        <w:autoSpaceDE w:val="0"/>
        <w:autoSpaceDN w:val="0"/>
        <w:adjustRightInd w:val="0"/>
        <w:rPr>
          <w:b/>
          <w:bCs/>
          <w:szCs w:val="20"/>
          <w:u w:val="single"/>
        </w:rPr>
      </w:pPr>
    </w:p>
    <w:p w:rsidR="0003660E" w:rsidRDefault="006A1246" w:rsidP="00121560">
      <w:pPr>
        <w:autoSpaceDE w:val="0"/>
        <w:autoSpaceDN w:val="0"/>
        <w:adjustRightInd w:val="0"/>
        <w:ind w:left="720" w:firstLine="1"/>
        <w:rPr>
          <w:szCs w:val="20"/>
        </w:rPr>
      </w:pPr>
      <w:r>
        <w:rPr>
          <w:szCs w:val="20"/>
        </w:rPr>
        <w:t>There will not be any additional cost to the Federa</w:t>
      </w:r>
      <w:r w:rsidR="00BC7D70">
        <w:rPr>
          <w:szCs w:val="20"/>
        </w:rPr>
        <w:t>l Government as a result of these</w:t>
      </w:r>
      <w:r>
        <w:rPr>
          <w:szCs w:val="20"/>
        </w:rPr>
        <w:t xml:space="preserve"> information collection</w:t>
      </w:r>
      <w:r w:rsidR="00BC7D70">
        <w:rPr>
          <w:szCs w:val="20"/>
        </w:rPr>
        <w:t>s</w:t>
      </w:r>
      <w:r>
        <w:rPr>
          <w:szCs w:val="20"/>
        </w:rPr>
        <w:t xml:space="preserve"> beyond </w:t>
      </w:r>
      <w:r w:rsidR="00BC7D70">
        <w:rPr>
          <w:szCs w:val="20"/>
        </w:rPr>
        <w:t>norma</w:t>
      </w:r>
      <w:r>
        <w:rPr>
          <w:szCs w:val="20"/>
        </w:rPr>
        <w:t>l personnel costs</w:t>
      </w:r>
      <w:r w:rsidR="007303A3">
        <w:rPr>
          <w:szCs w:val="20"/>
        </w:rPr>
        <w:t>.</w:t>
      </w:r>
    </w:p>
    <w:p w:rsidR="0003660E" w:rsidRDefault="0003660E">
      <w:pPr>
        <w:autoSpaceDE w:val="0"/>
        <w:autoSpaceDN w:val="0"/>
        <w:adjustRightInd w:val="0"/>
        <w:ind w:firstLine="721"/>
        <w:rPr>
          <w:szCs w:val="20"/>
        </w:rPr>
      </w:pPr>
    </w:p>
    <w:p w:rsidR="0003660E" w:rsidRDefault="006A1246">
      <w:pPr>
        <w:tabs>
          <w:tab w:val="right" w:pos="3892"/>
        </w:tabs>
        <w:autoSpaceDE w:val="0"/>
        <w:autoSpaceDN w:val="0"/>
        <w:adjustRightInd w:val="0"/>
        <w:rPr>
          <w:b/>
          <w:bCs/>
          <w:szCs w:val="20"/>
          <w:u w:val="single"/>
        </w:rPr>
      </w:pPr>
      <w:r>
        <w:rPr>
          <w:b/>
          <w:bCs/>
          <w:szCs w:val="20"/>
        </w:rPr>
        <w:t>A15.</w:t>
      </w:r>
      <w:r w:rsidR="00F8516E">
        <w:rPr>
          <w:b/>
          <w:bCs/>
          <w:szCs w:val="20"/>
        </w:rPr>
        <w:t xml:space="preserve"> </w:t>
      </w:r>
      <w:r>
        <w:rPr>
          <w:b/>
          <w:bCs/>
          <w:szCs w:val="20"/>
          <w:u w:val="single"/>
        </w:rPr>
        <w:t xml:space="preserve"> Reasons for Change in Burden</w:t>
      </w:r>
    </w:p>
    <w:p w:rsidR="0003660E" w:rsidRDefault="0003660E">
      <w:pPr>
        <w:tabs>
          <w:tab w:val="right" w:pos="900"/>
        </w:tabs>
        <w:autoSpaceDE w:val="0"/>
        <w:autoSpaceDN w:val="0"/>
        <w:adjustRightInd w:val="0"/>
        <w:rPr>
          <w:szCs w:val="20"/>
        </w:rPr>
      </w:pPr>
    </w:p>
    <w:p w:rsidR="0003660E" w:rsidRDefault="009B05B7" w:rsidP="00121560">
      <w:pPr>
        <w:autoSpaceDE w:val="0"/>
        <w:autoSpaceDN w:val="0"/>
        <w:adjustRightInd w:val="0"/>
        <w:ind w:left="720" w:firstLine="4"/>
        <w:rPr>
          <w:szCs w:val="20"/>
        </w:rPr>
      </w:pPr>
      <w:r>
        <w:rPr>
          <w:szCs w:val="20"/>
        </w:rPr>
        <w:t xml:space="preserve">The increased burden estimate from the 2011 submission reflects a correction to the “hours per response” which did not include a previous estimate of recordkeeping associated with submitting </w:t>
      </w:r>
      <w:r w:rsidR="003F56D6">
        <w:rPr>
          <w:szCs w:val="20"/>
        </w:rPr>
        <w:t>Form HUD 60002</w:t>
      </w:r>
      <w:r>
        <w:rPr>
          <w:szCs w:val="20"/>
        </w:rPr>
        <w:t>.</w:t>
      </w:r>
    </w:p>
    <w:p w:rsidR="00B9634F" w:rsidRDefault="00B9634F">
      <w:pPr>
        <w:tabs>
          <w:tab w:val="right" w:pos="3892"/>
        </w:tabs>
        <w:autoSpaceDE w:val="0"/>
        <w:autoSpaceDN w:val="0"/>
        <w:adjustRightInd w:val="0"/>
        <w:rPr>
          <w:szCs w:val="20"/>
        </w:rPr>
      </w:pPr>
    </w:p>
    <w:p w:rsidR="0003660E" w:rsidRDefault="006A1246">
      <w:pPr>
        <w:tabs>
          <w:tab w:val="right" w:pos="5407"/>
        </w:tabs>
        <w:autoSpaceDE w:val="0"/>
        <w:autoSpaceDN w:val="0"/>
        <w:adjustRightInd w:val="0"/>
        <w:rPr>
          <w:b/>
          <w:bCs/>
          <w:szCs w:val="20"/>
          <w:u w:val="single"/>
        </w:rPr>
      </w:pPr>
      <w:r>
        <w:rPr>
          <w:b/>
          <w:bCs/>
          <w:szCs w:val="20"/>
        </w:rPr>
        <w:t xml:space="preserve">A16. </w:t>
      </w:r>
      <w:r>
        <w:rPr>
          <w:b/>
          <w:bCs/>
          <w:szCs w:val="20"/>
          <w:u w:val="single"/>
        </w:rPr>
        <w:t>Plans for Tabulatio</w:t>
      </w:r>
      <w:r w:rsidR="00F8516E">
        <w:rPr>
          <w:b/>
          <w:bCs/>
          <w:szCs w:val="20"/>
          <w:u w:val="single"/>
        </w:rPr>
        <w:t>n,</w:t>
      </w:r>
      <w:r w:rsidR="00F1309B">
        <w:rPr>
          <w:b/>
          <w:bCs/>
          <w:szCs w:val="20"/>
          <w:u w:val="single"/>
        </w:rPr>
        <w:t xml:space="preserve"> </w:t>
      </w:r>
      <w:r>
        <w:rPr>
          <w:b/>
          <w:bCs/>
          <w:szCs w:val="20"/>
          <w:u w:val="single"/>
        </w:rPr>
        <w:t>Analysis, and Publication</w:t>
      </w:r>
    </w:p>
    <w:p w:rsidR="0003660E" w:rsidRDefault="0003660E">
      <w:pPr>
        <w:tabs>
          <w:tab w:val="right" w:pos="5407"/>
        </w:tabs>
        <w:autoSpaceDE w:val="0"/>
        <w:autoSpaceDN w:val="0"/>
        <w:adjustRightInd w:val="0"/>
        <w:rPr>
          <w:szCs w:val="20"/>
        </w:rPr>
      </w:pPr>
    </w:p>
    <w:p w:rsidR="008126ED" w:rsidRDefault="00B461C9" w:rsidP="00F7324B">
      <w:pPr>
        <w:autoSpaceDE w:val="0"/>
        <w:autoSpaceDN w:val="0"/>
        <w:adjustRightInd w:val="0"/>
        <w:ind w:left="720"/>
        <w:rPr>
          <w:szCs w:val="20"/>
        </w:rPr>
      </w:pPr>
      <w:r>
        <w:rPr>
          <w:szCs w:val="20"/>
        </w:rPr>
        <w:t>Information collected on HUD</w:t>
      </w:r>
      <w:r w:rsidR="00F7324B">
        <w:rPr>
          <w:szCs w:val="20"/>
        </w:rPr>
        <w:t xml:space="preserve"> Form 60002 will be analyzed by HUD staff to determine the overall effectiveness of the Department’s enforcement of the regulatory requirements at 24 CFR § 135, and to track the number of jobs (including trainee positions) that are provided to low-income persons and the dollar amount of HUD-funded contracts that are provided to businesses that substantially employ low-income persons</w:t>
      </w:r>
    </w:p>
    <w:p w:rsidR="009532B3" w:rsidRDefault="009532B3">
      <w:pPr>
        <w:autoSpaceDE w:val="0"/>
        <w:autoSpaceDN w:val="0"/>
        <w:adjustRightInd w:val="0"/>
        <w:rPr>
          <w:szCs w:val="20"/>
        </w:rPr>
      </w:pPr>
    </w:p>
    <w:p w:rsidR="0003660E" w:rsidRDefault="006A1246">
      <w:pPr>
        <w:tabs>
          <w:tab w:val="right" w:pos="5999"/>
        </w:tabs>
        <w:autoSpaceDE w:val="0"/>
        <w:autoSpaceDN w:val="0"/>
        <w:adjustRightInd w:val="0"/>
        <w:rPr>
          <w:b/>
          <w:bCs/>
          <w:szCs w:val="20"/>
          <w:u w:val="single"/>
        </w:rPr>
      </w:pPr>
      <w:r>
        <w:rPr>
          <w:b/>
          <w:bCs/>
          <w:szCs w:val="20"/>
        </w:rPr>
        <w:t xml:space="preserve">A17. </w:t>
      </w:r>
      <w:r>
        <w:rPr>
          <w:b/>
          <w:bCs/>
          <w:szCs w:val="20"/>
          <w:u w:val="single"/>
        </w:rPr>
        <w:t>Reasons for Not Displaying the OMB Expiration Date</w:t>
      </w:r>
    </w:p>
    <w:p w:rsidR="0003660E" w:rsidRDefault="0003660E">
      <w:pPr>
        <w:tabs>
          <w:tab w:val="right" w:pos="5999"/>
        </w:tabs>
        <w:autoSpaceDE w:val="0"/>
        <w:autoSpaceDN w:val="0"/>
        <w:adjustRightInd w:val="0"/>
        <w:rPr>
          <w:szCs w:val="20"/>
        </w:rPr>
      </w:pPr>
    </w:p>
    <w:p w:rsidR="0003660E" w:rsidRDefault="008126ED" w:rsidP="00121560">
      <w:pPr>
        <w:autoSpaceDE w:val="0"/>
        <w:autoSpaceDN w:val="0"/>
        <w:adjustRightInd w:val="0"/>
        <w:ind w:left="720" w:firstLine="1"/>
        <w:rPr>
          <w:szCs w:val="20"/>
        </w:rPr>
      </w:pPr>
      <w:r>
        <w:rPr>
          <w:szCs w:val="20"/>
        </w:rPr>
        <w:t>This information collection is not</w:t>
      </w:r>
      <w:r w:rsidR="006A1246">
        <w:rPr>
          <w:szCs w:val="20"/>
        </w:rPr>
        <w:t xml:space="preserve"> seeking approval to not display the expiration date for OMB approval of the information collection.</w:t>
      </w:r>
    </w:p>
    <w:p w:rsidR="0003660E" w:rsidRDefault="0003660E">
      <w:pPr>
        <w:autoSpaceDE w:val="0"/>
        <w:autoSpaceDN w:val="0"/>
        <w:adjustRightInd w:val="0"/>
        <w:ind w:firstLine="721"/>
        <w:rPr>
          <w:szCs w:val="20"/>
        </w:rPr>
      </w:pPr>
    </w:p>
    <w:p w:rsidR="0003660E" w:rsidRDefault="006A1246">
      <w:pPr>
        <w:autoSpaceDE w:val="0"/>
        <w:autoSpaceDN w:val="0"/>
        <w:adjustRightInd w:val="0"/>
        <w:rPr>
          <w:b/>
          <w:bCs/>
          <w:szCs w:val="20"/>
          <w:u w:val="single"/>
        </w:rPr>
      </w:pPr>
      <w:r>
        <w:rPr>
          <w:b/>
          <w:bCs/>
          <w:szCs w:val="20"/>
        </w:rPr>
        <w:t xml:space="preserve">A18. </w:t>
      </w:r>
      <w:r>
        <w:rPr>
          <w:b/>
          <w:bCs/>
          <w:szCs w:val="20"/>
          <w:u w:val="single"/>
        </w:rPr>
        <w:t>Exceptions</w:t>
      </w:r>
    </w:p>
    <w:p w:rsidR="00F8516E" w:rsidRDefault="00F8516E">
      <w:pPr>
        <w:autoSpaceDE w:val="0"/>
        <w:autoSpaceDN w:val="0"/>
        <w:adjustRightInd w:val="0"/>
        <w:rPr>
          <w:szCs w:val="20"/>
        </w:rPr>
      </w:pPr>
    </w:p>
    <w:p w:rsidR="0003660E" w:rsidRDefault="006A1246">
      <w:pPr>
        <w:autoSpaceDE w:val="0"/>
        <w:autoSpaceDN w:val="0"/>
        <w:adjustRightInd w:val="0"/>
        <w:ind w:firstLine="720"/>
        <w:rPr>
          <w:szCs w:val="20"/>
        </w:rPr>
      </w:pPr>
      <w:r>
        <w:rPr>
          <w:szCs w:val="20"/>
        </w:rPr>
        <w:t>There are no exceptions to the certification statement identified in Item 19 of OMB Form 83-1.</w:t>
      </w:r>
    </w:p>
    <w:p w:rsidR="0003660E" w:rsidRDefault="0003660E">
      <w:pPr>
        <w:autoSpaceDE w:val="0"/>
        <w:autoSpaceDN w:val="0"/>
        <w:adjustRightInd w:val="0"/>
        <w:rPr>
          <w:szCs w:val="20"/>
        </w:rPr>
      </w:pPr>
    </w:p>
    <w:p w:rsidR="0003660E" w:rsidRDefault="006A1246">
      <w:pPr>
        <w:tabs>
          <w:tab w:val="right" w:pos="5442"/>
        </w:tabs>
        <w:autoSpaceDE w:val="0"/>
        <w:autoSpaceDN w:val="0"/>
        <w:adjustRightInd w:val="0"/>
        <w:rPr>
          <w:b/>
          <w:bCs/>
          <w:szCs w:val="20"/>
          <w:u w:val="single"/>
        </w:rPr>
      </w:pPr>
      <w:r>
        <w:rPr>
          <w:b/>
          <w:bCs/>
          <w:szCs w:val="20"/>
          <w:u w:val="single"/>
        </w:rPr>
        <w:t>PART B - EMPLOYMENT OF STATISTICAL METHODS</w:t>
      </w:r>
    </w:p>
    <w:p w:rsidR="0003660E" w:rsidRDefault="0003660E">
      <w:pPr>
        <w:tabs>
          <w:tab w:val="right" w:pos="5442"/>
        </w:tabs>
        <w:autoSpaceDE w:val="0"/>
        <w:autoSpaceDN w:val="0"/>
        <w:adjustRightInd w:val="0"/>
        <w:rPr>
          <w:szCs w:val="20"/>
        </w:rPr>
      </w:pPr>
    </w:p>
    <w:p w:rsidR="0003660E" w:rsidRDefault="006A1246" w:rsidP="00635691">
      <w:pPr>
        <w:autoSpaceDE w:val="0"/>
        <w:autoSpaceDN w:val="0"/>
        <w:adjustRightInd w:val="0"/>
        <w:ind w:firstLine="720"/>
        <w:rPr>
          <w:sz w:val="20"/>
          <w:szCs w:val="20"/>
        </w:rPr>
      </w:pPr>
      <w:r>
        <w:rPr>
          <w:szCs w:val="20"/>
        </w:rPr>
        <w:t>This information collection does not employ statistical methods.</w:t>
      </w:r>
    </w:p>
    <w:p w:rsidR="0003660E" w:rsidRDefault="0003660E">
      <w:pPr>
        <w:spacing w:after="40"/>
        <w:ind w:left="120" w:right="-120"/>
        <w:rPr>
          <w:sz w:val="18"/>
          <w:szCs w:val="18"/>
        </w:rPr>
      </w:pPr>
    </w:p>
    <w:sectPr w:rsidR="0003660E" w:rsidSect="00050F3E">
      <w:footerReference w:type="even" r:id="rId9"/>
      <w:footerReference w:type="default" r:id="rId10"/>
      <w:pgSz w:w="12240" w:h="15840"/>
      <w:pgMar w:top="1080" w:right="720" w:bottom="720" w:left="720" w:header="720" w:footer="44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5B7" w:rsidRDefault="004E65B7">
      <w:r>
        <w:separator/>
      </w:r>
    </w:p>
  </w:endnote>
  <w:endnote w:type="continuationSeparator" w:id="0">
    <w:p w:rsidR="004E65B7" w:rsidRDefault="004E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691" w:rsidRDefault="008F4DDB">
    <w:pPr>
      <w:pStyle w:val="Footer"/>
      <w:framePr w:wrap="around" w:vAnchor="text" w:hAnchor="margin" w:xAlign="right" w:y="1"/>
      <w:rPr>
        <w:rStyle w:val="PageNumber"/>
      </w:rPr>
    </w:pPr>
    <w:r>
      <w:rPr>
        <w:rStyle w:val="PageNumber"/>
      </w:rPr>
      <w:fldChar w:fldCharType="begin"/>
    </w:r>
    <w:r w:rsidR="00635691">
      <w:rPr>
        <w:rStyle w:val="PageNumber"/>
      </w:rPr>
      <w:instrText xml:space="preserve">PAGE  </w:instrText>
    </w:r>
    <w:r>
      <w:rPr>
        <w:rStyle w:val="PageNumber"/>
      </w:rPr>
      <w:fldChar w:fldCharType="end"/>
    </w:r>
  </w:p>
  <w:p w:rsidR="00635691" w:rsidRDefault="006356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691" w:rsidRDefault="008F4DDB">
    <w:pPr>
      <w:pStyle w:val="Footer"/>
      <w:framePr w:wrap="around" w:vAnchor="text" w:hAnchor="margin" w:xAlign="right" w:y="1"/>
      <w:rPr>
        <w:rStyle w:val="PageNumber"/>
      </w:rPr>
    </w:pPr>
    <w:r>
      <w:rPr>
        <w:rStyle w:val="PageNumber"/>
      </w:rPr>
      <w:fldChar w:fldCharType="begin"/>
    </w:r>
    <w:r w:rsidR="00635691">
      <w:rPr>
        <w:rStyle w:val="PageNumber"/>
      </w:rPr>
      <w:instrText xml:space="preserve">PAGE  </w:instrText>
    </w:r>
    <w:r>
      <w:rPr>
        <w:rStyle w:val="PageNumber"/>
      </w:rPr>
      <w:fldChar w:fldCharType="separate"/>
    </w:r>
    <w:r w:rsidR="00C06466">
      <w:rPr>
        <w:rStyle w:val="PageNumber"/>
        <w:noProof/>
      </w:rPr>
      <w:t>1</w:t>
    </w:r>
    <w:r>
      <w:rPr>
        <w:rStyle w:val="PageNumber"/>
      </w:rPr>
      <w:fldChar w:fldCharType="end"/>
    </w:r>
  </w:p>
  <w:p w:rsidR="00635691" w:rsidRDefault="006356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5B7" w:rsidRDefault="004E65B7">
      <w:r>
        <w:separator/>
      </w:r>
    </w:p>
  </w:footnote>
  <w:footnote w:type="continuationSeparator" w:id="0">
    <w:p w:rsidR="004E65B7" w:rsidRDefault="004E6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4C70"/>
    <w:multiLevelType w:val="hybridMultilevel"/>
    <w:tmpl w:val="8F483064"/>
    <w:lvl w:ilvl="0" w:tplc="4DA63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E271DD"/>
    <w:multiLevelType w:val="hybridMultilevel"/>
    <w:tmpl w:val="F4D8B6E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E446B9B"/>
    <w:multiLevelType w:val="hybridMultilevel"/>
    <w:tmpl w:val="BC76AB1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8343039"/>
    <w:multiLevelType w:val="hybridMultilevel"/>
    <w:tmpl w:val="89B6B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76B37F7"/>
    <w:multiLevelType w:val="hybridMultilevel"/>
    <w:tmpl w:val="7730F4FA"/>
    <w:lvl w:ilvl="0" w:tplc="D1A090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9E5"/>
    <w:rsid w:val="0003660E"/>
    <w:rsid w:val="00050F3E"/>
    <w:rsid w:val="000740F4"/>
    <w:rsid w:val="000921EF"/>
    <w:rsid w:val="000B4261"/>
    <w:rsid w:val="000F098D"/>
    <w:rsid w:val="00121560"/>
    <w:rsid w:val="001253DB"/>
    <w:rsid w:val="00146BA6"/>
    <w:rsid w:val="00155D2D"/>
    <w:rsid w:val="00165A2F"/>
    <w:rsid w:val="00186F16"/>
    <w:rsid w:val="001A722B"/>
    <w:rsid w:val="001F0641"/>
    <w:rsid w:val="001F5EDF"/>
    <w:rsid w:val="00227828"/>
    <w:rsid w:val="0023481C"/>
    <w:rsid w:val="002757F3"/>
    <w:rsid w:val="002907EE"/>
    <w:rsid w:val="002A46BE"/>
    <w:rsid w:val="002E038F"/>
    <w:rsid w:val="0031145F"/>
    <w:rsid w:val="003336CB"/>
    <w:rsid w:val="003C2470"/>
    <w:rsid w:val="003C2E85"/>
    <w:rsid w:val="003C7E4F"/>
    <w:rsid w:val="003D014F"/>
    <w:rsid w:val="003D733A"/>
    <w:rsid w:val="003F1934"/>
    <w:rsid w:val="003F56D6"/>
    <w:rsid w:val="003F5E91"/>
    <w:rsid w:val="00430199"/>
    <w:rsid w:val="00453795"/>
    <w:rsid w:val="00483485"/>
    <w:rsid w:val="004C6E6F"/>
    <w:rsid w:val="004E65B7"/>
    <w:rsid w:val="00527022"/>
    <w:rsid w:val="005271F7"/>
    <w:rsid w:val="005E1C69"/>
    <w:rsid w:val="005E3687"/>
    <w:rsid w:val="0060443C"/>
    <w:rsid w:val="00621A83"/>
    <w:rsid w:val="00635691"/>
    <w:rsid w:val="006A1246"/>
    <w:rsid w:val="006A7E60"/>
    <w:rsid w:val="006C14C8"/>
    <w:rsid w:val="00707750"/>
    <w:rsid w:val="007303A3"/>
    <w:rsid w:val="00747CC4"/>
    <w:rsid w:val="00762C77"/>
    <w:rsid w:val="00791283"/>
    <w:rsid w:val="007B0A33"/>
    <w:rsid w:val="007D4D83"/>
    <w:rsid w:val="007E27F4"/>
    <w:rsid w:val="007E4323"/>
    <w:rsid w:val="008126ED"/>
    <w:rsid w:val="00813D3E"/>
    <w:rsid w:val="00827BDE"/>
    <w:rsid w:val="00862887"/>
    <w:rsid w:val="008A38A8"/>
    <w:rsid w:val="008C3BB5"/>
    <w:rsid w:val="008F4DDB"/>
    <w:rsid w:val="009524A8"/>
    <w:rsid w:val="009532B3"/>
    <w:rsid w:val="00955BFC"/>
    <w:rsid w:val="009617E1"/>
    <w:rsid w:val="009847A2"/>
    <w:rsid w:val="009B05B7"/>
    <w:rsid w:val="009D60D8"/>
    <w:rsid w:val="009F0DA3"/>
    <w:rsid w:val="00A304A8"/>
    <w:rsid w:val="00A31A15"/>
    <w:rsid w:val="00A54446"/>
    <w:rsid w:val="00A60663"/>
    <w:rsid w:val="00A771D3"/>
    <w:rsid w:val="00A829C4"/>
    <w:rsid w:val="00AA5B63"/>
    <w:rsid w:val="00AC7460"/>
    <w:rsid w:val="00AF37CF"/>
    <w:rsid w:val="00AF441A"/>
    <w:rsid w:val="00B21DF3"/>
    <w:rsid w:val="00B461C9"/>
    <w:rsid w:val="00B75275"/>
    <w:rsid w:val="00B9634F"/>
    <w:rsid w:val="00B967FE"/>
    <w:rsid w:val="00B96F9F"/>
    <w:rsid w:val="00BA200D"/>
    <w:rsid w:val="00BC7D70"/>
    <w:rsid w:val="00C06466"/>
    <w:rsid w:val="00C071BF"/>
    <w:rsid w:val="00C17FC6"/>
    <w:rsid w:val="00C77A70"/>
    <w:rsid w:val="00C8225C"/>
    <w:rsid w:val="00CA6A3E"/>
    <w:rsid w:val="00CF32EB"/>
    <w:rsid w:val="00D07E5C"/>
    <w:rsid w:val="00D24BA3"/>
    <w:rsid w:val="00D5027A"/>
    <w:rsid w:val="00D96966"/>
    <w:rsid w:val="00DA5171"/>
    <w:rsid w:val="00DB1584"/>
    <w:rsid w:val="00DB15ED"/>
    <w:rsid w:val="00DD10A7"/>
    <w:rsid w:val="00E9279E"/>
    <w:rsid w:val="00EA60CA"/>
    <w:rsid w:val="00EB7C7D"/>
    <w:rsid w:val="00EF7688"/>
    <w:rsid w:val="00F0112D"/>
    <w:rsid w:val="00F1309B"/>
    <w:rsid w:val="00F21BAA"/>
    <w:rsid w:val="00F35821"/>
    <w:rsid w:val="00F57EAA"/>
    <w:rsid w:val="00F63195"/>
    <w:rsid w:val="00F7324B"/>
    <w:rsid w:val="00F8516E"/>
    <w:rsid w:val="00FB076E"/>
    <w:rsid w:val="00FD0A76"/>
    <w:rsid w:val="00FD317A"/>
    <w:rsid w:val="00FE59E5"/>
    <w:rsid w:val="00FE7FFB"/>
    <w:rsid w:val="00FF4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60E"/>
    <w:rPr>
      <w:sz w:val="24"/>
      <w:szCs w:val="24"/>
    </w:rPr>
  </w:style>
  <w:style w:type="paragraph" w:styleId="Heading1">
    <w:name w:val="heading 1"/>
    <w:basedOn w:val="Normal"/>
    <w:next w:val="Normal"/>
    <w:qFormat/>
    <w:rsid w:val="0003660E"/>
    <w:pPr>
      <w:keepNext/>
      <w:tabs>
        <w:tab w:val="left" w:pos="1395"/>
        <w:tab w:val="right" w:pos="9138"/>
      </w:tabs>
      <w:autoSpaceDE w:val="0"/>
      <w:autoSpaceDN w:val="0"/>
      <w:adjustRightInd w:val="0"/>
      <w:ind w:left="1395"/>
      <w:outlineLvl w:val="0"/>
    </w:pPr>
    <w:rPr>
      <w:b/>
      <w:bCs/>
      <w:sz w:val="20"/>
      <w:szCs w:val="20"/>
    </w:rPr>
  </w:style>
  <w:style w:type="paragraph" w:styleId="Heading2">
    <w:name w:val="heading 2"/>
    <w:basedOn w:val="Normal"/>
    <w:next w:val="Normal"/>
    <w:qFormat/>
    <w:rsid w:val="0003660E"/>
    <w:pPr>
      <w:keepNext/>
      <w:autoSpaceDE w:val="0"/>
      <w:autoSpaceDN w:val="0"/>
      <w:adjustRightInd w:val="0"/>
      <w:outlineLvl w:val="1"/>
    </w:pPr>
    <w:rPr>
      <w:b/>
      <w:bCs/>
      <w:sz w:val="20"/>
      <w:szCs w:val="20"/>
    </w:rPr>
  </w:style>
  <w:style w:type="paragraph" w:styleId="Heading3">
    <w:name w:val="heading 3"/>
    <w:basedOn w:val="Normal"/>
    <w:next w:val="Normal"/>
    <w:qFormat/>
    <w:rsid w:val="0003660E"/>
    <w:pPr>
      <w:keepNext/>
      <w:autoSpaceDE w:val="0"/>
      <w:autoSpaceDN w:val="0"/>
      <w:adjustRightInd w:val="0"/>
      <w:ind w:left="756"/>
      <w:outlineLvl w:val="2"/>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03660E"/>
    <w:pPr>
      <w:tabs>
        <w:tab w:val="center" w:pos="4320"/>
        <w:tab w:val="right" w:pos="8640"/>
      </w:tabs>
    </w:pPr>
  </w:style>
  <w:style w:type="character" w:styleId="PageNumber">
    <w:name w:val="page number"/>
    <w:basedOn w:val="DefaultParagraphFont"/>
    <w:semiHidden/>
    <w:rsid w:val="0003660E"/>
  </w:style>
  <w:style w:type="paragraph" w:styleId="BodyTextIndent">
    <w:name w:val="Body Text Indent"/>
    <w:basedOn w:val="Normal"/>
    <w:semiHidden/>
    <w:rsid w:val="0003660E"/>
    <w:pPr>
      <w:autoSpaceDE w:val="0"/>
      <w:autoSpaceDN w:val="0"/>
      <w:adjustRightInd w:val="0"/>
      <w:ind w:firstLine="721"/>
    </w:pPr>
    <w:rPr>
      <w:sz w:val="20"/>
      <w:szCs w:val="20"/>
    </w:rPr>
  </w:style>
  <w:style w:type="paragraph" w:styleId="BodyText">
    <w:name w:val="Body Text"/>
    <w:basedOn w:val="Normal"/>
    <w:semiHidden/>
    <w:rsid w:val="0003660E"/>
    <w:pPr>
      <w:tabs>
        <w:tab w:val="left" w:pos="739"/>
        <w:tab w:val="right" w:pos="6337"/>
      </w:tabs>
      <w:autoSpaceDE w:val="0"/>
      <w:autoSpaceDN w:val="0"/>
      <w:adjustRightInd w:val="0"/>
    </w:pPr>
    <w:rPr>
      <w:sz w:val="20"/>
    </w:rPr>
  </w:style>
  <w:style w:type="paragraph" w:styleId="BodyTextIndent2">
    <w:name w:val="Body Text Indent 2"/>
    <w:basedOn w:val="Normal"/>
    <w:semiHidden/>
    <w:rsid w:val="0003660E"/>
    <w:pPr>
      <w:autoSpaceDE w:val="0"/>
      <w:autoSpaceDN w:val="0"/>
      <w:adjustRightInd w:val="0"/>
      <w:ind w:firstLine="738"/>
    </w:pPr>
    <w:rPr>
      <w:sz w:val="20"/>
      <w:szCs w:val="20"/>
    </w:rPr>
  </w:style>
  <w:style w:type="paragraph" w:styleId="BodyTextIndent3">
    <w:name w:val="Body Text Indent 3"/>
    <w:basedOn w:val="Normal"/>
    <w:semiHidden/>
    <w:rsid w:val="0003660E"/>
    <w:pPr>
      <w:autoSpaceDE w:val="0"/>
      <w:autoSpaceDN w:val="0"/>
      <w:adjustRightInd w:val="0"/>
      <w:ind w:firstLine="734"/>
    </w:pPr>
    <w:rPr>
      <w:sz w:val="20"/>
      <w:szCs w:val="20"/>
    </w:rPr>
  </w:style>
  <w:style w:type="paragraph" w:styleId="BodyText3">
    <w:name w:val="Body Text 3"/>
    <w:basedOn w:val="Normal"/>
    <w:semiHidden/>
    <w:rsid w:val="0003660E"/>
    <w:pPr>
      <w:tabs>
        <w:tab w:val="left" w:pos="739"/>
        <w:tab w:val="right" w:pos="6337"/>
      </w:tabs>
      <w:autoSpaceDE w:val="0"/>
      <w:autoSpaceDN w:val="0"/>
      <w:adjustRightInd w:val="0"/>
    </w:pPr>
    <w:rPr>
      <w:color w:val="000000"/>
      <w:szCs w:val="20"/>
    </w:rPr>
  </w:style>
  <w:style w:type="character" w:styleId="Hyperlink">
    <w:name w:val="Hyperlink"/>
    <w:basedOn w:val="DefaultParagraphFont"/>
    <w:semiHidden/>
    <w:rsid w:val="0003660E"/>
    <w:rPr>
      <w:color w:val="0000FF"/>
      <w:u w:val="single"/>
    </w:rPr>
  </w:style>
  <w:style w:type="character" w:styleId="FollowedHyperlink">
    <w:name w:val="FollowedHyperlink"/>
    <w:basedOn w:val="DefaultParagraphFont"/>
    <w:semiHidden/>
    <w:rsid w:val="0003660E"/>
    <w:rPr>
      <w:color w:val="800080"/>
      <w:u w:val="single"/>
    </w:rPr>
  </w:style>
  <w:style w:type="table" w:styleId="TableGrid">
    <w:name w:val="Table Grid"/>
    <w:basedOn w:val="TableNormal"/>
    <w:uiPriority w:val="59"/>
    <w:rsid w:val="00C071BF"/>
    <w:pPr>
      <w:jc w:val="center"/>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C7460"/>
    <w:rPr>
      <w:rFonts w:ascii="Tahoma" w:hAnsi="Tahoma" w:cs="Tahoma"/>
      <w:sz w:val="16"/>
      <w:szCs w:val="16"/>
    </w:rPr>
  </w:style>
  <w:style w:type="character" w:customStyle="1" w:styleId="BalloonTextChar">
    <w:name w:val="Balloon Text Char"/>
    <w:basedOn w:val="DefaultParagraphFont"/>
    <w:link w:val="BalloonText"/>
    <w:uiPriority w:val="99"/>
    <w:semiHidden/>
    <w:rsid w:val="00AC7460"/>
    <w:rPr>
      <w:rFonts w:ascii="Tahoma" w:hAnsi="Tahoma" w:cs="Tahoma"/>
      <w:sz w:val="16"/>
      <w:szCs w:val="16"/>
    </w:rPr>
  </w:style>
  <w:style w:type="paragraph" w:styleId="ListParagraph">
    <w:name w:val="List Paragraph"/>
    <w:basedOn w:val="Normal"/>
    <w:uiPriority w:val="34"/>
    <w:qFormat/>
    <w:rsid w:val="005271F7"/>
    <w:pPr>
      <w:ind w:left="720"/>
    </w:pPr>
    <w:rPr>
      <w:rFonts w:ascii="Calibri" w:eastAsiaTheme="minorHAnsi" w:hAnsi="Calibri"/>
      <w:sz w:val="22"/>
      <w:szCs w:val="22"/>
    </w:rPr>
  </w:style>
  <w:style w:type="paragraph" w:styleId="FootnoteText">
    <w:name w:val="footnote text"/>
    <w:basedOn w:val="Normal"/>
    <w:link w:val="FootnoteTextChar"/>
    <w:uiPriority w:val="99"/>
    <w:unhideWhenUsed/>
    <w:rsid w:val="00955BFC"/>
    <w:rPr>
      <w:rFonts w:ascii="Calibri" w:hAnsi="Calibri"/>
      <w:sz w:val="20"/>
      <w:szCs w:val="20"/>
    </w:rPr>
  </w:style>
  <w:style w:type="character" w:customStyle="1" w:styleId="FootnoteTextChar">
    <w:name w:val="Footnote Text Char"/>
    <w:basedOn w:val="DefaultParagraphFont"/>
    <w:link w:val="FootnoteText"/>
    <w:uiPriority w:val="99"/>
    <w:rsid w:val="00955BFC"/>
    <w:rPr>
      <w:rFonts w:ascii="Calibri" w:hAnsi="Calibri"/>
    </w:rPr>
  </w:style>
  <w:style w:type="character" w:styleId="FootnoteReference">
    <w:name w:val="footnote reference"/>
    <w:uiPriority w:val="99"/>
    <w:semiHidden/>
    <w:unhideWhenUsed/>
    <w:rsid w:val="00955BFC"/>
    <w:rPr>
      <w:vertAlign w:val="superscript"/>
    </w:rPr>
  </w:style>
  <w:style w:type="paragraph" w:styleId="Header">
    <w:name w:val="header"/>
    <w:basedOn w:val="Normal"/>
    <w:link w:val="HeaderChar"/>
    <w:uiPriority w:val="99"/>
    <w:unhideWhenUsed/>
    <w:rsid w:val="00050F3E"/>
    <w:pPr>
      <w:tabs>
        <w:tab w:val="center" w:pos="4680"/>
        <w:tab w:val="right" w:pos="9360"/>
      </w:tabs>
    </w:pPr>
  </w:style>
  <w:style w:type="character" w:customStyle="1" w:styleId="HeaderChar">
    <w:name w:val="Header Char"/>
    <w:basedOn w:val="DefaultParagraphFont"/>
    <w:link w:val="Header"/>
    <w:uiPriority w:val="99"/>
    <w:rsid w:val="00050F3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60E"/>
    <w:rPr>
      <w:sz w:val="24"/>
      <w:szCs w:val="24"/>
    </w:rPr>
  </w:style>
  <w:style w:type="paragraph" w:styleId="Heading1">
    <w:name w:val="heading 1"/>
    <w:basedOn w:val="Normal"/>
    <w:next w:val="Normal"/>
    <w:qFormat/>
    <w:rsid w:val="0003660E"/>
    <w:pPr>
      <w:keepNext/>
      <w:tabs>
        <w:tab w:val="left" w:pos="1395"/>
        <w:tab w:val="right" w:pos="9138"/>
      </w:tabs>
      <w:autoSpaceDE w:val="0"/>
      <w:autoSpaceDN w:val="0"/>
      <w:adjustRightInd w:val="0"/>
      <w:ind w:left="1395"/>
      <w:outlineLvl w:val="0"/>
    </w:pPr>
    <w:rPr>
      <w:b/>
      <w:bCs/>
      <w:sz w:val="20"/>
      <w:szCs w:val="20"/>
    </w:rPr>
  </w:style>
  <w:style w:type="paragraph" w:styleId="Heading2">
    <w:name w:val="heading 2"/>
    <w:basedOn w:val="Normal"/>
    <w:next w:val="Normal"/>
    <w:qFormat/>
    <w:rsid w:val="0003660E"/>
    <w:pPr>
      <w:keepNext/>
      <w:autoSpaceDE w:val="0"/>
      <w:autoSpaceDN w:val="0"/>
      <w:adjustRightInd w:val="0"/>
      <w:outlineLvl w:val="1"/>
    </w:pPr>
    <w:rPr>
      <w:b/>
      <w:bCs/>
      <w:sz w:val="20"/>
      <w:szCs w:val="20"/>
    </w:rPr>
  </w:style>
  <w:style w:type="paragraph" w:styleId="Heading3">
    <w:name w:val="heading 3"/>
    <w:basedOn w:val="Normal"/>
    <w:next w:val="Normal"/>
    <w:qFormat/>
    <w:rsid w:val="0003660E"/>
    <w:pPr>
      <w:keepNext/>
      <w:autoSpaceDE w:val="0"/>
      <w:autoSpaceDN w:val="0"/>
      <w:adjustRightInd w:val="0"/>
      <w:ind w:left="756"/>
      <w:outlineLvl w:val="2"/>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03660E"/>
    <w:pPr>
      <w:tabs>
        <w:tab w:val="center" w:pos="4320"/>
        <w:tab w:val="right" w:pos="8640"/>
      </w:tabs>
    </w:pPr>
  </w:style>
  <w:style w:type="character" w:styleId="PageNumber">
    <w:name w:val="page number"/>
    <w:basedOn w:val="DefaultParagraphFont"/>
    <w:semiHidden/>
    <w:rsid w:val="0003660E"/>
  </w:style>
  <w:style w:type="paragraph" w:styleId="BodyTextIndent">
    <w:name w:val="Body Text Indent"/>
    <w:basedOn w:val="Normal"/>
    <w:semiHidden/>
    <w:rsid w:val="0003660E"/>
    <w:pPr>
      <w:autoSpaceDE w:val="0"/>
      <w:autoSpaceDN w:val="0"/>
      <w:adjustRightInd w:val="0"/>
      <w:ind w:firstLine="721"/>
    </w:pPr>
    <w:rPr>
      <w:sz w:val="20"/>
      <w:szCs w:val="20"/>
    </w:rPr>
  </w:style>
  <w:style w:type="paragraph" w:styleId="BodyText">
    <w:name w:val="Body Text"/>
    <w:basedOn w:val="Normal"/>
    <w:semiHidden/>
    <w:rsid w:val="0003660E"/>
    <w:pPr>
      <w:tabs>
        <w:tab w:val="left" w:pos="739"/>
        <w:tab w:val="right" w:pos="6337"/>
      </w:tabs>
      <w:autoSpaceDE w:val="0"/>
      <w:autoSpaceDN w:val="0"/>
      <w:adjustRightInd w:val="0"/>
    </w:pPr>
    <w:rPr>
      <w:sz w:val="20"/>
    </w:rPr>
  </w:style>
  <w:style w:type="paragraph" w:styleId="BodyTextIndent2">
    <w:name w:val="Body Text Indent 2"/>
    <w:basedOn w:val="Normal"/>
    <w:semiHidden/>
    <w:rsid w:val="0003660E"/>
    <w:pPr>
      <w:autoSpaceDE w:val="0"/>
      <w:autoSpaceDN w:val="0"/>
      <w:adjustRightInd w:val="0"/>
      <w:ind w:firstLine="738"/>
    </w:pPr>
    <w:rPr>
      <w:sz w:val="20"/>
      <w:szCs w:val="20"/>
    </w:rPr>
  </w:style>
  <w:style w:type="paragraph" w:styleId="BodyTextIndent3">
    <w:name w:val="Body Text Indent 3"/>
    <w:basedOn w:val="Normal"/>
    <w:semiHidden/>
    <w:rsid w:val="0003660E"/>
    <w:pPr>
      <w:autoSpaceDE w:val="0"/>
      <w:autoSpaceDN w:val="0"/>
      <w:adjustRightInd w:val="0"/>
      <w:ind w:firstLine="734"/>
    </w:pPr>
    <w:rPr>
      <w:sz w:val="20"/>
      <w:szCs w:val="20"/>
    </w:rPr>
  </w:style>
  <w:style w:type="paragraph" w:styleId="BodyText3">
    <w:name w:val="Body Text 3"/>
    <w:basedOn w:val="Normal"/>
    <w:semiHidden/>
    <w:rsid w:val="0003660E"/>
    <w:pPr>
      <w:tabs>
        <w:tab w:val="left" w:pos="739"/>
        <w:tab w:val="right" w:pos="6337"/>
      </w:tabs>
      <w:autoSpaceDE w:val="0"/>
      <w:autoSpaceDN w:val="0"/>
      <w:adjustRightInd w:val="0"/>
    </w:pPr>
    <w:rPr>
      <w:color w:val="000000"/>
      <w:szCs w:val="20"/>
    </w:rPr>
  </w:style>
  <w:style w:type="character" w:styleId="Hyperlink">
    <w:name w:val="Hyperlink"/>
    <w:basedOn w:val="DefaultParagraphFont"/>
    <w:semiHidden/>
    <w:rsid w:val="0003660E"/>
    <w:rPr>
      <w:color w:val="0000FF"/>
      <w:u w:val="single"/>
    </w:rPr>
  </w:style>
  <w:style w:type="character" w:styleId="FollowedHyperlink">
    <w:name w:val="FollowedHyperlink"/>
    <w:basedOn w:val="DefaultParagraphFont"/>
    <w:semiHidden/>
    <w:rsid w:val="0003660E"/>
    <w:rPr>
      <w:color w:val="800080"/>
      <w:u w:val="single"/>
    </w:rPr>
  </w:style>
  <w:style w:type="table" w:styleId="TableGrid">
    <w:name w:val="Table Grid"/>
    <w:basedOn w:val="TableNormal"/>
    <w:uiPriority w:val="59"/>
    <w:rsid w:val="00C071BF"/>
    <w:pPr>
      <w:jc w:val="center"/>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C7460"/>
    <w:rPr>
      <w:rFonts w:ascii="Tahoma" w:hAnsi="Tahoma" w:cs="Tahoma"/>
      <w:sz w:val="16"/>
      <w:szCs w:val="16"/>
    </w:rPr>
  </w:style>
  <w:style w:type="character" w:customStyle="1" w:styleId="BalloonTextChar">
    <w:name w:val="Balloon Text Char"/>
    <w:basedOn w:val="DefaultParagraphFont"/>
    <w:link w:val="BalloonText"/>
    <w:uiPriority w:val="99"/>
    <w:semiHidden/>
    <w:rsid w:val="00AC7460"/>
    <w:rPr>
      <w:rFonts w:ascii="Tahoma" w:hAnsi="Tahoma" w:cs="Tahoma"/>
      <w:sz w:val="16"/>
      <w:szCs w:val="16"/>
    </w:rPr>
  </w:style>
  <w:style w:type="paragraph" w:styleId="ListParagraph">
    <w:name w:val="List Paragraph"/>
    <w:basedOn w:val="Normal"/>
    <w:uiPriority w:val="34"/>
    <w:qFormat/>
    <w:rsid w:val="005271F7"/>
    <w:pPr>
      <w:ind w:left="720"/>
    </w:pPr>
    <w:rPr>
      <w:rFonts w:ascii="Calibri" w:eastAsiaTheme="minorHAnsi" w:hAnsi="Calibri"/>
      <w:sz w:val="22"/>
      <w:szCs w:val="22"/>
    </w:rPr>
  </w:style>
  <w:style w:type="paragraph" w:styleId="FootnoteText">
    <w:name w:val="footnote text"/>
    <w:basedOn w:val="Normal"/>
    <w:link w:val="FootnoteTextChar"/>
    <w:uiPriority w:val="99"/>
    <w:unhideWhenUsed/>
    <w:rsid w:val="00955BFC"/>
    <w:rPr>
      <w:rFonts w:ascii="Calibri" w:hAnsi="Calibri"/>
      <w:sz w:val="20"/>
      <w:szCs w:val="20"/>
    </w:rPr>
  </w:style>
  <w:style w:type="character" w:customStyle="1" w:styleId="FootnoteTextChar">
    <w:name w:val="Footnote Text Char"/>
    <w:basedOn w:val="DefaultParagraphFont"/>
    <w:link w:val="FootnoteText"/>
    <w:uiPriority w:val="99"/>
    <w:rsid w:val="00955BFC"/>
    <w:rPr>
      <w:rFonts w:ascii="Calibri" w:hAnsi="Calibri"/>
    </w:rPr>
  </w:style>
  <w:style w:type="character" w:styleId="FootnoteReference">
    <w:name w:val="footnote reference"/>
    <w:uiPriority w:val="99"/>
    <w:semiHidden/>
    <w:unhideWhenUsed/>
    <w:rsid w:val="00955BFC"/>
    <w:rPr>
      <w:vertAlign w:val="superscript"/>
    </w:rPr>
  </w:style>
  <w:style w:type="paragraph" w:styleId="Header">
    <w:name w:val="header"/>
    <w:basedOn w:val="Normal"/>
    <w:link w:val="HeaderChar"/>
    <w:uiPriority w:val="99"/>
    <w:unhideWhenUsed/>
    <w:rsid w:val="00050F3E"/>
    <w:pPr>
      <w:tabs>
        <w:tab w:val="center" w:pos="4680"/>
        <w:tab w:val="right" w:pos="9360"/>
      </w:tabs>
    </w:pPr>
  </w:style>
  <w:style w:type="character" w:customStyle="1" w:styleId="HeaderChar">
    <w:name w:val="Header Char"/>
    <w:basedOn w:val="DefaultParagraphFont"/>
    <w:link w:val="Header"/>
    <w:uiPriority w:val="99"/>
    <w:rsid w:val="00050F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8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8FF6C-08DA-489B-B2D8-903458C62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4570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Housing and Urban Development</Company>
  <LinksUpToDate>false</LinksUpToDate>
  <CharactersWithSpaces>5353</CharactersWithSpaces>
  <SharedDoc>false</SharedDoc>
  <HLinks>
    <vt:vector size="6" baseType="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Michael X. Torreyson</dc:creator>
  <cp:lastModifiedBy>H45596</cp:lastModifiedBy>
  <cp:revision>2</cp:revision>
  <cp:lastPrinted>2015-08-26T13:51:00Z</cp:lastPrinted>
  <dcterms:created xsi:type="dcterms:W3CDTF">2015-08-26T18:38:00Z</dcterms:created>
  <dcterms:modified xsi:type="dcterms:W3CDTF">2015-08-26T18:38:00Z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2075218836</vt:i4>
  </property>
  <property fmtid="{D5CDD505-2E9C-101B-9397-08002B2CF9AE}" pid="3" name="_NewReviewCycle">
    <vt:lpwstr/>
  </property>
  <property fmtid="{D5CDD505-2E9C-101B-9397-08002B2CF9AE}" pid="4" name="_EmailSubject">
    <vt:lpwstr>Revised Statement</vt:lpwstr>
  </property>
  <property fmtid="{D5CDD505-2E9C-101B-9397-08002B2CF9AE}" pid="5" name="_AuthorEmail">
    <vt:lpwstr>Staci.Gilliam@hud.gov</vt:lpwstr>
  </property>
  <property fmtid="{D5CDD505-2E9C-101B-9397-08002B2CF9AE}" pid="6" name="_AuthorEmailDisplayName">
    <vt:lpwstr>Gilliam, Staci N</vt:lpwstr>
  </property>
  <property fmtid="{D5CDD505-2E9C-101B-9397-08002B2CF9AE}" pid="7" name="_PreviousAdHocReviewCycleID">
    <vt:i4>-1917763491</vt:i4>
  </property>
  <property fmtid="{D5CDD505-2E9C-101B-9397-08002B2CF9AE}" pid="8" name="_ReviewingToolsShownOnce">
    <vt:lpwstr/>
  </property>
</Properties>
</file>