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2A2E3" w14:textId="23EF812D" w:rsidR="009A4F54" w:rsidRDefault="004D664F" w:rsidP="0012636C">
      <w:pPr>
        <w:spacing w:after="0" w:line="240" w:lineRule="auto"/>
        <w:rPr>
          <w:rFonts w:asciiTheme="minorHAnsi" w:hAnsiTheme="minorHAnsi"/>
          <w:b/>
          <w:szCs w:val="20"/>
        </w:rPr>
      </w:pPr>
      <w:bookmarkStart w:id="0" w:name="_GoBack"/>
      <w:bookmarkEnd w:id="0"/>
      <w:r w:rsidRPr="009A4F54">
        <w:rPr>
          <w:rFonts w:asciiTheme="minorHAnsi" w:hAnsiTheme="minorHAnsi"/>
          <w:b/>
          <w:szCs w:val="20"/>
        </w:rPr>
        <w:t xml:space="preserve">Orientation to </w:t>
      </w:r>
      <w:r w:rsidR="00EF230D">
        <w:rPr>
          <w:rFonts w:asciiTheme="minorHAnsi" w:hAnsiTheme="minorHAnsi"/>
          <w:b/>
          <w:szCs w:val="20"/>
        </w:rPr>
        <w:t>the</w:t>
      </w:r>
      <w:r w:rsidR="00EF230D" w:rsidRPr="00464930">
        <w:rPr>
          <w:rFonts w:asciiTheme="minorHAnsi" w:hAnsiTheme="minorHAnsi"/>
          <w:b/>
          <w:szCs w:val="20"/>
        </w:rPr>
        <w:t xml:space="preserve"> </w:t>
      </w:r>
      <w:r w:rsidR="00EF230D">
        <w:rPr>
          <w:rFonts w:asciiTheme="minorHAnsi" w:hAnsiTheme="minorHAnsi"/>
          <w:b/>
          <w:szCs w:val="20"/>
        </w:rPr>
        <w:t xml:space="preserve">Pilot </w:t>
      </w:r>
      <w:r w:rsidRPr="009A4F54">
        <w:rPr>
          <w:rFonts w:asciiTheme="minorHAnsi" w:hAnsiTheme="minorHAnsi"/>
          <w:b/>
          <w:szCs w:val="20"/>
        </w:rPr>
        <w:t xml:space="preserve">Assessment Criteria </w:t>
      </w:r>
    </w:p>
    <w:p w14:paraId="3C03AE9B" w14:textId="77777777" w:rsidR="00D55BBF" w:rsidRPr="009A4F54" w:rsidRDefault="00D55BBF" w:rsidP="0012636C">
      <w:pPr>
        <w:spacing w:after="0" w:line="240" w:lineRule="auto"/>
        <w:rPr>
          <w:rFonts w:asciiTheme="minorHAnsi" w:hAnsiTheme="minorHAnsi"/>
          <w:b/>
          <w:szCs w:val="20"/>
        </w:rPr>
      </w:pPr>
    </w:p>
    <w:p w14:paraId="16640110" w14:textId="282192E6" w:rsidR="004D664F" w:rsidRPr="00300EFF" w:rsidRDefault="004D664F" w:rsidP="001375D1">
      <w:pPr>
        <w:spacing w:after="0" w:line="240" w:lineRule="auto"/>
        <w:rPr>
          <w:rFonts w:asciiTheme="minorHAnsi" w:hAnsiTheme="minorHAnsi"/>
          <w:sz w:val="20"/>
          <w:szCs w:val="20"/>
        </w:rPr>
      </w:pPr>
      <w:r w:rsidRPr="00300EFF">
        <w:rPr>
          <w:rFonts w:asciiTheme="minorHAnsi" w:hAnsiTheme="minorHAnsi"/>
          <w:sz w:val="20"/>
          <w:szCs w:val="20"/>
        </w:rPr>
        <w:t xml:space="preserve">EPA developed the </w:t>
      </w:r>
      <w:hyperlink r:id="rId8" w:history="1">
        <w:r w:rsidRPr="00300EFF">
          <w:rPr>
            <w:rStyle w:val="Hyperlink"/>
            <w:rFonts w:asciiTheme="minorHAnsi" w:hAnsiTheme="minorHAnsi"/>
            <w:sz w:val="20"/>
            <w:szCs w:val="20"/>
          </w:rPr>
          <w:t>Draft Guidelines for Environmental Performance Standards and Ecolabels for Use in Federal Procurement</w:t>
        </w:r>
      </w:hyperlink>
      <w:r w:rsidRPr="00300EFF">
        <w:rPr>
          <w:rFonts w:asciiTheme="minorHAnsi" w:hAnsiTheme="minorHAnsi"/>
          <w:sz w:val="20"/>
          <w:szCs w:val="20"/>
        </w:rPr>
        <w:t xml:space="preserve"> (“the Guidelines”) as high-level principles setting out desirable characteristics of standards and ecolabels. EPA is currently piloting </w:t>
      </w:r>
      <w:r w:rsidR="00B116EC" w:rsidRPr="00300EFF">
        <w:rPr>
          <w:rFonts w:asciiTheme="minorHAnsi" w:hAnsiTheme="minorHAnsi"/>
          <w:sz w:val="20"/>
          <w:szCs w:val="20"/>
        </w:rPr>
        <w:t xml:space="preserve">the implementation of </w:t>
      </w:r>
      <w:r w:rsidRPr="00300EFF">
        <w:rPr>
          <w:rFonts w:asciiTheme="minorHAnsi" w:hAnsiTheme="minorHAnsi"/>
          <w:sz w:val="20"/>
          <w:szCs w:val="20"/>
        </w:rPr>
        <w:t>these Guidelines in select product categories</w:t>
      </w:r>
      <w:r w:rsidR="00B75024" w:rsidRPr="00300EFF">
        <w:rPr>
          <w:rFonts w:asciiTheme="minorHAnsi" w:hAnsiTheme="minorHAnsi"/>
          <w:sz w:val="20"/>
          <w:szCs w:val="20"/>
        </w:rPr>
        <w:t xml:space="preserve"> (flooring, furniture, and paint</w:t>
      </w:r>
      <w:r w:rsidR="00B116EC" w:rsidRPr="00300EFF">
        <w:rPr>
          <w:rFonts w:asciiTheme="minorHAnsi" w:hAnsiTheme="minorHAnsi"/>
          <w:sz w:val="20"/>
          <w:szCs w:val="20"/>
        </w:rPr>
        <w:t>/coatings</w:t>
      </w:r>
      <w:r w:rsidR="00B75024" w:rsidRPr="00300EFF">
        <w:rPr>
          <w:rFonts w:asciiTheme="minorHAnsi" w:hAnsiTheme="minorHAnsi"/>
          <w:sz w:val="20"/>
          <w:szCs w:val="20"/>
        </w:rPr>
        <w:t>)</w:t>
      </w:r>
      <w:r w:rsidRPr="00300EFF">
        <w:rPr>
          <w:rFonts w:asciiTheme="minorHAnsi" w:hAnsiTheme="minorHAnsi"/>
          <w:sz w:val="20"/>
          <w:szCs w:val="20"/>
        </w:rPr>
        <w:t>.</w:t>
      </w:r>
      <w:r w:rsidR="001A553D">
        <w:rPr>
          <w:rStyle w:val="FootnoteReference"/>
          <w:rFonts w:asciiTheme="minorHAnsi" w:hAnsiTheme="minorHAnsi"/>
          <w:sz w:val="20"/>
          <w:szCs w:val="20"/>
        </w:rPr>
        <w:footnoteReference w:id="1"/>
      </w:r>
      <w:r w:rsidRPr="00300EFF">
        <w:rPr>
          <w:rFonts w:asciiTheme="minorHAnsi" w:hAnsiTheme="minorHAnsi"/>
          <w:sz w:val="20"/>
          <w:szCs w:val="20"/>
        </w:rPr>
        <w:t xml:space="preserve"> As part of the pilot, </w:t>
      </w:r>
      <w:r w:rsidR="00B116EC" w:rsidRPr="00300EFF">
        <w:rPr>
          <w:rFonts w:asciiTheme="minorHAnsi" w:hAnsiTheme="minorHAnsi"/>
          <w:sz w:val="20"/>
          <w:szCs w:val="20"/>
        </w:rPr>
        <w:t>Product Category Panels</w:t>
      </w:r>
      <w:r w:rsidRPr="00300EFF">
        <w:rPr>
          <w:rFonts w:asciiTheme="minorHAnsi" w:hAnsiTheme="minorHAnsi"/>
          <w:sz w:val="20"/>
          <w:szCs w:val="20"/>
        </w:rPr>
        <w:t xml:space="preserve"> </w:t>
      </w:r>
      <w:r w:rsidR="00947FD2">
        <w:rPr>
          <w:rFonts w:asciiTheme="minorHAnsi" w:hAnsiTheme="minorHAnsi"/>
          <w:sz w:val="20"/>
          <w:szCs w:val="20"/>
        </w:rPr>
        <w:t xml:space="preserve">and a Governance Committee </w:t>
      </w:r>
      <w:r w:rsidRPr="00300EFF">
        <w:rPr>
          <w:rFonts w:asciiTheme="minorHAnsi" w:hAnsiTheme="minorHAnsi"/>
          <w:sz w:val="20"/>
          <w:szCs w:val="20"/>
        </w:rPr>
        <w:t>have developed draft assessment criteria</w:t>
      </w:r>
      <w:r w:rsidR="006E4282">
        <w:rPr>
          <w:rFonts w:asciiTheme="minorHAnsi" w:hAnsiTheme="minorHAnsi"/>
          <w:sz w:val="20"/>
          <w:szCs w:val="20"/>
        </w:rPr>
        <w:t xml:space="preserve"> and example sources of evidence</w:t>
      </w:r>
      <w:r w:rsidRPr="00300EFF">
        <w:rPr>
          <w:rFonts w:asciiTheme="minorHAnsi" w:hAnsiTheme="minorHAnsi"/>
          <w:sz w:val="20"/>
          <w:szCs w:val="20"/>
        </w:rPr>
        <w:t xml:space="preserve">, which represent the specific means by which an Independent Assessment Entity (IAE) will assess </w:t>
      </w:r>
      <w:r w:rsidR="002A27C8">
        <w:rPr>
          <w:rFonts w:asciiTheme="minorHAnsi" w:hAnsiTheme="minorHAnsi"/>
          <w:sz w:val="20"/>
          <w:szCs w:val="20"/>
        </w:rPr>
        <w:t xml:space="preserve">volunteer </w:t>
      </w:r>
      <w:r w:rsidRPr="00300EFF">
        <w:rPr>
          <w:rFonts w:asciiTheme="minorHAnsi" w:hAnsiTheme="minorHAnsi"/>
          <w:sz w:val="20"/>
          <w:szCs w:val="20"/>
        </w:rPr>
        <w:t>standards’ and ecolabels’ performance</w:t>
      </w:r>
      <w:r w:rsidR="00CD2AC7">
        <w:rPr>
          <w:rFonts w:asciiTheme="minorHAnsi" w:hAnsiTheme="minorHAnsi"/>
          <w:sz w:val="20"/>
          <w:szCs w:val="20"/>
        </w:rPr>
        <w:t xml:space="preserve"> against the criteria</w:t>
      </w:r>
      <w:r w:rsidRPr="00300EFF">
        <w:rPr>
          <w:rFonts w:asciiTheme="minorHAnsi" w:hAnsiTheme="minorHAnsi"/>
          <w:sz w:val="20"/>
          <w:szCs w:val="20"/>
        </w:rPr>
        <w:t xml:space="preserve">. </w:t>
      </w:r>
    </w:p>
    <w:p w14:paraId="2A90615F" w14:textId="77777777" w:rsidR="009A4F54" w:rsidRPr="00300EFF" w:rsidRDefault="009A4F54" w:rsidP="001375D1">
      <w:pPr>
        <w:spacing w:after="0" w:line="240" w:lineRule="auto"/>
        <w:rPr>
          <w:rFonts w:asciiTheme="minorHAnsi" w:hAnsiTheme="minorHAnsi"/>
          <w:sz w:val="20"/>
          <w:szCs w:val="20"/>
        </w:rPr>
      </w:pPr>
    </w:p>
    <w:p w14:paraId="56CDB812" w14:textId="63EF4233" w:rsidR="004D664F" w:rsidRPr="00300EFF" w:rsidRDefault="004D664F" w:rsidP="001375D1">
      <w:pPr>
        <w:spacing w:after="0" w:line="240" w:lineRule="auto"/>
        <w:rPr>
          <w:rFonts w:asciiTheme="minorHAnsi" w:hAnsiTheme="minorHAnsi"/>
          <w:sz w:val="20"/>
          <w:szCs w:val="20"/>
        </w:rPr>
      </w:pPr>
      <w:r w:rsidRPr="00300EFF">
        <w:rPr>
          <w:rFonts w:asciiTheme="minorHAnsi" w:hAnsiTheme="minorHAnsi"/>
          <w:sz w:val="20"/>
          <w:szCs w:val="20"/>
        </w:rPr>
        <w:t xml:space="preserve">This document </w:t>
      </w:r>
      <w:r w:rsidR="0000326A" w:rsidRPr="00300EFF">
        <w:rPr>
          <w:rFonts w:asciiTheme="minorHAnsi" w:hAnsiTheme="minorHAnsi"/>
          <w:sz w:val="20"/>
          <w:szCs w:val="20"/>
        </w:rPr>
        <w:t xml:space="preserve">serves as </w:t>
      </w:r>
      <w:r w:rsidR="00EF230D">
        <w:rPr>
          <w:rFonts w:asciiTheme="minorHAnsi" w:hAnsiTheme="minorHAnsi"/>
          <w:sz w:val="20"/>
          <w:szCs w:val="20"/>
        </w:rPr>
        <w:t>the final pilot</w:t>
      </w:r>
      <w:r w:rsidRPr="00300EFF">
        <w:rPr>
          <w:rFonts w:asciiTheme="minorHAnsi" w:hAnsiTheme="minorHAnsi"/>
          <w:sz w:val="20"/>
          <w:szCs w:val="20"/>
        </w:rPr>
        <w:t xml:space="preserve"> assessment criteria</w:t>
      </w:r>
      <w:r w:rsidR="00327434">
        <w:rPr>
          <w:rFonts w:asciiTheme="minorHAnsi" w:hAnsiTheme="minorHAnsi"/>
          <w:sz w:val="20"/>
          <w:szCs w:val="20"/>
        </w:rPr>
        <w:t xml:space="preserve">. </w:t>
      </w:r>
      <w:r w:rsidRPr="00300EFF">
        <w:rPr>
          <w:rFonts w:asciiTheme="minorHAnsi" w:hAnsiTheme="minorHAnsi"/>
          <w:sz w:val="20"/>
          <w:szCs w:val="20"/>
        </w:rPr>
        <w:t xml:space="preserve">While the intention of these criteria is to reflect the principles laid out in the Guidelines to the maximum extent possible, in practice, not all aspects of </w:t>
      </w:r>
      <w:r w:rsidR="00B75024" w:rsidRPr="00300EFF">
        <w:rPr>
          <w:rFonts w:asciiTheme="minorHAnsi" w:hAnsiTheme="minorHAnsi"/>
          <w:sz w:val="20"/>
          <w:szCs w:val="20"/>
        </w:rPr>
        <w:t xml:space="preserve">the </w:t>
      </w:r>
      <w:r w:rsidRPr="00300EFF">
        <w:rPr>
          <w:rFonts w:asciiTheme="minorHAnsi" w:hAnsiTheme="minorHAnsi"/>
          <w:sz w:val="20"/>
          <w:szCs w:val="20"/>
        </w:rPr>
        <w:t xml:space="preserve">Guidelines are fully reflected in the criteria, and </w:t>
      </w:r>
      <w:r w:rsidR="00A20883" w:rsidRPr="00300EFF">
        <w:rPr>
          <w:rFonts w:asciiTheme="minorHAnsi" w:hAnsiTheme="minorHAnsi"/>
          <w:sz w:val="20"/>
          <w:szCs w:val="20"/>
        </w:rPr>
        <w:t xml:space="preserve">thus </w:t>
      </w:r>
      <w:r w:rsidRPr="00300EFF">
        <w:rPr>
          <w:rFonts w:asciiTheme="minorHAnsi" w:hAnsiTheme="minorHAnsi"/>
          <w:sz w:val="20"/>
          <w:szCs w:val="20"/>
        </w:rPr>
        <w:t xml:space="preserve">not all </w:t>
      </w:r>
      <w:r w:rsidR="00A20883" w:rsidRPr="00300EFF">
        <w:rPr>
          <w:rFonts w:asciiTheme="minorHAnsi" w:hAnsiTheme="minorHAnsi"/>
          <w:sz w:val="20"/>
          <w:szCs w:val="20"/>
        </w:rPr>
        <w:t xml:space="preserve">aspects of each </w:t>
      </w:r>
      <w:r w:rsidRPr="00300EFF">
        <w:rPr>
          <w:rFonts w:asciiTheme="minorHAnsi" w:hAnsiTheme="minorHAnsi"/>
          <w:sz w:val="20"/>
          <w:szCs w:val="20"/>
        </w:rPr>
        <w:t xml:space="preserve">Guideline </w:t>
      </w:r>
      <w:r w:rsidR="00EC4940">
        <w:rPr>
          <w:rFonts w:asciiTheme="minorHAnsi" w:hAnsiTheme="minorHAnsi"/>
          <w:sz w:val="20"/>
          <w:szCs w:val="20"/>
        </w:rPr>
        <w:t>will be</w:t>
      </w:r>
      <w:r w:rsidR="00EC4940" w:rsidRPr="00300EFF">
        <w:rPr>
          <w:rFonts w:asciiTheme="minorHAnsi" w:hAnsiTheme="minorHAnsi"/>
          <w:sz w:val="20"/>
          <w:szCs w:val="20"/>
        </w:rPr>
        <w:t xml:space="preserve"> </w:t>
      </w:r>
      <w:r w:rsidR="00A20883" w:rsidRPr="00300EFF">
        <w:rPr>
          <w:rFonts w:asciiTheme="minorHAnsi" w:hAnsiTheme="minorHAnsi"/>
          <w:sz w:val="20"/>
          <w:szCs w:val="20"/>
        </w:rPr>
        <w:t xml:space="preserve">fully </w:t>
      </w:r>
      <w:r w:rsidR="0028232F" w:rsidRPr="00300EFF">
        <w:rPr>
          <w:rFonts w:asciiTheme="minorHAnsi" w:hAnsiTheme="minorHAnsi"/>
          <w:sz w:val="20"/>
          <w:szCs w:val="20"/>
        </w:rPr>
        <w:t>functional</w:t>
      </w:r>
      <w:r w:rsidR="00EC4940">
        <w:rPr>
          <w:rFonts w:asciiTheme="minorHAnsi" w:hAnsiTheme="minorHAnsi"/>
          <w:sz w:val="20"/>
          <w:szCs w:val="20"/>
        </w:rPr>
        <w:t xml:space="preserve"> for the pilot</w:t>
      </w:r>
      <w:r w:rsidRPr="00300EFF">
        <w:rPr>
          <w:rFonts w:asciiTheme="minorHAnsi" w:hAnsiTheme="minorHAnsi"/>
          <w:sz w:val="20"/>
          <w:szCs w:val="20"/>
        </w:rPr>
        <w:t xml:space="preserve">. This is for a variety of reasons, including: </w:t>
      </w:r>
    </w:p>
    <w:p w14:paraId="0EA771C2" w14:textId="214D0928" w:rsidR="004D664F" w:rsidRPr="00300EFF" w:rsidRDefault="004D664F" w:rsidP="001375D1">
      <w:pPr>
        <w:pStyle w:val="ListParagraph"/>
        <w:numPr>
          <w:ilvl w:val="0"/>
          <w:numId w:val="5"/>
        </w:numPr>
        <w:spacing w:after="0" w:line="240" w:lineRule="auto"/>
        <w:rPr>
          <w:rFonts w:asciiTheme="minorHAnsi" w:hAnsiTheme="minorHAnsi"/>
          <w:sz w:val="20"/>
          <w:szCs w:val="20"/>
        </w:rPr>
      </w:pPr>
      <w:r w:rsidRPr="00300EFF">
        <w:rPr>
          <w:rFonts w:asciiTheme="minorHAnsi" w:hAnsiTheme="minorHAnsi"/>
          <w:sz w:val="20"/>
          <w:szCs w:val="20"/>
        </w:rPr>
        <w:t xml:space="preserve">Lack of data sources and/or burden in gathering data sources against which to assess standards and ecolabels; and </w:t>
      </w:r>
    </w:p>
    <w:p w14:paraId="48C3E070" w14:textId="236506D2" w:rsidR="004D664F" w:rsidRDefault="004D664F" w:rsidP="001375D1">
      <w:pPr>
        <w:pStyle w:val="ListParagraph"/>
        <w:numPr>
          <w:ilvl w:val="0"/>
          <w:numId w:val="5"/>
        </w:numPr>
        <w:spacing w:after="0" w:line="240" w:lineRule="auto"/>
        <w:rPr>
          <w:rFonts w:asciiTheme="minorHAnsi" w:hAnsiTheme="minorHAnsi"/>
          <w:sz w:val="20"/>
          <w:szCs w:val="20"/>
        </w:rPr>
      </w:pPr>
      <w:r w:rsidRPr="00300EFF">
        <w:rPr>
          <w:rFonts w:asciiTheme="minorHAnsi" w:hAnsiTheme="minorHAnsi"/>
          <w:sz w:val="20"/>
          <w:szCs w:val="20"/>
        </w:rPr>
        <w:t xml:space="preserve">Lack of consensus among the Governance Committee and/or Product Category Panels regarding the best approach to </w:t>
      </w:r>
      <w:r w:rsidR="0028232F" w:rsidRPr="00300EFF">
        <w:rPr>
          <w:rFonts w:asciiTheme="minorHAnsi" w:hAnsiTheme="minorHAnsi"/>
          <w:sz w:val="20"/>
          <w:szCs w:val="20"/>
        </w:rPr>
        <w:t xml:space="preserve">making </w:t>
      </w:r>
      <w:r w:rsidRPr="00300EFF">
        <w:rPr>
          <w:rFonts w:asciiTheme="minorHAnsi" w:hAnsiTheme="minorHAnsi"/>
          <w:sz w:val="20"/>
          <w:szCs w:val="20"/>
        </w:rPr>
        <w:t>the Guideline</w:t>
      </w:r>
      <w:r w:rsidR="0028232F" w:rsidRPr="00300EFF">
        <w:rPr>
          <w:rFonts w:asciiTheme="minorHAnsi" w:hAnsiTheme="minorHAnsi"/>
          <w:sz w:val="20"/>
          <w:szCs w:val="20"/>
        </w:rPr>
        <w:t xml:space="preserve"> </w:t>
      </w:r>
      <w:r w:rsidR="00B71F2E" w:rsidRPr="00300EFF">
        <w:rPr>
          <w:rFonts w:asciiTheme="minorHAnsi" w:hAnsiTheme="minorHAnsi"/>
          <w:sz w:val="20"/>
          <w:szCs w:val="20"/>
        </w:rPr>
        <w:t xml:space="preserve">(or specific aspect of a Guideline) </w:t>
      </w:r>
      <w:r w:rsidR="0028232F" w:rsidRPr="00300EFF">
        <w:rPr>
          <w:rFonts w:asciiTheme="minorHAnsi" w:hAnsiTheme="minorHAnsi"/>
          <w:sz w:val="20"/>
          <w:szCs w:val="20"/>
        </w:rPr>
        <w:t>functional</w:t>
      </w:r>
      <w:r w:rsidRPr="00300EFF">
        <w:rPr>
          <w:rFonts w:asciiTheme="minorHAnsi" w:hAnsiTheme="minorHAnsi"/>
          <w:sz w:val="20"/>
          <w:szCs w:val="20"/>
        </w:rPr>
        <w:t>.</w:t>
      </w:r>
    </w:p>
    <w:p w14:paraId="5FA893E7" w14:textId="77777777" w:rsidR="002A27C8" w:rsidRPr="00300EFF" w:rsidRDefault="002A27C8" w:rsidP="002A27C8">
      <w:pPr>
        <w:pStyle w:val="ListParagraph"/>
        <w:spacing w:after="0" w:line="240" w:lineRule="auto"/>
        <w:ind w:left="765"/>
        <w:rPr>
          <w:rFonts w:asciiTheme="minorHAnsi" w:hAnsiTheme="minorHAnsi"/>
          <w:sz w:val="20"/>
          <w:szCs w:val="20"/>
        </w:rPr>
      </w:pPr>
    </w:p>
    <w:p w14:paraId="3BE1C6C6" w14:textId="0F38DAC9" w:rsidR="004D664F" w:rsidRPr="00300EFF" w:rsidRDefault="00B71F2E" w:rsidP="001375D1">
      <w:pPr>
        <w:spacing w:after="0" w:line="240" w:lineRule="auto"/>
        <w:rPr>
          <w:rFonts w:asciiTheme="minorHAnsi" w:hAnsiTheme="minorHAnsi"/>
          <w:sz w:val="20"/>
          <w:szCs w:val="20"/>
        </w:rPr>
      </w:pPr>
      <w:r w:rsidRPr="00300EFF">
        <w:rPr>
          <w:rFonts w:asciiTheme="minorHAnsi" w:hAnsiTheme="minorHAnsi"/>
          <w:sz w:val="20"/>
          <w:szCs w:val="20"/>
        </w:rPr>
        <w:t>To address some of these cases</w:t>
      </w:r>
      <w:r w:rsidR="009A4F54" w:rsidRPr="00300EFF">
        <w:rPr>
          <w:rFonts w:asciiTheme="minorHAnsi" w:hAnsiTheme="minorHAnsi"/>
          <w:sz w:val="20"/>
          <w:szCs w:val="20"/>
        </w:rPr>
        <w:t>,</w:t>
      </w:r>
      <w:r w:rsidRPr="00300EFF">
        <w:rPr>
          <w:rFonts w:asciiTheme="minorHAnsi" w:hAnsiTheme="minorHAnsi"/>
          <w:sz w:val="20"/>
          <w:szCs w:val="20"/>
        </w:rPr>
        <w:t xml:space="preserve"> an</w:t>
      </w:r>
      <w:r w:rsidR="004D664F" w:rsidRPr="00300EFF">
        <w:rPr>
          <w:rFonts w:asciiTheme="minorHAnsi" w:hAnsiTheme="minorHAnsi"/>
          <w:sz w:val="20"/>
          <w:szCs w:val="20"/>
        </w:rPr>
        <w:t xml:space="preserve"> “Informational” designation was created</w:t>
      </w:r>
      <w:r w:rsidRPr="00300EFF">
        <w:rPr>
          <w:rFonts w:asciiTheme="minorHAnsi" w:hAnsiTheme="minorHAnsi"/>
          <w:sz w:val="20"/>
          <w:szCs w:val="20"/>
        </w:rPr>
        <w:t>.</w:t>
      </w:r>
      <w:r w:rsidR="004D664F" w:rsidRPr="00300EFF">
        <w:rPr>
          <w:rFonts w:asciiTheme="minorHAnsi" w:hAnsiTheme="minorHAnsi"/>
          <w:sz w:val="20"/>
          <w:szCs w:val="20"/>
        </w:rPr>
        <w:t xml:space="preserve"> For these optional response fields, the pilot assessment will seek information from SDOs</w:t>
      </w:r>
      <w:r w:rsidR="00B116EC" w:rsidRPr="00300EFF">
        <w:rPr>
          <w:rFonts w:asciiTheme="minorHAnsi" w:hAnsiTheme="minorHAnsi"/>
          <w:sz w:val="20"/>
          <w:szCs w:val="20"/>
        </w:rPr>
        <w:t xml:space="preserve"> and ecolabel programs</w:t>
      </w:r>
      <w:r w:rsidR="004D664F" w:rsidRPr="00300EFF">
        <w:rPr>
          <w:rFonts w:asciiTheme="minorHAnsi" w:hAnsiTheme="minorHAnsi"/>
          <w:sz w:val="20"/>
          <w:szCs w:val="20"/>
        </w:rPr>
        <w:t xml:space="preserve"> regarding the nature of the information they could potentially provide to address specific aspects of the Guidelines. Information collected through this means may be used to refine the assessment criteria to more fully reflect all aspects of the Guidelines in the future</w:t>
      </w:r>
      <w:r w:rsidR="00CD2AC7">
        <w:rPr>
          <w:rFonts w:asciiTheme="minorHAnsi" w:hAnsiTheme="minorHAnsi"/>
          <w:sz w:val="20"/>
          <w:szCs w:val="20"/>
        </w:rPr>
        <w:t>, and will not be assessed by the IAE</w:t>
      </w:r>
      <w:r w:rsidR="00CD2AC7" w:rsidRPr="00300EFF">
        <w:rPr>
          <w:rFonts w:asciiTheme="minorHAnsi" w:hAnsiTheme="minorHAnsi"/>
          <w:sz w:val="20"/>
          <w:szCs w:val="20"/>
        </w:rPr>
        <w:t xml:space="preserve">.   </w:t>
      </w:r>
      <w:r w:rsidR="004D664F" w:rsidRPr="00300EFF">
        <w:rPr>
          <w:rFonts w:asciiTheme="minorHAnsi" w:hAnsiTheme="minorHAnsi"/>
          <w:sz w:val="20"/>
          <w:szCs w:val="20"/>
        </w:rPr>
        <w:t xml:space="preserve">   </w:t>
      </w:r>
    </w:p>
    <w:p w14:paraId="317DFF12" w14:textId="77777777" w:rsidR="001B63CE" w:rsidRPr="00300EFF" w:rsidRDefault="001B63CE" w:rsidP="001375D1">
      <w:pPr>
        <w:spacing w:after="0" w:line="240" w:lineRule="auto"/>
        <w:rPr>
          <w:rFonts w:asciiTheme="minorHAnsi" w:hAnsiTheme="minorHAnsi"/>
          <w:sz w:val="20"/>
          <w:szCs w:val="20"/>
        </w:rPr>
      </w:pPr>
    </w:p>
    <w:p w14:paraId="2086977B" w14:textId="6ED779FE" w:rsidR="00300EFF" w:rsidRPr="00300EFF" w:rsidRDefault="001B63CE" w:rsidP="001375D1">
      <w:pPr>
        <w:spacing w:after="0" w:line="240" w:lineRule="auto"/>
        <w:rPr>
          <w:rFonts w:asciiTheme="minorHAnsi" w:hAnsiTheme="minorHAnsi"/>
          <w:i/>
          <w:sz w:val="20"/>
          <w:szCs w:val="20"/>
        </w:rPr>
      </w:pPr>
      <w:r w:rsidRPr="00300EFF">
        <w:rPr>
          <w:rFonts w:asciiTheme="minorHAnsi" w:hAnsiTheme="minorHAnsi"/>
          <w:sz w:val="20"/>
          <w:szCs w:val="20"/>
        </w:rPr>
        <w:t xml:space="preserve">In addition, the </w:t>
      </w:r>
      <w:r w:rsidR="007F3D3E">
        <w:rPr>
          <w:rFonts w:asciiTheme="minorHAnsi" w:hAnsiTheme="minorHAnsi"/>
          <w:sz w:val="20"/>
          <w:szCs w:val="20"/>
        </w:rPr>
        <w:t xml:space="preserve">assessment </w:t>
      </w:r>
      <w:r w:rsidRPr="00300EFF">
        <w:rPr>
          <w:rFonts w:asciiTheme="minorHAnsi" w:hAnsiTheme="minorHAnsi"/>
          <w:sz w:val="20"/>
          <w:szCs w:val="20"/>
        </w:rPr>
        <w:t xml:space="preserve">criteria </w:t>
      </w:r>
      <w:r w:rsidR="007F3D3E">
        <w:rPr>
          <w:rFonts w:asciiTheme="minorHAnsi" w:hAnsiTheme="minorHAnsi"/>
          <w:sz w:val="20"/>
          <w:szCs w:val="20"/>
        </w:rPr>
        <w:t xml:space="preserve">is currently </w:t>
      </w:r>
      <w:r w:rsidRPr="00300EFF">
        <w:rPr>
          <w:rFonts w:asciiTheme="minorHAnsi" w:hAnsiTheme="minorHAnsi"/>
          <w:sz w:val="20"/>
          <w:szCs w:val="20"/>
        </w:rPr>
        <w:t>“unhinge</w:t>
      </w:r>
      <w:r w:rsidR="007F3D3E">
        <w:rPr>
          <w:rFonts w:asciiTheme="minorHAnsi" w:hAnsiTheme="minorHAnsi"/>
          <w:sz w:val="20"/>
          <w:szCs w:val="20"/>
        </w:rPr>
        <w:t>d</w:t>
      </w:r>
      <w:r w:rsidRPr="00300EFF">
        <w:rPr>
          <w:rFonts w:asciiTheme="minorHAnsi" w:hAnsiTheme="minorHAnsi"/>
          <w:sz w:val="20"/>
          <w:szCs w:val="20"/>
        </w:rPr>
        <w:t xml:space="preserve">” </w:t>
      </w:r>
      <w:r w:rsidR="007F3D3E">
        <w:rPr>
          <w:rFonts w:asciiTheme="minorHAnsi" w:hAnsiTheme="minorHAnsi"/>
          <w:sz w:val="20"/>
          <w:szCs w:val="20"/>
        </w:rPr>
        <w:t>from the</w:t>
      </w:r>
      <w:r w:rsidR="007F3D3E" w:rsidRPr="00300EFF">
        <w:rPr>
          <w:rFonts w:asciiTheme="minorHAnsi" w:hAnsiTheme="minorHAnsi"/>
          <w:sz w:val="20"/>
          <w:szCs w:val="20"/>
        </w:rPr>
        <w:t xml:space="preserve"> </w:t>
      </w:r>
      <w:r w:rsidRPr="00300EFF">
        <w:rPr>
          <w:rFonts w:asciiTheme="minorHAnsi" w:hAnsiTheme="minorHAnsi"/>
          <w:sz w:val="20"/>
          <w:szCs w:val="20"/>
        </w:rPr>
        <w:t>Guideline</w:t>
      </w:r>
      <w:r w:rsidR="007F3D3E">
        <w:rPr>
          <w:rFonts w:asciiTheme="minorHAnsi" w:hAnsiTheme="minorHAnsi"/>
          <w:sz w:val="20"/>
          <w:szCs w:val="20"/>
        </w:rPr>
        <w:t>s framework</w:t>
      </w:r>
      <w:r w:rsidRPr="00300EFF">
        <w:rPr>
          <w:rFonts w:asciiTheme="minorHAnsi" w:hAnsiTheme="minorHAnsi"/>
          <w:sz w:val="20"/>
          <w:szCs w:val="20"/>
        </w:rPr>
        <w:t xml:space="preserve"> </w:t>
      </w:r>
      <w:r w:rsidR="007F3D3E">
        <w:rPr>
          <w:rFonts w:asciiTheme="minorHAnsi" w:hAnsiTheme="minorHAnsi"/>
          <w:sz w:val="20"/>
          <w:szCs w:val="20"/>
        </w:rPr>
        <w:t>(i.e., one or more criteria per Guideline)</w:t>
      </w:r>
      <w:r w:rsidRPr="00300EFF">
        <w:rPr>
          <w:rFonts w:asciiTheme="minorHAnsi" w:hAnsiTheme="minorHAnsi"/>
          <w:sz w:val="20"/>
          <w:szCs w:val="20"/>
        </w:rPr>
        <w:t xml:space="preserve">, </w:t>
      </w:r>
      <w:r w:rsidR="007F3D3E">
        <w:rPr>
          <w:rFonts w:asciiTheme="minorHAnsi" w:hAnsiTheme="minorHAnsi"/>
          <w:sz w:val="20"/>
          <w:szCs w:val="20"/>
        </w:rPr>
        <w:t>to avoid duplication and overlap in the criteria</w:t>
      </w:r>
      <w:r w:rsidRPr="00300EFF">
        <w:rPr>
          <w:rFonts w:asciiTheme="minorHAnsi" w:hAnsiTheme="minorHAnsi"/>
          <w:sz w:val="20"/>
          <w:szCs w:val="20"/>
        </w:rPr>
        <w:t xml:space="preserve">. </w:t>
      </w:r>
      <w:r w:rsidR="007F3D3E">
        <w:rPr>
          <w:rFonts w:asciiTheme="minorHAnsi" w:hAnsiTheme="minorHAnsi"/>
          <w:sz w:val="20"/>
          <w:szCs w:val="20"/>
        </w:rPr>
        <w:t>T</w:t>
      </w:r>
      <w:r w:rsidRPr="00300EFF">
        <w:rPr>
          <w:rFonts w:asciiTheme="minorHAnsi" w:hAnsiTheme="minorHAnsi"/>
          <w:sz w:val="20"/>
          <w:szCs w:val="20"/>
        </w:rPr>
        <w:t>here are many criteria that address multiple Guidelines simultaneously. It is noted which Guideline or Guidelines each criterion is addressing.</w:t>
      </w:r>
      <w:r w:rsidR="002A27C8">
        <w:rPr>
          <w:rStyle w:val="FootnoteReference"/>
          <w:rFonts w:asciiTheme="minorHAnsi" w:hAnsiTheme="minorHAnsi"/>
          <w:sz w:val="20"/>
          <w:szCs w:val="20"/>
        </w:rPr>
        <w:footnoteReference w:id="2"/>
      </w:r>
    </w:p>
    <w:p w14:paraId="57B07D96" w14:textId="77777777" w:rsidR="009A4F54" w:rsidRPr="00300EFF" w:rsidRDefault="009A4F54" w:rsidP="001375D1">
      <w:pPr>
        <w:spacing w:after="0" w:line="240" w:lineRule="auto"/>
        <w:rPr>
          <w:rFonts w:asciiTheme="minorHAnsi" w:hAnsiTheme="minorHAnsi"/>
          <w:sz w:val="20"/>
          <w:szCs w:val="20"/>
        </w:rPr>
      </w:pPr>
    </w:p>
    <w:p w14:paraId="33AB2252" w14:textId="46194E2B" w:rsidR="004D664F" w:rsidRPr="00300EFF" w:rsidRDefault="004D664F" w:rsidP="001375D1">
      <w:pPr>
        <w:keepNext/>
        <w:spacing w:after="0" w:line="240" w:lineRule="auto"/>
        <w:rPr>
          <w:rFonts w:asciiTheme="minorHAnsi" w:hAnsiTheme="minorHAnsi"/>
          <w:b/>
          <w:sz w:val="20"/>
          <w:szCs w:val="20"/>
        </w:rPr>
      </w:pPr>
      <w:r w:rsidRPr="00300EFF">
        <w:rPr>
          <w:rFonts w:asciiTheme="minorHAnsi" w:hAnsiTheme="minorHAnsi"/>
          <w:b/>
          <w:sz w:val="20"/>
          <w:szCs w:val="20"/>
        </w:rPr>
        <w:t>Provisional Assu</w:t>
      </w:r>
      <w:r w:rsidR="00947FD2">
        <w:rPr>
          <w:rFonts w:asciiTheme="minorHAnsi" w:hAnsiTheme="minorHAnsi"/>
          <w:b/>
          <w:sz w:val="20"/>
          <w:szCs w:val="20"/>
        </w:rPr>
        <w:t xml:space="preserve">mptions on Assessing and Scoring </w:t>
      </w:r>
    </w:p>
    <w:p w14:paraId="47507C0E" w14:textId="6312BD14" w:rsidR="004D664F" w:rsidRPr="00300EFF" w:rsidRDefault="007F3D3E" w:rsidP="001375D1">
      <w:pPr>
        <w:spacing w:after="0" w:line="240" w:lineRule="auto"/>
        <w:rPr>
          <w:rFonts w:asciiTheme="minorHAnsi" w:hAnsiTheme="minorHAnsi"/>
          <w:sz w:val="20"/>
          <w:szCs w:val="20"/>
        </w:rPr>
      </w:pPr>
      <w:r>
        <w:rPr>
          <w:rFonts w:asciiTheme="minorHAnsi" w:hAnsiTheme="minorHAnsi"/>
          <w:sz w:val="20"/>
          <w:szCs w:val="20"/>
        </w:rPr>
        <w:t>T</w:t>
      </w:r>
      <w:r w:rsidR="00B71F2E" w:rsidRPr="00300EFF">
        <w:rPr>
          <w:rFonts w:asciiTheme="minorHAnsi" w:hAnsiTheme="minorHAnsi"/>
          <w:sz w:val="20"/>
          <w:szCs w:val="20"/>
        </w:rPr>
        <w:t xml:space="preserve">he </w:t>
      </w:r>
      <w:r w:rsidR="002A27C8">
        <w:rPr>
          <w:rFonts w:asciiTheme="minorHAnsi" w:hAnsiTheme="minorHAnsi"/>
          <w:sz w:val="20"/>
          <w:szCs w:val="20"/>
        </w:rPr>
        <w:t xml:space="preserve">2016 </w:t>
      </w:r>
      <w:r>
        <w:rPr>
          <w:rFonts w:asciiTheme="minorHAnsi" w:hAnsiTheme="minorHAnsi"/>
          <w:sz w:val="20"/>
          <w:szCs w:val="20"/>
        </w:rPr>
        <w:t xml:space="preserve">pilot </w:t>
      </w:r>
      <w:r w:rsidR="00CD2AC7">
        <w:rPr>
          <w:rFonts w:asciiTheme="minorHAnsi" w:hAnsiTheme="minorHAnsi"/>
          <w:sz w:val="20"/>
          <w:szCs w:val="20"/>
        </w:rPr>
        <w:t xml:space="preserve">assessment </w:t>
      </w:r>
      <w:r>
        <w:rPr>
          <w:rFonts w:asciiTheme="minorHAnsi" w:hAnsiTheme="minorHAnsi"/>
          <w:sz w:val="20"/>
          <w:szCs w:val="20"/>
        </w:rPr>
        <w:t>will test the following approach to assessing standards and ecolabels</w:t>
      </w:r>
      <w:r w:rsidR="004D664F" w:rsidRPr="00300EFF">
        <w:rPr>
          <w:rFonts w:asciiTheme="minorHAnsi" w:hAnsiTheme="minorHAnsi"/>
          <w:sz w:val="20"/>
          <w:szCs w:val="20"/>
        </w:rPr>
        <w:t>:</w:t>
      </w:r>
    </w:p>
    <w:p w14:paraId="2BFD3E7E" w14:textId="49F291B6" w:rsidR="005F16EC" w:rsidRPr="005F16EC" w:rsidRDefault="005F16EC" w:rsidP="005F16EC">
      <w:pPr>
        <w:pStyle w:val="ListParagraph"/>
        <w:numPr>
          <w:ilvl w:val="0"/>
          <w:numId w:val="4"/>
        </w:numPr>
        <w:spacing w:after="0" w:line="240" w:lineRule="auto"/>
        <w:rPr>
          <w:rFonts w:asciiTheme="minorHAnsi" w:hAnsiTheme="minorHAnsi"/>
          <w:sz w:val="20"/>
          <w:szCs w:val="20"/>
        </w:rPr>
      </w:pPr>
      <w:r>
        <w:rPr>
          <w:rFonts w:asciiTheme="minorHAnsi" w:hAnsiTheme="minorHAnsi"/>
          <w:sz w:val="20"/>
          <w:szCs w:val="20"/>
        </w:rPr>
        <w:t>Standards and ecolabels</w:t>
      </w:r>
      <w:r w:rsidRPr="007602AD">
        <w:rPr>
          <w:rFonts w:asciiTheme="minorHAnsi" w:hAnsiTheme="minorHAnsi"/>
          <w:sz w:val="20"/>
          <w:szCs w:val="20"/>
        </w:rPr>
        <w:t xml:space="preserve"> shall be scored on an absolute, </w:t>
      </w:r>
      <w:r w:rsidR="00654886">
        <w:rPr>
          <w:rFonts w:asciiTheme="minorHAnsi" w:hAnsiTheme="minorHAnsi"/>
          <w:sz w:val="20"/>
          <w:szCs w:val="20"/>
        </w:rPr>
        <w:t>not</w:t>
      </w:r>
      <w:r w:rsidR="00654886" w:rsidRPr="007602AD">
        <w:rPr>
          <w:rFonts w:asciiTheme="minorHAnsi" w:hAnsiTheme="minorHAnsi"/>
          <w:sz w:val="20"/>
          <w:szCs w:val="20"/>
        </w:rPr>
        <w:t xml:space="preserve"> </w:t>
      </w:r>
      <w:r w:rsidRPr="007602AD">
        <w:rPr>
          <w:rFonts w:asciiTheme="minorHAnsi" w:hAnsiTheme="minorHAnsi"/>
          <w:sz w:val="20"/>
          <w:szCs w:val="20"/>
        </w:rPr>
        <w:t xml:space="preserve">relative, basis. </w:t>
      </w:r>
    </w:p>
    <w:p w14:paraId="4F25A71B" w14:textId="77777777" w:rsidR="00CD2AC7" w:rsidRDefault="00CD2AC7" w:rsidP="00CD2AC7">
      <w:pPr>
        <w:pStyle w:val="ListParagraph"/>
        <w:numPr>
          <w:ilvl w:val="0"/>
          <w:numId w:val="4"/>
        </w:numPr>
        <w:spacing w:after="0" w:line="240" w:lineRule="auto"/>
        <w:rPr>
          <w:rFonts w:asciiTheme="minorHAnsi" w:hAnsiTheme="minorHAnsi"/>
          <w:sz w:val="20"/>
          <w:szCs w:val="20"/>
        </w:rPr>
      </w:pPr>
      <w:r>
        <w:rPr>
          <w:rFonts w:asciiTheme="minorHAnsi" w:hAnsiTheme="minorHAnsi"/>
          <w:sz w:val="20"/>
          <w:szCs w:val="20"/>
        </w:rPr>
        <w:t>The outcome of the pilot assessment will be whether a standard “meets” or “exceeds” EPA’s 2016 criteria.</w:t>
      </w:r>
    </w:p>
    <w:p w14:paraId="11D9C076" w14:textId="0F52460A" w:rsidR="00B71F2E" w:rsidRDefault="004D664F" w:rsidP="00CA105F">
      <w:pPr>
        <w:pStyle w:val="ListParagraph"/>
        <w:numPr>
          <w:ilvl w:val="0"/>
          <w:numId w:val="4"/>
        </w:numPr>
        <w:spacing w:after="0" w:line="240" w:lineRule="auto"/>
        <w:rPr>
          <w:rFonts w:asciiTheme="minorHAnsi" w:hAnsiTheme="minorHAnsi"/>
          <w:sz w:val="20"/>
          <w:szCs w:val="20"/>
        </w:rPr>
      </w:pPr>
      <w:r w:rsidRPr="005F16EC">
        <w:rPr>
          <w:rFonts w:asciiTheme="minorHAnsi" w:hAnsiTheme="minorHAnsi"/>
          <w:sz w:val="20"/>
          <w:szCs w:val="20"/>
        </w:rPr>
        <w:t>Baseline criteria will be treated as prerequisites</w:t>
      </w:r>
      <w:r w:rsidR="004943AA">
        <w:rPr>
          <w:rFonts w:asciiTheme="minorHAnsi" w:hAnsiTheme="minorHAnsi"/>
          <w:sz w:val="20"/>
          <w:szCs w:val="20"/>
        </w:rPr>
        <w:t>. T</w:t>
      </w:r>
      <w:r w:rsidR="00B71F2E" w:rsidRPr="005F16EC">
        <w:rPr>
          <w:rFonts w:asciiTheme="minorHAnsi" w:hAnsiTheme="minorHAnsi"/>
          <w:sz w:val="20"/>
          <w:szCs w:val="20"/>
        </w:rPr>
        <w:t>hat is, they all must be met by the ecolabel/standard in order for it to “meet” EPA’s 2016 cri</w:t>
      </w:r>
      <w:r w:rsidR="005F16EC" w:rsidRPr="005F16EC">
        <w:rPr>
          <w:rFonts w:asciiTheme="minorHAnsi" w:hAnsiTheme="minorHAnsi"/>
          <w:sz w:val="20"/>
          <w:szCs w:val="20"/>
        </w:rPr>
        <w:t>teria; however</w:t>
      </w:r>
      <w:r w:rsidR="005F16EC">
        <w:rPr>
          <w:rFonts w:asciiTheme="minorHAnsi" w:hAnsiTheme="minorHAnsi"/>
          <w:sz w:val="20"/>
          <w:szCs w:val="20"/>
        </w:rPr>
        <w:t xml:space="preserve">, </w:t>
      </w:r>
      <w:r w:rsidR="00B71F2E" w:rsidRPr="005F16EC">
        <w:rPr>
          <w:rFonts w:asciiTheme="minorHAnsi" w:hAnsiTheme="minorHAnsi"/>
          <w:sz w:val="20"/>
          <w:szCs w:val="20"/>
        </w:rPr>
        <w:t>possible exceptions</w:t>
      </w:r>
      <w:r w:rsidR="005F16EC">
        <w:rPr>
          <w:rFonts w:asciiTheme="minorHAnsi" w:hAnsiTheme="minorHAnsi"/>
          <w:sz w:val="20"/>
          <w:szCs w:val="20"/>
        </w:rPr>
        <w:t xml:space="preserve"> are identified</w:t>
      </w:r>
      <w:r w:rsidR="00B71F2E" w:rsidRPr="005F16EC">
        <w:rPr>
          <w:rFonts w:asciiTheme="minorHAnsi" w:hAnsiTheme="minorHAnsi"/>
          <w:sz w:val="20"/>
          <w:szCs w:val="20"/>
        </w:rPr>
        <w:t>. This authorize</w:t>
      </w:r>
      <w:r w:rsidR="007602AD" w:rsidRPr="005F16EC">
        <w:rPr>
          <w:rFonts w:asciiTheme="minorHAnsi" w:hAnsiTheme="minorHAnsi"/>
          <w:sz w:val="20"/>
          <w:szCs w:val="20"/>
        </w:rPr>
        <w:t>s</w:t>
      </w:r>
      <w:r w:rsidR="00B71F2E" w:rsidRPr="005F16EC">
        <w:rPr>
          <w:rFonts w:asciiTheme="minorHAnsi" w:hAnsiTheme="minorHAnsi"/>
          <w:sz w:val="20"/>
          <w:szCs w:val="20"/>
        </w:rPr>
        <w:t xml:space="preserve"> the IAE to designate certain baseline criteria as N/A for specific programs, but should only be done when the exceptional situation has been pre-identified for the specific criterion. </w:t>
      </w:r>
    </w:p>
    <w:p w14:paraId="1835C5D4" w14:textId="7EBEB6EC" w:rsidR="005F16EC" w:rsidRPr="005F16EC" w:rsidRDefault="005F16EC" w:rsidP="005F16EC">
      <w:pPr>
        <w:pStyle w:val="ListParagraph"/>
        <w:numPr>
          <w:ilvl w:val="0"/>
          <w:numId w:val="4"/>
        </w:numPr>
        <w:spacing w:after="0" w:line="240" w:lineRule="auto"/>
        <w:rPr>
          <w:rFonts w:asciiTheme="minorHAnsi" w:hAnsiTheme="minorHAnsi"/>
          <w:sz w:val="20"/>
          <w:szCs w:val="20"/>
        </w:rPr>
      </w:pPr>
      <w:r w:rsidRPr="007602AD">
        <w:rPr>
          <w:rFonts w:asciiTheme="minorHAnsi" w:hAnsiTheme="minorHAnsi"/>
          <w:sz w:val="20"/>
          <w:szCs w:val="20"/>
        </w:rPr>
        <w:t xml:space="preserve">The “exceeds EPA’s 2016 criteria” </w:t>
      </w:r>
      <w:r>
        <w:rPr>
          <w:rFonts w:asciiTheme="minorHAnsi" w:hAnsiTheme="minorHAnsi"/>
          <w:sz w:val="20"/>
          <w:szCs w:val="20"/>
        </w:rPr>
        <w:t>designation</w:t>
      </w:r>
      <w:r w:rsidRPr="007602AD">
        <w:rPr>
          <w:rFonts w:asciiTheme="minorHAnsi" w:hAnsiTheme="minorHAnsi"/>
          <w:sz w:val="20"/>
          <w:szCs w:val="20"/>
        </w:rPr>
        <w:t xml:space="preserve"> </w:t>
      </w:r>
      <w:r>
        <w:rPr>
          <w:rFonts w:asciiTheme="minorHAnsi" w:hAnsiTheme="minorHAnsi"/>
          <w:sz w:val="20"/>
          <w:szCs w:val="20"/>
        </w:rPr>
        <w:t>is</w:t>
      </w:r>
      <w:r w:rsidRPr="007602AD">
        <w:rPr>
          <w:rFonts w:asciiTheme="minorHAnsi" w:hAnsiTheme="minorHAnsi"/>
          <w:sz w:val="20"/>
          <w:szCs w:val="20"/>
        </w:rPr>
        <w:t xml:space="preserve"> defined as </w:t>
      </w:r>
      <w:r w:rsidRPr="00FC1948">
        <w:rPr>
          <w:rFonts w:asciiTheme="minorHAnsi" w:hAnsiTheme="minorHAnsi"/>
          <w:sz w:val="20"/>
          <w:szCs w:val="20"/>
        </w:rPr>
        <w:t xml:space="preserve">conforming to at least </w:t>
      </w:r>
      <w:r w:rsidR="004943AA" w:rsidRPr="004943AA">
        <w:rPr>
          <w:rFonts w:asciiTheme="minorHAnsi" w:hAnsiTheme="minorHAnsi"/>
          <w:i/>
          <w:sz w:val="20"/>
          <w:szCs w:val="20"/>
        </w:rPr>
        <w:t>six</w:t>
      </w:r>
      <w:r w:rsidR="004943AA">
        <w:rPr>
          <w:rFonts w:asciiTheme="minorHAnsi" w:hAnsiTheme="minorHAnsi"/>
          <w:sz w:val="20"/>
          <w:szCs w:val="20"/>
        </w:rPr>
        <w:t xml:space="preserve"> leadership criteria overall, including at least </w:t>
      </w:r>
      <w:r w:rsidRPr="005F16EC">
        <w:rPr>
          <w:rFonts w:asciiTheme="minorHAnsi" w:hAnsiTheme="minorHAnsi"/>
          <w:i/>
          <w:sz w:val="20"/>
          <w:szCs w:val="20"/>
        </w:rPr>
        <w:t>three</w:t>
      </w:r>
      <w:r w:rsidRPr="00FC1948">
        <w:rPr>
          <w:rFonts w:asciiTheme="minorHAnsi" w:hAnsiTheme="minorHAnsi"/>
          <w:sz w:val="20"/>
          <w:szCs w:val="20"/>
        </w:rPr>
        <w:t xml:space="preserve"> leadership criteria </w:t>
      </w:r>
      <w:r w:rsidR="005B38E7">
        <w:rPr>
          <w:rFonts w:asciiTheme="minorHAnsi" w:hAnsiTheme="minorHAnsi"/>
          <w:sz w:val="20"/>
          <w:szCs w:val="20"/>
        </w:rPr>
        <w:t xml:space="preserve">(or sub-criteria per II.1) </w:t>
      </w:r>
      <w:r w:rsidR="004943AA">
        <w:rPr>
          <w:rFonts w:asciiTheme="minorHAnsi" w:hAnsiTheme="minorHAnsi"/>
          <w:sz w:val="20"/>
          <w:szCs w:val="20"/>
        </w:rPr>
        <w:t>from</w:t>
      </w:r>
      <w:r w:rsidRPr="00FC1948">
        <w:rPr>
          <w:rFonts w:asciiTheme="minorHAnsi" w:hAnsiTheme="minorHAnsi"/>
          <w:sz w:val="20"/>
          <w:szCs w:val="20"/>
        </w:rPr>
        <w:t xml:space="preserve"> Section II. </w:t>
      </w:r>
    </w:p>
    <w:p w14:paraId="532D022B" w14:textId="0A7FA897" w:rsidR="004D664F" w:rsidRPr="00300EFF" w:rsidRDefault="004D664F" w:rsidP="001375D1">
      <w:pPr>
        <w:pStyle w:val="ListParagraph"/>
        <w:numPr>
          <w:ilvl w:val="0"/>
          <w:numId w:val="4"/>
        </w:numPr>
        <w:spacing w:after="0" w:line="240" w:lineRule="auto"/>
        <w:rPr>
          <w:rFonts w:asciiTheme="minorHAnsi" w:hAnsiTheme="minorHAnsi"/>
          <w:sz w:val="20"/>
          <w:szCs w:val="20"/>
        </w:rPr>
      </w:pPr>
      <w:r w:rsidRPr="00300EFF">
        <w:rPr>
          <w:rFonts w:asciiTheme="minorHAnsi" w:hAnsiTheme="minorHAnsi"/>
          <w:sz w:val="20"/>
          <w:szCs w:val="20"/>
        </w:rPr>
        <w:t xml:space="preserve">The </w:t>
      </w:r>
      <w:r w:rsidR="001B63CE" w:rsidRPr="00300EFF">
        <w:rPr>
          <w:rFonts w:asciiTheme="minorHAnsi" w:hAnsiTheme="minorHAnsi"/>
          <w:sz w:val="20"/>
          <w:szCs w:val="20"/>
        </w:rPr>
        <w:t>assessment</w:t>
      </w:r>
      <w:r w:rsidRPr="00300EFF">
        <w:rPr>
          <w:rFonts w:asciiTheme="minorHAnsi" w:hAnsiTheme="minorHAnsi"/>
          <w:sz w:val="20"/>
          <w:szCs w:val="20"/>
        </w:rPr>
        <w:t xml:space="preserve"> of whether an individual standard meets an individual criterion will </w:t>
      </w:r>
      <w:r w:rsidR="001B63CE" w:rsidRPr="00300EFF">
        <w:rPr>
          <w:rFonts w:asciiTheme="minorHAnsi" w:hAnsiTheme="minorHAnsi"/>
          <w:sz w:val="20"/>
          <w:szCs w:val="20"/>
        </w:rPr>
        <w:t xml:space="preserve">result in a yes or </w:t>
      </w:r>
      <w:r w:rsidRPr="00300EFF">
        <w:rPr>
          <w:rFonts w:asciiTheme="minorHAnsi" w:hAnsiTheme="minorHAnsi"/>
          <w:sz w:val="20"/>
          <w:szCs w:val="20"/>
        </w:rPr>
        <w:t xml:space="preserve">no. </w:t>
      </w:r>
    </w:p>
    <w:p w14:paraId="331C4231" w14:textId="0674F2AF" w:rsidR="0090123B" w:rsidRPr="00300EFF" w:rsidRDefault="004D664F" w:rsidP="001375D1">
      <w:pPr>
        <w:pStyle w:val="ListParagraph"/>
        <w:numPr>
          <w:ilvl w:val="0"/>
          <w:numId w:val="4"/>
        </w:numPr>
        <w:spacing w:after="0" w:line="240" w:lineRule="auto"/>
        <w:rPr>
          <w:rFonts w:asciiTheme="minorHAnsi" w:hAnsiTheme="minorHAnsi"/>
          <w:sz w:val="20"/>
          <w:szCs w:val="20"/>
        </w:rPr>
      </w:pPr>
      <w:r w:rsidRPr="00300EFF">
        <w:rPr>
          <w:rFonts w:asciiTheme="minorHAnsi" w:hAnsiTheme="minorHAnsi"/>
          <w:sz w:val="20"/>
          <w:szCs w:val="20"/>
        </w:rPr>
        <w:t>No “partial credit” will be awarded for meeting only a portion of a criterion</w:t>
      </w:r>
      <w:r w:rsidR="008B5217">
        <w:rPr>
          <w:rFonts w:asciiTheme="minorHAnsi" w:hAnsiTheme="minorHAnsi"/>
          <w:sz w:val="20"/>
          <w:szCs w:val="20"/>
        </w:rPr>
        <w:t xml:space="preserve"> (por</w:t>
      </w:r>
      <w:r w:rsidR="00947FD2">
        <w:rPr>
          <w:rFonts w:asciiTheme="minorHAnsi" w:hAnsiTheme="minorHAnsi"/>
          <w:sz w:val="20"/>
          <w:szCs w:val="20"/>
        </w:rPr>
        <w:t xml:space="preserve">tions of the criteria may </w:t>
      </w:r>
      <w:r w:rsidR="008B5217">
        <w:rPr>
          <w:rFonts w:asciiTheme="minorHAnsi" w:hAnsiTheme="minorHAnsi"/>
          <w:sz w:val="20"/>
          <w:szCs w:val="20"/>
        </w:rPr>
        <w:t>be N/A however)</w:t>
      </w:r>
      <w:r w:rsidRPr="00300EFF">
        <w:rPr>
          <w:rFonts w:asciiTheme="minorHAnsi" w:hAnsiTheme="minorHAnsi"/>
          <w:sz w:val="20"/>
          <w:szCs w:val="20"/>
        </w:rPr>
        <w:t>.</w:t>
      </w:r>
      <w:r w:rsidR="005F16EC">
        <w:rPr>
          <w:rFonts w:asciiTheme="minorHAnsi" w:hAnsiTheme="minorHAnsi"/>
          <w:sz w:val="20"/>
          <w:szCs w:val="20"/>
        </w:rPr>
        <w:t xml:space="preserve"> The exception to this is criterion I.1 regarding Hotspots which has a number of potential baseline prerequisites and leadership sub-</w:t>
      </w:r>
      <w:r w:rsidR="005B38E7">
        <w:rPr>
          <w:rFonts w:asciiTheme="minorHAnsi" w:hAnsiTheme="minorHAnsi"/>
          <w:sz w:val="20"/>
          <w:szCs w:val="20"/>
        </w:rPr>
        <w:t>criteria</w:t>
      </w:r>
      <w:r w:rsidR="00B74798">
        <w:rPr>
          <w:rFonts w:asciiTheme="minorHAnsi" w:hAnsiTheme="minorHAnsi"/>
          <w:sz w:val="20"/>
          <w:szCs w:val="20"/>
        </w:rPr>
        <w:t>;</w:t>
      </w:r>
      <w:r w:rsidR="00654886">
        <w:rPr>
          <w:rFonts w:asciiTheme="minorHAnsi" w:hAnsiTheme="minorHAnsi"/>
          <w:sz w:val="20"/>
          <w:szCs w:val="20"/>
        </w:rPr>
        <w:t xml:space="preserve"> </w:t>
      </w:r>
      <w:r w:rsidR="00B74798">
        <w:rPr>
          <w:rFonts w:asciiTheme="minorHAnsi" w:hAnsiTheme="minorHAnsi"/>
          <w:sz w:val="20"/>
          <w:szCs w:val="20"/>
        </w:rPr>
        <w:t xml:space="preserve">credit will be awarded for </w:t>
      </w:r>
      <w:r w:rsidR="008C39DA">
        <w:rPr>
          <w:rFonts w:asciiTheme="minorHAnsi" w:hAnsiTheme="minorHAnsi"/>
          <w:sz w:val="20"/>
          <w:szCs w:val="20"/>
        </w:rPr>
        <w:t>conforming to</w:t>
      </w:r>
      <w:r w:rsidR="00B74798">
        <w:rPr>
          <w:rFonts w:asciiTheme="minorHAnsi" w:hAnsiTheme="minorHAnsi"/>
          <w:sz w:val="20"/>
          <w:szCs w:val="20"/>
        </w:rPr>
        <w:t xml:space="preserve"> each of these</w:t>
      </w:r>
      <w:r w:rsidR="00654886">
        <w:rPr>
          <w:rFonts w:asciiTheme="minorHAnsi" w:hAnsiTheme="minorHAnsi"/>
          <w:sz w:val="20"/>
          <w:szCs w:val="20"/>
        </w:rPr>
        <w:t xml:space="preserve"> leadership sub-criteria</w:t>
      </w:r>
      <w:r w:rsidR="00B74798">
        <w:rPr>
          <w:rFonts w:asciiTheme="minorHAnsi" w:hAnsiTheme="minorHAnsi"/>
          <w:sz w:val="20"/>
          <w:szCs w:val="20"/>
        </w:rPr>
        <w:t xml:space="preserve"> individually</w:t>
      </w:r>
      <w:r w:rsidR="005F16EC">
        <w:rPr>
          <w:rFonts w:asciiTheme="minorHAnsi" w:hAnsiTheme="minorHAnsi"/>
          <w:sz w:val="20"/>
          <w:szCs w:val="20"/>
        </w:rPr>
        <w:t>.</w:t>
      </w:r>
    </w:p>
    <w:p w14:paraId="0BC660D0" w14:textId="77777777" w:rsidR="005F16EC" w:rsidRPr="00300EFF" w:rsidRDefault="005F16EC" w:rsidP="005F16EC">
      <w:pPr>
        <w:pStyle w:val="ListParagraph"/>
        <w:numPr>
          <w:ilvl w:val="0"/>
          <w:numId w:val="4"/>
        </w:numPr>
        <w:spacing w:after="0" w:line="240" w:lineRule="auto"/>
        <w:rPr>
          <w:rFonts w:asciiTheme="minorHAnsi" w:hAnsiTheme="minorHAnsi"/>
          <w:sz w:val="20"/>
          <w:szCs w:val="20"/>
        </w:rPr>
      </w:pPr>
      <w:r w:rsidRPr="00300EFF">
        <w:rPr>
          <w:rFonts w:asciiTheme="minorHAnsi" w:hAnsiTheme="minorHAnsi"/>
          <w:sz w:val="20"/>
          <w:szCs w:val="20"/>
        </w:rPr>
        <w:t>Informationa</w:t>
      </w:r>
      <w:r>
        <w:rPr>
          <w:rFonts w:asciiTheme="minorHAnsi" w:hAnsiTheme="minorHAnsi"/>
          <w:sz w:val="20"/>
          <w:szCs w:val="20"/>
        </w:rPr>
        <w:t xml:space="preserve">l response fields are optional </w:t>
      </w:r>
      <w:r w:rsidRPr="00300EFF">
        <w:rPr>
          <w:rFonts w:asciiTheme="minorHAnsi" w:hAnsiTheme="minorHAnsi"/>
          <w:sz w:val="20"/>
          <w:szCs w:val="20"/>
        </w:rPr>
        <w:t>and will not affect assessment results.</w:t>
      </w:r>
    </w:p>
    <w:p w14:paraId="210D06B0" w14:textId="4CA14CF9" w:rsidR="005F16EC" w:rsidRPr="00CD2AC7" w:rsidRDefault="005F16EC" w:rsidP="00CD2AC7">
      <w:pPr>
        <w:pStyle w:val="ListParagraph"/>
        <w:numPr>
          <w:ilvl w:val="0"/>
          <w:numId w:val="4"/>
        </w:numPr>
        <w:spacing w:after="0" w:line="240" w:lineRule="auto"/>
        <w:rPr>
          <w:rFonts w:asciiTheme="minorHAnsi" w:hAnsiTheme="minorHAnsi"/>
          <w:sz w:val="20"/>
          <w:szCs w:val="20"/>
        </w:rPr>
      </w:pPr>
      <w:r w:rsidRPr="00300EFF">
        <w:rPr>
          <w:rFonts w:asciiTheme="minorHAnsi" w:hAnsiTheme="minorHAnsi"/>
          <w:sz w:val="20"/>
          <w:szCs w:val="20"/>
        </w:rPr>
        <w:t>Sources of evidence listed are only suggestions. Other documentation may be considered.</w:t>
      </w:r>
      <w:r w:rsidR="00CD2AC7">
        <w:rPr>
          <w:rFonts w:asciiTheme="minorHAnsi" w:hAnsiTheme="minorHAnsi"/>
          <w:sz w:val="20"/>
          <w:szCs w:val="20"/>
        </w:rPr>
        <w:t xml:space="preserve"> Organizations submitting a response will be asked to provide a specific page or section number of longer documents submitted in evidence</w:t>
      </w:r>
      <w:r w:rsidR="002A27C8">
        <w:rPr>
          <w:rFonts w:asciiTheme="minorHAnsi" w:hAnsiTheme="minorHAnsi"/>
          <w:sz w:val="20"/>
          <w:szCs w:val="20"/>
        </w:rPr>
        <w:t xml:space="preserve"> to the IAE</w:t>
      </w:r>
      <w:r w:rsidR="00CD2AC7">
        <w:rPr>
          <w:rFonts w:asciiTheme="minorHAnsi" w:hAnsiTheme="minorHAnsi"/>
          <w:sz w:val="20"/>
          <w:szCs w:val="20"/>
        </w:rPr>
        <w:t>.</w:t>
      </w:r>
    </w:p>
    <w:p w14:paraId="630C82D7" w14:textId="3AD11980" w:rsidR="001732D8" w:rsidRPr="005F16EC" w:rsidRDefault="001732D8" w:rsidP="007602AD">
      <w:pPr>
        <w:pStyle w:val="ListParagraph"/>
        <w:numPr>
          <w:ilvl w:val="0"/>
          <w:numId w:val="4"/>
        </w:numPr>
        <w:spacing w:after="0" w:line="240" w:lineRule="auto"/>
        <w:rPr>
          <w:rFonts w:asciiTheme="minorHAnsi" w:hAnsiTheme="minorHAnsi"/>
          <w:i/>
          <w:sz w:val="20"/>
          <w:szCs w:val="20"/>
        </w:rPr>
      </w:pPr>
      <w:r w:rsidRPr="005F16EC">
        <w:rPr>
          <w:rFonts w:asciiTheme="minorHAnsi" w:hAnsiTheme="minorHAnsi"/>
          <w:i/>
          <w:sz w:val="20"/>
          <w:szCs w:val="20"/>
        </w:rPr>
        <w:lastRenderedPageBreak/>
        <w:t xml:space="preserve">The pilot assessment </w:t>
      </w:r>
      <w:r w:rsidR="005F16EC" w:rsidRPr="005F16EC">
        <w:rPr>
          <w:rFonts w:asciiTheme="minorHAnsi" w:hAnsiTheme="minorHAnsi"/>
          <w:i/>
          <w:sz w:val="20"/>
          <w:szCs w:val="20"/>
        </w:rPr>
        <w:t xml:space="preserve">and final report, including GC and panel “lessons learned” </w:t>
      </w:r>
      <w:r w:rsidRPr="005F16EC">
        <w:rPr>
          <w:rFonts w:asciiTheme="minorHAnsi" w:hAnsiTheme="minorHAnsi"/>
          <w:i/>
          <w:sz w:val="20"/>
          <w:szCs w:val="20"/>
        </w:rPr>
        <w:t xml:space="preserve">will inform, along with </w:t>
      </w:r>
      <w:r w:rsidR="005F16EC" w:rsidRPr="005F16EC">
        <w:rPr>
          <w:rFonts w:asciiTheme="minorHAnsi" w:hAnsiTheme="minorHAnsi"/>
          <w:i/>
          <w:sz w:val="20"/>
          <w:szCs w:val="20"/>
        </w:rPr>
        <w:t>o</w:t>
      </w:r>
      <w:r w:rsidRPr="005F16EC">
        <w:rPr>
          <w:rFonts w:asciiTheme="minorHAnsi" w:hAnsiTheme="minorHAnsi"/>
          <w:i/>
          <w:sz w:val="20"/>
          <w:szCs w:val="20"/>
        </w:rPr>
        <w:t xml:space="preserve">ther factors, how EPA presents </w:t>
      </w:r>
      <w:r w:rsidR="005F16EC" w:rsidRPr="005F16EC">
        <w:rPr>
          <w:rFonts w:asciiTheme="minorHAnsi" w:hAnsiTheme="minorHAnsi"/>
          <w:i/>
          <w:sz w:val="20"/>
          <w:szCs w:val="20"/>
        </w:rPr>
        <w:t>its final Recommendations of Standards and Ecolabels to federal purchasers per EO 13693.</w:t>
      </w:r>
    </w:p>
    <w:p w14:paraId="1FC64B37" w14:textId="77777777" w:rsidR="005F16EC" w:rsidRPr="005F16EC" w:rsidRDefault="005F16EC" w:rsidP="005F16EC">
      <w:pPr>
        <w:pStyle w:val="ListParagraph"/>
        <w:spacing w:after="0" w:line="240" w:lineRule="auto"/>
        <w:rPr>
          <w:rFonts w:asciiTheme="minorHAnsi" w:hAnsiTheme="minorHAnsi"/>
          <w:sz w:val="20"/>
          <w:szCs w:val="20"/>
        </w:rPr>
      </w:pPr>
    </w:p>
    <w:p w14:paraId="0CFEB331" w14:textId="222D0790" w:rsidR="008B5217" w:rsidRDefault="008B5217" w:rsidP="008B5217">
      <w:pPr>
        <w:spacing w:after="0" w:line="240" w:lineRule="auto"/>
        <w:rPr>
          <w:rFonts w:asciiTheme="minorHAnsi" w:hAnsiTheme="minorHAnsi"/>
          <w:b/>
          <w:sz w:val="20"/>
          <w:szCs w:val="20"/>
        </w:rPr>
      </w:pPr>
      <w:r w:rsidRPr="008B5217">
        <w:rPr>
          <w:rFonts w:asciiTheme="minorHAnsi" w:hAnsiTheme="minorHAnsi"/>
          <w:b/>
          <w:sz w:val="20"/>
          <w:szCs w:val="20"/>
        </w:rPr>
        <w:t>Provisional Options for Presenting EPA Recommendations of Standards and Ecolabels</w:t>
      </w:r>
    </w:p>
    <w:p w14:paraId="3487F1F6" w14:textId="011ED8A6" w:rsidR="008B5217" w:rsidRDefault="002A27C8" w:rsidP="00A67B2F">
      <w:pPr>
        <w:spacing w:after="0" w:line="240" w:lineRule="auto"/>
        <w:rPr>
          <w:rFonts w:asciiTheme="minorHAnsi" w:hAnsiTheme="minorHAnsi"/>
          <w:sz w:val="20"/>
          <w:szCs w:val="20"/>
        </w:rPr>
      </w:pPr>
      <w:r>
        <w:rPr>
          <w:rFonts w:asciiTheme="minorHAnsi" w:hAnsiTheme="minorHAnsi"/>
          <w:sz w:val="20"/>
          <w:szCs w:val="20"/>
        </w:rPr>
        <w:t>T</w:t>
      </w:r>
      <w:r w:rsidR="00845F93" w:rsidRPr="00845F93">
        <w:rPr>
          <w:rFonts w:asciiTheme="minorHAnsi" w:hAnsiTheme="minorHAnsi"/>
          <w:sz w:val="20"/>
          <w:szCs w:val="20"/>
        </w:rPr>
        <w:t>he pilot assessment and final</w:t>
      </w:r>
      <w:r w:rsidR="004943AA">
        <w:rPr>
          <w:rFonts w:asciiTheme="minorHAnsi" w:hAnsiTheme="minorHAnsi"/>
          <w:sz w:val="20"/>
          <w:szCs w:val="20"/>
        </w:rPr>
        <w:t xml:space="preserve"> report</w:t>
      </w:r>
      <w:r w:rsidR="00845F93" w:rsidRPr="00845F93">
        <w:rPr>
          <w:rFonts w:asciiTheme="minorHAnsi" w:hAnsiTheme="minorHAnsi"/>
          <w:sz w:val="20"/>
          <w:szCs w:val="20"/>
        </w:rPr>
        <w:t xml:space="preserve"> will inform, along with other factors, how EPA presents its final Recommendations of Standards and Ecolabels to federal purchasers per EO 13693</w:t>
      </w:r>
      <w:r>
        <w:rPr>
          <w:rFonts w:asciiTheme="minorHAnsi" w:hAnsiTheme="minorHAnsi"/>
          <w:sz w:val="20"/>
          <w:szCs w:val="20"/>
        </w:rPr>
        <w:t>Below are two</w:t>
      </w:r>
      <w:r w:rsidR="008B5217" w:rsidRPr="008B5217">
        <w:rPr>
          <w:rFonts w:asciiTheme="minorHAnsi" w:hAnsiTheme="minorHAnsi"/>
          <w:sz w:val="20"/>
          <w:szCs w:val="20"/>
        </w:rPr>
        <w:t xml:space="preserve"> provisional options for discussion. </w:t>
      </w:r>
      <w:r w:rsidR="008B5217" w:rsidRPr="00743DA6">
        <w:rPr>
          <w:rFonts w:asciiTheme="minorHAnsi" w:hAnsiTheme="minorHAnsi"/>
          <w:i/>
          <w:sz w:val="20"/>
          <w:szCs w:val="20"/>
          <w:u w:val="single"/>
        </w:rPr>
        <w:t>There are likely many options that could combine these approaches, as well.</w:t>
      </w:r>
      <w:r w:rsidR="008B5217" w:rsidRPr="008B5217">
        <w:rPr>
          <w:rFonts w:asciiTheme="minorHAnsi" w:hAnsiTheme="minorHAnsi"/>
          <w:sz w:val="20"/>
          <w:szCs w:val="20"/>
        </w:rPr>
        <w:t xml:space="preserve"> This is presented for discussion purposes only. EPA will need to consult with CEQ and the Office of Federal Procurement Policy, among others, to determine the most appropriate approach per the EO and other authorities.</w:t>
      </w:r>
      <w:r>
        <w:rPr>
          <w:rStyle w:val="FootnoteReference"/>
          <w:rFonts w:asciiTheme="minorHAnsi" w:hAnsiTheme="minorHAnsi"/>
          <w:sz w:val="20"/>
          <w:szCs w:val="20"/>
        </w:rPr>
        <w:footnoteReference w:id="3"/>
      </w:r>
      <w:r w:rsidR="00A67B2F">
        <w:rPr>
          <w:rFonts w:asciiTheme="minorHAnsi" w:hAnsiTheme="minorHAnsi"/>
          <w:sz w:val="20"/>
          <w:szCs w:val="20"/>
        </w:rPr>
        <w:t xml:space="preserve"> </w:t>
      </w:r>
    </w:p>
    <w:p w14:paraId="3C594C46" w14:textId="77777777" w:rsidR="00EF230D" w:rsidRDefault="00EF230D" w:rsidP="00A67B2F">
      <w:pPr>
        <w:spacing w:after="0" w:line="240" w:lineRule="auto"/>
        <w:rPr>
          <w:rFonts w:asciiTheme="minorHAnsi" w:hAnsiTheme="minorHAnsi"/>
          <w:sz w:val="20"/>
          <w:szCs w:val="20"/>
        </w:rPr>
      </w:pPr>
    </w:p>
    <w:p w14:paraId="1765CC07" w14:textId="7D30E595" w:rsidR="00F013DD" w:rsidRPr="008B5217" w:rsidRDefault="00F013DD" w:rsidP="00A67B2F">
      <w:pPr>
        <w:spacing w:after="0" w:line="240" w:lineRule="auto"/>
        <w:rPr>
          <w:rFonts w:asciiTheme="minorHAnsi" w:hAnsiTheme="minorHAnsi"/>
          <w:sz w:val="20"/>
          <w:szCs w:val="20"/>
        </w:rPr>
      </w:pPr>
      <w:r>
        <w:rPr>
          <w:rFonts w:asciiTheme="minorHAnsi" w:hAnsiTheme="minorHAnsi"/>
          <w:sz w:val="20"/>
          <w:szCs w:val="20"/>
        </w:rPr>
        <w:t xml:space="preserve">Also note that while </w:t>
      </w:r>
      <w:r w:rsidRPr="00F013DD">
        <w:rPr>
          <w:rFonts w:asciiTheme="minorHAnsi" w:hAnsiTheme="minorHAnsi"/>
          <w:sz w:val="20"/>
          <w:szCs w:val="20"/>
        </w:rPr>
        <w:t xml:space="preserve">the Guidelines are </w:t>
      </w:r>
      <w:r>
        <w:rPr>
          <w:rFonts w:asciiTheme="minorHAnsi" w:hAnsiTheme="minorHAnsi"/>
          <w:sz w:val="20"/>
          <w:szCs w:val="20"/>
        </w:rPr>
        <w:t>intended to be EPA’s</w:t>
      </w:r>
      <w:r w:rsidRPr="00F013DD">
        <w:rPr>
          <w:rFonts w:asciiTheme="minorHAnsi" w:hAnsiTheme="minorHAnsi"/>
          <w:sz w:val="20"/>
          <w:szCs w:val="20"/>
        </w:rPr>
        <w:t xml:space="preserve"> mechanism to determine which standards and/or ecolabels</w:t>
      </w:r>
      <w:r>
        <w:rPr>
          <w:rFonts w:asciiTheme="minorHAnsi" w:hAnsiTheme="minorHAnsi"/>
          <w:sz w:val="20"/>
          <w:szCs w:val="20"/>
        </w:rPr>
        <w:t xml:space="preserve"> to recommend</w:t>
      </w:r>
      <w:r w:rsidRPr="00F013DD">
        <w:rPr>
          <w:rFonts w:asciiTheme="minorHAnsi" w:hAnsiTheme="minorHAnsi"/>
          <w:sz w:val="20"/>
          <w:szCs w:val="20"/>
        </w:rPr>
        <w:t xml:space="preserve">, the EO gives </w:t>
      </w:r>
      <w:r>
        <w:rPr>
          <w:rFonts w:asciiTheme="minorHAnsi" w:hAnsiTheme="minorHAnsi"/>
          <w:sz w:val="20"/>
          <w:szCs w:val="20"/>
        </w:rPr>
        <w:t>EPA</w:t>
      </w:r>
      <w:r w:rsidRPr="00F013DD">
        <w:rPr>
          <w:rFonts w:asciiTheme="minorHAnsi" w:hAnsiTheme="minorHAnsi"/>
          <w:sz w:val="20"/>
          <w:szCs w:val="20"/>
        </w:rPr>
        <w:t xml:space="preserve"> the authority to also recommend “specifications” which </w:t>
      </w:r>
      <w:r w:rsidR="00845F93">
        <w:rPr>
          <w:rFonts w:asciiTheme="minorHAnsi" w:hAnsiTheme="minorHAnsi"/>
          <w:sz w:val="20"/>
          <w:szCs w:val="20"/>
        </w:rPr>
        <w:t>federal purchasers</w:t>
      </w:r>
      <w:r w:rsidRPr="00F013DD">
        <w:rPr>
          <w:rFonts w:asciiTheme="minorHAnsi" w:hAnsiTheme="minorHAnsi"/>
          <w:sz w:val="20"/>
          <w:szCs w:val="20"/>
        </w:rPr>
        <w:t xml:space="preserve"> could use to fill gaps in what standards and ecolabels address.</w:t>
      </w:r>
    </w:p>
    <w:p w14:paraId="54734223" w14:textId="77777777" w:rsidR="008B5217" w:rsidRPr="008B5217" w:rsidRDefault="008B5217" w:rsidP="00A67B2F">
      <w:pPr>
        <w:spacing w:after="0" w:line="240" w:lineRule="auto"/>
        <w:rPr>
          <w:rFonts w:asciiTheme="minorHAnsi" w:hAnsiTheme="minorHAnsi"/>
          <w:b/>
          <w:sz w:val="20"/>
          <w:szCs w:val="20"/>
        </w:rPr>
      </w:pPr>
    </w:p>
    <w:p w14:paraId="0152889E" w14:textId="77777777" w:rsidR="008B6E37" w:rsidRPr="00845F93" w:rsidRDefault="008B6E37" w:rsidP="00A67B2F">
      <w:pPr>
        <w:spacing w:after="0" w:line="240" w:lineRule="auto"/>
        <w:rPr>
          <w:b/>
          <w:sz w:val="20"/>
          <w:szCs w:val="28"/>
        </w:rPr>
      </w:pPr>
      <w:r w:rsidRPr="00845F93">
        <w:rPr>
          <w:b/>
          <w:sz w:val="20"/>
          <w:szCs w:val="28"/>
        </w:rPr>
        <w:t>Option One:</w:t>
      </w:r>
    </w:p>
    <w:p w14:paraId="564FBBD6" w14:textId="77777777" w:rsidR="008B6E37" w:rsidRPr="00845F93" w:rsidRDefault="008B6E37" w:rsidP="00A67B2F">
      <w:pPr>
        <w:spacing w:after="0" w:line="240" w:lineRule="auto"/>
        <w:rPr>
          <w:sz w:val="20"/>
        </w:rPr>
      </w:pPr>
      <w:r w:rsidRPr="00845F93">
        <w:rPr>
          <w:sz w:val="20"/>
        </w:rPr>
        <w:t>Specifications/Standards/Ecolabels to Use in Federal Procurement</w:t>
      </w:r>
    </w:p>
    <w:tbl>
      <w:tblPr>
        <w:tblStyle w:val="TableGrid"/>
        <w:tblW w:w="0" w:type="auto"/>
        <w:tblLook w:val="04A0" w:firstRow="1" w:lastRow="0" w:firstColumn="1" w:lastColumn="0" w:noHBand="0" w:noVBand="1"/>
      </w:tblPr>
      <w:tblGrid>
        <w:gridCol w:w="1652"/>
        <w:gridCol w:w="1708"/>
        <w:gridCol w:w="1451"/>
        <w:gridCol w:w="4539"/>
      </w:tblGrid>
      <w:tr w:rsidR="008B6E37" w:rsidRPr="00845F93" w14:paraId="0817E1B0" w14:textId="77777777" w:rsidTr="0012636C">
        <w:tc>
          <w:tcPr>
            <w:tcW w:w="1795" w:type="dxa"/>
          </w:tcPr>
          <w:p w14:paraId="4BE5E18D" w14:textId="77777777" w:rsidR="008B6E37" w:rsidRPr="00845F93" w:rsidRDefault="008B6E37" w:rsidP="00A67B2F">
            <w:pPr>
              <w:spacing w:after="0" w:line="240" w:lineRule="auto"/>
              <w:rPr>
                <w:sz w:val="20"/>
              </w:rPr>
            </w:pPr>
            <w:r w:rsidRPr="00845F93">
              <w:rPr>
                <w:sz w:val="20"/>
              </w:rPr>
              <w:t>Product/Service</w:t>
            </w:r>
          </w:p>
        </w:tc>
        <w:tc>
          <w:tcPr>
            <w:tcW w:w="2070" w:type="dxa"/>
          </w:tcPr>
          <w:p w14:paraId="4D0AB73D" w14:textId="77777777" w:rsidR="008B6E37" w:rsidRPr="00845F93" w:rsidRDefault="008B6E37" w:rsidP="00A67B2F">
            <w:pPr>
              <w:spacing w:after="0" w:line="240" w:lineRule="auto"/>
              <w:rPr>
                <w:sz w:val="20"/>
              </w:rPr>
            </w:pPr>
            <w:r w:rsidRPr="00845F93">
              <w:rPr>
                <w:sz w:val="20"/>
              </w:rPr>
              <w:t>Applicable Statutory Requirements</w:t>
            </w:r>
          </w:p>
        </w:tc>
        <w:tc>
          <w:tcPr>
            <w:tcW w:w="1710" w:type="dxa"/>
          </w:tcPr>
          <w:p w14:paraId="2F2470E9" w14:textId="77777777" w:rsidR="008B6E37" w:rsidRPr="00845F93" w:rsidRDefault="008B6E37" w:rsidP="00A67B2F">
            <w:pPr>
              <w:spacing w:after="0" w:line="240" w:lineRule="auto"/>
              <w:rPr>
                <w:sz w:val="20"/>
              </w:rPr>
            </w:pPr>
            <w:r w:rsidRPr="00845F93">
              <w:rPr>
                <w:sz w:val="20"/>
              </w:rPr>
              <w:t>Applicable EPA Ecolabels</w:t>
            </w:r>
          </w:p>
        </w:tc>
        <w:tc>
          <w:tcPr>
            <w:tcW w:w="7110" w:type="dxa"/>
          </w:tcPr>
          <w:p w14:paraId="240C54A4" w14:textId="4363A21F" w:rsidR="008B6E37" w:rsidRPr="00845F93" w:rsidRDefault="008B6E37" w:rsidP="00A67B2F">
            <w:pPr>
              <w:spacing w:after="0" w:line="240" w:lineRule="auto"/>
              <w:rPr>
                <w:sz w:val="20"/>
              </w:rPr>
            </w:pPr>
            <w:r w:rsidRPr="00845F93">
              <w:rPr>
                <w:sz w:val="20"/>
              </w:rPr>
              <w:t xml:space="preserve">Other EPA Recommended </w:t>
            </w:r>
            <w:r w:rsidR="00EF230D">
              <w:rPr>
                <w:sz w:val="20"/>
              </w:rPr>
              <w:t xml:space="preserve">Specifications, </w:t>
            </w:r>
            <w:r w:rsidRPr="00845F93">
              <w:rPr>
                <w:sz w:val="20"/>
              </w:rPr>
              <w:t>Standards</w:t>
            </w:r>
            <w:r w:rsidR="00EF230D">
              <w:rPr>
                <w:sz w:val="20"/>
              </w:rPr>
              <w:t>,</w:t>
            </w:r>
            <w:r w:rsidRPr="00845F93">
              <w:rPr>
                <w:sz w:val="20"/>
              </w:rPr>
              <w:t xml:space="preserve"> and Ecolabels</w:t>
            </w:r>
          </w:p>
        </w:tc>
      </w:tr>
      <w:tr w:rsidR="008B6E37" w:rsidRPr="00845F93" w14:paraId="3E7E8458" w14:textId="77777777" w:rsidTr="0012636C">
        <w:tc>
          <w:tcPr>
            <w:tcW w:w="1795" w:type="dxa"/>
          </w:tcPr>
          <w:p w14:paraId="1739C2B4" w14:textId="242AE631" w:rsidR="008B6E37" w:rsidRPr="00845F93" w:rsidRDefault="00A67B2F" w:rsidP="00B91C75">
            <w:pPr>
              <w:spacing w:after="0" w:line="240" w:lineRule="auto"/>
              <w:rPr>
                <w:sz w:val="20"/>
              </w:rPr>
            </w:pPr>
            <w:r w:rsidRPr="00845F93">
              <w:rPr>
                <w:sz w:val="20"/>
              </w:rPr>
              <w:t>widget</w:t>
            </w:r>
            <w:r w:rsidR="00B91C75" w:rsidRPr="00845F93">
              <w:rPr>
                <w:sz w:val="20"/>
              </w:rPr>
              <w:t>s</w:t>
            </w:r>
          </w:p>
        </w:tc>
        <w:tc>
          <w:tcPr>
            <w:tcW w:w="2070" w:type="dxa"/>
          </w:tcPr>
          <w:p w14:paraId="1DEF3BD9" w14:textId="6C2EB3AF" w:rsidR="00A67B2F" w:rsidRPr="00845F93" w:rsidRDefault="00A67B2F" w:rsidP="00A67B2F">
            <w:pPr>
              <w:spacing w:after="0" w:line="240" w:lineRule="auto"/>
              <w:rPr>
                <w:sz w:val="20"/>
              </w:rPr>
            </w:pPr>
            <w:r w:rsidRPr="00845F93">
              <w:rPr>
                <w:sz w:val="20"/>
              </w:rPr>
              <w:t>ENERGY STAR</w:t>
            </w:r>
          </w:p>
        </w:tc>
        <w:tc>
          <w:tcPr>
            <w:tcW w:w="1710" w:type="dxa"/>
          </w:tcPr>
          <w:p w14:paraId="7DD7C01B" w14:textId="7FFCEF13" w:rsidR="008B6E37" w:rsidRPr="00845F93" w:rsidRDefault="00A67B2F" w:rsidP="00A67B2F">
            <w:pPr>
              <w:spacing w:after="0" w:line="240" w:lineRule="auto"/>
              <w:rPr>
                <w:sz w:val="20"/>
              </w:rPr>
            </w:pPr>
            <w:r w:rsidRPr="00845F93">
              <w:rPr>
                <w:sz w:val="20"/>
              </w:rPr>
              <w:t>WaterSense</w:t>
            </w:r>
          </w:p>
        </w:tc>
        <w:tc>
          <w:tcPr>
            <w:tcW w:w="7110" w:type="dxa"/>
          </w:tcPr>
          <w:p w14:paraId="58F1C890" w14:textId="5D49444E" w:rsidR="008B6E37" w:rsidRPr="00845F93" w:rsidRDefault="008B6E37" w:rsidP="00A67B2F">
            <w:pPr>
              <w:spacing w:after="0" w:line="240" w:lineRule="auto"/>
              <w:rPr>
                <w:sz w:val="20"/>
              </w:rPr>
            </w:pPr>
            <w:r w:rsidRPr="00845F93">
              <w:rPr>
                <w:sz w:val="20"/>
              </w:rPr>
              <w:t xml:space="preserve">Purchases </w:t>
            </w:r>
            <w:r w:rsidR="002A27C8">
              <w:rPr>
                <w:sz w:val="20"/>
              </w:rPr>
              <w:t>meet</w:t>
            </w:r>
            <w:r w:rsidRPr="00845F93">
              <w:rPr>
                <w:sz w:val="20"/>
              </w:rPr>
              <w:t xml:space="preserve"> the following standard(s) which address multiple environmental impact areas over the life of the product:</w:t>
            </w:r>
          </w:p>
          <w:p w14:paraId="4EA826C9" w14:textId="77777777" w:rsidR="008B6E37" w:rsidRPr="00845F93" w:rsidRDefault="008B6E37" w:rsidP="00A67B2F">
            <w:pPr>
              <w:spacing w:after="0" w:line="240" w:lineRule="auto"/>
              <w:rPr>
                <w:sz w:val="20"/>
              </w:rPr>
            </w:pPr>
            <w:r w:rsidRPr="00845F93">
              <w:rPr>
                <w:sz w:val="20"/>
              </w:rPr>
              <w:t xml:space="preserve">1) </w:t>
            </w:r>
            <w:r w:rsidRPr="00845F93">
              <w:rPr>
                <w:color w:val="0070C0"/>
                <w:sz w:val="20"/>
                <w:u w:val="single"/>
              </w:rPr>
              <w:t>ABC</w:t>
            </w:r>
          </w:p>
          <w:p w14:paraId="23E4CB22" w14:textId="10061585" w:rsidR="008B6E37" w:rsidRPr="00845F93" w:rsidRDefault="008B6E37" w:rsidP="00A67B2F">
            <w:pPr>
              <w:spacing w:after="0" w:line="240" w:lineRule="auto"/>
              <w:rPr>
                <w:sz w:val="20"/>
              </w:rPr>
            </w:pPr>
            <w:r w:rsidRPr="00845F93">
              <w:rPr>
                <w:sz w:val="20"/>
              </w:rPr>
              <w:t xml:space="preserve">Or conform to [all] [more than one] </w:t>
            </w:r>
            <w:r w:rsidR="000D3050" w:rsidRPr="0019094D">
              <w:rPr>
                <w:sz w:val="20"/>
              </w:rPr>
              <w:t>[one or more]</w:t>
            </w:r>
            <w:r w:rsidR="000D3050">
              <w:rPr>
                <w:sz w:val="20"/>
              </w:rPr>
              <w:t xml:space="preserve"> </w:t>
            </w:r>
            <w:r w:rsidRPr="00845F93">
              <w:rPr>
                <w:sz w:val="20"/>
              </w:rPr>
              <w:t>of the following standards:</w:t>
            </w:r>
          </w:p>
          <w:p w14:paraId="1B51903A" w14:textId="77777777" w:rsidR="008B6E37" w:rsidRPr="007C4023" w:rsidRDefault="008B6E37" w:rsidP="00A67B2F">
            <w:pPr>
              <w:spacing w:after="0" w:line="240" w:lineRule="auto"/>
              <w:rPr>
                <w:sz w:val="20"/>
                <w:lang w:val="fr-FR"/>
              </w:rPr>
            </w:pPr>
            <w:r w:rsidRPr="007C4023">
              <w:rPr>
                <w:sz w:val="20"/>
                <w:lang w:val="fr-FR"/>
              </w:rPr>
              <w:t>2)</w:t>
            </w:r>
            <w:r w:rsidRPr="007C4023">
              <w:rPr>
                <w:color w:val="0070C0"/>
                <w:sz w:val="20"/>
                <w:u w:val="single"/>
                <w:lang w:val="fr-FR"/>
              </w:rPr>
              <w:t>X</w:t>
            </w:r>
            <w:r w:rsidRPr="007C4023">
              <w:rPr>
                <w:sz w:val="20"/>
                <w:lang w:val="fr-FR"/>
              </w:rPr>
              <w:t xml:space="preserve"> (VOC emissions)</w:t>
            </w:r>
          </w:p>
          <w:p w14:paraId="2316AF61" w14:textId="77777777" w:rsidR="008B6E37" w:rsidRPr="007C4023" w:rsidRDefault="008B6E37" w:rsidP="00A67B2F">
            <w:pPr>
              <w:spacing w:after="0" w:line="240" w:lineRule="auto"/>
              <w:rPr>
                <w:sz w:val="20"/>
                <w:lang w:val="fr-FR"/>
              </w:rPr>
            </w:pPr>
            <w:r w:rsidRPr="007C4023">
              <w:rPr>
                <w:sz w:val="20"/>
                <w:lang w:val="fr-FR"/>
              </w:rPr>
              <w:t>3)</w:t>
            </w:r>
            <w:r w:rsidRPr="007C4023">
              <w:rPr>
                <w:color w:val="0070C0"/>
                <w:sz w:val="20"/>
                <w:u w:val="single"/>
                <w:lang w:val="fr-FR"/>
              </w:rPr>
              <w:t>Y</w:t>
            </w:r>
            <w:r w:rsidRPr="007C4023">
              <w:rPr>
                <w:sz w:val="20"/>
                <w:lang w:val="fr-FR"/>
              </w:rPr>
              <w:t xml:space="preserve"> (GHG emissions)</w:t>
            </w:r>
          </w:p>
          <w:p w14:paraId="3852D975" w14:textId="5CE90AF7" w:rsidR="008B6E37" w:rsidRPr="00845F93" w:rsidRDefault="00A67B2F" w:rsidP="00A67B2F">
            <w:pPr>
              <w:spacing w:after="0" w:line="240" w:lineRule="auto"/>
              <w:rPr>
                <w:sz w:val="20"/>
              </w:rPr>
            </w:pPr>
            <w:r w:rsidRPr="00845F93">
              <w:rPr>
                <w:sz w:val="20"/>
              </w:rPr>
              <w:t>[</w:t>
            </w:r>
            <w:r w:rsidR="008B6E37" w:rsidRPr="00845F93">
              <w:rPr>
                <w:sz w:val="20"/>
              </w:rPr>
              <w:t>AND</w:t>
            </w:r>
            <w:r w:rsidRPr="00845F93">
              <w:rPr>
                <w:sz w:val="20"/>
              </w:rPr>
              <w:t>] [OR]</w:t>
            </w:r>
          </w:p>
          <w:p w14:paraId="0EEEDB6C" w14:textId="77777777" w:rsidR="008B6E37" w:rsidRDefault="008B6E37" w:rsidP="00A67B2F">
            <w:pPr>
              <w:spacing w:after="0" w:line="240" w:lineRule="auto"/>
              <w:rPr>
                <w:sz w:val="20"/>
              </w:rPr>
            </w:pPr>
            <w:r w:rsidRPr="00845F93">
              <w:rPr>
                <w:sz w:val="20"/>
              </w:rPr>
              <w:t>4)</w:t>
            </w:r>
            <w:r w:rsidRPr="00845F93">
              <w:rPr>
                <w:color w:val="0070C0"/>
                <w:sz w:val="20"/>
                <w:u w:val="single"/>
              </w:rPr>
              <w:t>Z</w:t>
            </w:r>
            <w:r w:rsidRPr="00845F93">
              <w:rPr>
                <w:sz w:val="20"/>
              </w:rPr>
              <w:t xml:space="preserve"> (sustainable raw materials acquisition)</w:t>
            </w:r>
          </w:p>
          <w:p w14:paraId="1A116EA5" w14:textId="77777777" w:rsidR="00EF230D" w:rsidRDefault="00EF230D" w:rsidP="00A67B2F">
            <w:pPr>
              <w:spacing w:after="0" w:line="240" w:lineRule="auto"/>
              <w:rPr>
                <w:sz w:val="20"/>
              </w:rPr>
            </w:pPr>
            <w:r>
              <w:rPr>
                <w:sz w:val="20"/>
              </w:rPr>
              <w:t>In addition, purchasers may consider specifying the following environmental/human health performance requirements not covered by the above standards/ecolabels:</w:t>
            </w:r>
          </w:p>
          <w:p w14:paraId="5D6D2057" w14:textId="4EC12BC0" w:rsidR="00EF230D" w:rsidRPr="00845F93" w:rsidRDefault="00EF230D" w:rsidP="00A67B2F">
            <w:pPr>
              <w:spacing w:after="0" w:line="240" w:lineRule="auto"/>
              <w:rPr>
                <w:sz w:val="20"/>
              </w:rPr>
            </w:pPr>
            <w:r>
              <w:rPr>
                <w:sz w:val="20"/>
              </w:rPr>
              <w:t xml:space="preserve">… </w:t>
            </w:r>
          </w:p>
        </w:tc>
      </w:tr>
    </w:tbl>
    <w:p w14:paraId="458FE212" w14:textId="28FE2C2C" w:rsidR="008B6E37" w:rsidRPr="00A67B2F" w:rsidRDefault="00A67B2F" w:rsidP="00A67B2F">
      <w:pPr>
        <w:spacing w:after="0" w:line="240" w:lineRule="auto"/>
        <w:rPr>
          <w:b/>
        </w:rPr>
      </w:pPr>
      <w:r>
        <w:rPr>
          <w:b/>
          <w:sz w:val="28"/>
          <w:szCs w:val="28"/>
        </w:rPr>
        <w:br/>
      </w:r>
      <w:r w:rsidR="008B6E37" w:rsidRPr="00845F93">
        <w:rPr>
          <w:b/>
          <w:sz w:val="20"/>
          <w:szCs w:val="28"/>
        </w:rPr>
        <w:t>Option Two:</w:t>
      </w:r>
    </w:p>
    <w:p w14:paraId="3BE09F43" w14:textId="77777777" w:rsidR="008B6E37" w:rsidRPr="00845F93" w:rsidRDefault="008B6E37" w:rsidP="00A67B2F">
      <w:pPr>
        <w:spacing w:after="0" w:line="240" w:lineRule="auto"/>
        <w:rPr>
          <w:sz w:val="20"/>
        </w:rPr>
      </w:pPr>
      <w:r w:rsidRPr="00845F93">
        <w:rPr>
          <w:sz w:val="20"/>
        </w:rPr>
        <w:t>Specifications/Standards/Ecolabels to Use in Federal Procurement</w:t>
      </w:r>
    </w:p>
    <w:tbl>
      <w:tblPr>
        <w:tblStyle w:val="TableGrid"/>
        <w:tblW w:w="0" w:type="auto"/>
        <w:tblLook w:val="04A0" w:firstRow="1" w:lastRow="0" w:firstColumn="1" w:lastColumn="0" w:noHBand="0" w:noVBand="1"/>
      </w:tblPr>
      <w:tblGrid>
        <w:gridCol w:w="1645"/>
        <w:gridCol w:w="1688"/>
        <w:gridCol w:w="1437"/>
        <w:gridCol w:w="2393"/>
        <w:gridCol w:w="2187"/>
      </w:tblGrid>
      <w:tr w:rsidR="008B6E37" w:rsidRPr="00845F93" w14:paraId="1F8064B2" w14:textId="77777777" w:rsidTr="00EF230D">
        <w:tc>
          <w:tcPr>
            <w:tcW w:w="1645" w:type="dxa"/>
          </w:tcPr>
          <w:p w14:paraId="334A9532" w14:textId="77777777" w:rsidR="008B6E37" w:rsidRPr="00845F93" w:rsidRDefault="008B6E37" w:rsidP="00A67B2F">
            <w:pPr>
              <w:spacing w:after="0" w:line="240" w:lineRule="auto"/>
              <w:rPr>
                <w:sz w:val="20"/>
              </w:rPr>
            </w:pPr>
            <w:r w:rsidRPr="00845F93">
              <w:rPr>
                <w:sz w:val="20"/>
              </w:rPr>
              <w:t>Product/Service</w:t>
            </w:r>
          </w:p>
        </w:tc>
        <w:tc>
          <w:tcPr>
            <w:tcW w:w="1688" w:type="dxa"/>
          </w:tcPr>
          <w:p w14:paraId="4F4A806C" w14:textId="77777777" w:rsidR="008B6E37" w:rsidRPr="00845F93" w:rsidRDefault="008B6E37" w:rsidP="00A67B2F">
            <w:pPr>
              <w:spacing w:after="0" w:line="240" w:lineRule="auto"/>
              <w:rPr>
                <w:sz w:val="20"/>
              </w:rPr>
            </w:pPr>
            <w:r w:rsidRPr="00845F93">
              <w:rPr>
                <w:sz w:val="20"/>
              </w:rPr>
              <w:t>Applicable Statutory Requirements</w:t>
            </w:r>
          </w:p>
        </w:tc>
        <w:tc>
          <w:tcPr>
            <w:tcW w:w="1437" w:type="dxa"/>
          </w:tcPr>
          <w:p w14:paraId="782D803B" w14:textId="77777777" w:rsidR="008B6E37" w:rsidRPr="00845F93" w:rsidRDefault="008B6E37" w:rsidP="00A67B2F">
            <w:pPr>
              <w:spacing w:after="0" w:line="240" w:lineRule="auto"/>
              <w:rPr>
                <w:sz w:val="20"/>
              </w:rPr>
            </w:pPr>
            <w:r w:rsidRPr="00845F93">
              <w:rPr>
                <w:sz w:val="20"/>
              </w:rPr>
              <w:t>Applicable EPA Ecolabels</w:t>
            </w:r>
          </w:p>
        </w:tc>
        <w:tc>
          <w:tcPr>
            <w:tcW w:w="4580" w:type="dxa"/>
            <w:gridSpan w:val="2"/>
          </w:tcPr>
          <w:p w14:paraId="049D3ED7" w14:textId="5FE3733F" w:rsidR="008B6E37" w:rsidRPr="00845F93" w:rsidRDefault="008B6E37" w:rsidP="00A67B2F">
            <w:pPr>
              <w:spacing w:after="0" w:line="240" w:lineRule="auto"/>
              <w:rPr>
                <w:sz w:val="20"/>
              </w:rPr>
            </w:pPr>
            <w:r w:rsidRPr="00845F93">
              <w:rPr>
                <w:sz w:val="20"/>
              </w:rPr>
              <w:t xml:space="preserve">Other EPA Recommended </w:t>
            </w:r>
            <w:r w:rsidR="00EF230D">
              <w:rPr>
                <w:sz w:val="20"/>
              </w:rPr>
              <w:t xml:space="preserve">Specifications, </w:t>
            </w:r>
            <w:r w:rsidRPr="00845F93">
              <w:rPr>
                <w:sz w:val="20"/>
              </w:rPr>
              <w:t>Standards</w:t>
            </w:r>
            <w:r w:rsidR="00EF230D">
              <w:rPr>
                <w:sz w:val="20"/>
              </w:rPr>
              <w:t>,</w:t>
            </w:r>
            <w:r w:rsidRPr="00845F93">
              <w:rPr>
                <w:sz w:val="20"/>
              </w:rPr>
              <w:t xml:space="preserve"> and Ecolabels</w:t>
            </w:r>
          </w:p>
        </w:tc>
      </w:tr>
      <w:tr w:rsidR="00EF230D" w:rsidRPr="00845F93" w14:paraId="5BED036D" w14:textId="77777777" w:rsidTr="00EF230D">
        <w:trPr>
          <w:trHeight w:val="70"/>
        </w:trPr>
        <w:tc>
          <w:tcPr>
            <w:tcW w:w="1645" w:type="dxa"/>
            <w:vMerge w:val="restart"/>
          </w:tcPr>
          <w:p w14:paraId="1BA3C90C" w14:textId="1CCDB5AD" w:rsidR="00EF230D" w:rsidRPr="00845F93" w:rsidRDefault="00EF230D" w:rsidP="00A67B2F">
            <w:pPr>
              <w:spacing w:after="0" w:line="240" w:lineRule="auto"/>
              <w:rPr>
                <w:sz w:val="20"/>
              </w:rPr>
            </w:pPr>
            <w:r w:rsidRPr="00845F93">
              <w:rPr>
                <w:sz w:val="20"/>
              </w:rPr>
              <w:t>widgets</w:t>
            </w:r>
          </w:p>
        </w:tc>
        <w:tc>
          <w:tcPr>
            <w:tcW w:w="1688" w:type="dxa"/>
            <w:vMerge w:val="restart"/>
          </w:tcPr>
          <w:p w14:paraId="756496AA" w14:textId="281DF2DD" w:rsidR="00EF230D" w:rsidRPr="00845F93" w:rsidRDefault="00EF230D" w:rsidP="00A67B2F">
            <w:pPr>
              <w:spacing w:after="0" w:line="240" w:lineRule="auto"/>
              <w:rPr>
                <w:sz w:val="20"/>
              </w:rPr>
            </w:pPr>
            <w:r w:rsidRPr="00845F93">
              <w:rPr>
                <w:sz w:val="20"/>
              </w:rPr>
              <w:t>ENERGY STAR</w:t>
            </w:r>
          </w:p>
        </w:tc>
        <w:tc>
          <w:tcPr>
            <w:tcW w:w="1437" w:type="dxa"/>
            <w:vMerge w:val="restart"/>
          </w:tcPr>
          <w:p w14:paraId="2EF4F8A3" w14:textId="1E656E55" w:rsidR="00EF230D" w:rsidRPr="00845F93" w:rsidRDefault="00EF230D" w:rsidP="00A67B2F">
            <w:pPr>
              <w:spacing w:after="0" w:line="240" w:lineRule="auto"/>
              <w:rPr>
                <w:sz w:val="20"/>
              </w:rPr>
            </w:pPr>
            <w:r w:rsidRPr="00845F93">
              <w:rPr>
                <w:sz w:val="20"/>
              </w:rPr>
              <w:t>WaterSense</w:t>
            </w:r>
          </w:p>
        </w:tc>
        <w:tc>
          <w:tcPr>
            <w:tcW w:w="2393" w:type="dxa"/>
          </w:tcPr>
          <w:p w14:paraId="06F348E1" w14:textId="5ECE3E2C" w:rsidR="00EF230D" w:rsidRPr="00845F93" w:rsidRDefault="00EF230D" w:rsidP="00A67B2F">
            <w:pPr>
              <w:spacing w:after="0" w:line="240" w:lineRule="auto"/>
              <w:rPr>
                <w:sz w:val="20"/>
              </w:rPr>
            </w:pPr>
            <w:r w:rsidRPr="00845F93">
              <w:rPr>
                <w:sz w:val="20"/>
              </w:rPr>
              <w:t xml:space="preserve">Purchases </w:t>
            </w:r>
            <w:r w:rsidR="002A27C8">
              <w:rPr>
                <w:sz w:val="20"/>
              </w:rPr>
              <w:t>meet</w:t>
            </w:r>
            <w:r w:rsidRPr="00845F93">
              <w:rPr>
                <w:sz w:val="20"/>
              </w:rPr>
              <w:t xml:space="preserve"> </w:t>
            </w:r>
            <w:r>
              <w:rPr>
                <w:sz w:val="20"/>
              </w:rPr>
              <w:t>[</w:t>
            </w:r>
            <w:r w:rsidRPr="00845F93">
              <w:rPr>
                <w:sz w:val="20"/>
              </w:rPr>
              <w:t>more than one</w:t>
            </w:r>
            <w:r>
              <w:rPr>
                <w:sz w:val="20"/>
              </w:rPr>
              <w:t>] [one or more]</w:t>
            </w:r>
            <w:r w:rsidRPr="00845F93">
              <w:rPr>
                <w:sz w:val="20"/>
              </w:rPr>
              <w:t xml:space="preserve"> of the following standards that </w:t>
            </w:r>
            <w:r w:rsidRPr="00845F93">
              <w:rPr>
                <w:b/>
                <w:sz w:val="20"/>
              </w:rPr>
              <w:t>MEET</w:t>
            </w:r>
            <w:r w:rsidRPr="00845F93">
              <w:rPr>
                <w:sz w:val="20"/>
              </w:rPr>
              <w:t xml:space="preserve"> EPA’s 2016 Guidelines criteria:</w:t>
            </w:r>
          </w:p>
          <w:p w14:paraId="3E3F940A" w14:textId="77777777" w:rsidR="00EF230D" w:rsidRPr="00845F93" w:rsidRDefault="00EF230D" w:rsidP="00A67B2F">
            <w:pPr>
              <w:spacing w:after="0" w:line="240" w:lineRule="auto"/>
              <w:rPr>
                <w:sz w:val="20"/>
              </w:rPr>
            </w:pPr>
          </w:p>
          <w:p w14:paraId="281F153B" w14:textId="77777777" w:rsidR="00EF230D" w:rsidRPr="007C4023" w:rsidRDefault="00EF230D" w:rsidP="00A67B2F">
            <w:pPr>
              <w:spacing w:after="0" w:line="240" w:lineRule="auto"/>
              <w:rPr>
                <w:sz w:val="20"/>
                <w:lang w:val="fr-FR"/>
              </w:rPr>
            </w:pPr>
            <w:r w:rsidRPr="007C4023">
              <w:rPr>
                <w:sz w:val="20"/>
                <w:lang w:val="fr-FR"/>
              </w:rPr>
              <w:t>1)</w:t>
            </w:r>
            <w:r w:rsidRPr="007C4023">
              <w:rPr>
                <w:color w:val="0070C0"/>
                <w:sz w:val="20"/>
                <w:u w:val="single"/>
                <w:lang w:val="fr-FR"/>
              </w:rPr>
              <w:t>X</w:t>
            </w:r>
            <w:r w:rsidRPr="007C4023">
              <w:rPr>
                <w:sz w:val="20"/>
                <w:lang w:val="fr-FR"/>
              </w:rPr>
              <w:t xml:space="preserve"> (VOC emissions)</w:t>
            </w:r>
          </w:p>
          <w:p w14:paraId="4B7E4ADB" w14:textId="77777777" w:rsidR="00EF230D" w:rsidRPr="007C4023" w:rsidRDefault="00EF230D" w:rsidP="00A67B2F">
            <w:pPr>
              <w:spacing w:after="0" w:line="240" w:lineRule="auto"/>
              <w:rPr>
                <w:sz w:val="20"/>
                <w:lang w:val="fr-FR"/>
              </w:rPr>
            </w:pPr>
            <w:r w:rsidRPr="007C4023">
              <w:rPr>
                <w:sz w:val="20"/>
                <w:lang w:val="fr-FR"/>
              </w:rPr>
              <w:t>2)</w:t>
            </w:r>
            <w:r w:rsidRPr="007C4023">
              <w:rPr>
                <w:color w:val="0070C0"/>
                <w:sz w:val="20"/>
                <w:u w:val="single"/>
                <w:lang w:val="fr-FR"/>
              </w:rPr>
              <w:t>Y</w:t>
            </w:r>
            <w:r w:rsidRPr="007C4023">
              <w:rPr>
                <w:sz w:val="20"/>
                <w:lang w:val="fr-FR"/>
              </w:rPr>
              <w:t xml:space="preserve"> (GHG emissions)</w:t>
            </w:r>
          </w:p>
          <w:p w14:paraId="470A85E8" w14:textId="77777777" w:rsidR="00EF230D" w:rsidRPr="00845F93" w:rsidRDefault="00EF230D" w:rsidP="00A67B2F">
            <w:pPr>
              <w:spacing w:after="0" w:line="240" w:lineRule="auto"/>
              <w:rPr>
                <w:sz w:val="20"/>
              </w:rPr>
            </w:pPr>
            <w:r w:rsidRPr="00845F93">
              <w:rPr>
                <w:sz w:val="20"/>
              </w:rPr>
              <w:lastRenderedPageBreak/>
              <w:t>3)</w:t>
            </w:r>
            <w:r w:rsidRPr="00845F93">
              <w:rPr>
                <w:color w:val="0070C0"/>
                <w:sz w:val="20"/>
                <w:u w:val="single"/>
              </w:rPr>
              <w:t>Z</w:t>
            </w:r>
            <w:r w:rsidRPr="00845F93">
              <w:rPr>
                <w:sz w:val="20"/>
              </w:rPr>
              <w:t xml:space="preserve"> (sustainable raw materials acquisition)</w:t>
            </w:r>
          </w:p>
        </w:tc>
        <w:tc>
          <w:tcPr>
            <w:tcW w:w="2187" w:type="dxa"/>
          </w:tcPr>
          <w:p w14:paraId="79BFE0A8" w14:textId="4E3D9735" w:rsidR="00EF230D" w:rsidRPr="00845F93" w:rsidRDefault="00EF230D" w:rsidP="00A67B2F">
            <w:pPr>
              <w:spacing w:after="0" w:line="240" w:lineRule="auto"/>
              <w:rPr>
                <w:sz w:val="20"/>
              </w:rPr>
            </w:pPr>
            <w:r w:rsidRPr="00845F93">
              <w:rPr>
                <w:sz w:val="20"/>
              </w:rPr>
              <w:lastRenderedPageBreak/>
              <w:t xml:space="preserve">Purchases </w:t>
            </w:r>
            <w:r w:rsidR="002A27C8">
              <w:rPr>
                <w:sz w:val="20"/>
              </w:rPr>
              <w:t>meet</w:t>
            </w:r>
            <w:r w:rsidRPr="00845F93">
              <w:rPr>
                <w:sz w:val="20"/>
              </w:rPr>
              <w:t xml:space="preserve"> at least one of the following that </w:t>
            </w:r>
            <w:r w:rsidRPr="00845F93">
              <w:rPr>
                <w:b/>
                <w:sz w:val="20"/>
              </w:rPr>
              <w:t>EXCEED</w:t>
            </w:r>
            <w:r w:rsidRPr="00845F93">
              <w:rPr>
                <w:sz w:val="20"/>
              </w:rPr>
              <w:t xml:space="preserve"> EPA’s 2016 Guidelines criteria:</w:t>
            </w:r>
          </w:p>
          <w:p w14:paraId="511A82E5" w14:textId="77777777" w:rsidR="00EF230D" w:rsidRPr="00845F93" w:rsidRDefault="00EF230D" w:rsidP="00A67B2F">
            <w:pPr>
              <w:spacing w:after="0" w:line="240" w:lineRule="auto"/>
              <w:rPr>
                <w:sz w:val="20"/>
              </w:rPr>
            </w:pPr>
          </w:p>
          <w:p w14:paraId="011C5A65" w14:textId="77777777" w:rsidR="00EF230D" w:rsidRPr="00845F93" w:rsidRDefault="00EF230D" w:rsidP="00A67B2F">
            <w:pPr>
              <w:spacing w:after="0" w:line="240" w:lineRule="auto"/>
              <w:rPr>
                <w:sz w:val="20"/>
              </w:rPr>
            </w:pPr>
            <w:r w:rsidRPr="00845F93">
              <w:rPr>
                <w:sz w:val="20"/>
              </w:rPr>
              <w:t>1)</w:t>
            </w:r>
            <w:r w:rsidRPr="00845F93">
              <w:rPr>
                <w:color w:val="0070C0"/>
                <w:sz w:val="20"/>
                <w:u w:val="single"/>
              </w:rPr>
              <w:t>ABC</w:t>
            </w:r>
            <w:r w:rsidRPr="00845F93">
              <w:rPr>
                <w:sz w:val="20"/>
              </w:rPr>
              <w:t xml:space="preserve"> (lifecycle impacts)</w:t>
            </w:r>
          </w:p>
          <w:p w14:paraId="37C487F1" w14:textId="77777777" w:rsidR="00EF230D" w:rsidRPr="00845F93" w:rsidRDefault="00EF230D" w:rsidP="00A67B2F">
            <w:pPr>
              <w:spacing w:after="0" w:line="240" w:lineRule="auto"/>
              <w:rPr>
                <w:sz w:val="20"/>
              </w:rPr>
            </w:pPr>
            <w:r w:rsidRPr="00845F93">
              <w:rPr>
                <w:sz w:val="20"/>
              </w:rPr>
              <w:t xml:space="preserve">2) </w:t>
            </w:r>
            <w:r w:rsidRPr="00845F93">
              <w:rPr>
                <w:color w:val="0070C0"/>
                <w:sz w:val="20"/>
                <w:u w:val="single"/>
              </w:rPr>
              <w:t>W</w:t>
            </w:r>
            <w:r w:rsidRPr="00845F93">
              <w:rPr>
                <w:sz w:val="20"/>
              </w:rPr>
              <w:t xml:space="preserve"> (VOC emissions)</w:t>
            </w:r>
          </w:p>
          <w:p w14:paraId="09A00BB0" w14:textId="77777777" w:rsidR="00EF230D" w:rsidRPr="00845F93" w:rsidRDefault="00EF230D" w:rsidP="00A67B2F">
            <w:pPr>
              <w:spacing w:after="0" w:line="240" w:lineRule="auto"/>
              <w:rPr>
                <w:sz w:val="20"/>
              </w:rPr>
            </w:pPr>
            <w:r w:rsidRPr="00845F93">
              <w:rPr>
                <w:sz w:val="20"/>
              </w:rPr>
              <w:lastRenderedPageBreak/>
              <w:t xml:space="preserve">3) </w:t>
            </w:r>
            <w:r w:rsidRPr="00845F93">
              <w:rPr>
                <w:color w:val="0070C0"/>
                <w:sz w:val="20"/>
                <w:u w:val="single"/>
              </w:rPr>
              <w:t>V</w:t>
            </w:r>
            <w:r w:rsidRPr="00845F93">
              <w:rPr>
                <w:sz w:val="20"/>
              </w:rPr>
              <w:t xml:space="preserve"> (sustainable raw materials acquisition)</w:t>
            </w:r>
          </w:p>
        </w:tc>
      </w:tr>
      <w:tr w:rsidR="00EF230D" w:rsidRPr="00845F93" w14:paraId="168CCA00" w14:textId="77777777" w:rsidTr="00EF230D">
        <w:trPr>
          <w:trHeight w:val="70"/>
        </w:trPr>
        <w:tc>
          <w:tcPr>
            <w:tcW w:w="1645" w:type="dxa"/>
            <w:vMerge/>
          </w:tcPr>
          <w:p w14:paraId="55CB49B3" w14:textId="77777777" w:rsidR="00EF230D" w:rsidRPr="00845F93" w:rsidRDefault="00EF230D" w:rsidP="00A67B2F">
            <w:pPr>
              <w:spacing w:after="0" w:line="240" w:lineRule="auto"/>
              <w:rPr>
                <w:sz w:val="20"/>
              </w:rPr>
            </w:pPr>
          </w:p>
        </w:tc>
        <w:tc>
          <w:tcPr>
            <w:tcW w:w="1688" w:type="dxa"/>
            <w:vMerge/>
          </w:tcPr>
          <w:p w14:paraId="72D74126" w14:textId="77777777" w:rsidR="00EF230D" w:rsidRPr="00845F93" w:rsidRDefault="00EF230D" w:rsidP="00A67B2F">
            <w:pPr>
              <w:spacing w:after="0" w:line="240" w:lineRule="auto"/>
              <w:rPr>
                <w:sz w:val="20"/>
              </w:rPr>
            </w:pPr>
          </w:p>
        </w:tc>
        <w:tc>
          <w:tcPr>
            <w:tcW w:w="1437" w:type="dxa"/>
            <w:vMerge/>
          </w:tcPr>
          <w:p w14:paraId="46EB48F0" w14:textId="77777777" w:rsidR="00EF230D" w:rsidRPr="00845F93" w:rsidRDefault="00EF230D" w:rsidP="00A67B2F">
            <w:pPr>
              <w:spacing w:after="0" w:line="240" w:lineRule="auto"/>
              <w:rPr>
                <w:sz w:val="20"/>
              </w:rPr>
            </w:pPr>
          </w:p>
        </w:tc>
        <w:tc>
          <w:tcPr>
            <w:tcW w:w="4580" w:type="dxa"/>
            <w:gridSpan w:val="2"/>
          </w:tcPr>
          <w:p w14:paraId="6F622EDB" w14:textId="77777777" w:rsidR="00EF230D" w:rsidRDefault="00EF230D" w:rsidP="00EF230D">
            <w:pPr>
              <w:spacing w:after="0" w:line="240" w:lineRule="auto"/>
              <w:rPr>
                <w:sz w:val="20"/>
              </w:rPr>
            </w:pPr>
            <w:r>
              <w:rPr>
                <w:sz w:val="20"/>
              </w:rPr>
              <w:t>In addition, purchasers may consider specifying the following environmental/human health performance requirements not covered by the above standards/ecolabels:</w:t>
            </w:r>
          </w:p>
          <w:p w14:paraId="56264E0A" w14:textId="24AC89A3" w:rsidR="00EF230D" w:rsidRPr="00845F93" w:rsidRDefault="00EF230D" w:rsidP="00EF230D">
            <w:pPr>
              <w:spacing w:after="0" w:line="240" w:lineRule="auto"/>
              <w:rPr>
                <w:sz w:val="20"/>
              </w:rPr>
            </w:pPr>
            <w:r>
              <w:rPr>
                <w:sz w:val="20"/>
              </w:rPr>
              <w:t>…</w:t>
            </w:r>
          </w:p>
        </w:tc>
      </w:tr>
    </w:tbl>
    <w:p w14:paraId="28CECC9E" w14:textId="77777777" w:rsidR="009A4F54" w:rsidRPr="00845F93" w:rsidRDefault="009A4F54" w:rsidP="009A4F54">
      <w:pPr>
        <w:pStyle w:val="ListParagraph"/>
        <w:spacing w:after="0" w:line="240" w:lineRule="auto"/>
        <w:rPr>
          <w:rFonts w:asciiTheme="minorHAnsi" w:hAnsiTheme="minorHAnsi"/>
          <w:sz w:val="18"/>
          <w:szCs w:val="20"/>
        </w:rPr>
      </w:pPr>
    </w:p>
    <w:p w14:paraId="171D262F" w14:textId="77777777" w:rsidR="007602AD" w:rsidRDefault="007602AD" w:rsidP="001375D1">
      <w:pPr>
        <w:spacing w:after="0" w:line="240" w:lineRule="auto"/>
        <w:rPr>
          <w:rFonts w:asciiTheme="minorHAnsi" w:hAnsiTheme="minorHAnsi"/>
          <w:b/>
          <w:sz w:val="20"/>
          <w:szCs w:val="20"/>
        </w:rPr>
      </w:pPr>
    </w:p>
    <w:p w14:paraId="649C6554" w14:textId="54450B3E" w:rsidR="004D664F" w:rsidRPr="00300EFF" w:rsidRDefault="004D664F" w:rsidP="001375D1">
      <w:pPr>
        <w:spacing w:after="0" w:line="240" w:lineRule="auto"/>
        <w:rPr>
          <w:rFonts w:asciiTheme="minorHAnsi" w:hAnsiTheme="minorHAnsi"/>
          <w:b/>
          <w:sz w:val="20"/>
          <w:szCs w:val="20"/>
        </w:rPr>
      </w:pPr>
      <w:r w:rsidRPr="00300EFF">
        <w:rPr>
          <w:rFonts w:asciiTheme="minorHAnsi" w:hAnsiTheme="minorHAnsi"/>
          <w:b/>
          <w:sz w:val="20"/>
          <w:szCs w:val="20"/>
        </w:rPr>
        <w:t>Who</w:t>
      </w:r>
      <w:r w:rsidR="008B009E" w:rsidRPr="00300EFF">
        <w:rPr>
          <w:rFonts w:asciiTheme="minorHAnsi" w:hAnsiTheme="minorHAnsi"/>
          <w:b/>
          <w:sz w:val="20"/>
          <w:szCs w:val="20"/>
        </w:rPr>
        <w:t>/What</w:t>
      </w:r>
      <w:r w:rsidRPr="00300EFF">
        <w:rPr>
          <w:rFonts w:asciiTheme="minorHAnsi" w:hAnsiTheme="minorHAnsi"/>
          <w:b/>
          <w:sz w:val="20"/>
          <w:szCs w:val="20"/>
        </w:rPr>
        <w:t xml:space="preserve"> will be assessed?</w:t>
      </w:r>
    </w:p>
    <w:p w14:paraId="5EE83882" w14:textId="29DCAAA4" w:rsidR="004D664F" w:rsidRPr="00300EFF" w:rsidRDefault="004D664F" w:rsidP="001375D1">
      <w:pPr>
        <w:pStyle w:val="ListParagraph"/>
        <w:numPr>
          <w:ilvl w:val="0"/>
          <w:numId w:val="2"/>
        </w:numPr>
        <w:spacing w:after="0" w:line="240" w:lineRule="auto"/>
        <w:rPr>
          <w:rFonts w:asciiTheme="minorHAnsi" w:hAnsiTheme="minorHAnsi"/>
          <w:sz w:val="20"/>
          <w:szCs w:val="20"/>
        </w:rPr>
      </w:pPr>
      <w:r w:rsidRPr="00300EFF">
        <w:rPr>
          <w:rFonts w:asciiTheme="minorHAnsi" w:hAnsiTheme="minorHAnsi"/>
          <w:sz w:val="20"/>
          <w:szCs w:val="20"/>
        </w:rPr>
        <w:t xml:space="preserve">Given that different configurations are possible, the subject of the assessment varies by Guidelines Section, but in many cases the same organization will complete the entire assessment. The subject of Section I is the standard development organization (SDO); </w:t>
      </w:r>
      <w:r w:rsidR="00EE7BB2">
        <w:rPr>
          <w:rFonts w:asciiTheme="minorHAnsi" w:hAnsiTheme="minorHAnsi"/>
          <w:sz w:val="20"/>
          <w:szCs w:val="20"/>
        </w:rPr>
        <w:t xml:space="preserve">the subject of </w:t>
      </w:r>
      <w:r w:rsidRPr="00300EFF">
        <w:rPr>
          <w:rFonts w:asciiTheme="minorHAnsi" w:hAnsiTheme="minorHAnsi"/>
          <w:sz w:val="20"/>
          <w:szCs w:val="20"/>
        </w:rPr>
        <w:t xml:space="preserve">Section II </w:t>
      </w:r>
      <w:r w:rsidR="00EE7BB2">
        <w:rPr>
          <w:rFonts w:asciiTheme="minorHAnsi" w:hAnsiTheme="minorHAnsi"/>
          <w:sz w:val="20"/>
          <w:szCs w:val="20"/>
        </w:rPr>
        <w:t>is</w:t>
      </w:r>
      <w:r w:rsidR="00EE7BB2" w:rsidRPr="00300EFF">
        <w:rPr>
          <w:rFonts w:asciiTheme="minorHAnsi" w:hAnsiTheme="minorHAnsi"/>
          <w:sz w:val="20"/>
          <w:szCs w:val="20"/>
        </w:rPr>
        <w:t xml:space="preserve"> </w:t>
      </w:r>
      <w:r w:rsidRPr="00300EFF">
        <w:rPr>
          <w:rFonts w:asciiTheme="minorHAnsi" w:hAnsiTheme="minorHAnsi"/>
          <w:sz w:val="20"/>
          <w:szCs w:val="20"/>
        </w:rPr>
        <w:t xml:space="preserve">the standard itself (or the SDO in some </w:t>
      </w:r>
      <w:r w:rsidR="009A4F54" w:rsidRPr="00300EFF">
        <w:rPr>
          <w:rFonts w:asciiTheme="minorHAnsi" w:hAnsiTheme="minorHAnsi"/>
          <w:sz w:val="20"/>
          <w:szCs w:val="20"/>
        </w:rPr>
        <w:t>discret</w:t>
      </w:r>
      <w:r w:rsidR="00B74798">
        <w:rPr>
          <w:rFonts w:asciiTheme="minorHAnsi" w:hAnsiTheme="minorHAnsi"/>
          <w:sz w:val="20"/>
          <w:szCs w:val="20"/>
        </w:rPr>
        <w:t>e</w:t>
      </w:r>
      <w:r w:rsidR="009A4F54" w:rsidRPr="00300EFF">
        <w:rPr>
          <w:rFonts w:asciiTheme="minorHAnsi" w:hAnsiTheme="minorHAnsi"/>
          <w:sz w:val="20"/>
          <w:szCs w:val="20"/>
        </w:rPr>
        <w:t xml:space="preserve"> </w:t>
      </w:r>
      <w:r w:rsidRPr="00300EFF">
        <w:rPr>
          <w:rFonts w:asciiTheme="minorHAnsi" w:hAnsiTheme="minorHAnsi"/>
          <w:sz w:val="20"/>
          <w:szCs w:val="20"/>
        </w:rPr>
        <w:t xml:space="preserve">cases); </w:t>
      </w:r>
      <w:r w:rsidR="00EE7BB2">
        <w:rPr>
          <w:rFonts w:asciiTheme="minorHAnsi" w:hAnsiTheme="minorHAnsi"/>
          <w:sz w:val="20"/>
          <w:szCs w:val="20"/>
        </w:rPr>
        <w:t xml:space="preserve">the subject of </w:t>
      </w:r>
      <w:r w:rsidRPr="00300EFF">
        <w:rPr>
          <w:rFonts w:asciiTheme="minorHAnsi" w:hAnsiTheme="minorHAnsi"/>
          <w:sz w:val="20"/>
          <w:szCs w:val="20"/>
        </w:rPr>
        <w:t xml:space="preserve">Section III </w:t>
      </w:r>
      <w:r w:rsidR="00EE7BB2">
        <w:rPr>
          <w:rFonts w:asciiTheme="minorHAnsi" w:hAnsiTheme="minorHAnsi"/>
          <w:sz w:val="20"/>
          <w:szCs w:val="20"/>
        </w:rPr>
        <w:t>is</w:t>
      </w:r>
      <w:r w:rsidRPr="00300EFF">
        <w:rPr>
          <w:rFonts w:asciiTheme="minorHAnsi" w:hAnsiTheme="minorHAnsi"/>
          <w:sz w:val="20"/>
          <w:szCs w:val="20"/>
        </w:rPr>
        <w:t xml:space="preserve"> the conformity assessment body (CAB); and </w:t>
      </w:r>
      <w:r w:rsidR="00EE7BB2">
        <w:rPr>
          <w:rFonts w:asciiTheme="minorHAnsi" w:hAnsiTheme="minorHAnsi"/>
          <w:sz w:val="20"/>
          <w:szCs w:val="20"/>
        </w:rPr>
        <w:t xml:space="preserve">the subject of </w:t>
      </w:r>
      <w:r w:rsidRPr="00300EFF">
        <w:rPr>
          <w:rFonts w:asciiTheme="minorHAnsi" w:hAnsiTheme="minorHAnsi"/>
          <w:sz w:val="20"/>
          <w:szCs w:val="20"/>
        </w:rPr>
        <w:t xml:space="preserve">section IV </w:t>
      </w:r>
      <w:r w:rsidR="00EE7BB2">
        <w:rPr>
          <w:rFonts w:asciiTheme="minorHAnsi" w:hAnsiTheme="minorHAnsi"/>
          <w:sz w:val="20"/>
          <w:szCs w:val="20"/>
        </w:rPr>
        <w:t>is</w:t>
      </w:r>
      <w:r w:rsidR="00EE7BB2" w:rsidRPr="00300EFF">
        <w:rPr>
          <w:rFonts w:asciiTheme="minorHAnsi" w:hAnsiTheme="minorHAnsi"/>
          <w:sz w:val="20"/>
          <w:szCs w:val="20"/>
        </w:rPr>
        <w:t xml:space="preserve"> </w:t>
      </w:r>
      <w:r w:rsidRPr="00300EFF">
        <w:rPr>
          <w:rFonts w:asciiTheme="minorHAnsi" w:hAnsiTheme="minorHAnsi"/>
          <w:sz w:val="20"/>
          <w:szCs w:val="20"/>
        </w:rPr>
        <w:t>the ecolabel program.</w:t>
      </w:r>
    </w:p>
    <w:p w14:paraId="0DCCA9C6" w14:textId="261A7474" w:rsidR="004D664F" w:rsidRPr="00300EFF" w:rsidRDefault="004D664F" w:rsidP="001375D1">
      <w:pPr>
        <w:pStyle w:val="ListParagraph"/>
        <w:numPr>
          <w:ilvl w:val="0"/>
          <w:numId w:val="2"/>
        </w:numPr>
        <w:spacing w:after="0" w:line="240" w:lineRule="auto"/>
        <w:rPr>
          <w:rFonts w:asciiTheme="minorHAnsi" w:hAnsiTheme="minorHAnsi"/>
          <w:sz w:val="20"/>
          <w:szCs w:val="20"/>
        </w:rPr>
      </w:pPr>
      <w:r w:rsidRPr="00300EFF">
        <w:rPr>
          <w:rFonts w:asciiTheme="minorHAnsi" w:hAnsiTheme="minorHAnsi"/>
          <w:sz w:val="20"/>
          <w:szCs w:val="20"/>
        </w:rPr>
        <w:t xml:space="preserve">Organizations can submit more than one standard for assessment. Each organization will be assessed only once on Sections I, III, and IV if their processes </w:t>
      </w:r>
      <w:r w:rsidR="00EE7BB2">
        <w:rPr>
          <w:rFonts w:asciiTheme="minorHAnsi" w:hAnsiTheme="minorHAnsi"/>
          <w:sz w:val="20"/>
          <w:szCs w:val="20"/>
        </w:rPr>
        <w:t xml:space="preserve">(and therefore responses) </w:t>
      </w:r>
      <w:r w:rsidRPr="00300EFF">
        <w:rPr>
          <w:rFonts w:asciiTheme="minorHAnsi" w:hAnsiTheme="minorHAnsi"/>
          <w:sz w:val="20"/>
          <w:szCs w:val="20"/>
        </w:rPr>
        <w:t>are the same for all standards.</w:t>
      </w:r>
    </w:p>
    <w:p w14:paraId="7F99BC89" w14:textId="77777777" w:rsidR="004D664F" w:rsidRPr="00300EFF" w:rsidRDefault="004D664F" w:rsidP="001375D1">
      <w:pPr>
        <w:pStyle w:val="ListParagraph"/>
        <w:numPr>
          <w:ilvl w:val="0"/>
          <w:numId w:val="2"/>
        </w:numPr>
        <w:spacing w:after="0" w:line="240" w:lineRule="auto"/>
        <w:rPr>
          <w:rFonts w:asciiTheme="minorHAnsi" w:hAnsiTheme="minorHAnsi"/>
          <w:sz w:val="20"/>
          <w:szCs w:val="20"/>
        </w:rPr>
      </w:pPr>
      <w:r w:rsidRPr="00300EFF">
        <w:rPr>
          <w:rFonts w:asciiTheme="minorHAnsi" w:hAnsiTheme="minorHAnsi"/>
          <w:sz w:val="20"/>
          <w:szCs w:val="20"/>
        </w:rPr>
        <w:t>Each standard submitted for assessment will need to respond to questions in Section II, as relevant to their product category.</w:t>
      </w:r>
    </w:p>
    <w:p w14:paraId="47E2C908" w14:textId="77777777" w:rsidR="004D664F" w:rsidRPr="00300EFF" w:rsidRDefault="004D664F" w:rsidP="001375D1">
      <w:pPr>
        <w:pStyle w:val="ListParagraph"/>
        <w:numPr>
          <w:ilvl w:val="0"/>
          <w:numId w:val="2"/>
        </w:numPr>
        <w:spacing w:after="0" w:line="240" w:lineRule="auto"/>
        <w:rPr>
          <w:rFonts w:asciiTheme="minorHAnsi" w:hAnsiTheme="minorHAnsi"/>
          <w:sz w:val="20"/>
          <w:szCs w:val="20"/>
        </w:rPr>
      </w:pPr>
      <w:r w:rsidRPr="00300EFF">
        <w:rPr>
          <w:rFonts w:asciiTheme="minorHAnsi" w:hAnsiTheme="minorHAnsi"/>
          <w:sz w:val="20"/>
          <w:szCs w:val="20"/>
        </w:rPr>
        <w:t>Standards submitted for assessment that do not have an associated ecolabel or conformity assessment body will not be assessed on Sections III and/or IV, as appropriate.</w:t>
      </w:r>
    </w:p>
    <w:p w14:paraId="08817427" w14:textId="6722A273" w:rsidR="00BB71FF" w:rsidRPr="00300EFF" w:rsidRDefault="00BB71FF" w:rsidP="001375D1">
      <w:pPr>
        <w:pStyle w:val="ListParagraph"/>
        <w:numPr>
          <w:ilvl w:val="0"/>
          <w:numId w:val="2"/>
        </w:numPr>
        <w:spacing w:after="0" w:line="240" w:lineRule="auto"/>
        <w:rPr>
          <w:rFonts w:asciiTheme="minorHAnsi" w:hAnsiTheme="minorHAnsi"/>
          <w:sz w:val="20"/>
          <w:szCs w:val="20"/>
        </w:rPr>
      </w:pPr>
      <w:r w:rsidRPr="00300EFF">
        <w:rPr>
          <w:rFonts w:asciiTheme="minorHAnsi" w:hAnsiTheme="minorHAnsi"/>
          <w:sz w:val="20"/>
          <w:szCs w:val="20"/>
        </w:rPr>
        <w:t>Integrated schemes that incorporate all elements of the system (standards</w:t>
      </w:r>
      <w:r w:rsidR="00845F93">
        <w:rPr>
          <w:rFonts w:asciiTheme="minorHAnsi" w:hAnsiTheme="minorHAnsi"/>
          <w:sz w:val="20"/>
          <w:szCs w:val="20"/>
        </w:rPr>
        <w:t>, conformity assessment and eco</w:t>
      </w:r>
      <w:r w:rsidRPr="00300EFF">
        <w:rPr>
          <w:rFonts w:asciiTheme="minorHAnsi" w:hAnsiTheme="minorHAnsi"/>
          <w:sz w:val="20"/>
          <w:szCs w:val="20"/>
        </w:rPr>
        <w:t>label management), even if some portions are developed/conducted by independent organizations, can be assessed for all elements that are within their system. In order for an integrated ecolabel scheme to be designated as “meets EPA’s 2016 criteria</w:t>
      </w:r>
      <w:r w:rsidR="002C4A24">
        <w:rPr>
          <w:rFonts w:asciiTheme="minorHAnsi" w:hAnsiTheme="minorHAnsi"/>
          <w:sz w:val="20"/>
          <w:szCs w:val="20"/>
        </w:rPr>
        <w:t>,</w:t>
      </w:r>
      <w:r w:rsidRPr="00300EFF">
        <w:rPr>
          <w:rFonts w:asciiTheme="minorHAnsi" w:hAnsiTheme="minorHAnsi"/>
          <w:sz w:val="20"/>
          <w:szCs w:val="20"/>
        </w:rPr>
        <w:t>” all components of the system must meet the</w:t>
      </w:r>
      <w:r w:rsidR="00845F93">
        <w:rPr>
          <w:rFonts w:asciiTheme="minorHAnsi" w:hAnsiTheme="minorHAnsi"/>
          <w:sz w:val="20"/>
          <w:szCs w:val="20"/>
        </w:rPr>
        <w:t xml:space="preserve"> baseline</w:t>
      </w:r>
      <w:r w:rsidRPr="00300EFF">
        <w:rPr>
          <w:rFonts w:asciiTheme="minorHAnsi" w:hAnsiTheme="minorHAnsi"/>
          <w:sz w:val="20"/>
          <w:szCs w:val="20"/>
        </w:rPr>
        <w:t xml:space="preserve"> criteria.</w:t>
      </w:r>
    </w:p>
    <w:p w14:paraId="4C123668" w14:textId="77777777" w:rsidR="005B03D0" w:rsidRPr="00300EFF" w:rsidRDefault="005B03D0" w:rsidP="001375D1">
      <w:pPr>
        <w:pBdr>
          <w:bottom w:val="dotted" w:sz="24" w:space="1" w:color="auto"/>
        </w:pBdr>
        <w:spacing w:after="0" w:line="240" w:lineRule="auto"/>
        <w:rPr>
          <w:rFonts w:asciiTheme="minorHAnsi" w:hAnsiTheme="minorHAnsi"/>
          <w:b/>
          <w:sz w:val="20"/>
          <w:szCs w:val="20"/>
        </w:rPr>
      </w:pPr>
    </w:p>
    <w:p w14:paraId="1369EC55" w14:textId="77777777" w:rsidR="00300EFF" w:rsidRDefault="00300EFF" w:rsidP="001375D1">
      <w:pPr>
        <w:spacing w:after="0" w:line="240" w:lineRule="auto"/>
        <w:rPr>
          <w:rFonts w:asciiTheme="minorHAnsi" w:hAnsiTheme="minorHAnsi"/>
          <w:b/>
          <w:sz w:val="20"/>
          <w:szCs w:val="20"/>
        </w:rPr>
      </w:pPr>
    </w:p>
    <w:p w14:paraId="5454962E" w14:textId="6E35BEA6" w:rsidR="005B03D0" w:rsidRPr="00300EFF" w:rsidRDefault="00985C06" w:rsidP="001375D1">
      <w:pPr>
        <w:spacing w:after="0" w:line="240" w:lineRule="auto"/>
        <w:rPr>
          <w:rFonts w:asciiTheme="minorHAnsi" w:hAnsiTheme="minorHAnsi"/>
          <w:b/>
          <w:sz w:val="20"/>
          <w:szCs w:val="20"/>
        </w:rPr>
      </w:pPr>
      <w:r>
        <w:rPr>
          <w:rFonts w:asciiTheme="minorHAnsi" w:hAnsiTheme="minorHAnsi"/>
          <w:b/>
          <w:sz w:val="20"/>
          <w:szCs w:val="20"/>
        </w:rPr>
        <w:t>PILOT ASSESSMENT</w:t>
      </w:r>
    </w:p>
    <w:p w14:paraId="0691BD8F" w14:textId="77777777" w:rsidR="004D664F" w:rsidRPr="00300EFF" w:rsidRDefault="004D664F" w:rsidP="001375D1">
      <w:pPr>
        <w:spacing w:after="0" w:line="240" w:lineRule="auto"/>
        <w:rPr>
          <w:rFonts w:asciiTheme="minorHAnsi" w:hAnsiTheme="minorHAnsi"/>
          <w:b/>
          <w:sz w:val="20"/>
          <w:szCs w:val="20"/>
        </w:rPr>
      </w:pPr>
      <w:r w:rsidRPr="00300EFF">
        <w:rPr>
          <w:rFonts w:asciiTheme="minorHAnsi" w:hAnsiTheme="minorHAnsi"/>
          <w:b/>
          <w:sz w:val="20"/>
          <w:szCs w:val="20"/>
        </w:rPr>
        <w:t>General Information Requested</w:t>
      </w:r>
    </w:p>
    <w:p w14:paraId="7B0A7641" w14:textId="77777777" w:rsidR="005B03D0" w:rsidRPr="00300EFF" w:rsidRDefault="005B03D0" w:rsidP="001375D1">
      <w:pPr>
        <w:spacing w:after="0" w:line="240" w:lineRule="auto"/>
        <w:rPr>
          <w:rFonts w:asciiTheme="minorHAnsi" w:hAnsiTheme="minorHAnsi"/>
          <w:b/>
          <w:sz w:val="20"/>
          <w:szCs w:val="20"/>
        </w:rPr>
      </w:pPr>
    </w:p>
    <w:p w14:paraId="58F018B2" w14:textId="06F6BD3E" w:rsidR="00CD2AC7" w:rsidRDefault="004D664F" w:rsidP="00CD2AC7">
      <w:pPr>
        <w:spacing w:after="0" w:line="240" w:lineRule="auto"/>
        <w:rPr>
          <w:rFonts w:asciiTheme="minorHAnsi" w:hAnsiTheme="minorHAnsi"/>
          <w:b/>
          <w:sz w:val="20"/>
          <w:szCs w:val="20"/>
        </w:rPr>
      </w:pPr>
      <w:r w:rsidRPr="00300EFF">
        <w:rPr>
          <w:rFonts w:asciiTheme="minorHAnsi" w:hAnsiTheme="minorHAnsi"/>
          <w:b/>
          <w:sz w:val="20"/>
          <w:szCs w:val="20"/>
        </w:rPr>
        <w:t xml:space="preserve">The following information </w:t>
      </w:r>
      <w:r w:rsidR="00985C06">
        <w:rPr>
          <w:rFonts w:asciiTheme="minorHAnsi" w:hAnsiTheme="minorHAnsi"/>
          <w:b/>
          <w:sz w:val="20"/>
          <w:szCs w:val="20"/>
        </w:rPr>
        <w:t>is</w:t>
      </w:r>
      <w:r w:rsidRPr="00300EFF">
        <w:rPr>
          <w:rFonts w:asciiTheme="minorHAnsi" w:hAnsiTheme="minorHAnsi"/>
          <w:b/>
          <w:sz w:val="20"/>
          <w:szCs w:val="20"/>
        </w:rPr>
        <w:t xml:space="preserve"> requested of organizations completing the</w:t>
      </w:r>
      <w:r w:rsidR="00464930">
        <w:rPr>
          <w:rFonts w:asciiTheme="minorHAnsi" w:hAnsiTheme="minorHAnsi"/>
          <w:b/>
          <w:sz w:val="20"/>
          <w:szCs w:val="20"/>
        </w:rPr>
        <w:t xml:space="preserve"> assessment</w:t>
      </w:r>
      <w:r w:rsidR="00CD2AC7" w:rsidRPr="00300EFF">
        <w:rPr>
          <w:rFonts w:asciiTheme="minorHAnsi" w:hAnsiTheme="minorHAnsi"/>
          <w:b/>
          <w:sz w:val="20"/>
          <w:szCs w:val="20"/>
        </w:rPr>
        <w:t xml:space="preserve">. </w:t>
      </w:r>
    </w:p>
    <w:p w14:paraId="2021B7EC" w14:textId="77777777" w:rsidR="004D664F" w:rsidRDefault="004D664F" w:rsidP="001375D1">
      <w:pPr>
        <w:spacing w:after="0" w:line="240" w:lineRule="auto"/>
        <w:rPr>
          <w:rFonts w:asciiTheme="minorHAnsi" w:hAnsiTheme="minorHAnsi"/>
          <w:b/>
          <w:sz w:val="20"/>
          <w:szCs w:val="20"/>
        </w:rPr>
      </w:pPr>
    </w:p>
    <w:p w14:paraId="13B5FC92" w14:textId="77777777" w:rsidR="00743DA6" w:rsidRPr="00300EFF" w:rsidRDefault="00743DA6" w:rsidP="001375D1">
      <w:pPr>
        <w:spacing w:after="0" w:line="240" w:lineRule="auto"/>
        <w:rPr>
          <w:rFonts w:asciiTheme="minorHAnsi" w:hAnsiTheme="minorHAnsi"/>
          <w:b/>
          <w:sz w:val="20"/>
          <w:szCs w:val="20"/>
        </w:rPr>
      </w:pPr>
    </w:p>
    <w:p w14:paraId="48998936" w14:textId="77777777" w:rsidR="004D664F" w:rsidRPr="00300EFF" w:rsidRDefault="004D664F" w:rsidP="005B03D0">
      <w:pPr>
        <w:spacing w:after="0" w:line="360" w:lineRule="auto"/>
        <w:rPr>
          <w:rFonts w:asciiTheme="minorHAnsi" w:hAnsiTheme="minorHAnsi"/>
          <w:sz w:val="20"/>
          <w:szCs w:val="20"/>
        </w:rPr>
      </w:pPr>
      <w:r w:rsidRPr="00300EFF">
        <w:rPr>
          <w:rFonts w:asciiTheme="minorHAnsi" w:hAnsiTheme="minorHAnsi"/>
          <w:sz w:val="20"/>
          <w:szCs w:val="20"/>
        </w:rPr>
        <w:t>1. Name of Standard/Ecolabel ___________________________________________________</w:t>
      </w:r>
    </w:p>
    <w:p w14:paraId="4531CA76" w14:textId="51B387B1" w:rsidR="004D664F" w:rsidRPr="00300EFF" w:rsidRDefault="004D664F" w:rsidP="005B03D0">
      <w:pPr>
        <w:spacing w:after="0" w:line="360" w:lineRule="auto"/>
        <w:rPr>
          <w:rFonts w:asciiTheme="minorHAnsi" w:hAnsiTheme="minorHAnsi"/>
          <w:sz w:val="20"/>
          <w:szCs w:val="20"/>
        </w:rPr>
      </w:pPr>
      <w:r w:rsidRPr="00300EFF">
        <w:rPr>
          <w:rFonts w:asciiTheme="minorHAnsi" w:hAnsiTheme="minorHAnsi"/>
          <w:sz w:val="20"/>
          <w:szCs w:val="20"/>
        </w:rPr>
        <w:t xml:space="preserve">2. Who is the primary contact person for this </w:t>
      </w:r>
      <w:r w:rsidR="0039224F" w:rsidRPr="00300EFF">
        <w:rPr>
          <w:rFonts w:asciiTheme="minorHAnsi" w:hAnsiTheme="minorHAnsi"/>
          <w:sz w:val="20"/>
          <w:szCs w:val="20"/>
        </w:rPr>
        <w:t xml:space="preserve">Standards Developer, Certification Body </w:t>
      </w:r>
      <w:r w:rsidR="00A768E0" w:rsidRPr="00300EFF">
        <w:rPr>
          <w:rFonts w:asciiTheme="minorHAnsi" w:hAnsiTheme="minorHAnsi"/>
          <w:sz w:val="20"/>
          <w:szCs w:val="20"/>
        </w:rPr>
        <w:t>and/</w:t>
      </w:r>
      <w:r w:rsidR="0039224F" w:rsidRPr="00300EFF">
        <w:rPr>
          <w:rFonts w:asciiTheme="minorHAnsi" w:hAnsiTheme="minorHAnsi"/>
          <w:sz w:val="20"/>
          <w:szCs w:val="20"/>
        </w:rPr>
        <w:t>or Scheme Owner</w:t>
      </w:r>
      <w:r w:rsidRPr="00300EFF">
        <w:rPr>
          <w:rFonts w:asciiTheme="minorHAnsi" w:hAnsiTheme="minorHAnsi"/>
          <w:sz w:val="20"/>
          <w:szCs w:val="20"/>
        </w:rPr>
        <w:t>? _____________________________</w:t>
      </w:r>
    </w:p>
    <w:p w14:paraId="2230F5A6" w14:textId="77777777" w:rsidR="004D664F" w:rsidRPr="00300EFF" w:rsidRDefault="004D664F" w:rsidP="005B03D0">
      <w:pPr>
        <w:spacing w:after="0" w:line="360" w:lineRule="auto"/>
        <w:rPr>
          <w:rFonts w:asciiTheme="minorHAnsi" w:hAnsiTheme="minorHAnsi"/>
          <w:sz w:val="20"/>
          <w:szCs w:val="20"/>
        </w:rPr>
      </w:pPr>
      <w:r w:rsidRPr="00300EFF">
        <w:rPr>
          <w:rFonts w:asciiTheme="minorHAnsi" w:hAnsiTheme="minorHAnsi"/>
          <w:sz w:val="20"/>
          <w:szCs w:val="20"/>
        </w:rPr>
        <w:t>3. To what product categories does the ecolabel or standard apply? _____________________</w:t>
      </w:r>
    </w:p>
    <w:p w14:paraId="4B4CA08B" w14:textId="77777777" w:rsidR="004D664F" w:rsidRPr="00300EFF" w:rsidRDefault="004D664F" w:rsidP="005B03D0">
      <w:pPr>
        <w:spacing w:after="0" w:line="360" w:lineRule="auto"/>
        <w:rPr>
          <w:rFonts w:asciiTheme="minorHAnsi" w:hAnsiTheme="minorHAnsi"/>
          <w:sz w:val="20"/>
          <w:szCs w:val="20"/>
        </w:rPr>
      </w:pPr>
      <w:r w:rsidRPr="00300EFF">
        <w:rPr>
          <w:rFonts w:asciiTheme="minorHAnsi" w:hAnsiTheme="minorHAnsi"/>
          <w:sz w:val="20"/>
          <w:szCs w:val="20"/>
        </w:rPr>
        <w:t>4. Which Section(s) of this assessment did your organization address?  ___________________</w:t>
      </w:r>
    </w:p>
    <w:p w14:paraId="510D2CD7" w14:textId="5DE76A25" w:rsidR="004D664F" w:rsidRDefault="004D664F" w:rsidP="002B2E63">
      <w:pPr>
        <w:spacing w:after="0" w:line="360" w:lineRule="auto"/>
        <w:rPr>
          <w:rFonts w:asciiTheme="minorHAnsi" w:hAnsiTheme="minorHAnsi"/>
          <w:sz w:val="20"/>
          <w:szCs w:val="20"/>
        </w:rPr>
      </w:pPr>
      <w:r w:rsidRPr="00300EFF">
        <w:rPr>
          <w:rFonts w:asciiTheme="minorHAnsi" w:hAnsiTheme="minorHAnsi"/>
          <w:sz w:val="20"/>
          <w:szCs w:val="20"/>
        </w:rPr>
        <w:t>5. If there are Sections not addressed, please explain why they are not applicable_________________</w:t>
      </w:r>
    </w:p>
    <w:p w14:paraId="0F30C742" w14:textId="5FF252A4" w:rsidR="00331021" w:rsidRPr="00300EFF" w:rsidRDefault="00331021" w:rsidP="00331021">
      <w:pPr>
        <w:spacing w:after="0" w:line="360" w:lineRule="auto"/>
        <w:rPr>
          <w:rFonts w:asciiTheme="minorHAnsi" w:hAnsiTheme="minorHAnsi"/>
          <w:sz w:val="20"/>
          <w:szCs w:val="20"/>
        </w:rPr>
        <w:sectPr w:rsidR="00331021" w:rsidRPr="00300EFF" w:rsidSect="0012636C">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720" w:gutter="0"/>
          <w:cols w:space="720"/>
          <w:docGrid w:linePitch="360"/>
        </w:sectPr>
      </w:pPr>
      <w:r w:rsidRPr="00331021">
        <w:rPr>
          <w:rFonts w:asciiTheme="minorHAnsi" w:hAnsiTheme="minorHAnsi"/>
          <w:sz w:val="20"/>
          <w:szCs w:val="20"/>
        </w:rPr>
        <w:t xml:space="preserve"> </w:t>
      </w:r>
      <w:r>
        <w:rPr>
          <w:rFonts w:asciiTheme="minorHAnsi" w:hAnsiTheme="minorHAnsi"/>
          <w:sz w:val="20"/>
          <w:szCs w:val="20"/>
        </w:rPr>
        <w:t>6.</w:t>
      </w:r>
      <w:r w:rsidR="00FA6ECF">
        <w:rPr>
          <w:rFonts w:asciiTheme="minorHAnsi" w:hAnsiTheme="minorHAnsi"/>
          <w:sz w:val="20"/>
          <w:szCs w:val="20"/>
        </w:rPr>
        <w:t xml:space="preserve"> </w:t>
      </w:r>
      <w:r w:rsidR="00376B3E">
        <w:rPr>
          <w:rFonts w:asciiTheme="minorHAnsi" w:hAnsiTheme="minorHAnsi"/>
          <w:sz w:val="20"/>
          <w:szCs w:val="20"/>
        </w:rPr>
        <w:t>Please provide any readily available documentation to elucidate product availability</w:t>
      </w:r>
      <w:r w:rsidR="00845F93">
        <w:rPr>
          <w:rFonts w:asciiTheme="minorHAnsi" w:hAnsiTheme="minorHAnsi"/>
          <w:sz w:val="20"/>
          <w:szCs w:val="20"/>
        </w:rPr>
        <w:t xml:space="preserve"> for the federal marketplace including presence of a</w:t>
      </w:r>
      <w:r w:rsidR="00376B3E">
        <w:rPr>
          <w:rFonts w:asciiTheme="minorHAnsi" w:hAnsiTheme="minorHAnsi"/>
          <w:sz w:val="20"/>
          <w:szCs w:val="20"/>
        </w:rPr>
        <w:t xml:space="preserve"> competitive</w:t>
      </w:r>
      <w:r w:rsidR="00845F93">
        <w:rPr>
          <w:rFonts w:asciiTheme="minorHAnsi" w:hAnsiTheme="minorHAnsi"/>
          <w:sz w:val="20"/>
          <w:szCs w:val="20"/>
        </w:rPr>
        <w:t xml:space="preserve"> bidding climate, indication of</w:t>
      </w:r>
      <w:r w:rsidR="00376B3E">
        <w:rPr>
          <w:rFonts w:asciiTheme="minorHAnsi" w:hAnsiTheme="minorHAnsi"/>
          <w:sz w:val="20"/>
          <w:szCs w:val="20"/>
        </w:rPr>
        <w:t xml:space="preserve"> </w:t>
      </w:r>
      <w:r w:rsidR="00376B3E" w:rsidRPr="00376B3E">
        <w:rPr>
          <w:rFonts w:asciiTheme="minorHAnsi" w:hAnsiTheme="minorHAnsi"/>
          <w:sz w:val="20"/>
          <w:szCs w:val="20"/>
        </w:rPr>
        <w:t>business demographics</w:t>
      </w:r>
      <w:r w:rsidR="00376B3E">
        <w:rPr>
          <w:rFonts w:asciiTheme="minorHAnsi" w:hAnsiTheme="minorHAnsi"/>
          <w:sz w:val="20"/>
          <w:szCs w:val="20"/>
        </w:rPr>
        <w:t xml:space="preserve"> </w:t>
      </w:r>
      <w:r w:rsidR="00376B3E" w:rsidRPr="00376B3E">
        <w:rPr>
          <w:rFonts w:asciiTheme="minorHAnsi" w:hAnsiTheme="minorHAnsi"/>
          <w:sz w:val="20"/>
          <w:szCs w:val="20"/>
        </w:rPr>
        <w:t>(i.e. disabled veterans, women owned, small or micro businesses)</w:t>
      </w:r>
      <w:r w:rsidR="00845F93">
        <w:rPr>
          <w:rFonts w:asciiTheme="minorHAnsi" w:hAnsiTheme="minorHAnsi"/>
          <w:sz w:val="20"/>
          <w:szCs w:val="20"/>
        </w:rPr>
        <w:t>, and/or percent of</w:t>
      </w:r>
      <w:r w:rsidR="00376B3E" w:rsidRPr="00376B3E">
        <w:rPr>
          <w:rFonts w:asciiTheme="minorHAnsi" w:hAnsiTheme="minorHAnsi"/>
          <w:sz w:val="20"/>
          <w:szCs w:val="20"/>
        </w:rPr>
        <w:t xml:space="preserve"> the market </w:t>
      </w:r>
      <w:r w:rsidR="00EE0F70">
        <w:rPr>
          <w:rFonts w:asciiTheme="minorHAnsi" w:hAnsiTheme="minorHAnsi"/>
          <w:sz w:val="20"/>
          <w:szCs w:val="20"/>
        </w:rPr>
        <w:t>certified to</w:t>
      </w:r>
      <w:r w:rsidR="00376B3E">
        <w:rPr>
          <w:rFonts w:asciiTheme="minorHAnsi" w:hAnsiTheme="minorHAnsi"/>
          <w:sz w:val="20"/>
          <w:szCs w:val="20"/>
        </w:rPr>
        <w:t xml:space="preserve"> the standard</w:t>
      </w:r>
      <w:r>
        <w:rPr>
          <w:rFonts w:asciiTheme="minorHAnsi" w:hAnsiTheme="minorHAnsi"/>
          <w:sz w:val="20"/>
          <w:szCs w:val="20"/>
        </w:rPr>
        <w:t>/ecolabel</w:t>
      </w:r>
      <w:r w:rsidR="00845F93">
        <w:rPr>
          <w:rFonts w:asciiTheme="minorHAnsi" w:hAnsiTheme="minorHAnsi"/>
          <w:sz w:val="20"/>
          <w:szCs w:val="20"/>
        </w:rPr>
        <w:t xml:space="preserve"> for that product category.</w:t>
      </w:r>
      <w:r w:rsidR="00EE7BB2">
        <w:rPr>
          <w:rFonts w:asciiTheme="minorHAnsi" w:hAnsiTheme="minorHAnsi"/>
          <w:sz w:val="20"/>
          <w:szCs w:val="20"/>
        </w:rPr>
        <w:t xml:space="preserve"> ______________________________________________________________________</w:t>
      </w:r>
    </w:p>
    <w:p w14:paraId="385C206D" w14:textId="77777777" w:rsidR="00B244C0" w:rsidRDefault="00B244C0" w:rsidP="001375D1">
      <w:pPr>
        <w:spacing w:after="0" w:line="240" w:lineRule="auto"/>
        <w:rPr>
          <w:rFonts w:asciiTheme="minorHAnsi" w:hAnsiTheme="minorHAnsi"/>
          <w:b/>
          <w:sz w:val="20"/>
          <w:szCs w:val="20"/>
        </w:rPr>
      </w:pPr>
    </w:p>
    <w:p w14:paraId="0933F6BE" w14:textId="390132D1" w:rsidR="004D664F" w:rsidRPr="005613A7" w:rsidRDefault="00985C06" w:rsidP="001375D1">
      <w:pPr>
        <w:spacing w:after="0" w:line="240" w:lineRule="auto"/>
        <w:rPr>
          <w:rFonts w:asciiTheme="minorHAnsi" w:hAnsiTheme="minorHAnsi"/>
          <w:b/>
          <w:sz w:val="20"/>
          <w:szCs w:val="20"/>
        </w:rPr>
      </w:pPr>
      <w:r>
        <w:rPr>
          <w:rFonts w:asciiTheme="minorHAnsi" w:hAnsiTheme="minorHAnsi"/>
          <w:b/>
          <w:sz w:val="20"/>
          <w:szCs w:val="20"/>
        </w:rPr>
        <w:t>Proposed Final</w:t>
      </w:r>
      <w:r w:rsidR="005B507C" w:rsidRPr="005613A7">
        <w:rPr>
          <w:rFonts w:asciiTheme="minorHAnsi" w:hAnsiTheme="minorHAnsi"/>
          <w:b/>
          <w:sz w:val="20"/>
          <w:szCs w:val="20"/>
        </w:rPr>
        <w:t xml:space="preserve"> Criteria/</w:t>
      </w:r>
      <w:r w:rsidR="004D664F" w:rsidRPr="005613A7">
        <w:rPr>
          <w:rFonts w:asciiTheme="minorHAnsi" w:hAnsiTheme="minorHAnsi"/>
          <w:b/>
          <w:sz w:val="20"/>
          <w:szCs w:val="20"/>
        </w:rPr>
        <w:t xml:space="preserve">Assessment Tool – For EPA Pilot Panel and Governance Committee Member </w:t>
      </w:r>
      <w:r w:rsidR="007602AD">
        <w:rPr>
          <w:rFonts w:asciiTheme="minorHAnsi" w:hAnsiTheme="minorHAnsi"/>
          <w:b/>
          <w:sz w:val="20"/>
          <w:szCs w:val="20"/>
        </w:rPr>
        <w:t>Ballot</w:t>
      </w:r>
    </w:p>
    <w:tbl>
      <w:tblPr>
        <w:tblW w:w="109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7"/>
        <w:gridCol w:w="540"/>
        <w:gridCol w:w="5130"/>
        <w:gridCol w:w="4680"/>
      </w:tblGrid>
      <w:tr w:rsidR="005B507C" w:rsidRPr="005613A7" w14:paraId="6B3E20F8" w14:textId="77777777" w:rsidTr="005B03D0">
        <w:trPr>
          <w:trHeight w:val="395"/>
          <w:tblHeader/>
        </w:trPr>
        <w:tc>
          <w:tcPr>
            <w:tcW w:w="607" w:type="dxa"/>
            <w:shd w:val="clear" w:color="auto" w:fill="DBE5F1"/>
            <w:vAlign w:val="center"/>
          </w:tcPr>
          <w:p w14:paraId="375A52EA" w14:textId="6B4D9405" w:rsidR="005B507C" w:rsidRPr="005613A7" w:rsidRDefault="005B507C" w:rsidP="001375D1">
            <w:pPr>
              <w:spacing w:after="0" w:line="240" w:lineRule="auto"/>
              <w:rPr>
                <w:rFonts w:asciiTheme="minorHAnsi" w:hAnsiTheme="minorHAnsi"/>
                <w:sz w:val="20"/>
                <w:szCs w:val="20"/>
              </w:rPr>
            </w:pPr>
            <w:r w:rsidRPr="000B5D41">
              <w:rPr>
                <w:rFonts w:asciiTheme="minorHAnsi" w:hAnsiTheme="minorHAnsi"/>
                <w:b/>
                <w:sz w:val="16"/>
                <w:szCs w:val="20"/>
              </w:rPr>
              <w:t> </w:t>
            </w:r>
            <w:proofErr w:type="spellStart"/>
            <w:r w:rsidR="000B5D41" w:rsidRPr="000B5D41">
              <w:rPr>
                <w:rFonts w:asciiTheme="minorHAnsi" w:hAnsiTheme="minorHAnsi"/>
                <w:b/>
                <w:sz w:val="14"/>
                <w:szCs w:val="20"/>
              </w:rPr>
              <w:t>Criter</w:t>
            </w:r>
            <w:r w:rsidR="000B5D41">
              <w:rPr>
                <w:rFonts w:asciiTheme="minorHAnsi" w:hAnsiTheme="minorHAnsi"/>
                <w:b/>
                <w:sz w:val="14"/>
                <w:szCs w:val="20"/>
              </w:rPr>
              <w:t>-</w:t>
            </w:r>
            <w:r w:rsidR="000B5D41" w:rsidRPr="000B5D41">
              <w:rPr>
                <w:rFonts w:asciiTheme="minorHAnsi" w:hAnsiTheme="minorHAnsi"/>
                <w:b/>
                <w:sz w:val="14"/>
                <w:szCs w:val="20"/>
              </w:rPr>
              <w:t>ia</w:t>
            </w:r>
            <w:proofErr w:type="spellEnd"/>
            <w:r w:rsidR="000B5D41">
              <w:rPr>
                <w:rFonts w:asciiTheme="minorHAnsi" w:hAnsiTheme="minorHAnsi"/>
                <w:b/>
                <w:sz w:val="14"/>
                <w:szCs w:val="20"/>
              </w:rPr>
              <w:t xml:space="preserve"> </w:t>
            </w:r>
            <w:r w:rsidRPr="000B5D41">
              <w:rPr>
                <w:rFonts w:asciiTheme="minorHAnsi" w:hAnsiTheme="minorHAnsi"/>
                <w:b/>
                <w:sz w:val="14"/>
                <w:szCs w:val="20"/>
              </w:rPr>
              <w:t>#</w:t>
            </w:r>
          </w:p>
        </w:tc>
        <w:tc>
          <w:tcPr>
            <w:tcW w:w="540" w:type="dxa"/>
            <w:shd w:val="clear" w:color="auto" w:fill="DBE5F1"/>
            <w:vAlign w:val="center"/>
          </w:tcPr>
          <w:p w14:paraId="1F2B9A79" w14:textId="77777777" w:rsidR="005B507C" w:rsidRPr="005613A7" w:rsidRDefault="005B507C" w:rsidP="001375D1">
            <w:pPr>
              <w:spacing w:after="0" w:line="240" w:lineRule="auto"/>
              <w:ind w:left="-108" w:right="-108"/>
              <w:jc w:val="center"/>
              <w:rPr>
                <w:rFonts w:asciiTheme="minorHAnsi" w:hAnsiTheme="minorHAnsi"/>
                <w:b/>
                <w:bCs/>
                <w:sz w:val="20"/>
                <w:szCs w:val="20"/>
              </w:rPr>
            </w:pPr>
            <w:r w:rsidRPr="005613A7">
              <w:rPr>
                <w:rFonts w:asciiTheme="minorHAnsi" w:hAnsiTheme="minorHAnsi"/>
                <w:b/>
                <w:bCs/>
                <w:sz w:val="20"/>
                <w:szCs w:val="20"/>
              </w:rPr>
              <w:t>B/L/I</w:t>
            </w:r>
          </w:p>
        </w:tc>
        <w:tc>
          <w:tcPr>
            <w:tcW w:w="5130" w:type="dxa"/>
            <w:shd w:val="clear" w:color="auto" w:fill="DBE5F1"/>
            <w:vAlign w:val="center"/>
          </w:tcPr>
          <w:p w14:paraId="66D1E806" w14:textId="7BB6E342" w:rsidR="005B507C" w:rsidRPr="005613A7" w:rsidRDefault="003853D1" w:rsidP="00CE3363">
            <w:pPr>
              <w:spacing w:after="0" w:line="240" w:lineRule="auto"/>
              <w:rPr>
                <w:rFonts w:asciiTheme="minorHAnsi" w:hAnsiTheme="minorHAnsi"/>
                <w:b/>
                <w:bCs/>
                <w:sz w:val="20"/>
                <w:szCs w:val="20"/>
              </w:rPr>
            </w:pPr>
            <w:r>
              <w:rPr>
                <w:rFonts w:asciiTheme="minorHAnsi" w:hAnsiTheme="minorHAnsi"/>
                <w:b/>
                <w:bCs/>
                <w:sz w:val="20"/>
                <w:szCs w:val="20"/>
              </w:rPr>
              <w:t>Proposed Final</w:t>
            </w:r>
            <w:r w:rsidR="005B507C" w:rsidRPr="005613A7">
              <w:rPr>
                <w:rFonts w:asciiTheme="minorHAnsi" w:hAnsiTheme="minorHAnsi"/>
                <w:b/>
                <w:bCs/>
                <w:sz w:val="20"/>
                <w:szCs w:val="20"/>
              </w:rPr>
              <w:t xml:space="preserve"> Assessment Criteria</w:t>
            </w:r>
          </w:p>
        </w:tc>
        <w:tc>
          <w:tcPr>
            <w:tcW w:w="4680" w:type="dxa"/>
            <w:shd w:val="clear" w:color="auto" w:fill="DBE5F1"/>
            <w:vAlign w:val="center"/>
          </w:tcPr>
          <w:p w14:paraId="5D706012" w14:textId="77777777" w:rsidR="000D3050" w:rsidRDefault="005B507C" w:rsidP="001375D1">
            <w:pPr>
              <w:spacing w:after="0" w:line="240" w:lineRule="auto"/>
              <w:rPr>
                <w:rFonts w:asciiTheme="minorHAnsi" w:hAnsiTheme="minorHAnsi"/>
                <w:b/>
                <w:bCs/>
                <w:sz w:val="20"/>
                <w:szCs w:val="20"/>
              </w:rPr>
            </w:pPr>
            <w:r w:rsidRPr="005613A7">
              <w:rPr>
                <w:rFonts w:asciiTheme="minorHAnsi" w:hAnsiTheme="minorHAnsi"/>
                <w:b/>
                <w:bCs/>
                <w:sz w:val="20"/>
                <w:szCs w:val="20"/>
              </w:rPr>
              <w:t>Example Sources of Evidence</w:t>
            </w:r>
            <w:r w:rsidR="00C15F2B">
              <w:rPr>
                <w:rFonts w:asciiTheme="minorHAnsi" w:hAnsiTheme="minorHAnsi"/>
                <w:b/>
                <w:bCs/>
                <w:sz w:val="20"/>
                <w:szCs w:val="20"/>
              </w:rPr>
              <w:t xml:space="preserve"> </w:t>
            </w:r>
          </w:p>
          <w:p w14:paraId="1DBF26BE" w14:textId="0A68DC16" w:rsidR="005B507C" w:rsidRPr="005613A7" w:rsidRDefault="00C15F2B" w:rsidP="001375D1">
            <w:pPr>
              <w:spacing w:after="0" w:line="240" w:lineRule="auto"/>
              <w:rPr>
                <w:rFonts w:asciiTheme="minorHAnsi" w:hAnsiTheme="minorHAnsi"/>
                <w:b/>
                <w:bCs/>
                <w:sz w:val="20"/>
                <w:szCs w:val="20"/>
              </w:rPr>
            </w:pPr>
            <w:r>
              <w:rPr>
                <w:rFonts w:asciiTheme="minorHAnsi" w:hAnsiTheme="minorHAnsi"/>
                <w:b/>
                <w:bCs/>
                <w:sz w:val="20"/>
                <w:szCs w:val="20"/>
              </w:rPr>
              <w:t xml:space="preserve">(one may be </w:t>
            </w:r>
            <w:r w:rsidRPr="0019094D">
              <w:rPr>
                <w:rFonts w:asciiTheme="minorHAnsi" w:hAnsiTheme="minorHAnsi"/>
                <w:b/>
                <w:bCs/>
                <w:sz w:val="20"/>
                <w:szCs w:val="20"/>
              </w:rPr>
              <w:t>sufficient</w:t>
            </w:r>
            <w:r w:rsidR="000D3050" w:rsidRPr="0019094D">
              <w:rPr>
                <w:rFonts w:asciiTheme="minorHAnsi" w:hAnsiTheme="minorHAnsi"/>
                <w:b/>
                <w:bCs/>
                <w:sz w:val="20"/>
                <w:szCs w:val="20"/>
              </w:rPr>
              <w:t xml:space="preserve"> subject to IAE review</w:t>
            </w:r>
            <w:r>
              <w:rPr>
                <w:rFonts w:asciiTheme="minorHAnsi" w:hAnsiTheme="minorHAnsi"/>
                <w:b/>
                <w:bCs/>
                <w:sz w:val="20"/>
                <w:szCs w:val="20"/>
              </w:rPr>
              <w:t>)</w:t>
            </w:r>
            <w:r w:rsidR="00B720C1">
              <w:rPr>
                <w:rStyle w:val="FootnoteReference"/>
                <w:rFonts w:asciiTheme="minorHAnsi" w:hAnsiTheme="minorHAnsi"/>
                <w:b/>
                <w:bCs/>
                <w:sz w:val="20"/>
                <w:szCs w:val="20"/>
              </w:rPr>
              <w:footnoteReference w:id="4"/>
            </w:r>
          </w:p>
        </w:tc>
      </w:tr>
      <w:tr w:rsidR="004D664F" w:rsidRPr="005613A7" w14:paraId="5E3CCB37" w14:textId="77777777" w:rsidTr="00BC134A">
        <w:trPr>
          <w:trHeight w:val="395"/>
        </w:trPr>
        <w:tc>
          <w:tcPr>
            <w:tcW w:w="10957" w:type="dxa"/>
            <w:gridSpan w:val="4"/>
            <w:vAlign w:val="center"/>
          </w:tcPr>
          <w:p w14:paraId="1CD38FFE" w14:textId="77777777" w:rsidR="004D664F" w:rsidRDefault="004D664F" w:rsidP="001375D1">
            <w:pPr>
              <w:spacing w:after="0" w:line="240" w:lineRule="auto"/>
              <w:rPr>
                <w:rFonts w:asciiTheme="minorHAnsi" w:hAnsiTheme="minorHAnsi"/>
                <w:b/>
                <w:bCs/>
                <w:sz w:val="20"/>
                <w:szCs w:val="20"/>
              </w:rPr>
            </w:pPr>
            <w:r w:rsidRPr="005613A7">
              <w:rPr>
                <w:rFonts w:asciiTheme="minorHAnsi" w:hAnsiTheme="minorHAnsi"/>
                <w:b/>
                <w:bCs/>
                <w:sz w:val="20"/>
                <w:szCs w:val="20"/>
              </w:rPr>
              <w:t>SECTION I: PROCESS FOR DEVELOPING STANDARDS</w:t>
            </w:r>
          </w:p>
          <w:p w14:paraId="4983BED5" w14:textId="6E5948DF" w:rsidR="006457CB" w:rsidRPr="006457CB" w:rsidRDefault="0025751D" w:rsidP="007711D0">
            <w:pPr>
              <w:spacing w:after="0" w:line="240" w:lineRule="auto"/>
              <w:rPr>
                <w:rFonts w:asciiTheme="minorHAnsi" w:hAnsiTheme="minorHAnsi"/>
                <w:bCs/>
                <w:sz w:val="20"/>
                <w:szCs w:val="20"/>
              </w:rPr>
            </w:pPr>
            <w:r w:rsidRPr="0025751D">
              <w:rPr>
                <w:rFonts w:asciiTheme="minorHAnsi" w:hAnsiTheme="minorHAnsi"/>
                <w:bCs/>
                <w:sz w:val="20"/>
                <w:szCs w:val="20"/>
              </w:rPr>
              <w:t>Consistent with Section 12(d) of the National Technology Transfer and Advancement Act (PL 104 – 113) and the Office of Management and Budget Circular A-119, EPA Recommendations give preference to Volu</w:t>
            </w:r>
            <w:r w:rsidR="007711D0">
              <w:rPr>
                <w:rFonts w:asciiTheme="minorHAnsi" w:hAnsiTheme="minorHAnsi"/>
                <w:bCs/>
                <w:sz w:val="20"/>
                <w:szCs w:val="20"/>
              </w:rPr>
              <w:t>ntary Consensus Standards (VCS)</w:t>
            </w:r>
            <w:r w:rsidR="00EE7BB2">
              <w:rPr>
                <w:rFonts w:asciiTheme="minorHAnsi" w:hAnsiTheme="minorHAnsi"/>
                <w:bCs/>
                <w:sz w:val="20"/>
                <w:szCs w:val="20"/>
              </w:rPr>
              <w:t xml:space="preserve"> (defined below)</w:t>
            </w:r>
            <w:r>
              <w:rPr>
                <w:rFonts w:asciiTheme="minorHAnsi" w:hAnsiTheme="minorHAnsi"/>
                <w:bCs/>
                <w:sz w:val="20"/>
                <w:szCs w:val="20"/>
              </w:rPr>
              <w:t xml:space="preserve">. </w:t>
            </w:r>
            <w:r w:rsidRPr="0025751D">
              <w:rPr>
                <w:rFonts w:asciiTheme="minorHAnsi" w:hAnsiTheme="minorHAnsi"/>
                <w:bCs/>
                <w:sz w:val="20"/>
                <w:szCs w:val="20"/>
              </w:rPr>
              <w:t xml:space="preserve">Other standards may be considered in cases where VCS are inconsistent with law or otherwise impractical (e.g. in cases where VCS do not exist, </w:t>
            </w:r>
            <w:r w:rsidR="008A7801">
              <w:rPr>
                <w:rFonts w:asciiTheme="minorHAnsi" w:hAnsiTheme="minorHAnsi"/>
                <w:bCs/>
                <w:sz w:val="20"/>
                <w:szCs w:val="20"/>
              </w:rPr>
              <w:t xml:space="preserve">a VCS does not address a particular environmental or human health impact, </w:t>
            </w:r>
            <w:r w:rsidRPr="0025751D">
              <w:rPr>
                <w:rFonts w:asciiTheme="minorHAnsi" w:hAnsiTheme="minorHAnsi"/>
                <w:bCs/>
                <w:sz w:val="20"/>
                <w:szCs w:val="20"/>
              </w:rPr>
              <w:t>or a VCS would not be as effective at meeting the cri</w:t>
            </w:r>
            <w:r w:rsidR="007711D0">
              <w:rPr>
                <w:rFonts w:asciiTheme="minorHAnsi" w:hAnsiTheme="minorHAnsi"/>
                <w:bCs/>
                <w:sz w:val="20"/>
                <w:szCs w:val="20"/>
              </w:rPr>
              <w:t>teria outlined in Section II)</w:t>
            </w:r>
            <w:r w:rsidRPr="0025751D">
              <w:rPr>
                <w:rFonts w:asciiTheme="minorHAnsi" w:hAnsiTheme="minorHAnsi"/>
                <w:bCs/>
                <w:sz w:val="20"/>
                <w:szCs w:val="20"/>
              </w:rPr>
              <w:t>.</w:t>
            </w:r>
          </w:p>
        </w:tc>
      </w:tr>
      <w:tr w:rsidR="005529EA" w:rsidRPr="005613A7" w14:paraId="7B2A4D64" w14:textId="77777777" w:rsidTr="002B2E63">
        <w:trPr>
          <w:trHeight w:val="1205"/>
        </w:trPr>
        <w:tc>
          <w:tcPr>
            <w:tcW w:w="607" w:type="dxa"/>
            <w:vAlign w:val="center"/>
          </w:tcPr>
          <w:p w14:paraId="0369338D" w14:textId="11DFF200" w:rsidR="005529EA" w:rsidRPr="005613A7" w:rsidRDefault="002B2E63" w:rsidP="001375D1">
            <w:pPr>
              <w:spacing w:after="0" w:line="240" w:lineRule="auto"/>
              <w:rPr>
                <w:rFonts w:asciiTheme="minorHAnsi" w:hAnsiTheme="minorHAnsi"/>
                <w:sz w:val="20"/>
                <w:szCs w:val="20"/>
              </w:rPr>
            </w:pPr>
            <w:r>
              <w:rPr>
                <w:rFonts w:asciiTheme="minorHAnsi" w:hAnsiTheme="minorHAnsi"/>
                <w:sz w:val="20"/>
                <w:szCs w:val="20"/>
              </w:rPr>
              <w:t>I.1</w:t>
            </w:r>
          </w:p>
        </w:tc>
        <w:tc>
          <w:tcPr>
            <w:tcW w:w="540" w:type="dxa"/>
            <w:vAlign w:val="center"/>
          </w:tcPr>
          <w:p w14:paraId="75EB674F" w14:textId="4154C8B2" w:rsidR="005529EA" w:rsidRPr="005613A7" w:rsidRDefault="00B244C0" w:rsidP="001375D1">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582EA12B" w14:textId="1F3D4EB9" w:rsidR="005529EA" w:rsidRDefault="005529EA" w:rsidP="005529EA">
            <w:pPr>
              <w:spacing w:after="0" w:line="240" w:lineRule="auto"/>
              <w:rPr>
                <w:rFonts w:asciiTheme="minorHAnsi" w:hAnsiTheme="minorHAnsi"/>
                <w:bCs/>
                <w:sz w:val="20"/>
                <w:szCs w:val="20"/>
              </w:rPr>
            </w:pPr>
            <w:r>
              <w:rPr>
                <w:rFonts w:asciiTheme="minorHAnsi" w:hAnsiTheme="minorHAnsi"/>
                <w:bCs/>
                <w:sz w:val="20"/>
                <w:szCs w:val="20"/>
              </w:rPr>
              <w:t>T</w:t>
            </w:r>
            <w:r w:rsidR="007E05C3">
              <w:rPr>
                <w:rFonts w:asciiTheme="minorHAnsi" w:hAnsiTheme="minorHAnsi"/>
                <w:bCs/>
                <w:sz w:val="20"/>
                <w:szCs w:val="20"/>
              </w:rPr>
              <w:t xml:space="preserve">he standard is a voluntary consensus standard as defined by OMB A119 </w:t>
            </w:r>
            <w:r w:rsidR="00B91C75">
              <w:rPr>
                <w:rFonts w:asciiTheme="minorHAnsi" w:hAnsiTheme="minorHAnsi"/>
                <w:bCs/>
                <w:sz w:val="20"/>
                <w:szCs w:val="20"/>
              </w:rPr>
              <w:t xml:space="preserve">Section </w:t>
            </w:r>
            <w:r w:rsidR="008152D3">
              <w:rPr>
                <w:rFonts w:asciiTheme="minorHAnsi" w:hAnsiTheme="minorHAnsi"/>
                <w:bCs/>
                <w:sz w:val="20"/>
                <w:szCs w:val="20"/>
              </w:rPr>
              <w:t>4</w:t>
            </w:r>
            <w:r w:rsidR="007E05C3">
              <w:rPr>
                <w:rFonts w:asciiTheme="minorHAnsi" w:hAnsiTheme="minorHAnsi"/>
                <w:bCs/>
                <w:sz w:val="20"/>
                <w:szCs w:val="20"/>
              </w:rPr>
              <w:t>.</w:t>
            </w:r>
            <w:r w:rsidR="007E05C3">
              <w:rPr>
                <w:rStyle w:val="FootnoteReference"/>
                <w:rFonts w:asciiTheme="minorHAnsi" w:hAnsiTheme="minorHAnsi"/>
                <w:bCs/>
                <w:sz w:val="20"/>
                <w:szCs w:val="20"/>
              </w:rPr>
              <w:footnoteReference w:id="5"/>
            </w:r>
            <w:r w:rsidR="007E05C3">
              <w:rPr>
                <w:rFonts w:asciiTheme="minorHAnsi" w:hAnsiTheme="minorHAnsi"/>
                <w:bCs/>
                <w:sz w:val="20"/>
                <w:szCs w:val="20"/>
              </w:rPr>
              <w:t xml:space="preserve">  </w:t>
            </w:r>
          </w:p>
          <w:p w14:paraId="0FE9E469" w14:textId="77777777" w:rsidR="005529EA" w:rsidRDefault="005529EA" w:rsidP="005529EA">
            <w:pPr>
              <w:spacing w:after="0" w:line="240" w:lineRule="auto"/>
              <w:rPr>
                <w:rFonts w:asciiTheme="minorHAnsi" w:hAnsiTheme="minorHAnsi"/>
                <w:bCs/>
                <w:sz w:val="20"/>
                <w:szCs w:val="20"/>
              </w:rPr>
            </w:pPr>
          </w:p>
          <w:p w14:paraId="2810354D" w14:textId="5BEB1573" w:rsidR="00154C85" w:rsidRDefault="006457CB" w:rsidP="00154C85">
            <w:pPr>
              <w:pStyle w:val="FootnoteText"/>
            </w:pPr>
            <w:r w:rsidRPr="006457CB">
              <w:rPr>
                <w:rFonts w:asciiTheme="minorHAnsi" w:hAnsiTheme="minorHAnsi"/>
                <w:color w:val="000000"/>
              </w:rPr>
              <w:t>If a standard is an ANSI approved American National Standard, then the SDO is assumed to meet and need not be assessed to Section I criteria: 2-7; 9; 11; and 13-18.</w:t>
            </w:r>
            <w:r w:rsidR="00154C85">
              <w:rPr>
                <w:rFonts w:asciiTheme="minorHAnsi" w:hAnsiTheme="minorHAnsi"/>
                <w:color w:val="000000"/>
              </w:rPr>
              <w:t xml:space="preserve"> </w:t>
            </w:r>
            <w:r w:rsidR="00154C85">
              <w:t xml:space="preserve">Other organization’s standards development processes may also meet </w:t>
            </w:r>
            <w:r w:rsidR="00E477B5">
              <w:t>the OMB A-119</w:t>
            </w:r>
            <w:r w:rsidR="00154C85">
              <w:t xml:space="preserve"> definition</w:t>
            </w:r>
            <w:r w:rsidR="00E477B5">
              <w:t xml:space="preserve"> of voluntary consensus standard</w:t>
            </w:r>
            <w:r w:rsidR="00154C85">
              <w:t xml:space="preserve">. </w:t>
            </w:r>
          </w:p>
          <w:p w14:paraId="62E73FA7" w14:textId="16052313" w:rsidR="005529EA" w:rsidRPr="005613A7" w:rsidRDefault="00154C85" w:rsidP="006457CB">
            <w:pPr>
              <w:pStyle w:val="PlainText"/>
              <w:rPr>
                <w:rFonts w:asciiTheme="minorHAnsi" w:hAnsiTheme="minorHAnsi"/>
                <w:bCs/>
                <w:sz w:val="20"/>
                <w:szCs w:val="20"/>
              </w:rPr>
            </w:pPr>
            <w:r>
              <w:rPr>
                <w:rFonts w:asciiTheme="minorHAnsi" w:hAnsiTheme="minorHAnsi"/>
                <w:color w:val="000000"/>
                <w:sz w:val="20"/>
                <w:szCs w:val="20"/>
              </w:rPr>
              <w:t xml:space="preserve"> </w:t>
            </w:r>
          </w:p>
        </w:tc>
        <w:tc>
          <w:tcPr>
            <w:tcW w:w="4680" w:type="dxa"/>
            <w:vAlign w:val="center"/>
          </w:tcPr>
          <w:p w14:paraId="0476B78E" w14:textId="73E1B338" w:rsidR="00E477B5" w:rsidRDefault="00E477B5" w:rsidP="00EE6767">
            <w:pPr>
              <w:spacing w:after="0" w:line="240" w:lineRule="auto"/>
              <w:rPr>
                <w:rFonts w:asciiTheme="minorHAnsi" w:hAnsiTheme="minorHAnsi"/>
                <w:bCs/>
                <w:sz w:val="20"/>
                <w:szCs w:val="20"/>
              </w:rPr>
            </w:pPr>
            <w:r>
              <w:rPr>
                <w:rFonts w:asciiTheme="minorHAnsi" w:hAnsiTheme="minorHAnsi"/>
                <w:bCs/>
                <w:sz w:val="20"/>
                <w:szCs w:val="20"/>
              </w:rPr>
              <w:t>-</w:t>
            </w:r>
            <w:r w:rsidR="00EE6767" w:rsidRPr="005613A7">
              <w:rPr>
                <w:rFonts w:asciiTheme="minorHAnsi" w:hAnsiTheme="minorHAnsi"/>
                <w:bCs/>
                <w:sz w:val="20"/>
                <w:szCs w:val="20"/>
              </w:rPr>
              <w:t xml:space="preserve">ANS Document # </w:t>
            </w:r>
          </w:p>
          <w:p w14:paraId="31BAD7B6" w14:textId="724D9768" w:rsidR="00EE6767" w:rsidRDefault="00E477B5" w:rsidP="00EE6767">
            <w:pPr>
              <w:spacing w:after="0" w:line="240" w:lineRule="auto"/>
              <w:rPr>
                <w:rFonts w:asciiTheme="minorHAnsi" w:hAnsiTheme="minorHAnsi"/>
                <w:bCs/>
                <w:sz w:val="20"/>
                <w:szCs w:val="20"/>
              </w:rPr>
            </w:pPr>
            <w:r>
              <w:rPr>
                <w:rFonts w:asciiTheme="minorHAnsi" w:hAnsiTheme="minorHAnsi"/>
                <w:bCs/>
                <w:sz w:val="20"/>
                <w:szCs w:val="20"/>
              </w:rPr>
              <w:t>-Other (to be determined</w:t>
            </w:r>
            <w:r w:rsidR="00EE7BB2">
              <w:rPr>
                <w:rFonts w:asciiTheme="minorHAnsi" w:hAnsiTheme="minorHAnsi"/>
                <w:bCs/>
                <w:sz w:val="20"/>
                <w:szCs w:val="20"/>
              </w:rPr>
              <w:t xml:space="preserve"> by EPA</w:t>
            </w:r>
            <w:r>
              <w:rPr>
                <w:rFonts w:asciiTheme="minorHAnsi" w:hAnsiTheme="minorHAnsi"/>
                <w:bCs/>
                <w:sz w:val="20"/>
                <w:szCs w:val="20"/>
              </w:rPr>
              <w:t xml:space="preserve">) </w:t>
            </w:r>
          </w:p>
          <w:p w14:paraId="5C81D08B" w14:textId="77777777" w:rsidR="005529EA" w:rsidRPr="005613A7" w:rsidRDefault="005529EA" w:rsidP="007E05C3">
            <w:pPr>
              <w:spacing w:after="0" w:line="240" w:lineRule="auto"/>
              <w:rPr>
                <w:rFonts w:asciiTheme="minorHAnsi" w:hAnsiTheme="minorHAnsi"/>
                <w:bCs/>
                <w:sz w:val="20"/>
                <w:szCs w:val="20"/>
              </w:rPr>
            </w:pPr>
          </w:p>
        </w:tc>
      </w:tr>
      <w:tr w:rsidR="005B507C" w:rsidRPr="005613A7" w14:paraId="202D5A73" w14:textId="77777777" w:rsidTr="005B03D0">
        <w:trPr>
          <w:trHeight w:val="2132"/>
        </w:trPr>
        <w:tc>
          <w:tcPr>
            <w:tcW w:w="607" w:type="dxa"/>
            <w:vAlign w:val="center"/>
          </w:tcPr>
          <w:p w14:paraId="276BD7C3" w14:textId="3C6E72C5" w:rsidR="005B507C" w:rsidRPr="005613A7" w:rsidRDefault="002B2E63" w:rsidP="001375D1">
            <w:pPr>
              <w:spacing w:after="0" w:line="240" w:lineRule="auto"/>
              <w:rPr>
                <w:rFonts w:asciiTheme="minorHAnsi" w:hAnsiTheme="minorHAnsi"/>
                <w:sz w:val="20"/>
                <w:szCs w:val="20"/>
              </w:rPr>
            </w:pPr>
            <w:r>
              <w:rPr>
                <w:rFonts w:asciiTheme="minorHAnsi" w:hAnsiTheme="minorHAnsi"/>
                <w:sz w:val="20"/>
                <w:szCs w:val="20"/>
              </w:rPr>
              <w:t>I.2</w:t>
            </w:r>
          </w:p>
        </w:tc>
        <w:tc>
          <w:tcPr>
            <w:tcW w:w="540" w:type="dxa"/>
            <w:vAlign w:val="center"/>
          </w:tcPr>
          <w:p w14:paraId="6F412822" w14:textId="4CD2C7C6"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375DB5F" w14:textId="5E1F4E2B" w:rsidR="005B507C" w:rsidRPr="005613A7" w:rsidRDefault="005B507C" w:rsidP="001375D1">
            <w:pPr>
              <w:spacing w:after="0" w:line="240" w:lineRule="auto"/>
              <w:rPr>
                <w:rStyle w:val="CommentReference"/>
                <w:rFonts w:asciiTheme="minorHAnsi" w:hAnsiTheme="minorHAnsi"/>
                <w:sz w:val="20"/>
                <w:szCs w:val="20"/>
              </w:rPr>
            </w:pPr>
            <w:r w:rsidRPr="005613A7">
              <w:rPr>
                <w:rFonts w:asciiTheme="minorHAnsi" w:hAnsiTheme="minorHAnsi"/>
                <w:bCs/>
                <w:sz w:val="20"/>
                <w:szCs w:val="20"/>
              </w:rPr>
              <w:t>The SDO actively sought participation</w:t>
            </w:r>
            <w:r w:rsidR="00EE7BB2" w:rsidRPr="005613A7">
              <w:rPr>
                <w:rStyle w:val="FootnoteReference"/>
                <w:rFonts w:asciiTheme="minorHAnsi" w:hAnsiTheme="minorHAnsi"/>
                <w:bCs/>
                <w:sz w:val="20"/>
                <w:szCs w:val="20"/>
              </w:rPr>
              <w:footnoteReference w:id="6"/>
            </w:r>
            <w:r w:rsidRPr="005613A7">
              <w:rPr>
                <w:rFonts w:asciiTheme="minorHAnsi" w:hAnsiTheme="minorHAnsi"/>
                <w:bCs/>
                <w:sz w:val="20"/>
                <w:szCs w:val="20"/>
              </w:rPr>
              <w:t xml:space="preserve"> from directly and materially affected stakeholders including producers, users, public interest groups, locally affected groups/persons, and others.</w:t>
            </w:r>
            <w:r w:rsidRPr="005613A7">
              <w:rPr>
                <w:rStyle w:val="CommentReference"/>
                <w:rFonts w:asciiTheme="minorHAnsi" w:hAnsiTheme="minorHAnsi"/>
                <w:sz w:val="20"/>
                <w:szCs w:val="20"/>
              </w:rPr>
              <w:t xml:space="preserve"> </w:t>
            </w:r>
          </w:p>
          <w:p w14:paraId="43956C8B" w14:textId="77777777" w:rsidR="005B507C" w:rsidRPr="005613A7" w:rsidRDefault="005B507C" w:rsidP="001375D1">
            <w:pPr>
              <w:spacing w:after="0" w:line="240" w:lineRule="auto"/>
              <w:rPr>
                <w:rStyle w:val="CommentReference"/>
                <w:rFonts w:asciiTheme="minorHAnsi" w:hAnsiTheme="minorHAnsi"/>
                <w:i/>
                <w:sz w:val="20"/>
                <w:szCs w:val="20"/>
              </w:rPr>
            </w:pPr>
          </w:p>
          <w:p w14:paraId="12E9AAA2"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6A336AEE" w14:textId="5671E670" w:rsidR="005B507C" w:rsidRPr="00B41BF5" w:rsidRDefault="005B507C"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I.1 Open Participation</w:t>
            </w:r>
          </w:p>
          <w:p w14:paraId="519A2D43" w14:textId="77777777" w:rsidR="005B507C" w:rsidRPr="00B41BF5" w:rsidRDefault="005B507C"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I.4 Progress/Updates are communicated</w:t>
            </w:r>
          </w:p>
          <w:p w14:paraId="31AD8774" w14:textId="6B6DB130" w:rsidR="005B507C" w:rsidRPr="005613A7" w:rsidRDefault="005B507C" w:rsidP="001375D1">
            <w:pPr>
              <w:spacing w:after="0" w:line="240" w:lineRule="auto"/>
              <w:rPr>
                <w:rFonts w:asciiTheme="minorHAnsi" w:hAnsiTheme="minorHAnsi"/>
                <w:bCs/>
                <w:sz w:val="20"/>
                <w:szCs w:val="20"/>
              </w:rPr>
            </w:pPr>
          </w:p>
        </w:tc>
        <w:tc>
          <w:tcPr>
            <w:tcW w:w="4680" w:type="dxa"/>
            <w:vAlign w:val="center"/>
          </w:tcPr>
          <w:p w14:paraId="06E50E24" w14:textId="45D936BC"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Documentation of interest categories defined by SDO.</w:t>
            </w:r>
          </w:p>
          <w:p w14:paraId="6F904E0B" w14:textId="39159E98" w:rsidR="005B507C" w:rsidRPr="005613A7" w:rsidRDefault="0012636C" w:rsidP="001375D1">
            <w:pPr>
              <w:spacing w:after="0" w:line="240" w:lineRule="auto"/>
              <w:rPr>
                <w:rFonts w:asciiTheme="minorHAnsi" w:hAnsiTheme="minorHAnsi"/>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Evidence of outreach to </w:t>
            </w:r>
            <w:r w:rsidR="005B507C" w:rsidRPr="005613A7">
              <w:rPr>
                <w:rFonts w:asciiTheme="minorHAnsi" w:hAnsiTheme="minorHAnsi"/>
                <w:sz w:val="20"/>
                <w:szCs w:val="20"/>
              </w:rPr>
              <w:t>actively recruit members from pre-defined interest categories.</w:t>
            </w:r>
          </w:p>
          <w:p w14:paraId="0E0EFE73" w14:textId="0D71EDF6"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Outreach plan to identify and contact a diverse set of stakeholders. </w:t>
            </w:r>
          </w:p>
          <w:p w14:paraId="5B346304" w14:textId="77777777"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Evidence of active outreach such as email invitations and communications with a diverse set of stakeholders.</w:t>
            </w:r>
          </w:p>
          <w:p w14:paraId="69324494" w14:textId="12EA2B7C" w:rsidR="0051749E" w:rsidRPr="005613A7" w:rsidRDefault="00DA31F6" w:rsidP="00CA4FF2">
            <w:pPr>
              <w:spacing w:after="0" w:line="240" w:lineRule="auto"/>
              <w:rPr>
                <w:rFonts w:asciiTheme="minorHAnsi" w:hAnsiTheme="minorHAnsi"/>
                <w:bCs/>
                <w:sz w:val="20"/>
                <w:szCs w:val="20"/>
              </w:rPr>
            </w:pPr>
            <w:r>
              <w:rPr>
                <w:rFonts w:asciiTheme="minorHAnsi" w:hAnsiTheme="minorHAnsi"/>
                <w:bCs/>
                <w:sz w:val="20"/>
                <w:szCs w:val="20"/>
              </w:rPr>
              <w:t xml:space="preserve">Or, where documentation cannot be located for standards developed prior to </w:t>
            </w:r>
            <w:r w:rsidRPr="0019094D">
              <w:rPr>
                <w:rFonts w:asciiTheme="minorHAnsi" w:hAnsiTheme="minorHAnsi"/>
                <w:bCs/>
                <w:sz w:val="20"/>
                <w:szCs w:val="20"/>
              </w:rPr>
              <w:t>201</w:t>
            </w:r>
            <w:r w:rsidR="00CA4FF2" w:rsidRPr="0019094D">
              <w:rPr>
                <w:rFonts w:asciiTheme="minorHAnsi" w:hAnsiTheme="minorHAnsi"/>
                <w:bCs/>
                <w:sz w:val="20"/>
                <w:szCs w:val="20"/>
              </w:rPr>
              <w:t>2</w:t>
            </w:r>
            <w:r>
              <w:rPr>
                <w:rFonts w:asciiTheme="minorHAnsi" w:hAnsiTheme="minorHAnsi"/>
                <w:bCs/>
                <w:sz w:val="20"/>
                <w:szCs w:val="20"/>
              </w:rPr>
              <w:t>, attestation by the SDO indicating the criteria was met.</w:t>
            </w:r>
          </w:p>
        </w:tc>
      </w:tr>
      <w:tr w:rsidR="005B507C" w:rsidRPr="005613A7" w14:paraId="7AFF520C" w14:textId="77777777" w:rsidTr="005B03D0">
        <w:trPr>
          <w:trHeight w:val="1718"/>
        </w:trPr>
        <w:tc>
          <w:tcPr>
            <w:tcW w:w="607" w:type="dxa"/>
            <w:vAlign w:val="center"/>
          </w:tcPr>
          <w:p w14:paraId="290195B0" w14:textId="4F06663F" w:rsidR="005B507C" w:rsidRPr="005613A7" w:rsidRDefault="002B2E63" w:rsidP="001375D1">
            <w:pPr>
              <w:spacing w:after="0" w:line="240" w:lineRule="auto"/>
              <w:rPr>
                <w:rFonts w:asciiTheme="minorHAnsi" w:hAnsiTheme="minorHAnsi"/>
                <w:sz w:val="20"/>
                <w:szCs w:val="20"/>
              </w:rPr>
            </w:pPr>
            <w:r>
              <w:rPr>
                <w:rFonts w:asciiTheme="minorHAnsi" w:hAnsiTheme="minorHAnsi"/>
                <w:sz w:val="20"/>
                <w:szCs w:val="20"/>
              </w:rPr>
              <w:lastRenderedPageBreak/>
              <w:t>I.3</w:t>
            </w:r>
          </w:p>
        </w:tc>
        <w:tc>
          <w:tcPr>
            <w:tcW w:w="540" w:type="dxa"/>
            <w:vAlign w:val="center"/>
          </w:tcPr>
          <w:p w14:paraId="3CD83E87" w14:textId="66DFF9FF"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24B691B6"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Key standard setting activities</w:t>
            </w:r>
            <w:r w:rsidRPr="005613A7">
              <w:rPr>
                <w:rStyle w:val="FootnoteReference"/>
                <w:rFonts w:asciiTheme="minorHAnsi" w:hAnsiTheme="minorHAnsi"/>
                <w:bCs/>
                <w:sz w:val="20"/>
                <w:szCs w:val="20"/>
              </w:rPr>
              <w:footnoteReference w:id="7"/>
            </w:r>
            <w:r w:rsidRPr="005613A7">
              <w:rPr>
                <w:rFonts w:asciiTheme="minorHAnsi" w:hAnsiTheme="minorHAnsi"/>
                <w:bCs/>
                <w:sz w:val="20"/>
                <w:szCs w:val="20"/>
              </w:rPr>
              <w:t xml:space="preserve"> were announced in suitable media</w:t>
            </w:r>
            <w:r w:rsidRPr="005613A7">
              <w:rPr>
                <w:rStyle w:val="FootnoteReference"/>
                <w:rFonts w:asciiTheme="minorHAnsi" w:hAnsiTheme="minorHAnsi"/>
                <w:bCs/>
                <w:sz w:val="20"/>
                <w:szCs w:val="20"/>
              </w:rPr>
              <w:footnoteReference w:id="8"/>
            </w:r>
            <w:r w:rsidRPr="005613A7">
              <w:rPr>
                <w:rFonts w:asciiTheme="minorHAnsi" w:hAnsiTheme="minorHAnsi"/>
                <w:bCs/>
                <w:sz w:val="20"/>
                <w:szCs w:val="20"/>
              </w:rPr>
              <w:t xml:space="preserve"> in order to encourage participation in standards development activities by stakeholders directly and materially affected by the standard. </w:t>
            </w:r>
          </w:p>
          <w:p w14:paraId="0B00AFE3" w14:textId="77777777" w:rsidR="005B507C" w:rsidRPr="005613A7" w:rsidRDefault="005B507C" w:rsidP="001375D1">
            <w:pPr>
              <w:spacing w:after="0" w:line="240" w:lineRule="auto"/>
              <w:rPr>
                <w:rFonts w:asciiTheme="minorHAnsi" w:hAnsiTheme="minorHAnsi"/>
                <w:bCs/>
                <w:sz w:val="20"/>
                <w:szCs w:val="20"/>
              </w:rPr>
            </w:pPr>
          </w:p>
          <w:p w14:paraId="4AA0B918"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EE3A6B8" w14:textId="2DA35272" w:rsidR="005B507C" w:rsidRPr="005613A7" w:rsidRDefault="005B507C" w:rsidP="005B03D0">
            <w:pPr>
              <w:spacing w:after="0" w:line="240" w:lineRule="auto"/>
              <w:rPr>
                <w:rFonts w:asciiTheme="minorHAnsi" w:hAnsiTheme="minorHAnsi"/>
                <w:bCs/>
                <w:i/>
                <w:sz w:val="20"/>
                <w:szCs w:val="20"/>
              </w:rPr>
            </w:pPr>
            <w:r w:rsidRPr="00B41BF5">
              <w:rPr>
                <w:rFonts w:asciiTheme="minorHAnsi" w:hAnsiTheme="minorHAnsi"/>
                <w:i/>
                <w:color w:val="2E74B5" w:themeColor="accent1" w:themeShade="BF"/>
                <w:sz w:val="20"/>
                <w:szCs w:val="20"/>
              </w:rPr>
              <w:t>I.4 Progress/Updates are communicated</w:t>
            </w:r>
          </w:p>
        </w:tc>
        <w:tc>
          <w:tcPr>
            <w:tcW w:w="4680" w:type="dxa"/>
            <w:vAlign w:val="center"/>
          </w:tcPr>
          <w:p w14:paraId="4DB828CB" w14:textId="77777777" w:rsidR="005B507C" w:rsidRPr="005613A7" w:rsidRDefault="005B507C" w:rsidP="001375D1">
            <w:pPr>
              <w:spacing w:after="0" w:line="240" w:lineRule="auto"/>
              <w:rPr>
                <w:rFonts w:asciiTheme="minorHAnsi" w:hAnsiTheme="minorHAnsi"/>
                <w:bCs/>
                <w:sz w:val="20"/>
                <w:szCs w:val="20"/>
              </w:rPr>
            </w:pPr>
          </w:p>
          <w:p w14:paraId="026E62AA" w14:textId="549E9947"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Examples of announcements made in suitable media</w:t>
            </w:r>
          </w:p>
          <w:p w14:paraId="5EE9D1D0" w14:textId="77777777" w:rsidR="0051749E" w:rsidRDefault="0051749E" w:rsidP="001375D1">
            <w:pPr>
              <w:spacing w:after="0" w:line="240" w:lineRule="auto"/>
              <w:rPr>
                <w:rFonts w:asciiTheme="minorHAnsi" w:hAnsiTheme="minorHAnsi"/>
                <w:bCs/>
                <w:sz w:val="20"/>
                <w:szCs w:val="20"/>
              </w:rPr>
            </w:pPr>
          </w:p>
          <w:p w14:paraId="0E7FCD58" w14:textId="72069F49" w:rsidR="005B507C" w:rsidRPr="005613A7" w:rsidRDefault="00DA31F6" w:rsidP="001375D1">
            <w:pPr>
              <w:spacing w:after="0" w:line="240" w:lineRule="auto"/>
              <w:rPr>
                <w:rFonts w:asciiTheme="minorHAnsi" w:hAnsiTheme="minorHAnsi"/>
                <w:bCs/>
                <w:sz w:val="20"/>
                <w:szCs w:val="20"/>
              </w:rPr>
            </w:pPr>
            <w:r>
              <w:rPr>
                <w:rFonts w:asciiTheme="minorHAnsi" w:hAnsiTheme="minorHAnsi"/>
                <w:bCs/>
                <w:sz w:val="20"/>
                <w:szCs w:val="20"/>
              </w:rPr>
              <w:t xml:space="preserve">Or, where documentation cannot be located for standards developed prior to </w:t>
            </w:r>
            <w:r w:rsidRPr="0019094D">
              <w:rPr>
                <w:rFonts w:asciiTheme="minorHAnsi" w:hAnsiTheme="minorHAnsi"/>
                <w:bCs/>
                <w:sz w:val="20"/>
                <w:szCs w:val="20"/>
              </w:rPr>
              <w:t>201</w:t>
            </w:r>
            <w:r w:rsidR="00CA4FF2" w:rsidRPr="0019094D">
              <w:rPr>
                <w:rFonts w:asciiTheme="minorHAnsi" w:hAnsiTheme="minorHAnsi"/>
                <w:bCs/>
                <w:sz w:val="20"/>
                <w:szCs w:val="20"/>
              </w:rPr>
              <w:t>2</w:t>
            </w:r>
            <w:r>
              <w:rPr>
                <w:rFonts w:asciiTheme="minorHAnsi" w:hAnsiTheme="minorHAnsi"/>
                <w:bCs/>
                <w:sz w:val="20"/>
                <w:szCs w:val="20"/>
              </w:rPr>
              <w:t>, attestation by the SDO indicating the criteria was met.</w:t>
            </w:r>
          </w:p>
        </w:tc>
      </w:tr>
      <w:tr w:rsidR="005B507C" w:rsidRPr="005613A7" w14:paraId="00240099" w14:textId="77777777" w:rsidTr="005B03D0">
        <w:trPr>
          <w:trHeight w:val="512"/>
        </w:trPr>
        <w:tc>
          <w:tcPr>
            <w:tcW w:w="607" w:type="dxa"/>
            <w:vAlign w:val="center"/>
          </w:tcPr>
          <w:p w14:paraId="22B62FAA" w14:textId="1FA0341C"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sz w:val="20"/>
                <w:szCs w:val="20"/>
              </w:rPr>
              <w:t>I.</w:t>
            </w:r>
            <w:r w:rsidR="002B2E63">
              <w:rPr>
                <w:rFonts w:asciiTheme="minorHAnsi" w:hAnsiTheme="minorHAnsi"/>
                <w:sz w:val="20"/>
                <w:szCs w:val="20"/>
              </w:rPr>
              <w:t>4</w:t>
            </w:r>
          </w:p>
        </w:tc>
        <w:tc>
          <w:tcPr>
            <w:tcW w:w="540" w:type="dxa"/>
            <w:vAlign w:val="center"/>
          </w:tcPr>
          <w:p w14:paraId="424F4926" w14:textId="32CC10C4"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9AC0299"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Timely and adequate</w:t>
            </w:r>
            <w:r w:rsidRPr="005613A7">
              <w:rPr>
                <w:rStyle w:val="FootnoteReference"/>
                <w:rFonts w:asciiTheme="minorHAnsi" w:hAnsiTheme="minorHAnsi"/>
                <w:bCs/>
                <w:sz w:val="20"/>
                <w:szCs w:val="20"/>
              </w:rPr>
              <w:footnoteReference w:id="9"/>
            </w:r>
            <w:r w:rsidRPr="005613A7">
              <w:rPr>
                <w:rFonts w:asciiTheme="minorHAnsi" w:hAnsiTheme="minorHAnsi"/>
                <w:bCs/>
                <w:sz w:val="20"/>
                <w:szCs w:val="20"/>
              </w:rPr>
              <w:t xml:space="preserve"> notice was made to generate stakeholder participation in key standard setting activities.</w:t>
            </w:r>
          </w:p>
          <w:p w14:paraId="287A36A5" w14:textId="77777777" w:rsidR="002B2E63" w:rsidRPr="005613A7" w:rsidRDefault="002B2E63" w:rsidP="001375D1">
            <w:pPr>
              <w:spacing w:after="0" w:line="240" w:lineRule="auto"/>
              <w:rPr>
                <w:rFonts w:asciiTheme="minorHAnsi" w:hAnsiTheme="minorHAnsi"/>
                <w:bCs/>
                <w:sz w:val="20"/>
                <w:szCs w:val="20"/>
              </w:rPr>
            </w:pPr>
          </w:p>
          <w:p w14:paraId="15F3F23D"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DBCC2A0" w14:textId="77777777" w:rsidR="005B507C" w:rsidRPr="00B41BF5" w:rsidRDefault="005B507C"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I.4 Progress/Updates are communicated</w:t>
            </w:r>
          </w:p>
          <w:p w14:paraId="76B62013" w14:textId="3327B686" w:rsidR="005B507C" w:rsidRPr="005613A7" w:rsidRDefault="005B507C" w:rsidP="001375D1">
            <w:pPr>
              <w:spacing w:after="0" w:line="240" w:lineRule="auto"/>
              <w:rPr>
                <w:rFonts w:asciiTheme="minorHAnsi" w:hAnsiTheme="minorHAnsi"/>
                <w:bCs/>
                <w:sz w:val="20"/>
                <w:szCs w:val="20"/>
              </w:rPr>
            </w:pPr>
          </w:p>
        </w:tc>
        <w:tc>
          <w:tcPr>
            <w:tcW w:w="4680" w:type="dxa"/>
            <w:vAlign w:val="center"/>
          </w:tcPr>
          <w:p w14:paraId="0242C3F3" w14:textId="636B22F7"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Schedule of notifications published on key standards activities and deadlines imposed for participation.</w:t>
            </w:r>
          </w:p>
          <w:p w14:paraId="52B74D0A" w14:textId="20294655"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Notifications of key standards activities indicating when posted.</w:t>
            </w:r>
          </w:p>
          <w:p w14:paraId="2797FE36" w14:textId="77777777" w:rsidR="005B507C" w:rsidRDefault="0012636C" w:rsidP="002B2E63">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For example, time periods prescribed are 30-days </w:t>
            </w:r>
            <w:r w:rsidR="005B03D0">
              <w:rPr>
                <w:rFonts w:asciiTheme="minorHAnsi" w:hAnsiTheme="minorHAnsi"/>
                <w:bCs/>
                <w:sz w:val="20"/>
                <w:szCs w:val="20"/>
              </w:rPr>
              <w:t>for comment on draft standards.</w:t>
            </w:r>
          </w:p>
          <w:p w14:paraId="0BFBE7BA" w14:textId="77777777" w:rsidR="0051749E" w:rsidRDefault="0051749E" w:rsidP="002B2E63">
            <w:pPr>
              <w:spacing w:after="0" w:line="240" w:lineRule="auto"/>
              <w:rPr>
                <w:rFonts w:asciiTheme="minorHAnsi" w:hAnsiTheme="minorHAnsi"/>
                <w:bCs/>
                <w:sz w:val="20"/>
                <w:szCs w:val="20"/>
              </w:rPr>
            </w:pPr>
          </w:p>
          <w:p w14:paraId="43F980F9" w14:textId="13702C57" w:rsidR="0051749E" w:rsidRPr="005613A7" w:rsidRDefault="00DA31F6" w:rsidP="00EC62E0">
            <w:pPr>
              <w:spacing w:after="0" w:line="240" w:lineRule="auto"/>
              <w:rPr>
                <w:rFonts w:asciiTheme="minorHAnsi" w:hAnsiTheme="minorHAnsi"/>
                <w:bCs/>
                <w:i/>
                <w:sz w:val="20"/>
                <w:szCs w:val="20"/>
              </w:rPr>
            </w:pPr>
            <w:r>
              <w:rPr>
                <w:rFonts w:asciiTheme="minorHAnsi" w:hAnsiTheme="minorHAnsi"/>
                <w:bCs/>
                <w:sz w:val="20"/>
                <w:szCs w:val="20"/>
              </w:rPr>
              <w:t xml:space="preserve">Or, where documentation cannot be located for standards developed prior to </w:t>
            </w:r>
            <w:r w:rsidR="00EC62E0" w:rsidRPr="0019094D">
              <w:rPr>
                <w:rFonts w:asciiTheme="minorHAnsi" w:hAnsiTheme="minorHAnsi"/>
                <w:bCs/>
                <w:sz w:val="20"/>
                <w:szCs w:val="20"/>
              </w:rPr>
              <w:t>2012</w:t>
            </w:r>
            <w:r>
              <w:rPr>
                <w:rFonts w:asciiTheme="minorHAnsi" w:hAnsiTheme="minorHAnsi"/>
                <w:bCs/>
                <w:sz w:val="20"/>
                <w:szCs w:val="20"/>
              </w:rPr>
              <w:t>, attestation by the SDO indicating the criteria was met.</w:t>
            </w:r>
          </w:p>
        </w:tc>
      </w:tr>
      <w:tr w:rsidR="005B507C" w:rsidRPr="005613A7" w14:paraId="14BD720B" w14:textId="77777777" w:rsidTr="005B03D0">
        <w:trPr>
          <w:trHeight w:val="530"/>
        </w:trPr>
        <w:tc>
          <w:tcPr>
            <w:tcW w:w="607" w:type="dxa"/>
            <w:vAlign w:val="center"/>
          </w:tcPr>
          <w:p w14:paraId="6C6073D7" w14:textId="5984F633"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sz w:val="20"/>
                <w:szCs w:val="20"/>
              </w:rPr>
              <w:t>I.</w:t>
            </w:r>
            <w:r w:rsidR="002B2E63">
              <w:rPr>
                <w:rFonts w:asciiTheme="minorHAnsi" w:hAnsiTheme="minorHAnsi"/>
                <w:sz w:val="20"/>
                <w:szCs w:val="20"/>
              </w:rPr>
              <w:t>5</w:t>
            </w:r>
          </w:p>
        </w:tc>
        <w:tc>
          <w:tcPr>
            <w:tcW w:w="540" w:type="dxa"/>
            <w:vAlign w:val="center"/>
          </w:tcPr>
          <w:p w14:paraId="4B48F3B2"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8B9BF6B" w14:textId="568B6714"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bCs/>
                <w:sz w:val="20"/>
                <w:szCs w:val="20"/>
              </w:rPr>
              <w:t xml:space="preserve">Directly and materially affected stakeholders – including producers, users, public interest groups, locally affected groups/persons, and others – were able to participate in the standard development </w:t>
            </w:r>
            <w:r w:rsidRPr="005613A7">
              <w:rPr>
                <w:rFonts w:asciiTheme="minorHAnsi" w:hAnsiTheme="minorHAnsi"/>
                <w:sz w:val="20"/>
                <w:szCs w:val="20"/>
              </w:rPr>
              <w:t xml:space="preserve">process in a </w:t>
            </w:r>
            <w:r w:rsidRPr="005613A7">
              <w:rPr>
                <w:rFonts w:asciiTheme="minorHAnsi" w:hAnsiTheme="minorHAnsi"/>
                <w:bCs/>
                <w:sz w:val="20"/>
                <w:szCs w:val="20"/>
              </w:rPr>
              <w:t>timely manner</w:t>
            </w:r>
            <w:r w:rsidRPr="005613A7">
              <w:rPr>
                <w:rStyle w:val="FootnoteReference"/>
                <w:rFonts w:asciiTheme="minorHAnsi" w:hAnsiTheme="minorHAnsi"/>
                <w:bCs/>
                <w:sz w:val="20"/>
                <w:szCs w:val="20"/>
              </w:rPr>
              <w:footnoteReference w:id="10"/>
            </w:r>
            <w:r w:rsidRPr="005613A7">
              <w:rPr>
                <w:rFonts w:asciiTheme="minorHAnsi" w:hAnsiTheme="minorHAnsi"/>
                <w:bCs/>
                <w:sz w:val="20"/>
                <w:szCs w:val="20"/>
              </w:rPr>
              <w:t xml:space="preserve"> including by </w:t>
            </w:r>
            <w:r w:rsidRPr="005613A7">
              <w:rPr>
                <w:rFonts w:asciiTheme="minorHAnsi" w:hAnsiTheme="minorHAnsi"/>
                <w:sz w:val="20"/>
                <w:szCs w:val="20"/>
              </w:rPr>
              <w:t>accessing draft standards documents, providing input to draft standards documents, receiving meaningful written response regarding how their input is acted on or not acted on, and</w:t>
            </w:r>
            <w:r w:rsidR="007C60F9">
              <w:rPr>
                <w:rFonts w:asciiTheme="minorHAnsi" w:hAnsiTheme="minorHAnsi"/>
                <w:sz w:val="20"/>
                <w:szCs w:val="20"/>
              </w:rPr>
              <w:t xml:space="preserve"> where voting/balloting is used,</w:t>
            </w:r>
            <w:r w:rsidRPr="005613A7">
              <w:rPr>
                <w:rFonts w:asciiTheme="minorHAnsi" w:hAnsiTheme="minorHAnsi"/>
                <w:sz w:val="20"/>
                <w:szCs w:val="20"/>
              </w:rPr>
              <w:t xml:space="preserve"> having their input </w:t>
            </w:r>
            <w:r w:rsidR="00B71D7B">
              <w:rPr>
                <w:rFonts w:asciiTheme="minorHAnsi" w:hAnsiTheme="minorHAnsi"/>
                <w:sz w:val="20"/>
                <w:szCs w:val="20"/>
              </w:rPr>
              <w:t xml:space="preserve">made available to the voting members and </w:t>
            </w:r>
            <w:r w:rsidRPr="005613A7">
              <w:rPr>
                <w:rFonts w:asciiTheme="minorHAnsi" w:hAnsiTheme="minorHAnsi"/>
                <w:sz w:val="20"/>
                <w:szCs w:val="20"/>
              </w:rPr>
              <w:t>considered</w:t>
            </w:r>
            <w:r w:rsidR="00B71D7B">
              <w:rPr>
                <w:rFonts w:asciiTheme="minorHAnsi" w:hAnsiTheme="minorHAnsi"/>
                <w:sz w:val="20"/>
                <w:szCs w:val="20"/>
              </w:rPr>
              <w:t xml:space="preserve"> before a final vote is taken on the standard</w:t>
            </w:r>
            <w:r w:rsidRPr="005613A7">
              <w:rPr>
                <w:rFonts w:asciiTheme="minorHAnsi" w:hAnsiTheme="minorHAnsi"/>
                <w:sz w:val="20"/>
                <w:szCs w:val="20"/>
              </w:rPr>
              <w:t>.</w:t>
            </w:r>
          </w:p>
          <w:p w14:paraId="18F137DA" w14:textId="77777777" w:rsidR="005B507C" w:rsidRPr="005613A7" w:rsidRDefault="005B507C" w:rsidP="001375D1">
            <w:pPr>
              <w:spacing w:after="0" w:line="240" w:lineRule="auto"/>
              <w:rPr>
                <w:rFonts w:asciiTheme="minorHAnsi" w:hAnsiTheme="minorHAnsi"/>
                <w:sz w:val="20"/>
                <w:szCs w:val="20"/>
              </w:rPr>
            </w:pPr>
          </w:p>
          <w:p w14:paraId="2E43100E"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Note: Participation does not necessarily include a voting role, but goes beyond public notification that a draft exists. </w:t>
            </w:r>
          </w:p>
          <w:p w14:paraId="4ED009E5" w14:textId="77777777" w:rsidR="005B507C" w:rsidRPr="005613A7" w:rsidRDefault="005B507C" w:rsidP="001375D1">
            <w:pPr>
              <w:spacing w:after="0" w:line="240" w:lineRule="auto"/>
              <w:rPr>
                <w:rFonts w:asciiTheme="minorHAnsi" w:hAnsiTheme="minorHAnsi"/>
                <w:bCs/>
                <w:sz w:val="20"/>
                <w:szCs w:val="20"/>
              </w:rPr>
            </w:pPr>
          </w:p>
          <w:p w14:paraId="7C02E40E"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C913D6E" w14:textId="77777777" w:rsidR="005B507C" w:rsidRPr="00B41BF5" w:rsidRDefault="005B507C"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I.1 Open Participation</w:t>
            </w:r>
          </w:p>
          <w:p w14:paraId="5AEE7595" w14:textId="40596435" w:rsidR="005B507C" w:rsidRPr="00B41BF5" w:rsidRDefault="005B507C"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I.5 Transparent</w:t>
            </w:r>
          </w:p>
          <w:p w14:paraId="0921C00E" w14:textId="77777777" w:rsidR="005B507C" w:rsidRPr="00B41BF5" w:rsidRDefault="005B507C" w:rsidP="001375D1">
            <w:pPr>
              <w:spacing w:after="0" w:line="240" w:lineRule="auto"/>
              <w:rPr>
                <w:rFonts w:asciiTheme="minorHAnsi" w:hAnsiTheme="minorHAnsi"/>
                <w:bCs/>
                <w:i/>
                <w:color w:val="2E74B5" w:themeColor="accent1" w:themeShade="BF"/>
                <w:sz w:val="20"/>
                <w:szCs w:val="20"/>
              </w:rPr>
            </w:pPr>
            <w:r w:rsidRPr="00B41BF5">
              <w:rPr>
                <w:rFonts w:asciiTheme="minorHAnsi" w:hAnsiTheme="minorHAnsi"/>
                <w:i/>
                <w:color w:val="2E74B5" w:themeColor="accent1" w:themeShade="BF"/>
                <w:sz w:val="20"/>
                <w:szCs w:val="20"/>
              </w:rPr>
              <w:t>I.6 Consideration of all viewpoints</w:t>
            </w:r>
          </w:p>
          <w:p w14:paraId="78F860B6" w14:textId="20CCF12E" w:rsidR="005B507C" w:rsidRPr="005613A7" w:rsidRDefault="005B507C" w:rsidP="001375D1">
            <w:pPr>
              <w:spacing w:after="0" w:line="240" w:lineRule="auto"/>
              <w:rPr>
                <w:rFonts w:asciiTheme="minorHAnsi" w:hAnsiTheme="minorHAnsi"/>
                <w:bCs/>
                <w:sz w:val="20"/>
                <w:szCs w:val="20"/>
              </w:rPr>
            </w:pPr>
          </w:p>
        </w:tc>
        <w:tc>
          <w:tcPr>
            <w:tcW w:w="4680" w:type="dxa"/>
            <w:vAlign w:val="center"/>
          </w:tcPr>
          <w:p w14:paraId="56EDB217" w14:textId="0886B263"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lastRenderedPageBreak/>
              <w:t>-</w:t>
            </w:r>
            <w:r w:rsidR="005B507C" w:rsidRPr="005613A7">
              <w:rPr>
                <w:rFonts w:asciiTheme="minorHAnsi" w:hAnsiTheme="minorHAnsi"/>
                <w:bCs/>
                <w:sz w:val="20"/>
                <w:szCs w:val="20"/>
              </w:rPr>
              <w:t>Instructions for accessing information on key activities.</w:t>
            </w:r>
          </w:p>
          <w:p w14:paraId="4E2F6632" w14:textId="3276431A"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Publicly accessible online postings of draft documents and comment periods. </w:t>
            </w:r>
          </w:p>
          <w:p w14:paraId="67B046E2" w14:textId="7DF90CB1"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Policy for a minimum number of days in a comment period.</w:t>
            </w:r>
          </w:p>
          <w:p w14:paraId="5FDF2434" w14:textId="5668D0BE"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Comments on draft documents received from stakeholders.</w:t>
            </w:r>
          </w:p>
          <w:p w14:paraId="0E7CD2A8" w14:textId="0E1CFF57"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Meeting minutes showing stakeholder participation.</w:t>
            </w:r>
          </w:p>
          <w:p w14:paraId="724F91B5" w14:textId="097C58D1"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Online posting of written comments.</w:t>
            </w:r>
          </w:p>
          <w:p w14:paraId="3700FBF2" w14:textId="026803D9"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Online posting of written responses to comments from the SDO.</w:t>
            </w:r>
          </w:p>
          <w:p w14:paraId="59F577C0" w14:textId="77777777"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Other evidence of stakeholder participation as supplied by SDO.</w:t>
            </w:r>
          </w:p>
          <w:p w14:paraId="65AA42DB" w14:textId="31F262CD" w:rsidR="0051749E" w:rsidRPr="0019094D" w:rsidRDefault="0051749E" w:rsidP="00EE7BB2">
            <w:pPr>
              <w:spacing w:after="0" w:line="240" w:lineRule="auto"/>
              <w:rPr>
                <w:rFonts w:asciiTheme="minorHAnsi" w:hAnsiTheme="minorHAnsi"/>
                <w:bCs/>
                <w:strike/>
                <w:sz w:val="20"/>
                <w:szCs w:val="20"/>
              </w:rPr>
            </w:pPr>
          </w:p>
        </w:tc>
      </w:tr>
      <w:tr w:rsidR="005B507C" w:rsidRPr="005613A7" w14:paraId="28158D6B" w14:textId="77777777" w:rsidTr="005B03D0">
        <w:trPr>
          <w:trHeight w:val="530"/>
        </w:trPr>
        <w:tc>
          <w:tcPr>
            <w:tcW w:w="607" w:type="dxa"/>
            <w:vAlign w:val="center"/>
          </w:tcPr>
          <w:p w14:paraId="27A64223" w14:textId="7B3DBD0E"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sz w:val="20"/>
                <w:szCs w:val="20"/>
              </w:rPr>
              <w:lastRenderedPageBreak/>
              <w:t>I.</w:t>
            </w:r>
            <w:r w:rsidR="002B2E63">
              <w:rPr>
                <w:rFonts w:asciiTheme="minorHAnsi" w:hAnsiTheme="minorHAnsi"/>
                <w:sz w:val="20"/>
                <w:szCs w:val="20"/>
              </w:rPr>
              <w:t>6</w:t>
            </w:r>
          </w:p>
        </w:tc>
        <w:tc>
          <w:tcPr>
            <w:tcW w:w="540" w:type="dxa"/>
            <w:vAlign w:val="center"/>
          </w:tcPr>
          <w:p w14:paraId="3043FDCD" w14:textId="343E6C91"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36B82F50"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Minutes of all committee and decision-making body meetings, comments and responses thereto, and complaints and appeals made during the standard development process were available to stakeholders for inspection in a timely manner. </w:t>
            </w:r>
          </w:p>
          <w:p w14:paraId="52FBD8E4" w14:textId="77777777" w:rsidR="00F04BCA" w:rsidRPr="005613A7" w:rsidRDefault="00F04BCA" w:rsidP="001375D1">
            <w:pPr>
              <w:spacing w:after="0" w:line="240" w:lineRule="auto"/>
              <w:rPr>
                <w:rFonts w:asciiTheme="minorHAnsi" w:hAnsiTheme="minorHAnsi"/>
                <w:bCs/>
                <w:sz w:val="20"/>
                <w:szCs w:val="20"/>
              </w:rPr>
            </w:pPr>
          </w:p>
          <w:p w14:paraId="5F2DD2F5"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B6CCFD8" w14:textId="104074A5" w:rsidR="00F04BCA" w:rsidRPr="00B41BF5" w:rsidRDefault="00F04BCA"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I.4 Progress/Updates are communicated</w:t>
            </w:r>
          </w:p>
          <w:p w14:paraId="004F664D" w14:textId="77777777" w:rsidR="0002241C" w:rsidRPr="00B41BF5" w:rsidRDefault="0002241C" w:rsidP="0002241C">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I.5 Transparent</w:t>
            </w:r>
          </w:p>
          <w:p w14:paraId="3B6C6715" w14:textId="59D7D456" w:rsidR="00F04BCA" w:rsidRPr="005613A7" w:rsidRDefault="00F04BCA" w:rsidP="001375D1">
            <w:pPr>
              <w:spacing w:after="0" w:line="240" w:lineRule="auto"/>
              <w:rPr>
                <w:rFonts w:asciiTheme="minorHAnsi" w:hAnsiTheme="minorHAnsi"/>
                <w:bCs/>
                <w:sz w:val="20"/>
                <w:szCs w:val="20"/>
              </w:rPr>
            </w:pPr>
          </w:p>
        </w:tc>
        <w:tc>
          <w:tcPr>
            <w:tcW w:w="4680" w:type="dxa"/>
            <w:vAlign w:val="center"/>
          </w:tcPr>
          <w:p w14:paraId="1709759D" w14:textId="1E102059"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Instructions for accessing information on key activities.</w:t>
            </w:r>
          </w:p>
          <w:p w14:paraId="674B6884" w14:textId="230D6C36" w:rsidR="005B507C" w:rsidRPr="005613A7" w:rsidRDefault="00BA3AA0"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Policy on posting meeting minutes, comments &amp; responses, complaints &amp; appeals.</w:t>
            </w:r>
          </w:p>
          <w:p w14:paraId="31604370" w14:textId="340972D2"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Meeting minutes of decision making body with documentation of prompt date of posting.</w:t>
            </w:r>
          </w:p>
          <w:p w14:paraId="2C1C7750" w14:textId="6986A7BF"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Complaints and appeals made. </w:t>
            </w:r>
          </w:p>
          <w:p w14:paraId="12305F81" w14:textId="77777777"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Comments and responses thereto posted publicly to the SDO/standards website.</w:t>
            </w:r>
          </w:p>
          <w:p w14:paraId="541A402D" w14:textId="77777777" w:rsidR="0051749E" w:rsidRDefault="0051749E" w:rsidP="001375D1">
            <w:pPr>
              <w:spacing w:after="0" w:line="240" w:lineRule="auto"/>
              <w:rPr>
                <w:rFonts w:asciiTheme="minorHAnsi" w:hAnsiTheme="minorHAnsi"/>
                <w:bCs/>
                <w:sz w:val="20"/>
                <w:szCs w:val="20"/>
              </w:rPr>
            </w:pPr>
          </w:p>
          <w:p w14:paraId="48BB60A7" w14:textId="37AEB4E0" w:rsidR="0051749E" w:rsidRPr="005613A7" w:rsidRDefault="00DA31F6" w:rsidP="00EC62E0">
            <w:pPr>
              <w:spacing w:after="0" w:line="240" w:lineRule="auto"/>
              <w:rPr>
                <w:rFonts w:asciiTheme="minorHAnsi" w:hAnsiTheme="minorHAnsi"/>
                <w:bCs/>
                <w:sz w:val="20"/>
                <w:szCs w:val="20"/>
              </w:rPr>
            </w:pPr>
            <w:r>
              <w:rPr>
                <w:rFonts w:asciiTheme="minorHAnsi" w:hAnsiTheme="minorHAnsi"/>
                <w:bCs/>
                <w:sz w:val="20"/>
                <w:szCs w:val="20"/>
              </w:rPr>
              <w:t xml:space="preserve">Or, where documentation cannot be located for standards developed prior to </w:t>
            </w:r>
            <w:r w:rsidR="00EC62E0" w:rsidRPr="0019094D">
              <w:rPr>
                <w:rFonts w:asciiTheme="minorHAnsi" w:hAnsiTheme="minorHAnsi"/>
                <w:bCs/>
                <w:sz w:val="20"/>
                <w:szCs w:val="20"/>
              </w:rPr>
              <w:t>2012</w:t>
            </w:r>
            <w:r>
              <w:rPr>
                <w:rFonts w:asciiTheme="minorHAnsi" w:hAnsiTheme="minorHAnsi"/>
                <w:bCs/>
                <w:sz w:val="20"/>
                <w:szCs w:val="20"/>
              </w:rPr>
              <w:t>, attestation by the SDO indicating the criteria was met.</w:t>
            </w:r>
          </w:p>
        </w:tc>
      </w:tr>
      <w:tr w:rsidR="005B507C" w:rsidRPr="005613A7" w14:paraId="5E09A3F3" w14:textId="77777777" w:rsidTr="005B03D0">
        <w:trPr>
          <w:trHeight w:val="530"/>
        </w:trPr>
        <w:tc>
          <w:tcPr>
            <w:tcW w:w="607" w:type="dxa"/>
            <w:vAlign w:val="center"/>
          </w:tcPr>
          <w:p w14:paraId="69912084" w14:textId="08C51D34" w:rsidR="005B507C" w:rsidRPr="005613A7" w:rsidRDefault="00063155" w:rsidP="001375D1">
            <w:pPr>
              <w:spacing w:after="0" w:line="240" w:lineRule="auto"/>
              <w:rPr>
                <w:rFonts w:asciiTheme="minorHAnsi" w:hAnsiTheme="minorHAnsi"/>
                <w:sz w:val="20"/>
                <w:szCs w:val="20"/>
              </w:rPr>
            </w:pPr>
            <w:r w:rsidRPr="005613A7">
              <w:rPr>
                <w:rFonts w:asciiTheme="minorHAnsi" w:hAnsiTheme="minorHAnsi"/>
                <w:sz w:val="20"/>
                <w:szCs w:val="20"/>
              </w:rPr>
              <w:t>I.</w:t>
            </w:r>
            <w:r w:rsidR="002B2E63">
              <w:rPr>
                <w:rFonts w:asciiTheme="minorHAnsi" w:hAnsiTheme="minorHAnsi"/>
                <w:sz w:val="20"/>
                <w:szCs w:val="20"/>
              </w:rPr>
              <w:t>7</w:t>
            </w:r>
          </w:p>
        </w:tc>
        <w:tc>
          <w:tcPr>
            <w:tcW w:w="540" w:type="dxa"/>
            <w:vAlign w:val="center"/>
          </w:tcPr>
          <w:p w14:paraId="7F9963CE" w14:textId="01D54118"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6A4DA59A"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A procedure or a policy ensures fair and equitable consideration of timely stakeholder input during the standard-development process</w:t>
            </w:r>
            <w:r w:rsidRPr="005613A7">
              <w:rPr>
                <w:rStyle w:val="FootnoteReference"/>
                <w:rFonts w:asciiTheme="minorHAnsi" w:hAnsiTheme="minorHAnsi"/>
                <w:bCs/>
                <w:sz w:val="20"/>
                <w:szCs w:val="20"/>
              </w:rPr>
              <w:footnoteReference w:id="11"/>
            </w:r>
            <w:r w:rsidRPr="005613A7">
              <w:rPr>
                <w:rFonts w:asciiTheme="minorHAnsi" w:hAnsiTheme="minorHAnsi"/>
                <w:bCs/>
                <w:sz w:val="20"/>
                <w:szCs w:val="20"/>
              </w:rPr>
              <w:t>. Input on the standard received was documented, adjudicated</w:t>
            </w:r>
            <w:r w:rsidRPr="005613A7">
              <w:rPr>
                <w:rStyle w:val="FootnoteReference"/>
                <w:rFonts w:asciiTheme="minorHAnsi" w:hAnsiTheme="minorHAnsi"/>
                <w:bCs/>
                <w:sz w:val="20"/>
                <w:szCs w:val="20"/>
              </w:rPr>
              <w:footnoteReference w:id="12"/>
            </w:r>
            <w:r w:rsidRPr="005613A7">
              <w:rPr>
                <w:rFonts w:asciiTheme="minorHAnsi" w:hAnsiTheme="minorHAnsi"/>
                <w:bCs/>
                <w:sz w:val="20"/>
                <w:szCs w:val="20"/>
              </w:rPr>
              <w:t>, and responded to by the SDO in accordance with its procedures.</w:t>
            </w:r>
          </w:p>
          <w:p w14:paraId="47BFD2E9" w14:textId="77777777" w:rsidR="00F04BCA" w:rsidRPr="005613A7" w:rsidRDefault="00F04BCA" w:rsidP="001375D1">
            <w:pPr>
              <w:spacing w:after="0" w:line="240" w:lineRule="auto"/>
              <w:rPr>
                <w:rFonts w:asciiTheme="minorHAnsi" w:hAnsiTheme="minorHAnsi"/>
                <w:i/>
                <w:sz w:val="20"/>
                <w:szCs w:val="20"/>
              </w:rPr>
            </w:pPr>
          </w:p>
          <w:p w14:paraId="35FDA849"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1A1D90E" w14:textId="77777777" w:rsidR="00F04BCA" w:rsidRPr="00B41BF5" w:rsidRDefault="00F04BCA"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I.5 Transparent</w:t>
            </w:r>
          </w:p>
          <w:p w14:paraId="6010B296" w14:textId="77777777" w:rsidR="00F04BCA" w:rsidRPr="00B41BF5" w:rsidRDefault="00F04BCA" w:rsidP="001375D1">
            <w:pPr>
              <w:spacing w:after="0" w:line="240" w:lineRule="auto"/>
              <w:rPr>
                <w:rFonts w:asciiTheme="minorHAnsi" w:hAnsiTheme="minorHAnsi"/>
                <w:bCs/>
                <w:i/>
                <w:color w:val="2E74B5" w:themeColor="accent1" w:themeShade="BF"/>
                <w:sz w:val="20"/>
                <w:szCs w:val="20"/>
              </w:rPr>
            </w:pPr>
            <w:r w:rsidRPr="00B41BF5">
              <w:rPr>
                <w:rFonts w:asciiTheme="minorHAnsi" w:hAnsiTheme="minorHAnsi"/>
                <w:i/>
                <w:color w:val="2E74B5" w:themeColor="accent1" w:themeShade="BF"/>
                <w:sz w:val="20"/>
                <w:szCs w:val="20"/>
              </w:rPr>
              <w:t>I.6 Consideration of all viewpoints</w:t>
            </w:r>
          </w:p>
          <w:p w14:paraId="3A96DFB4" w14:textId="6D2ED782" w:rsidR="00F04BCA" w:rsidRPr="005613A7" w:rsidRDefault="00F04BCA" w:rsidP="001375D1">
            <w:pPr>
              <w:spacing w:after="0" w:line="240" w:lineRule="auto"/>
              <w:rPr>
                <w:rFonts w:asciiTheme="minorHAnsi" w:hAnsiTheme="minorHAnsi"/>
                <w:bCs/>
                <w:sz w:val="20"/>
                <w:szCs w:val="20"/>
              </w:rPr>
            </w:pPr>
          </w:p>
        </w:tc>
        <w:tc>
          <w:tcPr>
            <w:tcW w:w="4680" w:type="dxa"/>
            <w:vAlign w:val="center"/>
          </w:tcPr>
          <w:p w14:paraId="509160D3" w14:textId="00511D87"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Policy/ procedure for ensuring stakeholder input during standards development process are fairly considered. </w:t>
            </w:r>
          </w:p>
          <w:p w14:paraId="4C54D1D7" w14:textId="1EC33826"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Access to all, but for assessment, review a sample of stakeholder comments and responses to comments on draft documents – direct responses to individuals or general responses to key themes.</w:t>
            </w:r>
          </w:p>
          <w:p w14:paraId="4DD47AD9" w14:textId="77777777" w:rsidR="005B507C" w:rsidRDefault="0012636C" w:rsidP="0012636C">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Other evidence of stakeholder participation as supplied by SDO</w:t>
            </w:r>
          </w:p>
          <w:p w14:paraId="4910DE9F" w14:textId="3AC51A8E" w:rsidR="0051749E" w:rsidRPr="0019094D" w:rsidRDefault="0051749E" w:rsidP="00EE7BB2">
            <w:pPr>
              <w:spacing w:after="0" w:line="240" w:lineRule="auto"/>
              <w:rPr>
                <w:rFonts w:asciiTheme="minorHAnsi" w:hAnsiTheme="minorHAnsi"/>
                <w:bCs/>
                <w:strike/>
                <w:sz w:val="20"/>
                <w:szCs w:val="20"/>
              </w:rPr>
            </w:pPr>
          </w:p>
        </w:tc>
      </w:tr>
      <w:tr w:rsidR="00F04BCA" w:rsidRPr="005613A7" w14:paraId="04705659" w14:textId="77777777" w:rsidTr="005B03D0">
        <w:trPr>
          <w:trHeight w:val="2954"/>
        </w:trPr>
        <w:tc>
          <w:tcPr>
            <w:tcW w:w="607" w:type="dxa"/>
            <w:vAlign w:val="center"/>
          </w:tcPr>
          <w:p w14:paraId="434BB7F3" w14:textId="06766975" w:rsidR="00F04BCA" w:rsidRPr="005613A7" w:rsidRDefault="00F04BCA" w:rsidP="001375D1">
            <w:pPr>
              <w:spacing w:after="0" w:line="240" w:lineRule="auto"/>
              <w:rPr>
                <w:rFonts w:asciiTheme="minorHAnsi" w:hAnsiTheme="minorHAnsi"/>
                <w:sz w:val="20"/>
                <w:szCs w:val="20"/>
              </w:rPr>
            </w:pPr>
            <w:r w:rsidRPr="005613A7">
              <w:rPr>
                <w:rFonts w:asciiTheme="minorHAnsi" w:hAnsiTheme="minorHAnsi"/>
                <w:sz w:val="20"/>
                <w:szCs w:val="20"/>
              </w:rPr>
              <w:t>I.</w:t>
            </w:r>
            <w:r w:rsidR="002B2E63">
              <w:rPr>
                <w:rFonts w:asciiTheme="minorHAnsi" w:hAnsiTheme="minorHAnsi"/>
                <w:sz w:val="20"/>
                <w:szCs w:val="20"/>
              </w:rPr>
              <w:t>8</w:t>
            </w:r>
          </w:p>
        </w:tc>
        <w:tc>
          <w:tcPr>
            <w:tcW w:w="540" w:type="dxa"/>
            <w:vAlign w:val="center"/>
          </w:tcPr>
          <w:p w14:paraId="14507E1D" w14:textId="77777777" w:rsidR="00F04BCA" w:rsidRPr="005613A7" w:rsidRDefault="00F04BCA" w:rsidP="001375D1">
            <w:pPr>
              <w:spacing w:after="0" w:line="240" w:lineRule="auto"/>
              <w:rPr>
                <w:rFonts w:asciiTheme="minorHAnsi" w:hAnsiTheme="minorHAnsi"/>
                <w:bCs/>
                <w:sz w:val="20"/>
                <w:szCs w:val="20"/>
              </w:rPr>
            </w:pPr>
            <w:r w:rsidRPr="005613A7">
              <w:rPr>
                <w:rFonts w:asciiTheme="minorHAnsi" w:hAnsiTheme="minorHAnsi"/>
                <w:bCs/>
                <w:sz w:val="20"/>
                <w:szCs w:val="20"/>
              </w:rPr>
              <w:t>L</w:t>
            </w:r>
          </w:p>
          <w:p w14:paraId="4ADCC124" w14:textId="336E88C1" w:rsidR="00F04BCA" w:rsidRPr="005613A7" w:rsidRDefault="00F04BCA" w:rsidP="001375D1">
            <w:pPr>
              <w:spacing w:after="0" w:line="240" w:lineRule="auto"/>
              <w:rPr>
                <w:rFonts w:asciiTheme="minorHAnsi" w:hAnsiTheme="minorHAnsi"/>
                <w:bCs/>
                <w:sz w:val="20"/>
                <w:szCs w:val="20"/>
              </w:rPr>
            </w:pPr>
          </w:p>
        </w:tc>
        <w:tc>
          <w:tcPr>
            <w:tcW w:w="5130" w:type="dxa"/>
            <w:vAlign w:val="center"/>
          </w:tcPr>
          <w:p w14:paraId="3F8A61E7" w14:textId="77777777" w:rsidR="00F04BCA" w:rsidRPr="005613A7" w:rsidRDefault="00F04BCA"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Option 1: There was no fee or travel requirement to participate in the development of the standard. </w:t>
            </w:r>
          </w:p>
          <w:p w14:paraId="61689C93" w14:textId="3ADABB20" w:rsidR="00F04BCA" w:rsidRPr="005613A7" w:rsidRDefault="00F04BCA" w:rsidP="001375D1">
            <w:pPr>
              <w:spacing w:after="0" w:line="240" w:lineRule="auto"/>
              <w:rPr>
                <w:rFonts w:asciiTheme="minorHAnsi" w:hAnsiTheme="minorHAnsi"/>
                <w:bCs/>
                <w:sz w:val="20"/>
                <w:szCs w:val="20"/>
              </w:rPr>
            </w:pPr>
            <w:r w:rsidRPr="005613A7">
              <w:rPr>
                <w:rFonts w:asciiTheme="minorHAnsi" w:hAnsiTheme="minorHAnsi"/>
                <w:bCs/>
                <w:sz w:val="20"/>
                <w:szCs w:val="20"/>
              </w:rPr>
              <w:t>OR</w:t>
            </w:r>
          </w:p>
          <w:p w14:paraId="471EDBE7" w14:textId="057211B2" w:rsidR="00F04BCA" w:rsidRPr="005613A7" w:rsidRDefault="00F04BCA"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Option 2: If there was a fee, it is minimal or offset by sliding scale for </w:t>
            </w:r>
            <w:r w:rsidR="00743DA6">
              <w:rPr>
                <w:rFonts w:asciiTheme="minorHAnsi" w:hAnsiTheme="minorHAnsi"/>
                <w:bCs/>
                <w:sz w:val="20"/>
                <w:szCs w:val="20"/>
              </w:rPr>
              <w:t>individual</w:t>
            </w:r>
            <w:r w:rsidRPr="005613A7">
              <w:rPr>
                <w:rFonts w:asciiTheme="minorHAnsi" w:hAnsiTheme="minorHAnsi"/>
                <w:bCs/>
                <w:sz w:val="20"/>
                <w:szCs w:val="20"/>
              </w:rPr>
              <w:t xml:space="preserve">/NGO/academic stakeholders. The SDO provided travel funds to hardship parties/stakeholders without financial means to attend in-person meetings, virtual access to meetings, fee waivers, and/or other mechanism to retain stakeholders’ ability to participate in standards activities. </w:t>
            </w:r>
          </w:p>
          <w:p w14:paraId="56AC84C6" w14:textId="77777777" w:rsidR="00F04BCA" w:rsidRPr="005613A7" w:rsidRDefault="00F04BCA" w:rsidP="001375D1">
            <w:pPr>
              <w:spacing w:after="0" w:line="240" w:lineRule="auto"/>
              <w:rPr>
                <w:rFonts w:asciiTheme="minorHAnsi" w:hAnsiTheme="minorHAnsi"/>
                <w:bCs/>
                <w:sz w:val="20"/>
                <w:szCs w:val="20"/>
              </w:rPr>
            </w:pPr>
          </w:p>
          <w:p w14:paraId="33DD317A" w14:textId="77777777"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1EA5015" w14:textId="2353BDAC" w:rsidR="00F04BCA" w:rsidRPr="005613A7" w:rsidRDefault="00F04BCA" w:rsidP="005B03D0">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I.1 Open Participation.</w:t>
            </w:r>
          </w:p>
        </w:tc>
        <w:tc>
          <w:tcPr>
            <w:tcW w:w="4680" w:type="dxa"/>
            <w:vAlign w:val="center"/>
          </w:tcPr>
          <w:p w14:paraId="0892DCAA" w14:textId="77777777" w:rsidR="00F04BCA" w:rsidRPr="005613A7" w:rsidRDefault="00F04BCA" w:rsidP="001375D1">
            <w:pPr>
              <w:spacing w:after="0" w:line="240" w:lineRule="auto"/>
              <w:rPr>
                <w:rFonts w:asciiTheme="minorHAnsi" w:hAnsiTheme="minorHAnsi"/>
                <w:bCs/>
                <w:sz w:val="20"/>
                <w:szCs w:val="20"/>
              </w:rPr>
            </w:pPr>
          </w:p>
          <w:p w14:paraId="352DCCC8" w14:textId="6A545267" w:rsidR="00F04BCA"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F04BCA" w:rsidRPr="005613A7">
              <w:rPr>
                <w:rFonts w:asciiTheme="minorHAnsi" w:hAnsiTheme="minorHAnsi"/>
                <w:bCs/>
                <w:sz w:val="20"/>
                <w:szCs w:val="20"/>
              </w:rPr>
              <w:t>Notification that participation is free.</w:t>
            </w:r>
          </w:p>
          <w:p w14:paraId="3915DE9C" w14:textId="454510A9" w:rsidR="00F04BCA"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-F</w:t>
            </w:r>
            <w:r w:rsidR="00F04BCA" w:rsidRPr="005613A7">
              <w:rPr>
                <w:rFonts w:asciiTheme="minorHAnsi" w:hAnsiTheme="minorHAnsi"/>
                <w:bCs/>
                <w:sz w:val="20"/>
                <w:szCs w:val="20"/>
              </w:rPr>
              <w:t>ee schedule showing sliding scale / waivers.</w:t>
            </w:r>
          </w:p>
          <w:p w14:paraId="7291E0C4" w14:textId="73B9EC4F" w:rsidR="00F04BCA"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F04BCA" w:rsidRPr="005613A7">
              <w:rPr>
                <w:rFonts w:asciiTheme="minorHAnsi" w:hAnsiTheme="minorHAnsi"/>
                <w:bCs/>
                <w:sz w:val="20"/>
                <w:szCs w:val="20"/>
              </w:rPr>
              <w:t>Travel funds policy.</w:t>
            </w:r>
          </w:p>
          <w:p w14:paraId="05281F28" w14:textId="568E80E8" w:rsidR="00F04BCA" w:rsidRPr="005613A7" w:rsidRDefault="0012636C" w:rsidP="0012636C">
            <w:pPr>
              <w:spacing w:after="0" w:line="240" w:lineRule="auto"/>
              <w:rPr>
                <w:rFonts w:asciiTheme="minorHAnsi" w:hAnsiTheme="minorHAnsi"/>
                <w:bCs/>
                <w:sz w:val="20"/>
                <w:szCs w:val="20"/>
              </w:rPr>
            </w:pPr>
            <w:r>
              <w:rPr>
                <w:rFonts w:asciiTheme="minorHAnsi" w:hAnsiTheme="minorHAnsi"/>
                <w:bCs/>
                <w:sz w:val="20"/>
                <w:szCs w:val="20"/>
              </w:rPr>
              <w:t>-</w:t>
            </w:r>
            <w:r w:rsidR="00F04BCA" w:rsidRPr="005613A7">
              <w:rPr>
                <w:rFonts w:asciiTheme="minorHAnsi" w:hAnsiTheme="minorHAnsi"/>
                <w:bCs/>
                <w:sz w:val="20"/>
                <w:szCs w:val="20"/>
              </w:rPr>
              <w:t>Evidence of virtual access to meetings (e.g. webinar recordings, conference call lines)</w:t>
            </w:r>
          </w:p>
        </w:tc>
      </w:tr>
      <w:tr w:rsidR="005B507C" w:rsidRPr="005613A7" w14:paraId="4ADD2295" w14:textId="77777777" w:rsidTr="005B03D0">
        <w:trPr>
          <w:trHeight w:val="530"/>
        </w:trPr>
        <w:tc>
          <w:tcPr>
            <w:tcW w:w="607" w:type="dxa"/>
            <w:vAlign w:val="center"/>
          </w:tcPr>
          <w:p w14:paraId="08657386" w14:textId="63907A85"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t>I.</w:t>
            </w:r>
            <w:r w:rsidR="00743DA6">
              <w:rPr>
                <w:rFonts w:asciiTheme="minorHAnsi" w:hAnsiTheme="minorHAnsi"/>
                <w:sz w:val="20"/>
                <w:szCs w:val="20"/>
              </w:rPr>
              <w:t>9</w:t>
            </w:r>
          </w:p>
        </w:tc>
        <w:tc>
          <w:tcPr>
            <w:tcW w:w="540" w:type="dxa"/>
            <w:vAlign w:val="center"/>
          </w:tcPr>
          <w:p w14:paraId="370D7F1F" w14:textId="60AD9369" w:rsidR="005B507C" w:rsidRPr="005613A7" w:rsidRDefault="00FD0BD7" w:rsidP="001375D1">
            <w:pPr>
              <w:spacing w:after="0" w:line="240" w:lineRule="auto"/>
              <w:rPr>
                <w:rFonts w:asciiTheme="minorHAnsi" w:hAnsiTheme="minorHAnsi"/>
                <w:bCs/>
                <w:color w:val="FF0000"/>
                <w:sz w:val="20"/>
                <w:szCs w:val="20"/>
              </w:rPr>
            </w:pPr>
            <w:r>
              <w:rPr>
                <w:rFonts w:asciiTheme="minorHAnsi" w:hAnsiTheme="minorHAnsi"/>
                <w:bCs/>
                <w:sz w:val="20"/>
                <w:szCs w:val="20"/>
              </w:rPr>
              <w:t>L</w:t>
            </w:r>
          </w:p>
        </w:tc>
        <w:tc>
          <w:tcPr>
            <w:tcW w:w="5130" w:type="dxa"/>
            <w:vAlign w:val="center"/>
          </w:tcPr>
          <w:p w14:paraId="0F91080B" w14:textId="196D0CC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Membership of the decision-making body was not unreasonably restricted on the basis of technical qualifications</w:t>
            </w:r>
            <w:r w:rsidR="005413C3">
              <w:rPr>
                <w:rFonts w:asciiTheme="minorHAnsi" w:hAnsiTheme="minorHAnsi"/>
                <w:bCs/>
                <w:sz w:val="20"/>
                <w:szCs w:val="20"/>
              </w:rPr>
              <w:t xml:space="preserve"> or other such requirements</w:t>
            </w:r>
            <w:r w:rsidR="001B4487">
              <w:rPr>
                <w:rFonts w:asciiTheme="minorHAnsi" w:hAnsiTheme="minorHAnsi"/>
                <w:bCs/>
                <w:sz w:val="20"/>
                <w:szCs w:val="20"/>
              </w:rPr>
              <w:t xml:space="preserve"> (e.g., membership in an organization)</w:t>
            </w:r>
            <w:r w:rsidR="005413C3">
              <w:rPr>
                <w:rFonts w:asciiTheme="minorHAnsi" w:hAnsiTheme="minorHAnsi"/>
                <w:bCs/>
                <w:sz w:val="20"/>
                <w:szCs w:val="20"/>
              </w:rPr>
              <w:t>.</w:t>
            </w:r>
            <w:r w:rsidRPr="005613A7">
              <w:rPr>
                <w:rFonts w:asciiTheme="minorHAnsi" w:hAnsiTheme="minorHAnsi"/>
                <w:bCs/>
                <w:sz w:val="20"/>
                <w:szCs w:val="20"/>
              </w:rPr>
              <w:t xml:space="preserve"> </w:t>
            </w:r>
            <w:r w:rsidR="005413C3">
              <w:rPr>
                <w:rFonts w:asciiTheme="minorHAnsi" w:hAnsiTheme="minorHAnsi"/>
                <w:bCs/>
                <w:sz w:val="20"/>
                <w:szCs w:val="20"/>
              </w:rPr>
              <w:t>R</w:t>
            </w:r>
            <w:r w:rsidRPr="005613A7">
              <w:rPr>
                <w:rFonts w:asciiTheme="minorHAnsi" w:hAnsiTheme="minorHAnsi"/>
                <w:bCs/>
                <w:sz w:val="20"/>
                <w:szCs w:val="20"/>
              </w:rPr>
              <w:t>estrictions for the purposes of achieving a predefined target size of the body, achieving a balance of stakeholders, and engaging diverse expertise</w:t>
            </w:r>
            <w:r w:rsidR="005413C3">
              <w:rPr>
                <w:rFonts w:asciiTheme="minorHAnsi" w:hAnsiTheme="minorHAnsi"/>
                <w:bCs/>
                <w:sz w:val="20"/>
                <w:szCs w:val="20"/>
              </w:rPr>
              <w:t xml:space="preserve"> shall be considered reasonable restrictions</w:t>
            </w:r>
            <w:r w:rsidRPr="005613A7">
              <w:rPr>
                <w:rFonts w:asciiTheme="minorHAnsi" w:hAnsiTheme="minorHAnsi"/>
                <w:bCs/>
                <w:sz w:val="20"/>
                <w:szCs w:val="20"/>
              </w:rPr>
              <w:t>.</w:t>
            </w:r>
          </w:p>
          <w:p w14:paraId="2B305874" w14:textId="77777777" w:rsidR="00F04BCA" w:rsidRPr="005613A7" w:rsidRDefault="00F04BCA" w:rsidP="001375D1">
            <w:pPr>
              <w:spacing w:after="0" w:line="240" w:lineRule="auto"/>
              <w:rPr>
                <w:rFonts w:asciiTheme="minorHAnsi" w:hAnsiTheme="minorHAnsi"/>
                <w:bCs/>
                <w:sz w:val="20"/>
                <w:szCs w:val="20"/>
              </w:rPr>
            </w:pPr>
          </w:p>
          <w:p w14:paraId="49EE4AC3" w14:textId="33391D3A" w:rsidR="00F04BCA" w:rsidRPr="00B41BF5" w:rsidRDefault="00F04BCA"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BD29EE2" w14:textId="70C6CA2F" w:rsidR="00F04BCA" w:rsidRPr="005613A7" w:rsidRDefault="00F04BCA" w:rsidP="002B2E6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I.3 Reasonable voting qualifications</w:t>
            </w:r>
          </w:p>
        </w:tc>
        <w:tc>
          <w:tcPr>
            <w:tcW w:w="4680" w:type="dxa"/>
            <w:vAlign w:val="center"/>
          </w:tcPr>
          <w:p w14:paraId="358B3D8A" w14:textId="46856E7A"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Roster of voting members of decision- making body. </w:t>
            </w:r>
          </w:p>
          <w:p w14:paraId="4972B5E1" w14:textId="05BE41B6" w:rsidR="005B507C" w:rsidRPr="005613A7" w:rsidRDefault="0012636C" w:rsidP="0012636C">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List of restrictions (if any) on voting membership of decision-making body. Explanation as to why they are reasonable.</w:t>
            </w:r>
          </w:p>
        </w:tc>
      </w:tr>
      <w:tr w:rsidR="005B507C" w:rsidRPr="005613A7" w14:paraId="7520F2FF" w14:textId="77777777" w:rsidTr="005B03D0">
        <w:trPr>
          <w:trHeight w:val="395"/>
        </w:trPr>
        <w:tc>
          <w:tcPr>
            <w:tcW w:w="607" w:type="dxa"/>
            <w:vAlign w:val="center"/>
          </w:tcPr>
          <w:p w14:paraId="30AD5943" w14:textId="38B92685"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lastRenderedPageBreak/>
              <w:t>1.</w:t>
            </w:r>
            <w:r w:rsidR="00743DA6">
              <w:rPr>
                <w:rFonts w:asciiTheme="minorHAnsi" w:hAnsiTheme="minorHAnsi"/>
                <w:sz w:val="20"/>
                <w:szCs w:val="20"/>
              </w:rPr>
              <w:t>10</w:t>
            </w:r>
          </w:p>
        </w:tc>
        <w:tc>
          <w:tcPr>
            <w:tcW w:w="540" w:type="dxa"/>
            <w:vAlign w:val="center"/>
          </w:tcPr>
          <w:p w14:paraId="05461A76" w14:textId="008AA6A8" w:rsidR="005B507C" w:rsidRPr="005613A7" w:rsidRDefault="00743DA6" w:rsidP="001375D1">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21E7F24C" w14:textId="4F5CE036"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The SDO achieved a balance of interest in the decision-making body by ensuring that no single interest category constituted more than a one-third (33%) of the membership of that body</w:t>
            </w:r>
            <w:r w:rsidR="005413C3">
              <w:rPr>
                <w:rFonts w:asciiTheme="minorHAnsi" w:hAnsiTheme="minorHAnsi"/>
                <w:bCs/>
                <w:sz w:val="20"/>
                <w:szCs w:val="20"/>
              </w:rPr>
              <w:t xml:space="preserve"> if there are 4 or more interest categories, or 40% of the </w:t>
            </w:r>
            <w:r w:rsidR="005413C3" w:rsidRPr="00E31C52">
              <w:rPr>
                <w:rFonts w:asciiTheme="minorHAnsi" w:hAnsiTheme="minorHAnsi"/>
                <w:bCs/>
                <w:sz w:val="20"/>
                <w:szCs w:val="20"/>
              </w:rPr>
              <w:t>membership if there are</w:t>
            </w:r>
            <w:r w:rsidR="005413C3" w:rsidRPr="00C54864">
              <w:rPr>
                <w:rFonts w:asciiTheme="minorHAnsi" w:hAnsiTheme="minorHAnsi"/>
                <w:bCs/>
                <w:sz w:val="20"/>
                <w:szCs w:val="20"/>
              </w:rPr>
              <w:t xml:space="preserve"> 3 designated interest categories.</w:t>
            </w:r>
            <w:r w:rsidRPr="005613A7">
              <w:rPr>
                <w:rStyle w:val="FootnoteReference"/>
                <w:rFonts w:asciiTheme="minorHAnsi" w:hAnsiTheme="minorHAnsi"/>
                <w:bCs/>
                <w:sz w:val="20"/>
                <w:szCs w:val="20"/>
              </w:rPr>
              <w:t xml:space="preserve"> </w:t>
            </w:r>
            <w:r w:rsidRPr="005613A7">
              <w:rPr>
                <w:rStyle w:val="FootnoteReference"/>
                <w:rFonts w:asciiTheme="minorHAnsi" w:hAnsiTheme="minorHAnsi"/>
                <w:bCs/>
                <w:sz w:val="20"/>
                <w:szCs w:val="20"/>
              </w:rPr>
              <w:footnoteReference w:id="13"/>
            </w:r>
          </w:p>
          <w:p w14:paraId="547C0E88" w14:textId="77777777" w:rsidR="00063155" w:rsidRPr="005613A7" w:rsidRDefault="00063155" w:rsidP="001375D1">
            <w:pPr>
              <w:spacing w:after="0" w:line="240" w:lineRule="auto"/>
              <w:rPr>
                <w:rFonts w:asciiTheme="minorHAnsi" w:hAnsiTheme="minorHAnsi"/>
                <w:i/>
                <w:sz w:val="20"/>
                <w:szCs w:val="20"/>
              </w:rPr>
            </w:pPr>
          </w:p>
          <w:p w14:paraId="277ACBDA"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6D71E067" w14:textId="15476BEE" w:rsidR="00063155" w:rsidRPr="005613A7" w:rsidRDefault="00063155" w:rsidP="002B2E6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I.7 Diversity of Interests</w:t>
            </w:r>
          </w:p>
        </w:tc>
        <w:tc>
          <w:tcPr>
            <w:tcW w:w="4680" w:type="dxa"/>
            <w:vAlign w:val="center"/>
          </w:tcPr>
          <w:p w14:paraId="44BAD0D2" w14:textId="6EEB923F"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Guidelines/Policy for balance of interest in forming decision-making body parallel with ANSI Essential Requirements 1.3 and 2.3.</w:t>
            </w:r>
          </w:p>
          <w:p w14:paraId="7F1A8E9C" w14:textId="5398D614"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Documentation that no more than 1/3 of decision-making body is from one interest category</w:t>
            </w:r>
            <w:r w:rsidR="005413C3">
              <w:rPr>
                <w:rFonts w:asciiTheme="minorHAnsi" w:hAnsiTheme="minorHAnsi"/>
                <w:bCs/>
                <w:sz w:val="20"/>
                <w:szCs w:val="20"/>
              </w:rPr>
              <w:t>, or 40% if there are only 3 interest categories</w:t>
            </w:r>
            <w:r w:rsidR="005B507C" w:rsidRPr="005613A7">
              <w:rPr>
                <w:rFonts w:asciiTheme="minorHAnsi" w:hAnsiTheme="minorHAnsi"/>
                <w:bCs/>
                <w:sz w:val="20"/>
                <w:szCs w:val="20"/>
              </w:rPr>
              <w:t>.</w:t>
            </w:r>
          </w:p>
          <w:p w14:paraId="360FC43A" w14:textId="41A5D5FD" w:rsidR="005B507C" w:rsidRPr="005613A7" w:rsidRDefault="005B507C" w:rsidP="001375D1">
            <w:pPr>
              <w:spacing w:after="0" w:line="240" w:lineRule="auto"/>
              <w:rPr>
                <w:rFonts w:asciiTheme="minorHAnsi" w:hAnsiTheme="minorHAnsi"/>
                <w:bCs/>
                <w:sz w:val="20"/>
                <w:szCs w:val="20"/>
              </w:rPr>
            </w:pPr>
          </w:p>
        </w:tc>
      </w:tr>
      <w:tr w:rsidR="005B507C" w:rsidRPr="005613A7" w14:paraId="2B075E12" w14:textId="77777777" w:rsidTr="005B03D0">
        <w:trPr>
          <w:trHeight w:val="395"/>
        </w:trPr>
        <w:tc>
          <w:tcPr>
            <w:tcW w:w="607" w:type="dxa"/>
            <w:vAlign w:val="center"/>
          </w:tcPr>
          <w:p w14:paraId="6D7093FE" w14:textId="7CA928AE"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sz w:val="20"/>
                <w:szCs w:val="20"/>
              </w:rPr>
              <w:t>I.</w:t>
            </w:r>
            <w:r w:rsidR="002B2E63">
              <w:rPr>
                <w:rFonts w:asciiTheme="minorHAnsi" w:hAnsiTheme="minorHAnsi"/>
                <w:sz w:val="20"/>
                <w:szCs w:val="20"/>
              </w:rPr>
              <w:t>1</w:t>
            </w:r>
            <w:r w:rsidR="00743DA6">
              <w:rPr>
                <w:rFonts w:asciiTheme="minorHAnsi" w:hAnsiTheme="minorHAnsi"/>
                <w:sz w:val="20"/>
                <w:szCs w:val="20"/>
              </w:rPr>
              <w:t>1</w:t>
            </w:r>
          </w:p>
        </w:tc>
        <w:tc>
          <w:tcPr>
            <w:tcW w:w="540" w:type="dxa"/>
            <w:vAlign w:val="center"/>
          </w:tcPr>
          <w:p w14:paraId="12EA6353" w14:textId="7B125CE5" w:rsidR="005B507C" w:rsidRPr="005613A7" w:rsidRDefault="00EC62E0" w:rsidP="001375D1">
            <w:pPr>
              <w:spacing w:after="0" w:line="240" w:lineRule="auto"/>
              <w:rPr>
                <w:rFonts w:asciiTheme="minorHAnsi" w:hAnsiTheme="minorHAnsi"/>
                <w:bCs/>
                <w:sz w:val="20"/>
                <w:szCs w:val="20"/>
              </w:rPr>
            </w:pPr>
            <w:r w:rsidRPr="0019094D">
              <w:rPr>
                <w:rFonts w:asciiTheme="minorHAnsi" w:hAnsiTheme="minorHAnsi"/>
                <w:bCs/>
                <w:sz w:val="20"/>
                <w:szCs w:val="20"/>
              </w:rPr>
              <w:t>B</w:t>
            </w:r>
          </w:p>
        </w:tc>
        <w:tc>
          <w:tcPr>
            <w:tcW w:w="5130" w:type="dxa"/>
            <w:vAlign w:val="center"/>
          </w:tcPr>
          <w:p w14:paraId="4B30E141" w14:textId="77777777" w:rsidR="005B507C" w:rsidRPr="005613A7" w:rsidRDefault="005B507C" w:rsidP="001375D1">
            <w:pPr>
              <w:spacing w:after="0" w:line="240" w:lineRule="auto"/>
              <w:rPr>
                <w:rFonts w:asciiTheme="minorHAnsi" w:hAnsiTheme="minorHAnsi"/>
                <w:sz w:val="20"/>
                <w:szCs w:val="20"/>
              </w:rPr>
            </w:pPr>
            <w:r w:rsidRPr="005613A7">
              <w:rPr>
                <w:rFonts w:asciiTheme="minorHAnsi" w:hAnsiTheme="minorHAnsi"/>
                <w:sz w:val="20"/>
                <w:szCs w:val="20"/>
              </w:rPr>
              <w:t>Decision making procedures/guidance ensured that no single interest category or organization can dominate</w:t>
            </w:r>
            <w:r w:rsidRPr="005613A7">
              <w:rPr>
                <w:rStyle w:val="FootnoteReference"/>
                <w:rFonts w:asciiTheme="minorHAnsi" w:hAnsiTheme="minorHAnsi"/>
                <w:sz w:val="20"/>
                <w:szCs w:val="20"/>
              </w:rPr>
              <w:footnoteReference w:id="14"/>
            </w:r>
            <w:r w:rsidRPr="005613A7">
              <w:rPr>
                <w:rFonts w:asciiTheme="minorHAnsi" w:hAnsiTheme="minorHAnsi"/>
                <w:sz w:val="20"/>
                <w:szCs w:val="20"/>
              </w:rPr>
              <w:t xml:space="preserve"> resolutions made by the decision-making body.</w:t>
            </w:r>
          </w:p>
          <w:p w14:paraId="2D3E5FC5" w14:textId="77777777" w:rsidR="00063155" w:rsidRPr="005613A7" w:rsidRDefault="00063155" w:rsidP="001375D1">
            <w:pPr>
              <w:spacing w:after="0" w:line="240" w:lineRule="auto"/>
              <w:rPr>
                <w:rFonts w:asciiTheme="minorHAnsi" w:hAnsiTheme="minorHAnsi"/>
                <w:sz w:val="20"/>
                <w:szCs w:val="20"/>
              </w:rPr>
            </w:pPr>
          </w:p>
          <w:p w14:paraId="4CECC449"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4F117EE" w14:textId="090DA5F5" w:rsidR="00063155" w:rsidRPr="005613A7" w:rsidRDefault="00063155" w:rsidP="001375D1">
            <w:pPr>
              <w:spacing w:after="0" w:line="240" w:lineRule="auto"/>
              <w:rPr>
                <w:rFonts w:asciiTheme="minorHAnsi" w:hAnsiTheme="minorHAnsi"/>
                <w:b/>
                <w:bCs/>
                <w:sz w:val="20"/>
                <w:szCs w:val="20"/>
              </w:rPr>
            </w:pPr>
            <w:r w:rsidRPr="00B41BF5">
              <w:rPr>
                <w:rFonts w:asciiTheme="minorHAnsi" w:hAnsiTheme="minorHAnsi"/>
                <w:i/>
                <w:color w:val="2E74B5" w:themeColor="accent1" w:themeShade="BF"/>
                <w:sz w:val="20"/>
                <w:szCs w:val="20"/>
              </w:rPr>
              <w:t>1.x Lack of Dominance</w:t>
            </w:r>
            <w:r w:rsidR="00B66E62">
              <w:rPr>
                <w:rFonts w:asciiTheme="minorHAnsi" w:hAnsiTheme="minorHAnsi"/>
                <w:i/>
                <w:color w:val="2E74B5" w:themeColor="accent1" w:themeShade="BF"/>
                <w:sz w:val="20"/>
                <w:szCs w:val="20"/>
              </w:rPr>
              <w:t xml:space="preserve">  [SUBMITTED FROM GC MEMBER ON V2.0]</w:t>
            </w:r>
          </w:p>
        </w:tc>
        <w:tc>
          <w:tcPr>
            <w:tcW w:w="4680" w:type="dxa"/>
            <w:vAlign w:val="center"/>
          </w:tcPr>
          <w:p w14:paraId="13A84186" w14:textId="58AD25AF"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Guidelines/procedures that reflect that no interest category or organization can dominate decision-making. </w:t>
            </w:r>
          </w:p>
          <w:p w14:paraId="4FCCAAE3" w14:textId="5890F812"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Evidence that no directly and materially affected party has submitted a written complaint about dominance (see ANSI Essential Procedures Section 2.2)</w:t>
            </w:r>
          </w:p>
          <w:p w14:paraId="51034BEA" w14:textId="4C89A56D"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Evidence that guidance/ procedure was followed; e.g. voting records on key decisions.</w:t>
            </w:r>
          </w:p>
          <w:p w14:paraId="7E27E206" w14:textId="579C2D19" w:rsidR="005B507C" w:rsidRPr="005613A7" w:rsidRDefault="0012636C" w:rsidP="001375D1">
            <w:pPr>
              <w:spacing w:after="0" w:line="240" w:lineRule="auto"/>
              <w:rPr>
                <w:rFonts w:asciiTheme="minorHAnsi" w:hAnsiTheme="minorHAnsi"/>
                <w:b/>
                <w:bCs/>
                <w:sz w:val="20"/>
                <w:szCs w:val="20"/>
              </w:rPr>
            </w:pPr>
            <w:r>
              <w:rPr>
                <w:rFonts w:asciiTheme="minorHAnsi" w:hAnsiTheme="minorHAnsi"/>
                <w:bCs/>
                <w:sz w:val="20"/>
                <w:szCs w:val="20"/>
              </w:rPr>
              <w:t>-</w:t>
            </w:r>
            <w:r w:rsidR="005B507C" w:rsidRPr="005613A7">
              <w:rPr>
                <w:rFonts w:asciiTheme="minorHAnsi" w:hAnsiTheme="minorHAnsi"/>
                <w:bCs/>
                <w:sz w:val="20"/>
                <w:szCs w:val="20"/>
              </w:rPr>
              <w:t>Policy references or parallels ANSI Essential Requirements “Lack of Dominance” criteria at 1.2 and 2.2: “The standards development process shall not be dominated by any single interest category, individual or organization. Dominance means a position or exercise of dominant authority, leadership, or influence by reason of superior leverage, strength, or representation to the exclusion of fair and equitable consideration of other viewpoints.”</w:t>
            </w:r>
          </w:p>
        </w:tc>
      </w:tr>
      <w:tr w:rsidR="005B507C" w:rsidRPr="005613A7" w14:paraId="23D8A5C3" w14:textId="77777777" w:rsidTr="005B03D0">
        <w:trPr>
          <w:trHeight w:val="395"/>
        </w:trPr>
        <w:tc>
          <w:tcPr>
            <w:tcW w:w="607" w:type="dxa"/>
            <w:vAlign w:val="center"/>
          </w:tcPr>
          <w:p w14:paraId="18F76D94" w14:textId="62282FDB"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t>I.</w:t>
            </w:r>
            <w:r w:rsidR="00743DA6">
              <w:rPr>
                <w:rFonts w:asciiTheme="minorHAnsi" w:hAnsiTheme="minorHAnsi"/>
                <w:sz w:val="20"/>
                <w:szCs w:val="20"/>
              </w:rPr>
              <w:t>12</w:t>
            </w:r>
          </w:p>
        </w:tc>
        <w:tc>
          <w:tcPr>
            <w:tcW w:w="540" w:type="dxa"/>
            <w:vAlign w:val="center"/>
          </w:tcPr>
          <w:p w14:paraId="6733815C" w14:textId="6DB2FF05" w:rsidR="005B507C" w:rsidRPr="005613A7" w:rsidRDefault="00FD0BD7" w:rsidP="001375D1">
            <w:pPr>
              <w:spacing w:after="0" w:line="240" w:lineRule="auto"/>
              <w:rPr>
                <w:rFonts w:asciiTheme="minorHAnsi" w:hAnsiTheme="minorHAnsi"/>
                <w:bCs/>
                <w:color w:val="FF0000"/>
                <w:sz w:val="20"/>
                <w:szCs w:val="20"/>
              </w:rPr>
            </w:pPr>
            <w:r>
              <w:rPr>
                <w:rFonts w:asciiTheme="minorHAnsi" w:hAnsiTheme="minorHAnsi"/>
                <w:bCs/>
                <w:sz w:val="20"/>
                <w:szCs w:val="20"/>
              </w:rPr>
              <w:t>B</w:t>
            </w:r>
          </w:p>
        </w:tc>
        <w:tc>
          <w:tcPr>
            <w:tcW w:w="5130" w:type="dxa"/>
            <w:vAlign w:val="center"/>
          </w:tcPr>
          <w:p w14:paraId="3DF681E9" w14:textId="2A06A640"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Standards Development Organization has a conflicts of interest</w:t>
            </w:r>
            <w:r w:rsidRPr="005613A7">
              <w:rPr>
                <w:rStyle w:val="FootnoteReference"/>
                <w:rFonts w:asciiTheme="minorHAnsi" w:hAnsiTheme="minorHAnsi"/>
                <w:bCs/>
                <w:sz w:val="20"/>
                <w:szCs w:val="20"/>
              </w:rPr>
              <w:footnoteReference w:id="15"/>
            </w:r>
            <w:r w:rsidRPr="005613A7">
              <w:rPr>
                <w:rFonts w:asciiTheme="minorHAnsi" w:hAnsiTheme="minorHAnsi"/>
                <w:bCs/>
                <w:sz w:val="20"/>
                <w:szCs w:val="20"/>
              </w:rPr>
              <w:t xml:space="preserve"> policy or procedure that addresses potential conflicts of interest and in particular, that funding sources for standards development are fully disclosed.</w:t>
            </w:r>
          </w:p>
          <w:p w14:paraId="6629210E" w14:textId="77777777" w:rsidR="005B507C" w:rsidRPr="005613A7" w:rsidRDefault="005B507C" w:rsidP="001375D1">
            <w:pPr>
              <w:spacing w:after="0" w:line="240" w:lineRule="auto"/>
              <w:rPr>
                <w:rFonts w:asciiTheme="minorHAnsi" w:hAnsiTheme="minorHAnsi"/>
                <w:bCs/>
                <w:sz w:val="20"/>
                <w:szCs w:val="20"/>
              </w:rPr>
            </w:pPr>
          </w:p>
          <w:p w14:paraId="11C9E490" w14:textId="0C6DEE7D" w:rsidR="005B507C"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If significant external funding is made by one or more parties to support standard development, the SDO shall put in place supplemental procedures to ensure that no domination occurs and balance of interests is respected in the standard development process.</w:t>
            </w:r>
          </w:p>
          <w:p w14:paraId="53D7E804" w14:textId="77777777" w:rsidR="002E7872" w:rsidRPr="005613A7" w:rsidRDefault="002E7872" w:rsidP="001375D1">
            <w:pPr>
              <w:spacing w:after="0" w:line="240" w:lineRule="auto"/>
              <w:rPr>
                <w:rFonts w:asciiTheme="minorHAnsi" w:hAnsiTheme="minorHAnsi"/>
                <w:bCs/>
                <w:sz w:val="20"/>
                <w:szCs w:val="20"/>
              </w:rPr>
            </w:pPr>
          </w:p>
          <w:p w14:paraId="09522B9A"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lastRenderedPageBreak/>
              <w:t>“Significant funding” shall mean more than $10,000 or its in-kind equivalent, or 20% or more of the anticipated funding needs of the SDO for standard development.</w:t>
            </w:r>
          </w:p>
          <w:p w14:paraId="2863610B"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3AEC6E17" w14:textId="77777777"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I.5 Transparent</w:t>
            </w:r>
          </w:p>
          <w:p w14:paraId="34E2992B" w14:textId="198D43EC" w:rsidR="005B507C" w:rsidRPr="005613A7" w:rsidRDefault="00063155" w:rsidP="001375D1">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1.x Lack of Dominance</w:t>
            </w:r>
            <w:r w:rsidR="00B66E62">
              <w:rPr>
                <w:rFonts w:asciiTheme="minorHAnsi" w:hAnsiTheme="minorHAnsi"/>
                <w:i/>
                <w:color w:val="2E74B5" w:themeColor="accent1" w:themeShade="BF"/>
                <w:sz w:val="20"/>
                <w:szCs w:val="20"/>
              </w:rPr>
              <w:t xml:space="preserve">  [SUBMITTED FROM GC MEMBER ON V2.0]</w:t>
            </w:r>
          </w:p>
        </w:tc>
        <w:tc>
          <w:tcPr>
            <w:tcW w:w="4680" w:type="dxa"/>
            <w:vAlign w:val="center"/>
          </w:tcPr>
          <w:p w14:paraId="67E07CAA" w14:textId="1D7B0481"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lastRenderedPageBreak/>
              <w:t>-</w:t>
            </w:r>
            <w:r w:rsidR="005B507C" w:rsidRPr="005613A7">
              <w:rPr>
                <w:rFonts w:asciiTheme="minorHAnsi" w:hAnsiTheme="minorHAnsi"/>
                <w:bCs/>
                <w:sz w:val="20"/>
                <w:szCs w:val="20"/>
              </w:rPr>
              <w:t>Documentation of policy or procedure on conflicts of interest.</w:t>
            </w:r>
          </w:p>
          <w:p w14:paraId="2DE4E433" w14:textId="61EA9AA5"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1C03BB">
              <w:rPr>
                <w:rFonts w:asciiTheme="minorHAnsi" w:hAnsiTheme="minorHAnsi"/>
                <w:bCs/>
                <w:sz w:val="20"/>
                <w:szCs w:val="20"/>
              </w:rPr>
              <w:t>O</w:t>
            </w:r>
            <w:r w:rsidR="002F396F">
              <w:rPr>
                <w:rFonts w:asciiTheme="minorHAnsi" w:hAnsiTheme="minorHAnsi"/>
                <w:bCs/>
                <w:sz w:val="20"/>
                <w:szCs w:val="20"/>
              </w:rPr>
              <w:t xml:space="preserve">riginal sources of </w:t>
            </w:r>
            <w:r w:rsidR="005B507C" w:rsidRPr="005613A7">
              <w:rPr>
                <w:rFonts w:asciiTheme="minorHAnsi" w:hAnsiTheme="minorHAnsi"/>
                <w:bCs/>
                <w:sz w:val="20"/>
                <w:szCs w:val="20"/>
              </w:rPr>
              <w:t xml:space="preserve">funding </w:t>
            </w:r>
            <w:r w:rsidR="001C03BB">
              <w:rPr>
                <w:rFonts w:asciiTheme="minorHAnsi" w:hAnsiTheme="minorHAnsi"/>
                <w:bCs/>
                <w:sz w:val="20"/>
                <w:szCs w:val="20"/>
              </w:rPr>
              <w:t>for standards development are disclosed to stakeholders throughout the process</w:t>
            </w:r>
            <w:r w:rsidR="005B507C" w:rsidRPr="005613A7">
              <w:rPr>
                <w:rFonts w:asciiTheme="minorHAnsi" w:hAnsiTheme="minorHAnsi"/>
                <w:bCs/>
                <w:sz w:val="20"/>
                <w:szCs w:val="20"/>
              </w:rPr>
              <w:t>.</w:t>
            </w:r>
          </w:p>
          <w:p w14:paraId="3DA46244" w14:textId="6F500D49"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Formal policy separating functions of organization if there is a potential conflict of interest.</w:t>
            </w:r>
          </w:p>
          <w:p w14:paraId="3BD264DA" w14:textId="2EDD5EC5" w:rsidR="005B507C" w:rsidRPr="005613A7" w:rsidRDefault="0012636C" w:rsidP="0012636C">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Potential conflicts of interest are disclosed at the stakeholder outreach stage so that parties with competing or adverse interests can be invited to participate in the standard development process and the integrity of balance requirements is maintained.</w:t>
            </w:r>
          </w:p>
        </w:tc>
      </w:tr>
      <w:tr w:rsidR="005B507C" w:rsidRPr="005613A7" w14:paraId="742457E0" w14:textId="77777777" w:rsidTr="005B03D0">
        <w:trPr>
          <w:trHeight w:val="395"/>
        </w:trPr>
        <w:tc>
          <w:tcPr>
            <w:tcW w:w="607" w:type="dxa"/>
            <w:vAlign w:val="center"/>
          </w:tcPr>
          <w:p w14:paraId="4C3A8C34" w14:textId="0FA88872"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lastRenderedPageBreak/>
              <w:t>I.</w:t>
            </w:r>
            <w:r w:rsidR="00743DA6">
              <w:rPr>
                <w:rFonts w:asciiTheme="minorHAnsi" w:hAnsiTheme="minorHAnsi"/>
                <w:sz w:val="20"/>
                <w:szCs w:val="20"/>
              </w:rPr>
              <w:t>13</w:t>
            </w:r>
          </w:p>
        </w:tc>
        <w:tc>
          <w:tcPr>
            <w:tcW w:w="540" w:type="dxa"/>
            <w:vAlign w:val="center"/>
          </w:tcPr>
          <w:p w14:paraId="7D2185F9" w14:textId="77777777" w:rsidR="005B507C" w:rsidRPr="005613A7" w:rsidRDefault="005B507C" w:rsidP="001375D1">
            <w:pPr>
              <w:spacing w:after="0" w:line="240" w:lineRule="auto"/>
              <w:rPr>
                <w:rFonts w:asciiTheme="minorHAnsi" w:hAnsiTheme="minorHAnsi"/>
                <w:bCs/>
                <w:color w:val="FF0000"/>
                <w:sz w:val="20"/>
                <w:szCs w:val="20"/>
              </w:rPr>
            </w:pPr>
            <w:r w:rsidRPr="005613A7">
              <w:rPr>
                <w:rFonts w:asciiTheme="minorHAnsi" w:hAnsiTheme="minorHAnsi"/>
                <w:bCs/>
                <w:sz w:val="20"/>
                <w:szCs w:val="20"/>
              </w:rPr>
              <w:t>B</w:t>
            </w:r>
          </w:p>
        </w:tc>
        <w:tc>
          <w:tcPr>
            <w:tcW w:w="5130" w:type="dxa"/>
            <w:vAlign w:val="center"/>
          </w:tcPr>
          <w:p w14:paraId="28DE301F" w14:textId="6155EDC4" w:rsidR="005B507C" w:rsidRPr="005613A7" w:rsidRDefault="001375D1" w:rsidP="001375D1">
            <w:pPr>
              <w:spacing w:after="0" w:line="240" w:lineRule="auto"/>
              <w:rPr>
                <w:rFonts w:asciiTheme="minorHAnsi" w:hAnsiTheme="minorHAnsi"/>
                <w:bCs/>
                <w:sz w:val="20"/>
                <w:szCs w:val="20"/>
              </w:rPr>
            </w:pPr>
            <w:r w:rsidRPr="005613A7">
              <w:rPr>
                <w:rFonts w:asciiTheme="minorHAnsi" w:hAnsiTheme="minorHAnsi"/>
                <w:bCs/>
                <w:sz w:val="20"/>
                <w:szCs w:val="20"/>
              </w:rPr>
              <w:t>Reasonable efforts to achieve consensus are made by the decision-making body and SDO.</w:t>
            </w:r>
            <w:r w:rsidR="005B507C" w:rsidRPr="005613A7">
              <w:rPr>
                <w:rStyle w:val="FootnoteReference"/>
                <w:rFonts w:asciiTheme="minorHAnsi" w:hAnsiTheme="minorHAnsi"/>
                <w:bCs/>
                <w:sz w:val="20"/>
                <w:szCs w:val="20"/>
              </w:rPr>
              <w:footnoteReference w:id="16"/>
            </w:r>
          </w:p>
          <w:p w14:paraId="6EE8D1BA" w14:textId="77777777" w:rsidR="00063155" w:rsidRPr="005613A7" w:rsidRDefault="00063155" w:rsidP="001375D1">
            <w:pPr>
              <w:spacing w:after="0" w:line="240" w:lineRule="auto"/>
              <w:rPr>
                <w:rFonts w:asciiTheme="minorHAnsi" w:hAnsiTheme="minorHAnsi"/>
                <w:bCs/>
                <w:sz w:val="20"/>
                <w:szCs w:val="20"/>
              </w:rPr>
            </w:pPr>
          </w:p>
          <w:p w14:paraId="66B0DD4C"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4C2BCCF" w14:textId="2A2699DC"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I.9 Consensus effort</w:t>
            </w:r>
          </w:p>
          <w:p w14:paraId="0A1D8E8E" w14:textId="77777777" w:rsidR="00063155" w:rsidRPr="005613A7" w:rsidRDefault="00063155" w:rsidP="001375D1">
            <w:pPr>
              <w:spacing w:after="0" w:line="240" w:lineRule="auto"/>
              <w:rPr>
                <w:rFonts w:asciiTheme="minorHAnsi" w:hAnsiTheme="minorHAnsi"/>
                <w:bCs/>
                <w:sz w:val="20"/>
                <w:szCs w:val="20"/>
              </w:rPr>
            </w:pPr>
          </w:p>
        </w:tc>
        <w:tc>
          <w:tcPr>
            <w:tcW w:w="4680" w:type="dxa"/>
            <w:vAlign w:val="center"/>
          </w:tcPr>
          <w:p w14:paraId="10548833" w14:textId="7D8987A6"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Policy/ procedure that lays out decision making process and consensus definition including: applicable definition of what constitutes consensus, how it is reached, and that the standard setting process includes procedures for registering comments. </w:t>
            </w:r>
          </w:p>
          <w:p w14:paraId="38D70A62" w14:textId="6B247C3F"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Policy/procedure shows an adequate process for resolving objections; objectors are each advised as to the reasons why the objection was resolved or not resolved; and the members of the decision making body are able to change their votes after reviewing the comments.</w:t>
            </w:r>
          </w:p>
          <w:p w14:paraId="0A8C8CC0" w14:textId="5A204DD3" w:rsidR="001375D1"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1375D1" w:rsidRPr="005613A7">
              <w:rPr>
                <w:rFonts w:asciiTheme="minorHAnsi" w:hAnsiTheme="minorHAnsi"/>
                <w:bCs/>
                <w:sz w:val="20"/>
                <w:szCs w:val="20"/>
              </w:rPr>
              <w:t>Agenda and/or minutes of key meetings showing that efforts towards consensus were on the agenda, and appropriate time was given to reach decisions and reach consensus. Examples include:</w:t>
            </w:r>
          </w:p>
          <w:p w14:paraId="7081E26D" w14:textId="48E8544D" w:rsidR="005B507C" w:rsidRPr="005613A7" w:rsidRDefault="005B507C" w:rsidP="001375D1">
            <w:pPr>
              <w:pStyle w:val="ListParagraph"/>
              <w:numPr>
                <w:ilvl w:val="0"/>
                <w:numId w:val="18"/>
              </w:numPr>
              <w:spacing w:after="0" w:line="240" w:lineRule="auto"/>
              <w:rPr>
                <w:rFonts w:asciiTheme="minorHAnsi" w:hAnsiTheme="minorHAnsi"/>
                <w:bCs/>
                <w:sz w:val="20"/>
                <w:szCs w:val="20"/>
              </w:rPr>
            </w:pPr>
            <w:r w:rsidRPr="005613A7">
              <w:rPr>
                <w:rFonts w:asciiTheme="minorHAnsi" w:hAnsiTheme="minorHAnsi"/>
                <w:bCs/>
                <w:sz w:val="20"/>
                <w:szCs w:val="20"/>
              </w:rPr>
              <w:t>Documentation reflects that key development committees selected their own chairmen from the relevant stakeholder group and chairmen were not “selected” by administrators in the NGO.</w:t>
            </w:r>
          </w:p>
          <w:p w14:paraId="263A8953" w14:textId="13F6EB90" w:rsidR="005B507C" w:rsidRPr="005613A7" w:rsidRDefault="005B507C" w:rsidP="001375D1">
            <w:pPr>
              <w:pStyle w:val="ListParagraph"/>
              <w:numPr>
                <w:ilvl w:val="0"/>
                <w:numId w:val="18"/>
              </w:numPr>
              <w:spacing w:after="0" w:line="240" w:lineRule="auto"/>
              <w:rPr>
                <w:rFonts w:asciiTheme="minorHAnsi" w:hAnsiTheme="minorHAnsi"/>
                <w:bCs/>
                <w:sz w:val="20"/>
                <w:szCs w:val="20"/>
              </w:rPr>
            </w:pPr>
            <w:r w:rsidRPr="005613A7">
              <w:rPr>
                <w:rFonts w:asciiTheme="minorHAnsi" w:hAnsiTheme="minorHAnsi"/>
                <w:bCs/>
                <w:sz w:val="20"/>
                <w:szCs w:val="20"/>
              </w:rPr>
              <w:t>Documentation reflects frequent straw votes were made at the committee, work group, and technical committee levels.</w:t>
            </w:r>
          </w:p>
          <w:p w14:paraId="228A4388" w14:textId="02B7A1C6" w:rsidR="005B507C" w:rsidRPr="005613A7" w:rsidRDefault="005B507C" w:rsidP="001375D1">
            <w:pPr>
              <w:pStyle w:val="ListParagraph"/>
              <w:numPr>
                <w:ilvl w:val="0"/>
                <w:numId w:val="18"/>
              </w:numPr>
              <w:spacing w:after="0" w:line="240" w:lineRule="auto"/>
              <w:rPr>
                <w:rFonts w:asciiTheme="minorHAnsi" w:hAnsiTheme="minorHAnsi"/>
                <w:bCs/>
                <w:sz w:val="20"/>
                <w:szCs w:val="20"/>
              </w:rPr>
            </w:pPr>
            <w:r w:rsidRPr="005613A7">
              <w:rPr>
                <w:rFonts w:asciiTheme="minorHAnsi" w:hAnsiTheme="minorHAnsi"/>
                <w:bCs/>
                <w:sz w:val="20"/>
                <w:szCs w:val="20"/>
              </w:rPr>
              <w:t>Documentation shows that where straw votes suggested significant disagreement, additional discussion was scheduled (see agenda and/or minutes)</w:t>
            </w:r>
          </w:p>
          <w:p w14:paraId="0F47623B" w14:textId="59C5CDB8" w:rsidR="005B507C" w:rsidRPr="005613A7" w:rsidRDefault="005B507C" w:rsidP="001375D1">
            <w:pPr>
              <w:pStyle w:val="ListParagraph"/>
              <w:numPr>
                <w:ilvl w:val="0"/>
                <w:numId w:val="18"/>
              </w:numPr>
              <w:spacing w:after="0" w:line="240" w:lineRule="auto"/>
              <w:rPr>
                <w:rFonts w:asciiTheme="minorHAnsi" w:hAnsiTheme="minorHAnsi"/>
                <w:bCs/>
                <w:sz w:val="20"/>
                <w:szCs w:val="20"/>
              </w:rPr>
            </w:pPr>
            <w:r w:rsidRPr="005613A7">
              <w:rPr>
                <w:rFonts w:asciiTheme="minorHAnsi" w:hAnsiTheme="minorHAnsi"/>
                <w:bCs/>
                <w:sz w:val="20"/>
                <w:szCs w:val="20"/>
              </w:rPr>
              <w:t>Proceedings reflect a lack of written criticism, complaint, or “no votes” in straw or final voting</w:t>
            </w:r>
          </w:p>
          <w:p w14:paraId="29841552" w14:textId="067D5210" w:rsidR="005B507C" w:rsidRPr="005613A7" w:rsidRDefault="005B507C" w:rsidP="00341F6E">
            <w:pPr>
              <w:pStyle w:val="ListParagraph"/>
              <w:numPr>
                <w:ilvl w:val="0"/>
                <w:numId w:val="18"/>
              </w:numPr>
              <w:spacing w:after="0" w:line="240" w:lineRule="auto"/>
              <w:rPr>
                <w:rFonts w:asciiTheme="minorHAnsi" w:hAnsiTheme="minorHAnsi"/>
                <w:b/>
                <w:bCs/>
                <w:sz w:val="20"/>
                <w:szCs w:val="20"/>
              </w:rPr>
            </w:pPr>
            <w:r w:rsidRPr="005613A7">
              <w:rPr>
                <w:rFonts w:asciiTheme="minorHAnsi" w:hAnsiTheme="minorHAnsi"/>
                <w:bCs/>
                <w:sz w:val="20"/>
                <w:szCs w:val="20"/>
              </w:rPr>
              <w:t xml:space="preserve">Proceedings reflect that where disagreement was sustained, the SDO made efforts to bring in a third party mediator, changed the chairmanship, changed committee composition, referred the matter back to a technical or development committee, or otherwise offered mediation/dispute resolution assistance to resolve the disagreement. </w:t>
            </w:r>
          </w:p>
        </w:tc>
      </w:tr>
      <w:tr w:rsidR="005B507C" w:rsidRPr="005613A7" w14:paraId="30494704" w14:textId="77777777" w:rsidTr="005B03D0">
        <w:trPr>
          <w:trHeight w:val="395"/>
        </w:trPr>
        <w:tc>
          <w:tcPr>
            <w:tcW w:w="607" w:type="dxa"/>
            <w:vAlign w:val="center"/>
          </w:tcPr>
          <w:p w14:paraId="248F45D7" w14:textId="4F872400"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t>I.</w:t>
            </w:r>
            <w:r w:rsidR="00743DA6" w:rsidRPr="005613A7">
              <w:rPr>
                <w:rFonts w:asciiTheme="minorHAnsi" w:hAnsiTheme="minorHAnsi"/>
                <w:sz w:val="20"/>
                <w:szCs w:val="20"/>
              </w:rPr>
              <w:t>1</w:t>
            </w:r>
            <w:r w:rsidR="00743DA6">
              <w:rPr>
                <w:rFonts w:asciiTheme="minorHAnsi" w:hAnsiTheme="minorHAnsi"/>
                <w:sz w:val="20"/>
                <w:szCs w:val="20"/>
              </w:rPr>
              <w:t>4</w:t>
            </w:r>
          </w:p>
        </w:tc>
        <w:tc>
          <w:tcPr>
            <w:tcW w:w="540" w:type="dxa"/>
            <w:vAlign w:val="center"/>
          </w:tcPr>
          <w:p w14:paraId="2777135C" w14:textId="77777777" w:rsidR="005B507C" w:rsidRPr="005613A7" w:rsidRDefault="005B507C" w:rsidP="001375D1">
            <w:pPr>
              <w:spacing w:after="0" w:line="240" w:lineRule="auto"/>
              <w:rPr>
                <w:rFonts w:asciiTheme="minorHAnsi" w:hAnsiTheme="minorHAnsi"/>
                <w:bCs/>
                <w:color w:val="FF0000"/>
                <w:sz w:val="20"/>
                <w:szCs w:val="20"/>
              </w:rPr>
            </w:pPr>
            <w:r w:rsidRPr="005613A7">
              <w:rPr>
                <w:rFonts w:asciiTheme="minorHAnsi" w:hAnsiTheme="minorHAnsi"/>
                <w:bCs/>
                <w:sz w:val="20"/>
                <w:szCs w:val="20"/>
              </w:rPr>
              <w:t>B</w:t>
            </w:r>
          </w:p>
        </w:tc>
        <w:tc>
          <w:tcPr>
            <w:tcW w:w="5130" w:type="dxa"/>
            <w:vAlign w:val="center"/>
          </w:tcPr>
          <w:p w14:paraId="72AEAD63" w14:textId="0E7D02BF" w:rsidR="005B507C" w:rsidRPr="005613A7" w:rsidRDefault="005413C3" w:rsidP="001375D1">
            <w:pPr>
              <w:spacing w:after="0" w:line="240" w:lineRule="auto"/>
              <w:rPr>
                <w:rFonts w:asciiTheme="minorHAnsi" w:hAnsiTheme="minorHAnsi"/>
                <w:bCs/>
                <w:sz w:val="20"/>
                <w:szCs w:val="20"/>
              </w:rPr>
            </w:pPr>
            <w:r w:rsidRPr="005613A7">
              <w:rPr>
                <w:rFonts w:asciiTheme="minorHAnsi" w:hAnsiTheme="minorHAnsi"/>
                <w:bCs/>
                <w:sz w:val="20"/>
                <w:szCs w:val="20"/>
              </w:rPr>
              <w:t>Objections</w:t>
            </w:r>
            <w:r>
              <w:rPr>
                <w:rFonts w:asciiTheme="minorHAnsi" w:hAnsiTheme="minorHAnsi"/>
                <w:bCs/>
                <w:sz w:val="20"/>
                <w:szCs w:val="20"/>
              </w:rPr>
              <w:t xml:space="preserve"> regarding procedures </w:t>
            </w:r>
            <w:r w:rsidR="005B507C" w:rsidRPr="005613A7">
              <w:rPr>
                <w:rFonts w:asciiTheme="minorHAnsi" w:hAnsiTheme="minorHAnsi"/>
                <w:bCs/>
                <w:sz w:val="20"/>
                <w:szCs w:val="20"/>
              </w:rPr>
              <w:t>received during the standard setting process are documented and made available to interested parties in a timely manner by the standard development organization. Objectors are advised as to their right of appeal.</w:t>
            </w:r>
          </w:p>
          <w:p w14:paraId="323EA26E" w14:textId="77777777" w:rsidR="005B507C" w:rsidRPr="005613A7" w:rsidRDefault="005B507C" w:rsidP="001375D1">
            <w:pPr>
              <w:spacing w:after="0" w:line="240" w:lineRule="auto"/>
              <w:rPr>
                <w:rFonts w:asciiTheme="minorHAnsi" w:hAnsiTheme="minorHAnsi"/>
                <w:bCs/>
                <w:sz w:val="20"/>
                <w:szCs w:val="20"/>
              </w:rPr>
            </w:pPr>
          </w:p>
          <w:p w14:paraId="4CBD9A20" w14:textId="0C1FD740" w:rsidR="001375D1"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lastRenderedPageBreak/>
              <w:t>If an objection is made in writing, the SDO makes a timely and meaningful response to the objection, which response is in writing and made available</w:t>
            </w:r>
            <w:r w:rsidR="00C53BBD">
              <w:rPr>
                <w:rFonts w:asciiTheme="minorHAnsi" w:hAnsiTheme="minorHAnsi"/>
                <w:bCs/>
                <w:sz w:val="20"/>
                <w:szCs w:val="20"/>
              </w:rPr>
              <w:t>.</w:t>
            </w:r>
          </w:p>
          <w:p w14:paraId="27EA2C5B" w14:textId="71ACC574" w:rsidR="005B507C" w:rsidRPr="005613A7" w:rsidRDefault="005B507C" w:rsidP="001375D1">
            <w:pPr>
              <w:spacing w:after="0" w:line="240" w:lineRule="auto"/>
              <w:rPr>
                <w:rFonts w:asciiTheme="minorHAnsi" w:hAnsiTheme="minorHAnsi"/>
                <w:bCs/>
                <w:sz w:val="20"/>
                <w:szCs w:val="20"/>
              </w:rPr>
            </w:pPr>
          </w:p>
          <w:p w14:paraId="67ED2F2F" w14:textId="77777777"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If an objection is continuing and is not resolved in the development process, objectors are ultimately advised as to their right and scope of appeal.</w:t>
            </w:r>
          </w:p>
          <w:p w14:paraId="11381477" w14:textId="77777777" w:rsidR="00063155" w:rsidRPr="005613A7" w:rsidRDefault="00063155" w:rsidP="001375D1">
            <w:pPr>
              <w:spacing w:after="0" w:line="240" w:lineRule="auto"/>
              <w:rPr>
                <w:rFonts w:asciiTheme="minorHAnsi" w:hAnsiTheme="minorHAnsi"/>
                <w:bCs/>
                <w:sz w:val="20"/>
                <w:szCs w:val="20"/>
              </w:rPr>
            </w:pPr>
          </w:p>
          <w:p w14:paraId="4254D0E1"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1B7B47E" w14:textId="4ADE1EA8"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I.5 Transparent</w:t>
            </w:r>
          </w:p>
          <w:p w14:paraId="1F941A12" w14:textId="77777777"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I.9 Consensus effort</w:t>
            </w:r>
          </w:p>
          <w:p w14:paraId="1E2E8A7D" w14:textId="10107DB2" w:rsidR="00063155" w:rsidRPr="005613A7" w:rsidRDefault="00063155" w:rsidP="002B2E6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I.10 Efforts to Resolve Objections</w:t>
            </w:r>
          </w:p>
        </w:tc>
        <w:tc>
          <w:tcPr>
            <w:tcW w:w="4680" w:type="dxa"/>
            <w:vAlign w:val="center"/>
          </w:tcPr>
          <w:p w14:paraId="6C383784" w14:textId="24566D4C"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lastRenderedPageBreak/>
              <w:t>-</w:t>
            </w:r>
            <w:r w:rsidR="005B507C" w:rsidRPr="005613A7">
              <w:rPr>
                <w:rFonts w:asciiTheme="minorHAnsi" w:hAnsiTheme="minorHAnsi"/>
                <w:bCs/>
                <w:sz w:val="20"/>
                <w:szCs w:val="20"/>
              </w:rPr>
              <w:t xml:space="preserve">Documentation of a diverse sample of the objections received during the standard setting process. </w:t>
            </w:r>
          </w:p>
          <w:p w14:paraId="51B7F1E7" w14:textId="22ABC7B1"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Agendas and/or minutes of key meetings showing objections and their resolution.</w:t>
            </w:r>
          </w:p>
          <w:p w14:paraId="25E4733E" w14:textId="4EB057B5"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Sample of records of communication between the objector and the SDO reflecting work toward resolution. </w:t>
            </w:r>
          </w:p>
          <w:p w14:paraId="261582F0" w14:textId="77777777" w:rsidR="00C15F2B" w:rsidRPr="005613A7" w:rsidRDefault="00C15F2B" w:rsidP="001375D1">
            <w:pPr>
              <w:spacing w:after="0" w:line="240" w:lineRule="auto"/>
              <w:rPr>
                <w:rFonts w:asciiTheme="minorHAnsi" w:hAnsiTheme="minorHAnsi"/>
                <w:bCs/>
                <w:sz w:val="20"/>
                <w:szCs w:val="20"/>
              </w:rPr>
            </w:pPr>
          </w:p>
          <w:p w14:paraId="4AA80C74" w14:textId="63E82187" w:rsidR="005B507C" w:rsidRPr="0012636C" w:rsidRDefault="00C15F2B" w:rsidP="00A75456">
            <w:pPr>
              <w:spacing w:after="0" w:line="240" w:lineRule="auto"/>
              <w:rPr>
                <w:rFonts w:asciiTheme="minorHAnsi" w:hAnsiTheme="minorHAnsi"/>
                <w:bCs/>
                <w:i/>
                <w:sz w:val="20"/>
                <w:szCs w:val="20"/>
              </w:rPr>
            </w:pPr>
            <w:r>
              <w:rPr>
                <w:rFonts w:asciiTheme="minorHAnsi" w:hAnsiTheme="minorHAnsi"/>
                <w:bCs/>
                <w:sz w:val="20"/>
                <w:szCs w:val="20"/>
              </w:rPr>
              <w:lastRenderedPageBreak/>
              <w:t xml:space="preserve">Or, where documentation cannot be located for standards developed prior to </w:t>
            </w:r>
            <w:r w:rsidR="00A75456" w:rsidRPr="0019094D">
              <w:rPr>
                <w:rFonts w:asciiTheme="minorHAnsi" w:hAnsiTheme="minorHAnsi"/>
                <w:bCs/>
                <w:sz w:val="20"/>
                <w:szCs w:val="20"/>
              </w:rPr>
              <w:t>2012</w:t>
            </w:r>
            <w:r>
              <w:rPr>
                <w:rFonts w:asciiTheme="minorHAnsi" w:hAnsiTheme="minorHAnsi"/>
                <w:bCs/>
                <w:sz w:val="20"/>
                <w:szCs w:val="20"/>
              </w:rPr>
              <w:t>, attestation by the SDO indicating the criteria was met.</w:t>
            </w:r>
          </w:p>
        </w:tc>
      </w:tr>
      <w:tr w:rsidR="005B507C" w:rsidRPr="005613A7" w14:paraId="0B73DFD1" w14:textId="77777777" w:rsidTr="002B2E63">
        <w:trPr>
          <w:trHeight w:val="242"/>
        </w:trPr>
        <w:tc>
          <w:tcPr>
            <w:tcW w:w="607" w:type="dxa"/>
            <w:vAlign w:val="center"/>
          </w:tcPr>
          <w:p w14:paraId="6A98EE10" w14:textId="6CDF1EB1"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lastRenderedPageBreak/>
              <w:t>I.</w:t>
            </w:r>
            <w:r w:rsidR="00743DA6" w:rsidRPr="005613A7">
              <w:rPr>
                <w:rFonts w:asciiTheme="minorHAnsi" w:hAnsiTheme="minorHAnsi"/>
                <w:sz w:val="20"/>
                <w:szCs w:val="20"/>
              </w:rPr>
              <w:t>1</w:t>
            </w:r>
            <w:r w:rsidR="00743DA6">
              <w:rPr>
                <w:rFonts w:asciiTheme="minorHAnsi" w:hAnsiTheme="minorHAnsi"/>
                <w:sz w:val="20"/>
                <w:szCs w:val="20"/>
              </w:rPr>
              <w:t>5</w:t>
            </w:r>
          </w:p>
        </w:tc>
        <w:tc>
          <w:tcPr>
            <w:tcW w:w="540" w:type="dxa"/>
            <w:vAlign w:val="center"/>
          </w:tcPr>
          <w:p w14:paraId="07F1C0F8" w14:textId="77777777" w:rsidR="005B507C" w:rsidRPr="005613A7" w:rsidRDefault="005B507C" w:rsidP="001375D1">
            <w:pPr>
              <w:spacing w:after="0" w:line="240" w:lineRule="auto"/>
              <w:rPr>
                <w:rFonts w:asciiTheme="minorHAnsi" w:hAnsiTheme="minorHAnsi"/>
                <w:bCs/>
                <w:color w:val="FF0000"/>
                <w:sz w:val="20"/>
                <w:szCs w:val="20"/>
              </w:rPr>
            </w:pPr>
            <w:r w:rsidRPr="005613A7">
              <w:rPr>
                <w:rFonts w:asciiTheme="minorHAnsi" w:hAnsiTheme="minorHAnsi"/>
                <w:bCs/>
                <w:sz w:val="20"/>
                <w:szCs w:val="20"/>
              </w:rPr>
              <w:t>B</w:t>
            </w:r>
          </w:p>
        </w:tc>
        <w:tc>
          <w:tcPr>
            <w:tcW w:w="5130" w:type="dxa"/>
            <w:vAlign w:val="center"/>
          </w:tcPr>
          <w:p w14:paraId="731B4B95" w14:textId="09B68EDF"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A documented appeals mechanism is published to address procedural appeals following the final decision. </w:t>
            </w:r>
          </w:p>
          <w:p w14:paraId="309E2184" w14:textId="77777777" w:rsidR="001375D1" w:rsidRPr="005613A7" w:rsidRDefault="001375D1" w:rsidP="001375D1">
            <w:pPr>
              <w:spacing w:after="0" w:line="240" w:lineRule="auto"/>
              <w:rPr>
                <w:rFonts w:asciiTheme="minorHAnsi" w:hAnsiTheme="minorHAnsi"/>
                <w:i/>
                <w:sz w:val="20"/>
                <w:szCs w:val="20"/>
              </w:rPr>
            </w:pPr>
          </w:p>
          <w:p w14:paraId="543F2740"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6084A5CF" w14:textId="5A39C085" w:rsidR="00063155" w:rsidRPr="005613A7" w:rsidRDefault="00063155" w:rsidP="002B2E6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I.11 Appeals mechanism</w:t>
            </w:r>
          </w:p>
        </w:tc>
        <w:tc>
          <w:tcPr>
            <w:tcW w:w="4680" w:type="dxa"/>
            <w:vAlign w:val="center"/>
          </w:tcPr>
          <w:p w14:paraId="224CE75D" w14:textId="77777777" w:rsidR="005B507C"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Proof that the relevant policy/procedure was made public and or avail</w:t>
            </w:r>
            <w:r w:rsidR="001375D1" w:rsidRPr="005613A7">
              <w:rPr>
                <w:rFonts w:asciiTheme="minorHAnsi" w:hAnsiTheme="minorHAnsi"/>
                <w:bCs/>
                <w:sz w:val="20"/>
                <w:szCs w:val="20"/>
              </w:rPr>
              <w:t>able to participants before the</w:t>
            </w:r>
            <w:r w:rsidR="005B507C" w:rsidRPr="005613A7">
              <w:rPr>
                <w:rFonts w:asciiTheme="minorHAnsi" w:hAnsiTheme="minorHAnsi"/>
                <w:bCs/>
                <w:sz w:val="20"/>
                <w:szCs w:val="20"/>
              </w:rPr>
              <w:t xml:space="preserve"> standard development process (e.g. website posting, email, etc.)</w:t>
            </w:r>
          </w:p>
          <w:p w14:paraId="6305CCF3" w14:textId="4E6034B6" w:rsidR="00C15F2B" w:rsidRPr="005613A7" w:rsidRDefault="00C15F2B" w:rsidP="00A75456">
            <w:pPr>
              <w:spacing w:after="0" w:line="240" w:lineRule="auto"/>
              <w:rPr>
                <w:rFonts w:asciiTheme="minorHAnsi" w:hAnsiTheme="minorHAnsi"/>
                <w:b/>
                <w:bCs/>
                <w:sz w:val="20"/>
                <w:szCs w:val="20"/>
              </w:rPr>
            </w:pPr>
            <w:r>
              <w:rPr>
                <w:rFonts w:asciiTheme="minorHAnsi" w:hAnsiTheme="minorHAnsi"/>
                <w:bCs/>
                <w:sz w:val="20"/>
                <w:szCs w:val="20"/>
              </w:rPr>
              <w:t xml:space="preserve">Or, where documentation cannot be located for standards developed prior to </w:t>
            </w:r>
            <w:r w:rsidR="00A75456" w:rsidRPr="0019094D">
              <w:rPr>
                <w:rFonts w:asciiTheme="minorHAnsi" w:hAnsiTheme="minorHAnsi"/>
                <w:bCs/>
                <w:sz w:val="20"/>
                <w:szCs w:val="20"/>
              </w:rPr>
              <w:t>2012</w:t>
            </w:r>
            <w:r>
              <w:rPr>
                <w:rFonts w:asciiTheme="minorHAnsi" w:hAnsiTheme="minorHAnsi"/>
                <w:bCs/>
                <w:sz w:val="20"/>
                <w:szCs w:val="20"/>
              </w:rPr>
              <w:t>, attestation by the SDO indicating the criteria was met.</w:t>
            </w:r>
          </w:p>
        </w:tc>
      </w:tr>
      <w:tr w:rsidR="005B507C" w:rsidRPr="005613A7" w14:paraId="44AB9839" w14:textId="77777777" w:rsidTr="005B03D0">
        <w:trPr>
          <w:trHeight w:val="1052"/>
        </w:trPr>
        <w:tc>
          <w:tcPr>
            <w:tcW w:w="607" w:type="dxa"/>
            <w:vAlign w:val="center"/>
          </w:tcPr>
          <w:p w14:paraId="7049887F" w14:textId="46A96D2D"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t>I.</w:t>
            </w:r>
            <w:r w:rsidR="00743DA6" w:rsidRPr="005613A7">
              <w:rPr>
                <w:rFonts w:asciiTheme="minorHAnsi" w:hAnsiTheme="minorHAnsi"/>
                <w:sz w:val="20"/>
                <w:szCs w:val="20"/>
              </w:rPr>
              <w:t>1</w:t>
            </w:r>
            <w:r w:rsidR="00743DA6">
              <w:rPr>
                <w:rFonts w:asciiTheme="minorHAnsi" w:hAnsiTheme="minorHAnsi"/>
                <w:sz w:val="20"/>
                <w:szCs w:val="20"/>
              </w:rPr>
              <w:t>6</w:t>
            </w:r>
          </w:p>
        </w:tc>
        <w:tc>
          <w:tcPr>
            <w:tcW w:w="540" w:type="dxa"/>
            <w:vAlign w:val="center"/>
          </w:tcPr>
          <w:p w14:paraId="50066D57" w14:textId="77777777" w:rsidR="005B507C" w:rsidRPr="005613A7" w:rsidRDefault="005B507C" w:rsidP="001375D1">
            <w:pPr>
              <w:spacing w:after="0" w:line="240" w:lineRule="auto"/>
              <w:rPr>
                <w:rFonts w:asciiTheme="minorHAnsi" w:hAnsiTheme="minorHAnsi"/>
                <w:bCs/>
                <w:color w:val="FF0000"/>
                <w:sz w:val="20"/>
                <w:szCs w:val="20"/>
              </w:rPr>
            </w:pPr>
            <w:r w:rsidRPr="005613A7">
              <w:rPr>
                <w:rFonts w:asciiTheme="minorHAnsi" w:hAnsiTheme="minorHAnsi"/>
                <w:bCs/>
                <w:sz w:val="20"/>
                <w:szCs w:val="20"/>
              </w:rPr>
              <w:t>B</w:t>
            </w:r>
          </w:p>
        </w:tc>
        <w:tc>
          <w:tcPr>
            <w:tcW w:w="5130" w:type="dxa"/>
            <w:vAlign w:val="center"/>
          </w:tcPr>
          <w:p w14:paraId="1070F914" w14:textId="5D164714"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The process for initiating the appeal is straightforward, requires simple notice (articulation) of the basis for the appeal, and does not impose redundant or unnecessary costs, paperwork or documentary requirements. </w:t>
            </w:r>
          </w:p>
          <w:p w14:paraId="4446A0D0" w14:textId="3B93A713"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A reasonable time</w:t>
            </w:r>
            <w:r w:rsidR="003853D1">
              <w:rPr>
                <w:rStyle w:val="FootnoteReference"/>
                <w:rFonts w:asciiTheme="minorHAnsi" w:hAnsiTheme="minorHAnsi"/>
                <w:bCs/>
                <w:sz w:val="20"/>
                <w:szCs w:val="20"/>
              </w:rPr>
              <w:footnoteReference w:id="17"/>
            </w:r>
            <w:r w:rsidRPr="005613A7">
              <w:rPr>
                <w:rFonts w:asciiTheme="minorHAnsi" w:hAnsiTheme="minorHAnsi"/>
                <w:bCs/>
                <w:sz w:val="20"/>
                <w:szCs w:val="20"/>
              </w:rPr>
              <w:t xml:space="preserve"> is offered from the time of the final vote to the deadline for lodging notice of appeal</w:t>
            </w:r>
          </w:p>
          <w:p w14:paraId="116A381D" w14:textId="77777777" w:rsidR="003B0B43" w:rsidRPr="005613A7" w:rsidRDefault="003B0B43" w:rsidP="003B0B43">
            <w:pPr>
              <w:spacing w:after="0" w:line="240" w:lineRule="auto"/>
              <w:rPr>
                <w:rFonts w:asciiTheme="minorHAnsi" w:hAnsiTheme="minorHAnsi"/>
                <w:bCs/>
                <w:sz w:val="20"/>
                <w:szCs w:val="20"/>
              </w:rPr>
            </w:pPr>
          </w:p>
          <w:p w14:paraId="4A1171E0"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CFBC1D5" w14:textId="1A4A7BD0"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I.11 Appeals mechanism</w:t>
            </w:r>
          </w:p>
          <w:p w14:paraId="23012B5E" w14:textId="7147EB5C"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I.12 Appeals Open</w:t>
            </w:r>
            <w:r w:rsidRPr="00B41BF5">
              <w:rPr>
                <w:rFonts w:asciiTheme="minorHAnsi" w:hAnsiTheme="minorHAnsi"/>
                <w:color w:val="2E74B5" w:themeColor="accent1" w:themeShade="BF"/>
                <w:sz w:val="20"/>
                <w:szCs w:val="20"/>
              </w:rPr>
              <w:t xml:space="preserve"> </w:t>
            </w:r>
          </w:p>
          <w:p w14:paraId="219D9087" w14:textId="59103035" w:rsidR="00063155" w:rsidRPr="005613A7" w:rsidRDefault="00063155" w:rsidP="001375D1">
            <w:pPr>
              <w:spacing w:after="0" w:line="240" w:lineRule="auto"/>
              <w:rPr>
                <w:rFonts w:asciiTheme="minorHAnsi" w:hAnsiTheme="minorHAnsi"/>
                <w:bCs/>
                <w:sz w:val="20"/>
                <w:szCs w:val="20"/>
              </w:rPr>
            </w:pPr>
          </w:p>
        </w:tc>
        <w:tc>
          <w:tcPr>
            <w:tcW w:w="4680" w:type="dxa"/>
            <w:vAlign w:val="center"/>
          </w:tcPr>
          <w:p w14:paraId="6553B02B" w14:textId="10B7AB43"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Appeals policy and procedures available (easy to find with a clear process defined in straightforward language).</w:t>
            </w:r>
          </w:p>
          <w:p w14:paraId="0454F604" w14:textId="24B9C404"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Documentation of policy and/or disclosure of any financial imposition made on stakeholders undertaking an appeal.</w:t>
            </w:r>
          </w:p>
          <w:p w14:paraId="7615ED78" w14:textId="249F5BE8" w:rsidR="005B507C" w:rsidRPr="005613A7" w:rsidRDefault="005B507C" w:rsidP="003853D1">
            <w:pPr>
              <w:spacing w:after="0" w:line="240" w:lineRule="auto"/>
              <w:rPr>
                <w:rFonts w:asciiTheme="minorHAnsi" w:hAnsiTheme="minorHAnsi"/>
                <w:b/>
                <w:bCs/>
                <w:sz w:val="20"/>
                <w:szCs w:val="20"/>
              </w:rPr>
            </w:pPr>
          </w:p>
        </w:tc>
      </w:tr>
      <w:tr w:rsidR="005B507C" w:rsidRPr="005613A7" w14:paraId="263790BE" w14:textId="77777777" w:rsidTr="008C39DA">
        <w:trPr>
          <w:cantSplit/>
          <w:trHeight w:val="4220"/>
        </w:trPr>
        <w:tc>
          <w:tcPr>
            <w:tcW w:w="607" w:type="dxa"/>
            <w:vAlign w:val="center"/>
          </w:tcPr>
          <w:p w14:paraId="22AE41A5" w14:textId="6CCE415E"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t>I.</w:t>
            </w:r>
            <w:r w:rsidR="00743DA6" w:rsidRPr="005613A7">
              <w:rPr>
                <w:rFonts w:asciiTheme="minorHAnsi" w:hAnsiTheme="minorHAnsi"/>
                <w:sz w:val="20"/>
                <w:szCs w:val="20"/>
              </w:rPr>
              <w:t>1</w:t>
            </w:r>
            <w:r w:rsidR="00743DA6">
              <w:rPr>
                <w:rFonts w:asciiTheme="minorHAnsi" w:hAnsiTheme="minorHAnsi"/>
                <w:sz w:val="20"/>
                <w:szCs w:val="20"/>
              </w:rPr>
              <w:t>7</w:t>
            </w:r>
          </w:p>
        </w:tc>
        <w:tc>
          <w:tcPr>
            <w:tcW w:w="540" w:type="dxa"/>
            <w:vAlign w:val="center"/>
          </w:tcPr>
          <w:p w14:paraId="12190972" w14:textId="577A829B"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664A65CF" w14:textId="3FAEB42D" w:rsidR="005B507C" w:rsidRPr="005613A7" w:rsidRDefault="005413C3" w:rsidP="001375D1">
            <w:pPr>
              <w:spacing w:after="0" w:line="240" w:lineRule="auto"/>
              <w:rPr>
                <w:rFonts w:asciiTheme="minorHAnsi" w:hAnsiTheme="minorHAnsi"/>
                <w:bCs/>
                <w:sz w:val="20"/>
                <w:szCs w:val="20"/>
              </w:rPr>
            </w:pPr>
            <w:r>
              <w:rPr>
                <w:rFonts w:asciiTheme="minorHAnsi" w:hAnsiTheme="minorHAnsi"/>
                <w:bCs/>
                <w:sz w:val="20"/>
                <w:szCs w:val="20"/>
              </w:rPr>
              <w:t>A</w:t>
            </w:r>
            <w:r w:rsidRPr="005613A7">
              <w:rPr>
                <w:rFonts w:asciiTheme="minorHAnsi" w:hAnsiTheme="minorHAnsi"/>
                <w:bCs/>
                <w:sz w:val="20"/>
                <w:szCs w:val="20"/>
              </w:rPr>
              <w:t xml:space="preserve">t the outset of the standard development process </w:t>
            </w:r>
            <w:r>
              <w:rPr>
                <w:rFonts w:asciiTheme="minorHAnsi" w:hAnsiTheme="minorHAnsi"/>
                <w:bCs/>
                <w:sz w:val="20"/>
                <w:szCs w:val="20"/>
              </w:rPr>
              <w:t>t</w:t>
            </w:r>
            <w:r w:rsidR="005B507C" w:rsidRPr="005613A7">
              <w:rPr>
                <w:rFonts w:asciiTheme="minorHAnsi" w:hAnsiTheme="minorHAnsi"/>
                <w:bCs/>
                <w:sz w:val="20"/>
                <w:szCs w:val="20"/>
              </w:rPr>
              <w:t>he SDO identifie</w:t>
            </w:r>
            <w:r w:rsidR="0002241C" w:rsidRPr="005613A7">
              <w:rPr>
                <w:rFonts w:asciiTheme="minorHAnsi" w:hAnsiTheme="minorHAnsi"/>
                <w:bCs/>
                <w:sz w:val="20"/>
                <w:szCs w:val="20"/>
              </w:rPr>
              <w:t>d</w:t>
            </w:r>
            <w:r w:rsidR="005B507C" w:rsidRPr="005613A7">
              <w:rPr>
                <w:rFonts w:asciiTheme="minorHAnsi" w:hAnsiTheme="minorHAnsi"/>
                <w:bCs/>
                <w:sz w:val="20"/>
                <w:szCs w:val="20"/>
              </w:rPr>
              <w:t xml:space="preserve"> existing standards that may be in conflict or incompatible with the draft standard and demonstrate</w:t>
            </w:r>
            <w:r w:rsidR="0002241C" w:rsidRPr="005613A7">
              <w:rPr>
                <w:rFonts w:asciiTheme="minorHAnsi" w:hAnsiTheme="minorHAnsi"/>
                <w:bCs/>
                <w:sz w:val="20"/>
                <w:szCs w:val="20"/>
              </w:rPr>
              <w:t>d</w:t>
            </w:r>
            <w:r w:rsidR="005B507C" w:rsidRPr="005613A7">
              <w:rPr>
                <w:rFonts w:asciiTheme="minorHAnsi" w:hAnsiTheme="minorHAnsi"/>
                <w:bCs/>
                <w:sz w:val="20"/>
                <w:szCs w:val="20"/>
              </w:rPr>
              <w:t xml:space="preserve"> effort to coordinate and/or resolve conflicts/incompatibilities with those standards, or merge standards</w:t>
            </w:r>
            <w:r w:rsidR="00AA67D4">
              <w:rPr>
                <w:rFonts w:asciiTheme="minorHAnsi" w:hAnsiTheme="minorHAnsi"/>
                <w:bCs/>
                <w:sz w:val="20"/>
                <w:szCs w:val="20"/>
              </w:rPr>
              <w:t>, as appropriate</w:t>
            </w:r>
            <w:r w:rsidR="005B507C" w:rsidRPr="005613A7">
              <w:rPr>
                <w:rFonts w:asciiTheme="minorHAnsi" w:hAnsiTheme="minorHAnsi"/>
                <w:bCs/>
                <w:sz w:val="20"/>
                <w:szCs w:val="20"/>
              </w:rPr>
              <w:t>.</w:t>
            </w:r>
          </w:p>
          <w:p w14:paraId="4F309668" w14:textId="77777777" w:rsidR="00063155" w:rsidRPr="005613A7" w:rsidRDefault="00063155" w:rsidP="001375D1">
            <w:pPr>
              <w:spacing w:after="0" w:line="240" w:lineRule="auto"/>
              <w:rPr>
                <w:rFonts w:asciiTheme="minorHAnsi" w:hAnsiTheme="minorHAnsi"/>
                <w:bCs/>
                <w:sz w:val="20"/>
                <w:szCs w:val="20"/>
              </w:rPr>
            </w:pPr>
          </w:p>
          <w:p w14:paraId="653EB21D"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606F651" w14:textId="3143F7E0" w:rsidR="00063155" w:rsidRPr="005613A7" w:rsidRDefault="00063155" w:rsidP="001375D1">
            <w:pPr>
              <w:spacing w:after="0" w:line="240" w:lineRule="auto"/>
              <w:rPr>
                <w:rFonts w:asciiTheme="minorHAnsi" w:hAnsiTheme="minorHAnsi"/>
                <w:sz w:val="20"/>
                <w:szCs w:val="20"/>
              </w:rPr>
            </w:pPr>
            <w:r w:rsidRPr="00B41BF5">
              <w:rPr>
                <w:rFonts w:asciiTheme="minorHAnsi" w:hAnsiTheme="minorHAnsi"/>
                <w:i/>
                <w:color w:val="2E74B5" w:themeColor="accent1" w:themeShade="BF"/>
                <w:sz w:val="20"/>
                <w:szCs w:val="20"/>
              </w:rPr>
              <w:t>I.13 Good faith on conflicts</w:t>
            </w:r>
            <w:r w:rsidRPr="00B41BF5">
              <w:rPr>
                <w:rFonts w:asciiTheme="minorHAnsi" w:hAnsiTheme="minorHAnsi"/>
                <w:color w:val="2E74B5" w:themeColor="accent1" w:themeShade="BF"/>
                <w:sz w:val="20"/>
                <w:szCs w:val="20"/>
              </w:rPr>
              <w:t xml:space="preserve"> </w:t>
            </w:r>
          </w:p>
          <w:p w14:paraId="658C1E39" w14:textId="1322435F" w:rsidR="00063155" w:rsidRPr="005613A7" w:rsidRDefault="00063155" w:rsidP="001375D1">
            <w:pPr>
              <w:spacing w:after="0" w:line="240" w:lineRule="auto"/>
              <w:rPr>
                <w:rFonts w:asciiTheme="minorHAnsi" w:hAnsiTheme="minorHAnsi"/>
                <w:bCs/>
                <w:sz w:val="20"/>
                <w:szCs w:val="20"/>
              </w:rPr>
            </w:pPr>
          </w:p>
        </w:tc>
        <w:tc>
          <w:tcPr>
            <w:tcW w:w="4680" w:type="dxa"/>
            <w:vAlign w:val="center"/>
          </w:tcPr>
          <w:p w14:paraId="14B9C848" w14:textId="51BF3DE3"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SDO documents that at the outset of the standard development process, it searched for potentially conflicting / incompatible standards in existence or under development.</w:t>
            </w:r>
          </w:p>
          <w:p w14:paraId="6758A282" w14:textId="30B617F0"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If standards identified as conflicting/incompatible, documentation of outreach to other standards developer and effort to resolve issue. </w:t>
            </w:r>
          </w:p>
          <w:p w14:paraId="7A5E51BC" w14:textId="77777777" w:rsidR="005B507C" w:rsidRPr="00FF0899" w:rsidRDefault="0012636C" w:rsidP="0012636C">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Evidence may be that the SDOs sought to merge efforts.  Evidence may also be that a request was made to a </w:t>
            </w:r>
            <w:r w:rsidR="005B507C" w:rsidRPr="00FF0899">
              <w:rPr>
                <w:rFonts w:asciiTheme="minorHAnsi" w:hAnsiTheme="minorHAnsi"/>
                <w:bCs/>
                <w:sz w:val="20"/>
                <w:szCs w:val="20"/>
              </w:rPr>
              <w:t>critical stakeholder or an accreditation body to help lead discussions to align or merge efforts.</w:t>
            </w:r>
          </w:p>
          <w:p w14:paraId="0F728C77" w14:textId="603E21B5" w:rsidR="00AA67D4" w:rsidRPr="00FF0899" w:rsidRDefault="00AA67D4" w:rsidP="0012636C">
            <w:pPr>
              <w:spacing w:after="0" w:line="240" w:lineRule="auto"/>
              <w:rPr>
                <w:rFonts w:asciiTheme="minorHAnsi" w:hAnsiTheme="minorHAnsi"/>
                <w:bCs/>
                <w:sz w:val="20"/>
                <w:szCs w:val="20"/>
              </w:rPr>
            </w:pPr>
            <w:r w:rsidRPr="00FF0899">
              <w:rPr>
                <w:rFonts w:asciiTheme="minorHAnsi" w:hAnsiTheme="minorHAnsi"/>
                <w:bCs/>
                <w:sz w:val="20"/>
                <w:szCs w:val="20"/>
              </w:rPr>
              <w:t>Or</w:t>
            </w:r>
          </w:p>
          <w:p w14:paraId="7B2BCA4B" w14:textId="77777777" w:rsidR="00AA67D4" w:rsidRDefault="00AA67D4" w:rsidP="0012636C">
            <w:pPr>
              <w:spacing w:after="0" w:line="240" w:lineRule="auto"/>
              <w:rPr>
                <w:sz w:val="20"/>
                <w:szCs w:val="20"/>
              </w:rPr>
            </w:pPr>
            <w:r w:rsidRPr="00FF0899">
              <w:rPr>
                <w:rFonts w:asciiTheme="minorHAnsi" w:hAnsiTheme="minorHAnsi"/>
                <w:bCs/>
                <w:sz w:val="20"/>
                <w:szCs w:val="20"/>
              </w:rPr>
              <w:t>-</w:t>
            </w:r>
            <w:r w:rsidRPr="00FF0899">
              <w:rPr>
                <w:sz w:val="20"/>
                <w:szCs w:val="20"/>
              </w:rPr>
              <w:t>Rationale for why an existing standard was not approached</w:t>
            </w:r>
            <w:r w:rsidR="00E01DCE" w:rsidRPr="00FF0899">
              <w:rPr>
                <w:sz w:val="20"/>
                <w:szCs w:val="20"/>
              </w:rPr>
              <w:t>,</w:t>
            </w:r>
            <w:r w:rsidRPr="00FF0899">
              <w:rPr>
                <w:sz w:val="20"/>
                <w:szCs w:val="20"/>
              </w:rPr>
              <w:t xml:space="preserve"> including, for example, </w:t>
            </w:r>
            <w:r w:rsidR="00FF0899" w:rsidRPr="00FF0899">
              <w:rPr>
                <w:sz w:val="20"/>
                <w:szCs w:val="20"/>
              </w:rPr>
              <w:t>because of an insufficient level of protection or fundamental geographical factors or fundamental technological problems.</w:t>
            </w:r>
          </w:p>
          <w:p w14:paraId="36453AB0" w14:textId="664EB1D4" w:rsidR="00C15F2B" w:rsidRPr="005613A7" w:rsidRDefault="00C15F2B" w:rsidP="00EC62E0">
            <w:pPr>
              <w:spacing w:after="0" w:line="240" w:lineRule="auto"/>
              <w:rPr>
                <w:rFonts w:asciiTheme="minorHAnsi" w:hAnsiTheme="minorHAnsi"/>
                <w:bCs/>
                <w:sz w:val="20"/>
                <w:szCs w:val="20"/>
              </w:rPr>
            </w:pPr>
            <w:r w:rsidRPr="0019094D">
              <w:rPr>
                <w:rFonts w:asciiTheme="minorHAnsi" w:hAnsiTheme="minorHAnsi"/>
                <w:bCs/>
                <w:sz w:val="20"/>
                <w:szCs w:val="20"/>
              </w:rPr>
              <w:t xml:space="preserve">Or, where documentation </w:t>
            </w:r>
            <w:r w:rsidR="00EC62E0" w:rsidRPr="0019094D">
              <w:rPr>
                <w:rFonts w:asciiTheme="minorHAnsi" w:hAnsiTheme="minorHAnsi"/>
                <w:bCs/>
                <w:sz w:val="20"/>
                <w:szCs w:val="20"/>
              </w:rPr>
              <w:t xml:space="preserve">of outreach to other standards developers </w:t>
            </w:r>
            <w:r w:rsidRPr="0019094D">
              <w:rPr>
                <w:rFonts w:asciiTheme="minorHAnsi" w:hAnsiTheme="minorHAnsi"/>
                <w:bCs/>
                <w:sz w:val="20"/>
                <w:szCs w:val="20"/>
              </w:rPr>
              <w:t xml:space="preserve">cannot be located for standards developed prior to </w:t>
            </w:r>
            <w:r w:rsidR="00EC62E0" w:rsidRPr="0019094D">
              <w:rPr>
                <w:rFonts w:asciiTheme="minorHAnsi" w:hAnsiTheme="minorHAnsi"/>
                <w:bCs/>
                <w:sz w:val="20"/>
                <w:szCs w:val="20"/>
              </w:rPr>
              <w:t>2012</w:t>
            </w:r>
            <w:r w:rsidRPr="0019094D">
              <w:rPr>
                <w:rFonts w:asciiTheme="minorHAnsi" w:hAnsiTheme="minorHAnsi"/>
                <w:bCs/>
                <w:sz w:val="20"/>
                <w:szCs w:val="20"/>
              </w:rPr>
              <w:t>, attestation</w:t>
            </w:r>
            <w:r>
              <w:rPr>
                <w:rFonts w:asciiTheme="minorHAnsi" w:hAnsiTheme="minorHAnsi"/>
                <w:bCs/>
                <w:sz w:val="20"/>
                <w:szCs w:val="20"/>
              </w:rPr>
              <w:t xml:space="preserve"> by the SDO indicating the criteria was met.</w:t>
            </w:r>
          </w:p>
        </w:tc>
      </w:tr>
      <w:tr w:rsidR="005B507C" w:rsidRPr="005613A7" w14:paraId="3DF8FF68" w14:textId="77777777" w:rsidTr="005B03D0">
        <w:trPr>
          <w:trHeight w:val="395"/>
        </w:trPr>
        <w:tc>
          <w:tcPr>
            <w:tcW w:w="607" w:type="dxa"/>
            <w:vAlign w:val="center"/>
          </w:tcPr>
          <w:p w14:paraId="115E34B2" w14:textId="794D6E26" w:rsidR="005B507C" w:rsidRPr="005613A7" w:rsidRDefault="005B507C" w:rsidP="00743DA6">
            <w:pPr>
              <w:spacing w:after="0" w:line="240" w:lineRule="auto"/>
              <w:rPr>
                <w:rFonts w:asciiTheme="minorHAnsi" w:hAnsiTheme="minorHAnsi"/>
                <w:sz w:val="20"/>
                <w:szCs w:val="20"/>
              </w:rPr>
            </w:pPr>
            <w:r w:rsidRPr="005613A7">
              <w:rPr>
                <w:rFonts w:asciiTheme="minorHAnsi" w:hAnsiTheme="minorHAnsi"/>
                <w:sz w:val="20"/>
                <w:szCs w:val="20"/>
              </w:rPr>
              <w:lastRenderedPageBreak/>
              <w:t>I.</w:t>
            </w:r>
            <w:r w:rsidR="00743DA6" w:rsidRPr="005613A7">
              <w:rPr>
                <w:rFonts w:asciiTheme="minorHAnsi" w:hAnsiTheme="minorHAnsi"/>
                <w:sz w:val="20"/>
                <w:szCs w:val="20"/>
              </w:rPr>
              <w:t>1</w:t>
            </w:r>
            <w:r w:rsidR="00743DA6">
              <w:rPr>
                <w:rFonts w:asciiTheme="minorHAnsi" w:hAnsiTheme="minorHAnsi"/>
                <w:sz w:val="20"/>
                <w:szCs w:val="20"/>
              </w:rPr>
              <w:t>8</w:t>
            </w:r>
          </w:p>
        </w:tc>
        <w:tc>
          <w:tcPr>
            <w:tcW w:w="540" w:type="dxa"/>
            <w:vAlign w:val="center"/>
          </w:tcPr>
          <w:p w14:paraId="66184077" w14:textId="77777777" w:rsidR="005B507C" w:rsidRPr="005613A7" w:rsidRDefault="005B507C" w:rsidP="001375D1">
            <w:pPr>
              <w:spacing w:after="0" w:line="240" w:lineRule="auto"/>
              <w:rPr>
                <w:rFonts w:asciiTheme="minorHAnsi" w:hAnsiTheme="minorHAnsi"/>
                <w:bCs/>
                <w:color w:val="FF0000"/>
                <w:sz w:val="20"/>
                <w:szCs w:val="20"/>
              </w:rPr>
            </w:pPr>
            <w:r w:rsidRPr="005613A7">
              <w:rPr>
                <w:rFonts w:asciiTheme="minorHAnsi" w:hAnsiTheme="minorHAnsi"/>
                <w:bCs/>
                <w:sz w:val="20"/>
                <w:szCs w:val="20"/>
              </w:rPr>
              <w:t>B</w:t>
            </w:r>
          </w:p>
        </w:tc>
        <w:tc>
          <w:tcPr>
            <w:tcW w:w="5130" w:type="dxa"/>
            <w:vAlign w:val="center"/>
          </w:tcPr>
          <w:p w14:paraId="00614220" w14:textId="700CCA06" w:rsidR="005B507C" w:rsidRPr="005613A7" w:rsidRDefault="005B507C" w:rsidP="001375D1">
            <w:pPr>
              <w:spacing w:after="0" w:line="240" w:lineRule="auto"/>
              <w:rPr>
                <w:rFonts w:asciiTheme="minorHAnsi" w:hAnsiTheme="minorHAnsi"/>
                <w:bCs/>
                <w:sz w:val="20"/>
                <w:szCs w:val="20"/>
              </w:rPr>
            </w:pPr>
            <w:r w:rsidRPr="005613A7">
              <w:rPr>
                <w:rFonts w:asciiTheme="minorHAnsi" w:hAnsiTheme="minorHAnsi"/>
                <w:bCs/>
                <w:sz w:val="20"/>
                <w:szCs w:val="20"/>
              </w:rPr>
              <w:t xml:space="preserve">Standard has been </w:t>
            </w:r>
            <w:r w:rsidR="005413C3" w:rsidRPr="006C0625">
              <w:rPr>
                <w:rFonts w:asciiTheme="minorHAnsi" w:hAnsiTheme="minorHAnsi"/>
                <w:bCs/>
                <w:sz w:val="20"/>
                <w:szCs w:val="20"/>
              </w:rPr>
              <w:t>opened for either revision</w:t>
            </w:r>
            <w:r w:rsidR="00AA67D4">
              <w:rPr>
                <w:rFonts w:asciiTheme="minorHAnsi" w:hAnsiTheme="minorHAnsi"/>
                <w:bCs/>
                <w:sz w:val="20"/>
                <w:szCs w:val="20"/>
              </w:rPr>
              <w:t xml:space="preserve"> </w:t>
            </w:r>
            <w:r w:rsidR="005413C3" w:rsidRPr="006C0625">
              <w:rPr>
                <w:rFonts w:asciiTheme="minorHAnsi" w:hAnsiTheme="minorHAnsi"/>
                <w:bCs/>
                <w:sz w:val="20"/>
                <w:szCs w:val="20"/>
              </w:rPr>
              <w:t xml:space="preserve">or reaffirmation </w:t>
            </w:r>
            <w:r w:rsidRPr="005613A7">
              <w:rPr>
                <w:rFonts w:asciiTheme="minorHAnsi" w:hAnsiTheme="minorHAnsi"/>
                <w:bCs/>
                <w:sz w:val="20"/>
                <w:szCs w:val="20"/>
              </w:rPr>
              <w:t>at least every five years. For a younger standard, it is scheduled to be revised or reaffirmed at least every 5 years.</w:t>
            </w:r>
          </w:p>
          <w:p w14:paraId="67B4B427" w14:textId="77777777" w:rsidR="00E87127" w:rsidRPr="005613A7" w:rsidRDefault="00E87127" w:rsidP="001375D1">
            <w:pPr>
              <w:spacing w:after="0" w:line="240" w:lineRule="auto"/>
              <w:rPr>
                <w:rFonts w:asciiTheme="minorHAnsi" w:hAnsiTheme="minorHAnsi"/>
                <w:bCs/>
                <w:sz w:val="20"/>
                <w:szCs w:val="20"/>
              </w:rPr>
            </w:pPr>
          </w:p>
          <w:p w14:paraId="7AEB075D" w14:textId="77777777" w:rsidR="00063155" w:rsidRPr="00B41BF5" w:rsidRDefault="00063155" w:rsidP="001375D1">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127AEFE" w14:textId="2586827B" w:rsidR="00063155" w:rsidRPr="00B41BF5" w:rsidRDefault="00063155" w:rsidP="001375D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I.14 Standards Updated</w:t>
            </w:r>
          </w:p>
          <w:p w14:paraId="4B6E1116" w14:textId="709F3275" w:rsidR="00063155" w:rsidRPr="005613A7" w:rsidRDefault="00063155" w:rsidP="002B2E6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II.3</w:t>
            </w:r>
            <w:r w:rsidR="00E87127" w:rsidRPr="00B41BF5">
              <w:rPr>
                <w:rFonts w:asciiTheme="minorHAnsi" w:hAnsiTheme="minorHAnsi"/>
                <w:i/>
                <w:color w:val="2E74B5" w:themeColor="accent1" w:themeShade="BF"/>
                <w:sz w:val="20"/>
                <w:szCs w:val="20"/>
              </w:rPr>
              <w:t xml:space="preserve"> Data Quality and Reliability</w:t>
            </w:r>
          </w:p>
        </w:tc>
        <w:tc>
          <w:tcPr>
            <w:tcW w:w="4680" w:type="dxa"/>
            <w:vAlign w:val="center"/>
          </w:tcPr>
          <w:p w14:paraId="6F453301" w14:textId="08E7DD24" w:rsidR="005B507C" w:rsidRPr="005613A7" w:rsidRDefault="0012636C" w:rsidP="001375D1">
            <w:pPr>
              <w:spacing w:after="0" w:line="240" w:lineRule="auto"/>
              <w:rPr>
                <w:rFonts w:asciiTheme="minorHAnsi" w:hAnsiTheme="minorHAnsi"/>
                <w:bCs/>
                <w:sz w:val="20"/>
                <w:szCs w:val="20"/>
              </w:rPr>
            </w:pPr>
            <w:r>
              <w:rPr>
                <w:rFonts w:asciiTheme="minorHAnsi" w:hAnsiTheme="minorHAnsi"/>
                <w:bCs/>
                <w:sz w:val="20"/>
                <w:szCs w:val="20"/>
              </w:rPr>
              <w:t>-</w:t>
            </w:r>
            <w:r w:rsidR="005B507C" w:rsidRPr="005613A7">
              <w:rPr>
                <w:rFonts w:asciiTheme="minorHAnsi" w:hAnsiTheme="minorHAnsi"/>
                <w:bCs/>
                <w:sz w:val="20"/>
                <w:szCs w:val="20"/>
              </w:rPr>
              <w:t xml:space="preserve">Policy or standard text stating schedule for expected revision or re-affirmation of the standard. </w:t>
            </w:r>
          </w:p>
          <w:p w14:paraId="634A3F32" w14:textId="30F00572" w:rsidR="005B507C" w:rsidRPr="005613A7" w:rsidRDefault="0012636C" w:rsidP="0012636C">
            <w:pPr>
              <w:spacing w:after="0" w:line="240" w:lineRule="auto"/>
              <w:rPr>
                <w:rFonts w:asciiTheme="minorHAnsi" w:hAnsiTheme="minorHAnsi"/>
                <w:b/>
                <w:bCs/>
                <w:sz w:val="20"/>
                <w:szCs w:val="20"/>
              </w:rPr>
            </w:pPr>
            <w:r>
              <w:rPr>
                <w:rFonts w:asciiTheme="minorHAnsi" w:hAnsiTheme="minorHAnsi"/>
                <w:bCs/>
                <w:sz w:val="20"/>
                <w:szCs w:val="20"/>
              </w:rPr>
              <w:t>-</w:t>
            </w:r>
            <w:r w:rsidR="005B507C" w:rsidRPr="005613A7">
              <w:rPr>
                <w:rFonts w:asciiTheme="minorHAnsi" w:hAnsiTheme="minorHAnsi"/>
                <w:bCs/>
                <w:sz w:val="20"/>
                <w:szCs w:val="20"/>
              </w:rPr>
              <w:t>Text supplied shows that standard is scheduled to be revised/ reaffirmed every 5 years or less from the date of the last standard version.</w:t>
            </w:r>
          </w:p>
        </w:tc>
      </w:tr>
      <w:tr w:rsidR="00501A43" w:rsidRPr="005613A7" w14:paraId="23999D26" w14:textId="77777777" w:rsidTr="005B03D0">
        <w:trPr>
          <w:trHeight w:val="395"/>
        </w:trPr>
        <w:tc>
          <w:tcPr>
            <w:tcW w:w="607" w:type="dxa"/>
            <w:vAlign w:val="center"/>
          </w:tcPr>
          <w:p w14:paraId="67623BE3" w14:textId="4F7F382B" w:rsidR="00501A43" w:rsidRPr="005613A7" w:rsidRDefault="00501A43" w:rsidP="00743DA6">
            <w:pPr>
              <w:spacing w:after="0" w:line="240" w:lineRule="auto"/>
              <w:rPr>
                <w:rFonts w:asciiTheme="minorHAnsi" w:hAnsiTheme="minorHAnsi"/>
                <w:sz w:val="20"/>
                <w:szCs w:val="20"/>
              </w:rPr>
            </w:pPr>
            <w:r>
              <w:rPr>
                <w:rFonts w:asciiTheme="minorHAnsi" w:hAnsiTheme="minorHAnsi"/>
                <w:sz w:val="20"/>
                <w:szCs w:val="20"/>
              </w:rPr>
              <w:t>I.</w:t>
            </w:r>
            <w:r w:rsidR="00743DA6">
              <w:rPr>
                <w:rFonts w:asciiTheme="minorHAnsi" w:hAnsiTheme="minorHAnsi"/>
                <w:sz w:val="20"/>
                <w:szCs w:val="20"/>
              </w:rPr>
              <w:t>19</w:t>
            </w:r>
          </w:p>
        </w:tc>
        <w:tc>
          <w:tcPr>
            <w:tcW w:w="540" w:type="dxa"/>
            <w:vAlign w:val="center"/>
          </w:tcPr>
          <w:p w14:paraId="3EA058C5" w14:textId="04D07E5E" w:rsidR="00501A43" w:rsidRPr="005613A7" w:rsidRDefault="00501A43" w:rsidP="001375D1">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2CE4BFE0" w14:textId="77777777" w:rsidR="00501A43" w:rsidRDefault="00501A43" w:rsidP="00501A43">
            <w:pPr>
              <w:spacing w:after="0" w:line="240" w:lineRule="auto"/>
              <w:rPr>
                <w:rFonts w:asciiTheme="minorHAnsi" w:hAnsiTheme="minorHAnsi"/>
                <w:bCs/>
                <w:sz w:val="20"/>
                <w:szCs w:val="20"/>
              </w:rPr>
            </w:pPr>
          </w:p>
          <w:p w14:paraId="712EB2E0" w14:textId="382E9422" w:rsidR="00501A43" w:rsidRPr="00501A43" w:rsidRDefault="001B78BF" w:rsidP="00501A43">
            <w:pPr>
              <w:spacing w:after="0" w:line="240" w:lineRule="auto"/>
              <w:rPr>
                <w:rFonts w:asciiTheme="minorHAnsi" w:hAnsiTheme="minorHAnsi"/>
                <w:bCs/>
                <w:sz w:val="20"/>
                <w:szCs w:val="20"/>
              </w:rPr>
            </w:pPr>
            <w:r w:rsidRPr="001B78BF">
              <w:rPr>
                <w:rFonts w:asciiTheme="minorHAnsi" w:hAnsiTheme="minorHAnsi"/>
                <w:bCs/>
                <w:sz w:val="20"/>
                <w:szCs w:val="20"/>
              </w:rPr>
              <w:t>The SDO shall make available to</w:t>
            </w:r>
            <w:r>
              <w:rPr>
                <w:rFonts w:asciiTheme="minorHAnsi" w:hAnsiTheme="minorHAnsi"/>
                <w:bCs/>
                <w:sz w:val="20"/>
                <w:szCs w:val="20"/>
              </w:rPr>
              <w:t xml:space="preserve"> the participating stakeholders</w:t>
            </w:r>
            <w:r w:rsidR="00501A43" w:rsidRPr="00501A43">
              <w:rPr>
                <w:rFonts w:asciiTheme="minorHAnsi" w:hAnsiTheme="minorHAnsi"/>
                <w:bCs/>
                <w:sz w:val="20"/>
                <w:szCs w:val="20"/>
              </w:rPr>
              <w:t xml:space="preserve"> an analysis of the environmental</w:t>
            </w:r>
            <w:r w:rsidR="00607595">
              <w:rPr>
                <w:rFonts w:asciiTheme="minorHAnsi" w:hAnsiTheme="minorHAnsi"/>
                <w:bCs/>
                <w:sz w:val="20"/>
                <w:szCs w:val="20"/>
              </w:rPr>
              <w:t xml:space="preserve"> and human health</w:t>
            </w:r>
            <w:r w:rsidR="00501A43" w:rsidRPr="00501A43">
              <w:rPr>
                <w:rFonts w:asciiTheme="minorHAnsi" w:hAnsiTheme="minorHAnsi"/>
                <w:bCs/>
                <w:sz w:val="20"/>
                <w:szCs w:val="20"/>
              </w:rPr>
              <w:t xml:space="preserve"> hotspots affecting the product category and for the life cycle stages under consideration. Such analysis shall utilize documented hotspot methodologies for identifying and analyzing such hotspots. Any participant shall be given the opportunity to provide supplementary information if they wish.</w:t>
            </w:r>
          </w:p>
          <w:p w14:paraId="287A4739" w14:textId="6A525286" w:rsidR="00501A43" w:rsidRPr="005613A7" w:rsidRDefault="00501A43" w:rsidP="00501A43">
            <w:pPr>
              <w:spacing w:after="0" w:line="240" w:lineRule="auto"/>
              <w:rPr>
                <w:rFonts w:asciiTheme="minorHAnsi" w:hAnsiTheme="minorHAnsi"/>
                <w:bCs/>
                <w:sz w:val="20"/>
                <w:szCs w:val="20"/>
              </w:rPr>
            </w:pPr>
          </w:p>
        </w:tc>
        <w:tc>
          <w:tcPr>
            <w:tcW w:w="4680" w:type="dxa"/>
            <w:vAlign w:val="center"/>
          </w:tcPr>
          <w:p w14:paraId="22C223F8" w14:textId="70CC754B" w:rsidR="00CD2AC7" w:rsidRPr="00CD2AC7" w:rsidRDefault="00CD2AC7" w:rsidP="001375D1">
            <w:pPr>
              <w:spacing w:after="0" w:line="240" w:lineRule="auto"/>
              <w:rPr>
                <w:sz w:val="20"/>
                <w:szCs w:val="20"/>
              </w:rPr>
            </w:pPr>
            <w:r w:rsidRPr="00CD2AC7">
              <w:rPr>
                <w:sz w:val="20"/>
                <w:szCs w:val="20"/>
              </w:rPr>
              <w:t xml:space="preserve">- Documented hotspots (or related) methods and findings. </w:t>
            </w:r>
          </w:p>
          <w:p w14:paraId="6EBCC03F" w14:textId="1FBD304E" w:rsidR="00CD2AC7" w:rsidRPr="00CD2AC7" w:rsidRDefault="00CD2AC7" w:rsidP="00CD2AC7">
            <w:pPr>
              <w:spacing w:after="0" w:line="240" w:lineRule="auto"/>
              <w:rPr>
                <w:sz w:val="20"/>
                <w:szCs w:val="20"/>
              </w:rPr>
            </w:pPr>
            <w:r w:rsidRPr="00CD2AC7">
              <w:rPr>
                <w:sz w:val="20"/>
                <w:szCs w:val="20"/>
              </w:rPr>
              <w:t xml:space="preserve">- Evidence that these findings were shared or made available to stakeholder as part of standard development process. </w:t>
            </w:r>
          </w:p>
          <w:p w14:paraId="760B1E62" w14:textId="37F2DAB5" w:rsidR="00501A43" w:rsidRDefault="00CD2AC7" w:rsidP="00CD2AC7">
            <w:pPr>
              <w:spacing w:after="0" w:line="240" w:lineRule="auto"/>
              <w:rPr>
                <w:rFonts w:asciiTheme="minorHAnsi" w:hAnsiTheme="minorHAnsi"/>
                <w:bCs/>
                <w:sz w:val="20"/>
                <w:szCs w:val="20"/>
              </w:rPr>
            </w:pPr>
            <w:r w:rsidRPr="00CD2AC7">
              <w:rPr>
                <w:sz w:val="20"/>
                <w:szCs w:val="20"/>
              </w:rPr>
              <w:t>– Procedure or policy indicating that stakeholders were able to introduce supplementary information.</w:t>
            </w:r>
          </w:p>
        </w:tc>
      </w:tr>
      <w:tr w:rsidR="003B0A46" w:rsidRPr="005613A7" w14:paraId="4E69F4AF" w14:textId="77777777" w:rsidTr="00BC134A">
        <w:trPr>
          <w:trHeight w:val="350"/>
        </w:trPr>
        <w:tc>
          <w:tcPr>
            <w:tcW w:w="10957" w:type="dxa"/>
            <w:gridSpan w:val="4"/>
            <w:vAlign w:val="center"/>
          </w:tcPr>
          <w:p w14:paraId="5C01DC36" w14:textId="235C7442" w:rsidR="003B0A46" w:rsidRPr="005613A7" w:rsidRDefault="00EE3CA1" w:rsidP="001375D1">
            <w:pPr>
              <w:pageBreakBefore/>
              <w:spacing w:after="0" w:line="240" w:lineRule="auto"/>
              <w:rPr>
                <w:rFonts w:asciiTheme="minorHAnsi" w:hAnsiTheme="minorHAnsi"/>
                <w:b/>
                <w:sz w:val="20"/>
                <w:szCs w:val="20"/>
              </w:rPr>
            </w:pPr>
            <w:r>
              <w:rPr>
                <w:rFonts w:asciiTheme="minorHAnsi" w:hAnsiTheme="minorHAnsi"/>
                <w:b/>
                <w:sz w:val="20"/>
                <w:szCs w:val="20"/>
              </w:rPr>
              <w:lastRenderedPageBreak/>
              <w:t>S</w:t>
            </w:r>
            <w:r w:rsidR="003B0A46" w:rsidRPr="005613A7">
              <w:rPr>
                <w:rFonts w:asciiTheme="minorHAnsi" w:hAnsiTheme="minorHAnsi"/>
                <w:b/>
                <w:sz w:val="20"/>
                <w:szCs w:val="20"/>
              </w:rPr>
              <w:t>ECTION II: ENVIRONMENTAL EFFECTIVENESS OF THE STANDARD</w:t>
            </w:r>
          </w:p>
        </w:tc>
      </w:tr>
      <w:tr w:rsidR="001B00FD" w:rsidRPr="005613A7" w14:paraId="274F697F" w14:textId="77777777" w:rsidTr="000B206D">
        <w:trPr>
          <w:trHeight w:val="70"/>
        </w:trPr>
        <w:tc>
          <w:tcPr>
            <w:tcW w:w="607" w:type="dxa"/>
            <w:noWrap/>
            <w:vAlign w:val="center"/>
          </w:tcPr>
          <w:p w14:paraId="1C0208D8" w14:textId="39B09ED0" w:rsidR="001B00FD" w:rsidRPr="005613A7" w:rsidRDefault="001B00FD" w:rsidP="001375D1">
            <w:pPr>
              <w:spacing w:after="0" w:line="240" w:lineRule="auto"/>
              <w:rPr>
                <w:rFonts w:asciiTheme="minorHAnsi" w:hAnsiTheme="minorHAnsi"/>
                <w:bCs/>
                <w:sz w:val="20"/>
                <w:szCs w:val="20"/>
              </w:rPr>
            </w:pPr>
            <w:r w:rsidRPr="005613A7">
              <w:rPr>
                <w:rFonts w:asciiTheme="minorHAnsi" w:hAnsiTheme="minorHAnsi"/>
                <w:bCs/>
                <w:sz w:val="20"/>
                <w:szCs w:val="20"/>
              </w:rPr>
              <w:t>II.1</w:t>
            </w:r>
          </w:p>
          <w:p w14:paraId="151A15BF" w14:textId="77777777" w:rsidR="001B00FD" w:rsidRPr="005613A7" w:rsidRDefault="001B00FD" w:rsidP="001375D1">
            <w:pPr>
              <w:spacing w:after="0" w:line="240" w:lineRule="auto"/>
              <w:rPr>
                <w:rFonts w:asciiTheme="minorHAnsi" w:hAnsiTheme="minorHAnsi"/>
                <w:bCs/>
                <w:sz w:val="20"/>
                <w:szCs w:val="20"/>
              </w:rPr>
            </w:pPr>
          </w:p>
        </w:tc>
        <w:tc>
          <w:tcPr>
            <w:tcW w:w="540" w:type="dxa"/>
            <w:vAlign w:val="center"/>
          </w:tcPr>
          <w:p w14:paraId="1A5AEB52" w14:textId="77777777" w:rsidR="001B00FD" w:rsidRPr="005613A7" w:rsidRDefault="001B00FD" w:rsidP="00D0226F">
            <w:pPr>
              <w:spacing w:after="0" w:line="240" w:lineRule="auto"/>
              <w:rPr>
                <w:rFonts w:asciiTheme="minorHAnsi" w:hAnsiTheme="minorHAnsi"/>
                <w:color w:val="000000"/>
                <w:sz w:val="20"/>
                <w:szCs w:val="20"/>
              </w:rPr>
            </w:pPr>
          </w:p>
        </w:tc>
        <w:tc>
          <w:tcPr>
            <w:tcW w:w="5130" w:type="dxa"/>
            <w:shd w:val="clear" w:color="auto" w:fill="auto"/>
            <w:noWrap/>
            <w:vAlign w:val="center"/>
          </w:tcPr>
          <w:p w14:paraId="799D0E78" w14:textId="059E0D00" w:rsidR="00C4529C" w:rsidRPr="00D31724" w:rsidRDefault="00D31724" w:rsidP="001375D1">
            <w:pPr>
              <w:spacing w:after="0" w:line="240" w:lineRule="auto"/>
              <w:rPr>
                <w:rFonts w:asciiTheme="minorHAnsi" w:hAnsiTheme="minorHAnsi"/>
                <w:b/>
                <w:color w:val="000000"/>
                <w:sz w:val="20"/>
                <w:szCs w:val="20"/>
              </w:rPr>
            </w:pPr>
            <w:r w:rsidRPr="00D31724">
              <w:rPr>
                <w:rFonts w:asciiTheme="minorHAnsi" w:hAnsiTheme="minorHAnsi"/>
                <w:b/>
                <w:color w:val="000000"/>
                <w:sz w:val="20"/>
                <w:szCs w:val="20"/>
              </w:rPr>
              <w:t>Meaningfully and Measurably addresses relevant HOTSPOTS</w:t>
            </w:r>
          </w:p>
          <w:p w14:paraId="22C51F90" w14:textId="77777777" w:rsidR="000B206D" w:rsidRDefault="000B206D" w:rsidP="001375D1">
            <w:pPr>
              <w:spacing w:after="0" w:line="240" w:lineRule="auto"/>
              <w:rPr>
                <w:rFonts w:asciiTheme="minorHAnsi" w:hAnsiTheme="minorHAnsi"/>
                <w:color w:val="000000"/>
                <w:sz w:val="20"/>
                <w:szCs w:val="20"/>
                <w:highlight w:val="yellow"/>
              </w:rPr>
            </w:pPr>
          </w:p>
          <w:p w14:paraId="1E07F2FA" w14:textId="7B098734" w:rsidR="00A76DAB" w:rsidRPr="000B206D" w:rsidRDefault="000B206D" w:rsidP="001375D1">
            <w:pPr>
              <w:spacing w:after="0" w:line="240" w:lineRule="auto"/>
              <w:rPr>
                <w:rFonts w:asciiTheme="minorHAnsi" w:hAnsiTheme="minorHAnsi"/>
                <w:i/>
                <w:color w:val="4472C4" w:themeColor="accent5"/>
                <w:sz w:val="20"/>
                <w:szCs w:val="20"/>
              </w:rPr>
            </w:pPr>
            <w:r w:rsidRPr="000B206D">
              <w:rPr>
                <w:rFonts w:asciiTheme="minorHAnsi" w:hAnsiTheme="minorHAnsi"/>
                <w:i/>
                <w:color w:val="2E74B5" w:themeColor="accent1" w:themeShade="BF"/>
                <w:sz w:val="20"/>
                <w:szCs w:val="20"/>
              </w:rPr>
              <w:t>A</w:t>
            </w:r>
            <w:r w:rsidR="00A76DAB" w:rsidRPr="000B206D">
              <w:rPr>
                <w:rFonts w:asciiTheme="minorHAnsi" w:hAnsiTheme="minorHAnsi"/>
                <w:i/>
                <w:color w:val="2E74B5" w:themeColor="accent1" w:themeShade="BF"/>
                <w:sz w:val="20"/>
                <w:szCs w:val="20"/>
              </w:rPr>
              <w:t>ddresses the following Draft Guidelines</w:t>
            </w:r>
            <w:r w:rsidR="00AE0C40" w:rsidRPr="000B206D">
              <w:rPr>
                <w:rFonts w:asciiTheme="minorHAnsi" w:hAnsiTheme="minorHAnsi"/>
                <w:i/>
                <w:color w:val="4472C4" w:themeColor="accent5"/>
                <w:sz w:val="20"/>
                <w:szCs w:val="20"/>
              </w:rPr>
              <w:t>:</w:t>
            </w:r>
          </w:p>
          <w:p w14:paraId="7FF92AD7" w14:textId="77A1E19D" w:rsidR="00A76DAB" w:rsidRDefault="00A76DAB" w:rsidP="00A76DAB">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II.1 Align with Relevant Standards</w:t>
            </w:r>
          </w:p>
          <w:p w14:paraId="15FDB757" w14:textId="77777777" w:rsidR="008C39DA" w:rsidRDefault="008C39DA" w:rsidP="008C39DA">
            <w:pPr>
              <w:pStyle w:val="CommentText"/>
              <w:spacing w:after="0"/>
              <w:rPr>
                <w:rFonts w:asciiTheme="minorHAnsi" w:hAnsiTheme="minorHAnsi"/>
                <w:i/>
                <w:color w:val="2E74B5" w:themeColor="accent1" w:themeShade="BF"/>
              </w:rPr>
            </w:pPr>
            <w:r w:rsidRPr="00B41BF5">
              <w:rPr>
                <w:rFonts w:asciiTheme="minorHAnsi" w:hAnsiTheme="minorHAnsi"/>
                <w:i/>
                <w:color w:val="2E74B5" w:themeColor="accent1" w:themeShade="BF"/>
              </w:rPr>
              <w:t>II.2 Measurability and Significant Measurable Difference</w:t>
            </w:r>
          </w:p>
          <w:p w14:paraId="42616EEB" w14:textId="77777777" w:rsidR="008C39DA" w:rsidRPr="001741FD" w:rsidRDefault="008C39DA" w:rsidP="008C39DA">
            <w:pPr>
              <w:spacing w:after="0" w:line="240" w:lineRule="auto"/>
              <w:rPr>
                <w:rFonts w:asciiTheme="minorHAnsi" w:hAnsiTheme="minorHAnsi"/>
                <w:i/>
                <w:color w:val="2E74B5" w:themeColor="accent1" w:themeShade="BF"/>
                <w:sz w:val="18"/>
                <w:szCs w:val="20"/>
              </w:rPr>
            </w:pPr>
            <w:r w:rsidRPr="001741FD">
              <w:rPr>
                <w:rFonts w:asciiTheme="minorHAnsi" w:hAnsiTheme="minorHAnsi"/>
                <w:i/>
                <w:color w:val="2E74B5" w:themeColor="accent1" w:themeShade="BF"/>
                <w:sz w:val="20"/>
              </w:rPr>
              <w:t>II.4 Performance-Based</w:t>
            </w:r>
          </w:p>
          <w:p w14:paraId="5A917CEA" w14:textId="77777777" w:rsidR="00A76DAB" w:rsidRPr="00B41BF5" w:rsidRDefault="00A76DAB" w:rsidP="00A76DAB">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II.5 Hotspots</w:t>
            </w:r>
          </w:p>
          <w:p w14:paraId="5854D05D" w14:textId="2C12AF10" w:rsidR="00A76DAB" w:rsidRPr="00B41BF5" w:rsidRDefault="00A76DAB" w:rsidP="00A76DAB">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II.6 Multiple Environmental Impacts</w:t>
            </w:r>
          </w:p>
          <w:p w14:paraId="41E50696" w14:textId="48CA65D6" w:rsidR="001B00FD" w:rsidRDefault="00A76DAB" w:rsidP="00A76DAB">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II.7 Lifecycle Stages</w:t>
            </w:r>
          </w:p>
          <w:p w14:paraId="17B1ABB8" w14:textId="77777777" w:rsidR="00A76DAB" w:rsidRDefault="00A76DAB" w:rsidP="00A76DAB">
            <w:pPr>
              <w:spacing w:after="0" w:line="240" w:lineRule="auto"/>
              <w:rPr>
                <w:rFonts w:asciiTheme="minorHAnsi" w:hAnsiTheme="minorHAnsi"/>
                <w:color w:val="000000"/>
                <w:sz w:val="20"/>
                <w:szCs w:val="20"/>
              </w:rPr>
            </w:pPr>
          </w:p>
          <w:p w14:paraId="521E28E7" w14:textId="758F413B" w:rsidR="00A76DAB" w:rsidRPr="00555561" w:rsidRDefault="00A76DAB" w:rsidP="001375D1">
            <w:pPr>
              <w:spacing w:after="0" w:line="240" w:lineRule="auto"/>
              <w:rPr>
                <w:rFonts w:asciiTheme="minorHAnsi" w:hAnsiTheme="minorHAnsi"/>
                <w:b/>
                <w:i/>
                <w:color w:val="000000"/>
                <w:sz w:val="20"/>
                <w:szCs w:val="20"/>
              </w:rPr>
            </w:pPr>
            <w:r w:rsidRPr="00555561">
              <w:rPr>
                <w:rFonts w:asciiTheme="minorHAnsi" w:hAnsiTheme="minorHAnsi"/>
                <w:b/>
                <w:i/>
                <w:color w:val="000000"/>
                <w:sz w:val="20"/>
                <w:szCs w:val="20"/>
              </w:rPr>
              <w:t xml:space="preserve">All Baseline impact areas </w:t>
            </w:r>
            <w:r w:rsidR="00A5369D" w:rsidRPr="00555561">
              <w:rPr>
                <w:rFonts w:asciiTheme="minorHAnsi" w:hAnsiTheme="minorHAnsi"/>
                <w:b/>
                <w:i/>
                <w:color w:val="000000"/>
                <w:sz w:val="20"/>
                <w:szCs w:val="20"/>
              </w:rPr>
              <w:t xml:space="preserve">(“B”) </w:t>
            </w:r>
            <w:r w:rsidRPr="00555561">
              <w:rPr>
                <w:rFonts w:asciiTheme="minorHAnsi" w:hAnsiTheme="minorHAnsi"/>
                <w:b/>
                <w:i/>
                <w:color w:val="000000"/>
                <w:sz w:val="20"/>
                <w:szCs w:val="20"/>
              </w:rPr>
              <w:t>need to be addressed</w:t>
            </w:r>
            <w:r w:rsidR="00900BE2">
              <w:rPr>
                <w:rFonts w:asciiTheme="minorHAnsi" w:hAnsiTheme="minorHAnsi"/>
                <w:b/>
                <w:i/>
                <w:color w:val="000000"/>
                <w:sz w:val="20"/>
                <w:szCs w:val="20"/>
              </w:rPr>
              <w:t xml:space="preserve"> unless demonstrated by the SDO to be non-applicable for the product subtype</w:t>
            </w:r>
            <w:r w:rsidRPr="00555561">
              <w:rPr>
                <w:rFonts w:asciiTheme="minorHAnsi" w:hAnsiTheme="minorHAnsi"/>
                <w:b/>
                <w:i/>
                <w:color w:val="000000"/>
                <w:sz w:val="20"/>
                <w:szCs w:val="20"/>
              </w:rPr>
              <w:t xml:space="preserve">. At least two additional impact areas </w:t>
            </w:r>
            <w:r w:rsidR="008A3830">
              <w:rPr>
                <w:rFonts w:asciiTheme="minorHAnsi" w:hAnsiTheme="minorHAnsi"/>
                <w:b/>
                <w:i/>
                <w:color w:val="000000"/>
                <w:sz w:val="20"/>
                <w:szCs w:val="20"/>
              </w:rPr>
              <w:t xml:space="preserve">(line items) </w:t>
            </w:r>
            <w:r w:rsidRPr="00555561">
              <w:rPr>
                <w:rFonts w:asciiTheme="minorHAnsi" w:hAnsiTheme="minorHAnsi"/>
                <w:b/>
                <w:i/>
                <w:color w:val="000000"/>
                <w:sz w:val="20"/>
                <w:szCs w:val="20"/>
              </w:rPr>
              <w:t>need to be addressed for Leadership credit</w:t>
            </w:r>
            <w:r w:rsidR="00B50F94">
              <w:rPr>
                <w:rFonts w:asciiTheme="minorHAnsi" w:hAnsiTheme="minorHAnsi"/>
                <w:b/>
                <w:i/>
                <w:color w:val="000000"/>
                <w:sz w:val="20"/>
                <w:szCs w:val="20"/>
              </w:rPr>
              <w:t xml:space="preserve"> to the sub</w:t>
            </w:r>
            <w:r w:rsidR="001741FD">
              <w:rPr>
                <w:rFonts w:asciiTheme="minorHAnsi" w:hAnsiTheme="minorHAnsi"/>
                <w:b/>
                <w:i/>
                <w:color w:val="000000"/>
                <w:sz w:val="20"/>
                <w:szCs w:val="20"/>
              </w:rPr>
              <w:t>-</w:t>
            </w:r>
            <w:r w:rsidR="00B50F94">
              <w:rPr>
                <w:rFonts w:asciiTheme="minorHAnsi" w:hAnsiTheme="minorHAnsi"/>
                <w:b/>
                <w:i/>
                <w:color w:val="000000"/>
                <w:sz w:val="20"/>
                <w:szCs w:val="20"/>
              </w:rPr>
              <w:t>criterion</w:t>
            </w:r>
            <w:r w:rsidR="003534F0">
              <w:rPr>
                <w:rFonts w:asciiTheme="minorHAnsi" w:hAnsiTheme="minorHAnsi"/>
                <w:b/>
                <w:i/>
                <w:color w:val="000000"/>
                <w:sz w:val="20"/>
                <w:szCs w:val="20"/>
              </w:rPr>
              <w:t xml:space="preserve"> (i.e., II.1.1, II.1.2, II.1.3, and II.1.4)</w:t>
            </w:r>
            <w:r w:rsidRPr="00555561">
              <w:rPr>
                <w:rFonts w:asciiTheme="minorHAnsi" w:hAnsiTheme="minorHAnsi"/>
                <w:b/>
                <w:i/>
                <w:color w:val="000000"/>
                <w:sz w:val="20"/>
                <w:szCs w:val="20"/>
              </w:rPr>
              <w:t>.</w:t>
            </w:r>
            <w:r w:rsidR="003534F0">
              <w:rPr>
                <w:rFonts w:asciiTheme="minorHAnsi" w:hAnsiTheme="minorHAnsi"/>
                <w:b/>
                <w:i/>
                <w:color w:val="000000"/>
                <w:sz w:val="20"/>
                <w:szCs w:val="20"/>
              </w:rPr>
              <w:t xml:space="preserve"> Therefore, there are four (4) potential Leadership credits available in II.1).</w:t>
            </w:r>
          </w:p>
          <w:p w14:paraId="50860154" w14:textId="10D3AA37" w:rsidR="008A3830" w:rsidRPr="008A3830" w:rsidRDefault="00A76DAB" w:rsidP="008A3830">
            <w:pPr>
              <w:spacing w:after="0" w:line="240" w:lineRule="auto"/>
              <w:rPr>
                <w:rFonts w:asciiTheme="minorHAnsi" w:hAnsiTheme="minorHAnsi"/>
                <w:sz w:val="20"/>
                <w:szCs w:val="20"/>
              </w:rPr>
            </w:pPr>
            <w:r w:rsidRPr="008A3830">
              <w:rPr>
                <w:rFonts w:asciiTheme="minorHAnsi" w:hAnsiTheme="minorHAnsi"/>
                <w:sz w:val="20"/>
                <w:szCs w:val="20"/>
              </w:rPr>
              <w:t xml:space="preserve"> </w:t>
            </w:r>
          </w:p>
          <w:p w14:paraId="3FEDC7A9" w14:textId="5AF8E8DE" w:rsidR="008A3830" w:rsidRPr="008A3830" w:rsidRDefault="00A9432B" w:rsidP="008A3830">
            <w:pPr>
              <w:spacing w:after="0" w:line="240" w:lineRule="auto"/>
              <w:rPr>
                <w:rFonts w:asciiTheme="minorHAnsi" w:hAnsiTheme="minorHAnsi"/>
                <w:sz w:val="20"/>
                <w:szCs w:val="20"/>
              </w:rPr>
            </w:pPr>
            <w:r>
              <w:rPr>
                <w:rFonts w:asciiTheme="minorHAnsi" w:hAnsiTheme="minorHAnsi"/>
                <w:sz w:val="20"/>
                <w:szCs w:val="20"/>
              </w:rPr>
              <w:t xml:space="preserve">II.1.1 </w:t>
            </w:r>
            <w:r w:rsidR="008A3830" w:rsidRPr="008A3830">
              <w:rPr>
                <w:rFonts w:asciiTheme="minorHAnsi" w:hAnsiTheme="minorHAnsi"/>
                <w:sz w:val="20"/>
                <w:szCs w:val="20"/>
              </w:rPr>
              <w:t xml:space="preserve">For standards claiming to address the </w:t>
            </w:r>
            <w:r w:rsidR="008A3830" w:rsidRPr="008A3830">
              <w:rPr>
                <w:rFonts w:asciiTheme="minorHAnsi" w:hAnsiTheme="minorHAnsi"/>
                <w:sz w:val="20"/>
                <w:szCs w:val="20"/>
                <w:u w:val="single"/>
              </w:rPr>
              <w:t>pre-extraction and raw materials sourcing stages</w:t>
            </w:r>
            <w:r w:rsidR="008A3830" w:rsidRPr="008A3830">
              <w:rPr>
                <w:rFonts w:asciiTheme="minorHAnsi" w:hAnsiTheme="minorHAnsi"/>
                <w:sz w:val="20"/>
                <w:szCs w:val="20"/>
              </w:rPr>
              <w:t>, the standard meaningfully and measurably addresses:</w:t>
            </w:r>
          </w:p>
          <w:p w14:paraId="20117790" w14:textId="77777777" w:rsidR="008A3830" w:rsidRPr="008A3830" w:rsidRDefault="008A3830" w:rsidP="008A3830">
            <w:pPr>
              <w:spacing w:after="0" w:line="240" w:lineRule="auto"/>
              <w:rPr>
                <w:rFonts w:asciiTheme="minorHAnsi" w:hAnsiTheme="minorHAnsi"/>
                <w:sz w:val="20"/>
                <w:szCs w:val="20"/>
              </w:rPr>
            </w:pPr>
            <w:r w:rsidRPr="008A3830">
              <w:rPr>
                <w:rFonts w:asciiTheme="minorHAnsi" w:hAnsiTheme="minorHAnsi"/>
                <w:sz w:val="20"/>
                <w:szCs w:val="20"/>
              </w:rPr>
              <w:t xml:space="preserve">Flooring &amp; Furniture: </w:t>
            </w:r>
          </w:p>
          <w:p w14:paraId="592488A2" w14:textId="4F659F41"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B – Land use change</w:t>
            </w:r>
            <w:r w:rsidR="00914CFC" w:rsidRPr="00C22642">
              <w:rPr>
                <w:rFonts w:asciiTheme="minorHAnsi" w:hAnsiTheme="minorHAnsi"/>
                <w:sz w:val="20"/>
                <w:szCs w:val="20"/>
              </w:rPr>
              <w:t>,</w:t>
            </w:r>
            <w:r w:rsidR="001167A3" w:rsidRPr="00C22642">
              <w:rPr>
                <w:rFonts w:asciiTheme="minorHAnsi" w:hAnsiTheme="minorHAnsi"/>
                <w:sz w:val="20"/>
                <w:szCs w:val="20"/>
              </w:rPr>
              <w:t xml:space="preserve"> </w:t>
            </w:r>
            <w:r w:rsidRPr="00C22642">
              <w:rPr>
                <w:rFonts w:asciiTheme="minorHAnsi" w:hAnsiTheme="minorHAnsi"/>
                <w:sz w:val="20"/>
                <w:szCs w:val="20"/>
              </w:rPr>
              <w:t>ecosystem services loss, and habitat degradation</w:t>
            </w:r>
          </w:p>
          <w:p w14:paraId="55ACDB06" w14:textId="3B410E06" w:rsidR="00914CFC" w:rsidRPr="00C22642" w:rsidRDefault="00914CFC"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B- Biodiversity/endangered species,</w:t>
            </w:r>
          </w:p>
          <w:p w14:paraId="699A86F7" w14:textId="5B9F0FFB" w:rsidR="008A3830" w:rsidRPr="00C22642" w:rsidRDefault="00750F2A"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B</w:t>
            </w:r>
            <w:r w:rsidR="008A3830" w:rsidRPr="00C22642">
              <w:rPr>
                <w:rFonts w:asciiTheme="minorHAnsi" w:hAnsiTheme="minorHAnsi"/>
                <w:sz w:val="20"/>
                <w:szCs w:val="20"/>
              </w:rPr>
              <w:t>-Soil health, compaction &amp; erosion (carbon, siltation, eutrophication, biodiversity of soil fauna)</w:t>
            </w:r>
          </w:p>
          <w:p w14:paraId="6838A2F2" w14:textId="48627F5F"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L-Sustainable yield</w:t>
            </w:r>
          </w:p>
          <w:p w14:paraId="0FD27E13" w14:textId="6B3C8837" w:rsidR="00914CFC"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L-Energy use, fossil fuel use, global warming potential, and/or greenhouse gas emissions</w:t>
            </w:r>
          </w:p>
          <w:p w14:paraId="4B03FA65" w14:textId="549830D5"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 xml:space="preserve">L-Criteria air pollutants, air toxics, and photochemical smog </w:t>
            </w:r>
          </w:p>
          <w:p w14:paraId="72A9C4B6" w14:textId="4B56D24A"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L-Pollution discharges to water</w:t>
            </w:r>
          </w:p>
          <w:p w14:paraId="75EC7A04" w14:textId="25EDC44F" w:rsidR="008A3830" w:rsidRPr="00C22642" w:rsidRDefault="008A3830" w:rsidP="00D5687D">
            <w:pPr>
              <w:spacing w:after="0" w:line="240" w:lineRule="auto"/>
              <w:rPr>
                <w:rFonts w:asciiTheme="minorHAnsi" w:hAnsiTheme="minorHAnsi"/>
                <w:sz w:val="20"/>
                <w:szCs w:val="20"/>
              </w:rPr>
            </w:pPr>
            <w:r w:rsidRPr="00C22642">
              <w:rPr>
                <w:rFonts w:asciiTheme="minorHAnsi" w:hAnsiTheme="minorHAnsi"/>
                <w:sz w:val="20"/>
                <w:szCs w:val="20"/>
              </w:rPr>
              <w:t>Paint</w:t>
            </w:r>
            <w:r w:rsidR="00CE0325" w:rsidRPr="00C22642">
              <w:rPr>
                <w:rFonts w:asciiTheme="minorHAnsi" w:hAnsiTheme="minorHAnsi"/>
                <w:sz w:val="20"/>
                <w:szCs w:val="20"/>
              </w:rPr>
              <w:t>s/Coatings</w:t>
            </w:r>
            <w:r w:rsidRPr="00C22642">
              <w:rPr>
                <w:rFonts w:asciiTheme="minorHAnsi" w:hAnsiTheme="minorHAnsi"/>
                <w:sz w:val="20"/>
                <w:szCs w:val="20"/>
              </w:rPr>
              <w:t>:</w:t>
            </w:r>
          </w:p>
          <w:p w14:paraId="0C11EE0E" w14:textId="53753C86"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 xml:space="preserve">L-Percent </w:t>
            </w:r>
            <w:r w:rsidR="00BA1FBF">
              <w:rPr>
                <w:rFonts w:asciiTheme="minorHAnsi" w:hAnsiTheme="minorHAnsi"/>
                <w:sz w:val="20"/>
                <w:szCs w:val="20"/>
              </w:rPr>
              <w:t xml:space="preserve">recycled, </w:t>
            </w:r>
            <w:r w:rsidRPr="00C22642">
              <w:rPr>
                <w:rFonts w:asciiTheme="minorHAnsi" w:hAnsiTheme="minorHAnsi"/>
                <w:sz w:val="20"/>
                <w:szCs w:val="20"/>
              </w:rPr>
              <w:t>renewable and/or bio-based content</w:t>
            </w:r>
          </w:p>
          <w:p w14:paraId="26E659A4" w14:textId="32E86135" w:rsidR="008A3830" w:rsidRPr="00C22642" w:rsidRDefault="008A3830" w:rsidP="00C22642">
            <w:pPr>
              <w:pStyle w:val="ListParagraph"/>
              <w:numPr>
                <w:ilvl w:val="0"/>
                <w:numId w:val="26"/>
              </w:numPr>
              <w:spacing w:after="0" w:line="240" w:lineRule="auto"/>
              <w:rPr>
                <w:rFonts w:asciiTheme="minorHAnsi" w:hAnsiTheme="minorHAnsi"/>
                <w:sz w:val="20"/>
                <w:szCs w:val="20"/>
              </w:rPr>
            </w:pPr>
            <w:r w:rsidRPr="00C22642">
              <w:rPr>
                <w:rFonts w:asciiTheme="minorHAnsi" w:hAnsiTheme="minorHAnsi"/>
                <w:sz w:val="20"/>
                <w:szCs w:val="20"/>
              </w:rPr>
              <w:t>L- Energy use, fossil fuel use, global warming potential, and/or greenhouse gas emissions</w:t>
            </w:r>
          </w:p>
          <w:p w14:paraId="6E09B826" w14:textId="77777777" w:rsidR="008A3830" w:rsidRPr="008A3830" w:rsidRDefault="008A3830" w:rsidP="008A3830">
            <w:pPr>
              <w:spacing w:after="0" w:line="240" w:lineRule="auto"/>
              <w:rPr>
                <w:rFonts w:asciiTheme="minorHAnsi" w:hAnsiTheme="minorHAnsi"/>
                <w:sz w:val="20"/>
                <w:szCs w:val="20"/>
              </w:rPr>
            </w:pPr>
          </w:p>
          <w:p w14:paraId="05EA8644" w14:textId="77777777" w:rsidR="008A3830" w:rsidRPr="008A3830" w:rsidRDefault="008A3830" w:rsidP="008A3830">
            <w:pPr>
              <w:spacing w:after="0" w:line="240" w:lineRule="auto"/>
              <w:rPr>
                <w:rFonts w:asciiTheme="minorHAnsi" w:hAnsiTheme="minorHAnsi"/>
                <w:sz w:val="20"/>
                <w:szCs w:val="20"/>
              </w:rPr>
            </w:pPr>
            <w:r w:rsidRPr="008A3830">
              <w:rPr>
                <w:rFonts w:asciiTheme="minorHAnsi" w:hAnsiTheme="minorHAnsi"/>
                <w:sz w:val="20"/>
                <w:szCs w:val="20"/>
              </w:rPr>
              <w:t>And</w:t>
            </w:r>
          </w:p>
          <w:p w14:paraId="112D86F1" w14:textId="77777777" w:rsidR="008A3830" w:rsidRPr="008A3830" w:rsidRDefault="008A3830" w:rsidP="008A3830">
            <w:pPr>
              <w:spacing w:after="0" w:line="240" w:lineRule="auto"/>
              <w:rPr>
                <w:rFonts w:asciiTheme="minorHAnsi" w:hAnsiTheme="minorHAnsi"/>
                <w:sz w:val="20"/>
                <w:szCs w:val="20"/>
              </w:rPr>
            </w:pPr>
          </w:p>
          <w:p w14:paraId="1A9E93C9" w14:textId="000F6126" w:rsidR="008A3830" w:rsidRPr="008A3830" w:rsidRDefault="00A9432B" w:rsidP="008A3830">
            <w:pPr>
              <w:spacing w:after="0" w:line="240" w:lineRule="auto"/>
              <w:rPr>
                <w:rFonts w:asciiTheme="minorHAnsi" w:hAnsiTheme="minorHAnsi"/>
                <w:sz w:val="20"/>
                <w:szCs w:val="20"/>
              </w:rPr>
            </w:pPr>
            <w:r>
              <w:rPr>
                <w:rFonts w:asciiTheme="minorHAnsi" w:hAnsiTheme="minorHAnsi"/>
                <w:sz w:val="20"/>
                <w:szCs w:val="20"/>
              </w:rPr>
              <w:t xml:space="preserve">II.1.2 </w:t>
            </w:r>
            <w:r w:rsidR="008A3830" w:rsidRPr="008A3830">
              <w:rPr>
                <w:rFonts w:asciiTheme="minorHAnsi" w:hAnsiTheme="minorHAnsi"/>
                <w:sz w:val="20"/>
                <w:szCs w:val="20"/>
              </w:rPr>
              <w:t xml:space="preserve">For standards claiming to address </w:t>
            </w:r>
            <w:r w:rsidR="008A3830" w:rsidRPr="0003137C">
              <w:rPr>
                <w:rFonts w:asciiTheme="minorHAnsi" w:hAnsiTheme="minorHAnsi"/>
                <w:sz w:val="20"/>
                <w:szCs w:val="20"/>
                <w:u w:val="single"/>
              </w:rPr>
              <w:t>the manufacturing stage,</w:t>
            </w:r>
            <w:r w:rsidR="008A3830" w:rsidRPr="008A3830">
              <w:rPr>
                <w:rFonts w:asciiTheme="minorHAnsi" w:hAnsiTheme="minorHAnsi"/>
                <w:sz w:val="20"/>
                <w:szCs w:val="20"/>
              </w:rPr>
              <w:t xml:space="preserve"> the standard meaningfully and measurably addresses:</w:t>
            </w:r>
            <w:r w:rsidR="00421AD8">
              <w:rPr>
                <w:rFonts w:asciiTheme="minorHAnsi" w:hAnsiTheme="minorHAnsi"/>
                <w:sz w:val="20"/>
                <w:szCs w:val="20"/>
              </w:rPr>
              <w:t xml:space="preserve"> </w:t>
            </w:r>
          </w:p>
          <w:p w14:paraId="50983D64" w14:textId="77777777" w:rsidR="008A3830" w:rsidRPr="008A3830" w:rsidRDefault="008A3830" w:rsidP="008A3830">
            <w:pPr>
              <w:spacing w:after="0" w:line="240" w:lineRule="auto"/>
              <w:rPr>
                <w:rFonts w:asciiTheme="minorHAnsi" w:hAnsiTheme="minorHAnsi"/>
                <w:sz w:val="20"/>
                <w:szCs w:val="20"/>
              </w:rPr>
            </w:pPr>
            <w:r w:rsidRPr="008A3830">
              <w:rPr>
                <w:rFonts w:asciiTheme="minorHAnsi" w:hAnsiTheme="minorHAnsi"/>
                <w:sz w:val="20"/>
                <w:szCs w:val="20"/>
              </w:rPr>
              <w:t xml:space="preserve">Flooring &amp; Furniture: </w:t>
            </w:r>
          </w:p>
          <w:p w14:paraId="7B780815" w14:textId="17E5F583" w:rsidR="008A3830" w:rsidRPr="00C22642" w:rsidRDefault="008A3830" w:rsidP="00C22642">
            <w:pPr>
              <w:pStyle w:val="ListParagraph"/>
              <w:numPr>
                <w:ilvl w:val="0"/>
                <w:numId w:val="27"/>
              </w:numPr>
              <w:spacing w:after="0" w:line="240" w:lineRule="auto"/>
              <w:rPr>
                <w:rFonts w:asciiTheme="minorHAnsi" w:hAnsiTheme="minorHAnsi"/>
                <w:sz w:val="20"/>
                <w:szCs w:val="20"/>
              </w:rPr>
            </w:pPr>
            <w:r w:rsidRPr="00C22642">
              <w:rPr>
                <w:rFonts w:asciiTheme="minorHAnsi" w:hAnsiTheme="minorHAnsi"/>
                <w:sz w:val="20"/>
                <w:szCs w:val="20"/>
              </w:rPr>
              <w:t>B- Energy use, fossil fuel use, global warming potential, and/or greenhouse gas emissions</w:t>
            </w:r>
          </w:p>
          <w:p w14:paraId="4087193E" w14:textId="6C087276" w:rsidR="00914CFC" w:rsidRPr="00C22642" w:rsidRDefault="00914CFC" w:rsidP="00C22642">
            <w:pPr>
              <w:pStyle w:val="ListParagraph"/>
              <w:numPr>
                <w:ilvl w:val="0"/>
                <w:numId w:val="27"/>
              </w:numPr>
              <w:spacing w:after="0" w:line="240" w:lineRule="auto"/>
              <w:rPr>
                <w:rFonts w:asciiTheme="minorHAnsi" w:hAnsiTheme="minorHAnsi"/>
                <w:sz w:val="20"/>
                <w:szCs w:val="20"/>
              </w:rPr>
            </w:pPr>
            <w:r w:rsidRPr="00C22642">
              <w:rPr>
                <w:rFonts w:asciiTheme="minorHAnsi" w:hAnsiTheme="minorHAnsi"/>
                <w:sz w:val="20"/>
                <w:szCs w:val="20"/>
              </w:rPr>
              <w:t>L- Ozone depletion potential</w:t>
            </w:r>
          </w:p>
          <w:p w14:paraId="46DAF6E7" w14:textId="1B1C0AD6" w:rsidR="008A3830" w:rsidRPr="00C22642" w:rsidRDefault="008A3830" w:rsidP="00C22642">
            <w:pPr>
              <w:pStyle w:val="ListParagraph"/>
              <w:numPr>
                <w:ilvl w:val="0"/>
                <w:numId w:val="27"/>
              </w:numPr>
              <w:spacing w:after="0" w:line="240" w:lineRule="auto"/>
              <w:rPr>
                <w:rFonts w:asciiTheme="minorHAnsi" w:hAnsiTheme="minorHAnsi"/>
                <w:sz w:val="20"/>
                <w:szCs w:val="20"/>
              </w:rPr>
            </w:pPr>
            <w:r w:rsidRPr="00C22642">
              <w:rPr>
                <w:sz w:val="20"/>
                <w:szCs w:val="20"/>
              </w:rPr>
              <w:t>L</w:t>
            </w:r>
            <w:r w:rsidRPr="00C22642">
              <w:rPr>
                <w:rFonts w:asciiTheme="minorHAnsi" w:hAnsiTheme="minorHAnsi"/>
                <w:sz w:val="20"/>
                <w:szCs w:val="20"/>
              </w:rPr>
              <w:t>-Criteria air pollutants, air toxics, and photochemical smog</w:t>
            </w:r>
          </w:p>
          <w:p w14:paraId="593EDDB3" w14:textId="1DD871DC" w:rsidR="008A3830" w:rsidRPr="00BE1957" w:rsidRDefault="008A3830" w:rsidP="00C22642">
            <w:pPr>
              <w:pStyle w:val="ListParagraph"/>
              <w:numPr>
                <w:ilvl w:val="0"/>
                <w:numId w:val="27"/>
              </w:numPr>
              <w:spacing w:after="0" w:line="240" w:lineRule="auto"/>
              <w:rPr>
                <w:rFonts w:asciiTheme="minorHAnsi" w:hAnsiTheme="minorHAnsi"/>
                <w:sz w:val="20"/>
                <w:szCs w:val="20"/>
              </w:rPr>
            </w:pPr>
            <w:r w:rsidRPr="00C22642">
              <w:rPr>
                <w:sz w:val="20"/>
                <w:szCs w:val="20"/>
              </w:rPr>
              <w:t>L</w:t>
            </w:r>
            <w:r w:rsidRPr="00C22642">
              <w:rPr>
                <w:rFonts w:asciiTheme="minorHAnsi" w:hAnsiTheme="minorHAnsi"/>
                <w:sz w:val="20"/>
                <w:szCs w:val="20"/>
              </w:rPr>
              <w:t>-</w:t>
            </w:r>
            <w:r w:rsidRPr="00BE1957">
              <w:rPr>
                <w:rFonts w:asciiTheme="minorHAnsi" w:hAnsiTheme="minorHAnsi"/>
                <w:sz w:val="20"/>
                <w:szCs w:val="20"/>
              </w:rPr>
              <w:t>Pollution discharges to water</w:t>
            </w:r>
          </w:p>
          <w:p w14:paraId="5BCBF770" w14:textId="1394CEA8" w:rsidR="008A3830" w:rsidRPr="00BE1957" w:rsidRDefault="008A3830" w:rsidP="00C22642">
            <w:pPr>
              <w:pStyle w:val="ListParagraph"/>
              <w:numPr>
                <w:ilvl w:val="0"/>
                <w:numId w:val="27"/>
              </w:numPr>
              <w:spacing w:after="0" w:line="240" w:lineRule="auto"/>
              <w:rPr>
                <w:rFonts w:asciiTheme="minorHAnsi" w:hAnsiTheme="minorHAnsi"/>
                <w:sz w:val="20"/>
                <w:szCs w:val="20"/>
              </w:rPr>
            </w:pPr>
            <w:r w:rsidRPr="00BE1957">
              <w:rPr>
                <w:sz w:val="20"/>
                <w:szCs w:val="20"/>
              </w:rPr>
              <w:lastRenderedPageBreak/>
              <w:t>L</w:t>
            </w:r>
            <w:r w:rsidRPr="00BE1957">
              <w:rPr>
                <w:rFonts w:asciiTheme="minorHAnsi" w:hAnsiTheme="minorHAnsi"/>
                <w:sz w:val="20"/>
                <w:szCs w:val="20"/>
              </w:rPr>
              <w:t xml:space="preserve">-Water use </w:t>
            </w:r>
          </w:p>
          <w:p w14:paraId="51DF14D2" w14:textId="4EC8AC51" w:rsidR="00CE0325" w:rsidRDefault="008A3830" w:rsidP="00C22642">
            <w:pPr>
              <w:pStyle w:val="ListParagraph"/>
              <w:numPr>
                <w:ilvl w:val="0"/>
                <w:numId w:val="27"/>
              </w:numPr>
              <w:spacing w:after="0" w:line="240" w:lineRule="auto"/>
              <w:rPr>
                <w:rFonts w:asciiTheme="minorHAnsi" w:hAnsiTheme="minorHAnsi"/>
                <w:sz w:val="20"/>
                <w:szCs w:val="20"/>
              </w:rPr>
            </w:pPr>
            <w:r w:rsidRPr="00BE1957">
              <w:rPr>
                <w:sz w:val="20"/>
                <w:szCs w:val="20"/>
              </w:rPr>
              <w:t>L</w:t>
            </w:r>
            <w:r w:rsidR="00CE0325" w:rsidRPr="00BE1957">
              <w:rPr>
                <w:rFonts w:asciiTheme="minorHAnsi" w:hAnsiTheme="minorHAnsi"/>
                <w:sz w:val="20"/>
                <w:szCs w:val="20"/>
              </w:rPr>
              <w:t>-Solid waste generation</w:t>
            </w:r>
          </w:p>
          <w:p w14:paraId="4475A91E" w14:textId="1798D79A" w:rsidR="00F36787" w:rsidRPr="00F36787" w:rsidRDefault="00F36787" w:rsidP="00F36787">
            <w:pPr>
              <w:spacing w:after="0" w:line="240" w:lineRule="auto"/>
              <w:rPr>
                <w:rFonts w:asciiTheme="minorHAnsi" w:hAnsiTheme="minorHAnsi"/>
                <w:i/>
                <w:sz w:val="20"/>
                <w:szCs w:val="20"/>
              </w:rPr>
            </w:pPr>
            <w:r w:rsidRPr="00F36787">
              <w:rPr>
                <w:i/>
                <w:sz w:val="20"/>
                <w:szCs w:val="20"/>
              </w:rPr>
              <w:t>Note that chemicals of concern have also been identified as a potential hotspot in the manufacturing stage</w:t>
            </w:r>
            <w:r w:rsidRPr="00F36787">
              <w:rPr>
                <w:rFonts w:asciiTheme="minorHAnsi" w:hAnsiTheme="minorHAnsi"/>
                <w:i/>
                <w:sz w:val="20"/>
                <w:szCs w:val="20"/>
              </w:rPr>
              <w:t>. These issues are addressed in criteria II.5, II.6, and II.7.</w:t>
            </w:r>
          </w:p>
          <w:p w14:paraId="00C836AC" w14:textId="77777777" w:rsidR="00F36787" w:rsidRDefault="00F36787" w:rsidP="008A3830">
            <w:pPr>
              <w:spacing w:after="0" w:line="240" w:lineRule="auto"/>
              <w:rPr>
                <w:rFonts w:asciiTheme="minorHAnsi" w:hAnsiTheme="minorHAnsi"/>
                <w:sz w:val="20"/>
                <w:szCs w:val="20"/>
              </w:rPr>
            </w:pPr>
          </w:p>
          <w:p w14:paraId="4FE62DE2" w14:textId="73FA64E4" w:rsidR="008A3830" w:rsidRPr="00BE1957" w:rsidRDefault="008A3830" w:rsidP="008A3830">
            <w:pPr>
              <w:spacing w:after="0" w:line="240" w:lineRule="auto"/>
              <w:rPr>
                <w:rFonts w:asciiTheme="minorHAnsi" w:hAnsiTheme="minorHAnsi"/>
                <w:sz w:val="20"/>
                <w:szCs w:val="20"/>
              </w:rPr>
            </w:pPr>
            <w:r w:rsidRPr="00BE1957">
              <w:rPr>
                <w:rFonts w:asciiTheme="minorHAnsi" w:hAnsiTheme="minorHAnsi"/>
                <w:sz w:val="20"/>
                <w:szCs w:val="20"/>
              </w:rPr>
              <w:t>Paints</w:t>
            </w:r>
            <w:r w:rsidR="00CE0325" w:rsidRPr="00BE1957">
              <w:rPr>
                <w:rFonts w:asciiTheme="minorHAnsi" w:hAnsiTheme="minorHAnsi"/>
                <w:sz w:val="20"/>
                <w:szCs w:val="20"/>
              </w:rPr>
              <w:t>/Coatings</w:t>
            </w:r>
            <w:r w:rsidRPr="00BE1957">
              <w:rPr>
                <w:rFonts w:asciiTheme="minorHAnsi" w:hAnsiTheme="minorHAnsi"/>
                <w:sz w:val="20"/>
                <w:szCs w:val="20"/>
              </w:rPr>
              <w:t xml:space="preserve">: </w:t>
            </w:r>
          </w:p>
          <w:p w14:paraId="078C9261" w14:textId="094C9F82" w:rsidR="0003137C" w:rsidRPr="00BE1957" w:rsidRDefault="001167A3" w:rsidP="00C22642">
            <w:pPr>
              <w:pStyle w:val="ListParagraph"/>
              <w:numPr>
                <w:ilvl w:val="0"/>
                <w:numId w:val="28"/>
              </w:numPr>
              <w:spacing w:after="0" w:line="240" w:lineRule="auto"/>
              <w:rPr>
                <w:sz w:val="20"/>
                <w:szCs w:val="20"/>
              </w:rPr>
            </w:pPr>
            <w:r w:rsidRPr="00BE1957">
              <w:rPr>
                <w:sz w:val="20"/>
                <w:szCs w:val="20"/>
              </w:rPr>
              <w:t xml:space="preserve">None identified - </w:t>
            </w:r>
            <w:r w:rsidR="00AD2599" w:rsidRPr="00BE1957">
              <w:rPr>
                <w:sz w:val="20"/>
                <w:szCs w:val="20"/>
              </w:rPr>
              <w:t>LCAs</w:t>
            </w:r>
            <w:r w:rsidR="0003137C" w:rsidRPr="00BE1957">
              <w:rPr>
                <w:i/>
                <w:sz w:val="20"/>
                <w:szCs w:val="20"/>
              </w:rPr>
              <w:t xml:space="preserve"> </w:t>
            </w:r>
            <w:r w:rsidR="00AD2599" w:rsidRPr="00BE1957">
              <w:rPr>
                <w:i/>
                <w:sz w:val="20"/>
                <w:szCs w:val="20"/>
              </w:rPr>
              <w:t xml:space="preserve">indicate </w:t>
            </w:r>
            <w:r w:rsidR="000A6CC9" w:rsidRPr="00BE1957">
              <w:rPr>
                <w:i/>
                <w:sz w:val="20"/>
                <w:szCs w:val="20"/>
              </w:rPr>
              <w:t xml:space="preserve">that the </w:t>
            </w:r>
            <w:r w:rsidR="00AD2599" w:rsidRPr="00BE1957">
              <w:rPr>
                <w:i/>
                <w:sz w:val="20"/>
                <w:szCs w:val="20"/>
              </w:rPr>
              <w:t xml:space="preserve">manufacturing </w:t>
            </w:r>
            <w:r w:rsidR="000A6CC9" w:rsidRPr="00BE1957">
              <w:rPr>
                <w:i/>
                <w:sz w:val="20"/>
                <w:szCs w:val="20"/>
              </w:rPr>
              <w:t>stage is a minor contributer to the overall impacts of</w:t>
            </w:r>
            <w:r w:rsidR="0003137C" w:rsidRPr="00BE1957">
              <w:rPr>
                <w:i/>
                <w:sz w:val="20"/>
                <w:szCs w:val="20"/>
              </w:rPr>
              <w:t xml:space="preserve"> paints/coatings</w:t>
            </w:r>
          </w:p>
          <w:p w14:paraId="2E89C62A" w14:textId="77777777" w:rsidR="00F36787" w:rsidRPr="00F36787" w:rsidRDefault="00F36787" w:rsidP="00F36787">
            <w:pPr>
              <w:spacing w:after="0" w:line="240" w:lineRule="auto"/>
              <w:rPr>
                <w:rFonts w:asciiTheme="minorHAnsi" w:hAnsiTheme="minorHAnsi"/>
                <w:i/>
                <w:sz w:val="20"/>
                <w:szCs w:val="20"/>
              </w:rPr>
            </w:pPr>
            <w:r w:rsidRPr="00F36787">
              <w:rPr>
                <w:i/>
                <w:sz w:val="20"/>
                <w:szCs w:val="20"/>
              </w:rPr>
              <w:t>Note that chemicals of concern have also been identified as a potential hotspot in the manufacturing stage</w:t>
            </w:r>
            <w:r w:rsidRPr="00F36787">
              <w:rPr>
                <w:rFonts w:asciiTheme="minorHAnsi" w:hAnsiTheme="minorHAnsi"/>
                <w:i/>
                <w:sz w:val="20"/>
                <w:szCs w:val="20"/>
              </w:rPr>
              <w:t>. These issues are addressed in criteria II.5, II.6, and II.7.</w:t>
            </w:r>
          </w:p>
          <w:p w14:paraId="0D051891" w14:textId="77777777" w:rsidR="008A3830" w:rsidRPr="00BE1957" w:rsidRDefault="008A3830" w:rsidP="008A3830">
            <w:pPr>
              <w:spacing w:after="0" w:line="240" w:lineRule="auto"/>
              <w:rPr>
                <w:rFonts w:asciiTheme="minorHAnsi" w:hAnsiTheme="minorHAnsi"/>
                <w:sz w:val="20"/>
                <w:szCs w:val="20"/>
              </w:rPr>
            </w:pPr>
          </w:p>
          <w:p w14:paraId="178C2E2C" w14:textId="77777777" w:rsidR="008A3830" w:rsidRPr="00BE1957" w:rsidRDefault="008A3830" w:rsidP="008A3830">
            <w:pPr>
              <w:spacing w:after="0" w:line="240" w:lineRule="auto"/>
              <w:rPr>
                <w:rFonts w:asciiTheme="minorHAnsi" w:hAnsiTheme="minorHAnsi"/>
                <w:sz w:val="20"/>
                <w:szCs w:val="20"/>
              </w:rPr>
            </w:pPr>
            <w:r w:rsidRPr="00BE1957">
              <w:rPr>
                <w:rFonts w:asciiTheme="minorHAnsi" w:hAnsiTheme="minorHAnsi"/>
                <w:sz w:val="20"/>
                <w:szCs w:val="20"/>
              </w:rPr>
              <w:t>And</w:t>
            </w:r>
          </w:p>
          <w:p w14:paraId="67FD7297" w14:textId="77777777" w:rsidR="00CE0325" w:rsidRPr="008A3830" w:rsidRDefault="00CE0325" w:rsidP="008A3830">
            <w:pPr>
              <w:spacing w:after="0" w:line="240" w:lineRule="auto"/>
              <w:rPr>
                <w:rFonts w:asciiTheme="minorHAnsi" w:hAnsiTheme="minorHAnsi"/>
                <w:sz w:val="20"/>
                <w:szCs w:val="20"/>
              </w:rPr>
            </w:pPr>
          </w:p>
          <w:p w14:paraId="64CEA759" w14:textId="0CD22205" w:rsidR="00CE0325" w:rsidRPr="00CE0325" w:rsidRDefault="00D5687D" w:rsidP="00CE0325">
            <w:pPr>
              <w:spacing w:after="0" w:line="240" w:lineRule="auto"/>
              <w:rPr>
                <w:rFonts w:asciiTheme="minorHAnsi" w:hAnsiTheme="minorHAnsi"/>
                <w:sz w:val="20"/>
                <w:szCs w:val="20"/>
              </w:rPr>
            </w:pPr>
            <w:r>
              <w:rPr>
                <w:rFonts w:asciiTheme="minorHAnsi" w:hAnsiTheme="minorHAnsi"/>
                <w:sz w:val="20"/>
                <w:szCs w:val="20"/>
              </w:rPr>
              <w:t xml:space="preserve">II.1.3 </w:t>
            </w:r>
            <w:r w:rsidR="00CE0325" w:rsidRPr="00CE0325">
              <w:rPr>
                <w:rFonts w:asciiTheme="minorHAnsi" w:hAnsiTheme="minorHAnsi"/>
                <w:sz w:val="20"/>
                <w:szCs w:val="20"/>
              </w:rPr>
              <w:t>For standards claiming to address</w:t>
            </w:r>
            <w:r w:rsidR="00914CFC">
              <w:rPr>
                <w:rFonts w:asciiTheme="minorHAnsi" w:hAnsiTheme="minorHAnsi"/>
                <w:sz w:val="20"/>
                <w:szCs w:val="20"/>
              </w:rPr>
              <w:t xml:space="preserve"> human health impacts of the product in the</w:t>
            </w:r>
            <w:r w:rsidR="00CE0325" w:rsidRPr="00CE0325">
              <w:rPr>
                <w:rFonts w:asciiTheme="minorHAnsi" w:hAnsiTheme="minorHAnsi"/>
                <w:sz w:val="20"/>
                <w:szCs w:val="20"/>
              </w:rPr>
              <w:t xml:space="preserve"> </w:t>
            </w:r>
            <w:r w:rsidR="00BA3AA0">
              <w:rPr>
                <w:rFonts w:asciiTheme="minorHAnsi" w:hAnsiTheme="minorHAnsi"/>
                <w:sz w:val="20"/>
                <w:szCs w:val="20"/>
                <w:u w:val="single"/>
              </w:rPr>
              <w:t xml:space="preserve"> </w:t>
            </w:r>
            <w:r w:rsidR="00914CFC">
              <w:rPr>
                <w:rFonts w:asciiTheme="minorHAnsi" w:hAnsiTheme="minorHAnsi"/>
                <w:sz w:val="20"/>
                <w:szCs w:val="20"/>
                <w:u w:val="single"/>
              </w:rPr>
              <w:t>installation/</w:t>
            </w:r>
            <w:r w:rsidR="00CE0325" w:rsidRPr="00CE0325">
              <w:rPr>
                <w:rFonts w:asciiTheme="minorHAnsi" w:hAnsiTheme="minorHAnsi"/>
                <w:sz w:val="20"/>
                <w:szCs w:val="20"/>
                <w:u w:val="single"/>
              </w:rPr>
              <w:t>use stages</w:t>
            </w:r>
            <w:r w:rsidR="00CE0325" w:rsidRPr="00CE0325">
              <w:rPr>
                <w:rFonts w:asciiTheme="minorHAnsi" w:hAnsiTheme="minorHAnsi"/>
                <w:sz w:val="20"/>
                <w:szCs w:val="20"/>
              </w:rPr>
              <w:t>, the standard</w:t>
            </w:r>
            <w:r w:rsidR="00914CFC">
              <w:rPr>
                <w:rFonts w:asciiTheme="minorHAnsi" w:hAnsiTheme="minorHAnsi"/>
                <w:sz w:val="20"/>
                <w:szCs w:val="20"/>
              </w:rPr>
              <w:t xml:space="preserve"> incorporates by reference or aligns with</w:t>
            </w:r>
            <w:r w:rsidR="00CE0325" w:rsidRPr="00CE0325">
              <w:rPr>
                <w:rFonts w:asciiTheme="minorHAnsi" w:hAnsiTheme="minorHAnsi"/>
                <w:sz w:val="20"/>
                <w:szCs w:val="20"/>
              </w:rPr>
              <w:t xml:space="preserve">: </w:t>
            </w:r>
          </w:p>
          <w:p w14:paraId="4E4AE79A" w14:textId="77777777" w:rsidR="001628D3" w:rsidRPr="008A3830" w:rsidRDefault="001628D3" w:rsidP="001628D3">
            <w:pPr>
              <w:spacing w:after="0" w:line="240" w:lineRule="auto"/>
              <w:rPr>
                <w:rFonts w:asciiTheme="minorHAnsi" w:hAnsiTheme="minorHAnsi"/>
                <w:sz w:val="20"/>
                <w:szCs w:val="20"/>
              </w:rPr>
            </w:pPr>
            <w:r w:rsidRPr="008A3830">
              <w:rPr>
                <w:rFonts w:asciiTheme="minorHAnsi" w:hAnsiTheme="minorHAnsi"/>
                <w:sz w:val="20"/>
                <w:szCs w:val="20"/>
              </w:rPr>
              <w:t>Flooring:</w:t>
            </w:r>
          </w:p>
          <w:p w14:paraId="2AA3EA9E" w14:textId="77777777" w:rsidR="001628D3" w:rsidRPr="00C335D1" w:rsidRDefault="001628D3" w:rsidP="00C22642">
            <w:pPr>
              <w:pStyle w:val="ListParagraph"/>
              <w:numPr>
                <w:ilvl w:val="0"/>
                <w:numId w:val="28"/>
              </w:numPr>
              <w:spacing w:after="0" w:line="240" w:lineRule="auto"/>
              <w:rPr>
                <w:rFonts w:asciiTheme="minorHAnsi" w:hAnsiTheme="minorHAnsi"/>
                <w:sz w:val="20"/>
                <w:szCs w:val="20"/>
              </w:rPr>
            </w:pPr>
            <w:r w:rsidRPr="00C22642">
              <w:rPr>
                <w:rFonts w:asciiTheme="minorHAnsi" w:hAnsiTheme="minorHAnsi"/>
                <w:sz w:val="20"/>
                <w:szCs w:val="20"/>
              </w:rPr>
              <w:t>B - “Standard Method for the Testing and Evaluation of Volatile Organic Chemical Emissions from Indoor Sources Using Environmental Chambers, Version 1.1” (2010) (CDPH Standard Method 1.1-2010) (</w:t>
            </w:r>
            <w:r w:rsidRPr="00C22642">
              <w:rPr>
                <w:sz w:val="20"/>
                <w:szCs w:val="20"/>
              </w:rPr>
              <w:t xml:space="preserve">This is the emission testing method for California Specification 01350.) </w:t>
            </w:r>
          </w:p>
          <w:p w14:paraId="415F5477" w14:textId="0DFC3132" w:rsidR="00F36787" w:rsidRPr="00F36787" w:rsidRDefault="00F36787" w:rsidP="00F36787">
            <w:pPr>
              <w:spacing w:after="0" w:line="240" w:lineRule="auto"/>
              <w:rPr>
                <w:rFonts w:asciiTheme="minorHAnsi" w:hAnsiTheme="minorHAnsi"/>
                <w:i/>
                <w:sz w:val="20"/>
                <w:szCs w:val="20"/>
              </w:rPr>
            </w:pPr>
            <w:r w:rsidRPr="00F36787">
              <w:rPr>
                <w:i/>
                <w:sz w:val="20"/>
                <w:szCs w:val="20"/>
              </w:rPr>
              <w:t xml:space="preserve">Note that chemicals of concern have also been identified as a potential hotspot in the </w:t>
            </w:r>
            <w:r>
              <w:rPr>
                <w:i/>
                <w:sz w:val="20"/>
                <w:szCs w:val="20"/>
              </w:rPr>
              <w:t>installation/use</w:t>
            </w:r>
            <w:r w:rsidRPr="00F36787">
              <w:rPr>
                <w:i/>
                <w:sz w:val="20"/>
                <w:szCs w:val="20"/>
              </w:rPr>
              <w:t xml:space="preserve"> stage</w:t>
            </w:r>
            <w:r w:rsidRPr="00F36787">
              <w:rPr>
                <w:rFonts w:asciiTheme="minorHAnsi" w:hAnsiTheme="minorHAnsi"/>
                <w:i/>
                <w:sz w:val="20"/>
                <w:szCs w:val="20"/>
              </w:rPr>
              <w:t>. These issues are addressed in criteria II.5, II.6, and II.7.</w:t>
            </w:r>
          </w:p>
          <w:p w14:paraId="76840276" w14:textId="77777777" w:rsidR="00F36787" w:rsidRPr="00C22642" w:rsidRDefault="00F36787" w:rsidP="00F36787">
            <w:pPr>
              <w:pStyle w:val="ListParagraph"/>
              <w:spacing w:after="0" w:line="240" w:lineRule="auto"/>
              <w:rPr>
                <w:rFonts w:asciiTheme="minorHAnsi" w:hAnsiTheme="minorHAnsi"/>
                <w:sz w:val="20"/>
                <w:szCs w:val="20"/>
              </w:rPr>
            </w:pPr>
          </w:p>
          <w:p w14:paraId="5D1495FF" w14:textId="77777777" w:rsidR="001628D3" w:rsidRPr="008A3830" w:rsidRDefault="001628D3" w:rsidP="001628D3">
            <w:pPr>
              <w:spacing w:after="0" w:line="240" w:lineRule="auto"/>
              <w:rPr>
                <w:rFonts w:asciiTheme="minorHAnsi" w:hAnsiTheme="minorHAnsi"/>
                <w:sz w:val="20"/>
                <w:szCs w:val="20"/>
              </w:rPr>
            </w:pPr>
            <w:r w:rsidRPr="008A3830">
              <w:rPr>
                <w:rFonts w:asciiTheme="minorHAnsi" w:hAnsiTheme="minorHAnsi"/>
                <w:sz w:val="20"/>
                <w:szCs w:val="20"/>
              </w:rPr>
              <w:t>Furniture:</w:t>
            </w:r>
          </w:p>
          <w:p w14:paraId="79CB4E18" w14:textId="77777777" w:rsidR="001628D3" w:rsidRPr="00C22642" w:rsidRDefault="001628D3" w:rsidP="00C22642">
            <w:pPr>
              <w:pStyle w:val="ListParagraph"/>
              <w:numPr>
                <w:ilvl w:val="0"/>
                <w:numId w:val="28"/>
              </w:numPr>
              <w:spacing w:after="0" w:line="240" w:lineRule="auto"/>
              <w:rPr>
                <w:rFonts w:asciiTheme="minorHAnsi" w:hAnsiTheme="minorHAnsi"/>
                <w:sz w:val="20"/>
                <w:szCs w:val="20"/>
              </w:rPr>
            </w:pPr>
            <w:r w:rsidRPr="00C22642">
              <w:rPr>
                <w:rFonts w:asciiTheme="minorHAnsi" w:hAnsiTheme="minorHAnsi"/>
                <w:sz w:val="20"/>
                <w:szCs w:val="20"/>
              </w:rPr>
              <w:t>B - ANSI/BIFMA X7.1 Standard for Formaldehyde and TVOC Emissions.</w:t>
            </w:r>
          </w:p>
          <w:p w14:paraId="077FF598" w14:textId="3C822DC4" w:rsidR="001628D3" w:rsidRPr="00C22642" w:rsidRDefault="001628D3" w:rsidP="00C22642">
            <w:pPr>
              <w:pStyle w:val="ListParagraph"/>
              <w:numPr>
                <w:ilvl w:val="0"/>
                <w:numId w:val="28"/>
              </w:numPr>
              <w:spacing w:after="0" w:line="240" w:lineRule="auto"/>
              <w:rPr>
                <w:sz w:val="20"/>
                <w:szCs w:val="20"/>
              </w:rPr>
            </w:pPr>
            <w:r w:rsidRPr="00C22642">
              <w:rPr>
                <w:rFonts w:asciiTheme="minorHAnsi" w:hAnsiTheme="minorHAnsi"/>
                <w:sz w:val="20"/>
                <w:szCs w:val="20"/>
              </w:rPr>
              <w:t>L -</w:t>
            </w:r>
            <w:r w:rsidR="00BE1957">
              <w:rPr>
                <w:rFonts w:asciiTheme="minorHAnsi" w:hAnsiTheme="minorHAnsi"/>
                <w:sz w:val="20"/>
                <w:szCs w:val="20"/>
              </w:rPr>
              <w:t xml:space="preserve"> </w:t>
            </w:r>
            <w:r w:rsidRPr="00C22642">
              <w:rPr>
                <w:rFonts w:asciiTheme="minorHAnsi" w:hAnsiTheme="minorHAnsi"/>
                <w:sz w:val="20"/>
                <w:szCs w:val="20"/>
              </w:rPr>
              <w:t>“Standard Method for the Testing and Evaluation of Volatile Organic Chemical Emissions from Indoor Sources Using Environmental Chambers, Version 1.1” (2010) (CDPH Standard Method 1.1-2010) (</w:t>
            </w:r>
            <w:r w:rsidRPr="00C22642">
              <w:rPr>
                <w:sz w:val="20"/>
                <w:szCs w:val="20"/>
              </w:rPr>
              <w:t>This is the emission testing method for California Specification 01350.)</w:t>
            </w:r>
            <w:r w:rsidR="00A9432B" w:rsidRPr="00C22642">
              <w:rPr>
                <w:sz w:val="20"/>
                <w:szCs w:val="20"/>
              </w:rPr>
              <w:t xml:space="preserve"> (Note that if this </w:t>
            </w:r>
            <w:r w:rsidR="00D5687D" w:rsidRPr="00C22642">
              <w:rPr>
                <w:sz w:val="20"/>
                <w:szCs w:val="20"/>
              </w:rPr>
              <w:t xml:space="preserve">VOC </w:t>
            </w:r>
            <w:r w:rsidR="00A9432B" w:rsidRPr="00C22642">
              <w:rPr>
                <w:sz w:val="20"/>
                <w:szCs w:val="20"/>
              </w:rPr>
              <w:t xml:space="preserve">leadership criterion is met, </w:t>
            </w:r>
            <w:r w:rsidR="00D5687D" w:rsidRPr="00C22642">
              <w:rPr>
                <w:rFonts w:asciiTheme="minorHAnsi" w:hAnsiTheme="minorHAnsi"/>
                <w:sz w:val="20"/>
                <w:szCs w:val="20"/>
              </w:rPr>
              <w:t>ANSI/BIFMA X7.1 Standard does not need to be incorporated by reference.</w:t>
            </w:r>
            <w:r w:rsidR="00A9432B" w:rsidRPr="00C22642">
              <w:rPr>
                <w:sz w:val="20"/>
                <w:szCs w:val="20"/>
              </w:rPr>
              <w:t>)</w:t>
            </w:r>
          </w:p>
          <w:p w14:paraId="4B5D3863" w14:textId="6D963045" w:rsidR="00CE0325" w:rsidRPr="00C22642" w:rsidRDefault="00F36787" w:rsidP="00C22642">
            <w:pPr>
              <w:pStyle w:val="ListParagraph"/>
              <w:numPr>
                <w:ilvl w:val="0"/>
                <w:numId w:val="28"/>
              </w:numPr>
              <w:spacing w:after="0" w:line="240" w:lineRule="auto"/>
              <w:rPr>
                <w:rFonts w:asciiTheme="minorHAnsi" w:hAnsiTheme="minorHAnsi"/>
                <w:sz w:val="20"/>
                <w:szCs w:val="20"/>
              </w:rPr>
            </w:pPr>
            <w:r>
              <w:rPr>
                <w:rFonts w:asciiTheme="minorHAnsi" w:hAnsiTheme="minorHAnsi"/>
                <w:sz w:val="20"/>
                <w:szCs w:val="20"/>
              </w:rPr>
              <w:t>L</w:t>
            </w:r>
            <w:r w:rsidR="00CE0325" w:rsidRPr="00C22642">
              <w:rPr>
                <w:rFonts w:asciiTheme="minorHAnsi" w:hAnsiTheme="minorHAnsi"/>
                <w:sz w:val="20"/>
                <w:szCs w:val="20"/>
              </w:rPr>
              <w:t>-</w:t>
            </w:r>
            <w:r w:rsidR="00BE1957">
              <w:rPr>
                <w:rFonts w:asciiTheme="minorHAnsi" w:hAnsiTheme="minorHAnsi"/>
                <w:sz w:val="20"/>
                <w:szCs w:val="20"/>
              </w:rPr>
              <w:t xml:space="preserve"> </w:t>
            </w:r>
            <w:r w:rsidR="00CE0325" w:rsidRPr="00C22642">
              <w:rPr>
                <w:rFonts w:asciiTheme="minorHAnsi" w:hAnsiTheme="minorHAnsi"/>
                <w:sz w:val="20"/>
                <w:szCs w:val="20"/>
              </w:rPr>
              <w:t xml:space="preserve">California’s furniture flammability standard (Technical Bulletin 117-2013) and requires products to be labeled as not containing flame retardant chemicals consistent with the manner described in Section 19094 of the California </w:t>
            </w:r>
            <w:r w:rsidR="00504A48" w:rsidRPr="00C22642">
              <w:rPr>
                <w:rFonts w:asciiTheme="minorHAnsi" w:hAnsiTheme="minorHAnsi"/>
                <w:sz w:val="20"/>
                <w:szCs w:val="20"/>
              </w:rPr>
              <w:t xml:space="preserve">Business and Professions Code </w:t>
            </w:r>
          </w:p>
          <w:p w14:paraId="2BF35F9D" w14:textId="2D82CA5D" w:rsidR="00F36787" w:rsidRDefault="00F36787" w:rsidP="001628D3">
            <w:pPr>
              <w:spacing w:after="0" w:line="240" w:lineRule="auto"/>
              <w:rPr>
                <w:rFonts w:asciiTheme="minorHAnsi" w:hAnsiTheme="minorHAnsi"/>
                <w:sz w:val="20"/>
                <w:szCs w:val="20"/>
              </w:rPr>
            </w:pPr>
            <w:r>
              <w:rPr>
                <w:i/>
                <w:sz w:val="20"/>
                <w:szCs w:val="20"/>
              </w:rPr>
              <w:t xml:space="preserve">Note that additional </w:t>
            </w:r>
            <w:r w:rsidRPr="00F36787">
              <w:rPr>
                <w:i/>
                <w:sz w:val="20"/>
                <w:szCs w:val="20"/>
              </w:rPr>
              <w:t>chemicals of concern</w:t>
            </w:r>
            <w:r>
              <w:rPr>
                <w:i/>
                <w:sz w:val="20"/>
                <w:szCs w:val="20"/>
              </w:rPr>
              <w:t xml:space="preserve"> have also been identified as </w:t>
            </w:r>
            <w:r w:rsidRPr="00F36787">
              <w:rPr>
                <w:i/>
                <w:sz w:val="20"/>
                <w:szCs w:val="20"/>
              </w:rPr>
              <w:t>potential hotspot</w:t>
            </w:r>
            <w:r>
              <w:rPr>
                <w:i/>
                <w:sz w:val="20"/>
                <w:szCs w:val="20"/>
              </w:rPr>
              <w:t>s</w:t>
            </w:r>
            <w:r w:rsidRPr="00F36787">
              <w:rPr>
                <w:i/>
                <w:sz w:val="20"/>
                <w:szCs w:val="20"/>
              </w:rPr>
              <w:t xml:space="preserve"> in the </w:t>
            </w:r>
            <w:r>
              <w:rPr>
                <w:i/>
                <w:sz w:val="20"/>
                <w:szCs w:val="20"/>
              </w:rPr>
              <w:t>installation/use</w:t>
            </w:r>
            <w:r w:rsidRPr="00F36787">
              <w:rPr>
                <w:i/>
                <w:sz w:val="20"/>
                <w:szCs w:val="20"/>
              </w:rPr>
              <w:t xml:space="preserve"> stage</w:t>
            </w:r>
            <w:r w:rsidRPr="00F36787">
              <w:rPr>
                <w:rFonts w:asciiTheme="minorHAnsi" w:hAnsiTheme="minorHAnsi"/>
                <w:i/>
                <w:sz w:val="20"/>
                <w:szCs w:val="20"/>
              </w:rPr>
              <w:t>. These issues are addressed in criteria II.5, II.6, and II.7.</w:t>
            </w:r>
          </w:p>
          <w:p w14:paraId="0748B70A" w14:textId="77777777" w:rsidR="00F36787" w:rsidRDefault="00F36787" w:rsidP="001628D3">
            <w:pPr>
              <w:spacing w:after="0" w:line="240" w:lineRule="auto"/>
              <w:rPr>
                <w:rFonts w:asciiTheme="minorHAnsi" w:hAnsiTheme="minorHAnsi"/>
                <w:sz w:val="20"/>
                <w:szCs w:val="20"/>
              </w:rPr>
            </w:pPr>
          </w:p>
          <w:p w14:paraId="10A7C933" w14:textId="77777777" w:rsidR="001628D3" w:rsidRPr="008A3830" w:rsidRDefault="001628D3" w:rsidP="001628D3">
            <w:pPr>
              <w:spacing w:after="0" w:line="240" w:lineRule="auto"/>
              <w:rPr>
                <w:sz w:val="20"/>
                <w:szCs w:val="20"/>
              </w:rPr>
            </w:pPr>
            <w:r w:rsidRPr="008A3830">
              <w:rPr>
                <w:rFonts w:asciiTheme="minorHAnsi" w:hAnsiTheme="minorHAnsi"/>
                <w:sz w:val="20"/>
                <w:szCs w:val="20"/>
              </w:rPr>
              <w:t>Paints</w:t>
            </w:r>
            <w:r>
              <w:rPr>
                <w:rFonts w:asciiTheme="minorHAnsi" w:hAnsiTheme="minorHAnsi"/>
                <w:sz w:val="20"/>
                <w:szCs w:val="20"/>
              </w:rPr>
              <w:t>/Coatings</w:t>
            </w:r>
            <w:r w:rsidRPr="008A3830">
              <w:rPr>
                <w:rFonts w:asciiTheme="minorHAnsi" w:hAnsiTheme="minorHAnsi"/>
                <w:sz w:val="20"/>
                <w:szCs w:val="20"/>
              </w:rPr>
              <w:t>:</w:t>
            </w:r>
          </w:p>
          <w:p w14:paraId="0FDE579D" w14:textId="77777777" w:rsidR="001628D3" w:rsidRPr="00C22642" w:rsidRDefault="001628D3" w:rsidP="00C22642">
            <w:pPr>
              <w:pStyle w:val="ListParagraph"/>
              <w:numPr>
                <w:ilvl w:val="0"/>
                <w:numId w:val="29"/>
              </w:numPr>
              <w:spacing w:after="0" w:line="240" w:lineRule="auto"/>
              <w:rPr>
                <w:rFonts w:asciiTheme="minorHAnsi" w:hAnsiTheme="minorHAnsi"/>
                <w:sz w:val="20"/>
                <w:szCs w:val="20"/>
              </w:rPr>
            </w:pPr>
            <w:r w:rsidRPr="00C22642">
              <w:rPr>
                <w:sz w:val="20"/>
                <w:szCs w:val="20"/>
              </w:rPr>
              <w:lastRenderedPageBreak/>
              <w:t>B -California Air Resources Board’s (CARB) Suggested Control Measures (SCM) 2007 for VOC content for Paints/Coatings.</w:t>
            </w:r>
          </w:p>
          <w:p w14:paraId="5FD3CA58" w14:textId="2691E238" w:rsidR="001628D3" w:rsidRPr="00816993" w:rsidRDefault="001628D3" w:rsidP="00C22642">
            <w:pPr>
              <w:pStyle w:val="ListParagraph"/>
              <w:numPr>
                <w:ilvl w:val="0"/>
                <w:numId w:val="29"/>
              </w:numPr>
              <w:spacing w:after="0" w:line="240" w:lineRule="auto"/>
              <w:rPr>
                <w:sz w:val="20"/>
                <w:szCs w:val="20"/>
              </w:rPr>
            </w:pPr>
            <w:r w:rsidRPr="00C22642">
              <w:rPr>
                <w:rFonts w:asciiTheme="minorHAnsi" w:hAnsiTheme="minorHAnsi"/>
                <w:sz w:val="20"/>
                <w:szCs w:val="20"/>
              </w:rPr>
              <w:t xml:space="preserve">L -“Standard Method for the Testing and Evaluation of Volatile Organic Chemical Emissions from Indoor Sources Using Environmental Chambers, Version </w:t>
            </w:r>
            <w:r w:rsidRPr="00816993">
              <w:rPr>
                <w:rFonts w:asciiTheme="minorHAnsi" w:hAnsiTheme="minorHAnsi"/>
                <w:sz w:val="20"/>
                <w:szCs w:val="20"/>
              </w:rPr>
              <w:t xml:space="preserve">1.1” (2010) (CDPH Standard Method 1.1-2010) </w:t>
            </w:r>
            <w:r w:rsidR="00D0226F" w:rsidRPr="00816993">
              <w:rPr>
                <w:rFonts w:asciiTheme="minorHAnsi" w:hAnsiTheme="minorHAnsi"/>
                <w:sz w:val="20"/>
                <w:szCs w:val="20"/>
                <w:u w:val="single"/>
              </w:rPr>
              <w:t>(</w:t>
            </w:r>
            <w:r w:rsidR="00D0226F" w:rsidRPr="00816993">
              <w:rPr>
                <w:sz w:val="20"/>
                <w:szCs w:val="20"/>
                <w:u w:val="single"/>
              </w:rPr>
              <w:t>This is the emission testing method for California Specification 01350.)</w:t>
            </w:r>
          </w:p>
          <w:p w14:paraId="05FAA45A" w14:textId="35C6BF8D" w:rsidR="00D0226F" w:rsidRPr="00816993" w:rsidRDefault="001628D3" w:rsidP="00D0226F">
            <w:pPr>
              <w:pStyle w:val="ListParagraph"/>
              <w:numPr>
                <w:ilvl w:val="0"/>
                <w:numId w:val="29"/>
              </w:numPr>
              <w:spacing w:after="0" w:line="240" w:lineRule="auto"/>
              <w:rPr>
                <w:rFonts w:asciiTheme="minorHAnsi" w:hAnsiTheme="minorHAnsi"/>
                <w:sz w:val="20"/>
                <w:szCs w:val="20"/>
              </w:rPr>
            </w:pPr>
            <w:r w:rsidRPr="00816993">
              <w:rPr>
                <w:sz w:val="20"/>
                <w:szCs w:val="20"/>
              </w:rPr>
              <w:t xml:space="preserve">L- </w:t>
            </w:r>
            <w:r w:rsidRPr="00816993">
              <w:rPr>
                <w:rFonts w:asciiTheme="minorHAnsi" w:hAnsiTheme="minorHAnsi"/>
                <w:sz w:val="20"/>
                <w:szCs w:val="20"/>
              </w:rPr>
              <w:t>South Coast Air Quality Management District (SCAQMD) Rule 1113</w:t>
            </w:r>
            <w:r w:rsidR="00D0226F" w:rsidRPr="00816993">
              <w:rPr>
                <w:rFonts w:asciiTheme="minorHAnsi" w:hAnsiTheme="minorHAnsi"/>
                <w:sz w:val="20"/>
                <w:szCs w:val="20"/>
                <w:u w:val="single"/>
              </w:rPr>
              <w:t xml:space="preserve"> for VOC content</w:t>
            </w:r>
          </w:p>
          <w:p w14:paraId="5B068788" w14:textId="33285AA8" w:rsidR="001628D3" w:rsidRPr="00C22642" w:rsidRDefault="00D0226F" w:rsidP="00D0226F">
            <w:pPr>
              <w:pStyle w:val="ListParagraph"/>
              <w:spacing w:after="0" w:line="240" w:lineRule="auto"/>
              <w:rPr>
                <w:rFonts w:asciiTheme="minorHAnsi" w:hAnsiTheme="minorHAnsi"/>
                <w:sz w:val="20"/>
                <w:szCs w:val="20"/>
              </w:rPr>
            </w:pPr>
            <w:r>
              <w:rPr>
                <w:rFonts w:asciiTheme="minorHAnsi" w:hAnsiTheme="minorHAnsi"/>
                <w:sz w:val="20"/>
                <w:szCs w:val="20"/>
              </w:rPr>
              <w:t xml:space="preserve"> </w:t>
            </w:r>
          </w:p>
          <w:p w14:paraId="00EC60C3" w14:textId="77777777" w:rsidR="00F36787" w:rsidRDefault="00F36787" w:rsidP="00F36787">
            <w:pPr>
              <w:spacing w:after="0" w:line="240" w:lineRule="auto"/>
              <w:rPr>
                <w:rFonts w:asciiTheme="minorHAnsi" w:hAnsiTheme="minorHAnsi"/>
                <w:sz w:val="20"/>
                <w:szCs w:val="20"/>
              </w:rPr>
            </w:pPr>
            <w:r>
              <w:rPr>
                <w:i/>
                <w:sz w:val="20"/>
                <w:szCs w:val="20"/>
              </w:rPr>
              <w:t xml:space="preserve">Note that additional </w:t>
            </w:r>
            <w:r w:rsidRPr="00F36787">
              <w:rPr>
                <w:i/>
                <w:sz w:val="20"/>
                <w:szCs w:val="20"/>
              </w:rPr>
              <w:t>chemicals of concern</w:t>
            </w:r>
            <w:r>
              <w:rPr>
                <w:i/>
                <w:sz w:val="20"/>
                <w:szCs w:val="20"/>
              </w:rPr>
              <w:t xml:space="preserve"> have also been identified as </w:t>
            </w:r>
            <w:r w:rsidRPr="00F36787">
              <w:rPr>
                <w:i/>
                <w:sz w:val="20"/>
                <w:szCs w:val="20"/>
              </w:rPr>
              <w:t>potential hotspot</w:t>
            </w:r>
            <w:r>
              <w:rPr>
                <w:i/>
                <w:sz w:val="20"/>
                <w:szCs w:val="20"/>
              </w:rPr>
              <w:t>s</w:t>
            </w:r>
            <w:r w:rsidRPr="00F36787">
              <w:rPr>
                <w:i/>
                <w:sz w:val="20"/>
                <w:szCs w:val="20"/>
              </w:rPr>
              <w:t xml:space="preserve"> in the </w:t>
            </w:r>
            <w:r>
              <w:rPr>
                <w:i/>
                <w:sz w:val="20"/>
                <w:szCs w:val="20"/>
              </w:rPr>
              <w:t>installation/use</w:t>
            </w:r>
            <w:r w:rsidRPr="00F36787">
              <w:rPr>
                <w:i/>
                <w:sz w:val="20"/>
                <w:szCs w:val="20"/>
              </w:rPr>
              <w:t xml:space="preserve"> stage</w:t>
            </w:r>
            <w:r w:rsidRPr="00F36787">
              <w:rPr>
                <w:rFonts w:asciiTheme="minorHAnsi" w:hAnsiTheme="minorHAnsi"/>
                <w:i/>
                <w:sz w:val="20"/>
                <w:szCs w:val="20"/>
              </w:rPr>
              <w:t>. These issues are addressed in criteria II.5, II.6, and II.7.</w:t>
            </w:r>
          </w:p>
          <w:p w14:paraId="7C20B334" w14:textId="77777777" w:rsidR="008A3830" w:rsidRPr="008A3830" w:rsidRDefault="008A3830" w:rsidP="008A3830">
            <w:pPr>
              <w:spacing w:after="0" w:line="240" w:lineRule="auto"/>
              <w:rPr>
                <w:rFonts w:asciiTheme="minorHAnsi" w:hAnsiTheme="minorHAnsi"/>
                <w:sz w:val="20"/>
                <w:szCs w:val="20"/>
              </w:rPr>
            </w:pPr>
          </w:p>
          <w:p w14:paraId="0D87C07D" w14:textId="77777777" w:rsidR="008A3830" w:rsidRPr="008A3830" w:rsidRDefault="008A3830" w:rsidP="008A3830">
            <w:pPr>
              <w:spacing w:after="0" w:line="240" w:lineRule="auto"/>
              <w:rPr>
                <w:rFonts w:asciiTheme="minorHAnsi" w:hAnsiTheme="minorHAnsi"/>
                <w:sz w:val="20"/>
                <w:szCs w:val="20"/>
              </w:rPr>
            </w:pPr>
            <w:r w:rsidRPr="008A3830">
              <w:rPr>
                <w:rFonts w:asciiTheme="minorHAnsi" w:hAnsiTheme="minorHAnsi"/>
                <w:sz w:val="20"/>
                <w:szCs w:val="20"/>
              </w:rPr>
              <w:t>And</w:t>
            </w:r>
          </w:p>
          <w:p w14:paraId="2BF032C9" w14:textId="77777777" w:rsidR="008A3830" w:rsidRPr="008A3830" w:rsidRDefault="008A3830" w:rsidP="008A3830">
            <w:pPr>
              <w:spacing w:after="0" w:line="240" w:lineRule="auto"/>
              <w:rPr>
                <w:rFonts w:asciiTheme="minorHAnsi" w:hAnsiTheme="minorHAnsi"/>
                <w:sz w:val="20"/>
                <w:szCs w:val="20"/>
              </w:rPr>
            </w:pPr>
          </w:p>
          <w:p w14:paraId="38D9056A" w14:textId="5CA8500C" w:rsidR="008A3830" w:rsidRDefault="00911A4E" w:rsidP="008A3830">
            <w:pPr>
              <w:spacing w:after="0" w:line="240" w:lineRule="auto"/>
              <w:rPr>
                <w:rFonts w:asciiTheme="minorHAnsi" w:hAnsiTheme="minorHAnsi"/>
                <w:sz w:val="20"/>
                <w:szCs w:val="20"/>
              </w:rPr>
            </w:pPr>
            <w:r>
              <w:rPr>
                <w:rFonts w:asciiTheme="minorHAnsi" w:hAnsiTheme="minorHAnsi"/>
                <w:sz w:val="20"/>
                <w:szCs w:val="20"/>
              </w:rPr>
              <w:t xml:space="preserve">II.1.4 </w:t>
            </w:r>
            <w:r w:rsidR="008A3830" w:rsidRPr="008A3830">
              <w:rPr>
                <w:rFonts w:asciiTheme="minorHAnsi" w:hAnsiTheme="minorHAnsi"/>
                <w:sz w:val="20"/>
                <w:szCs w:val="20"/>
              </w:rPr>
              <w:t xml:space="preserve">For standards claiming to address the </w:t>
            </w:r>
            <w:r w:rsidR="008A3830" w:rsidRPr="008A3830">
              <w:rPr>
                <w:rFonts w:asciiTheme="minorHAnsi" w:hAnsiTheme="minorHAnsi"/>
                <w:sz w:val="20"/>
                <w:szCs w:val="20"/>
                <w:u w:val="single"/>
              </w:rPr>
              <w:t>end of life stage</w:t>
            </w:r>
            <w:r w:rsidR="008A3830" w:rsidRPr="008A3830">
              <w:rPr>
                <w:rFonts w:asciiTheme="minorHAnsi" w:hAnsiTheme="minorHAnsi"/>
                <w:sz w:val="20"/>
                <w:szCs w:val="20"/>
              </w:rPr>
              <w:t>, the standard meaningfully and measurably addresses:</w:t>
            </w:r>
          </w:p>
          <w:p w14:paraId="5F6E8333" w14:textId="2DAC37D6" w:rsidR="00BE1957" w:rsidRPr="008A3830" w:rsidRDefault="00BE1957" w:rsidP="008A3830">
            <w:pPr>
              <w:spacing w:after="0" w:line="240" w:lineRule="auto"/>
              <w:rPr>
                <w:rFonts w:asciiTheme="minorHAnsi" w:hAnsiTheme="minorHAnsi"/>
                <w:sz w:val="20"/>
                <w:szCs w:val="20"/>
              </w:rPr>
            </w:pPr>
            <w:r>
              <w:rPr>
                <w:rFonts w:asciiTheme="minorHAnsi" w:hAnsiTheme="minorHAnsi"/>
                <w:sz w:val="20"/>
                <w:szCs w:val="20"/>
              </w:rPr>
              <w:t>For all sectors:</w:t>
            </w:r>
          </w:p>
          <w:p w14:paraId="43917403" w14:textId="77777777" w:rsidR="00607595" w:rsidRPr="00607595" w:rsidRDefault="00BE1957" w:rsidP="00BE1957">
            <w:pPr>
              <w:pStyle w:val="ListParagraph"/>
              <w:numPr>
                <w:ilvl w:val="0"/>
                <w:numId w:val="30"/>
              </w:numPr>
              <w:spacing w:after="0" w:line="240" w:lineRule="auto"/>
              <w:rPr>
                <w:rFonts w:asciiTheme="minorHAnsi" w:hAnsiTheme="minorHAnsi"/>
                <w:color w:val="000000"/>
                <w:sz w:val="20"/>
                <w:szCs w:val="20"/>
              </w:rPr>
            </w:pPr>
            <w:r w:rsidRPr="00BE1957">
              <w:rPr>
                <w:rFonts w:asciiTheme="minorHAnsi" w:hAnsiTheme="minorHAnsi"/>
                <w:sz w:val="20"/>
                <w:szCs w:val="20"/>
              </w:rPr>
              <w:t>B - S</w:t>
            </w:r>
            <w:r w:rsidR="008A3830" w:rsidRPr="00BE1957">
              <w:rPr>
                <w:rFonts w:asciiTheme="minorHAnsi" w:hAnsiTheme="minorHAnsi"/>
                <w:sz w:val="20"/>
                <w:szCs w:val="20"/>
              </w:rPr>
              <w:t>olid waste generation (e.g., design for disassembly, product take-back programs</w:t>
            </w:r>
            <w:r w:rsidR="00EE0F70" w:rsidRPr="00BE1957">
              <w:rPr>
                <w:rFonts w:asciiTheme="minorHAnsi" w:hAnsiTheme="minorHAnsi"/>
                <w:sz w:val="20"/>
                <w:szCs w:val="20"/>
              </w:rPr>
              <w:t>, remanufactured/repurpose capabilities, or minimizing disposal impacts</w:t>
            </w:r>
            <w:r w:rsidR="008A3830" w:rsidRPr="00BE1957">
              <w:rPr>
                <w:rFonts w:asciiTheme="minorHAnsi" w:hAnsiTheme="minorHAnsi"/>
                <w:sz w:val="20"/>
                <w:szCs w:val="20"/>
              </w:rPr>
              <w:t>).</w:t>
            </w:r>
          </w:p>
          <w:p w14:paraId="648407DD" w14:textId="77777777" w:rsidR="00607595" w:rsidRDefault="00607595" w:rsidP="00607595">
            <w:pPr>
              <w:spacing w:after="0" w:line="240" w:lineRule="auto"/>
              <w:rPr>
                <w:rFonts w:asciiTheme="minorHAnsi" w:hAnsiTheme="minorHAnsi"/>
                <w:sz w:val="20"/>
                <w:szCs w:val="20"/>
              </w:rPr>
            </w:pPr>
            <w:r>
              <w:rPr>
                <w:i/>
                <w:sz w:val="20"/>
                <w:szCs w:val="20"/>
              </w:rPr>
              <w:t xml:space="preserve">Note that additional </w:t>
            </w:r>
            <w:r w:rsidRPr="00F36787">
              <w:rPr>
                <w:i/>
                <w:sz w:val="20"/>
                <w:szCs w:val="20"/>
              </w:rPr>
              <w:t>chemicals of concern</w:t>
            </w:r>
            <w:r>
              <w:rPr>
                <w:i/>
                <w:sz w:val="20"/>
                <w:szCs w:val="20"/>
              </w:rPr>
              <w:t xml:space="preserve"> have also been identified as </w:t>
            </w:r>
            <w:r w:rsidRPr="00F36787">
              <w:rPr>
                <w:i/>
                <w:sz w:val="20"/>
                <w:szCs w:val="20"/>
              </w:rPr>
              <w:t>potential hotspot</w:t>
            </w:r>
            <w:r>
              <w:rPr>
                <w:i/>
                <w:sz w:val="20"/>
                <w:szCs w:val="20"/>
              </w:rPr>
              <w:t>s</w:t>
            </w:r>
            <w:r w:rsidRPr="00F36787">
              <w:rPr>
                <w:i/>
                <w:sz w:val="20"/>
                <w:szCs w:val="20"/>
              </w:rPr>
              <w:t xml:space="preserve"> in the </w:t>
            </w:r>
            <w:r>
              <w:rPr>
                <w:i/>
                <w:sz w:val="20"/>
                <w:szCs w:val="20"/>
              </w:rPr>
              <w:t>installation/use</w:t>
            </w:r>
            <w:r w:rsidRPr="00F36787">
              <w:rPr>
                <w:i/>
                <w:sz w:val="20"/>
                <w:szCs w:val="20"/>
              </w:rPr>
              <w:t xml:space="preserve"> stage</w:t>
            </w:r>
            <w:r w:rsidRPr="00F36787">
              <w:rPr>
                <w:rFonts w:asciiTheme="minorHAnsi" w:hAnsiTheme="minorHAnsi"/>
                <w:i/>
                <w:sz w:val="20"/>
                <w:szCs w:val="20"/>
              </w:rPr>
              <w:t>. These issues are addressed in criteria II.5, II.6, and II.7.</w:t>
            </w:r>
          </w:p>
          <w:p w14:paraId="20082C9E" w14:textId="3E1C7367" w:rsidR="00974B8F" w:rsidRPr="005613A7" w:rsidRDefault="00607595" w:rsidP="00607595">
            <w:pPr>
              <w:pStyle w:val="ListParagraph"/>
              <w:spacing w:after="0" w:line="240" w:lineRule="auto"/>
              <w:rPr>
                <w:rFonts w:asciiTheme="minorHAnsi" w:hAnsiTheme="minorHAnsi"/>
                <w:color w:val="000000"/>
                <w:sz w:val="20"/>
                <w:szCs w:val="20"/>
              </w:rPr>
            </w:pPr>
            <w:r>
              <w:rPr>
                <w:rFonts w:asciiTheme="minorHAnsi" w:hAnsiTheme="minorHAnsi"/>
                <w:sz w:val="20"/>
                <w:szCs w:val="20"/>
              </w:rPr>
              <w:br/>
            </w:r>
          </w:p>
        </w:tc>
        <w:tc>
          <w:tcPr>
            <w:tcW w:w="4680" w:type="dxa"/>
            <w:noWrap/>
            <w:vAlign w:val="center"/>
          </w:tcPr>
          <w:p w14:paraId="47373AEF" w14:textId="426AAD51" w:rsidR="005A083D" w:rsidRDefault="0012636C" w:rsidP="00211464">
            <w:pPr>
              <w:spacing w:after="0" w:line="240" w:lineRule="auto"/>
              <w:rPr>
                <w:rFonts w:asciiTheme="minorHAnsi" w:hAnsiTheme="minorHAnsi"/>
                <w:sz w:val="20"/>
                <w:szCs w:val="20"/>
              </w:rPr>
            </w:pPr>
            <w:r>
              <w:rPr>
                <w:rFonts w:asciiTheme="minorHAnsi" w:hAnsiTheme="minorHAnsi"/>
                <w:sz w:val="20"/>
                <w:szCs w:val="20"/>
              </w:rPr>
              <w:lastRenderedPageBreak/>
              <w:t>-</w:t>
            </w:r>
            <w:r w:rsidR="005A083D">
              <w:rPr>
                <w:rFonts w:asciiTheme="minorHAnsi" w:hAnsiTheme="minorHAnsi"/>
                <w:sz w:val="20"/>
                <w:szCs w:val="20"/>
              </w:rPr>
              <w:t xml:space="preserve">Text of the </w:t>
            </w:r>
            <w:r w:rsidR="005A083D" w:rsidRPr="001741FD">
              <w:rPr>
                <w:rFonts w:asciiTheme="minorHAnsi" w:hAnsiTheme="minorHAnsi"/>
                <w:sz w:val="20"/>
                <w:szCs w:val="20"/>
              </w:rPr>
              <w:t>standard</w:t>
            </w:r>
            <w:r w:rsidR="008C39DA" w:rsidRPr="001741FD">
              <w:rPr>
                <w:rFonts w:asciiTheme="minorHAnsi" w:hAnsiTheme="minorHAnsi"/>
                <w:sz w:val="20"/>
                <w:szCs w:val="20"/>
              </w:rPr>
              <w:t xml:space="preserve"> </w:t>
            </w:r>
            <w:r w:rsidR="008C39DA" w:rsidRPr="001741FD">
              <w:rPr>
                <w:rFonts w:asciiTheme="minorHAnsi" w:hAnsiTheme="minorHAnsi"/>
                <w:color w:val="000000"/>
                <w:sz w:val="20"/>
                <w:szCs w:val="20"/>
              </w:rPr>
              <w:t>provides a clear protocol for measuring whether a product has achieved the standard’s target level(s) of performance</w:t>
            </w:r>
            <w:r w:rsidR="001741FD">
              <w:rPr>
                <w:rFonts w:asciiTheme="minorHAnsi" w:hAnsiTheme="minorHAnsi"/>
                <w:color w:val="000000"/>
                <w:sz w:val="20"/>
                <w:szCs w:val="20"/>
              </w:rPr>
              <w:t xml:space="preserve"> for the hotspot(s) addressed</w:t>
            </w:r>
          </w:p>
          <w:p w14:paraId="2B4FD6A8" w14:textId="77777777" w:rsidR="005A083D" w:rsidRDefault="005A083D" w:rsidP="00211464">
            <w:pPr>
              <w:spacing w:after="0" w:line="240" w:lineRule="auto"/>
              <w:rPr>
                <w:rFonts w:asciiTheme="minorHAnsi" w:hAnsiTheme="minorHAnsi"/>
                <w:sz w:val="20"/>
                <w:szCs w:val="20"/>
              </w:rPr>
            </w:pPr>
          </w:p>
          <w:p w14:paraId="77475857" w14:textId="457A15C6" w:rsidR="00211464" w:rsidRDefault="005A083D" w:rsidP="00211464">
            <w:pPr>
              <w:spacing w:after="0" w:line="240" w:lineRule="auto"/>
              <w:rPr>
                <w:rFonts w:asciiTheme="minorHAnsi" w:hAnsiTheme="minorHAnsi"/>
                <w:sz w:val="20"/>
                <w:szCs w:val="20"/>
              </w:rPr>
            </w:pPr>
            <w:r>
              <w:rPr>
                <w:rFonts w:asciiTheme="minorHAnsi" w:hAnsiTheme="minorHAnsi"/>
                <w:sz w:val="20"/>
                <w:szCs w:val="20"/>
              </w:rPr>
              <w:t>-SDO j</w:t>
            </w:r>
            <w:r w:rsidRPr="00211464">
              <w:rPr>
                <w:rFonts w:asciiTheme="minorHAnsi" w:hAnsiTheme="minorHAnsi"/>
                <w:sz w:val="20"/>
                <w:szCs w:val="20"/>
              </w:rPr>
              <w:t>ustification for each of the impact categories claimed</w:t>
            </w:r>
            <w:r>
              <w:rPr>
                <w:rFonts w:asciiTheme="minorHAnsi" w:hAnsiTheme="minorHAnsi"/>
                <w:sz w:val="20"/>
                <w:szCs w:val="20"/>
              </w:rPr>
              <w:t xml:space="preserve"> to be meaningfully and measurably addressed</w:t>
            </w:r>
            <w:r w:rsidRPr="00211464">
              <w:rPr>
                <w:rFonts w:asciiTheme="minorHAnsi" w:hAnsiTheme="minorHAnsi"/>
                <w:sz w:val="20"/>
                <w:szCs w:val="20"/>
              </w:rPr>
              <w:t>.</w:t>
            </w:r>
          </w:p>
          <w:p w14:paraId="1248E70B" w14:textId="77777777" w:rsidR="00914CFC" w:rsidRDefault="00914CFC" w:rsidP="00211464">
            <w:pPr>
              <w:spacing w:after="0" w:line="240" w:lineRule="auto"/>
              <w:rPr>
                <w:rFonts w:asciiTheme="minorHAnsi" w:hAnsiTheme="minorHAnsi"/>
                <w:sz w:val="20"/>
                <w:szCs w:val="20"/>
              </w:rPr>
            </w:pPr>
          </w:p>
          <w:p w14:paraId="17D221F1" w14:textId="7ABD1855" w:rsidR="00914CFC" w:rsidRDefault="00D31724" w:rsidP="00914CFC">
            <w:pPr>
              <w:pStyle w:val="CommentText"/>
            </w:pPr>
            <w:r>
              <w:t>-</w:t>
            </w:r>
            <w:r w:rsidR="00CD2AC7">
              <w:t xml:space="preserve"> For baseline credit, minimally</w:t>
            </w:r>
            <w:r w:rsidR="005A083D">
              <w:t>, the</w:t>
            </w:r>
            <w:r w:rsidR="00914CFC">
              <w:t xml:space="preserve"> text of </w:t>
            </w:r>
            <w:r w:rsidR="005A083D">
              <w:t xml:space="preserve">the </w:t>
            </w:r>
            <w:r w:rsidR="00914CFC">
              <w:t xml:space="preserve">standard </w:t>
            </w:r>
            <w:r w:rsidR="005A083D">
              <w:t>requires</w:t>
            </w:r>
            <w:r w:rsidR="00914CFC">
              <w:t xml:space="preserve"> a management plan approach to addressing the hotspot</w:t>
            </w:r>
          </w:p>
          <w:p w14:paraId="11D447C6" w14:textId="11B2B1A5" w:rsidR="00914CFC" w:rsidRDefault="005A083D" w:rsidP="00914CFC">
            <w:pPr>
              <w:spacing w:after="0" w:line="240" w:lineRule="auto"/>
              <w:rPr>
                <w:sz w:val="20"/>
              </w:rPr>
            </w:pPr>
            <w:r>
              <w:rPr>
                <w:sz w:val="20"/>
              </w:rPr>
              <w:t>-F</w:t>
            </w:r>
            <w:r w:rsidR="00914CFC" w:rsidRPr="00D31724">
              <w:rPr>
                <w:sz w:val="20"/>
              </w:rPr>
              <w:t xml:space="preserve">or Leadership </w:t>
            </w:r>
            <w:r w:rsidR="00D31724" w:rsidRPr="00D31724">
              <w:rPr>
                <w:sz w:val="20"/>
              </w:rPr>
              <w:t>credit</w:t>
            </w:r>
            <w:r>
              <w:rPr>
                <w:sz w:val="20"/>
              </w:rPr>
              <w:t>,</w:t>
            </w:r>
            <w:r w:rsidR="00D31724" w:rsidRPr="00D31724">
              <w:rPr>
                <w:sz w:val="20"/>
              </w:rPr>
              <w:t xml:space="preserve"> </w:t>
            </w:r>
            <w:r>
              <w:rPr>
                <w:sz w:val="20"/>
              </w:rPr>
              <w:t xml:space="preserve">the </w:t>
            </w:r>
            <w:r w:rsidR="00914CFC" w:rsidRPr="00D31724">
              <w:rPr>
                <w:sz w:val="20"/>
              </w:rPr>
              <w:t xml:space="preserve">text of the standard requires </w:t>
            </w:r>
            <w:r w:rsidR="00D31724" w:rsidRPr="00D31724">
              <w:rPr>
                <w:sz w:val="20"/>
              </w:rPr>
              <w:t xml:space="preserve">specific approaches and/or measures to </w:t>
            </w:r>
            <w:r>
              <w:rPr>
                <w:sz w:val="20"/>
              </w:rPr>
              <w:t>demonstrate</w:t>
            </w:r>
            <w:r w:rsidR="00D31724" w:rsidRPr="00D31724">
              <w:rPr>
                <w:sz w:val="20"/>
              </w:rPr>
              <w:t xml:space="preserve"> </w:t>
            </w:r>
            <w:r w:rsidR="00914CFC" w:rsidRPr="00D31724">
              <w:rPr>
                <w:sz w:val="20"/>
              </w:rPr>
              <w:t xml:space="preserve">performance outcomes </w:t>
            </w:r>
            <w:r w:rsidR="00D31724" w:rsidRPr="00D31724">
              <w:rPr>
                <w:sz w:val="20"/>
              </w:rPr>
              <w:t>are achieved per</w:t>
            </w:r>
            <w:r w:rsidR="00914CFC" w:rsidRPr="00D31724">
              <w:rPr>
                <w:sz w:val="20"/>
              </w:rPr>
              <w:t xml:space="preserve"> the hotspot</w:t>
            </w:r>
          </w:p>
          <w:p w14:paraId="54E34AD7" w14:textId="77777777" w:rsidR="008F78DF" w:rsidRDefault="008F78DF" w:rsidP="00914CFC">
            <w:pPr>
              <w:spacing w:after="0" w:line="240" w:lineRule="auto"/>
              <w:rPr>
                <w:sz w:val="20"/>
              </w:rPr>
            </w:pPr>
          </w:p>
          <w:p w14:paraId="5789016D" w14:textId="21C990AC" w:rsidR="008F78DF" w:rsidRDefault="008F78DF" w:rsidP="008F78DF">
            <w:pPr>
              <w:spacing w:after="0" w:line="240" w:lineRule="auto"/>
              <w:rPr>
                <w:rFonts w:asciiTheme="minorHAnsi" w:hAnsiTheme="minorHAnsi"/>
                <w:sz w:val="20"/>
                <w:szCs w:val="20"/>
              </w:rPr>
            </w:pPr>
            <w:r>
              <w:rPr>
                <w:rFonts w:asciiTheme="minorHAnsi" w:hAnsiTheme="minorHAnsi"/>
                <w:sz w:val="20"/>
                <w:szCs w:val="20"/>
              </w:rPr>
              <w:t>-</w:t>
            </w:r>
            <w:r w:rsidRPr="005613A7">
              <w:rPr>
                <w:rFonts w:asciiTheme="minorHAnsi" w:hAnsiTheme="minorHAnsi"/>
                <w:sz w:val="20"/>
                <w:szCs w:val="20"/>
              </w:rPr>
              <w:t xml:space="preserve">Note that </w:t>
            </w:r>
            <w:r>
              <w:rPr>
                <w:rFonts w:asciiTheme="minorHAnsi" w:hAnsiTheme="minorHAnsi"/>
                <w:sz w:val="20"/>
                <w:szCs w:val="20"/>
              </w:rPr>
              <w:t xml:space="preserve">both </w:t>
            </w:r>
            <w:r w:rsidRPr="005613A7">
              <w:rPr>
                <w:rFonts w:asciiTheme="minorHAnsi" w:hAnsiTheme="minorHAnsi"/>
                <w:sz w:val="20"/>
                <w:szCs w:val="20"/>
              </w:rPr>
              <w:t xml:space="preserve">performance criteria and prescriptive criteria may appear in the same standard. </w:t>
            </w:r>
          </w:p>
          <w:p w14:paraId="6B78D9E8" w14:textId="77777777" w:rsidR="008F78DF" w:rsidRPr="005613A7" w:rsidRDefault="008F78DF" w:rsidP="008F78DF">
            <w:pPr>
              <w:spacing w:after="0" w:line="240" w:lineRule="auto"/>
              <w:rPr>
                <w:rFonts w:asciiTheme="minorHAnsi" w:hAnsiTheme="minorHAnsi"/>
                <w:sz w:val="20"/>
                <w:szCs w:val="20"/>
              </w:rPr>
            </w:pPr>
          </w:p>
          <w:p w14:paraId="2EBB03AE" w14:textId="1D5A53D3" w:rsidR="008F78DF" w:rsidRPr="00D31724" w:rsidRDefault="008F78DF" w:rsidP="008F78DF">
            <w:pPr>
              <w:spacing w:after="0" w:line="240" w:lineRule="auto"/>
              <w:rPr>
                <w:rFonts w:asciiTheme="minorHAnsi" w:hAnsiTheme="minorHAnsi"/>
                <w:sz w:val="18"/>
                <w:szCs w:val="20"/>
              </w:rPr>
            </w:pPr>
            <w:r>
              <w:rPr>
                <w:rFonts w:asciiTheme="minorHAnsi" w:hAnsiTheme="minorHAnsi"/>
                <w:sz w:val="20"/>
                <w:szCs w:val="20"/>
              </w:rPr>
              <w:t>-</w:t>
            </w:r>
            <w:r w:rsidRPr="005613A7">
              <w:rPr>
                <w:rFonts w:asciiTheme="minorHAnsi" w:hAnsiTheme="minorHAnsi"/>
                <w:sz w:val="20"/>
                <w:szCs w:val="20"/>
              </w:rPr>
              <w:t xml:space="preserve">Unacceptably vague criteria </w:t>
            </w:r>
            <w:r>
              <w:rPr>
                <w:rFonts w:asciiTheme="minorHAnsi" w:hAnsiTheme="minorHAnsi"/>
                <w:sz w:val="20"/>
                <w:szCs w:val="20"/>
              </w:rPr>
              <w:t xml:space="preserve">for </w:t>
            </w:r>
            <w:r w:rsidR="001741FD">
              <w:rPr>
                <w:rFonts w:asciiTheme="minorHAnsi" w:hAnsiTheme="minorHAnsi"/>
                <w:sz w:val="20"/>
                <w:szCs w:val="20"/>
              </w:rPr>
              <w:t>a hotspot</w:t>
            </w:r>
            <w:r>
              <w:rPr>
                <w:rFonts w:asciiTheme="minorHAnsi" w:hAnsiTheme="minorHAnsi"/>
                <w:sz w:val="20"/>
                <w:szCs w:val="20"/>
              </w:rPr>
              <w:t xml:space="preserve"> </w:t>
            </w:r>
            <w:r w:rsidRPr="005613A7">
              <w:rPr>
                <w:rFonts w:asciiTheme="minorHAnsi" w:hAnsiTheme="minorHAnsi"/>
                <w:sz w:val="20"/>
                <w:szCs w:val="20"/>
              </w:rPr>
              <w:t>would include those stating that an entity should “be involved in” or “promote” an activity, approach, or philosophy without specifying resulting performance or prescriptive outcomes.</w:t>
            </w:r>
          </w:p>
          <w:p w14:paraId="4D1866C1" w14:textId="77777777" w:rsidR="00211464" w:rsidRDefault="00211464" w:rsidP="00211464">
            <w:pPr>
              <w:spacing w:after="0" w:line="240" w:lineRule="auto"/>
              <w:rPr>
                <w:rFonts w:asciiTheme="minorHAnsi" w:hAnsiTheme="minorHAnsi"/>
                <w:sz w:val="20"/>
                <w:szCs w:val="20"/>
              </w:rPr>
            </w:pPr>
          </w:p>
          <w:p w14:paraId="57E364F0" w14:textId="09322B77" w:rsidR="001B00FD" w:rsidRPr="005613A7" w:rsidRDefault="001B00FD" w:rsidP="00211464">
            <w:pPr>
              <w:spacing w:after="0" w:line="240" w:lineRule="auto"/>
              <w:rPr>
                <w:rFonts w:asciiTheme="minorHAnsi" w:hAnsiTheme="minorHAnsi"/>
                <w:sz w:val="20"/>
                <w:szCs w:val="20"/>
              </w:rPr>
            </w:pPr>
          </w:p>
        </w:tc>
      </w:tr>
      <w:tr w:rsidR="00664E9A" w:rsidRPr="005613A7" w14:paraId="3C590F24" w14:textId="77777777" w:rsidTr="005B03D0">
        <w:trPr>
          <w:cantSplit/>
          <w:trHeight w:val="300"/>
        </w:trPr>
        <w:tc>
          <w:tcPr>
            <w:tcW w:w="607" w:type="dxa"/>
            <w:noWrap/>
            <w:vAlign w:val="center"/>
          </w:tcPr>
          <w:p w14:paraId="618CD942" w14:textId="650248B5" w:rsidR="00664E9A" w:rsidRPr="005613A7" w:rsidRDefault="00036EFD" w:rsidP="001741FD">
            <w:pPr>
              <w:spacing w:after="0" w:line="240" w:lineRule="auto"/>
              <w:rPr>
                <w:rFonts w:asciiTheme="minorHAnsi" w:hAnsiTheme="minorHAnsi"/>
                <w:bCs/>
                <w:sz w:val="20"/>
                <w:szCs w:val="20"/>
              </w:rPr>
            </w:pPr>
            <w:r>
              <w:rPr>
                <w:rFonts w:asciiTheme="minorHAnsi" w:hAnsiTheme="minorHAnsi"/>
                <w:bCs/>
                <w:sz w:val="20"/>
                <w:szCs w:val="20"/>
              </w:rPr>
              <w:lastRenderedPageBreak/>
              <w:t>II.</w:t>
            </w:r>
            <w:r w:rsidR="001741FD">
              <w:rPr>
                <w:rFonts w:asciiTheme="minorHAnsi" w:hAnsiTheme="minorHAnsi"/>
                <w:bCs/>
                <w:sz w:val="20"/>
                <w:szCs w:val="20"/>
              </w:rPr>
              <w:t>2</w:t>
            </w:r>
          </w:p>
        </w:tc>
        <w:tc>
          <w:tcPr>
            <w:tcW w:w="540" w:type="dxa"/>
            <w:vAlign w:val="center"/>
          </w:tcPr>
          <w:p w14:paraId="7377AF6F" w14:textId="3C22368F" w:rsidR="00664E9A" w:rsidRPr="005613A7" w:rsidRDefault="00664E9A" w:rsidP="00664E9A">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L</w:t>
            </w:r>
          </w:p>
        </w:tc>
        <w:tc>
          <w:tcPr>
            <w:tcW w:w="5130" w:type="dxa"/>
            <w:noWrap/>
            <w:vAlign w:val="center"/>
          </w:tcPr>
          <w:p w14:paraId="0793F082" w14:textId="24AF6110" w:rsidR="00664E9A" w:rsidRPr="005613A7" w:rsidRDefault="00FA6ECF" w:rsidP="00664E9A">
            <w:pPr>
              <w:spacing w:after="0" w:line="240" w:lineRule="auto"/>
              <w:rPr>
                <w:rFonts w:asciiTheme="minorHAnsi" w:hAnsiTheme="minorHAnsi"/>
                <w:color w:val="000000"/>
                <w:sz w:val="20"/>
                <w:szCs w:val="20"/>
              </w:rPr>
            </w:pPr>
            <w:r>
              <w:rPr>
                <w:rFonts w:asciiTheme="minorHAnsi" w:hAnsiTheme="minorHAnsi"/>
                <w:color w:val="000000"/>
                <w:sz w:val="20"/>
                <w:szCs w:val="20"/>
              </w:rPr>
              <w:t>The s</w:t>
            </w:r>
            <w:r w:rsidR="00664E9A" w:rsidRPr="005613A7">
              <w:rPr>
                <w:rFonts w:asciiTheme="minorHAnsi" w:hAnsiTheme="minorHAnsi"/>
                <w:color w:val="000000"/>
                <w:sz w:val="20"/>
                <w:szCs w:val="20"/>
              </w:rPr>
              <w:t xml:space="preserve">tandard </w:t>
            </w:r>
            <w:r>
              <w:rPr>
                <w:rFonts w:asciiTheme="minorHAnsi" w:hAnsiTheme="minorHAnsi"/>
                <w:color w:val="000000"/>
                <w:sz w:val="20"/>
                <w:szCs w:val="20"/>
              </w:rPr>
              <w:t xml:space="preserve">and/or </w:t>
            </w:r>
            <w:r w:rsidR="003B0B43" w:rsidRPr="003B0B43">
              <w:rPr>
                <w:rFonts w:asciiTheme="minorHAnsi" w:hAnsiTheme="minorHAnsi"/>
                <w:color w:val="000000"/>
                <w:sz w:val="20"/>
                <w:szCs w:val="20"/>
              </w:rPr>
              <w:t>supplementary materials that accompany the standard</w:t>
            </w:r>
            <w:r w:rsidR="003B0B43" w:rsidRPr="003B0B43" w:rsidDel="003B0B43">
              <w:rPr>
                <w:rFonts w:asciiTheme="minorHAnsi" w:hAnsiTheme="minorHAnsi"/>
                <w:color w:val="000000"/>
                <w:sz w:val="20"/>
                <w:szCs w:val="20"/>
              </w:rPr>
              <w:t xml:space="preserve"> </w:t>
            </w:r>
            <w:r w:rsidR="00664E9A" w:rsidRPr="005613A7">
              <w:rPr>
                <w:rFonts w:asciiTheme="minorHAnsi" w:hAnsiTheme="minorHAnsi"/>
                <w:color w:val="000000"/>
                <w:sz w:val="20"/>
                <w:szCs w:val="20"/>
              </w:rPr>
              <w:t>clearly identifies any known trade-offs among approaches to address multiple impact areas.</w:t>
            </w:r>
          </w:p>
          <w:p w14:paraId="1E9342A7" w14:textId="77777777" w:rsidR="00664E9A" w:rsidRPr="005613A7" w:rsidRDefault="00664E9A" w:rsidP="00664E9A">
            <w:pPr>
              <w:pStyle w:val="CommentText"/>
              <w:spacing w:after="0"/>
              <w:rPr>
                <w:rFonts w:asciiTheme="minorHAnsi" w:hAnsiTheme="minorHAnsi"/>
                <w:color w:val="000000"/>
              </w:rPr>
            </w:pPr>
          </w:p>
          <w:p w14:paraId="1270C77A" w14:textId="77777777" w:rsidR="00A73B77" w:rsidRPr="00B41BF5" w:rsidRDefault="00A73B77" w:rsidP="00A73B77">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0BA15FC0" w14:textId="77777777" w:rsidR="00A73B77" w:rsidRPr="00B41BF5" w:rsidRDefault="00A73B77" w:rsidP="00A73B77">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II.6 Multiple Environmental Impacts</w:t>
            </w:r>
          </w:p>
          <w:p w14:paraId="51923C32" w14:textId="77777777" w:rsidR="00A73B77" w:rsidRPr="005613A7" w:rsidRDefault="00A73B77" w:rsidP="00664E9A">
            <w:pPr>
              <w:pStyle w:val="CommentText"/>
              <w:spacing w:after="0"/>
              <w:rPr>
                <w:rFonts w:asciiTheme="minorHAnsi" w:hAnsiTheme="minorHAnsi"/>
                <w:color w:val="000000"/>
              </w:rPr>
            </w:pPr>
          </w:p>
        </w:tc>
        <w:tc>
          <w:tcPr>
            <w:tcW w:w="4680" w:type="dxa"/>
            <w:noWrap/>
            <w:vAlign w:val="center"/>
          </w:tcPr>
          <w:p w14:paraId="721C2234" w14:textId="757D1063" w:rsidR="00E76C2A" w:rsidRPr="005613A7" w:rsidRDefault="0012636C" w:rsidP="00854266">
            <w:pPr>
              <w:spacing w:after="0" w:line="240" w:lineRule="auto"/>
              <w:rPr>
                <w:rFonts w:asciiTheme="minorHAnsi" w:hAnsiTheme="minorHAnsi"/>
                <w:sz w:val="20"/>
                <w:szCs w:val="20"/>
              </w:rPr>
            </w:pPr>
            <w:r>
              <w:rPr>
                <w:rFonts w:asciiTheme="minorHAnsi" w:hAnsiTheme="minorHAnsi"/>
                <w:sz w:val="20"/>
                <w:szCs w:val="20"/>
              </w:rPr>
              <w:t>-</w:t>
            </w:r>
            <w:r w:rsidR="00664E9A" w:rsidRPr="005613A7">
              <w:rPr>
                <w:rFonts w:asciiTheme="minorHAnsi" w:hAnsiTheme="minorHAnsi"/>
                <w:sz w:val="20"/>
                <w:szCs w:val="20"/>
              </w:rPr>
              <w:t>Text of standard</w:t>
            </w:r>
            <w:r w:rsidR="00CD2AC7">
              <w:rPr>
                <w:rFonts w:asciiTheme="minorHAnsi" w:hAnsiTheme="minorHAnsi"/>
                <w:sz w:val="20"/>
                <w:szCs w:val="20"/>
              </w:rPr>
              <w:t xml:space="preserve">, </w:t>
            </w:r>
            <w:r w:rsidR="003B0B43" w:rsidRPr="003B0B43">
              <w:rPr>
                <w:rFonts w:asciiTheme="minorHAnsi" w:hAnsiTheme="minorHAnsi"/>
                <w:sz w:val="20"/>
                <w:szCs w:val="20"/>
              </w:rPr>
              <w:t>supplementary materials that accompany the standard</w:t>
            </w:r>
            <w:r w:rsidR="00AC62C4">
              <w:rPr>
                <w:rFonts w:asciiTheme="minorHAnsi" w:hAnsiTheme="minorHAnsi"/>
                <w:sz w:val="20"/>
                <w:szCs w:val="20"/>
              </w:rPr>
              <w:t xml:space="preserve"> </w:t>
            </w:r>
            <w:r w:rsidR="00664E9A" w:rsidRPr="005613A7">
              <w:rPr>
                <w:rFonts w:asciiTheme="minorHAnsi" w:hAnsiTheme="minorHAnsi"/>
                <w:sz w:val="20"/>
                <w:szCs w:val="20"/>
              </w:rPr>
              <w:t>addressing trade-offs among impacts (if applicable</w:t>
            </w:r>
            <w:r w:rsidR="00854266">
              <w:rPr>
                <w:rFonts w:asciiTheme="minorHAnsi" w:hAnsiTheme="minorHAnsi"/>
                <w:sz w:val="20"/>
                <w:szCs w:val="20"/>
              </w:rPr>
              <w:t>, as determined by the SDO</w:t>
            </w:r>
            <w:r w:rsidR="00664E9A" w:rsidRPr="005613A7">
              <w:rPr>
                <w:rFonts w:asciiTheme="minorHAnsi" w:hAnsiTheme="minorHAnsi"/>
                <w:sz w:val="20"/>
                <w:szCs w:val="20"/>
              </w:rPr>
              <w:t>).</w:t>
            </w:r>
          </w:p>
        </w:tc>
      </w:tr>
      <w:tr w:rsidR="001B00FD" w:rsidRPr="005613A7" w14:paraId="74CC4C7A" w14:textId="77777777" w:rsidTr="005B03D0">
        <w:trPr>
          <w:cantSplit/>
          <w:trHeight w:val="300"/>
        </w:trPr>
        <w:tc>
          <w:tcPr>
            <w:tcW w:w="607" w:type="dxa"/>
            <w:noWrap/>
            <w:vAlign w:val="center"/>
          </w:tcPr>
          <w:p w14:paraId="308C471B" w14:textId="23AC245E" w:rsidR="001B00FD" w:rsidRPr="005613A7" w:rsidRDefault="001B00FD" w:rsidP="001741FD">
            <w:pPr>
              <w:spacing w:after="0" w:line="240" w:lineRule="auto"/>
              <w:rPr>
                <w:rFonts w:asciiTheme="minorHAnsi" w:hAnsiTheme="minorHAnsi"/>
                <w:bCs/>
                <w:sz w:val="20"/>
                <w:szCs w:val="20"/>
              </w:rPr>
            </w:pPr>
            <w:r w:rsidRPr="005613A7">
              <w:rPr>
                <w:rFonts w:asciiTheme="minorHAnsi" w:hAnsiTheme="minorHAnsi"/>
                <w:bCs/>
                <w:sz w:val="20"/>
                <w:szCs w:val="20"/>
              </w:rPr>
              <w:lastRenderedPageBreak/>
              <w:t>II.</w:t>
            </w:r>
            <w:r w:rsidR="001741FD">
              <w:rPr>
                <w:rFonts w:asciiTheme="minorHAnsi" w:hAnsiTheme="minorHAnsi"/>
                <w:bCs/>
                <w:sz w:val="20"/>
                <w:szCs w:val="20"/>
              </w:rPr>
              <w:t>3</w:t>
            </w:r>
          </w:p>
        </w:tc>
        <w:tc>
          <w:tcPr>
            <w:tcW w:w="540" w:type="dxa"/>
            <w:vAlign w:val="center"/>
          </w:tcPr>
          <w:p w14:paraId="1090B6CC" w14:textId="77777777"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B</w:t>
            </w:r>
          </w:p>
        </w:tc>
        <w:tc>
          <w:tcPr>
            <w:tcW w:w="5130" w:type="dxa"/>
            <w:noWrap/>
            <w:vAlign w:val="center"/>
          </w:tcPr>
          <w:p w14:paraId="7D0AB0D7" w14:textId="1A3A8E44" w:rsidR="001B00FD" w:rsidRDefault="001B00FD" w:rsidP="001375D1">
            <w:pPr>
              <w:pStyle w:val="CommentText"/>
              <w:spacing w:after="0"/>
              <w:rPr>
                <w:rFonts w:asciiTheme="minorHAnsi" w:hAnsiTheme="minorHAnsi"/>
              </w:rPr>
            </w:pPr>
            <w:r w:rsidRPr="005613A7">
              <w:rPr>
                <w:rFonts w:asciiTheme="minorHAnsi" w:hAnsiTheme="minorHAnsi"/>
                <w:color w:val="000000"/>
              </w:rPr>
              <w:t>The environmental and/or human health criteria in the standard are based on recent available research</w:t>
            </w:r>
            <w:r w:rsidR="00217F6E">
              <w:rPr>
                <w:rFonts w:asciiTheme="minorHAnsi" w:hAnsiTheme="minorHAnsi"/>
                <w:color w:val="000000"/>
              </w:rPr>
              <w:t xml:space="preserve"> (at the time the standard was </w:t>
            </w:r>
            <w:r w:rsidR="001167A3">
              <w:rPr>
                <w:rFonts w:asciiTheme="minorHAnsi" w:hAnsiTheme="minorHAnsi"/>
                <w:color w:val="000000"/>
              </w:rPr>
              <w:t>developed</w:t>
            </w:r>
            <w:r w:rsidR="00217F6E">
              <w:rPr>
                <w:rFonts w:asciiTheme="minorHAnsi" w:hAnsiTheme="minorHAnsi"/>
                <w:color w:val="000000"/>
              </w:rPr>
              <w:t xml:space="preserve">) </w:t>
            </w:r>
            <w:r w:rsidRPr="005613A7">
              <w:rPr>
                <w:rFonts w:asciiTheme="minorHAnsi" w:hAnsiTheme="minorHAnsi"/>
                <w:color w:val="000000"/>
              </w:rPr>
              <w:t>that was peer-reviewed an</w:t>
            </w:r>
            <w:r w:rsidR="00A430CE" w:rsidRPr="005613A7">
              <w:rPr>
                <w:rFonts w:asciiTheme="minorHAnsi" w:hAnsiTheme="minorHAnsi"/>
                <w:color w:val="000000"/>
              </w:rPr>
              <w:t xml:space="preserve">d </w:t>
            </w:r>
            <w:r w:rsidR="00DF031F">
              <w:rPr>
                <w:rFonts w:asciiTheme="minorHAnsi" w:hAnsiTheme="minorHAnsi"/>
                <w:color w:val="000000"/>
              </w:rPr>
              <w:t>available for</w:t>
            </w:r>
            <w:r w:rsidR="00A430CE" w:rsidRPr="005613A7">
              <w:rPr>
                <w:rFonts w:asciiTheme="minorHAnsi" w:hAnsiTheme="minorHAnsi"/>
                <w:color w:val="000000"/>
              </w:rPr>
              <w:t xml:space="preserve"> stakeholder review</w:t>
            </w:r>
            <w:r w:rsidRPr="005613A7">
              <w:rPr>
                <w:rFonts w:asciiTheme="minorHAnsi" w:hAnsiTheme="minorHAnsi"/>
              </w:rPr>
              <w:t xml:space="preserve">. </w:t>
            </w:r>
            <w:r w:rsidR="00FC7BAB" w:rsidRPr="00FC7BAB">
              <w:rPr>
                <w:rFonts w:asciiTheme="minorHAnsi" w:hAnsiTheme="minorHAnsi"/>
              </w:rPr>
              <w:t>Additionally, standards developers used the most appropriate types of assessment methods for the determination of the impacts or attributes.</w:t>
            </w:r>
            <w:r w:rsidR="001167A3">
              <w:rPr>
                <w:rStyle w:val="FootnoteReference"/>
                <w:rFonts w:asciiTheme="minorHAnsi" w:hAnsiTheme="minorHAnsi"/>
              </w:rPr>
              <w:footnoteReference w:id="18"/>
            </w:r>
            <w:r w:rsidRPr="005613A7">
              <w:rPr>
                <w:rFonts w:asciiTheme="minorHAnsi" w:hAnsiTheme="minorHAnsi"/>
              </w:rPr>
              <w:t xml:space="preserve"> </w:t>
            </w:r>
          </w:p>
          <w:p w14:paraId="677EE1DF" w14:textId="77777777" w:rsidR="00B244C0" w:rsidRPr="005613A7" w:rsidRDefault="00B244C0" w:rsidP="001375D1">
            <w:pPr>
              <w:pStyle w:val="CommentText"/>
              <w:spacing w:after="0"/>
              <w:rPr>
                <w:rFonts w:asciiTheme="minorHAnsi" w:hAnsiTheme="minorHAnsi"/>
              </w:rPr>
            </w:pPr>
          </w:p>
          <w:p w14:paraId="440B511B" w14:textId="77777777" w:rsidR="00A73B77" w:rsidRPr="005613A7" w:rsidRDefault="00A73B77" w:rsidP="001375D1">
            <w:pPr>
              <w:spacing w:after="0" w:line="240" w:lineRule="auto"/>
              <w:rPr>
                <w:rFonts w:asciiTheme="minorHAnsi" w:hAnsiTheme="minorHAnsi"/>
                <w:color w:val="000000"/>
                <w:sz w:val="20"/>
                <w:szCs w:val="20"/>
              </w:rPr>
            </w:pPr>
          </w:p>
          <w:p w14:paraId="6856C1FA" w14:textId="77777777" w:rsidR="00A73B77" w:rsidRPr="00B41BF5" w:rsidRDefault="00A73B77" w:rsidP="00A73B77">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1AC15760" w14:textId="1AC3C4E1" w:rsidR="00A73B77" w:rsidRPr="005613A7" w:rsidRDefault="00A73B77" w:rsidP="001375D1">
            <w:pPr>
              <w:spacing w:after="0" w:line="240" w:lineRule="auto"/>
              <w:rPr>
                <w:rFonts w:asciiTheme="minorHAnsi" w:hAnsiTheme="minorHAnsi"/>
                <w:i/>
                <w:color w:val="000000"/>
                <w:sz w:val="20"/>
                <w:szCs w:val="20"/>
              </w:rPr>
            </w:pPr>
            <w:r w:rsidRPr="00B41BF5">
              <w:rPr>
                <w:rFonts w:asciiTheme="minorHAnsi" w:hAnsiTheme="minorHAnsi"/>
                <w:i/>
                <w:color w:val="2E74B5" w:themeColor="accent1" w:themeShade="BF"/>
                <w:sz w:val="20"/>
                <w:szCs w:val="20"/>
              </w:rPr>
              <w:t>II.3 Data Quality and Reliability</w:t>
            </w:r>
          </w:p>
        </w:tc>
        <w:tc>
          <w:tcPr>
            <w:tcW w:w="4680" w:type="dxa"/>
            <w:noWrap/>
            <w:vAlign w:val="center"/>
          </w:tcPr>
          <w:p w14:paraId="32BD9FC4" w14:textId="60EC04AF" w:rsidR="001B00FD" w:rsidRDefault="0012636C" w:rsidP="001375D1">
            <w:pPr>
              <w:spacing w:after="0" w:line="240" w:lineRule="auto"/>
              <w:rPr>
                <w:rFonts w:asciiTheme="minorHAnsi" w:hAnsiTheme="minorHAnsi"/>
                <w:sz w:val="20"/>
                <w:szCs w:val="20"/>
              </w:rPr>
            </w:pPr>
            <w:r>
              <w:rPr>
                <w:rFonts w:asciiTheme="minorHAnsi" w:hAnsiTheme="minorHAnsi"/>
                <w:sz w:val="20"/>
                <w:szCs w:val="20"/>
              </w:rPr>
              <w:t>-</w:t>
            </w:r>
            <w:r w:rsidR="001B00FD" w:rsidRPr="005613A7">
              <w:rPr>
                <w:rFonts w:asciiTheme="minorHAnsi" w:hAnsiTheme="minorHAnsi"/>
                <w:sz w:val="20"/>
                <w:szCs w:val="20"/>
              </w:rPr>
              <w:t xml:space="preserve">SDO documentation of </w:t>
            </w:r>
            <w:r w:rsidR="00AC62C4">
              <w:rPr>
                <w:rFonts w:asciiTheme="minorHAnsi" w:hAnsiTheme="minorHAnsi"/>
                <w:sz w:val="20"/>
                <w:szCs w:val="20"/>
              </w:rPr>
              <w:t>example</w:t>
            </w:r>
            <w:r w:rsidR="00AC62C4" w:rsidRPr="005613A7">
              <w:rPr>
                <w:rFonts w:asciiTheme="minorHAnsi" w:hAnsiTheme="minorHAnsi"/>
                <w:sz w:val="20"/>
                <w:szCs w:val="20"/>
              </w:rPr>
              <w:t xml:space="preserve"> </w:t>
            </w:r>
            <w:r w:rsidR="001B00FD" w:rsidRPr="005613A7">
              <w:rPr>
                <w:rFonts w:asciiTheme="minorHAnsi" w:hAnsiTheme="minorHAnsi"/>
                <w:sz w:val="20"/>
                <w:szCs w:val="20"/>
              </w:rPr>
              <w:t>information sources used in developing the environmental and/or human health performance criteria in the standard, includ</w:t>
            </w:r>
            <w:r w:rsidR="00A430CE" w:rsidRPr="005613A7">
              <w:rPr>
                <w:rFonts w:asciiTheme="minorHAnsi" w:hAnsiTheme="minorHAnsi"/>
                <w:sz w:val="20"/>
                <w:szCs w:val="20"/>
              </w:rPr>
              <w:t>ing peer review panel statement</w:t>
            </w:r>
            <w:r w:rsidR="00C02F87">
              <w:rPr>
                <w:rFonts w:asciiTheme="minorHAnsi" w:hAnsiTheme="minorHAnsi"/>
                <w:sz w:val="20"/>
                <w:szCs w:val="20"/>
              </w:rPr>
              <w:t xml:space="preserve">, </w:t>
            </w:r>
            <w:r w:rsidR="00C02F87" w:rsidRPr="00C02F87">
              <w:rPr>
                <w:rFonts w:asciiTheme="minorHAnsi" w:hAnsiTheme="minorHAnsi"/>
                <w:sz w:val="20"/>
                <w:szCs w:val="20"/>
              </w:rPr>
              <w:t>dates of oldest and most recent sources cited</w:t>
            </w:r>
            <w:r w:rsidR="00C02F87">
              <w:rPr>
                <w:rFonts w:asciiTheme="minorHAnsi" w:hAnsiTheme="minorHAnsi"/>
                <w:sz w:val="20"/>
                <w:szCs w:val="20"/>
              </w:rPr>
              <w:t>,</w:t>
            </w:r>
            <w:r w:rsidR="00C02F87" w:rsidRPr="00C02F87">
              <w:rPr>
                <w:rFonts w:asciiTheme="minorHAnsi" w:hAnsiTheme="minorHAnsi"/>
                <w:sz w:val="20"/>
                <w:szCs w:val="20"/>
              </w:rPr>
              <w:t xml:space="preserve"> identity of any independent experts consulted as p</w:t>
            </w:r>
            <w:r w:rsidR="00C02F87">
              <w:rPr>
                <w:rFonts w:asciiTheme="minorHAnsi" w:hAnsiTheme="minorHAnsi"/>
                <w:sz w:val="20"/>
                <w:szCs w:val="20"/>
              </w:rPr>
              <w:t xml:space="preserve">art of the research, </w:t>
            </w:r>
            <w:r w:rsidR="001B00FD" w:rsidRPr="005613A7">
              <w:rPr>
                <w:rFonts w:asciiTheme="minorHAnsi" w:hAnsiTheme="minorHAnsi"/>
                <w:sz w:val="20"/>
                <w:szCs w:val="20"/>
              </w:rPr>
              <w:t>and, if applicable, SDO documentation of life cycle assessment data review</w:t>
            </w:r>
            <w:r w:rsidR="00A430CE" w:rsidRPr="005613A7">
              <w:rPr>
                <w:rFonts w:asciiTheme="minorHAnsi" w:hAnsiTheme="minorHAnsi"/>
                <w:sz w:val="20"/>
                <w:szCs w:val="20"/>
              </w:rPr>
              <w:t>ed</w:t>
            </w:r>
            <w:r w:rsidR="001B00FD" w:rsidRPr="005613A7">
              <w:rPr>
                <w:rFonts w:asciiTheme="minorHAnsi" w:hAnsiTheme="minorHAnsi"/>
                <w:sz w:val="20"/>
                <w:szCs w:val="20"/>
              </w:rPr>
              <w:t xml:space="preserve">. </w:t>
            </w:r>
          </w:p>
          <w:p w14:paraId="354AF638" w14:textId="597C89A9" w:rsidR="0071343D" w:rsidRPr="005613A7" w:rsidRDefault="0012636C" w:rsidP="0071343D">
            <w:pPr>
              <w:spacing w:after="0" w:line="240" w:lineRule="auto"/>
              <w:rPr>
                <w:rFonts w:asciiTheme="minorHAnsi" w:hAnsiTheme="minorHAnsi"/>
                <w:color w:val="000000"/>
                <w:sz w:val="20"/>
                <w:szCs w:val="20"/>
              </w:rPr>
            </w:pPr>
            <w:r>
              <w:rPr>
                <w:rFonts w:asciiTheme="minorHAnsi" w:hAnsiTheme="minorHAnsi"/>
                <w:color w:val="000000"/>
                <w:sz w:val="20"/>
                <w:szCs w:val="20"/>
              </w:rPr>
              <w:t>-</w:t>
            </w:r>
            <w:r w:rsidR="0071343D" w:rsidRPr="005613A7">
              <w:rPr>
                <w:rFonts w:asciiTheme="minorHAnsi" w:hAnsiTheme="minorHAnsi"/>
                <w:color w:val="000000"/>
                <w:sz w:val="20"/>
                <w:szCs w:val="20"/>
              </w:rPr>
              <w:t xml:space="preserve">If any life cycle assessment was conducted as the basis of the criteria, it is consistent with ISO 14040 and ISO 14044, </w:t>
            </w:r>
            <w:r w:rsidR="00AD2599" w:rsidRPr="00AD2599">
              <w:rPr>
                <w:rFonts w:asciiTheme="minorHAnsi" w:hAnsiTheme="minorHAnsi"/>
                <w:color w:val="000000"/>
                <w:sz w:val="20"/>
                <w:szCs w:val="20"/>
              </w:rPr>
              <w:t>complying with the critical review process</w:t>
            </w:r>
            <w:r w:rsidR="0071343D" w:rsidRPr="005613A7">
              <w:rPr>
                <w:rFonts w:asciiTheme="minorHAnsi" w:hAnsiTheme="minorHAnsi"/>
                <w:color w:val="000000"/>
                <w:sz w:val="20"/>
                <w:szCs w:val="20"/>
              </w:rPr>
              <w:t xml:space="preserve">. </w:t>
            </w:r>
          </w:p>
          <w:p w14:paraId="0641B83F" w14:textId="22AC29CB" w:rsidR="0071343D" w:rsidRPr="005613A7" w:rsidRDefault="0012636C" w:rsidP="001375D1">
            <w:pPr>
              <w:spacing w:after="0" w:line="240" w:lineRule="auto"/>
              <w:rPr>
                <w:rFonts w:asciiTheme="minorHAnsi" w:hAnsiTheme="minorHAnsi"/>
                <w:sz w:val="20"/>
                <w:szCs w:val="20"/>
              </w:rPr>
            </w:pPr>
            <w:r>
              <w:rPr>
                <w:rFonts w:asciiTheme="minorHAnsi" w:hAnsiTheme="minorHAnsi"/>
                <w:color w:val="000000"/>
                <w:sz w:val="20"/>
                <w:szCs w:val="20"/>
              </w:rPr>
              <w:t>-</w:t>
            </w:r>
            <w:r w:rsidR="0071343D" w:rsidRPr="005613A7">
              <w:rPr>
                <w:rFonts w:asciiTheme="minorHAnsi" w:hAnsiTheme="minorHAnsi"/>
                <w:color w:val="000000"/>
                <w:sz w:val="20"/>
                <w:szCs w:val="20"/>
              </w:rPr>
              <w:t>Alternatives assessment criteria are in accordance with the National Academy of Sciences (NAS) Framework to Guide Selection of Chemical Alternatives.</w:t>
            </w:r>
          </w:p>
        </w:tc>
      </w:tr>
      <w:tr w:rsidR="00974B8F" w:rsidRPr="005613A7" w14:paraId="20A81D38" w14:textId="77777777" w:rsidTr="00341F6E">
        <w:trPr>
          <w:cantSplit/>
          <w:trHeight w:val="3113"/>
        </w:trPr>
        <w:tc>
          <w:tcPr>
            <w:tcW w:w="607" w:type="dxa"/>
            <w:noWrap/>
            <w:vAlign w:val="center"/>
          </w:tcPr>
          <w:p w14:paraId="7D45EF95" w14:textId="1DFBF11C" w:rsidR="00974B8F" w:rsidRPr="005613A7" w:rsidRDefault="00036EFD" w:rsidP="001375D1">
            <w:pPr>
              <w:spacing w:after="0" w:line="240" w:lineRule="auto"/>
              <w:rPr>
                <w:rFonts w:asciiTheme="minorHAnsi" w:hAnsiTheme="minorHAnsi"/>
                <w:bCs/>
                <w:sz w:val="20"/>
                <w:szCs w:val="20"/>
              </w:rPr>
            </w:pPr>
            <w:r>
              <w:rPr>
                <w:rFonts w:asciiTheme="minorHAnsi" w:hAnsiTheme="minorHAnsi"/>
                <w:bCs/>
                <w:sz w:val="20"/>
                <w:szCs w:val="20"/>
              </w:rPr>
              <w:t>II.</w:t>
            </w:r>
            <w:r w:rsidR="001741FD">
              <w:rPr>
                <w:rFonts w:asciiTheme="minorHAnsi" w:hAnsiTheme="minorHAnsi"/>
                <w:bCs/>
                <w:sz w:val="20"/>
                <w:szCs w:val="20"/>
              </w:rPr>
              <w:t>4</w:t>
            </w:r>
          </w:p>
          <w:p w14:paraId="3EE0635E" w14:textId="1A50A032" w:rsidR="00974B8F" w:rsidRPr="005613A7" w:rsidRDefault="00974B8F" w:rsidP="001375D1">
            <w:pPr>
              <w:spacing w:after="0" w:line="240" w:lineRule="auto"/>
              <w:rPr>
                <w:rFonts w:asciiTheme="minorHAnsi" w:hAnsiTheme="minorHAnsi"/>
                <w:bCs/>
                <w:sz w:val="20"/>
                <w:szCs w:val="20"/>
              </w:rPr>
            </w:pPr>
          </w:p>
        </w:tc>
        <w:tc>
          <w:tcPr>
            <w:tcW w:w="540" w:type="dxa"/>
            <w:vAlign w:val="center"/>
          </w:tcPr>
          <w:p w14:paraId="4150E231" w14:textId="44E5CEE7" w:rsidR="00974B8F" w:rsidRPr="005613A7" w:rsidRDefault="00974B8F"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B</w:t>
            </w:r>
          </w:p>
        </w:tc>
        <w:tc>
          <w:tcPr>
            <w:tcW w:w="5130" w:type="dxa"/>
            <w:noWrap/>
            <w:vAlign w:val="center"/>
          </w:tcPr>
          <w:p w14:paraId="1D999B3E" w14:textId="537090E2" w:rsidR="00974B8F" w:rsidRPr="005613A7" w:rsidRDefault="00974B8F" w:rsidP="001375D1">
            <w:pPr>
              <w:spacing w:after="0" w:line="240" w:lineRule="auto"/>
              <w:rPr>
                <w:rFonts w:asciiTheme="minorHAnsi" w:hAnsiTheme="minorHAnsi"/>
                <w:color w:val="000000"/>
                <w:sz w:val="20"/>
                <w:szCs w:val="20"/>
              </w:rPr>
            </w:pPr>
            <w:r w:rsidRPr="005613A7">
              <w:rPr>
                <w:rFonts w:asciiTheme="minorHAnsi" w:hAnsiTheme="minorHAnsi" w:cs="Arial"/>
                <w:sz w:val="20"/>
                <w:szCs w:val="20"/>
              </w:rPr>
              <w:t xml:space="preserve">If a weighting scheme is used, </w:t>
            </w:r>
            <w:r w:rsidR="00FA6ECF">
              <w:rPr>
                <w:rFonts w:asciiTheme="minorHAnsi" w:hAnsiTheme="minorHAnsi" w:cs="Arial"/>
                <w:sz w:val="20"/>
                <w:szCs w:val="20"/>
              </w:rPr>
              <w:t>t</w:t>
            </w:r>
            <w:r w:rsidRPr="005613A7">
              <w:rPr>
                <w:rFonts w:asciiTheme="minorHAnsi" w:hAnsiTheme="minorHAnsi"/>
                <w:color w:val="000000"/>
                <w:sz w:val="20"/>
                <w:szCs w:val="20"/>
              </w:rPr>
              <w:t xml:space="preserve">he standard or </w:t>
            </w:r>
            <w:r w:rsidR="003B0B43" w:rsidRPr="003B0B43">
              <w:rPr>
                <w:rFonts w:asciiTheme="minorHAnsi" w:hAnsiTheme="minorHAnsi"/>
                <w:color w:val="000000"/>
                <w:sz w:val="20"/>
                <w:szCs w:val="20"/>
              </w:rPr>
              <w:t>supplementary materials that accompany the standard</w:t>
            </w:r>
            <w:r w:rsidRPr="005613A7">
              <w:rPr>
                <w:rFonts w:asciiTheme="minorHAnsi" w:hAnsiTheme="minorHAnsi"/>
                <w:color w:val="000000"/>
                <w:sz w:val="20"/>
                <w:szCs w:val="20"/>
              </w:rPr>
              <w:t xml:space="preserve"> fully and transparently explains the weighting methodologies, including the decision science/tool selected and connection between scoring and the single attributes or single impacts.</w:t>
            </w:r>
            <w:r w:rsidR="00AC62C4" w:rsidRPr="005613A7">
              <w:rPr>
                <w:rStyle w:val="FootnoteReference"/>
                <w:rFonts w:asciiTheme="minorHAnsi" w:hAnsiTheme="minorHAnsi"/>
                <w:color w:val="000000"/>
                <w:sz w:val="20"/>
                <w:szCs w:val="20"/>
              </w:rPr>
              <w:t xml:space="preserve"> </w:t>
            </w:r>
            <w:r w:rsidR="00AC62C4" w:rsidRPr="005613A7">
              <w:rPr>
                <w:rStyle w:val="FootnoteReference"/>
                <w:rFonts w:asciiTheme="minorHAnsi" w:hAnsiTheme="minorHAnsi"/>
                <w:color w:val="000000"/>
                <w:sz w:val="20"/>
                <w:szCs w:val="20"/>
              </w:rPr>
              <w:footnoteReference w:id="19"/>
            </w:r>
            <w:r w:rsidRPr="005613A7">
              <w:rPr>
                <w:rFonts w:asciiTheme="minorHAnsi" w:hAnsiTheme="minorHAnsi"/>
                <w:color w:val="000000"/>
                <w:sz w:val="20"/>
                <w:szCs w:val="20"/>
              </w:rPr>
              <w:t xml:space="preserve"> </w:t>
            </w:r>
          </w:p>
          <w:p w14:paraId="0D76A177" w14:textId="77777777" w:rsidR="00A73B77" w:rsidRPr="005613A7" w:rsidRDefault="00A73B77" w:rsidP="001375D1">
            <w:pPr>
              <w:spacing w:after="0" w:line="240" w:lineRule="auto"/>
              <w:rPr>
                <w:rFonts w:asciiTheme="minorHAnsi" w:hAnsiTheme="minorHAnsi"/>
                <w:color w:val="000000"/>
                <w:sz w:val="20"/>
                <w:szCs w:val="20"/>
              </w:rPr>
            </w:pPr>
          </w:p>
          <w:p w14:paraId="42A2E807" w14:textId="77777777" w:rsidR="00FA5251" w:rsidRPr="00B41BF5" w:rsidRDefault="00FA5251" w:rsidP="00FA525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3CAA5991" w14:textId="0E1265CD" w:rsidR="00A73B77" w:rsidRPr="005613A7" w:rsidRDefault="00A73B77" w:rsidP="001375D1">
            <w:pPr>
              <w:spacing w:after="0" w:line="240" w:lineRule="auto"/>
              <w:rPr>
                <w:rFonts w:asciiTheme="minorHAnsi" w:hAnsiTheme="minorHAnsi"/>
                <w:i/>
                <w:color w:val="000000"/>
                <w:sz w:val="20"/>
                <w:szCs w:val="20"/>
              </w:rPr>
            </w:pPr>
            <w:r w:rsidRPr="00B41BF5">
              <w:rPr>
                <w:rFonts w:asciiTheme="minorHAnsi" w:hAnsiTheme="minorHAnsi"/>
                <w:i/>
                <w:color w:val="2E74B5" w:themeColor="accent1" w:themeShade="BF"/>
                <w:sz w:val="20"/>
                <w:szCs w:val="20"/>
              </w:rPr>
              <w:t>II.8 Weighting Methodologies</w:t>
            </w:r>
          </w:p>
        </w:tc>
        <w:tc>
          <w:tcPr>
            <w:tcW w:w="4680" w:type="dxa"/>
            <w:noWrap/>
            <w:vAlign w:val="center"/>
          </w:tcPr>
          <w:p w14:paraId="34239FCE" w14:textId="1E29045B" w:rsidR="00974B8F" w:rsidRPr="005613A7" w:rsidRDefault="00AC62C4" w:rsidP="001375D1">
            <w:pPr>
              <w:spacing w:after="0" w:line="240" w:lineRule="auto"/>
              <w:rPr>
                <w:rFonts w:asciiTheme="minorHAnsi" w:hAnsiTheme="minorHAnsi"/>
                <w:sz w:val="20"/>
                <w:szCs w:val="20"/>
              </w:rPr>
            </w:pPr>
            <w:r>
              <w:rPr>
                <w:rFonts w:asciiTheme="minorHAnsi" w:hAnsiTheme="minorHAnsi"/>
                <w:sz w:val="20"/>
                <w:szCs w:val="20"/>
              </w:rPr>
              <w:t>N/A if a</w:t>
            </w:r>
            <w:r w:rsidR="00974B8F" w:rsidRPr="005613A7">
              <w:rPr>
                <w:rFonts w:asciiTheme="minorHAnsi" w:hAnsiTheme="minorHAnsi"/>
                <w:sz w:val="20"/>
                <w:szCs w:val="20"/>
              </w:rPr>
              <w:t xml:space="preserve">ll environmental attributes and environmental </w:t>
            </w:r>
            <w:r w:rsidR="00974B8F" w:rsidRPr="005613A7">
              <w:rPr>
                <w:rFonts w:asciiTheme="minorHAnsi" w:hAnsiTheme="minorHAnsi"/>
                <w:color w:val="000000"/>
                <w:sz w:val="20"/>
                <w:szCs w:val="20"/>
              </w:rPr>
              <w:t xml:space="preserve">and human health </w:t>
            </w:r>
            <w:r w:rsidR="00974B8F" w:rsidRPr="005613A7">
              <w:rPr>
                <w:rFonts w:asciiTheme="minorHAnsi" w:hAnsiTheme="minorHAnsi"/>
                <w:sz w:val="20"/>
                <w:szCs w:val="20"/>
              </w:rPr>
              <w:t>impacts have equal value; no additional weighting or adjustment is made for certain categories or types of criteria.</w:t>
            </w:r>
          </w:p>
          <w:p w14:paraId="55B67ADA" w14:textId="7701C5DC" w:rsidR="00974B8F" w:rsidRPr="005613A7" w:rsidRDefault="0012636C" w:rsidP="001375D1">
            <w:pPr>
              <w:spacing w:after="0" w:line="240" w:lineRule="auto"/>
              <w:rPr>
                <w:rFonts w:asciiTheme="minorHAnsi" w:hAnsiTheme="minorHAnsi"/>
                <w:sz w:val="20"/>
                <w:szCs w:val="20"/>
              </w:rPr>
            </w:pPr>
            <w:r>
              <w:rPr>
                <w:rFonts w:asciiTheme="minorHAnsi" w:hAnsiTheme="minorHAnsi"/>
                <w:sz w:val="20"/>
                <w:szCs w:val="20"/>
              </w:rPr>
              <w:t>-</w:t>
            </w:r>
            <w:r w:rsidR="00974B8F" w:rsidRPr="005613A7">
              <w:rPr>
                <w:rFonts w:asciiTheme="minorHAnsi" w:hAnsiTheme="minorHAnsi"/>
                <w:sz w:val="20"/>
                <w:szCs w:val="20"/>
              </w:rPr>
              <w:t xml:space="preserve">Text of standard or </w:t>
            </w:r>
            <w:r w:rsidR="003B0B43" w:rsidRPr="003B0B43">
              <w:rPr>
                <w:rFonts w:asciiTheme="minorHAnsi" w:hAnsiTheme="minorHAnsi"/>
                <w:sz w:val="20"/>
                <w:szCs w:val="20"/>
              </w:rPr>
              <w:t>supplementary materials that accompany the standard</w:t>
            </w:r>
            <w:r w:rsidR="003B0B43" w:rsidRPr="003B0B43" w:rsidDel="003B0B43">
              <w:rPr>
                <w:rFonts w:asciiTheme="minorHAnsi" w:hAnsiTheme="minorHAnsi"/>
                <w:sz w:val="20"/>
                <w:szCs w:val="20"/>
              </w:rPr>
              <w:t xml:space="preserve"> </w:t>
            </w:r>
            <w:r w:rsidR="00974B8F" w:rsidRPr="005613A7">
              <w:rPr>
                <w:rFonts w:asciiTheme="minorHAnsi" w:hAnsiTheme="minorHAnsi"/>
                <w:sz w:val="20"/>
                <w:szCs w:val="20"/>
              </w:rPr>
              <w:t xml:space="preserve">describes the weighting methodologies. </w:t>
            </w:r>
          </w:p>
          <w:p w14:paraId="44F6784B" w14:textId="5582E63B" w:rsidR="00974B8F" w:rsidRPr="005613A7" w:rsidRDefault="0012636C" w:rsidP="001375D1">
            <w:pPr>
              <w:spacing w:after="0" w:line="240" w:lineRule="auto"/>
              <w:rPr>
                <w:rFonts w:asciiTheme="minorHAnsi" w:hAnsiTheme="minorHAnsi"/>
                <w:color w:val="000000"/>
                <w:sz w:val="20"/>
                <w:szCs w:val="20"/>
              </w:rPr>
            </w:pPr>
            <w:r>
              <w:rPr>
                <w:rFonts w:asciiTheme="minorHAnsi" w:hAnsiTheme="minorHAnsi"/>
                <w:sz w:val="20"/>
                <w:szCs w:val="20"/>
              </w:rPr>
              <w:t>-</w:t>
            </w:r>
            <w:r w:rsidR="00974B8F" w:rsidRPr="005613A7">
              <w:rPr>
                <w:rFonts w:asciiTheme="minorHAnsi" w:hAnsiTheme="minorHAnsi"/>
                <w:color w:val="000000"/>
                <w:sz w:val="20"/>
                <w:szCs w:val="20"/>
              </w:rPr>
              <w:t xml:space="preserve">Documentation clearly describing the basis used for the weighting. </w:t>
            </w:r>
          </w:p>
          <w:p w14:paraId="3E71A6B2" w14:textId="77777777" w:rsidR="00B35336" w:rsidRPr="005613A7" w:rsidRDefault="00B35336" w:rsidP="001375D1">
            <w:pPr>
              <w:spacing w:after="0" w:line="240" w:lineRule="auto"/>
              <w:rPr>
                <w:rFonts w:asciiTheme="minorHAnsi" w:hAnsiTheme="minorHAnsi"/>
                <w:color w:val="000000"/>
                <w:sz w:val="20"/>
                <w:szCs w:val="20"/>
              </w:rPr>
            </w:pPr>
          </w:p>
          <w:p w14:paraId="6E3AD6A1" w14:textId="7157CF64" w:rsidR="00B35336" w:rsidRPr="005613A7" w:rsidRDefault="00B35336" w:rsidP="001375D1">
            <w:pPr>
              <w:spacing w:after="0" w:line="240" w:lineRule="auto"/>
              <w:rPr>
                <w:rFonts w:asciiTheme="minorHAnsi" w:hAnsiTheme="minorHAnsi"/>
                <w:sz w:val="20"/>
                <w:szCs w:val="20"/>
              </w:rPr>
            </w:pPr>
          </w:p>
        </w:tc>
      </w:tr>
      <w:tr w:rsidR="001B00FD" w:rsidRPr="005613A7" w14:paraId="227960D2" w14:textId="77777777" w:rsidTr="005B03D0">
        <w:trPr>
          <w:trHeight w:val="300"/>
        </w:trPr>
        <w:tc>
          <w:tcPr>
            <w:tcW w:w="607" w:type="dxa"/>
            <w:noWrap/>
            <w:vAlign w:val="center"/>
          </w:tcPr>
          <w:p w14:paraId="0139E694" w14:textId="69EB2AD8" w:rsidR="001B00FD" w:rsidRPr="005613A7" w:rsidRDefault="00036EFD" w:rsidP="001741FD">
            <w:pPr>
              <w:spacing w:after="0" w:line="240" w:lineRule="auto"/>
              <w:rPr>
                <w:rFonts w:asciiTheme="minorHAnsi" w:hAnsiTheme="minorHAnsi"/>
                <w:bCs/>
                <w:sz w:val="20"/>
                <w:szCs w:val="20"/>
              </w:rPr>
            </w:pPr>
            <w:r>
              <w:rPr>
                <w:rFonts w:asciiTheme="minorHAnsi" w:hAnsiTheme="minorHAnsi"/>
                <w:bCs/>
                <w:sz w:val="20"/>
                <w:szCs w:val="20"/>
              </w:rPr>
              <w:t>II.</w:t>
            </w:r>
            <w:r w:rsidR="001741FD">
              <w:rPr>
                <w:rFonts w:asciiTheme="minorHAnsi" w:hAnsiTheme="minorHAnsi"/>
                <w:bCs/>
                <w:sz w:val="20"/>
                <w:szCs w:val="20"/>
              </w:rPr>
              <w:t>5</w:t>
            </w:r>
          </w:p>
        </w:tc>
        <w:tc>
          <w:tcPr>
            <w:tcW w:w="540" w:type="dxa"/>
            <w:vAlign w:val="center"/>
          </w:tcPr>
          <w:p w14:paraId="254F7E61" w14:textId="407B1FBC"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L</w:t>
            </w:r>
          </w:p>
        </w:tc>
        <w:tc>
          <w:tcPr>
            <w:tcW w:w="5130" w:type="dxa"/>
            <w:noWrap/>
            <w:vAlign w:val="center"/>
          </w:tcPr>
          <w:p w14:paraId="447959F8" w14:textId="282C62B7" w:rsidR="009F1779" w:rsidRPr="005613A7" w:rsidRDefault="001B00FD"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 xml:space="preserve">The standard includes environmental and human health </w:t>
            </w:r>
            <w:r w:rsidR="00892E36">
              <w:rPr>
                <w:rFonts w:asciiTheme="minorHAnsi" w:hAnsiTheme="minorHAnsi"/>
                <w:color w:val="000000"/>
                <w:sz w:val="20"/>
                <w:szCs w:val="20"/>
              </w:rPr>
              <w:t>protection</w:t>
            </w:r>
            <w:r w:rsidR="00892E36" w:rsidRPr="005613A7">
              <w:rPr>
                <w:rFonts w:asciiTheme="minorHAnsi" w:hAnsiTheme="minorHAnsi"/>
                <w:color w:val="000000"/>
                <w:sz w:val="20"/>
                <w:szCs w:val="20"/>
              </w:rPr>
              <w:t xml:space="preserve"> </w:t>
            </w:r>
            <w:r w:rsidRPr="005613A7">
              <w:rPr>
                <w:rFonts w:asciiTheme="minorHAnsi" w:hAnsiTheme="minorHAnsi"/>
                <w:color w:val="000000"/>
                <w:sz w:val="20"/>
                <w:szCs w:val="20"/>
              </w:rPr>
              <w:t>criteria to decrease the toxicological hazard</w:t>
            </w:r>
            <w:r w:rsidR="00211464">
              <w:rPr>
                <w:rStyle w:val="FootnoteReference"/>
                <w:rFonts w:asciiTheme="minorHAnsi" w:hAnsiTheme="minorHAnsi"/>
                <w:color w:val="000000"/>
                <w:sz w:val="20"/>
                <w:szCs w:val="20"/>
              </w:rPr>
              <w:footnoteReference w:id="20"/>
            </w:r>
            <w:r w:rsidRPr="005613A7">
              <w:rPr>
                <w:rFonts w:asciiTheme="minorHAnsi" w:hAnsiTheme="minorHAnsi"/>
                <w:color w:val="000000"/>
                <w:sz w:val="20"/>
                <w:szCs w:val="20"/>
              </w:rPr>
              <w:t xml:space="preserve"> of </w:t>
            </w:r>
            <w:r w:rsidRPr="005613A7">
              <w:rPr>
                <w:rFonts w:asciiTheme="minorHAnsi" w:hAnsiTheme="minorHAnsi"/>
                <w:color w:val="000000"/>
                <w:sz w:val="20"/>
                <w:szCs w:val="20"/>
              </w:rPr>
              <w:lastRenderedPageBreak/>
              <w:t>the product through one or more of the following:  alternatives assessment; safer substitution; reduction</w:t>
            </w:r>
            <w:r w:rsidR="00A46466">
              <w:rPr>
                <w:rFonts w:asciiTheme="minorHAnsi" w:hAnsiTheme="minorHAnsi"/>
                <w:color w:val="000000"/>
                <w:sz w:val="20"/>
                <w:szCs w:val="20"/>
              </w:rPr>
              <w:t xml:space="preserve"> or elimination</w:t>
            </w:r>
            <w:r w:rsidRPr="005613A7">
              <w:rPr>
                <w:rFonts w:asciiTheme="minorHAnsi" w:hAnsiTheme="minorHAnsi"/>
                <w:color w:val="000000"/>
                <w:sz w:val="20"/>
                <w:szCs w:val="20"/>
              </w:rPr>
              <w:t xml:space="preserve"> of hazardous substance(s); or alternative design approaches. </w:t>
            </w:r>
            <w:r w:rsidR="009F1779" w:rsidRPr="005613A7">
              <w:rPr>
                <w:rFonts w:asciiTheme="minorHAnsi" w:hAnsiTheme="minorHAnsi"/>
                <w:color w:val="000000"/>
                <w:sz w:val="20"/>
                <w:szCs w:val="20"/>
              </w:rPr>
              <w:t xml:space="preserve">Chemical substances of concern include carcinogens, </w:t>
            </w:r>
            <w:r w:rsidR="001167A3">
              <w:rPr>
                <w:rFonts w:asciiTheme="minorHAnsi" w:hAnsiTheme="minorHAnsi"/>
                <w:color w:val="000000"/>
                <w:sz w:val="20"/>
                <w:szCs w:val="20"/>
              </w:rPr>
              <w:t xml:space="preserve">mutagens, </w:t>
            </w:r>
            <w:r w:rsidR="009F1779" w:rsidRPr="005613A7">
              <w:rPr>
                <w:rFonts w:asciiTheme="minorHAnsi" w:hAnsiTheme="minorHAnsi"/>
                <w:color w:val="000000"/>
                <w:sz w:val="20"/>
                <w:szCs w:val="20"/>
              </w:rPr>
              <w:t>P</w:t>
            </w:r>
            <w:r w:rsidR="00A46466">
              <w:rPr>
                <w:rFonts w:asciiTheme="minorHAnsi" w:hAnsiTheme="minorHAnsi"/>
                <w:color w:val="000000"/>
                <w:sz w:val="20"/>
                <w:szCs w:val="20"/>
              </w:rPr>
              <w:t xml:space="preserve">ersistent, </w:t>
            </w:r>
            <w:r w:rsidR="009F1779" w:rsidRPr="005613A7">
              <w:rPr>
                <w:rFonts w:asciiTheme="minorHAnsi" w:hAnsiTheme="minorHAnsi"/>
                <w:color w:val="000000"/>
                <w:sz w:val="20"/>
                <w:szCs w:val="20"/>
              </w:rPr>
              <w:t>B</w:t>
            </w:r>
            <w:r w:rsidR="00A46466">
              <w:rPr>
                <w:rFonts w:asciiTheme="minorHAnsi" w:hAnsiTheme="minorHAnsi"/>
                <w:color w:val="000000"/>
                <w:sz w:val="20"/>
                <w:szCs w:val="20"/>
              </w:rPr>
              <w:t xml:space="preserve">ioaccumulative, </w:t>
            </w:r>
            <w:r w:rsidR="009F1779" w:rsidRPr="005613A7">
              <w:rPr>
                <w:rFonts w:asciiTheme="minorHAnsi" w:hAnsiTheme="minorHAnsi"/>
                <w:color w:val="000000"/>
                <w:sz w:val="20"/>
                <w:szCs w:val="20"/>
              </w:rPr>
              <w:t>T</w:t>
            </w:r>
            <w:r w:rsidR="00A46466">
              <w:rPr>
                <w:rFonts w:asciiTheme="minorHAnsi" w:hAnsiTheme="minorHAnsi"/>
                <w:color w:val="000000"/>
                <w:sz w:val="20"/>
                <w:szCs w:val="20"/>
              </w:rPr>
              <w:t>oxic</w:t>
            </w:r>
            <w:r w:rsidR="009F1779" w:rsidRPr="005613A7">
              <w:rPr>
                <w:rFonts w:asciiTheme="minorHAnsi" w:hAnsiTheme="minorHAnsi"/>
                <w:color w:val="000000"/>
                <w:sz w:val="20"/>
                <w:szCs w:val="20"/>
              </w:rPr>
              <w:t>s</w:t>
            </w:r>
            <w:r w:rsidR="00A46466">
              <w:rPr>
                <w:rFonts w:asciiTheme="minorHAnsi" w:hAnsiTheme="minorHAnsi"/>
                <w:color w:val="000000"/>
                <w:sz w:val="20"/>
                <w:szCs w:val="20"/>
              </w:rPr>
              <w:t xml:space="preserve"> (PBTs)</w:t>
            </w:r>
            <w:r w:rsidR="009F1779" w:rsidRPr="005613A7">
              <w:rPr>
                <w:rFonts w:asciiTheme="minorHAnsi" w:hAnsiTheme="minorHAnsi"/>
                <w:color w:val="000000"/>
                <w:sz w:val="20"/>
                <w:szCs w:val="20"/>
              </w:rPr>
              <w:t>, reproductive toxic</w:t>
            </w:r>
            <w:r w:rsidR="001167A3">
              <w:rPr>
                <w:rFonts w:asciiTheme="minorHAnsi" w:hAnsiTheme="minorHAnsi"/>
                <w:color w:val="000000"/>
                <w:sz w:val="20"/>
                <w:szCs w:val="20"/>
              </w:rPr>
              <w:t>ant</w:t>
            </w:r>
            <w:r w:rsidR="009F1779" w:rsidRPr="005613A7">
              <w:rPr>
                <w:rFonts w:asciiTheme="minorHAnsi" w:hAnsiTheme="minorHAnsi"/>
                <w:color w:val="000000"/>
                <w:sz w:val="20"/>
                <w:szCs w:val="20"/>
              </w:rPr>
              <w:t>s, and chemicals on the complete and current EPA Toxic</w:t>
            </w:r>
            <w:r w:rsidR="009F1779">
              <w:rPr>
                <w:rFonts w:asciiTheme="minorHAnsi" w:hAnsiTheme="minorHAnsi"/>
                <w:color w:val="000000"/>
                <w:sz w:val="20"/>
                <w:szCs w:val="20"/>
              </w:rPr>
              <w:t>s</w:t>
            </w:r>
            <w:r w:rsidR="009F1779" w:rsidRPr="005613A7">
              <w:rPr>
                <w:rFonts w:asciiTheme="minorHAnsi" w:hAnsiTheme="minorHAnsi"/>
                <w:color w:val="000000"/>
                <w:sz w:val="20"/>
                <w:szCs w:val="20"/>
              </w:rPr>
              <w:t xml:space="preserve"> Release Inventory (TRI).</w:t>
            </w:r>
          </w:p>
          <w:p w14:paraId="52A3266C" w14:textId="77777777" w:rsidR="00341F6E" w:rsidRDefault="00341F6E" w:rsidP="001375D1">
            <w:pPr>
              <w:spacing w:after="0" w:line="240" w:lineRule="auto"/>
              <w:rPr>
                <w:rFonts w:asciiTheme="minorHAnsi" w:hAnsiTheme="minorHAnsi"/>
                <w:color w:val="000000"/>
                <w:sz w:val="20"/>
                <w:szCs w:val="20"/>
              </w:rPr>
            </w:pPr>
          </w:p>
          <w:p w14:paraId="48D72B08" w14:textId="019AAFA5" w:rsidR="009F1779" w:rsidRDefault="009F1779"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SDO used reputable information sources in identifying chemicals of concern.</w:t>
            </w:r>
          </w:p>
          <w:p w14:paraId="26510956" w14:textId="77777777" w:rsidR="009F1779" w:rsidRPr="005613A7" w:rsidRDefault="009F1779" w:rsidP="001375D1">
            <w:pPr>
              <w:spacing w:after="0" w:line="240" w:lineRule="auto"/>
              <w:rPr>
                <w:rFonts w:asciiTheme="minorHAnsi" w:hAnsiTheme="minorHAnsi"/>
                <w:color w:val="000000"/>
                <w:sz w:val="20"/>
                <w:szCs w:val="20"/>
              </w:rPr>
            </w:pPr>
          </w:p>
          <w:p w14:paraId="51223E22" w14:textId="77777777"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standard fully and transparently explains its methodology for the criteria. Alternatives assessment criteria are in accordance with the National Academy of Sciences (NAS) Framework to Guide Selection of Chemical Alternatives.</w:t>
            </w:r>
          </w:p>
          <w:p w14:paraId="29B66CA8" w14:textId="77777777" w:rsidR="004A4E38" w:rsidRPr="005613A7" w:rsidRDefault="004A4E38" w:rsidP="001375D1">
            <w:pPr>
              <w:spacing w:after="0" w:line="240" w:lineRule="auto"/>
              <w:rPr>
                <w:rFonts w:asciiTheme="minorHAnsi" w:hAnsiTheme="minorHAnsi"/>
                <w:color w:val="000000"/>
                <w:sz w:val="20"/>
                <w:szCs w:val="20"/>
              </w:rPr>
            </w:pPr>
          </w:p>
          <w:p w14:paraId="538265E2" w14:textId="77777777" w:rsidR="004A4E38" w:rsidRPr="00B41BF5" w:rsidRDefault="004A4E38" w:rsidP="004A4E38">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5B01512" w14:textId="722A304E" w:rsidR="004A4E38" w:rsidRPr="005613A7" w:rsidRDefault="004A4E38" w:rsidP="00341F6E">
            <w:pPr>
              <w:spacing w:after="0" w:line="240" w:lineRule="auto"/>
              <w:rPr>
                <w:rFonts w:asciiTheme="minorHAnsi" w:hAnsiTheme="minorHAnsi"/>
                <w:color w:val="000000"/>
                <w:sz w:val="20"/>
                <w:szCs w:val="20"/>
              </w:rPr>
            </w:pPr>
            <w:r w:rsidRPr="00B41BF5">
              <w:rPr>
                <w:rFonts w:asciiTheme="minorHAnsi" w:hAnsiTheme="minorHAnsi"/>
                <w:i/>
                <w:color w:val="2E74B5" w:themeColor="accent1" w:themeShade="BF"/>
                <w:sz w:val="20"/>
                <w:szCs w:val="20"/>
              </w:rPr>
              <w:t>II.9 Intrinsic Hazards</w:t>
            </w:r>
          </w:p>
        </w:tc>
        <w:tc>
          <w:tcPr>
            <w:tcW w:w="4680" w:type="dxa"/>
            <w:noWrap/>
            <w:vAlign w:val="center"/>
          </w:tcPr>
          <w:p w14:paraId="7F2543F7" w14:textId="2D94D901" w:rsidR="001B00FD" w:rsidRPr="005613A7" w:rsidRDefault="0012636C" w:rsidP="001375D1">
            <w:pPr>
              <w:spacing w:after="0" w:line="240" w:lineRule="auto"/>
              <w:rPr>
                <w:rFonts w:asciiTheme="minorHAnsi" w:hAnsiTheme="minorHAnsi"/>
                <w:sz w:val="20"/>
                <w:szCs w:val="20"/>
              </w:rPr>
            </w:pPr>
            <w:r>
              <w:rPr>
                <w:rFonts w:asciiTheme="minorHAnsi" w:hAnsiTheme="minorHAnsi"/>
                <w:sz w:val="20"/>
                <w:szCs w:val="20"/>
              </w:rPr>
              <w:lastRenderedPageBreak/>
              <w:t>-</w:t>
            </w:r>
            <w:r w:rsidR="001B00FD" w:rsidRPr="005613A7">
              <w:rPr>
                <w:rFonts w:asciiTheme="minorHAnsi" w:hAnsiTheme="minorHAnsi"/>
                <w:sz w:val="20"/>
                <w:szCs w:val="20"/>
              </w:rPr>
              <w:t xml:space="preserve">Text of standard: criteria require hazard reduction through one or more of the approaches listed. </w:t>
            </w:r>
          </w:p>
          <w:p w14:paraId="0706C4B9" w14:textId="7984C381" w:rsidR="00D31724" w:rsidRDefault="0012636C" w:rsidP="00D31724">
            <w:pPr>
              <w:rPr>
                <w:sz w:val="20"/>
                <w:szCs w:val="20"/>
              </w:rPr>
            </w:pPr>
            <w:r>
              <w:rPr>
                <w:rFonts w:asciiTheme="minorHAnsi" w:hAnsiTheme="minorHAnsi"/>
                <w:sz w:val="20"/>
                <w:szCs w:val="20"/>
              </w:rPr>
              <w:lastRenderedPageBreak/>
              <w:t>-</w:t>
            </w:r>
            <w:r w:rsidR="001B00FD" w:rsidRPr="005613A7">
              <w:rPr>
                <w:rFonts w:asciiTheme="minorHAnsi" w:hAnsiTheme="minorHAnsi"/>
                <w:color w:val="000000"/>
                <w:sz w:val="20"/>
                <w:szCs w:val="20"/>
              </w:rPr>
              <w:t xml:space="preserve">SDOs indication of the source(s) consulted in developing criteria to address chemicals of concern. If SDO does not cite any of the sources listed </w:t>
            </w:r>
            <w:r w:rsidR="00B255E0">
              <w:rPr>
                <w:rFonts w:asciiTheme="minorHAnsi" w:hAnsiTheme="minorHAnsi"/>
                <w:color w:val="000000"/>
                <w:sz w:val="20"/>
                <w:szCs w:val="20"/>
              </w:rPr>
              <w:t>below</w:t>
            </w:r>
            <w:r w:rsidR="001B00FD" w:rsidRPr="005613A7">
              <w:rPr>
                <w:rFonts w:asciiTheme="minorHAnsi" w:hAnsiTheme="minorHAnsi"/>
                <w:color w:val="000000"/>
                <w:sz w:val="20"/>
                <w:szCs w:val="20"/>
              </w:rPr>
              <w:t>, it must provide documentation of source(s) consulted and</w:t>
            </w:r>
            <w:r w:rsidR="00CD2AC7">
              <w:rPr>
                <w:rFonts w:asciiTheme="minorHAnsi" w:hAnsiTheme="minorHAnsi"/>
                <w:color w:val="000000"/>
                <w:sz w:val="20"/>
                <w:szCs w:val="20"/>
              </w:rPr>
              <w:t xml:space="preserve"> provide</w:t>
            </w:r>
            <w:r w:rsidR="001B00FD" w:rsidRPr="005613A7">
              <w:rPr>
                <w:rFonts w:asciiTheme="minorHAnsi" w:hAnsiTheme="minorHAnsi"/>
                <w:color w:val="000000"/>
                <w:sz w:val="20"/>
                <w:szCs w:val="20"/>
              </w:rPr>
              <w:t xml:space="preserve"> evidence that source (s) are reputable</w:t>
            </w:r>
            <w:r w:rsidR="00D234AE">
              <w:rPr>
                <w:rFonts w:asciiTheme="minorHAnsi" w:hAnsiTheme="minorHAnsi"/>
                <w:color w:val="000000"/>
                <w:sz w:val="20"/>
                <w:szCs w:val="20"/>
              </w:rPr>
              <w:t>.</w:t>
            </w:r>
            <w:r w:rsidR="00B255E0">
              <w:rPr>
                <w:rFonts w:asciiTheme="minorHAnsi" w:hAnsiTheme="minorHAnsi"/>
                <w:color w:val="000000"/>
                <w:sz w:val="20"/>
                <w:szCs w:val="20"/>
              </w:rPr>
              <w:t xml:space="preserve"> </w:t>
            </w:r>
            <w:r w:rsidR="00D234AE" w:rsidRPr="00D234AE">
              <w:rPr>
                <w:rFonts w:asciiTheme="minorHAnsi" w:hAnsiTheme="minorHAnsi"/>
                <w:color w:val="000000"/>
                <w:sz w:val="20"/>
                <w:szCs w:val="20"/>
              </w:rPr>
              <w:t xml:space="preserve">For a hazard list to be considered ‘reputable’ it shall be based on scientific evidence, be peer-reviewed, and be </w:t>
            </w:r>
            <w:r w:rsidR="00AC62C4">
              <w:rPr>
                <w:rFonts w:asciiTheme="minorHAnsi" w:hAnsiTheme="minorHAnsi"/>
                <w:color w:val="000000"/>
                <w:sz w:val="20"/>
                <w:szCs w:val="20"/>
              </w:rPr>
              <w:t>developed by</w:t>
            </w:r>
            <w:r w:rsidR="00D234AE" w:rsidRPr="00D234AE">
              <w:rPr>
                <w:rFonts w:asciiTheme="minorHAnsi" w:hAnsiTheme="minorHAnsi"/>
                <w:color w:val="000000"/>
                <w:sz w:val="20"/>
                <w:szCs w:val="20"/>
              </w:rPr>
              <w:t xml:space="preserve"> experts free of any conflicts of interest regarding the outcome of the assessments.  Hazard lists </w:t>
            </w:r>
            <w:r w:rsidR="001167A3">
              <w:rPr>
                <w:rFonts w:asciiTheme="minorHAnsi" w:hAnsiTheme="minorHAnsi"/>
                <w:color w:val="000000"/>
                <w:sz w:val="20"/>
                <w:szCs w:val="20"/>
              </w:rPr>
              <w:t>should</w:t>
            </w:r>
            <w:r w:rsidR="00D234AE" w:rsidRPr="00D234AE">
              <w:rPr>
                <w:rFonts w:asciiTheme="minorHAnsi" w:hAnsiTheme="minorHAnsi"/>
                <w:color w:val="000000"/>
                <w:sz w:val="20"/>
                <w:szCs w:val="20"/>
              </w:rPr>
              <w:t xml:space="preserve"> also be constructed through an open-stakeholder process</w:t>
            </w:r>
            <w:r w:rsidR="00D234AE" w:rsidRPr="00D31724">
              <w:rPr>
                <w:rFonts w:asciiTheme="minorHAnsi" w:hAnsiTheme="minorHAnsi"/>
                <w:color w:val="000000"/>
                <w:sz w:val="20"/>
                <w:szCs w:val="20"/>
              </w:rPr>
              <w:t xml:space="preserve">.  </w:t>
            </w:r>
            <w:r w:rsidR="00D31724" w:rsidRPr="00D31724">
              <w:rPr>
                <w:sz w:val="20"/>
                <w:szCs w:val="20"/>
              </w:rPr>
              <w:t>To provide transparency, formal documentation on the methodology used to compile the list, including key assumptions, shall be publicly available. The standard shall include a formal mechanism to consider form-specific (e.g. respirable dust vs. liquid vs. solid)</w:t>
            </w:r>
            <w:r w:rsidR="00D31724">
              <w:rPr>
                <w:sz w:val="20"/>
                <w:szCs w:val="20"/>
              </w:rPr>
              <w:t xml:space="preserve"> </w:t>
            </w:r>
            <w:r w:rsidR="00D31724" w:rsidRPr="00D31724">
              <w:rPr>
                <w:sz w:val="20"/>
                <w:szCs w:val="20"/>
              </w:rPr>
              <w:t>hazards (such as titanium dioxide).</w:t>
            </w:r>
          </w:p>
          <w:p w14:paraId="079136E7" w14:textId="77777777" w:rsidR="0089647D" w:rsidRPr="00D31724" w:rsidRDefault="0089647D" w:rsidP="0089647D">
            <w:pPr>
              <w:spacing w:after="0" w:line="240" w:lineRule="auto"/>
              <w:rPr>
                <w:sz w:val="20"/>
              </w:rPr>
            </w:pPr>
            <w:r w:rsidRPr="00D31724">
              <w:rPr>
                <w:sz w:val="20"/>
              </w:rPr>
              <w:t>Carcinogens</w:t>
            </w:r>
          </w:p>
          <w:p w14:paraId="68F3FE4D" w14:textId="3C55567D"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Listed by the International Agency for Research on Cancer as:</w:t>
            </w:r>
          </w:p>
          <w:p w14:paraId="736FCDA0" w14:textId="5B5F03F4" w:rsidR="0089647D" w:rsidRPr="00D31724" w:rsidRDefault="0012636C" w:rsidP="0089647D">
            <w:pPr>
              <w:spacing w:after="0" w:line="240" w:lineRule="auto"/>
              <w:ind w:left="162"/>
              <w:rPr>
                <w:sz w:val="20"/>
              </w:rPr>
            </w:pPr>
            <w:r w:rsidRPr="00D31724">
              <w:rPr>
                <w:sz w:val="20"/>
              </w:rPr>
              <w:t>-</w:t>
            </w:r>
            <w:r w:rsidR="0089647D" w:rsidRPr="00D31724">
              <w:rPr>
                <w:sz w:val="20"/>
              </w:rPr>
              <w:t>Group 1: carcinogenic to humans</w:t>
            </w:r>
          </w:p>
          <w:p w14:paraId="2330646B" w14:textId="167B353B" w:rsidR="0089647D" w:rsidRPr="00D31724" w:rsidRDefault="0012636C" w:rsidP="0089647D">
            <w:pPr>
              <w:spacing w:after="0" w:line="240" w:lineRule="auto"/>
              <w:ind w:left="162"/>
              <w:rPr>
                <w:sz w:val="20"/>
              </w:rPr>
            </w:pPr>
            <w:r w:rsidRPr="00D31724">
              <w:rPr>
                <w:sz w:val="20"/>
              </w:rPr>
              <w:t>-</w:t>
            </w:r>
            <w:r w:rsidR="0089647D" w:rsidRPr="00D31724">
              <w:rPr>
                <w:sz w:val="20"/>
              </w:rPr>
              <w:t>Group 2A: probably carcinogenic to humans</w:t>
            </w:r>
          </w:p>
          <w:p w14:paraId="128928ED" w14:textId="30E3DF3D"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Listed by the National Toxicology Program as:</w:t>
            </w:r>
          </w:p>
          <w:p w14:paraId="32F3CD96" w14:textId="5630F591" w:rsidR="0089647D" w:rsidRPr="00D31724" w:rsidRDefault="0012636C" w:rsidP="0089647D">
            <w:pPr>
              <w:spacing w:after="0" w:line="240" w:lineRule="auto"/>
              <w:ind w:left="162"/>
              <w:rPr>
                <w:sz w:val="20"/>
              </w:rPr>
            </w:pPr>
            <w:r w:rsidRPr="00D31724">
              <w:rPr>
                <w:sz w:val="20"/>
              </w:rPr>
              <w:t>-</w:t>
            </w:r>
            <w:r w:rsidR="0089647D" w:rsidRPr="00D31724">
              <w:rPr>
                <w:sz w:val="20"/>
              </w:rPr>
              <w:t>Known human carcinogen</w:t>
            </w:r>
          </w:p>
          <w:p w14:paraId="4E22C3E4" w14:textId="45618634" w:rsidR="0089647D" w:rsidRPr="00D31724" w:rsidRDefault="0012636C" w:rsidP="0089647D">
            <w:pPr>
              <w:spacing w:after="0" w:line="240" w:lineRule="auto"/>
              <w:ind w:left="162"/>
              <w:rPr>
                <w:sz w:val="20"/>
              </w:rPr>
            </w:pPr>
            <w:r w:rsidRPr="00D31724">
              <w:rPr>
                <w:sz w:val="20"/>
              </w:rPr>
              <w:t>-</w:t>
            </w:r>
            <w:r w:rsidR="0089647D" w:rsidRPr="00D31724">
              <w:rPr>
                <w:sz w:val="20"/>
              </w:rPr>
              <w:t>Reasonably anticipated human carcinogen</w:t>
            </w:r>
          </w:p>
          <w:p w14:paraId="26C1D7D9" w14:textId="30815A61"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Meet the criteria under the Globally Harmonized System of Classification and Labeling (GHS) for the carcinogenicity hazard class (codes H350, H351)</w:t>
            </w:r>
          </w:p>
          <w:p w14:paraId="75826763" w14:textId="77777777" w:rsidR="0089647D" w:rsidRPr="00D31724" w:rsidRDefault="0089647D" w:rsidP="0089647D">
            <w:pPr>
              <w:spacing w:after="0" w:line="240" w:lineRule="auto"/>
              <w:rPr>
                <w:sz w:val="20"/>
              </w:rPr>
            </w:pPr>
          </w:p>
          <w:p w14:paraId="26C52CB7" w14:textId="77777777" w:rsidR="0089647D" w:rsidRPr="00D31724" w:rsidRDefault="0089647D" w:rsidP="0089647D">
            <w:pPr>
              <w:spacing w:after="0" w:line="240" w:lineRule="auto"/>
              <w:rPr>
                <w:sz w:val="20"/>
              </w:rPr>
            </w:pPr>
            <w:r w:rsidRPr="00D31724">
              <w:rPr>
                <w:sz w:val="20"/>
              </w:rPr>
              <w:t>Mutagens</w:t>
            </w:r>
          </w:p>
          <w:p w14:paraId="755123BF" w14:textId="30F7FB3B"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Globally Harmonized System of Classification and Labeling (GHS)</w:t>
            </w:r>
          </w:p>
          <w:p w14:paraId="44D54A3A" w14:textId="6759E7C9" w:rsidR="0089647D" w:rsidRPr="00D31724" w:rsidRDefault="0012636C" w:rsidP="0089647D">
            <w:pPr>
              <w:spacing w:after="0" w:line="240" w:lineRule="auto"/>
              <w:ind w:left="162"/>
              <w:rPr>
                <w:sz w:val="20"/>
              </w:rPr>
            </w:pPr>
            <w:r w:rsidRPr="00D31724">
              <w:rPr>
                <w:sz w:val="20"/>
              </w:rPr>
              <w:t>-</w:t>
            </w:r>
            <w:r w:rsidR="0089647D" w:rsidRPr="00D31724">
              <w:rPr>
                <w:sz w:val="20"/>
              </w:rPr>
              <w:t>Category 1A: Chemicals known to induce heritable mutations in germ cells of humans</w:t>
            </w:r>
          </w:p>
          <w:p w14:paraId="458D6604" w14:textId="73CF7357" w:rsidR="0089647D" w:rsidRPr="00D31724" w:rsidRDefault="0012636C" w:rsidP="0089647D">
            <w:pPr>
              <w:spacing w:after="0" w:line="240" w:lineRule="auto"/>
              <w:ind w:left="162"/>
              <w:rPr>
                <w:sz w:val="20"/>
              </w:rPr>
            </w:pPr>
            <w:r w:rsidRPr="00D31724">
              <w:rPr>
                <w:sz w:val="20"/>
              </w:rPr>
              <w:t>-</w:t>
            </w:r>
            <w:r w:rsidR="0089647D" w:rsidRPr="00D31724">
              <w:rPr>
                <w:sz w:val="20"/>
              </w:rPr>
              <w:t>Category 1B: Chemicals which should be regarded as if they induce heritable mutations in the germ cells of humans</w:t>
            </w:r>
          </w:p>
          <w:p w14:paraId="5C8F8437" w14:textId="6C5B4EF9" w:rsidR="0089647D" w:rsidRPr="00D31724" w:rsidRDefault="0012636C" w:rsidP="0089647D">
            <w:pPr>
              <w:spacing w:after="0" w:line="240" w:lineRule="auto"/>
              <w:ind w:left="162"/>
              <w:rPr>
                <w:sz w:val="20"/>
              </w:rPr>
            </w:pPr>
            <w:r w:rsidRPr="00D31724">
              <w:rPr>
                <w:sz w:val="20"/>
              </w:rPr>
              <w:t>-</w:t>
            </w:r>
            <w:r w:rsidR="0089647D" w:rsidRPr="00D31724">
              <w:rPr>
                <w:sz w:val="20"/>
              </w:rPr>
              <w:t>Category 2: Chemicals which cause concern for humans owing to the possibility that they may induce heritable mutations in the germ cells of humans</w:t>
            </w:r>
          </w:p>
          <w:p w14:paraId="08D006E1" w14:textId="77777777" w:rsidR="0089647D" w:rsidRPr="00D31724" w:rsidRDefault="0089647D" w:rsidP="0089647D">
            <w:pPr>
              <w:spacing w:after="0" w:line="240" w:lineRule="auto"/>
              <w:rPr>
                <w:sz w:val="20"/>
              </w:rPr>
            </w:pPr>
          </w:p>
          <w:p w14:paraId="2FA4917F" w14:textId="77777777" w:rsidR="0089647D" w:rsidRPr="00D31724" w:rsidRDefault="0089647D" w:rsidP="0089647D">
            <w:pPr>
              <w:spacing w:after="0" w:line="240" w:lineRule="auto"/>
              <w:rPr>
                <w:sz w:val="20"/>
              </w:rPr>
            </w:pPr>
            <w:r w:rsidRPr="00D31724">
              <w:rPr>
                <w:sz w:val="20"/>
              </w:rPr>
              <w:t>Reproductive toxicants</w:t>
            </w:r>
          </w:p>
          <w:p w14:paraId="576E91F9" w14:textId="346DD8A2"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Listed under the State of California Safe Drinking Water and Toxic Enforcement Act (Prop 65) for reproductive or developmental toxicity</w:t>
            </w:r>
          </w:p>
          <w:p w14:paraId="47E2D952" w14:textId="751C7C4A"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Meet the criteria under the Globally Harmonized System of Classification and Labeling (GHS) for the Reproductive Toxicity hazard class (codes H360 Categories 1A and 1B, H361, H362)</w:t>
            </w:r>
          </w:p>
          <w:p w14:paraId="64B7ECCA" w14:textId="77777777" w:rsidR="0089647D" w:rsidRPr="00D31724" w:rsidRDefault="0089647D" w:rsidP="0089647D">
            <w:pPr>
              <w:spacing w:after="0" w:line="240" w:lineRule="auto"/>
              <w:rPr>
                <w:sz w:val="20"/>
              </w:rPr>
            </w:pPr>
          </w:p>
          <w:p w14:paraId="7F03DE97" w14:textId="77777777" w:rsidR="0089647D" w:rsidRPr="00D31724" w:rsidRDefault="0089647D" w:rsidP="0089647D">
            <w:pPr>
              <w:spacing w:after="0" w:line="240" w:lineRule="auto"/>
              <w:rPr>
                <w:sz w:val="20"/>
              </w:rPr>
            </w:pPr>
            <w:r w:rsidRPr="00D31724">
              <w:rPr>
                <w:sz w:val="20"/>
              </w:rPr>
              <w:lastRenderedPageBreak/>
              <w:t>PBT substances</w:t>
            </w:r>
          </w:p>
          <w:p w14:paraId="527F458F" w14:textId="60D920FC"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Stockholm Convention Persistent Organic Pollutants</w:t>
            </w:r>
          </w:p>
          <w:p w14:paraId="779C5EC8" w14:textId="77777777" w:rsidR="0089647D" w:rsidRPr="00D31724" w:rsidRDefault="0089647D" w:rsidP="0089647D">
            <w:pPr>
              <w:spacing w:after="0" w:line="240" w:lineRule="auto"/>
              <w:rPr>
                <w:sz w:val="20"/>
              </w:rPr>
            </w:pPr>
            <w:r w:rsidRPr="00D31724">
              <w:rPr>
                <w:sz w:val="20"/>
              </w:rPr>
              <w:t>U.S. – Canada Binational Toxics</w:t>
            </w:r>
          </w:p>
          <w:p w14:paraId="44ED04B5" w14:textId="04D3585D" w:rsidR="0089647D" w:rsidRDefault="0089647D" w:rsidP="0089647D">
            <w:pPr>
              <w:spacing w:after="0" w:line="240" w:lineRule="auto"/>
              <w:rPr>
                <w:sz w:val="20"/>
              </w:rPr>
            </w:pPr>
            <w:r w:rsidRPr="00D31724">
              <w:rPr>
                <w:rFonts w:asciiTheme="minorHAnsi" w:hAnsiTheme="minorHAnsi"/>
                <w:sz w:val="20"/>
                <w:szCs w:val="20"/>
              </w:rPr>
              <w:t>•</w:t>
            </w:r>
            <w:r w:rsidRPr="00D31724">
              <w:rPr>
                <w:sz w:val="20"/>
              </w:rPr>
              <w:t>Toxics Release Inventory (TRI) PBT chemicals</w:t>
            </w:r>
          </w:p>
          <w:p w14:paraId="6791D900" w14:textId="49622A11" w:rsidR="00D31724" w:rsidRPr="00D31724" w:rsidRDefault="00D31724" w:rsidP="0089647D">
            <w:pPr>
              <w:spacing w:after="0" w:line="240" w:lineRule="auto"/>
              <w:rPr>
                <w:sz w:val="20"/>
              </w:rPr>
            </w:pPr>
            <w:r w:rsidRPr="00D31724">
              <w:rPr>
                <w:rFonts w:asciiTheme="minorHAnsi" w:hAnsiTheme="minorHAnsi"/>
                <w:sz w:val="20"/>
                <w:szCs w:val="20"/>
              </w:rPr>
              <w:t>•</w:t>
            </w:r>
            <w:r w:rsidRPr="00D31724">
              <w:rPr>
                <w:sz w:val="20"/>
                <w:szCs w:val="20"/>
              </w:rPr>
              <w:t>Chemicals listed in 40 CFR 372.28 due to their PBT characteristics</w:t>
            </w:r>
          </w:p>
          <w:p w14:paraId="53DA7CE1" w14:textId="3AF1A214" w:rsidR="0089647D" w:rsidRPr="00D31724" w:rsidRDefault="0089647D" w:rsidP="0089647D">
            <w:pPr>
              <w:spacing w:after="0" w:line="240" w:lineRule="auto"/>
              <w:rPr>
                <w:sz w:val="20"/>
              </w:rPr>
            </w:pPr>
            <w:r w:rsidRPr="00D31724">
              <w:rPr>
                <w:rFonts w:asciiTheme="minorHAnsi" w:hAnsiTheme="minorHAnsi"/>
                <w:sz w:val="20"/>
                <w:szCs w:val="20"/>
              </w:rPr>
              <w:t>•</w:t>
            </w:r>
            <w:r w:rsidRPr="00D31724">
              <w:rPr>
                <w:sz w:val="20"/>
              </w:rPr>
              <w:t>RCRA Waste Minimization Priority Chemicals</w:t>
            </w:r>
          </w:p>
          <w:p w14:paraId="14A7E1E1" w14:textId="77777777" w:rsidR="0089647D" w:rsidRDefault="0089647D" w:rsidP="001375D1">
            <w:pPr>
              <w:spacing w:after="0" w:line="240" w:lineRule="auto"/>
              <w:rPr>
                <w:rFonts w:asciiTheme="minorHAnsi" w:hAnsiTheme="minorHAnsi"/>
                <w:color w:val="000000"/>
                <w:sz w:val="20"/>
                <w:szCs w:val="20"/>
              </w:rPr>
            </w:pPr>
          </w:p>
          <w:p w14:paraId="3855BED9" w14:textId="6237493E"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 xml:space="preserve">EPA TRI complete, current </w:t>
            </w:r>
            <w:r w:rsidRPr="00D31724">
              <w:rPr>
                <w:rFonts w:asciiTheme="minorHAnsi" w:hAnsiTheme="minorHAnsi"/>
                <w:sz w:val="20"/>
                <w:szCs w:val="20"/>
              </w:rPr>
              <w:t>list</w:t>
            </w:r>
            <w:r w:rsidR="00D31724" w:rsidRPr="00D31724">
              <w:rPr>
                <w:rFonts w:asciiTheme="minorHAnsi" w:hAnsiTheme="minorHAnsi"/>
                <w:sz w:val="20"/>
                <w:szCs w:val="20"/>
              </w:rPr>
              <w:t xml:space="preserve"> </w:t>
            </w:r>
            <w:r w:rsidR="00D31724" w:rsidRPr="00D31724">
              <w:rPr>
                <w:sz w:val="20"/>
                <w:szCs w:val="20"/>
              </w:rPr>
              <w:t>(also at 40 CFR 372.65)</w:t>
            </w:r>
            <w:r w:rsidRPr="00D31724">
              <w:rPr>
                <w:rFonts w:asciiTheme="minorHAnsi" w:hAnsiTheme="minorHAnsi"/>
                <w:sz w:val="20"/>
                <w:szCs w:val="20"/>
              </w:rPr>
              <w:t xml:space="preserve">: </w:t>
            </w:r>
            <w:r w:rsidRPr="005613A7">
              <w:rPr>
                <w:rFonts w:asciiTheme="minorHAnsi" w:hAnsiTheme="minorHAnsi"/>
                <w:color w:val="000000"/>
                <w:sz w:val="20"/>
                <w:szCs w:val="20"/>
              </w:rPr>
              <w:t>http://www2.epa.gov/sites/production/files/2015-11/tri_chemical_list_for_ry15_11_5_2015_1.xlsx</w:t>
            </w:r>
          </w:p>
          <w:p w14:paraId="0B402EF2" w14:textId="77777777" w:rsidR="009F1779" w:rsidRDefault="009F1779" w:rsidP="001375D1">
            <w:pPr>
              <w:spacing w:after="0" w:line="240" w:lineRule="auto"/>
              <w:rPr>
                <w:rFonts w:asciiTheme="minorHAnsi" w:hAnsiTheme="minorHAnsi"/>
                <w:color w:val="000000"/>
                <w:sz w:val="20"/>
                <w:szCs w:val="20"/>
              </w:rPr>
            </w:pPr>
          </w:p>
          <w:p w14:paraId="187267C5" w14:textId="1CE3AD3D" w:rsidR="009F1779" w:rsidRPr="005613A7" w:rsidRDefault="009F1779" w:rsidP="009F1779">
            <w:pPr>
              <w:spacing w:after="0" w:line="240" w:lineRule="auto"/>
              <w:rPr>
                <w:rFonts w:asciiTheme="minorHAnsi" w:hAnsiTheme="minorHAnsi"/>
                <w:color w:val="000000"/>
                <w:sz w:val="20"/>
                <w:szCs w:val="20"/>
              </w:rPr>
            </w:pPr>
            <w:r>
              <w:rPr>
                <w:rFonts w:asciiTheme="minorHAnsi" w:hAnsiTheme="minorHAnsi"/>
                <w:color w:val="000000"/>
                <w:sz w:val="20"/>
                <w:szCs w:val="20"/>
              </w:rPr>
              <w:t>Others s</w:t>
            </w:r>
            <w:r w:rsidRPr="005613A7">
              <w:rPr>
                <w:rFonts w:asciiTheme="minorHAnsi" w:hAnsiTheme="minorHAnsi"/>
                <w:color w:val="000000"/>
                <w:sz w:val="20"/>
                <w:szCs w:val="20"/>
              </w:rPr>
              <w:t xml:space="preserve">ources used could include, but are not limited to:  </w:t>
            </w:r>
          </w:p>
          <w:p w14:paraId="431FD8F9"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Toxic Substance Control Act Test Submission Database (TSCATS): http://www.ntis.gov/products/ots.aspx and http://yosemite.epa.gov/oppts/epatscat8.nsf/ReportSearch?OpenForm</w:t>
            </w:r>
          </w:p>
          <w:p w14:paraId="37D39DCD"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•Hazardous Substances Data Bank (HSDB): http://toxnet.nlm.nih.gov/</w:t>
            </w:r>
          </w:p>
          <w:p w14:paraId="4C59970A"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•Integrated Risk Information System (IRIS): http://www.epa.gov/IRIS/</w:t>
            </w:r>
          </w:p>
          <w:p w14:paraId="2404451C"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National Toxicology Program (NTP): http://ntp.niehs.nih.gov/</w:t>
            </w:r>
          </w:p>
          <w:p w14:paraId="52DBFAEB"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•US EPA HPV Challenge Program: http://www.epa.gov/hpv/</w:t>
            </w:r>
          </w:p>
          <w:p w14:paraId="5C35E89B"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Distributed Structure-Searchable Toxicity Database Network (DSSTox): http://www.epa.gov/ncct/dsstox/</w:t>
            </w:r>
          </w:p>
          <w:p w14:paraId="1B2956FB"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•Acute Exposure Guideline Levels (AEGLS): http://www.epa.gov/oppt/aegl/pubs/chemlist.htm</w:t>
            </w:r>
          </w:p>
          <w:p w14:paraId="1BFA9867"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Agency for Toxic Substances &amp; Disease Registry (ATSDR) Toxic Substances Portal: http://www.atsdr.cdc.gov/substances/index.asp</w:t>
            </w:r>
          </w:p>
          <w:p w14:paraId="77B56A40"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•US EPA: Public Databases Routinely Searched for Hazard Information: http://www.epa.gov/hpvis/hazardinfo.htm</w:t>
            </w:r>
          </w:p>
          <w:p w14:paraId="05BA1A5B" w14:textId="77777777" w:rsidR="009F1779" w:rsidRPr="005613A7"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•U.S. Environmental Protection Agency’s (EPA) Design for the Environment Program (DfE)—</w:t>
            </w:r>
            <w:proofErr w:type="spellStart"/>
            <w:r w:rsidRPr="005613A7">
              <w:rPr>
                <w:rFonts w:asciiTheme="minorHAnsi" w:hAnsiTheme="minorHAnsi"/>
                <w:color w:val="000000"/>
                <w:sz w:val="20"/>
                <w:szCs w:val="20"/>
              </w:rPr>
              <w:t>DfE’s</w:t>
            </w:r>
            <w:proofErr w:type="spellEnd"/>
            <w:r w:rsidRPr="005613A7">
              <w:rPr>
                <w:rFonts w:asciiTheme="minorHAnsi" w:hAnsiTheme="minorHAnsi"/>
                <w:color w:val="000000"/>
                <w:sz w:val="20"/>
                <w:szCs w:val="20"/>
              </w:rPr>
              <w:t xml:space="preserve"> Alternatives Assessment Criteria:  http://www.epa.gov/dfe/alternative_assessments.html</w:t>
            </w:r>
          </w:p>
          <w:p w14:paraId="4F91C756" w14:textId="77777777" w:rsidR="009F1779" w:rsidRDefault="009F1779" w:rsidP="009F1779">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•U.S. Environmental Protection Agency’s (EPA)</w:t>
            </w:r>
            <w:r>
              <w:rPr>
                <w:rFonts w:asciiTheme="minorHAnsi" w:hAnsiTheme="minorHAnsi"/>
                <w:color w:val="000000"/>
                <w:sz w:val="20"/>
                <w:szCs w:val="20"/>
              </w:rPr>
              <w:t xml:space="preserve"> TRACI - </w:t>
            </w:r>
            <w:r w:rsidRPr="00341F6E">
              <w:rPr>
                <w:rFonts w:asciiTheme="minorHAnsi" w:hAnsiTheme="minorHAnsi"/>
                <w:color w:val="000000"/>
                <w:sz w:val="20"/>
                <w:szCs w:val="20"/>
              </w:rPr>
              <w:t>The Tool for the Reduction and Assessment of Chemical and other environmental Impacts</w:t>
            </w:r>
          </w:p>
          <w:p w14:paraId="5936E9D6" w14:textId="105B56AE" w:rsidR="009F1779" w:rsidRPr="005613A7" w:rsidRDefault="009F1779" w:rsidP="001375D1">
            <w:pPr>
              <w:spacing w:after="0" w:line="240" w:lineRule="auto"/>
              <w:rPr>
                <w:rFonts w:asciiTheme="minorHAnsi" w:hAnsiTheme="minorHAnsi"/>
                <w:sz w:val="20"/>
                <w:szCs w:val="20"/>
              </w:rPr>
            </w:pPr>
          </w:p>
        </w:tc>
      </w:tr>
      <w:tr w:rsidR="00974B8F" w:rsidRPr="005613A7" w14:paraId="34DF9220" w14:textId="77777777" w:rsidTr="005B03D0">
        <w:trPr>
          <w:trHeight w:val="70"/>
        </w:trPr>
        <w:tc>
          <w:tcPr>
            <w:tcW w:w="607" w:type="dxa"/>
            <w:noWrap/>
            <w:vAlign w:val="center"/>
          </w:tcPr>
          <w:p w14:paraId="3664D45E" w14:textId="7E9CC773" w:rsidR="00974B8F" w:rsidRPr="005613A7" w:rsidRDefault="00974B8F" w:rsidP="001375D1">
            <w:pPr>
              <w:spacing w:after="0" w:line="240" w:lineRule="auto"/>
              <w:rPr>
                <w:rFonts w:asciiTheme="minorHAnsi" w:hAnsiTheme="minorHAnsi"/>
                <w:bCs/>
                <w:sz w:val="20"/>
                <w:szCs w:val="20"/>
              </w:rPr>
            </w:pPr>
          </w:p>
          <w:p w14:paraId="0B5E58AB" w14:textId="7DD7895E" w:rsidR="00974B8F" w:rsidRPr="005613A7" w:rsidRDefault="00036EFD" w:rsidP="001741FD">
            <w:pPr>
              <w:spacing w:after="0" w:line="240" w:lineRule="auto"/>
              <w:rPr>
                <w:rFonts w:asciiTheme="minorHAnsi" w:hAnsiTheme="minorHAnsi"/>
                <w:bCs/>
                <w:sz w:val="20"/>
                <w:szCs w:val="20"/>
              </w:rPr>
            </w:pPr>
            <w:r>
              <w:rPr>
                <w:rFonts w:asciiTheme="minorHAnsi" w:hAnsiTheme="minorHAnsi"/>
                <w:bCs/>
                <w:sz w:val="20"/>
                <w:szCs w:val="20"/>
              </w:rPr>
              <w:t>II.</w:t>
            </w:r>
            <w:r w:rsidR="001741FD">
              <w:rPr>
                <w:rFonts w:asciiTheme="minorHAnsi" w:hAnsiTheme="minorHAnsi"/>
                <w:bCs/>
                <w:sz w:val="20"/>
                <w:szCs w:val="20"/>
              </w:rPr>
              <w:t>6</w:t>
            </w:r>
          </w:p>
        </w:tc>
        <w:tc>
          <w:tcPr>
            <w:tcW w:w="540" w:type="dxa"/>
            <w:vAlign w:val="center"/>
          </w:tcPr>
          <w:p w14:paraId="3D7C4FDE" w14:textId="275B54BC" w:rsidR="00974B8F" w:rsidRPr="005613A7" w:rsidRDefault="00974B8F"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L</w:t>
            </w:r>
          </w:p>
        </w:tc>
        <w:tc>
          <w:tcPr>
            <w:tcW w:w="5130" w:type="dxa"/>
            <w:noWrap/>
            <w:vAlign w:val="center"/>
          </w:tcPr>
          <w:p w14:paraId="521070C5" w14:textId="77777777" w:rsidR="00974B8F" w:rsidRPr="005613A7" w:rsidRDefault="00974B8F" w:rsidP="001375D1">
            <w:pPr>
              <w:spacing w:after="0" w:line="240" w:lineRule="auto"/>
              <w:rPr>
                <w:rFonts w:asciiTheme="minorHAnsi" w:hAnsiTheme="minorHAnsi"/>
                <w:color w:val="000000"/>
                <w:sz w:val="20"/>
                <w:szCs w:val="20"/>
              </w:rPr>
            </w:pPr>
          </w:p>
          <w:p w14:paraId="57E3A4C3" w14:textId="5973FE15" w:rsidR="00974B8F" w:rsidRPr="005613A7" w:rsidRDefault="00974B8F"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 xml:space="preserve">The standard includes criteria to </w:t>
            </w:r>
            <w:r w:rsidR="00892E36">
              <w:rPr>
                <w:rFonts w:asciiTheme="minorHAnsi" w:hAnsiTheme="minorHAnsi"/>
                <w:color w:val="000000"/>
                <w:sz w:val="20"/>
                <w:szCs w:val="20"/>
              </w:rPr>
              <w:t xml:space="preserve">require or </w:t>
            </w:r>
            <w:r w:rsidRPr="005613A7">
              <w:rPr>
                <w:rFonts w:asciiTheme="minorHAnsi" w:hAnsiTheme="minorHAnsi"/>
                <w:color w:val="000000"/>
                <w:sz w:val="20"/>
                <w:szCs w:val="20"/>
              </w:rPr>
              <w:t xml:space="preserve">incentivize disclosure </w:t>
            </w:r>
            <w:r w:rsidR="000470C6">
              <w:rPr>
                <w:rFonts w:asciiTheme="minorHAnsi" w:hAnsiTheme="minorHAnsi"/>
                <w:color w:val="000000"/>
                <w:sz w:val="20"/>
                <w:szCs w:val="20"/>
              </w:rPr>
              <w:t xml:space="preserve">(either publicly or to a third party) </w:t>
            </w:r>
            <w:r w:rsidRPr="005613A7">
              <w:rPr>
                <w:rFonts w:asciiTheme="minorHAnsi" w:hAnsiTheme="minorHAnsi"/>
                <w:color w:val="000000"/>
                <w:sz w:val="20"/>
                <w:szCs w:val="20"/>
              </w:rPr>
              <w:t>of all intentionally added chemical substances present in each homogenous material in the final product at</w:t>
            </w:r>
            <w:r w:rsidR="000470C6">
              <w:rPr>
                <w:rFonts w:asciiTheme="minorHAnsi" w:hAnsiTheme="minorHAnsi"/>
                <w:color w:val="000000"/>
                <w:sz w:val="20"/>
                <w:szCs w:val="20"/>
              </w:rPr>
              <w:t xml:space="preserve"> 1000</w:t>
            </w:r>
            <w:r w:rsidR="000470C6" w:rsidRPr="005613A7">
              <w:rPr>
                <w:rFonts w:asciiTheme="minorHAnsi" w:hAnsiTheme="minorHAnsi"/>
                <w:color w:val="000000"/>
                <w:sz w:val="20"/>
                <w:szCs w:val="20"/>
              </w:rPr>
              <w:t xml:space="preserve"> parts per million (</w:t>
            </w:r>
            <w:r w:rsidR="000470C6">
              <w:rPr>
                <w:rFonts w:asciiTheme="minorHAnsi" w:hAnsiTheme="minorHAnsi"/>
                <w:color w:val="000000"/>
                <w:sz w:val="20"/>
                <w:szCs w:val="20"/>
              </w:rPr>
              <w:t>.</w:t>
            </w:r>
            <w:r w:rsidR="000470C6" w:rsidRPr="005613A7">
              <w:rPr>
                <w:rFonts w:asciiTheme="minorHAnsi" w:hAnsiTheme="minorHAnsi"/>
                <w:color w:val="000000"/>
                <w:sz w:val="20"/>
                <w:szCs w:val="20"/>
              </w:rPr>
              <w:t>1%) or greater</w:t>
            </w:r>
            <w:r w:rsidRPr="005613A7">
              <w:rPr>
                <w:rFonts w:asciiTheme="minorHAnsi" w:hAnsiTheme="minorHAnsi"/>
                <w:color w:val="000000"/>
                <w:sz w:val="20"/>
                <w:szCs w:val="20"/>
              </w:rPr>
              <w:t>.</w:t>
            </w:r>
          </w:p>
          <w:p w14:paraId="5334BD28" w14:textId="77777777" w:rsidR="00974B8F" w:rsidRPr="005613A7" w:rsidRDefault="00974B8F" w:rsidP="001375D1">
            <w:pPr>
              <w:spacing w:after="0" w:line="240" w:lineRule="auto"/>
              <w:rPr>
                <w:rFonts w:asciiTheme="minorHAnsi" w:hAnsiTheme="minorHAnsi"/>
                <w:color w:val="000000"/>
                <w:sz w:val="20"/>
                <w:szCs w:val="20"/>
              </w:rPr>
            </w:pPr>
          </w:p>
          <w:p w14:paraId="29498C16" w14:textId="7F4469D3" w:rsidR="00974B8F" w:rsidRPr="005613A7" w:rsidRDefault="00974B8F"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lastRenderedPageBreak/>
              <w:t>Note: If the standard is a process and production method (PPM) standard, this Guideline is not applicable, and will not be used in scoring.</w:t>
            </w:r>
            <w:r w:rsidRPr="005613A7">
              <w:rPr>
                <w:rStyle w:val="FootnoteReference"/>
                <w:rFonts w:asciiTheme="minorHAnsi" w:hAnsiTheme="minorHAnsi"/>
                <w:color w:val="000000"/>
                <w:sz w:val="20"/>
                <w:szCs w:val="20"/>
              </w:rPr>
              <w:footnoteReference w:id="21"/>
            </w:r>
            <w:r w:rsidRPr="005613A7">
              <w:rPr>
                <w:rFonts w:asciiTheme="minorHAnsi" w:hAnsiTheme="minorHAnsi"/>
                <w:color w:val="000000"/>
                <w:sz w:val="20"/>
                <w:szCs w:val="20"/>
              </w:rPr>
              <w:t xml:space="preserve"> </w:t>
            </w:r>
          </w:p>
          <w:p w14:paraId="0DF6F7AE" w14:textId="77777777" w:rsidR="004A4E38" w:rsidRPr="005613A7" w:rsidRDefault="004A4E38" w:rsidP="001375D1">
            <w:pPr>
              <w:spacing w:after="0" w:line="240" w:lineRule="auto"/>
              <w:rPr>
                <w:rFonts w:asciiTheme="minorHAnsi" w:hAnsiTheme="minorHAnsi"/>
                <w:sz w:val="20"/>
                <w:szCs w:val="20"/>
              </w:rPr>
            </w:pPr>
          </w:p>
          <w:p w14:paraId="56C8C0DA" w14:textId="77777777" w:rsidR="004A4E38" w:rsidRPr="00B41BF5" w:rsidRDefault="004A4E38" w:rsidP="004A4E38">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5BC31925" w14:textId="03A771DB" w:rsidR="00974B8F" w:rsidRPr="005613A7" w:rsidRDefault="004A4E38" w:rsidP="00B244C0">
            <w:pPr>
              <w:spacing w:after="0" w:line="240" w:lineRule="auto"/>
              <w:rPr>
                <w:rFonts w:asciiTheme="minorHAnsi" w:hAnsiTheme="minorHAnsi"/>
                <w:color w:val="000000"/>
                <w:sz w:val="20"/>
                <w:szCs w:val="20"/>
              </w:rPr>
            </w:pPr>
            <w:r w:rsidRPr="00B41BF5">
              <w:rPr>
                <w:rFonts w:asciiTheme="minorHAnsi" w:hAnsiTheme="minorHAnsi"/>
                <w:i/>
                <w:color w:val="2E74B5" w:themeColor="accent1" w:themeShade="BF"/>
                <w:sz w:val="20"/>
                <w:szCs w:val="20"/>
              </w:rPr>
              <w:t>II.10 Ingredient Disclosure</w:t>
            </w:r>
          </w:p>
        </w:tc>
        <w:tc>
          <w:tcPr>
            <w:tcW w:w="4680" w:type="dxa"/>
            <w:noWrap/>
            <w:vAlign w:val="center"/>
          </w:tcPr>
          <w:p w14:paraId="36892092" w14:textId="3FF3415D" w:rsidR="00974B8F" w:rsidRPr="005613A7" w:rsidRDefault="0012636C" w:rsidP="001375D1">
            <w:pPr>
              <w:spacing w:after="0" w:line="240" w:lineRule="auto"/>
              <w:rPr>
                <w:rFonts w:asciiTheme="minorHAnsi" w:hAnsiTheme="minorHAnsi"/>
                <w:sz w:val="20"/>
                <w:szCs w:val="20"/>
              </w:rPr>
            </w:pPr>
            <w:r>
              <w:rPr>
                <w:rFonts w:asciiTheme="minorHAnsi" w:hAnsiTheme="minorHAnsi"/>
                <w:sz w:val="20"/>
                <w:szCs w:val="20"/>
              </w:rPr>
              <w:lastRenderedPageBreak/>
              <w:t>-</w:t>
            </w:r>
            <w:r w:rsidR="00974B8F" w:rsidRPr="005613A7">
              <w:rPr>
                <w:rFonts w:asciiTheme="minorHAnsi" w:hAnsiTheme="minorHAnsi"/>
                <w:sz w:val="20"/>
                <w:szCs w:val="20"/>
              </w:rPr>
              <w:t xml:space="preserve">Text of standard indicating it is </w:t>
            </w:r>
            <w:r w:rsidR="004410CA">
              <w:rPr>
                <w:rFonts w:asciiTheme="minorHAnsi" w:hAnsiTheme="minorHAnsi"/>
                <w:sz w:val="20"/>
                <w:szCs w:val="20"/>
              </w:rPr>
              <w:t xml:space="preserve">solely </w:t>
            </w:r>
            <w:r w:rsidR="00974B8F" w:rsidRPr="005613A7">
              <w:rPr>
                <w:rFonts w:asciiTheme="minorHAnsi" w:hAnsiTheme="minorHAnsi"/>
                <w:sz w:val="20"/>
                <w:szCs w:val="20"/>
              </w:rPr>
              <w:t>a process and production method (PPM) standard, or a standard that does not address the environmental or human health performance of a finished product.</w:t>
            </w:r>
          </w:p>
          <w:p w14:paraId="12A55C49" w14:textId="51E73E93" w:rsidR="00974B8F" w:rsidRDefault="0012636C" w:rsidP="00EE3CA1">
            <w:pPr>
              <w:spacing w:after="0" w:line="240" w:lineRule="auto"/>
              <w:rPr>
                <w:rFonts w:asciiTheme="minorHAnsi" w:hAnsiTheme="minorHAnsi"/>
                <w:sz w:val="20"/>
                <w:szCs w:val="20"/>
              </w:rPr>
            </w:pPr>
            <w:r>
              <w:rPr>
                <w:rFonts w:asciiTheme="minorHAnsi" w:hAnsiTheme="minorHAnsi"/>
                <w:sz w:val="20"/>
                <w:szCs w:val="20"/>
              </w:rPr>
              <w:t>-</w:t>
            </w:r>
            <w:r w:rsidR="00974B8F" w:rsidRPr="005613A7">
              <w:rPr>
                <w:rFonts w:asciiTheme="minorHAnsi" w:hAnsiTheme="minorHAnsi"/>
                <w:color w:val="000000"/>
                <w:sz w:val="20"/>
                <w:szCs w:val="20"/>
              </w:rPr>
              <w:t xml:space="preserve">Text of standard requires </w:t>
            </w:r>
            <w:r w:rsidR="000470C6">
              <w:rPr>
                <w:rFonts w:asciiTheme="minorHAnsi" w:hAnsiTheme="minorHAnsi"/>
                <w:color w:val="000000"/>
                <w:sz w:val="20"/>
                <w:szCs w:val="20"/>
              </w:rPr>
              <w:t xml:space="preserve">chemical </w:t>
            </w:r>
            <w:r w:rsidR="00974B8F" w:rsidRPr="005613A7">
              <w:rPr>
                <w:rFonts w:asciiTheme="minorHAnsi" w:hAnsiTheme="minorHAnsi"/>
                <w:color w:val="000000"/>
                <w:sz w:val="20"/>
                <w:szCs w:val="20"/>
              </w:rPr>
              <w:t>disclosure at the specified threshold(s).</w:t>
            </w:r>
            <w:r w:rsidR="00EE3CA1" w:rsidRPr="005613A7">
              <w:rPr>
                <w:rFonts w:asciiTheme="minorHAnsi" w:hAnsiTheme="minorHAnsi"/>
                <w:sz w:val="20"/>
                <w:szCs w:val="20"/>
              </w:rPr>
              <w:t xml:space="preserve"> </w:t>
            </w:r>
          </w:p>
          <w:p w14:paraId="66A889A4" w14:textId="132E1954" w:rsidR="00D234AE" w:rsidRPr="005613A7" w:rsidRDefault="0012636C" w:rsidP="0012636C">
            <w:pPr>
              <w:spacing w:after="0" w:line="240" w:lineRule="auto"/>
              <w:rPr>
                <w:rFonts w:asciiTheme="minorHAnsi" w:hAnsiTheme="minorHAnsi"/>
                <w:sz w:val="20"/>
                <w:szCs w:val="20"/>
              </w:rPr>
            </w:pPr>
            <w:r>
              <w:rPr>
                <w:rFonts w:asciiTheme="minorHAnsi" w:hAnsiTheme="minorHAnsi"/>
                <w:sz w:val="20"/>
                <w:szCs w:val="20"/>
              </w:rPr>
              <w:lastRenderedPageBreak/>
              <w:t>-</w:t>
            </w:r>
            <w:r w:rsidR="00D234AE" w:rsidRPr="005613A7">
              <w:rPr>
                <w:rFonts w:asciiTheme="minorHAnsi" w:hAnsiTheme="minorHAnsi"/>
                <w:color w:val="000000"/>
                <w:sz w:val="20"/>
                <w:szCs w:val="20"/>
              </w:rPr>
              <w:t xml:space="preserve">SDOs indication of the source(s) consulted in developing criteria to address chemicals of concern. If SDO does not cite any of the sources listed </w:t>
            </w:r>
            <w:r w:rsidR="00D234AE">
              <w:rPr>
                <w:rFonts w:asciiTheme="minorHAnsi" w:hAnsiTheme="minorHAnsi"/>
                <w:color w:val="000000"/>
                <w:sz w:val="20"/>
                <w:szCs w:val="20"/>
              </w:rPr>
              <w:t>below</w:t>
            </w:r>
            <w:r w:rsidR="00D234AE" w:rsidRPr="005613A7">
              <w:rPr>
                <w:rFonts w:asciiTheme="minorHAnsi" w:hAnsiTheme="minorHAnsi"/>
                <w:color w:val="000000"/>
                <w:sz w:val="20"/>
                <w:szCs w:val="20"/>
              </w:rPr>
              <w:t>, it must provide documentation of source(s) consulted and evidence that source (s) are reputable</w:t>
            </w:r>
            <w:r w:rsidR="00D234AE">
              <w:rPr>
                <w:rFonts w:asciiTheme="minorHAnsi" w:hAnsiTheme="minorHAnsi"/>
                <w:color w:val="000000"/>
                <w:sz w:val="20"/>
                <w:szCs w:val="20"/>
              </w:rPr>
              <w:t xml:space="preserve">. </w:t>
            </w:r>
            <w:r w:rsidR="00240E33">
              <w:rPr>
                <w:rFonts w:asciiTheme="minorHAnsi" w:hAnsiTheme="minorHAnsi"/>
                <w:color w:val="000000"/>
                <w:sz w:val="20"/>
                <w:szCs w:val="20"/>
              </w:rPr>
              <w:t>(See II.</w:t>
            </w:r>
            <w:r w:rsidR="00550943">
              <w:rPr>
                <w:rFonts w:asciiTheme="minorHAnsi" w:hAnsiTheme="minorHAnsi"/>
                <w:color w:val="000000"/>
                <w:sz w:val="20"/>
                <w:szCs w:val="20"/>
              </w:rPr>
              <w:t>5</w:t>
            </w:r>
            <w:r w:rsidR="00240E33">
              <w:rPr>
                <w:rFonts w:asciiTheme="minorHAnsi" w:hAnsiTheme="minorHAnsi"/>
                <w:color w:val="000000"/>
                <w:sz w:val="20"/>
                <w:szCs w:val="20"/>
              </w:rPr>
              <w:t xml:space="preserve"> Sources of Evidence “Lists of Lists”)</w:t>
            </w:r>
          </w:p>
        </w:tc>
      </w:tr>
      <w:tr w:rsidR="001B00FD" w:rsidRPr="005613A7" w14:paraId="5D35EE26" w14:textId="77777777" w:rsidTr="005B03D0">
        <w:trPr>
          <w:trHeight w:val="300"/>
        </w:trPr>
        <w:tc>
          <w:tcPr>
            <w:tcW w:w="607" w:type="dxa"/>
            <w:noWrap/>
            <w:vAlign w:val="center"/>
          </w:tcPr>
          <w:p w14:paraId="19148291" w14:textId="50BDCEC3" w:rsidR="001B00FD" w:rsidRPr="005613A7" w:rsidRDefault="001B00FD" w:rsidP="001741FD">
            <w:pPr>
              <w:spacing w:after="0" w:line="240" w:lineRule="auto"/>
              <w:rPr>
                <w:rFonts w:asciiTheme="minorHAnsi" w:hAnsiTheme="minorHAnsi"/>
                <w:bCs/>
                <w:sz w:val="20"/>
                <w:szCs w:val="20"/>
              </w:rPr>
            </w:pPr>
            <w:r w:rsidRPr="005613A7">
              <w:rPr>
                <w:rFonts w:asciiTheme="minorHAnsi" w:hAnsiTheme="minorHAnsi"/>
                <w:bCs/>
                <w:sz w:val="20"/>
                <w:szCs w:val="20"/>
              </w:rPr>
              <w:lastRenderedPageBreak/>
              <w:t>II.</w:t>
            </w:r>
            <w:r w:rsidR="001741FD">
              <w:rPr>
                <w:rFonts w:asciiTheme="minorHAnsi" w:hAnsiTheme="minorHAnsi"/>
                <w:bCs/>
                <w:sz w:val="20"/>
                <w:szCs w:val="20"/>
              </w:rPr>
              <w:t>7</w:t>
            </w:r>
          </w:p>
        </w:tc>
        <w:tc>
          <w:tcPr>
            <w:tcW w:w="540" w:type="dxa"/>
            <w:vAlign w:val="center"/>
          </w:tcPr>
          <w:p w14:paraId="42E1BCE8" w14:textId="77777777"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L</w:t>
            </w:r>
          </w:p>
        </w:tc>
        <w:tc>
          <w:tcPr>
            <w:tcW w:w="5130" w:type="dxa"/>
            <w:noWrap/>
            <w:vAlign w:val="center"/>
          </w:tcPr>
          <w:p w14:paraId="207375F7" w14:textId="7457FD5B" w:rsidR="00D234AE" w:rsidRPr="005613A7" w:rsidRDefault="001B00FD" w:rsidP="00D234AE">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 xml:space="preserve">The standard includes criteria to </w:t>
            </w:r>
            <w:r w:rsidR="00892E36">
              <w:rPr>
                <w:rFonts w:asciiTheme="minorHAnsi" w:hAnsiTheme="minorHAnsi"/>
                <w:color w:val="000000"/>
                <w:sz w:val="20"/>
                <w:szCs w:val="20"/>
              </w:rPr>
              <w:t xml:space="preserve">require or </w:t>
            </w:r>
            <w:r w:rsidRPr="005613A7">
              <w:rPr>
                <w:rFonts w:asciiTheme="minorHAnsi" w:hAnsiTheme="minorHAnsi"/>
                <w:color w:val="000000"/>
                <w:sz w:val="20"/>
                <w:szCs w:val="20"/>
              </w:rPr>
              <w:t>incentivize public disclosure of the intentionally added chemical substances of concern prese</w:t>
            </w:r>
            <w:r w:rsidR="004A4E38" w:rsidRPr="005613A7">
              <w:rPr>
                <w:rFonts w:asciiTheme="minorHAnsi" w:hAnsiTheme="minorHAnsi"/>
                <w:color w:val="000000"/>
                <w:sz w:val="20"/>
                <w:szCs w:val="20"/>
              </w:rPr>
              <w:t xml:space="preserve">nt in each homogenous material </w:t>
            </w:r>
            <w:r w:rsidRPr="005613A7">
              <w:rPr>
                <w:rFonts w:asciiTheme="minorHAnsi" w:hAnsiTheme="minorHAnsi"/>
                <w:color w:val="000000"/>
                <w:sz w:val="20"/>
                <w:szCs w:val="20"/>
              </w:rPr>
              <w:t>in the final product at</w:t>
            </w:r>
            <w:r w:rsidR="000470C6">
              <w:rPr>
                <w:rFonts w:asciiTheme="minorHAnsi" w:hAnsiTheme="minorHAnsi"/>
                <w:color w:val="000000"/>
                <w:sz w:val="20"/>
                <w:szCs w:val="20"/>
              </w:rPr>
              <w:t xml:space="preserve"> 10</w:t>
            </w:r>
            <w:r w:rsidR="000470C6" w:rsidRPr="005613A7">
              <w:rPr>
                <w:rFonts w:asciiTheme="minorHAnsi" w:hAnsiTheme="minorHAnsi"/>
                <w:color w:val="000000"/>
                <w:sz w:val="20"/>
                <w:szCs w:val="20"/>
              </w:rPr>
              <w:t>0 parts per million (0.</w:t>
            </w:r>
            <w:r w:rsidR="000470C6">
              <w:rPr>
                <w:rFonts w:asciiTheme="minorHAnsi" w:hAnsiTheme="minorHAnsi"/>
                <w:color w:val="000000"/>
                <w:sz w:val="20"/>
                <w:szCs w:val="20"/>
              </w:rPr>
              <w:t>0</w:t>
            </w:r>
            <w:r w:rsidR="000470C6" w:rsidRPr="005613A7">
              <w:rPr>
                <w:rFonts w:asciiTheme="minorHAnsi" w:hAnsiTheme="minorHAnsi"/>
                <w:color w:val="000000"/>
                <w:sz w:val="20"/>
                <w:szCs w:val="20"/>
              </w:rPr>
              <w:t>1%) or greater</w:t>
            </w:r>
            <w:r w:rsidRPr="005613A7">
              <w:rPr>
                <w:rFonts w:asciiTheme="minorHAnsi" w:hAnsiTheme="minorHAnsi"/>
                <w:color w:val="000000"/>
                <w:sz w:val="20"/>
                <w:szCs w:val="20"/>
              </w:rPr>
              <w:t xml:space="preserve">. </w:t>
            </w:r>
            <w:r w:rsidR="00CA03FA" w:rsidRPr="005613A7">
              <w:rPr>
                <w:rFonts w:asciiTheme="minorHAnsi" w:hAnsiTheme="minorHAnsi"/>
                <w:color w:val="000000"/>
                <w:sz w:val="20"/>
                <w:szCs w:val="20"/>
              </w:rPr>
              <w:t xml:space="preserve">Chemical substances of concern include carcinogens, </w:t>
            </w:r>
            <w:r w:rsidR="00CA03FA">
              <w:rPr>
                <w:rFonts w:asciiTheme="minorHAnsi" w:hAnsiTheme="minorHAnsi"/>
                <w:color w:val="000000"/>
                <w:sz w:val="20"/>
                <w:szCs w:val="20"/>
              </w:rPr>
              <w:t xml:space="preserve">mutagens, </w:t>
            </w:r>
            <w:r w:rsidR="00CA03FA" w:rsidRPr="005613A7">
              <w:rPr>
                <w:rFonts w:asciiTheme="minorHAnsi" w:hAnsiTheme="minorHAnsi"/>
                <w:color w:val="000000"/>
                <w:sz w:val="20"/>
                <w:szCs w:val="20"/>
              </w:rPr>
              <w:t>P</w:t>
            </w:r>
            <w:r w:rsidR="00CA03FA">
              <w:rPr>
                <w:rFonts w:asciiTheme="minorHAnsi" w:hAnsiTheme="minorHAnsi"/>
                <w:color w:val="000000"/>
                <w:sz w:val="20"/>
                <w:szCs w:val="20"/>
              </w:rPr>
              <w:t xml:space="preserve">ersistent, </w:t>
            </w:r>
            <w:r w:rsidR="00CA03FA" w:rsidRPr="005613A7">
              <w:rPr>
                <w:rFonts w:asciiTheme="minorHAnsi" w:hAnsiTheme="minorHAnsi"/>
                <w:color w:val="000000"/>
                <w:sz w:val="20"/>
                <w:szCs w:val="20"/>
              </w:rPr>
              <w:t>B</w:t>
            </w:r>
            <w:r w:rsidR="00CA03FA">
              <w:rPr>
                <w:rFonts w:asciiTheme="minorHAnsi" w:hAnsiTheme="minorHAnsi"/>
                <w:color w:val="000000"/>
                <w:sz w:val="20"/>
                <w:szCs w:val="20"/>
              </w:rPr>
              <w:t xml:space="preserve">ioaccumulative, </w:t>
            </w:r>
            <w:r w:rsidR="00CA03FA" w:rsidRPr="005613A7">
              <w:rPr>
                <w:rFonts w:asciiTheme="minorHAnsi" w:hAnsiTheme="minorHAnsi"/>
                <w:color w:val="000000"/>
                <w:sz w:val="20"/>
                <w:szCs w:val="20"/>
              </w:rPr>
              <w:t>T</w:t>
            </w:r>
            <w:r w:rsidR="00CA03FA">
              <w:rPr>
                <w:rFonts w:asciiTheme="minorHAnsi" w:hAnsiTheme="minorHAnsi"/>
                <w:color w:val="000000"/>
                <w:sz w:val="20"/>
                <w:szCs w:val="20"/>
              </w:rPr>
              <w:t>oxic</w:t>
            </w:r>
            <w:r w:rsidR="00CA03FA" w:rsidRPr="005613A7">
              <w:rPr>
                <w:rFonts w:asciiTheme="minorHAnsi" w:hAnsiTheme="minorHAnsi"/>
                <w:color w:val="000000"/>
                <w:sz w:val="20"/>
                <w:szCs w:val="20"/>
              </w:rPr>
              <w:t>s</w:t>
            </w:r>
            <w:r w:rsidR="00CA03FA">
              <w:rPr>
                <w:rFonts w:asciiTheme="minorHAnsi" w:hAnsiTheme="minorHAnsi"/>
                <w:color w:val="000000"/>
                <w:sz w:val="20"/>
                <w:szCs w:val="20"/>
              </w:rPr>
              <w:t xml:space="preserve"> (PBTs)</w:t>
            </w:r>
            <w:r w:rsidR="00CA03FA" w:rsidRPr="005613A7">
              <w:rPr>
                <w:rFonts w:asciiTheme="minorHAnsi" w:hAnsiTheme="minorHAnsi"/>
                <w:color w:val="000000"/>
                <w:sz w:val="20"/>
                <w:szCs w:val="20"/>
              </w:rPr>
              <w:t>, reproductive toxic</w:t>
            </w:r>
            <w:r w:rsidR="00CA03FA">
              <w:rPr>
                <w:rFonts w:asciiTheme="minorHAnsi" w:hAnsiTheme="minorHAnsi"/>
                <w:color w:val="000000"/>
                <w:sz w:val="20"/>
                <w:szCs w:val="20"/>
              </w:rPr>
              <w:t>ant</w:t>
            </w:r>
            <w:r w:rsidR="00CA03FA" w:rsidRPr="005613A7">
              <w:rPr>
                <w:rFonts w:asciiTheme="minorHAnsi" w:hAnsiTheme="minorHAnsi"/>
                <w:color w:val="000000"/>
                <w:sz w:val="20"/>
                <w:szCs w:val="20"/>
              </w:rPr>
              <w:t>s, and chemicals on the complete and current EPA Toxic</w:t>
            </w:r>
            <w:r w:rsidR="00CA03FA">
              <w:rPr>
                <w:rFonts w:asciiTheme="minorHAnsi" w:hAnsiTheme="minorHAnsi"/>
                <w:color w:val="000000"/>
                <w:sz w:val="20"/>
                <w:szCs w:val="20"/>
              </w:rPr>
              <w:t>s</w:t>
            </w:r>
            <w:r w:rsidR="00CA03FA" w:rsidRPr="005613A7">
              <w:rPr>
                <w:rFonts w:asciiTheme="minorHAnsi" w:hAnsiTheme="minorHAnsi"/>
                <w:color w:val="000000"/>
                <w:sz w:val="20"/>
                <w:szCs w:val="20"/>
              </w:rPr>
              <w:t xml:space="preserve"> Release Inventory (TRI).</w:t>
            </w:r>
          </w:p>
          <w:p w14:paraId="08813FB4" w14:textId="77777777" w:rsidR="00D234AE" w:rsidRDefault="00D234AE" w:rsidP="00D234AE">
            <w:pPr>
              <w:spacing w:after="0" w:line="240" w:lineRule="auto"/>
              <w:rPr>
                <w:rFonts w:asciiTheme="minorHAnsi" w:hAnsiTheme="minorHAnsi"/>
                <w:color w:val="000000"/>
                <w:sz w:val="20"/>
                <w:szCs w:val="20"/>
              </w:rPr>
            </w:pPr>
          </w:p>
          <w:p w14:paraId="61758DFE" w14:textId="77777777" w:rsidR="00D234AE" w:rsidRDefault="00D234AE" w:rsidP="00D234AE">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The SDO used reputable information sources in identifying chemicals of concern.</w:t>
            </w:r>
          </w:p>
          <w:p w14:paraId="6FC69F33" w14:textId="77777777" w:rsidR="004A4E38" w:rsidRPr="005613A7" w:rsidRDefault="004A4E38" w:rsidP="004A4E38">
            <w:pPr>
              <w:spacing w:after="0" w:line="240" w:lineRule="auto"/>
              <w:rPr>
                <w:rFonts w:asciiTheme="minorHAnsi" w:hAnsiTheme="minorHAnsi"/>
                <w:i/>
                <w:sz w:val="20"/>
                <w:szCs w:val="20"/>
              </w:rPr>
            </w:pPr>
          </w:p>
          <w:p w14:paraId="0F7447D0" w14:textId="77777777" w:rsidR="004A4E38" w:rsidRPr="00B41BF5" w:rsidRDefault="004A4E38" w:rsidP="004A4E38">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7EC8A25" w14:textId="31D662EF" w:rsidR="004A4E38" w:rsidRPr="005613A7" w:rsidRDefault="004A4E38" w:rsidP="001375D1">
            <w:pPr>
              <w:spacing w:after="0" w:line="240" w:lineRule="auto"/>
              <w:rPr>
                <w:rFonts w:asciiTheme="minorHAnsi" w:hAnsiTheme="minorHAnsi"/>
                <w:sz w:val="20"/>
                <w:szCs w:val="20"/>
              </w:rPr>
            </w:pPr>
            <w:r w:rsidRPr="00B41BF5">
              <w:rPr>
                <w:rFonts w:asciiTheme="minorHAnsi" w:hAnsiTheme="minorHAnsi"/>
                <w:i/>
                <w:color w:val="2E74B5" w:themeColor="accent1" w:themeShade="BF"/>
                <w:sz w:val="20"/>
                <w:szCs w:val="20"/>
              </w:rPr>
              <w:t>II.10 Ingredient Disclosure</w:t>
            </w:r>
            <w:r w:rsidRPr="00B41BF5">
              <w:rPr>
                <w:rFonts w:asciiTheme="minorHAnsi" w:hAnsiTheme="minorHAnsi"/>
                <w:color w:val="2E74B5" w:themeColor="accent1" w:themeShade="BF"/>
                <w:sz w:val="20"/>
                <w:szCs w:val="20"/>
              </w:rPr>
              <w:t xml:space="preserve"> </w:t>
            </w:r>
          </w:p>
        </w:tc>
        <w:tc>
          <w:tcPr>
            <w:tcW w:w="4680" w:type="dxa"/>
            <w:noWrap/>
            <w:vAlign w:val="center"/>
          </w:tcPr>
          <w:p w14:paraId="187C58AE" w14:textId="6E9F7EC5" w:rsidR="001B00FD" w:rsidRPr="005613A7" w:rsidRDefault="0012636C" w:rsidP="001375D1">
            <w:pPr>
              <w:spacing w:after="0" w:line="240" w:lineRule="auto"/>
              <w:rPr>
                <w:rFonts w:asciiTheme="minorHAnsi" w:hAnsiTheme="minorHAnsi"/>
                <w:color w:val="000000"/>
                <w:sz w:val="20"/>
                <w:szCs w:val="20"/>
              </w:rPr>
            </w:pPr>
            <w:r>
              <w:rPr>
                <w:rFonts w:asciiTheme="minorHAnsi" w:hAnsiTheme="minorHAnsi"/>
                <w:color w:val="000000"/>
                <w:sz w:val="20"/>
                <w:szCs w:val="20"/>
              </w:rPr>
              <w:t>-</w:t>
            </w:r>
            <w:r w:rsidR="001B00FD" w:rsidRPr="005613A7">
              <w:rPr>
                <w:rFonts w:asciiTheme="minorHAnsi" w:hAnsiTheme="minorHAnsi"/>
                <w:color w:val="000000"/>
                <w:sz w:val="20"/>
                <w:szCs w:val="20"/>
              </w:rPr>
              <w:t xml:space="preserve">Text of standard requires </w:t>
            </w:r>
            <w:r w:rsidR="000470C6">
              <w:rPr>
                <w:rFonts w:asciiTheme="minorHAnsi" w:hAnsiTheme="minorHAnsi"/>
                <w:color w:val="000000"/>
                <w:sz w:val="20"/>
                <w:szCs w:val="20"/>
              </w:rPr>
              <w:t>chemical</w:t>
            </w:r>
            <w:r w:rsidR="000470C6" w:rsidRPr="005613A7">
              <w:rPr>
                <w:rFonts w:asciiTheme="minorHAnsi" w:hAnsiTheme="minorHAnsi"/>
                <w:color w:val="000000"/>
                <w:sz w:val="20"/>
                <w:szCs w:val="20"/>
              </w:rPr>
              <w:t xml:space="preserve"> </w:t>
            </w:r>
            <w:r w:rsidR="001B00FD" w:rsidRPr="005613A7">
              <w:rPr>
                <w:rFonts w:asciiTheme="minorHAnsi" w:hAnsiTheme="minorHAnsi"/>
                <w:color w:val="000000"/>
                <w:sz w:val="20"/>
                <w:szCs w:val="20"/>
              </w:rPr>
              <w:t>disclosure at the specified threshold(s).</w:t>
            </w:r>
          </w:p>
          <w:p w14:paraId="671DA469" w14:textId="6A8E69DB" w:rsidR="00D234AE" w:rsidRPr="005613A7" w:rsidRDefault="0012636C" w:rsidP="001375D1">
            <w:pPr>
              <w:spacing w:after="0" w:line="240" w:lineRule="auto"/>
              <w:rPr>
                <w:rFonts w:asciiTheme="minorHAnsi" w:hAnsiTheme="minorHAnsi"/>
                <w:color w:val="000000"/>
                <w:sz w:val="20"/>
                <w:szCs w:val="20"/>
              </w:rPr>
            </w:pPr>
            <w:r>
              <w:rPr>
                <w:rFonts w:asciiTheme="minorHAnsi" w:hAnsiTheme="minorHAnsi"/>
                <w:color w:val="000000"/>
                <w:sz w:val="20"/>
                <w:szCs w:val="20"/>
              </w:rPr>
              <w:t>-</w:t>
            </w:r>
            <w:r w:rsidR="00D234AE" w:rsidRPr="005613A7">
              <w:rPr>
                <w:rFonts w:asciiTheme="minorHAnsi" w:hAnsiTheme="minorHAnsi"/>
                <w:color w:val="000000"/>
                <w:sz w:val="20"/>
                <w:szCs w:val="20"/>
              </w:rPr>
              <w:t xml:space="preserve">SDOs indication of the source(s) consulted in developing criteria to address chemicals of concern. If SDO does not cite any of the sources listed </w:t>
            </w:r>
            <w:r w:rsidR="00D234AE">
              <w:rPr>
                <w:rFonts w:asciiTheme="minorHAnsi" w:hAnsiTheme="minorHAnsi"/>
                <w:color w:val="000000"/>
                <w:sz w:val="20"/>
                <w:szCs w:val="20"/>
              </w:rPr>
              <w:t>below</w:t>
            </w:r>
            <w:r w:rsidR="00D234AE" w:rsidRPr="005613A7">
              <w:rPr>
                <w:rFonts w:asciiTheme="minorHAnsi" w:hAnsiTheme="minorHAnsi"/>
                <w:color w:val="000000"/>
                <w:sz w:val="20"/>
                <w:szCs w:val="20"/>
              </w:rPr>
              <w:t>, it must provide documentation of source(s) consulted and evidence that source (s) are reputable</w:t>
            </w:r>
            <w:r w:rsidR="00D234AE">
              <w:rPr>
                <w:rFonts w:asciiTheme="minorHAnsi" w:hAnsiTheme="minorHAnsi"/>
                <w:color w:val="000000"/>
                <w:sz w:val="20"/>
                <w:szCs w:val="20"/>
              </w:rPr>
              <w:t>. (See II.</w:t>
            </w:r>
            <w:r w:rsidR="00550943">
              <w:rPr>
                <w:rFonts w:asciiTheme="minorHAnsi" w:hAnsiTheme="minorHAnsi"/>
                <w:color w:val="000000"/>
                <w:sz w:val="20"/>
                <w:szCs w:val="20"/>
              </w:rPr>
              <w:t>5</w:t>
            </w:r>
            <w:r w:rsidR="00240E33">
              <w:rPr>
                <w:rFonts w:asciiTheme="minorHAnsi" w:hAnsiTheme="minorHAnsi"/>
                <w:color w:val="000000"/>
                <w:sz w:val="20"/>
                <w:szCs w:val="20"/>
              </w:rPr>
              <w:t xml:space="preserve"> Sources of Evidence “Lists of Lists”</w:t>
            </w:r>
            <w:r w:rsidR="00D234AE">
              <w:rPr>
                <w:rFonts w:asciiTheme="minorHAnsi" w:hAnsiTheme="minorHAnsi"/>
                <w:color w:val="000000"/>
                <w:sz w:val="20"/>
                <w:szCs w:val="20"/>
              </w:rPr>
              <w:t>)</w:t>
            </w:r>
          </w:p>
        </w:tc>
      </w:tr>
      <w:tr w:rsidR="001B00FD" w:rsidRPr="005613A7" w14:paraId="5879E40D" w14:textId="77777777" w:rsidTr="005B03D0">
        <w:tc>
          <w:tcPr>
            <w:tcW w:w="607" w:type="dxa"/>
            <w:noWrap/>
            <w:vAlign w:val="center"/>
          </w:tcPr>
          <w:p w14:paraId="7D6E87AD" w14:textId="1CB1F32C" w:rsidR="001B00FD" w:rsidRPr="005613A7" w:rsidRDefault="001B00FD" w:rsidP="001375D1">
            <w:pPr>
              <w:spacing w:after="0" w:line="240" w:lineRule="auto"/>
              <w:rPr>
                <w:rFonts w:asciiTheme="minorHAnsi" w:hAnsiTheme="minorHAnsi"/>
                <w:bCs/>
                <w:sz w:val="20"/>
                <w:szCs w:val="20"/>
              </w:rPr>
            </w:pPr>
            <w:r w:rsidRPr="005613A7">
              <w:rPr>
                <w:rFonts w:asciiTheme="minorHAnsi" w:hAnsiTheme="minorHAnsi"/>
                <w:bCs/>
                <w:sz w:val="20"/>
                <w:szCs w:val="20"/>
              </w:rPr>
              <w:t>II.</w:t>
            </w:r>
            <w:r w:rsidR="001741FD">
              <w:rPr>
                <w:rFonts w:asciiTheme="minorHAnsi" w:hAnsiTheme="minorHAnsi"/>
                <w:bCs/>
                <w:sz w:val="20"/>
                <w:szCs w:val="20"/>
              </w:rPr>
              <w:t>8</w:t>
            </w:r>
          </w:p>
          <w:p w14:paraId="1457FAE6" w14:textId="77777777" w:rsidR="001B00FD" w:rsidRPr="005613A7" w:rsidRDefault="001B00FD" w:rsidP="001375D1">
            <w:pPr>
              <w:spacing w:after="0" w:line="240" w:lineRule="auto"/>
              <w:rPr>
                <w:rFonts w:asciiTheme="minorHAnsi" w:hAnsiTheme="minorHAnsi"/>
                <w:bCs/>
                <w:sz w:val="20"/>
                <w:szCs w:val="20"/>
              </w:rPr>
            </w:pPr>
          </w:p>
        </w:tc>
        <w:tc>
          <w:tcPr>
            <w:tcW w:w="540" w:type="dxa"/>
            <w:vAlign w:val="center"/>
          </w:tcPr>
          <w:p w14:paraId="0E41178F" w14:textId="77777777"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L</w:t>
            </w:r>
          </w:p>
          <w:p w14:paraId="72317FCB" w14:textId="77777777" w:rsidR="001B00FD" w:rsidRPr="005613A7" w:rsidRDefault="001B00FD" w:rsidP="001375D1">
            <w:pPr>
              <w:spacing w:after="0" w:line="240" w:lineRule="auto"/>
              <w:rPr>
                <w:rFonts w:asciiTheme="minorHAnsi" w:hAnsiTheme="minorHAnsi"/>
                <w:color w:val="000000"/>
                <w:sz w:val="20"/>
                <w:szCs w:val="20"/>
              </w:rPr>
            </w:pPr>
          </w:p>
        </w:tc>
        <w:tc>
          <w:tcPr>
            <w:tcW w:w="5130" w:type="dxa"/>
            <w:noWrap/>
            <w:vAlign w:val="center"/>
          </w:tcPr>
          <w:p w14:paraId="792E1572" w14:textId="320015B7" w:rsidR="001B00FD" w:rsidRPr="002C4A24" w:rsidRDefault="00CA03FA" w:rsidP="001375D1">
            <w:pPr>
              <w:spacing w:after="0" w:line="240" w:lineRule="auto"/>
              <w:rPr>
                <w:rFonts w:asciiTheme="minorHAnsi" w:hAnsiTheme="minorHAnsi"/>
                <w:color w:val="000000"/>
                <w:sz w:val="18"/>
                <w:szCs w:val="20"/>
              </w:rPr>
            </w:pPr>
            <w:r w:rsidRPr="002C4A24">
              <w:rPr>
                <w:sz w:val="20"/>
              </w:rPr>
              <w:t>Where they may exist, standard incentivizes the manufacturer to publicly disclose any of the following</w:t>
            </w:r>
            <w:r w:rsidR="001B00FD" w:rsidRPr="002C4A24">
              <w:rPr>
                <w:rFonts w:asciiTheme="minorHAnsi" w:hAnsiTheme="minorHAnsi"/>
                <w:color w:val="000000"/>
                <w:sz w:val="18"/>
                <w:szCs w:val="20"/>
              </w:rPr>
              <w:t xml:space="preserve">: </w:t>
            </w:r>
          </w:p>
          <w:p w14:paraId="46DCB923" w14:textId="77777777" w:rsidR="001B00FD" w:rsidRPr="005613A7" w:rsidRDefault="001B00FD"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 xml:space="preserve">-the results of existing LCAs, </w:t>
            </w:r>
          </w:p>
          <w:p w14:paraId="3BAE7491" w14:textId="77777777" w:rsidR="001B00FD" w:rsidRPr="005613A7" w:rsidRDefault="001B00FD" w:rsidP="001375D1">
            <w:pPr>
              <w:pStyle w:val="CommentText"/>
              <w:spacing w:after="0"/>
              <w:rPr>
                <w:rFonts w:asciiTheme="minorHAnsi" w:hAnsiTheme="minorHAnsi"/>
                <w:color w:val="000000"/>
              </w:rPr>
            </w:pPr>
            <w:r w:rsidRPr="005613A7">
              <w:rPr>
                <w:rFonts w:asciiTheme="minorHAnsi" w:hAnsiTheme="minorHAnsi"/>
                <w:color w:val="000000"/>
              </w:rPr>
              <w:t>-</w:t>
            </w:r>
            <w:r w:rsidRPr="005613A7">
              <w:rPr>
                <w:rFonts w:asciiTheme="minorHAnsi" w:hAnsiTheme="minorHAnsi"/>
              </w:rPr>
              <w:t xml:space="preserve">an </w:t>
            </w:r>
            <w:r w:rsidRPr="005613A7">
              <w:rPr>
                <w:rFonts w:asciiTheme="minorHAnsi" w:hAnsiTheme="minorHAnsi"/>
                <w:color w:val="000000"/>
              </w:rPr>
              <w:t>Environmental Product Declaration (EPD) pursuant to ISO standards; and/or</w:t>
            </w:r>
            <w:r w:rsidRPr="005613A7">
              <w:rPr>
                <w:rFonts w:asciiTheme="minorHAnsi" w:hAnsiTheme="minorHAnsi"/>
                <w:color w:val="000000"/>
              </w:rPr>
              <w:br/>
              <w:t xml:space="preserve">-the results of other environmental and human health impact assessments </w:t>
            </w:r>
          </w:p>
          <w:p w14:paraId="2EBAB72B" w14:textId="77777777" w:rsidR="004A4E38" w:rsidRPr="005613A7" w:rsidRDefault="004A4E38" w:rsidP="001375D1">
            <w:pPr>
              <w:pStyle w:val="CommentText"/>
              <w:spacing w:after="0"/>
              <w:rPr>
                <w:rFonts w:asciiTheme="minorHAnsi" w:hAnsiTheme="minorHAnsi"/>
                <w:color w:val="000000"/>
              </w:rPr>
            </w:pPr>
          </w:p>
          <w:p w14:paraId="1EF0FF52" w14:textId="77777777" w:rsidR="004A4E38" w:rsidRPr="00B41BF5" w:rsidRDefault="004A4E38" w:rsidP="004A4E38">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0008D72" w14:textId="5E847165" w:rsidR="004A4E38" w:rsidRPr="00EE3CA1" w:rsidRDefault="004A4E38" w:rsidP="00EE3CA1">
            <w:pPr>
              <w:spacing w:after="0" w:line="240" w:lineRule="auto"/>
              <w:rPr>
                <w:rFonts w:asciiTheme="minorHAnsi" w:hAnsiTheme="minorHAnsi"/>
                <w:sz w:val="20"/>
                <w:szCs w:val="20"/>
              </w:rPr>
            </w:pPr>
            <w:r w:rsidRPr="00B41BF5">
              <w:rPr>
                <w:rFonts w:asciiTheme="minorHAnsi" w:hAnsiTheme="minorHAnsi"/>
                <w:i/>
                <w:color w:val="2E74B5" w:themeColor="accent1" w:themeShade="BF"/>
                <w:sz w:val="20"/>
                <w:szCs w:val="20"/>
              </w:rPr>
              <w:t>II.11 Impact Assessment Disclosure</w:t>
            </w:r>
            <w:r w:rsidR="00EE3CA1" w:rsidRPr="00B41BF5">
              <w:rPr>
                <w:rFonts w:asciiTheme="minorHAnsi" w:hAnsiTheme="minorHAnsi"/>
                <w:color w:val="2E74B5" w:themeColor="accent1" w:themeShade="BF"/>
                <w:sz w:val="20"/>
                <w:szCs w:val="20"/>
              </w:rPr>
              <w:t xml:space="preserve"> </w:t>
            </w:r>
          </w:p>
        </w:tc>
        <w:tc>
          <w:tcPr>
            <w:tcW w:w="4680" w:type="dxa"/>
            <w:noWrap/>
            <w:vAlign w:val="center"/>
          </w:tcPr>
          <w:p w14:paraId="603F549C" w14:textId="484DECDD" w:rsidR="001B00FD" w:rsidRPr="005613A7" w:rsidRDefault="0012636C" w:rsidP="00CA03FA">
            <w:pPr>
              <w:spacing w:after="0" w:line="240" w:lineRule="auto"/>
              <w:rPr>
                <w:rFonts w:asciiTheme="minorHAnsi" w:hAnsiTheme="minorHAnsi"/>
                <w:color w:val="000000"/>
                <w:sz w:val="20"/>
                <w:szCs w:val="20"/>
              </w:rPr>
            </w:pPr>
            <w:r>
              <w:rPr>
                <w:rFonts w:asciiTheme="minorHAnsi" w:hAnsiTheme="minorHAnsi"/>
                <w:color w:val="000000"/>
                <w:sz w:val="20"/>
                <w:szCs w:val="20"/>
              </w:rPr>
              <w:t>-</w:t>
            </w:r>
            <w:r w:rsidR="001B00FD" w:rsidRPr="005613A7">
              <w:rPr>
                <w:rFonts w:asciiTheme="minorHAnsi" w:hAnsiTheme="minorHAnsi"/>
                <w:color w:val="000000"/>
                <w:sz w:val="20"/>
                <w:szCs w:val="20"/>
              </w:rPr>
              <w:t>Text of standard: standard requires</w:t>
            </w:r>
            <w:r w:rsidR="00CA03FA">
              <w:rPr>
                <w:rFonts w:asciiTheme="minorHAnsi" w:hAnsiTheme="minorHAnsi"/>
                <w:color w:val="000000"/>
                <w:sz w:val="20"/>
                <w:szCs w:val="20"/>
              </w:rPr>
              <w:t xml:space="preserve"> or gives credit for</w:t>
            </w:r>
            <w:r w:rsidR="001B00FD" w:rsidRPr="005613A7">
              <w:rPr>
                <w:rFonts w:asciiTheme="minorHAnsi" w:hAnsiTheme="minorHAnsi"/>
                <w:color w:val="000000"/>
                <w:sz w:val="20"/>
                <w:szCs w:val="20"/>
              </w:rPr>
              <w:t xml:space="preserve"> public disclosure of results of existing LCAs and</w:t>
            </w:r>
            <w:r w:rsidR="00CA03FA">
              <w:rPr>
                <w:rFonts w:asciiTheme="minorHAnsi" w:hAnsiTheme="minorHAnsi"/>
                <w:color w:val="000000"/>
                <w:sz w:val="20"/>
                <w:szCs w:val="20"/>
              </w:rPr>
              <w:t>/or other</w:t>
            </w:r>
            <w:r w:rsidR="001B00FD" w:rsidRPr="005613A7">
              <w:rPr>
                <w:rFonts w:asciiTheme="minorHAnsi" w:hAnsiTheme="minorHAnsi"/>
                <w:color w:val="000000"/>
                <w:sz w:val="20"/>
                <w:szCs w:val="20"/>
              </w:rPr>
              <w:t xml:space="preserve"> existing assessments of environmental and human health impacts.</w:t>
            </w:r>
          </w:p>
        </w:tc>
      </w:tr>
      <w:tr w:rsidR="00C82F98" w:rsidRPr="005613A7" w14:paraId="2B872AE9" w14:textId="77777777" w:rsidTr="005B03D0">
        <w:tc>
          <w:tcPr>
            <w:tcW w:w="607" w:type="dxa"/>
            <w:noWrap/>
            <w:vAlign w:val="center"/>
          </w:tcPr>
          <w:p w14:paraId="7D232303" w14:textId="71CA9AC6" w:rsidR="00C82F98" w:rsidRPr="005613A7" w:rsidRDefault="00C82F98" w:rsidP="001741FD">
            <w:pPr>
              <w:spacing w:after="0" w:line="240" w:lineRule="auto"/>
              <w:rPr>
                <w:rFonts w:asciiTheme="minorHAnsi" w:hAnsiTheme="minorHAnsi"/>
                <w:bCs/>
                <w:sz w:val="20"/>
                <w:szCs w:val="20"/>
              </w:rPr>
            </w:pPr>
            <w:r>
              <w:rPr>
                <w:rFonts w:asciiTheme="minorHAnsi" w:hAnsiTheme="minorHAnsi"/>
                <w:bCs/>
                <w:sz w:val="20"/>
                <w:szCs w:val="20"/>
              </w:rPr>
              <w:t>II.</w:t>
            </w:r>
            <w:r w:rsidR="001741FD">
              <w:rPr>
                <w:rFonts w:asciiTheme="minorHAnsi" w:hAnsiTheme="minorHAnsi"/>
                <w:bCs/>
                <w:sz w:val="20"/>
                <w:szCs w:val="20"/>
              </w:rPr>
              <w:t>9</w:t>
            </w:r>
          </w:p>
        </w:tc>
        <w:tc>
          <w:tcPr>
            <w:tcW w:w="540" w:type="dxa"/>
            <w:vAlign w:val="center"/>
          </w:tcPr>
          <w:p w14:paraId="480333E2" w14:textId="67ADE0BD" w:rsidR="00C82F98" w:rsidRPr="005613A7" w:rsidRDefault="00C82F98" w:rsidP="001375D1">
            <w:pPr>
              <w:spacing w:after="0" w:line="240" w:lineRule="auto"/>
              <w:rPr>
                <w:rFonts w:asciiTheme="minorHAnsi" w:hAnsiTheme="minorHAnsi"/>
                <w:color w:val="000000"/>
                <w:sz w:val="20"/>
                <w:szCs w:val="20"/>
              </w:rPr>
            </w:pPr>
            <w:r>
              <w:rPr>
                <w:rFonts w:asciiTheme="minorHAnsi" w:hAnsiTheme="minorHAnsi"/>
                <w:color w:val="000000"/>
                <w:sz w:val="20"/>
                <w:szCs w:val="20"/>
              </w:rPr>
              <w:t>L</w:t>
            </w:r>
          </w:p>
        </w:tc>
        <w:tc>
          <w:tcPr>
            <w:tcW w:w="5130" w:type="dxa"/>
            <w:noWrap/>
            <w:vAlign w:val="center"/>
          </w:tcPr>
          <w:p w14:paraId="3DEA4071" w14:textId="46C76B4E" w:rsidR="00C82F98" w:rsidRPr="005613A7" w:rsidRDefault="00C82F98" w:rsidP="00C82F98">
            <w:pPr>
              <w:spacing w:after="0" w:line="240" w:lineRule="auto"/>
              <w:rPr>
                <w:rFonts w:asciiTheme="minorHAnsi" w:hAnsiTheme="minorHAnsi"/>
                <w:b/>
                <w:color w:val="000000"/>
                <w:sz w:val="20"/>
                <w:szCs w:val="20"/>
              </w:rPr>
            </w:pPr>
            <w:r w:rsidRPr="00C82F98">
              <w:rPr>
                <w:sz w:val="20"/>
              </w:rPr>
              <w:t xml:space="preserve">Innovation. The standard meaningfully and measurably addresses environmental and/or human health impacts in some way not already recognized in the </w:t>
            </w:r>
            <w:r w:rsidR="00550943">
              <w:rPr>
                <w:sz w:val="20"/>
              </w:rPr>
              <w:t xml:space="preserve">above </w:t>
            </w:r>
            <w:r w:rsidRPr="00C82F98">
              <w:rPr>
                <w:sz w:val="20"/>
              </w:rPr>
              <w:t>criteria.</w:t>
            </w:r>
          </w:p>
        </w:tc>
        <w:tc>
          <w:tcPr>
            <w:tcW w:w="4680" w:type="dxa"/>
            <w:noWrap/>
            <w:vAlign w:val="center"/>
          </w:tcPr>
          <w:p w14:paraId="5EB6F2A2" w14:textId="13F54F96" w:rsidR="00C82F98" w:rsidRPr="005613A7" w:rsidRDefault="0012636C" w:rsidP="00C82F98">
            <w:pPr>
              <w:spacing w:after="0" w:line="240" w:lineRule="auto"/>
              <w:rPr>
                <w:rFonts w:asciiTheme="minorHAnsi" w:hAnsiTheme="minorHAnsi"/>
                <w:color w:val="000000"/>
                <w:sz w:val="20"/>
                <w:szCs w:val="20"/>
              </w:rPr>
            </w:pPr>
            <w:r>
              <w:rPr>
                <w:rFonts w:asciiTheme="minorHAnsi" w:hAnsiTheme="minorHAnsi"/>
                <w:color w:val="000000"/>
                <w:sz w:val="20"/>
                <w:szCs w:val="20"/>
              </w:rPr>
              <w:t>-</w:t>
            </w:r>
            <w:r w:rsidR="00C82F98">
              <w:rPr>
                <w:rFonts w:asciiTheme="minorHAnsi" w:hAnsiTheme="minorHAnsi"/>
                <w:color w:val="000000"/>
                <w:sz w:val="20"/>
                <w:szCs w:val="20"/>
              </w:rPr>
              <w:t>Text of criteria and explanation of how the approach is innovative and how it results in improved environmental and/or human health performance.</w:t>
            </w:r>
          </w:p>
        </w:tc>
      </w:tr>
      <w:tr w:rsidR="00A430CE" w:rsidRPr="005613A7" w14:paraId="4915139C" w14:textId="77777777" w:rsidTr="005B03D0">
        <w:tc>
          <w:tcPr>
            <w:tcW w:w="607" w:type="dxa"/>
            <w:noWrap/>
            <w:vAlign w:val="center"/>
          </w:tcPr>
          <w:p w14:paraId="79EF03FB" w14:textId="1302F626" w:rsidR="00A430CE" w:rsidRPr="005613A7" w:rsidRDefault="00A430CE" w:rsidP="001375D1">
            <w:pPr>
              <w:spacing w:after="0" w:line="240" w:lineRule="auto"/>
              <w:rPr>
                <w:rFonts w:asciiTheme="minorHAnsi" w:hAnsiTheme="minorHAnsi"/>
                <w:bCs/>
                <w:sz w:val="20"/>
                <w:szCs w:val="20"/>
              </w:rPr>
            </w:pPr>
          </w:p>
        </w:tc>
        <w:tc>
          <w:tcPr>
            <w:tcW w:w="540" w:type="dxa"/>
            <w:vAlign w:val="center"/>
          </w:tcPr>
          <w:p w14:paraId="6178AE8A" w14:textId="301AEFC3" w:rsidR="00A430CE" w:rsidRPr="005613A7" w:rsidRDefault="00A430CE"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I</w:t>
            </w:r>
          </w:p>
        </w:tc>
        <w:tc>
          <w:tcPr>
            <w:tcW w:w="5130" w:type="dxa"/>
            <w:noWrap/>
            <w:vAlign w:val="center"/>
          </w:tcPr>
          <w:p w14:paraId="0E089638" w14:textId="51CF0429" w:rsidR="00A430CE" w:rsidRDefault="00A430CE" w:rsidP="00A7397B">
            <w:pPr>
              <w:spacing w:after="0" w:line="240" w:lineRule="auto"/>
              <w:rPr>
                <w:rFonts w:asciiTheme="minorHAnsi" w:hAnsiTheme="minorHAnsi"/>
                <w:color w:val="000000"/>
                <w:sz w:val="20"/>
                <w:szCs w:val="20"/>
              </w:rPr>
            </w:pPr>
            <w:r w:rsidRPr="005613A7">
              <w:rPr>
                <w:rFonts w:asciiTheme="minorHAnsi" w:hAnsiTheme="minorHAnsi"/>
                <w:b/>
                <w:color w:val="000000"/>
                <w:sz w:val="20"/>
                <w:szCs w:val="20"/>
              </w:rPr>
              <w:t>Informational:</w:t>
            </w:r>
            <w:r w:rsidRPr="005613A7">
              <w:rPr>
                <w:rFonts w:asciiTheme="minorHAnsi" w:hAnsiTheme="minorHAnsi"/>
                <w:color w:val="000000"/>
                <w:sz w:val="20"/>
                <w:szCs w:val="20"/>
              </w:rPr>
              <w:t xml:space="preserve"> To further EPA’s understanding in this area, we are seeking information from SDOs on how to determine whether the environmental and/or human health </w:t>
            </w:r>
            <w:r w:rsidR="00987BC6">
              <w:rPr>
                <w:rFonts w:asciiTheme="minorHAnsi" w:hAnsiTheme="minorHAnsi"/>
                <w:color w:val="000000"/>
                <w:sz w:val="20"/>
                <w:szCs w:val="20"/>
              </w:rPr>
              <w:t>protection</w:t>
            </w:r>
            <w:r w:rsidR="00987BC6" w:rsidRPr="005613A7">
              <w:rPr>
                <w:rFonts w:asciiTheme="minorHAnsi" w:hAnsiTheme="minorHAnsi"/>
                <w:color w:val="000000"/>
                <w:sz w:val="20"/>
                <w:szCs w:val="20"/>
              </w:rPr>
              <w:t xml:space="preserve"> </w:t>
            </w:r>
            <w:r w:rsidRPr="005613A7">
              <w:rPr>
                <w:rFonts w:asciiTheme="minorHAnsi" w:hAnsiTheme="minorHAnsi"/>
                <w:color w:val="000000"/>
                <w:sz w:val="20"/>
                <w:szCs w:val="20"/>
              </w:rPr>
              <w:t>criteria in the standard result in products that exceed</w:t>
            </w:r>
            <w:r w:rsidR="00892E36">
              <w:rPr>
                <w:rFonts w:asciiTheme="minorHAnsi" w:hAnsiTheme="minorHAnsi"/>
                <w:color w:val="000000"/>
                <w:sz w:val="20"/>
                <w:szCs w:val="20"/>
              </w:rPr>
              <w:t xml:space="preserve"> </w:t>
            </w:r>
            <w:r w:rsidRPr="005613A7">
              <w:rPr>
                <w:rFonts w:asciiTheme="minorHAnsi" w:hAnsiTheme="minorHAnsi"/>
                <w:color w:val="000000"/>
                <w:sz w:val="20"/>
                <w:szCs w:val="20"/>
              </w:rPr>
              <w:t>the industry average level of environmental and/or human health performance for this product category.</w:t>
            </w:r>
          </w:p>
          <w:p w14:paraId="095AB6D3" w14:textId="77777777" w:rsidR="00EE3CA1" w:rsidRPr="005613A7" w:rsidRDefault="00EE3CA1" w:rsidP="001375D1">
            <w:pPr>
              <w:spacing w:after="0" w:line="240" w:lineRule="auto"/>
              <w:ind w:left="229"/>
              <w:rPr>
                <w:rFonts w:asciiTheme="minorHAnsi" w:hAnsiTheme="minorHAnsi"/>
                <w:color w:val="000000"/>
                <w:sz w:val="20"/>
                <w:szCs w:val="20"/>
              </w:rPr>
            </w:pPr>
          </w:p>
          <w:p w14:paraId="42D55227" w14:textId="77777777" w:rsidR="00EE3CA1" w:rsidRPr="00B41BF5" w:rsidRDefault="00EE3CA1" w:rsidP="00EE3CA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6DCCD5CC" w14:textId="0CBD696E" w:rsidR="00A430CE" w:rsidRPr="005613A7" w:rsidRDefault="00EE3CA1" w:rsidP="00EE3CA1">
            <w:pPr>
              <w:spacing w:after="0" w:line="240" w:lineRule="auto"/>
              <w:rPr>
                <w:rFonts w:asciiTheme="minorHAnsi" w:hAnsiTheme="minorHAnsi"/>
                <w:color w:val="000000"/>
                <w:sz w:val="20"/>
                <w:szCs w:val="20"/>
              </w:rPr>
            </w:pPr>
            <w:r w:rsidRPr="00B41BF5">
              <w:rPr>
                <w:rFonts w:asciiTheme="minorHAnsi" w:hAnsiTheme="minorHAnsi"/>
                <w:i/>
                <w:color w:val="2E74B5" w:themeColor="accent1" w:themeShade="BF"/>
                <w:sz w:val="20"/>
                <w:szCs w:val="20"/>
              </w:rPr>
              <w:t>II.2 Measurability and Significant Measurable Difference</w:t>
            </w:r>
          </w:p>
        </w:tc>
        <w:tc>
          <w:tcPr>
            <w:tcW w:w="4680" w:type="dxa"/>
            <w:noWrap/>
            <w:vAlign w:val="center"/>
          </w:tcPr>
          <w:p w14:paraId="6632E200" w14:textId="1A107BF0" w:rsidR="00A430CE" w:rsidRPr="005613A7" w:rsidRDefault="00EE7BB2" w:rsidP="001375D1">
            <w:pPr>
              <w:spacing w:after="0" w:line="240" w:lineRule="auto"/>
              <w:rPr>
                <w:rFonts w:asciiTheme="minorHAnsi" w:hAnsiTheme="minorHAnsi"/>
                <w:color w:val="000000"/>
                <w:sz w:val="20"/>
                <w:szCs w:val="20"/>
              </w:rPr>
            </w:pPr>
            <w:r>
              <w:rPr>
                <w:rFonts w:asciiTheme="minorHAnsi" w:hAnsiTheme="minorHAnsi"/>
                <w:color w:val="000000"/>
                <w:sz w:val="20"/>
                <w:szCs w:val="20"/>
              </w:rPr>
              <w:t>Optional, to be determined by the SDO</w:t>
            </w:r>
          </w:p>
        </w:tc>
      </w:tr>
      <w:tr w:rsidR="00A430CE" w:rsidRPr="005613A7" w14:paraId="6CA8B64E" w14:textId="77777777" w:rsidTr="005B03D0">
        <w:tc>
          <w:tcPr>
            <w:tcW w:w="607" w:type="dxa"/>
            <w:noWrap/>
            <w:vAlign w:val="center"/>
          </w:tcPr>
          <w:p w14:paraId="25546761" w14:textId="73A9DD21" w:rsidR="00A430CE" w:rsidRPr="005613A7" w:rsidRDefault="00A430CE" w:rsidP="001375D1">
            <w:pPr>
              <w:spacing w:after="0" w:line="240" w:lineRule="auto"/>
              <w:rPr>
                <w:rFonts w:asciiTheme="minorHAnsi" w:hAnsiTheme="minorHAnsi"/>
                <w:bCs/>
                <w:sz w:val="20"/>
                <w:szCs w:val="20"/>
              </w:rPr>
            </w:pPr>
          </w:p>
        </w:tc>
        <w:tc>
          <w:tcPr>
            <w:tcW w:w="540" w:type="dxa"/>
            <w:vAlign w:val="center"/>
          </w:tcPr>
          <w:p w14:paraId="320EC9BC" w14:textId="5C0E44AE" w:rsidR="00A430CE" w:rsidRPr="005613A7" w:rsidRDefault="00A430CE" w:rsidP="001375D1">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I</w:t>
            </w:r>
          </w:p>
        </w:tc>
        <w:tc>
          <w:tcPr>
            <w:tcW w:w="5130" w:type="dxa"/>
            <w:noWrap/>
            <w:vAlign w:val="center"/>
          </w:tcPr>
          <w:p w14:paraId="59824A78" w14:textId="0DDF6C85" w:rsidR="00A430CE" w:rsidRDefault="00A430CE" w:rsidP="001375D1">
            <w:pPr>
              <w:spacing w:after="0" w:line="240" w:lineRule="auto"/>
              <w:rPr>
                <w:rFonts w:asciiTheme="minorHAnsi" w:hAnsiTheme="minorHAnsi"/>
                <w:color w:val="000000"/>
                <w:sz w:val="20"/>
                <w:szCs w:val="20"/>
              </w:rPr>
            </w:pPr>
            <w:r w:rsidRPr="005613A7">
              <w:rPr>
                <w:rFonts w:asciiTheme="minorHAnsi" w:hAnsiTheme="minorHAnsi"/>
                <w:b/>
                <w:color w:val="000000"/>
                <w:sz w:val="20"/>
                <w:szCs w:val="20"/>
              </w:rPr>
              <w:t>Informational:</w:t>
            </w:r>
            <w:r w:rsidRPr="005613A7">
              <w:rPr>
                <w:rFonts w:asciiTheme="minorHAnsi" w:hAnsiTheme="minorHAnsi"/>
                <w:color w:val="000000"/>
                <w:sz w:val="20"/>
                <w:szCs w:val="20"/>
              </w:rPr>
              <w:t xml:space="preserve"> To further EPA’s understanding in this area, we are seeking information from SDOs on how and when the environmental and/or human health </w:t>
            </w:r>
            <w:r w:rsidR="00987BC6">
              <w:rPr>
                <w:rFonts w:asciiTheme="minorHAnsi" w:hAnsiTheme="minorHAnsi"/>
                <w:color w:val="000000"/>
                <w:sz w:val="20"/>
                <w:szCs w:val="20"/>
              </w:rPr>
              <w:t>protection</w:t>
            </w:r>
            <w:r w:rsidR="00987BC6" w:rsidRPr="005613A7">
              <w:rPr>
                <w:rFonts w:asciiTheme="minorHAnsi" w:hAnsiTheme="minorHAnsi"/>
                <w:color w:val="000000"/>
                <w:sz w:val="20"/>
                <w:szCs w:val="20"/>
              </w:rPr>
              <w:t xml:space="preserve"> </w:t>
            </w:r>
            <w:r w:rsidRPr="005613A7">
              <w:rPr>
                <w:rFonts w:asciiTheme="minorHAnsi" w:hAnsiTheme="minorHAnsi"/>
                <w:color w:val="000000"/>
                <w:sz w:val="20"/>
                <w:szCs w:val="20"/>
              </w:rPr>
              <w:t>criteria in the standard uses quantitative vs qualitative measures.</w:t>
            </w:r>
          </w:p>
          <w:p w14:paraId="78246A0E" w14:textId="77777777" w:rsidR="00EE3CA1" w:rsidRDefault="00EE3CA1" w:rsidP="001375D1">
            <w:pPr>
              <w:spacing w:after="0" w:line="240" w:lineRule="auto"/>
              <w:rPr>
                <w:rFonts w:asciiTheme="minorHAnsi" w:hAnsiTheme="minorHAnsi"/>
                <w:color w:val="000000"/>
                <w:sz w:val="20"/>
                <w:szCs w:val="20"/>
              </w:rPr>
            </w:pPr>
          </w:p>
          <w:p w14:paraId="766FCF8F" w14:textId="77777777" w:rsidR="00EE3CA1" w:rsidRPr="00B41BF5" w:rsidRDefault="00EE3CA1" w:rsidP="00EE3CA1">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7C5DEE6F" w14:textId="3A7A855B" w:rsidR="00EE3CA1" w:rsidRPr="005613A7" w:rsidRDefault="00EE3CA1" w:rsidP="00EE3CA1">
            <w:pPr>
              <w:spacing w:after="0" w:line="240" w:lineRule="auto"/>
              <w:rPr>
                <w:rFonts w:asciiTheme="minorHAnsi" w:hAnsiTheme="minorHAnsi"/>
                <w:color w:val="000000"/>
                <w:sz w:val="20"/>
                <w:szCs w:val="20"/>
              </w:rPr>
            </w:pPr>
            <w:r w:rsidRPr="00B41BF5">
              <w:rPr>
                <w:rFonts w:asciiTheme="minorHAnsi" w:hAnsiTheme="minorHAnsi"/>
                <w:i/>
                <w:color w:val="2E74B5" w:themeColor="accent1" w:themeShade="BF"/>
                <w:sz w:val="20"/>
                <w:szCs w:val="20"/>
              </w:rPr>
              <w:t>II.2 Measurability and Significant Measurable Difference</w:t>
            </w:r>
          </w:p>
        </w:tc>
        <w:tc>
          <w:tcPr>
            <w:tcW w:w="4680" w:type="dxa"/>
            <w:noWrap/>
            <w:vAlign w:val="center"/>
          </w:tcPr>
          <w:p w14:paraId="3A9120EB" w14:textId="056F7923" w:rsidR="00A430CE" w:rsidRPr="005613A7" w:rsidRDefault="00EE7BB2" w:rsidP="001375D1">
            <w:pPr>
              <w:spacing w:after="0" w:line="240" w:lineRule="auto"/>
              <w:rPr>
                <w:rFonts w:asciiTheme="minorHAnsi" w:hAnsiTheme="minorHAnsi"/>
                <w:color w:val="000000"/>
                <w:sz w:val="20"/>
                <w:szCs w:val="20"/>
              </w:rPr>
            </w:pPr>
            <w:r>
              <w:rPr>
                <w:rFonts w:asciiTheme="minorHAnsi" w:hAnsiTheme="minorHAnsi"/>
                <w:color w:val="000000"/>
                <w:sz w:val="20"/>
                <w:szCs w:val="20"/>
              </w:rPr>
              <w:t>Optional, to be determined by the SDO</w:t>
            </w:r>
          </w:p>
        </w:tc>
      </w:tr>
      <w:tr w:rsidR="003B0A46" w:rsidRPr="005613A7" w14:paraId="34FA6D28" w14:textId="77777777" w:rsidTr="00BC134A">
        <w:trPr>
          <w:trHeight w:val="395"/>
        </w:trPr>
        <w:tc>
          <w:tcPr>
            <w:tcW w:w="10957" w:type="dxa"/>
            <w:gridSpan w:val="4"/>
            <w:vAlign w:val="center"/>
          </w:tcPr>
          <w:p w14:paraId="572EAEF2" w14:textId="7CEEF016" w:rsidR="003B0A46" w:rsidRPr="005613A7" w:rsidRDefault="003B0A46" w:rsidP="001375D1">
            <w:pPr>
              <w:pageBreakBefore/>
              <w:spacing w:after="0" w:line="240" w:lineRule="auto"/>
              <w:rPr>
                <w:rFonts w:asciiTheme="minorHAnsi" w:hAnsiTheme="minorHAnsi"/>
                <w:b/>
                <w:bCs/>
                <w:sz w:val="20"/>
                <w:szCs w:val="20"/>
              </w:rPr>
            </w:pPr>
            <w:r w:rsidRPr="005613A7">
              <w:rPr>
                <w:rFonts w:asciiTheme="minorHAnsi" w:hAnsiTheme="minorHAnsi"/>
                <w:b/>
                <w:bCs/>
                <w:sz w:val="20"/>
                <w:szCs w:val="20"/>
              </w:rPr>
              <w:lastRenderedPageBreak/>
              <w:t>SECTION III: CONFORMITY ASSESSMENT</w:t>
            </w:r>
            <w:r w:rsidR="005A17E1" w:rsidRPr="005613A7">
              <w:rPr>
                <w:rStyle w:val="FootnoteReference"/>
                <w:rFonts w:asciiTheme="minorHAnsi" w:hAnsiTheme="minorHAnsi"/>
                <w:bCs/>
                <w:sz w:val="20"/>
                <w:szCs w:val="20"/>
              </w:rPr>
              <w:footnoteReference w:id="22"/>
            </w:r>
          </w:p>
        </w:tc>
      </w:tr>
      <w:tr w:rsidR="00D43073" w:rsidRPr="005613A7" w14:paraId="1972CEF2" w14:textId="77777777" w:rsidTr="00E306DE">
        <w:trPr>
          <w:trHeight w:val="2267"/>
        </w:trPr>
        <w:tc>
          <w:tcPr>
            <w:tcW w:w="607" w:type="dxa"/>
            <w:vAlign w:val="center"/>
          </w:tcPr>
          <w:p w14:paraId="54B32134" w14:textId="7B56FB4E"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III.1</w:t>
            </w:r>
          </w:p>
        </w:tc>
        <w:tc>
          <w:tcPr>
            <w:tcW w:w="540" w:type="dxa"/>
            <w:vAlign w:val="center"/>
          </w:tcPr>
          <w:p w14:paraId="770DB475" w14:textId="3646E23F"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862689F" w14:textId="2086EA1D"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 xml:space="preserve">The CAB is defined and is independent from the organization whose products/services are being </w:t>
            </w:r>
            <w:r w:rsidR="001379D2">
              <w:rPr>
                <w:rFonts w:asciiTheme="minorHAnsi" w:hAnsiTheme="minorHAnsi"/>
                <w:bCs/>
                <w:sz w:val="20"/>
                <w:szCs w:val="20"/>
              </w:rPr>
              <w:t>assessed for conformity</w:t>
            </w:r>
            <w:r w:rsidRPr="005613A7">
              <w:rPr>
                <w:rFonts w:asciiTheme="minorHAnsi" w:hAnsiTheme="minorHAnsi"/>
                <w:bCs/>
                <w:sz w:val="20"/>
                <w:szCs w:val="20"/>
              </w:rPr>
              <w:t xml:space="preserve">. </w:t>
            </w:r>
          </w:p>
          <w:p w14:paraId="52547E84" w14:textId="77777777" w:rsidR="00D43073" w:rsidRPr="005613A7" w:rsidRDefault="00D43073" w:rsidP="00D43073">
            <w:pPr>
              <w:spacing w:after="0" w:line="240" w:lineRule="auto"/>
              <w:rPr>
                <w:rFonts w:asciiTheme="minorHAnsi" w:hAnsiTheme="minorHAnsi"/>
                <w:bCs/>
                <w:sz w:val="20"/>
                <w:szCs w:val="20"/>
              </w:rPr>
            </w:pPr>
          </w:p>
          <w:p w14:paraId="0E86773B"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5798CDC7"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III.2 Independence</w:t>
            </w:r>
            <w:r w:rsidRPr="00B41BF5">
              <w:rPr>
                <w:rFonts w:asciiTheme="minorHAnsi" w:hAnsiTheme="minorHAnsi"/>
                <w:color w:val="2E74B5" w:themeColor="accent1" w:themeShade="BF"/>
                <w:sz w:val="20"/>
                <w:szCs w:val="20"/>
              </w:rPr>
              <w:t xml:space="preserve"> </w:t>
            </w:r>
          </w:p>
          <w:p w14:paraId="63D0F446" w14:textId="77777777" w:rsidR="00D43073" w:rsidRPr="005613A7" w:rsidRDefault="00D43073" w:rsidP="00D43073">
            <w:pPr>
              <w:spacing w:after="0" w:line="240" w:lineRule="auto"/>
              <w:rPr>
                <w:rFonts w:asciiTheme="minorHAnsi" w:hAnsiTheme="minorHAnsi"/>
                <w:sz w:val="20"/>
                <w:szCs w:val="20"/>
              </w:rPr>
            </w:pPr>
          </w:p>
        </w:tc>
        <w:tc>
          <w:tcPr>
            <w:tcW w:w="4680" w:type="dxa"/>
            <w:vAlign w:val="center"/>
          </w:tcPr>
          <w:p w14:paraId="4C1F0671" w14:textId="44FAD9A0" w:rsidR="00D43073" w:rsidRPr="005613A7" w:rsidRDefault="0012636C"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Accreditation certificate (as supplied in III: 1)</w:t>
            </w:r>
          </w:p>
          <w:p w14:paraId="0671BAE4" w14:textId="43EEDF07"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Declaration that the CAB is independent from the producer. </w:t>
            </w:r>
          </w:p>
          <w:p w14:paraId="3D793D72" w14:textId="132E32C0"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Organizational structure/chart of CAB entity showing independence from producers.</w:t>
            </w:r>
          </w:p>
          <w:p w14:paraId="6238005D" w14:textId="17F5A922"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Ownership structure of CAB explained/declared.</w:t>
            </w:r>
          </w:p>
        </w:tc>
      </w:tr>
      <w:tr w:rsidR="00D43073" w:rsidRPr="005613A7" w14:paraId="32CF814E" w14:textId="77777777" w:rsidTr="00E306DE">
        <w:trPr>
          <w:trHeight w:val="2267"/>
        </w:trPr>
        <w:tc>
          <w:tcPr>
            <w:tcW w:w="607" w:type="dxa"/>
            <w:vAlign w:val="center"/>
          </w:tcPr>
          <w:p w14:paraId="086EF232" w14:textId="5D82AF65"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w:t>
            </w:r>
            <w:r>
              <w:rPr>
                <w:rFonts w:asciiTheme="minorHAnsi" w:hAnsiTheme="minorHAnsi"/>
                <w:sz w:val="20"/>
                <w:szCs w:val="20"/>
              </w:rPr>
              <w:t>II.2</w:t>
            </w:r>
          </w:p>
        </w:tc>
        <w:tc>
          <w:tcPr>
            <w:tcW w:w="540" w:type="dxa"/>
            <w:vAlign w:val="center"/>
          </w:tcPr>
          <w:p w14:paraId="234E0E28" w14:textId="3C5B2BB8"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10A8F7E8" w14:textId="72D02F6D"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standard, ecolabel and/or SDO are neutral as to the specific CAB entity being used; and more than one CAB can </w:t>
            </w:r>
            <w:r w:rsidR="00FC450D">
              <w:rPr>
                <w:rFonts w:asciiTheme="minorHAnsi" w:hAnsiTheme="minorHAnsi"/>
                <w:bCs/>
                <w:sz w:val="20"/>
                <w:szCs w:val="20"/>
              </w:rPr>
              <w:t>assess</w:t>
            </w:r>
            <w:r w:rsidR="00FC450D" w:rsidRPr="005613A7">
              <w:rPr>
                <w:rFonts w:asciiTheme="minorHAnsi" w:hAnsiTheme="minorHAnsi"/>
                <w:bCs/>
                <w:sz w:val="20"/>
                <w:szCs w:val="20"/>
              </w:rPr>
              <w:t xml:space="preserve"> </w:t>
            </w:r>
            <w:r w:rsidRPr="005613A7">
              <w:rPr>
                <w:rFonts w:asciiTheme="minorHAnsi" w:hAnsiTheme="minorHAnsi"/>
                <w:bCs/>
                <w:sz w:val="20"/>
                <w:szCs w:val="20"/>
              </w:rPr>
              <w:t>conformance to the standard.</w:t>
            </w:r>
            <w:r w:rsidR="00BF03E6">
              <w:rPr>
                <w:rStyle w:val="FootnoteReference"/>
                <w:rFonts w:asciiTheme="minorHAnsi" w:hAnsiTheme="minorHAnsi"/>
                <w:bCs/>
                <w:sz w:val="20"/>
                <w:szCs w:val="20"/>
              </w:rPr>
              <w:footnoteReference w:id="23"/>
            </w:r>
            <w:r w:rsidRPr="005613A7">
              <w:rPr>
                <w:rFonts w:asciiTheme="minorHAnsi" w:hAnsiTheme="minorHAnsi"/>
                <w:bCs/>
                <w:sz w:val="20"/>
                <w:szCs w:val="20"/>
              </w:rPr>
              <w:t xml:space="preserve"> </w:t>
            </w:r>
          </w:p>
          <w:p w14:paraId="3D3B2C63" w14:textId="77777777" w:rsidR="00D43073" w:rsidRPr="005613A7" w:rsidRDefault="00D43073" w:rsidP="00D43073">
            <w:pPr>
              <w:pStyle w:val="PlainText"/>
              <w:rPr>
                <w:rFonts w:asciiTheme="minorHAnsi" w:hAnsiTheme="minorHAnsi"/>
                <w:bCs/>
                <w:sz w:val="20"/>
                <w:szCs w:val="20"/>
              </w:rPr>
            </w:pPr>
          </w:p>
          <w:p w14:paraId="2222B925"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Reference: ISO/IEC 17007</w:t>
            </w:r>
          </w:p>
          <w:p w14:paraId="2925787D" w14:textId="77777777" w:rsidR="00D43073" w:rsidRPr="005613A7" w:rsidRDefault="00D43073" w:rsidP="00D43073">
            <w:pPr>
              <w:pStyle w:val="PlainText"/>
              <w:rPr>
                <w:rFonts w:asciiTheme="minorHAnsi" w:hAnsiTheme="minorHAnsi"/>
                <w:bCs/>
                <w:sz w:val="20"/>
                <w:szCs w:val="20"/>
              </w:rPr>
            </w:pPr>
          </w:p>
          <w:p w14:paraId="1D8C2828"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4ED4AB8"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III.2 Independence</w:t>
            </w:r>
            <w:r w:rsidRPr="00B41BF5">
              <w:rPr>
                <w:rFonts w:asciiTheme="minorHAnsi" w:hAnsiTheme="minorHAnsi"/>
                <w:color w:val="2E74B5" w:themeColor="accent1" w:themeShade="BF"/>
                <w:sz w:val="20"/>
                <w:szCs w:val="20"/>
              </w:rPr>
              <w:t xml:space="preserve"> </w:t>
            </w:r>
          </w:p>
          <w:p w14:paraId="0481CB88" w14:textId="77777777" w:rsidR="00D43073" w:rsidRPr="005613A7" w:rsidRDefault="00D43073" w:rsidP="00D43073">
            <w:pPr>
              <w:spacing w:after="0" w:line="240" w:lineRule="auto"/>
              <w:rPr>
                <w:rFonts w:asciiTheme="minorHAnsi" w:hAnsiTheme="minorHAnsi"/>
                <w:sz w:val="20"/>
                <w:szCs w:val="20"/>
              </w:rPr>
            </w:pPr>
          </w:p>
        </w:tc>
        <w:tc>
          <w:tcPr>
            <w:tcW w:w="4680" w:type="dxa"/>
            <w:vAlign w:val="center"/>
          </w:tcPr>
          <w:p w14:paraId="3E58338F" w14:textId="46664E80"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Relevant text from policy/procedure on CAB entities showing independence from the SDO.</w:t>
            </w:r>
          </w:p>
          <w:p w14:paraId="2B40CADC" w14:textId="35353408"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Accreditation requirements and or /screening procedure for determining independent CAB.</w:t>
            </w:r>
          </w:p>
          <w:p w14:paraId="440468FE" w14:textId="5CB49DE6"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Declaration that the CAB is independent from the SDO </w:t>
            </w:r>
          </w:p>
          <w:p w14:paraId="0269E053" w14:textId="45B74A1D"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Demonstration that more than one CAB can provide CA services to the standard, e.g. with public information.</w:t>
            </w:r>
          </w:p>
        </w:tc>
      </w:tr>
      <w:tr w:rsidR="00D43073" w:rsidRPr="005613A7" w14:paraId="71E10D86" w14:textId="77777777" w:rsidTr="00D43073">
        <w:trPr>
          <w:trHeight w:val="800"/>
        </w:trPr>
        <w:tc>
          <w:tcPr>
            <w:tcW w:w="607" w:type="dxa"/>
            <w:vAlign w:val="center"/>
          </w:tcPr>
          <w:p w14:paraId="0EEAD728" w14:textId="798F8D34"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III.3</w:t>
            </w:r>
          </w:p>
        </w:tc>
        <w:tc>
          <w:tcPr>
            <w:tcW w:w="540" w:type="dxa"/>
            <w:vAlign w:val="center"/>
          </w:tcPr>
          <w:p w14:paraId="624CE4FB" w14:textId="37B86115" w:rsidR="00D43073" w:rsidRPr="005613A7" w:rsidRDefault="001379D2" w:rsidP="00D43073">
            <w:pPr>
              <w:spacing w:after="0" w:line="240" w:lineRule="auto"/>
              <w:rPr>
                <w:rFonts w:asciiTheme="minorHAnsi" w:hAnsiTheme="minorHAnsi"/>
                <w:bCs/>
                <w:sz w:val="20"/>
                <w:szCs w:val="20"/>
              </w:rPr>
            </w:pPr>
            <w:r>
              <w:rPr>
                <w:rFonts w:asciiTheme="minorHAnsi" w:hAnsiTheme="minorHAnsi"/>
                <w:bCs/>
                <w:sz w:val="20"/>
                <w:szCs w:val="20"/>
              </w:rPr>
              <w:t>B</w:t>
            </w:r>
          </w:p>
        </w:tc>
        <w:tc>
          <w:tcPr>
            <w:tcW w:w="5130" w:type="dxa"/>
            <w:vAlign w:val="center"/>
          </w:tcPr>
          <w:p w14:paraId="3AF96E04" w14:textId="41BE45DF"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bCs/>
                <w:sz w:val="20"/>
                <w:szCs w:val="20"/>
              </w:rPr>
              <w:t>The CAB periodically reviews risks to its impartiality, and takes appropriate steps to mitigate identified risks.</w:t>
            </w:r>
          </w:p>
        </w:tc>
        <w:tc>
          <w:tcPr>
            <w:tcW w:w="4680" w:type="dxa"/>
            <w:vAlign w:val="center"/>
          </w:tcPr>
          <w:p w14:paraId="3B8B5B65" w14:textId="23A31859"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Quality procedures, advisory body minutes, management meeting minutes</w:t>
            </w:r>
          </w:p>
          <w:p w14:paraId="0DFE5A76" w14:textId="42E9D1B1"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Results of reviews and actions taken.</w:t>
            </w:r>
          </w:p>
        </w:tc>
      </w:tr>
      <w:tr w:rsidR="00D43073" w:rsidRPr="005613A7" w14:paraId="0D67D164" w14:textId="77777777" w:rsidTr="00D43073">
        <w:trPr>
          <w:trHeight w:val="809"/>
        </w:trPr>
        <w:tc>
          <w:tcPr>
            <w:tcW w:w="607" w:type="dxa"/>
            <w:vAlign w:val="center"/>
          </w:tcPr>
          <w:p w14:paraId="48617766" w14:textId="13290A17"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III.4</w:t>
            </w:r>
          </w:p>
        </w:tc>
        <w:tc>
          <w:tcPr>
            <w:tcW w:w="540" w:type="dxa"/>
            <w:vAlign w:val="center"/>
          </w:tcPr>
          <w:p w14:paraId="5E2E60F7" w14:textId="249D82F3" w:rsidR="00D43073" w:rsidRPr="005613A7" w:rsidRDefault="00D43073" w:rsidP="00D43073">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49B567F0" w14:textId="27EA2AB9" w:rsidR="00D43073" w:rsidRPr="00697EB4" w:rsidRDefault="008947DB" w:rsidP="00D43073">
            <w:r>
              <w:rPr>
                <w:rFonts w:asciiTheme="minorHAnsi" w:hAnsiTheme="minorHAnsi"/>
                <w:color w:val="000000"/>
                <w:sz w:val="20"/>
                <w:szCs w:val="20"/>
              </w:rPr>
              <w:t xml:space="preserve">The </w:t>
            </w:r>
            <w:r w:rsidR="00D43073" w:rsidRPr="005613A7">
              <w:rPr>
                <w:rFonts w:asciiTheme="minorHAnsi" w:hAnsiTheme="minorHAnsi"/>
                <w:color w:val="000000"/>
                <w:sz w:val="20"/>
                <w:szCs w:val="20"/>
              </w:rPr>
              <w:t xml:space="preserve">CAB </w:t>
            </w:r>
            <w:r w:rsidR="00D43073" w:rsidRPr="00C46110">
              <w:rPr>
                <w:sz w:val="20"/>
              </w:rPr>
              <w:t>offer</w:t>
            </w:r>
            <w:r>
              <w:rPr>
                <w:sz w:val="20"/>
              </w:rPr>
              <w:t>s</w:t>
            </w:r>
            <w:r w:rsidR="00D43073" w:rsidRPr="00C46110">
              <w:rPr>
                <w:sz w:val="20"/>
              </w:rPr>
              <w:t xml:space="preserve"> a sliding scale of </w:t>
            </w:r>
            <w:r w:rsidR="00347A2C">
              <w:rPr>
                <w:sz w:val="20"/>
              </w:rPr>
              <w:t>conformity assessment</w:t>
            </w:r>
            <w:r w:rsidR="00347A2C" w:rsidRPr="00C46110">
              <w:rPr>
                <w:sz w:val="20"/>
              </w:rPr>
              <w:t xml:space="preserve"> </w:t>
            </w:r>
            <w:r w:rsidR="00D43073" w:rsidRPr="00C46110">
              <w:rPr>
                <w:sz w:val="20"/>
              </w:rPr>
              <w:t>fees</w:t>
            </w:r>
            <w:r w:rsidR="00DF031F">
              <w:rPr>
                <w:sz w:val="20"/>
              </w:rPr>
              <w:t xml:space="preserve"> or other means</w:t>
            </w:r>
            <w:r w:rsidR="00D43073" w:rsidRPr="00C46110">
              <w:rPr>
                <w:sz w:val="20"/>
              </w:rPr>
              <w:t xml:space="preserve"> to be accessible to small businesses.</w:t>
            </w:r>
          </w:p>
          <w:p w14:paraId="4F613CDA"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344AC690" w14:textId="606848CA" w:rsidR="00D43073" w:rsidRPr="005613A7" w:rsidRDefault="00D43073" w:rsidP="00D43073">
            <w:pPr>
              <w:spacing w:after="0" w:line="240" w:lineRule="auto"/>
              <w:rPr>
                <w:rFonts w:asciiTheme="minorHAnsi" w:hAnsiTheme="minorHAnsi"/>
                <w:sz w:val="20"/>
                <w:szCs w:val="20"/>
              </w:rPr>
            </w:pPr>
            <w:r w:rsidRPr="00B41BF5">
              <w:rPr>
                <w:rFonts w:asciiTheme="minorHAnsi" w:hAnsiTheme="minorHAnsi"/>
                <w:i/>
                <w:color w:val="2E74B5" w:themeColor="accent1" w:themeShade="BF"/>
                <w:sz w:val="20"/>
                <w:szCs w:val="20"/>
              </w:rPr>
              <w:t>III.3 Sliding fee scale</w:t>
            </w:r>
          </w:p>
        </w:tc>
        <w:tc>
          <w:tcPr>
            <w:tcW w:w="4680" w:type="dxa"/>
            <w:vAlign w:val="center"/>
          </w:tcPr>
          <w:p w14:paraId="33B04C31" w14:textId="5A2592B6"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Pr>
                <w:rFonts w:asciiTheme="minorHAnsi" w:hAnsiTheme="minorHAnsi"/>
                <w:bCs/>
                <w:sz w:val="20"/>
                <w:szCs w:val="20"/>
              </w:rPr>
              <w:t>Documentation of sliding fee scale</w:t>
            </w:r>
            <w:r w:rsidR="00E62FCF">
              <w:rPr>
                <w:rFonts w:asciiTheme="minorHAnsi" w:hAnsiTheme="minorHAnsi"/>
                <w:bCs/>
                <w:sz w:val="20"/>
                <w:szCs w:val="20"/>
              </w:rPr>
              <w:t xml:space="preserve"> (does not need to be publicly accessible)</w:t>
            </w:r>
            <w:r w:rsidR="00D43073">
              <w:rPr>
                <w:rFonts w:asciiTheme="minorHAnsi" w:hAnsiTheme="minorHAnsi"/>
                <w:bCs/>
                <w:sz w:val="20"/>
                <w:szCs w:val="20"/>
              </w:rPr>
              <w:t>. Demonstration of accessibility to small businesses.</w:t>
            </w:r>
          </w:p>
        </w:tc>
      </w:tr>
      <w:tr w:rsidR="00D43073" w:rsidRPr="005613A7" w14:paraId="64432DF4" w14:textId="77777777" w:rsidTr="00C55836">
        <w:trPr>
          <w:trHeight w:val="1430"/>
        </w:trPr>
        <w:tc>
          <w:tcPr>
            <w:tcW w:w="607" w:type="dxa"/>
            <w:vAlign w:val="center"/>
          </w:tcPr>
          <w:p w14:paraId="6B7B3FC1" w14:textId="1BBD662B"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III.5</w:t>
            </w:r>
          </w:p>
        </w:tc>
        <w:tc>
          <w:tcPr>
            <w:tcW w:w="540" w:type="dxa"/>
            <w:vAlign w:val="center"/>
          </w:tcPr>
          <w:p w14:paraId="7249CD24" w14:textId="4C0551F8" w:rsidR="00D43073" w:rsidRPr="005613A7" w:rsidRDefault="00D43073" w:rsidP="00D43073">
            <w:pPr>
              <w:spacing w:after="0" w:line="240" w:lineRule="auto"/>
              <w:rPr>
                <w:rFonts w:asciiTheme="minorHAnsi" w:hAnsiTheme="minorHAnsi"/>
                <w:bCs/>
                <w:sz w:val="20"/>
                <w:szCs w:val="20"/>
              </w:rPr>
            </w:pPr>
            <w:r w:rsidRPr="00C46110">
              <w:rPr>
                <w:rFonts w:asciiTheme="minorHAnsi" w:hAnsiTheme="minorHAnsi"/>
                <w:bCs/>
                <w:sz w:val="20"/>
                <w:szCs w:val="20"/>
              </w:rPr>
              <w:t>B</w:t>
            </w:r>
          </w:p>
        </w:tc>
        <w:tc>
          <w:tcPr>
            <w:tcW w:w="5130" w:type="dxa"/>
            <w:vAlign w:val="center"/>
          </w:tcPr>
          <w:p w14:paraId="0326627A"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publicly dis</w:t>
            </w:r>
            <w:r>
              <w:rPr>
                <w:rFonts w:asciiTheme="minorHAnsi" w:hAnsiTheme="minorHAnsi"/>
                <w:bCs/>
                <w:sz w:val="20"/>
                <w:szCs w:val="20"/>
              </w:rPr>
              <w:t xml:space="preserve">closes the scoring methodology </w:t>
            </w:r>
            <w:r w:rsidRPr="005613A7">
              <w:rPr>
                <w:rFonts w:asciiTheme="minorHAnsi" w:hAnsiTheme="minorHAnsi"/>
                <w:bCs/>
                <w:sz w:val="20"/>
                <w:szCs w:val="20"/>
              </w:rPr>
              <w:t xml:space="preserve">and levels achieved by products that conform to the standard; and describes how the public can access this information. </w:t>
            </w:r>
          </w:p>
          <w:p w14:paraId="729C8B74" w14:textId="77777777" w:rsidR="00D43073" w:rsidRPr="005613A7" w:rsidRDefault="00D43073" w:rsidP="00D43073">
            <w:pPr>
              <w:pStyle w:val="PlainText"/>
              <w:rPr>
                <w:rFonts w:asciiTheme="minorHAnsi" w:hAnsiTheme="minorHAnsi"/>
                <w:bCs/>
                <w:sz w:val="20"/>
                <w:szCs w:val="20"/>
              </w:rPr>
            </w:pPr>
          </w:p>
          <w:p w14:paraId="7A9ED6A1"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44FCC00" w14:textId="02A5A139" w:rsidR="00D43073" w:rsidRPr="005613A7" w:rsidRDefault="00D43073" w:rsidP="00B66E62">
            <w:pPr>
              <w:spacing w:after="0" w:line="240" w:lineRule="auto"/>
              <w:rPr>
                <w:rFonts w:asciiTheme="minorHAnsi" w:hAnsiTheme="minorHAnsi"/>
                <w:sz w:val="20"/>
                <w:szCs w:val="20"/>
              </w:rPr>
            </w:pPr>
            <w:proofErr w:type="spellStart"/>
            <w:r w:rsidRPr="00B41BF5">
              <w:rPr>
                <w:rFonts w:asciiTheme="minorHAnsi" w:hAnsiTheme="minorHAnsi"/>
                <w:i/>
                <w:color w:val="2E74B5" w:themeColor="accent1" w:themeShade="BF"/>
                <w:sz w:val="20"/>
                <w:szCs w:val="20"/>
              </w:rPr>
              <w:t>III.x</w:t>
            </w:r>
            <w:proofErr w:type="spellEnd"/>
            <w:r w:rsidRPr="00B41BF5">
              <w:rPr>
                <w:rFonts w:asciiTheme="minorHAnsi" w:hAnsiTheme="minorHAnsi"/>
                <w:i/>
                <w:color w:val="2E74B5" w:themeColor="accent1" w:themeShade="BF"/>
                <w:sz w:val="20"/>
                <w:szCs w:val="20"/>
              </w:rPr>
              <w:t xml:space="preserve"> Information on Scoring</w:t>
            </w:r>
            <w:r w:rsidR="00B66E62">
              <w:rPr>
                <w:rFonts w:asciiTheme="minorHAnsi" w:hAnsiTheme="minorHAnsi"/>
                <w:i/>
                <w:color w:val="2E74B5" w:themeColor="accent1" w:themeShade="BF"/>
                <w:sz w:val="20"/>
                <w:szCs w:val="20"/>
              </w:rPr>
              <w:t xml:space="preserve"> [</w:t>
            </w:r>
            <w:r w:rsidR="00AD476E">
              <w:rPr>
                <w:rFonts w:asciiTheme="minorHAnsi" w:hAnsiTheme="minorHAnsi"/>
                <w:i/>
                <w:color w:val="2E74B5" w:themeColor="accent1" w:themeShade="BF"/>
                <w:sz w:val="20"/>
                <w:szCs w:val="20"/>
              </w:rPr>
              <w:t xml:space="preserve">New Guideline </w:t>
            </w:r>
            <w:r w:rsidR="00B66E62">
              <w:rPr>
                <w:rFonts w:asciiTheme="minorHAnsi" w:hAnsiTheme="minorHAnsi"/>
                <w:i/>
                <w:color w:val="2E74B5" w:themeColor="accent1" w:themeShade="BF"/>
                <w:sz w:val="20"/>
                <w:szCs w:val="20"/>
              </w:rPr>
              <w:t>SUBMITTED FROM GC MEMBER ON V2.0]</w:t>
            </w:r>
          </w:p>
        </w:tc>
        <w:tc>
          <w:tcPr>
            <w:tcW w:w="4680" w:type="dxa"/>
            <w:vAlign w:val="center"/>
          </w:tcPr>
          <w:p w14:paraId="2BB9A4D9" w14:textId="6A343C38"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w:t>
            </w:r>
            <w:r w:rsidR="00D43073">
              <w:rPr>
                <w:rFonts w:asciiTheme="minorHAnsi" w:hAnsiTheme="minorHAnsi"/>
                <w:bCs/>
                <w:sz w:val="20"/>
                <w:szCs w:val="20"/>
              </w:rPr>
              <w:t xml:space="preserve">tation of scoring </w:t>
            </w:r>
            <w:r w:rsidR="00D43073" w:rsidRPr="005613A7">
              <w:rPr>
                <w:rFonts w:asciiTheme="minorHAnsi" w:hAnsiTheme="minorHAnsi"/>
                <w:bCs/>
                <w:sz w:val="20"/>
                <w:szCs w:val="20"/>
              </w:rPr>
              <w:t>and levels achieved by products that conform to the standard.</w:t>
            </w:r>
          </w:p>
          <w:p w14:paraId="5451E175" w14:textId="54B82BEC"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where and how this informatio</w:t>
            </w:r>
            <w:r w:rsidR="00D43073">
              <w:rPr>
                <w:rFonts w:asciiTheme="minorHAnsi" w:hAnsiTheme="minorHAnsi"/>
                <w:bCs/>
                <w:sz w:val="20"/>
                <w:szCs w:val="20"/>
              </w:rPr>
              <w:t>n is made publically available.</w:t>
            </w:r>
          </w:p>
        </w:tc>
      </w:tr>
      <w:tr w:rsidR="00D43073" w:rsidRPr="005613A7" w14:paraId="33E854B0" w14:textId="77777777" w:rsidTr="00D43073">
        <w:trPr>
          <w:trHeight w:val="1142"/>
        </w:trPr>
        <w:tc>
          <w:tcPr>
            <w:tcW w:w="607" w:type="dxa"/>
            <w:vAlign w:val="center"/>
          </w:tcPr>
          <w:p w14:paraId="30C7B4AE" w14:textId="403C0F79"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r>
              <w:rPr>
                <w:rFonts w:asciiTheme="minorHAnsi" w:hAnsiTheme="minorHAnsi"/>
                <w:sz w:val="20"/>
                <w:szCs w:val="20"/>
              </w:rPr>
              <w:t>6</w:t>
            </w:r>
          </w:p>
        </w:tc>
        <w:tc>
          <w:tcPr>
            <w:tcW w:w="540" w:type="dxa"/>
            <w:vAlign w:val="center"/>
          </w:tcPr>
          <w:p w14:paraId="786B5578" w14:textId="50388A4E"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241EAC1A"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publicly discloses the credits achieved by products that conform to the standard; and describes how the public can access this information. </w:t>
            </w:r>
          </w:p>
          <w:p w14:paraId="47BD2C26" w14:textId="77777777" w:rsidR="00D43073" w:rsidRPr="005613A7" w:rsidRDefault="00D43073" w:rsidP="00D43073">
            <w:pPr>
              <w:pStyle w:val="PlainText"/>
              <w:rPr>
                <w:rFonts w:asciiTheme="minorHAnsi" w:hAnsiTheme="minorHAnsi"/>
                <w:bCs/>
                <w:sz w:val="20"/>
                <w:szCs w:val="20"/>
              </w:rPr>
            </w:pPr>
          </w:p>
          <w:p w14:paraId="3F538B51"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8BAC9C4" w14:textId="2726ADC6" w:rsidR="00D43073" w:rsidRPr="005613A7" w:rsidRDefault="00D43073" w:rsidP="00C55836">
            <w:pPr>
              <w:spacing w:after="0" w:line="240" w:lineRule="auto"/>
              <w:rPr>
                <w:rFonts w:asciiTheme="minorHAnsi" w:hAnsiTheme="minorHAnsi"/>
                <w:sz w:val="20"/>
                <w:szCs w:val="20"/>
              </w:rPr>
            </w:pPr>
            <w:proofErr w:type="spellStart"/>
            <w:r w:rsidRPr="00B41BF5">
              <w:rPr>
                <w:rFonts w:asciiTheme="minorHAnsi" w:hAnsiTheme="minorHAnsi"/>
                <w:i/>
                <w:color w:val="2E74B5" w:themeColor="accent1" w:themeShade="BF"/>
                <w:sz w:val="20"/>
                <w:szCs w:val="20"/>
              </w:rPr>
              <w:t>III.x</w:t>
            </w:r>
            <w:proofErr w:type="spellEnd"/>
            <w:r w:rsidRPr="00B41BF5">
              <w:rPr>
                <w:rFonts w:asciiTheme="minorHAnsi" w:hAnsiTheme="minorHAnsi"/>
                <w:i/>
                <w:color w:val="2E74B5" w:themeColor="accent1" w:themeShade="BF"/>
                <w:sz w:val="20"/>
                <w:szCs w:val="20"/>
              </w:rPr>
              <w:t xml:space="preserve"> Information on Scoring</w:t>
            </w:r>
            <w:r w:rsidR="00B66E62">
              <w:rPr>
                <w:rFonts w:asciiTheme="minorHAnsi" w:hAnsiTheme="minorHAnsi"/>
                <w:i/>
                <w:color w:val="2E74B5" w:themeColor="accent1" w:themeShade="BF"/>
                <w:sz w:val="20"/>
                <w:szCs w:val="20"/>
              </w:rPr>
              <w:t xml:space="preserve">  [</w:t>
            </w:r>
            <w:r w:rsidR="00AD476E">
              <w:rPr>
                <w:rFonts w:asciiTheme="minorHAnsi" w:hAnsiTheme="minorHAnsi"/>
                <w:i/>
                <w:color w:val="2E74B5" w:themeColor="accent1" w:themeShade="BF"/>
                <w:sz w:val="20"/>
                <w:szCs w:val="20"/>
              </w:rPr>
              <w:t xml:space="preserve">New Guideline </w:t>
            </w:r>
            <w:r w:rsidR="00B66E62">
              <w:rPr>
                <w:rFonts w:asciiTheme="minorHAnsi" w:hAnsiTheme="minorHAnsi"/>
                <w:i/>
                <w:color w:val="2E74B5" w:themeColor="accent1" w:themeShade="BF"/>
                <w:sz w:val="20"/>
                <w:szCs w:val="20"/>
              </w:rPr>
              <w:t>SUBMITTED FROM GC MEMBER ON V2.0]</w:t>
            </w:r>
          </w:p>
        </w:tc>
        <w:tc>
          <w:tcPr>
            <w:tcW w:w="4680" w:type="dxa"/>
            <w:vAlign w:val="center"/>
          </w:tcPr>
          <w:p w14:paraId="42242311" w14:textId="3879CDE2"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credits</w:t>
            </w:r>
            <w:r w:rsidR="00D43073">
              <w:rPr>
                <w:rFonts w:asciiTheme="minorHAnsi" w:hAnsiTheme="minorHAnsi"/>
                <w:bCs/>
                <w:sz w:val="20"/>
                <w:szCs w:val="20"/>
              </w:rPr>
              <w:t>/criteria</w:t>
            </w:r>
            <w:r w:rsidR="00D43073" w:rsidRPr="005613A7">
              <w:rPr>
                <w:rFonts w:asciiTheme="minorHAnsi" w:hAnsiTheme="minorHAnsi"/>
                <w:bCs/>
                <w:sz w:val="20"/>
                <w:szCs w:val="20"/>
              </w:rPr>
              <w:t xml:space="preserve"> achieved by products that conform to the standard.</w:t>
            </w:r>
          </w:p>
          <w:p w14:paraId="40DB30B5" w14:textId="1FAD91FA"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Description of where and how this information is made publically available. </w:t>
            </w:r>
          </w:p>
        </w:tc>
      </w:tr>
      <w:tr w:rsidR="003D240C" w:rsidRPr="005613A7" w14:paraId="1DB19B3B" w14:textId="77777777" w:rsidTr="005B03D0">
        <w:trPr>
          <w:trHeight w:val="395"/>
        </w:trPr>
        <w:tc>
          <w:tcPr>
            <w:tcW w:w="607" w:type="dxa"/>
            <w:vAlign w:val="center"/>
          </w:tcPr>
          <w:p w14:paraId="01E434BF" w14:textId="77777777" w:rsidR="003D240C" w:rsidRDefault="003D240C" w:rsidP="003D240C">
            <w:pPr>
              <w:spacing w:after="0" w:line="240" w:lineRule="auto"/>
              <w:rPr>
                <w:rFonts w:asciiTheme="minorHAnsi" w:hAnsiTheme="minorHAnsi"/>
                <w:sz w:val="20"/>
                <w:szCs w:val="20"/>
              </w:rPr>
            </w:pPr>
            <w:r w:rsidRPr="005613A7">
              <w:rPr>
                <w:rFonts w:asciiTheme="minorHAnsi" w:hAnsiTheme="minorHAnsi"/>
                <w:sz w:val="20"/>
                <w:szCs w:val="20"/>
              </w:rPr>
              <w:lastRenderedPageBreak/>
              <w:t>III.</w:t>
            </w:r>
          </w:p>
          <w:p w14:paraId="3ACF01D4" w14:textId="1462307D" w:rsidR="003D240C" w:rsidRDefault="003D240C" w:rsidP="003D240C">
            <w:pPr>
              <w:spacing w:after="0" w:line="240" w:lineRule="auto"/>
              <w:rPr>
                <w:rFonts w:asciiTheme="minorHAnsi" w:hAnsiTheme="minorHAnsi"/>
                <w:sz w:val="20"/>
                <w:szCs w:val="20"/>
              </w:rPr>
            </w:pPr>
            <w:r>
              <w:rPr>
                <w:rFonts w:asciiTheme="minorHAnsi" w:hAnsiTheme="minorHAnsi"/>
                <w:sz w:val="20"/>
                <w:szCs w:val="20"/>
              </w:rPr>
              <w:t>7</w:t>
            </w:r>
          </w:p>
        </w:tc>
        <w:tc>
          <w:tcPr>
            <w:tcW w:w="540" w:type="dxa"/>
            <w:vAlign w:val="center"/>
          </w:tcPr>
          <w:p w14:paraId="3285FA82" w14:textId="16A1E9A8" w:rsidR="003D240C" w:rsidRPr="005613A7" w:rsidRDefault="003D240C" w:rsidP="003D240C">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16835A3D" w14:textId="77777777" w:rsidR="003D240C" w:rsidRPr="003D240C" w:rsidRDefault="003D240C" w:rsidP="003D240C">
            <w:pPr>
              <w:pStyle w:val="PlainText"/>
              <w:rPr>
                <w:rFonts w:asciiTheme="minorHAnsi" w:hAnsiTheme="minorHAnsi"/>
                <w:bCs/>
                <w:sz w:val="20"/>
                <w:szCs w:val="20"/>
              </w:rPr>
            </w:pPr>
            <w:r w:rsidRPr="003D240C">
              <w:rPr>
                <w:rFonts w:asciiTheme="minorHAnsi" w:hAnsiTheme="minorHAnsi"/>
                <w:bCs/>
                <w:sz w:val="20"/>
                <w:szCs w:val="20"/>
              </w:rPr>
              <w:t>The CAB provides public access to or disclosure of up to date information on the means by which it obtains financial support.</w:t>
            </w:r>
          </w:p>
          <w:p w14:paraId="48299CD1" w14:textId="77777777" w:rsidR="003D240C" w:rsidRPr="003D240C" w:rsidRDefault="003D240C" w:rsidP="003D240C">
            <w:pPr>
              <w:pStyle w:val="PlainText"/>
              <w:rPr>
                <w:rFonts w:asciiTheme="minorHAnsi" w:hAnsiTheme="minorHAnsi"/>
                <w:bCs/>
                <w:sz w:val="20"/>
                <w:szCs w:val="20"/>
              </w:rPr>
            </w:pPr>
          </w:p>
          <w:p w14:paraId="58E8148F" w14:textId="7F71E2C7" w:rsidR="003D240C" w:rsidRPr="005613A7" w:rsidRDefault="003D240C" w:rsidP="003D240C">
            <w:pPr>
              <w:spacing w:after="0" w:line="240" w:lineRule="auto"/>
              <w:rPr>
                <w:rFonts w:asciiTheme="minorHAnsi" w:hAnsiTheme="minorHAnsi"/>
                <w:sz w:val="20"/>
                <w:szCs w:val="20"/>
              </w:rPr>
            </w:pPr>
            <w:r w:rsidRPr="003D240C">
              <w:rPr>
                <w:rFonts w:asciiTheme="minorHAnsi" w:hAnsiTheme="minorHAnsi"/>
                <w:bCs/>
                <w:sz w:val="20"/>
                <w:szCs w:val="20"/>
              </w:rPr>
              <w:t>Reflects ISO/IEC 17065 - 4.6</w:t>
            </w:r>
          </w:p>
        </w:tc>
        <w:tc>
          <w:tcPr>
            <w:tcW w:w="4680" w:type="dxa"/>
            <w:vAlign w:val="center"/>
          </w:tcPr>
          <w:p w14:paraId="199F889D" w14:textId="77777777" w:rsidR="003D240C" w:rsidRPr="005613A7" w:rsidRDefault="003D240C" w:rsidP="003D240C">
            <w:pPr>
              <w:pStyle w:val="PlainText"/>
              <w:rPr>
                <w:rFonts w:asciiTheme="minorHAnsi" w:hAnsiTheme="minorHAnsi"/>
                <w:bCs/>
                <w:sz w:val="20"/>
                <w:szCs w:val="20"/>
              </w:rPr>
            </w:pPr>
            <w:r>
              <w:rPr>
                <w:rFonts w:asciiTheme="minorHAnsi" w:hAnsiTheme="minorHAnsi"/>
                <w:bCs/>
                <w:sz w:val="20"/>
                <w:szCs w:val="20"/>
              </w:rPr>
              <w:t>-</w:t>
            </w:r>
            <w:r w:rsidRPr="005613A7">
              <w:rPr>
                <w:rFonts w:asciiTheme="minorHAnsi" w:hAnsiTheme="minorHAnsi"/>
                <w:bCs/>
                <w:sz w:val="20"/>
                <w:szCs w:val="20"/>
              </w:rPr>
              <w:t xml:space="preserve">Example description of means of CAB financial support </w:t>
            </w:r>
          </w:p>
          <w:p w14:paraId="5A6988CA" w14:textId="1848AAE8" w:rsidR="003D240C" w:rsidRDefault="003D240C" w:rsidP="003D240C">
            <w:pPr>
              <w:spacing w:after="0" w:line="240" w:lineRule="auto"/>
              <w:rPr>
                <w:rFonts w:asciiTheme="minorHAnsi" w:hAnsiTheme="minorHAnsi"/>
                <w:bCs/>
                <w:sz w:val="20"/>
                <w:szCs w:val="20"/>
              </w:rPr>
            </w:pPr>
            <w:r>
              <w:rPr>
                <w:rFonts w:asciiTheme="minorHAnsi" w:hAnsiTheme="minorHAnsi"/>
                <w:bCs/>
                <w:sz w:val="20"/>
                <w:szCs w:val="20"/>
              </w:rPr>
              <w:t>-</w:t>
            </w:r>
            <w:r w:rsidRPr="005613A7">
              <w:rPr>
                <w:rFonts w:asciiTheme="minorHAnsi" w:hAnsiTheme="minorHAnsi"/>
                <w:bCs/>
                <w:sz w:val="20"/>
                <w:szCs w:val="20"/>
              </w:rPr>
              <w:t>Description of where and how this information can be accessed.</w:t>
            </w:r>
          </w:p>
        </w:tc>
      </w:tr>
      <w:tr w:rsidR="00D43073" w:rsidRPr="005613A7" w14:paraId="0AA1AE47" w14:textId="77777777" w:rsidTr="005B03D0">
        <w:trPr>
          <w:trHeight w:val="395"/>
        </w:trPr>
        <w:tc>
          <w:tcPr>
            <w:tcW w:w="607" w:type="dxa"/>
            <w:vAlign w:val="center"/>
          </w:tcPr>
          <w:p w14:paraId="5B031694" w14:textId="6D41E9F9"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III.8</w:t>
            </w:r>
          </w:p>
        </w:tc>
        <w:tc>
          <w:tcPr>
            <w:tcW w:w="540" w:type="dxa"/>
            <w:vAlign w:val="center"/>
          </w:tcPr>
          <w:p w14:paraId="20860768" w14:textId="2177BBB1" w:rsidR="00D43073" w:rsidRPr="005613A7" w:rsidRDefault="001D765C" w:rsidP="00D43073">
            <w:pPr>
              <w:spacing w:after="0" w:line="240" w:lineRule="auto"/>
              <w:rPr>
                <w:rFonts w:asciiTheme="minorHAnsi" w:hAnsiTheme="minorHAnsi"/>
                <w:bCs/>
                <w:sz w:val="20"/>
                <w:szCs w:val="20"/>
              </w:rPr>
            </w:pPr>
            <w:r>
              <w:rPr>
                <w:rFonts w:asciiTheme="minorHAnsi" w:hAnsiTheme="minorHAnsi"/>
                <w:bCs/>
                <w:sz w:val="20"/>
                <w:szCs w:val="20"/>
              </w:rPr>
              <w:t>B</w:t>
            </w:r>
          </w:p>
        </w:tc>
        <w:tc>
          <w:tcPr>
            <w:tcW w:w="5130" w:type="dxa"/>
            <w:vAlign w:val="center"/>
          </w:tcPr>
          <w:p w14:paraId="07FA9CED" w14:textId="1E25F9F1" w:rsidR="00D43073" w:rsidRPr="0019094D" w:rsidRDefault="00D43073" w:rsidP="00D43073">
            <w:pPr>
              <w:spacing w:after="0" w:line="240" w:lineRule="auto"/>
              <w:rPr>
                <w:rFonts w:asciiTheme="minorHAnsi" w:hAnsiTheme="minorHAnsi"/>
                <w:bCs/>
                <w:sz w:val="20"/>
                <w:szCs w:val="20"/>
              </w:rPr>
            </w:pPr>
            <w:r w:rsidRPr="0019094D">
              <w:rPr>
                <w:rFonts w:asciiTheme="minorHAnsi" w:hAnsiTheme="minorHAnsi"/>
                <w:sz w:val="20"/>
                <w:szCs w:val="20"/>
              </w:rPr>
              <w:t>The CAB demonstrates (</w:t>
            </w:r>
            <w:r w:rsidR="00C9201A" w:rsidRPr="0019094D">
              <w:rPr>
                <w:rFonts w:asciiTheme="minorHAnsi" w:hAnsiTheme="minorHAnsi"/>
                <w:sz w:val="20"/>
                <w:szCs w:val="20"/>
              </w:rPr>
              <w:t>through accreditation</w:t>
            </w:r>
            <w:r w:rsidRPr="0019094D">
              <w:rPr>
                <w:rFonts w:asciiTheme="minorHAnsi" w:hAnsiTheme="minorHAnsi"/>
                <w:sz w:val="20"/>
                <w:szCs w:val="20"/>
              </w:rPr>
              <w:t xml:space="preserve"> </w:t>
            </w:r>
            <w:r w:rsidR="00C9201A" w:rsidRPr="0019094D">
              <w:rPr>
                <w:rFonts w:asciiTheme="minorHAnsi" w:hAnsiTheme="minorHAnsi"/>
                <w:sz w:val="20"/>
                <w:szCs w:val="20"/>
              </w:rPr>
              <w:t>by a member body to ILAC or IAF)</w:t>
            </w:r>
            <w:r w:rsidR="00C9201A" w:rsidRPr="0019094D">
              <w:rPr>
                <w:rStyle w:val="FootnoteReference"/>
                <w:rFonts w:asciiTheme="minorHAnsi" w:hAnsiTheme="minorHAnsi"/>
                <w:sz w:val="20"/>
                <w:szCs w:val="20"/>
              </w:rPr>
              <w:footnoteReference w:id="24"/>
            </w:r>
            <w:r w:rsidR="00C9201A" w:rsidRPr="0019094D">
              <w:rPr>
                <w:rFonts w:asciiTheme="minorHAnsi" w:hAnsiTheme="minorHAnsi"/>
                <w:sz w:val="20"/>
                <w:szCs w:val="20"/>
              </w:rPr>
              <w:t xml:space="preserve"> </w:t>
            </w:r>
            <w:r w:rsidRPr="0019094D">
              <w:rPr>
                <w:rFonts w:asciiTheme="minorHAnsi" w:hAnsiTheme="minorHAnsi"/>
                <w:sz w:val="20"/>
                <w:szCs w:val="20"/>
              </w:rPr>
              <w:t xml:space="preserve">conformance to relevant standards within the ISO/IEC 17000 series, e.g., ISO/IEC </w:t>
            </w:r>
            <w:r w:rsidRPr="0019094D">
              <w:rPr>
                <w:rFonts w:asciiTheme="minorHAnsi" w:hAnsiTheme="minorHAnsi"/>
                <w:bCs/>
                <w:sz w:val="20"/>
                <w:szCs w:val="20"/>
              </w:rPr>
              <w:t xml:space="preserve">17065 </w:t>
            </w:r>
            <w:r w:rsidR="0081381C" w:rsidRPr="0019094D">
              <w:rPr>
                <w:rFonts w:asciiTheme="minorHAnsi" w:hAnsiTheme="minorHAnsi"/>
                <w:bCs/>
                <w:sz w:val="20"/>
                <w:szCs w:val="20"/>
              </w:rPr>
              <w:t xml:space="preserve">{for the </w:t>
            </w:r>
            <w:proofErr w:type="spellStart"/>
            <w:r w:rsidR="0081381C" w:rsidRPr="0019094D">
              <w:rPr>
                <w:rFonts w:asciiTheme="minorHAnsi" w:hAnsiTheme="minorHAnsi"/>
                <w:bCs/>
                <w:sz w:val="20"/>
                <w:szCs w:val="20"/>
              </w:rPr>
              <w:t>ecolabeling</w:t>
            </w:r>
            <w:proofErr w:type="spellEnd"/>
            <w:r w:rsidR="0081381C" w:rsidRPr="0019094D">
              <w:rPr>
                <w:rFonts w:asciiTheme="minorHAnsi" w:hAnsiTheme="minorHAnsi"/>
                <w:bCs/>
                <w:sz w:val="20"/>
                <w:szCs w:val="20"/>
              </w:rPr>
              <w:t xml:space="preserve"> certification program scope in accordance with (ISO 14020)}; </w:t>
            </w:r>
            <w:r w:rsidRPr="0019094D">
              <w:rPr>
                <w:rFonts w:asciiTheme="minorHAnsi" w:hAnsiTheme="minorHAnsi"/>
                <w:bCs/>
                <w:sz w:val="20"/>
                <w:szCs w:val="20"/>
              </w:rPr>
              <w:t>17025 (testing); 17024 (personnel); 17020 (inspection)</w:t>
            </w:r>
            <w:r w:rsidR="00C9201A" w:rsidRPr="0019094D">
              <w:rPr>
                <w:rFonts w:asciiTheme="minorHAnsi" w:hAnsiTheme="minorHAnsi"/>
                <w:bCs/>
                <w:sz w:val="20"/>
                <w:szCs w:val="20"/>
              </w:rPr>
              <w:t>.</w:t>
            </w:r>
          </w:p>
          <w:p w14:paraId="219CAF1C" w14:textId="77777777" w:rsidR="0081381C" w:rsidRPr="0019094D" w:rsidRDefault="0081381C" w:rsidP="00D43073">
            <w:pPr>
              <w:pStyle w:val="PlainText"/>
              <w:rPr>
                <w:rFonts w:asciiTheme="minorHAnsi" w:hAnsiTheme="minorHAnsi"/>
                <w:b/>
                <w:color w:val="000000"/>
                <w:sz w:val="20"/>
                <w:szCs w:val="20"/>
              </w:rPr>
            </w:pPr>
          </w:p>
          <w:p w14:paraId="3593342B" w14:textId="77777777" w:rsidR="00C9201A" w:rsidRPr="0019094D" w:rsidRDefault="00D43073" w:rsidP="00D43073">
            <w:pPr>
              <w:pStyle w:val="PlainText"/>
              <w:rPr>
                <w:rFonts w:asciiTheme="minorHAnsi" w:hAnsiTheme="minorHAnsi"/>
                <w:color w:val="000000"/>
                <w:sz w:val="20"/>
                <w:szCs w:val="20"/>
              </w:rPr>
            </w:pPr>
            <w:r w:rsidRPr="0019094D">
              <w:rPr>
                <w:rFonts w:asciiTheme="minorHAnsi" w:hAnsiTheme="minorHAnsi"/>
                <w:b/>
                <w:color w:val="000000"/>
                <w:sz w:val="20"/>
                <w:szCs w:val="20"/>
              </w:rPr>
              <w:t>OR</w:t>
            </w:r>
            <w:r w:rsidRPr="0019094D">
              <w:rPr>
                <w:rFonts w:asciiTheme="minorHAnsi" w:hAnsiTheme="minorHAnsi"/>
                <w:color w:val="000000"/>
                <w:sz w:val="20"/>
                <w:szCs w:val="20"/>
              </w:rPr>
              <w:t xml:space="preserve"> </w:t>
            </w:r>
          </w:p>
          <w:p w14:paraId="57771C55" w14:textId="77777777" w:rsidR="00C9201A" w:rsidRPr="0019094D" w:rsidRDefault="00C9201A" w:rsidP="00D43073">
            <w:pPr>
              <w:pStyle w:val="PlainText"/>
              <w:rPr>
                <w:rFonts w:asciiTheme="minorHAnsi" w:hAnsiTheme="minorHAnsi"/>
                <w:color w:val="000000"/>
                <w:sz w:val="20"/>
                <w:szCs w:val="20"/>
              </w:rPr>
            </w:pPr>
          </w:p>
          <w:p w14:paraId="48E4227B" w14:textId="419DCADC" w:rsidR="00D43073" w:rsidRPr="0019094D" w:rsidRDefault="00C9201A" w:rsidP="00D43073">
            <w:pPr>
              <w:pStyle w:val="PlainText"/>
              <w:rPr>
                <w:rFonts w:asciiTheme="minorHAnsi" w:hAnsiTheme="minorHAnsi"/>
                <w:color w:val="000000"/>
                <w:sz w:val="20"/>
                <w:szCs w:val="20"/>
              </w:rPr>
            </w:pPr>
            <w:r w:rsidRPr="0019094D">
              <w:rPr>
                <w:rFonts w:asciiTheme="minorHAnsi" w:hAnsiTheme="minorHAnsi"/>
                <w:color w:val="000000"/>
                <w:sz w:val="20"/>
                <w:szCs w:val="20"/>
              </w:rPr>
              <w:t>A</w:t>
            </w:r>
            <w:r w:rsidR="00D43073" w:rsidRPr="0019094D">
              <w:rPr>
                <w:rFonts w:asciiTheme="minorHAnsi" w:hAnsiTheme="minorHAnsi"/>
                <w:color w:val="000000"/>
                <w:sz w:val="20"/>
                <w:szCs w:val="20"/>
              </w:rPr>
              <w:t xml:space="preserve">pply the </w:t>
            </w:r>
            <w:r w:rsidR="00D43073" w:rsidRPr="0019094D">
              <w:rPr>
                <w:rFonts w:asciiTheme="minorHAnsi" w:hAnsiTheme="minorHAnsi"/>
                <w:color w:val="000000"/>
                <w:sz w:val="20"/>
                <w:szCs w:val="20"/>
                <w:u w:val="single"/>
              </w:rPr>
              <w:t>evaluation factors</w:t>
            </w:r>
            <w:r w:rsidR="00D43073" w:rsidRPr="0019094D">
              <w:rPr>
                <w:rFonts w:asciiTheme="minorHAnsi" w:hAnsiTheme="minorHAnsi"/>
                <w:color w:val="000000"/>
                <w:sz w:val="20"/>
                <w:szCs w:val="20"/>
              </w:rPr>
              <w:t xml:space="preserve"> below, which are consistent with the requirements of internationally accepted standards for operations of a conformity assessment body.</w:t>
            </w:r>
          </w:p>
          <w:p w14:paraId="730B96C2" w14:textId="77777777" w:rsidR="00D43073" w:rsidRPr="0019094D" w:rsidRDefault="00D43073" w:rsidP="00D43073">
            <w:pPr>
              <w:pStyle w:val="PlainText"/>
              <w:rPr>
                <w:rFonts w:asciiTheme="minorHAnsi" w:hAnsiTheme="minorHAnsi"/>
                <w:color w:val="000000"/>
                <w:sz w:val="20"/>
                <w:szCs w:val="20"/>
              </w:rPr>
            </w:pPr>
          </w:p>
          <w:p w14:paraId="6FE640ED" w14:textId="77777777" w:rsidR="00D43073" w:rsidRPr="0019094D" w:rsidRDefault="00D43073" w:rsidP="00D43073">
            <w:pPr>
              <w:spacing w:after="0" w:line="240" w:lineRule="auto"/>
              <w:rPr>
                <w:rFonts w:asciiTheme="minorHAnsi" w:hAnsiTheme="minorHAnsi"/>
                <w:color w:val="2E74B5" w:themeColor="accent1" w:themeShade="BF"/>
                <w:sz w:val="20"/>
                <w:szCs w:val="20"/>
              </w:rPr>
            </w:pPr>
            <w:r w:rsidRPr="0019094D">
              <w:rPr>
                <w:rFonts w:asciiTheme="minorHAnsi" w:hAnsiTheme="minorHAnsi"/>
                <w:i/>
                <w:color w:val="2E74B5" w:themeColor="accent1" w:themeShade="BF"/>
                <w:sz w:val="20"/>
                <w:szCs w:val="20"/>
              </w:rPr>
              <w:t>Addresses the following Draft Guideline(s):</w:t>
            </w:r>
            <w:r w:rsidRPr="0019094D">
              <w:rPr>
                <w:rFonts w:asciiTheme="minorHAnsi" w:hAnsiTheme="minorHAnsi"/>
                <w:color w:val="2E74B5" w:themeColor="accent1" w:themeShade="BF"/>
                <w:sz w:val="20"/>
                <w:szCs w:val="20"/>
              </w:rPr>
              <w:t xml:space="preserve"> </w:t>
            </w:r>
          </w:p>
          <w:p w14:paraId="04251AF4" w14:textId="77777777" w:rsidR="00D43073" w:rsidRPr="0019094D" w:rsidRDefault="00D43073" w:rsidP="00D43073">
            <w:pPr>
              <w:spacing w:after="0" w:line="240" w:lineRule="auto"/>
              <w:rPr>
                <w:rFonts w:asciiTheme="minorHAnsi" w:hAnsiTheme="minorHAnsi"/>
                <w:i/>
                <w:color w:val="2E74B5" w:themeColor="accent1" w:themeShade="BF"/>
                <w:sz w:val="20"/>
                <w:szCs w:val="20"/>
              </w:rPr>
            </w:pPr>
            <w:r w:rsidRPr="0019094D">
              <w:rPr>
                <w:rFonts w:asciiTheme="minorHAnsi" w:hAnsiTheme="minorHAnsi"/>
                <w:i/>
                <w:color w:val="2E74B5" w:themeColor="accent1" w:themeShade="BF"/>
                <w:sz w:val="20"/>
                <w:szCs w:val="20"/>
              </w:rPr>
              <w:t>III.1 Follow relevant conformity assessment standards</w:t>
            </w:r>
          </w:p>
          <w:p w14:paraId="5D714FF3" w14:textId="02004F17" w:rsidR="00D43073" w:rsidRPr="0019094D" w:rsidRDefault="00D43073" w:rsidP="00D43073">
            <w:pPr>
              <w:spacing w:after="0" w:line="240" w:lineRule="auto"/>
              <w:rPr>
                <w:rFonts w:asciiTheme="minorHAnsi" w:hAnsiTheme="minorHAnsi"/>
                <w:color w:val="2E74B5" w:themeColor="accent1" w:themeShade="BF"/>
                <w:sz w:val="20"/>
                <w:szCs w:val="20"/>
              </w:rPr>
            </w:pPr>
            <w:r w:rsidRPr="0019094D">
              <w:rPr>
                <w:rFonts w:asciiTheme="minorHAnsi" w:hAnsiTheme="minorHAnsi"/>
                <w:i/>
                <w:color w:val="2E74B5" w:themeColor="accent1" w:themeShade="BF"/>
                <w:sz w:val="20"/>
                <w:szCs w:val="20"/>
              </w:rPr>
              <w:t>III.4 Accreditation</w:t>
            </w:r>
            <w:r w:rsidRPr="0019094D">
              <w:rPr>
                <w:rFonts w:asciiTheme="minorHAnsi" w:hAnsiTheme="minorHAnsi"/>
                <w:color w:val="2E74B5" w:themeColor="accent1" w:themeShade="BF"/>
                <w:sz w:val="20"/>
                <w:szCs w:val="20"/>
              </w:rPr>
              <w:t xml:space="preserve"> </w:t>
            </w:r>
          </w:p>
        </w:tc>
        <w:tc>
          <w:tcPr>
            <w:tcW w:w="4680" w:type="dxa"/>
            <w:vAlign w:val="center"/>
          </w:tcPr>
          <w:p w14:paraId="5F14F47E" w14:textId="60C5ECF3" w:rsidR="00D43073" w:rsidRPr="0019094D" w:rsidRDefault="007A30F9" w:rsidP="00D43073">
            <w:pPr>
              <w:spacing w:after="0" w:line="240" w:lineRule="auto"/>
              <w:rPr>
                <w:rFonts w:asciiTheme="minorHAnsi" w:hAnsiTheme="minorHAnsi"/>
                <w:bCs/>
                <w:sz w:val="20"/>
                <w:szCs w:val="20"/>
              </w:rPr>
            </w:pPr>
            <w:r w:rsidRPr="0019094D">
              <w:rPr>
                <w:rFonts w:asciiTheme="minorHAnsi" w:hAnsiTheme="minorHAnsi"/>
                <w:bCs/>
                <w:sz w:val="20"/>
                <w:szCs w:val="20"/>
              </w:rPr>
              <w:t>-</w:t>
            </w:r>
            <w:r w:rsidR="00D43073" w:rsidRPr="0019094D">
              <w:rPr>
                <w:rFonts w:asciiTheme="minorHAnsi" w:hAnsiTheme="minorHAnsi"/>
                <w:bCs/>
                <w:sz w:val="20"/>
                <w:szCs w:val="20"/>
              </w:rPr>
              <w:t>Accreditation certificate from a recognized accreditation body meeting ISO/IEC 17011.</w:t>
            </w:r>
          </w:p>
          <w:p w14:paraId="5B40396F" w14:textId="7C4F3DF2" w:rsidR="00D43073" w:rsidRPr="0019094D" w:rsidRDefault="007A30F9" w:rsidP="00D43073">
            <w:pPr>
              <w:spacing w:after="0" w:line="240" w:lineRule="auto"/>
              <w:rPr>
                <w:rFonts w:asciiTheme="minorHAnsi" w:hAnsiTheme="minorHAnsi"/>
                <w:bCs/>
                <w:sz w:val="20"/>
                <w:szCs w:val="20"/>
              </w:rPr>
            </w:pPr>
            <w:r w:rsidRPr="0019094D">
              <w:rPr>
                <w:rFonts w:asciiTheme="minorHAnsi" w:hAnsiTheme="minorHAnsi"/>
                <w:bCs/>
                <w:sz w:val="20"/>
                <w:szCs w:val="20"/>
              </w:rPr>
              <w:t>-</w:t>
            </w:r>
            <w:r w:rsidR="00D43073" w:rsidRPr="0019094D">
              <w:rPr>
                <w:rFonts w:asciiTheme="minorHAnsi" w:hAnsiTheme="minorHAnsi"/>
                <w:bCs/>
                <w:sz w:val="20"/>
                <w:szCs w:val="20"/>
              </w:rPr>
              <w:t xml:space="preserve">The accreditation body meets international norms for accreditation. </w:t>
            </w:r>
          </w:p>
          <w:p w14:paraId="1CDCC77F" w14:textId="668BC975" w:rsidR="00D43073" w:rsidRPr="0019094D" w:rsidRDefault="007A30F9" w:rsidP="00D43073">
            <w:pPr>
              <w:spacing w:after="0" w:line="240" w:lineRule="auto"/>
              <w:rPr>
                <w:rFonts w:asciiTheme="minorHAnsi" w:hAnsiTheme="minorHAnsi"/>
                <w:bCs/>
                <w:sz w:val="20"/>
                <w:szCs w:val="20"/>
              </w:rPr>
            </w:pPr>
            <w:r w:rsidRPr="0019094D">
              <w:rPr>
                <w:rFonts w:asciiTheme="minorHAnsi" w:hAnsiTheme="minorHAnsi"/>
                <w:bCs/>
                <w:sz w:val="20"/>
                <w:szCs w:val="20"/>
              </w:rPr>
              <w:t>-</w:t>
            </w:r>
            <w:r w:rsidR="00D43073" w:rsidRPr="0019094D">
              <w:rPr>
                <w:rFonts w:asciiTheme="minorHAnsi" w:hAnsiTheme="minorHAnsi"/>
                <w:bCs/>
                <w:sz w:val="20"/>
                <w:szCs w:val="20"/>
              </w:rPr>
              <w:t>SDO criteria showing requirements for CAB.</w:t>
            </w:r>
          </w:p>
          <w:p w14:paraId="4D939C7D" w14:textId="29422533" w:rsidR="00D43073" w:rsidRPr="0019094D" w:rsidRDefault="007A30F9" w:rsidP="00D43073">
            <w:pPr>
              <w:spacing w:after="0" w:line="240" w:lineRule="auto"/>
              <w:rPr>
                <w:rFonts w:asciiTheme="minorHAnsi" w:hAnsiTheme="minorHAnsi"/>
                <w:bCs/>
                <w:sz w:val="20"/>
                <w:szCs w:val="20"/>
              </w:rPr>
            </w:pPr>
            <w:r w:rsidRPr="0019094D">
              <w:rPr>
                <w:rFonts w:asciiTheme="minorHAnsi" w:hAnsiTheme="minorHAnsi"/>
                <w:bCs/>
                <w:sz w:val="20"/>
                <w:szCs w:val="20"/>
              </w:rPr>
              <w:t>-</w:t>
            </w:r>
            <w:r w:rsidR="00D43073" w:rsidRPr="0019094D">
              <w:rPr>
                <w:rFonts w:asciiTheme="minorHAnsi" w:hAnsiTheme="minorHAnsi"/>
                <w:bCs/>
                <w:sz w:val="20"/>
                <w:szCs w:val="20"/>
              </w:rPr>
              <w:t>Copy of current certificate and scope of accreditation by CAB.</w:t>
            </w:r>
          </w:p>
          <w:p w14:paraId="6FA1C4AF" w14:textId="307F4926" w:rsidR="00D43073" w:rsidRPr="0019094D" w:rsidRDefault="007A30F9" w:rsidP="00D43073">
            <w:pPr>
              <w:spacing w:after="0" w:line="240" w:lineRule="auto"/>
              <w:rPr>
                <w:rFonts w:asciiTheme="minorHAnsi" w:hAnsiTheme="minorHAnsi"/>
                <w:bCs/>
                <w:sz w:val="20"/>
                <w:szCs w:val="20"/>
              </w:rPr>
            </w:pPr>
            <w:r w:rsidRPr="0019094D">
              <w:rPr>
                <w:rFonts w:asciiTheme="minorHAnsi" w:hAnsiTheme="minorHAnsi"/>
                <w:bCs/>
                <w:sz w:val="20"/>
                <w:szCs w:val="20"/>
              </w:rPr>
              <w:t>-</w:t>
            </w:r>
            <w:r w:rsidR="00540942" w:rsidRPr="0019094D">
              <w:t xml:space="preserve"> </w:t>
            </w:r>
            <w:r w:rsidR="00540942" w:rsidRPr="0019094D">
              <w:rPr>
                <w:rFonts w:asciiTheme="minorHAnsi" w:hAnsiTheme="minorHAnsi"/>
                <w:bCs/>
                <w:sz w:val="20"/>
                <w:szCs w:val="20"/>
              </w:rPr>
              <w:t>CAB is accredited by a signatory of an international peer evaluation organization</w:t>
            </w:r>
            <w:r w:rsidR="0019094D">
              <w:rPr>
                <w:rFonts w:asciiTheme="minorHAnsi" w:hAnsiTheme="minorHAnsi"/>
                <w:bCs/>
                <w:sz w:val="20"/>
                <w:szCs w:val="20"/>
              </w:rPr>
              <w:t>.</w:t>
            </w:r>
            <w:r w:rsidR="00D43073" w:rsidRPr="0019094D">
              <w:rPr>
                <w:rStyle w:val="FootnoteReference"/>
                <w:rFonts w:asciiTheme="minorHAnsi" w:hAnsiTheme="minorHAnsi"/>
                <w:bCs/>
                <w:sz w:val="20"/>
                <w:szCs w:val="20"/>
              </w:rPr>
              <w:footnoteReference w:id="25"/>
            </w:r>
            <w:r w:rsidR="00D43073" w:rsidRPr="0019094D">
              <w:rPr>
                <w:rFonts w:asciiTheme="minorHAnsi" w:hAnsiTheme="minorHAnsi"/>
                <w:bCs/>
                <w:sz w:val="20"/>
                <w:szCs w:val="20"/>
              </w:rPr>
              <w:t xml:space="preserve">   </w:t>
            </w:r>
          </w:p>
          <w:p w14:paraId="597D3F41" w14:textId="3E51F7F0" w:rsidR="00D43073" w:rsidRPr="0019094D" w:rsidRDefault="007A30F9" w:rsidP="007A30F9">
            <w:pPr>
              <w:spacing w:after="0" w:line="240" w:lineRule="auto"/>
              <w:rPr>
                <w:rFonts w:asciiTheme="minorHAnsi" w:hAnsiTheme="minorHAnsi"/>
                <w:bCs/>
                <w:sz w:val="20"/>
                <w:szCs w:val="20"/>
              </w:rPr>
            </w:pPr>
            <w:r w:rsidRPr="0019094D">
              <w:rPr>
                <w:rFonts w:asciiTheme="minorHAnsi" w:hAnsiTheme="minorHAnsi"/>
                <w:bCs/>
                <w:sz w:val="20"/>
                <w:szCs w:val="20"/>
              </w:rPr>
              <w:t>-</w:t>
            </w:r>
            <w:r w:rsidR="00D43073" w:rsidRPr="0019094D">
              <w:rPr>
                <w:rFonts w:asciiTheme="minorHAnsi" w:hAnsiTheme="minorHAnsi"/>
                <w:bCs/>
                <w:sz w:val="20"/>
                <w:szCs w:val="20"/>
              </w:rPr>
              <w:t>The accreditation body has been evaluated in conformance to ISO/IEC 17011.</w:t>
            </w:r>
          </w:p>
        </w:tc>
      </w:tr>
      <w:tr w:rsidR="00D43073" w:rsidRPr="005613A7" w14:paraId="22C83FCB" w14:textId="77777777" w:rsidTr="005B03D0">
        <w:trPr>
          <w:trHeight w:val="70"/>
        </w:trPr>
        <w:tc>
          <w:tcPr>
            <w:tcW w:w="607" w:type="dxa"/>
            <w:vAlign w:val="center"/>
          </w:tcPr>
          <w:p w14:paraId="33742903"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78754054" w14:textId="3A18687D"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sidRPr="005613A7">
              <w:rPr>
                <w:rFonts w:asciiTheme="minorHAnsi" w:hAnsiTheme="minorHAnsi"/>
                <w:sz w:val="20"/>
                <w:szCs w:val="20"/>
              </w:rPr>
              <w:t>.1</w:t>
            </w:r>
          </w:p>
        </w:tc>
        <w:tc>
          <w:tcPr>
            <w:tcW w:w="540" w:type="dxa"/>
            <w:vAlign w:val="center"/>
          </w:tcPr>
          <w:p w14:paraId="4531CCC1"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36B6750C" w14:textId="77777777" w:rsidR="00D43073" w:rsidRPr="005613A7" w:rsidRDefault="00D43073" w:rsidP="00D43073">
            <w:pPr>
              <w:spacing w:after="0" w:line="240" w:lineRule="auto"/>
              <w:rPr>
                <w:rFonts w:asciiTheme="minorHAnsi" w:hAnsiTheme="minorHAnsi"/>
                <w:b/>
                <w:color w:val="000000"/>
                <w:sz w:val="20"/>
                <w:szCs w:val="20"/>
              </w:rPr>
            </w:pPr>
            <w:r w:rsidRPr="005613A7">
              <w:rPr>
                <w:rFonts w:asciiTheme="minorHAnsi" w:hAnsiTheme="minorHAnsi"/>
                <w:b/>
                <w:color w:val="000000"/>
                <w:sz w:val="20"/>
                <w:szCs w:val="20"/>
              </w:rPr>
              <w:t xml:space="preserve">Objective &amp; Impartial Structure. </w:t>
            </w:r>
          </w:p>
          <w:p w14:paraId="118DD71D" w14:textId="77777777" w:rsidR="00D43073" w:rsidRPr="005613A7" w:rsidRDefault="00D43073" w:rsidP="00D43073">
            <w:pPr>
              <w:spacing w:after="0" w:line="240" w:lineRule="auto"/>
              <w:rPr>
                <w:rFonts w:asciiTheme="minorHAnsi" w:hAnsiTheme="minorHAnsi"/>
                <w:b/>
                <w:color w:val="000000"/>
                <w:sz w:val="20"/>
                <w:szCs w:val="20"/>
              </w:rPr>
            </w:pPr>
          </w:p>
          <w:p w14:paraId="2288D3DE" w14:textId="41D00E49" w:rsidR="00D43073" w:rsidRPr="005613A7" w:rsidRDefault="00D43073" w:rsidP="00D43073">
            <w:pPr>
              <w:spacing w:after="0" w:line="240" w:lineRule="auto"/>
              <w:rPr>
                <w:rFonts w:asciiTheme="minorHAnsi" w:hAnsiTheme="minorHAnsi"/>
                <w:b/>
                <w:color w:val="000000"/>
                <w:sz w:val="20"/>
                <w:szCs w:val="20"/>
              </w:rPr>
            </w:pPr>
            <w:r w:rsidRPr="005613A7">
              <w:rPr>
                <w:rFonts w:asciiTheme="minorHAnsi" w:hAnsiTheme="minorHAnsi"/>
                <w:bCs/>
                <w:sz w:val="20"/>
                <w:szCs w:val="20"/>
              </w:rPr>
              <w:t xml:space="preserve">Organizational chart and management system of the CAB reflect </w:t>
            </w:r>
            <w:r w:rsidR="00C14DFA">
              <w:rPr>
                <w:rFonts w:asciiTheme="minorHAnsi" w:hAnsiTheme="minorHAnsi"/>
                <w:bCs/>
                <w:sz w:val="20"/>
                <w:szCs w:val="20"/>
              </w:rPr>
              <w:t>impartiality</w:t>
            </w:r>
            <w:r w:rsidR="00C14DFA" w:rsidRPr="005613A7">
              <w:rPr>
                <w:rFonts w:asciiTheme="minorHAnsi" w:hAnsiTheme="minorHAnsi"/>
                <w:bCs/>
                <w:sz w:val="20"/>
                <w:szCs w:val="20"/>
              </w:rPr>
              <w:t xml:space="preserve"> </w:t>
            </w:r>
            <w:r w:rsidRPr="005613A7">
              <w:rPr>
                <w:rFonts w:asciiTheme="minorHAnsi" w:hAnsiTheme="minorHAnsi"/>
                <w:bCs/>
                <w:sz w:val="20"/>
                <w:szCs w:val="20"/>
              </w:rPr>
              <w:t xml:space="preserve">of decision making on </w:t>
            </w:r>
            <w:r w:rsidR="00FC450D">
              <w:rPr>
                <w:rFonts w:asciiTheme="minorHAnsi" w:hAnsiTheme="minorHAnsi"/>
                <w:bCs/>
                <w:sz w:val="20"/>
                <w:szCs w:val="20"/>
              </w:rPr>
              <w:t>conformity assessment</w:t>
            </w:r>
            <w:r w:rsidRPr="005613A7">
              <w:rPr>
                <w:rFonts w:asciiTheme="minorHAnsi" w:hAnsiTheme="minorHAnsi"/>
                <w:bCs/>
                <w:sz w:val="20"/>
                <w:szCs w:val="20"/>
              </w:rPr>
              <w:t>.</w:t>
            </w:r>
          </w:p>
          <w:p w14:paraId="49AA7617" w14:textId="77777777" w:rsidR="00D43073" w:rsidRPr="005613A7" w:rsidRDefault="00D43073" w:rsidP="00D43073">
            <w:pPr>
              <w:pStyle w:val="PlainText"/>
              <w:rPr>
                <w:rFonts w:asciiTheme="minorHAnsi" w:hAnsiTheme="minorHAnsi"/>
                <w:bCs/>
                <w:sz w:val="20"/>
                <w:szCs w:val="20"/>
              </w:rPr>
            </w:pPr>
          </w:p>
          <w:p w14:paraId="7634B79F" w14:textId="06460467" w:rsidR="00D43073" w:rsidRPr="005613A7" w:rsidRDefault="00D43073" w:rsidP="00C55836">
            <w:pPr>
              <w:spacing w:after="0" w:line="240" w:lineRule="auto"/>
              <w:rPr>
                <w:rFonts w:asciiTheme="minorHAnsi" w:hAnsiTheme="minorHAnsi"/>
                <w:bCs/>
                <w:sz w:val="20"/>
                <w:szCs w:val="20"/>
              </w:rPr>
            </w:pPr>
            <w:r w:rsidRPr="005613A7">
              <w:rPr>
                <w:rFonts w:asciiTheme="minorHAnsi" w:hAnsiTheme="minorHAnsi"/>
                <w:bCs/>
                <w:sz w:val="20"/>
                <w:szCs w:val="20"/>
              </w:rPr>
              <w:t>Reflects ISO/IEC 17065 - 5.1.1</w:t>
            </w:r>
          </w:p>
        </w:tc>
        <w:tc>
          <w:tcPr>
            <w:tcW w:w="4680" w:type="dxa"/>
            <w:vAlign w:val="center"/>
          </w:tcPr>
          <w:p w14:paraId="5F755601" w14:textId="69A18EF2"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on management system.</w:t>
            </w:r>
          </w:p>
          <w:p w14:paraId="1F62A967" w14:textId="72FFCB1A"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procedures showing independence.</w:t>
            </w:r>
          </w:p>
        </w:tc>
      </w:tr>
      <w:tr w:rsidR="00D43073" w:rsidRPr="005613A7" w14:paraId="2BEA7B19" w14:textId="77777777" w:rsidTr="005B03D0">
        <w:trPr>
          <w:trHeight w:val="971"/>
        </w:trPr>
        <w:tc>
          <w:tcPr>
            <w:tcW w:w="607" w:type="dxa"/>
            <w:vAlign w:val="center"/>
          </w:tcPr>
          <w:p w14:paraId="48B6C204"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0B7CE3B0" w14:textId="5E93DDF3"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sidRPr="005613A7">
              <w:rPr>
                <w:rFonts w:asciiTheme="minorHAnsi" w:hAnsiTheme="minorHAnsi"/>
                <w:sz w:val="20"/>
                <w:szCs w:val="20"/>
              </w:rPr>
              <w:t>.2</w:t>
            </w:r>
          </w:p>
        </w:tc>
        <w:tc>
          <w:tcPr>
            <w:tcW w:w="540" w:type="dxa"/>
            <w:vAlign w:val="center"/>
          </w:tcPr>
          <w:p w14:paraId="513785EB"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A195DF0"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Formal decision-making procedures and thresholds are documented demonstrating rules for when conformance or nonconformance is determined by the CAB.</w:t>
            </w:r>
          </w:p>
        </w:tc>
        <w:tc>
          <w:tcPr>
            <w:tcW w:w="4680" w:type="dxa"/>
            <w:vAlign w:val="center"/>
          </w:tcPr>
          <w:p w14:paraId="1A35AAAA" w14:textId="5A1FA7A5"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Procedures showing thresholds for determining conformance.</w:t>
            </w:r>
          </w:p>
        </w:tc>
      </w:tr>
      <w:tr w:rsidR="00D43073" w:rsidRPr="005613A7" w14:paraId="69489B41" w14:textId="77777777" w:rsidTr="005B03D0">
        <w:trPr>
          <w:trHeight w:val="917"/>
        </w:trPr>
        <w:tc>
          <w:tcPr>
            <w:tcW w:w="607" w:type="dxa"/>
            <w:vAlign w:val="center"/>
          </w:tcPr>
          <w:p w14:paraId="40C805FD"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02D87643" w14:textId="1B30EAFF"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.3</w:t>
            </w:r>
          </w:p>
        </w:tc>
        <w:tc>
          <w:tcPr>
            <w:tcW w:w="540" w:type="dxa"/>
            <w:vAlign w:val="center"/>
          </w:tcPr>
          <w:p w14:paraId="453D90F3"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07E30D6A" w14:textId="2C86494A" w:rsidR="00D43073" w:rsidRPr="005613A7" w:rsidRDefault="00D43073" w:rsidP="00D43073">
            <w:pPr>
              <w:spacing w:after="0" w:line="240" w:lineRule="auto"/>
              <w:rPr>
                <w:rFonts w:asciiTheme="minorHAnsi" w:hAnsiTheme="minorHAnsi"/>
                <w:b/>
                <w:color w:val="000000"/>
                <w:sz w:val="20"/>
                <w:szCs w:val="20"/>
              </w:rPr>
            </w:pPr>
            <w:r w:rsidRPr="005613A7">
              <w:rPr>
                <w:rFonts w:asciiTheme="minorHAnsi" w:hAnsiTheme="minorHAnsi"/>
                <w:b/>
                <w:color w:val="000000"/>
                <w:sz w:val="20"/>
                <w:szCs w:val="20"/>
              </w:rPr>
              <w:t>Free from Undue Pressures.</w:t>
            </w:r>
          </w:p>
          <w:p w14:paraId="09823E64" w14:textId="77777777" w:rsidR="00D43073" w:rsidRPr="005613A7" w:rsidRDefault="00D43073" w:rsidP="00D43073">
            <w:pPr>
              <w:spacing w:after="0" w:line="240" w:lineRule="auto"/>
              <w:rPr>
                <w:rFonts w:asciiTheme="minorHAnsi" w:hAnsiTheme="minorHAnsi"/>
                <w:b/>
                <w:color w:val="000000"/>
                <w:sz w:val="20"/>
                <w:szCs w:val="20"/>
              </w:rPr>
            </w:pPr>
          </w:p>
          <w:p w14:paraId="76D67C20"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does not allow commercial, financial or other pressures to compromise impartiality, including ensuring that personnel (management and staff) are free from such pressures.</w:t>
            </w:r>
          </w:p>
          <w:p w14:paraId="1D64DBA7" w14:textId="77777777" w:rsidR="00D43073" w:rsidRPr="005613A7" w:rsidRDefault="00D43073" w:rsidP="00D43073">
            <w:pPr>
              <w:pStyle w:val="PlainText"/>
              <w:rPr>
                <w:rFonts w:asciiTheme="minorHAnsi" w:hAnsiTheme="minorHAnsi"/>
                <w:bCs/>
                <w:sz w:val="20"/>
                <w:szCs w:val="20"/>
              </w:rPr>
            </w:pPr>
          </w:p>
          <w:p w14:paraId="65EEA55A" w14:textId="414B4B3E"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 17065/IEC - 4.2.2</w:t>
            </w:r>
          </w:p>
        </w:tc>
        <w:tc>
          <w:tcPr>
            <w:tcW w:w="4680" w:type="dxa"/>
            <w:vAlign w:val="center"/>
          </w:tcPr>
          <w:p w14:paraId="0F4A4DD5" w14:textId="0B6F40E2"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demonstrating that staff and management remain impartial in their CA work and are not subject to undue pressure.</w:t>
            </w:r>
          </w:p>
        </w:tc>
      </w:tr>
      <w:tr w:rsidR="00D43073" w:rsidRPr="005613A7" w14:paraId="600373CD" w14:textId="77777777" w:rsidTr="005B03D0">
        <w:trPr>
          <w:trHeight w:val="971"/>
        </w:trPr>
        <w:tc>
          <w:tcPr>
            <w:tcW w:w="607" w:type="dxa"/>
            <w:vAlign w:val="center"/>
          </w:tcPr>
          <w:p w14:paraId="411E72BD"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39277F8B" w14:textId="186FFAF5"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.4</w:t>
            </w:r>
          </w:p>
        </w:tc>
        <w:tc>
          <w:tcPr>
            <w:tcW w:w="540" w:type="dxa"/>
            <w:vAlign w:val="center"/>
          </w:tcPr>
          <w:p w14:paraId="3B54BEFA" w14:textId="65C0E84D" w:rsidR="00D43073" w:rsidRPr="005613A7" w:rsidRDefault="002F1B1F" w:rsidP="00D43073">
            <w:pPr>
              <w:spacing w:after="0" w:line="240" w:lineRule="auto"/>
              <w:rPr>
                <w:rFonts w:asciiTheme="minorHAnsi" w:hAnsiTheme="minorHAnsi"/>
                <w:bCs/>
                <w:sz w:val="20"/>
                <w:szCs w:val="20"/>
              </w:rPr>
            </w:pPr>
            <w:r>
              <w:rPr>
                <w:rFonts w:asciiTheme="minorHAnsi" w:hAnsiTheme="minorHAnsi"/>
                <w:bCs/>
                <w:sz w:val="20"/>
                <w:szCs w:val="20"/>
              </w:rPr>
              <w:t>B</w:t>
            </w:r>
          </w:p>
        </w:tc>
        <w:tc>
          <w:tcPr>
            <w:tcW w:w="5130" w:type="dxa"/>
            <w:vAlign w:val="center"/>
          </w:tcPr>
          <w:p w14:paraId="21F082BE" w14:textId="349CAD63"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has a procedure or policy to ensure that the personnel conducting </w:t>
            </w:r>
            <w:r w:rsidR="00347A2C">
              <w:rPr>
                <w:rFonts w:asciiTheme="minorHAnsi" w:hAnsiTheme="minorHAnsi"/>
                <w:bCs/>
                <w:sz w:val="20"/>
                <w:szCs w:val="20"/>
              </w:rPr>
              <w:t>conformity assessment</w:t>
            </w:r>
            <w:r w:rsidR="00347A2C" w:rsidRPr="005613A7">
              <w:rPr>
                <w:rFonts w:asciiTheme="minorHAnsi" w:hAnsiTheme="minorHAnsi"/>
                <w:bCs/>
                <w:sz w:val="20"/>
                <w:szCs w:val="20"/>
              </w:rPr>
              <w:t xml:space="preserve"> </w:t>
            </w:r>
            <w:r w:rsidRPr="005613A7">
              <w:rPr>
                <w:rFonts w:asciiTheme="minorHAnsi" w:hAnsiTheme="minorHAnsi"/>
                <w:bCs/>
                <w:sz w:val="20"/>
                <w:szCs w:val="20"/>
              </w:rPr>
              <w:t xml:space="preserve">have </w:t>
            </w:r>
            <w:r w:rsidR="001F7FE7">
              <w:rPr>
                <w:rFonts w:asciiTheme="minorHAnsi" w:hAnsiTheme="minorHAnsi"/>
                <w:bCs/>
                <w:sz w:val="20"/>
                <w:szCs w:val="20"/>
              </w:rPr>
              <w:t xml:space="preserve">not had </w:t>
            </w:r>
            <w:r w:rsidRPr="005613A7">
              <w:rPr>
                <w:rFonts w:asciiTheme="minorHAnsi" w:hAnsiTheme="minorHAnsi"/>
                <w:bCs/>
                <w:sz w:val="20"/>
                <w:szCs w:val="20"/>
              </w:rPr>
              <w:t>a professional relationship</w:t>
            </w:r>
            <w:r w:rsidR="001F7FE7">
              <w:rPr>
                <w:rFonts w:asciiTheme="minorHAnsi" w:hAnsiTheme="minorHAnsi"/>
                <w:bCs/>
                <w:sz w:val="20"/>
                <w:szCs w:val="20"/>
              </w:rPr>
              <w:t xml:space="preserve"> in the past two years nor on-going financial connection</w:t>
            </w:r>
            <w:r w:rsidRPr="005613A7">
              <w:rPr>
                <w:rFonts w:asciiTheme="minorHAnsi" w:hAnsiTheme="minorHAnsi"/>
                <w:bCs/>
                <w:sz w:val="20"/>
                <w:szCs w:val="20"/>
              </w:rPr>
              <w:t xml:space="preserve"> with the organization to which they are providing their services.</w:t>
            </w:r>
          </w:p>
          <w:p w14:paraId="22D465D4" w14:textId="77777777" w:rsidR="00D43073" w:rsidRPr="005613A7" w:rsidRDefault="00D43073" w:rsidP="00D43073">
            <w:pPr>
              <w:pStyle w:val="PlainText"/>
              <w:rPr>
                <w:rFonts w:asciiTheme="minorHAnsi" w:hAnsiTheme="minorHAnsi"/>
                <w:bCs/>
                <w:sz w:val="20"/>
                <w:szCs w:val="20"/>
              </w:rPr>
            </w:pPr>
          </w:p>
          <w:p w14:paraId="3D2F6199" w14:textId="174BCE5C"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4.2 AND 5.2</w:t>
            </w:r>
          </w:p>
        </w:tc>
        <w:tc>
          <w:tcPr>
            <w:tcW w:w="4680" w:type="dxa"/>
            <w:vAlign w:val="center"/>
          </w:tcPr>
          <w:p w14:paraId="5DC0102F" w14:textId="4618CCB5"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for managing conflicts of interest of staff.</w:t>
            </w:r>
          </w:p>
          <w:p w14:paraId="3E9EB281" w14:textId="73967B2E"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that cover past and present relationships specific to the CA being undertaken.</w:t>
            </w:r>
          </w:p>
        </w:tc>
      </w:tr>
      <w:tr w:rsidR="00D43073" w:rsidRPr="005613A7" w14:paraId="2EB0D7C8" w14:textId="77777777" w:rsidTr="005B03D0">
        <w:trPr>
          <w:trHeight w:val="971"/>
        </w:trPr>
        <w:tc>
          <w:tcPr>
            <w:tcW w:w="607" w:type="dxa"/>
            <w:vAlign w:val="center"/>
          </w:tcPr>
          <w:p w14:paraId="6B1C6C7A"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lastRenderedPageBreak/>
              <w:t>III.</w:t>
            </w:r>
          </w:p>
          <w:p w14:paraId="56AAEB57" w14:textId="36FDC1CF"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.5</w:t>
            </w:r>
          </w:p>
        </w:tc>
        <w:tc>
          <w:tcPr>
            <w:tcW w:w="540" w:type="dxa"/>
            <w:vAlign w:val="center"/>
          </w:tcPr>
          <w:p w14:paraId="76135A58"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04AD15ED" w14:textId="7F2ED845" w:rsidR="00D43073" w:rsidRPr="005613A7" w:rsidRDefault="00D43073" w:rsidP="00D43073">
            <w:pPr>
              <w:spacing w:after="0" w:line="240" w:lineRule="auto"/>
              <w:rPr>
                <w:rFonts w:asciiTheme="minorHAnsi" w:hAnsiTheme="minorHAnsi"/>
                <w:b/>
                <w:color w:val="000000"/>
                <w:sz w:val="20"/>
                <w:szCs w:val="20"/>
              </w:rPr>
            </w:pPr>
            <w:r w:rsidRPr="005613A7">
              <w:rPr>
                <w:rFonts w:asciiTheme="minorHAnsi" w:hAnsiTheme="minorHAnsi"/>
                <w:b/>
                <w:color w:val="000000"/>
                <w:sz w:val="20"/>
                <w:szCs w:val="20"/>
              </w:rPr>
              <w:t>Documented Procedures.</w:t>
            </w:r>
          </w:p>
          <w:p w14:paraId="73E0731D" w14:textId="77777777" w:rsidR="00D43073" w:rsidRPr="005613A7" w:rsidRDefault="00D43073" w:rsidP="00D43073">
            <w:pPr>
              <w:pStyle w:val="PlainText"/>
              <w:rPr>
                <w:rFonts w:asciiTheme="minorHAnsi" w:hAnsiTheme="minorHAnsi"/>
                <w:bCs/>
                <w:sz w:val="20"/>
                <w:szCs w:val="20"/>
              </w:rPr>
            </w:pPr>
          </w:p>
          <w:p w14:paraId="129E495C" w14:textId="77777777" w:rsidR="00D43073" w:rsidRPr="005613A7" w:rsidRDefault="00D43073" w:rsidP="00D43073">
            <w:pPr>
              <w:pStyle w:val="PlainText"/>
              <w:rPr>
                <w:rFonts w:asciiTheme="minorHAnsi" w:hAnsiTheme="minorHAnsi"/>
                <w:color w:val="000000"/>
                <w:sz w:val="20"/>
                <w:szCs w:val="20"/>
              </w:rPr>
            </w:pPr>
            <w:r w:rsidRPr="005613A7">
              <w:rPr>
                <w:rFonts w:asciiTheme="minorHAnsi" w:hAnsiTheme="minorHAnsi"/>
                <w:bCs/>
                <w:sz w:val="20"/>
                <w:szCs w:val="20"/>
              </w:rPr>
              <w:t xml:space="preserve">Procedures are documented for CAB processes. For example, procedures may be documented through a quality management system that provides </w:t>
            </w:r>
            <w:r w:rsidRPr="005613A7">
              <w:rPr>
                <w:rFonts w:asciiTheme="minorHAnsi" w:hAnsiTheme="minorHAnsi"/>
                <w:color w:val="000000"/>
                <w:sz w:val="20"/>
                <w:szCs w:val="20"/>
              </w:rPr>
              <w:t>general management system documentation (e.g. manual, policies, and definition of responsibilities); control of documents; control of records; management review; internal audit; corrective actions; preventive actions.</w:t>
            </w:r>
          </w:p>
          <w:p w14:paraId="5D710199" w14:textId="77777777" w:rsidR="00D43073" w:rsidRPr="005613A7" w:rsidRDefault="00D43073" w:rsidP="00D43073">
            <w:pPr>
              <w:pStyle w:val="PlainText"/>
              <w:rPr>
                <w:rFonts w:asciiTheme="minorHAnsi" w:hAnsiTheme="minorHAnsi"/>
                <w:color w:val="000000"/>
                <w:sz w:val="20"/>
                <w:szCs w:val="20"/>
              </w:rPr>
            </w:pPr>
          </w:p>
          <w:p w14:paraId="5F7DD7D4" w14:textId="535726BE"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17065 - 8.1</w:t>
            </w:r>
          </w:p>
        </w:tc>
        <w:tc>
          <w:tcPr>
            <w:tcW w:w="4680" w:type="dxa"/>
            <w:vAlign w:val="center"/>
          </w:tcPr>
          <w:p w14:paraId="79CDD593" w14:textId="6F00964F"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List of documented relevant policies and procedures.</w:t>
            </w:r>
          </w:p>
          <w:p w14:paraId="2DBC345F" w14:textId="20E28E0D"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quality   management system, including a copy of the internal audit and management review, log of complaints and comments, and corrective actions taken.</w:t>
            </w:r>
          </w:p>
          <w:p w14:paraId="1C676E06" w14:textId="233DDCA4"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Other relevant documentation of procedures for conducting CA.</w:t>
            </w:r>
          </w:p>
        </w:tc>
      </w:tr>
      <w:tr w:rsidR="00D43073" w:rsidRPr="005613A7" w14:paraId="48431500" w14:textId="77777777" w:rsidTr="005B03D0">
        <w:trPr>
          <w:trHeight w:val="260"/>
        </w:trPr>
        <w:tc>
          <w:tcPr>
            <w:tcW w:w="607" w:type="dxa"/>
            <w:vAlign w:val="center"/>
          </w:tcPr>
          <w:p w14:paraId="2E3D3D19"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4542A483" w14:textId="7EC994B6"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.6</w:t>
            </w:r>
          </w:p>
        </w:tc>
        <w:tc>
          <w:tcPr>
            <w:tcW w:w="540" w:type="dxa"/>
            <w:vAlign w:val="center"/>
          </w:tcPr>
          <w:p w14:paraId="28AE0AEF"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347CD67" w14:textId="349FBA05"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Take All Necessary Steps to Evaluate Conformance.</w:t>
            </w:r>
          </w:p>
          <w:p w14:paraId="37E64865"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demonstrates that it takes all steps necessary to determine conformance with the standard, following the principles of ISO 17000: 2004</w:t>
            </w:r>
            <w:r w:rsidRPr="005613A7">
              <w:rPr>
                <w:rStyle w:val="FootnoteReference"/>
                <w:rFonts w:asciiTheme="minorHAnsi" w:hAnsiTheme="minorHAnsi" w:cs="Consolas"/>
                <w:bCs/>
                <w:sz w:val="20"/>
                <w:szCs w:val="20"/>
              </w:rPr>
              <w:footnoteReference w:id="26"/>
            </w:r>
            <w:r w:rsidRPr="005613A7">
              <w:rPr>
                <w:rFonts w:asciiTheme="minorHAnsi" w:hAnsiTheme="minorHAnsi"/>
                <w:bCs/>
                <w:sz w:val="20"/>
                <w:szCs w:val="20"/>
              </w:rPr>
              <w:t xml:space="preserve">.   </w:t>
            </w:r>
          </w:p>
          <w:p w14:paraId="18740ECE" w14:textId="77777777" w:rsidR="00D43073" w:rsidRPr="005613A7" w:rsidRDefault="00D43073" w:rsidP="00D43073">
            <w:pPr>
              <w:pStyle w:val="PlainText"/>
              <w:rPr>
                <w:rFonts w:asciiTheme="minorHAnsi" w:hAnsiTheme="minorHAnsi"/>
                <w:bCs/>
                <w:sz w:val="20"/>
                <w:szCs w:val="20"/>
              </w:rPr>
            </w:pPr>
          </w:p>
          <w:p w14:paraId="3768AC95" w14:textId="6B1A934E"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7.4.1; 7.1.2; 7.2, 7.3, 7.4, 7.5, 7.6</w:t>
            </w:r>
          </w:p>
          <w:p w14:paraId="45B1AF5D" w14:textId="77777777" w:rsidR="00D43073" w:rsidRPr="005613A7" w:rsidRDefault="00D43073" w:rsidP="00D43073">
            <w:pPr>
              <w:pStyle w:val="PlainText"/>
              <w:rPr>
                <w:rFonts w:asciiTheme="minorHAnsi" w:hAnsiTheme="minorHAnsi"/>
                <w:bCs/>
                <w:sz w:val="20"/>
                <w:szCs w:val="20"/>
              </w:rPr>
            </w:pPr>
          </w:p>
        </w:tc>
        <w:tc>
          <w:tcPr>
            <w:tcW w:w="4680" w:type="dxa"/>
            <w:vAlign w:val="center"/>
          </w:tcPr>
          <w:p w14:paraId="64A4E0B8" w14:textId="17464138"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used to evaluate the product/process.</w:t>
            </w:r>
          </w:p>
          <w:p w14:paraId="244DDC0C" w14:textId="7D40B950"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Copy of an application to demonstrate all required information is contained.</w:t>
            </w:r>
          </w:p>
          <w:p w14:paraId="36FB40DD" w14:textId="4E506159"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 describing application review process.</w:t>
            </w:r>
          </w:p>
          <w:p w14:paraId="355F4937" w14:textId="0867BA11"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Record that demonstrates that certification decisions were adequately justified.</w:t>
            </w:r>
          </w:p>
        </w:tc>
      </w:tr>
      <w:tr w:rsidR="00D43073" w:rsidRPr="005613A7" w14:paraId="05271DFE" w14:textId="77777777" w:rsidTr="005B03D0">
        <w:trPr>
          <w:trHeight w:val="971"/>
        </w:trPr>
        <w:tc>
          <w:tcPr>
            <w:tcW w:w="607" w:type="dxa"/>
            <w:vAlign w:val="center"/>
          </w:tcPr>
          <w:p w14:paraId="248F72FD"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166AEB96" w14:textId="3A634318"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.7</w:t>
            </w:r>
          </w:p>
        </w:tc>
        <w:tc>
          <w:tcPr>
            <w:tcW w:w="540" w:type="dxa"/>
            <w:vAlign w:val="center"/>
          </w:tcPr>
          <w:p w14:paraId="1EDCA1E0" w14:textId="79B47984" w:rsidR="00D43073" w:rsidRPr="005613A7" w:rsidRDefault="002F1B1F" w:rsidP="00D43073">
            <w:pPr>
              <w:spacing w:after="0" w:line="240" w:lineRule="auto"/>
              <w:rPr>
                <w:rFonts w:asciiTheme="minorHAnsi" w:hAnsiTheme="minorHAnsi"/>
                <w:bCs/>
                <w:sz w:val="20"/>
                <w:szCs w:val="20"/>
              </w:rPr>
            </w:pPr>
            <w:r>
              <w:rPr>
                <w:rFonts w:asciiTheme="minorHAnsi" w:hAnsiTheme="minorHAnsi"/>
                <w:bCs/>
                <w:sz w:val="20"/>
                <w:szCs w:val="20"/>
              </w:rPr>
              <w:t>B</w:t>
            </w:r>
          </w:p>
        </w:tc>
        <w:tc>
          <w:tcPr>
            <w:tcW w:w="5130" w:type="dxa"/>
            <w:vAlign w:val="center"/>
          </w:tcPr>
          <w:p w14:paraId="351C1D2B" w14:textId="1297D80F"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Role separation.</w:t>
            </w:r>
          </w:p>
          <w:p w14:paraId="741DC504" w14:textId="77777777" w:rsidR="00D43073" w:rsidRPr="005613A7" w:rsidRDefault="00D43073" w:rsidP="00D43073">
            <w:pPr>
              <w:pStyle w:val="PlainText"/>
              <w:rPr>
                <w:rFonts w:asciiTheme="minorHAnsi" w:hAnsiTheme="minorHAnsi"/>
                <w:bCs/>
                <w:sz w:val="20"/>
                <w:szCs w:val="20"/>
              </w:rPr>
            </w:pPr>
          </w:p>
          <w:p w14:paraId="4BFC6721" w14:textId="77777777" w:rsidR="003A0CDD" w:rsidRDefault="003A0CDD" w:rsidP="003A0CDD">
            <w:pPr>
              <w:pStyle w:val="CommentText"/>
            </w:pPr>
            <w:r>
              <w:t>The CAB demonstrates that the process for making conformity decisions includes an independent review that the product has met the specified requirements.</w:t>
            </w:r>
          </w:p>
          <w:p w14:paraId="541FC5BE" w14:textId="77777777" w:rsidR="00D43073" w:rsidRPr="005613A7" w:rsidRDefault="00D43073" w:rsidP="00D43073">
            <w:pPr>
              <w:pStyle w:val="PlainText"/>
              <w:rPr>
                <w:rFonts w:asciiTheme="minorHAnsi" w:hAnsiTheme="minorHAnsi"/>
                <w:bCs/>
                <w:sz w:val="20"/>
                <w:szCs w:val="20"/>
              </w:rPr>
            </w:pPr>
          </w:p>
          <w:p w14:paraId="113AD3B0" w14:textId="18B0DC19"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7.6</w:t>
            </w:r>
          </w:p>
        </w:tc>
        <w:tc>
          <w:tcPr>
            <w:tcW w:w="4680" w:type="dxa"/>
            <w:vAlign w:val="center"/>
          </w:tcPr>
          <w:p w14:paraId="18D7BB17" w14:textId="0E59E24A"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Policy/Procedure describing the evaluation process and who makes the CA review and decision.  </w:t>
            </w:r>
          </w:p>
          <w:p w14:paraId="2365E51E" w14:textId="39CB47B9"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Procedure for quality management system.</w:t>
            </w:r>
          </w:p>
          <w:p w14:paraId="625BB78E" w14:textId="6ADD6CF4"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documenting staffing roles for the CA process.</w:t>
            </w:r>
          </w:p>
        </w:tc>
      </w:tr>
      <w:tr w:rsidR="00D43073" w:rsidRPr="005613A7" w14:paraId="60B671FD" w14:textId="77777777" w:rsidTr="005B03D0">
        <w:trPr>
          <w:trHeight w:val="971"/>
        </w:trPr>
        <w:tc>
          <w:tcPr>
            <w:tcW w:w="607" w:type="dxa"/>
            <w:vAlign w:val="center"/>
          </w:tcPr>
          <w:p w14:paraId="02CFCCC9"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13244503" w14:textId="7FDB5431"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.8</w:t>
            </w:r>
          </w:p>
        </w:tc>
        <w:tc>
          <w:tcPr>
            <w:tcW w:w="540" w:type="dxa"/>
            <w:vAlign w:val="center"/>
          </w:tcPr>
          <w:p w14:paraId="71784E7E"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06235647" w14:textId="14B19BA4"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Certification Conditions Specified.</w:t>
            </w:r>
          </w:p>
          <w:p w14:paraId="7CAC9EBE" w14:textId="77777777" w:rsidR="00D43073" w:rsidRPr="005613A7" w:rsidRDefault="00D43073" w:rsidP="00D43073">
            <w:pPr>
              <w:pStyle w:val="PlainText"/>
              <w:rPr>
                <w:rFonts w:asciiTheme="minorHAnsi" w:hAnsiTheme="minorHAnsi"/>
                <w:bCs/>
                <w:sz w:val="20"/>
                <w:szCs w:val="20"/>
              </w:rPr>
            </w:pPr>
          </w:p>
          <w:p w14:paraId="6C6628D1"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demonstrates that it documents how and when conformance is granted, maintained, extended or suspended or withdrawn. </w:t>
            </w:r>
          </w:p>
          <w:p w14:paraId="2638C5AD" w14:textId="77777777" w:rsidR="00D43073" w:rsidRPr="005613A7" w:rsidRDefault="00D43073" w:rsidP="00D43073">
            <w:pPr>
              <w:pStyle w:val="PlainText"/>
              <w:rPr>
                <w:rFonts w:asciiTheme="minorHAnsi" w:hAnsiTheme="minorHAnsi"/>
                <w:bCs/>
                <w:sz w:val="20"/>
                <w:szCs w:val="20"/>
              </w:rPr>
            </w:pPr>
          </w:p>
          <w:p w14:paraId="2F681FC6" w14:textId="6B04391D"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17065 - 7.6.2</w:t>
            </w:r>
          </w:p>
        </w:tc>
        <w:tc>
          <w:tcPr>
            <w:tcW w:w="4680" w:type="dxa"/>
            <w:vAlign w:val="center"/>
          </w:tcPr>
          <w:p w14:paraId="4897CD44" w14:textId="4BA9B5D7"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on how and when conformance is granted, maintained, extended or suspended; AND policy on communication of this information</w:t>
            </w:r>
          </w:p>
        </w:tc>
      </w:tr>
      <w:tr w:rsidR="00D43073" w:rsidRPr="005613A7" w14:paraId="7C6317A1" w14:textId="77777777" w:rsidTr="005B03D0">
        <w:trPr>
          <w:trHeight w:val="971"/>
        </w:trPr>
        <w:tc>
          <w:tcPr>
            <w:tcW w:w="607" w:type="dxa"/>
            <w:vAlign w:val="center"/>
          </w:tcPr>
          <w:p w14:paraId="11BB6D9F"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76D90BAB" w14:textId="74B6AD24"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.9</w:t>
            </w:r>
          </w:p>
        </w:tc>
        <w:tc>
          <w:tcPr>
            <w:tcW w:w="540" w:type="dxa"/>
            <w:vAlign w:val="center"/>
          </w:tcPr>
          <w:p w14:paraId="7FA1A610"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85D4A9E"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In the event that non-conformity is substantiated, the CAB has a procedure that considers and decides on appropriate action such as increased surveillance, reduction in the scope of the certification to remove non-conforming products, suspension of the certification or withdrawal of the certification.</w:t>
            </w:r>
          </w:p>
          <w:p w14:paraId="0E046186" w14:textId="77777777" w:rsidR="00D43073" w:rsidRPr="005613A7" w:rsidRDefault="00D43073" w:rsidP="00D43073">
            <w:pPr>
              <w:pStyle w:val="PlainText"/>
              <w:rPr>
                <w:rFonts w:asciiTheme="minorHAnsi" w:hAnsiTheme="minorHAnsi"/>
                <w:bCs/>
                <w:sz w:val="20"/>
                <w:szCs w:val="20"/>
              </w:rPr>
            </w:pPr>
          </w:p>
          <w:p w14:paraId="776CB942" w14:textId="591E082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17065 - 7.11.1</w:t>
            </w:r>
          </w:p>
        </w:tc>
        <w:tc>
          <w:tcPr>
            <w:tcW w:w="4680" w:type="dxa"/>
            <w:vAlign w:val="center"/>
          </w:tcPr>
          <w:p w14:paraId="210C0626" w14:textId="48B1D3D8"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on appropriate actions in cases of non-conformity.</w:t>
            </w:r>
          </w:p>
        </w:tc>
      </w:tr>
      <w:tr w:rsidR="00D43073" w:rsidRPr="005613A7" w14:paraId="57B7E0AA" w14:textId="77777777" w:rsidTr="005B03D0">
        <w:trPr>
          <w:trHeight w:val="971"/>
        </w:trPr>
        <w:tc>
          <w:tcPr>
            <w:tcW w:w="607" w:type="dxa"/>
            <w:vAlign w:val="center"/>
          </w:tcPr>
          <w:p w14:paraId="1C1AB6BA"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547E6198" w14:textId="3FC5C3A9"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.10</w:t>
            </w:r>
          </w:p>
        </w:tc>
        <w:tc>
          <w:tcPr>
            <w:tcW w:w="540" w:type="dxa"/>
            <w:vAlign w:val="center"/>
          </w:tcPr>
          <w:p w14:paraId="0F72EED8"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67C81997" w14:textId="028AB024"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Records Management.</w:t>
            </w:r>
          </w:p>
          <w:p w14:paraId="4FC8DCB6" w14:textId="77777777" w:rsidR="00D43073" w:rsidRPr="005613A7" w:rsidRDefault="00D43073" w:rsidP="00D43073">
            <w:pPr>
              <w:pStyle w:val="PlainText"/>
              <w:rPr>
                <w:rFonts w:asciiTheme="minorHAnsi" w:hAnsiTheme="minorHAnsi"/>
                <w:bCs/>
                <w:sz w:val="20"/>
                <w:szCs w:val="20"/>
              </w:rPr>
            </w:pPr>
          </w:p>
          <w:p w14:paraId="025D1757"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has procedures for ensuring documents are identified, stored, protected, retrieved and retained and disposed of to ensure the protection of confidential information.</w:t>
            </w:r>
          </w:p>
          <w:p w14:paraId="485513D0" w14:textId="77777777" w:rsidR="00D43073" w:rsidRPr="005613A7" w:rsidRDefault="00D43073" w:rsidP="00D43073">
            <w:pPr>
              <w:pStyle w:val="PlainText"/>
              <w:rPr>
                <w:rFonts w:asciiTheme="minorHAnsi" w:hAnsiTheme="minorHAnsi"/>
                <w:bCs/>
                <w:sz w:val="20"/>
                <w:szCs w:val="20"/>
              </w:rPr>
            </w:pPr>
          </w:p>
          <w:p w14:paraId="47419A27" w14:textId="02E5EDAD"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17065 - 8.4.1</w:t>
            </w:r>
          </w:p>
        </w:tc>
        <w:tc>
          <w:tcPr>
            <w:tcW w:w="4680" w:type="dxa"/>
            <w:vAlign w:val="center"/>
          </w:tcPr>
          <w:p w14:paraId="3AC3A129" w14:textId="6918DE08"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for document control and retention policy.</w:t>
            </w:r>
          </w:p>
          <w:p w14:paraId="72901499" w14:textId="0B7D2CC3"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procedure to protect client confidentiality.</w:t>
            </w:r>
          </w:p>
          <w:p w14:paraId="066CEA42" w14:textId="782D19EB"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Evidence of quality management system covering document management and client confidentiality.</w:t>
            </w:r>
          </w:p>
        </w:tc>
      </w:tr>
      <w:tr w:rsidR="00D43073" w:rsidRPr="005613A7" w14:paraId="33E23A88" w14:textId="77777777" w:rsidTr="005B03D0">
        <w:trPr>
          <w:trHeight w:val="1331"/>
        </w:trPr>
        <w:tc>
          <w:tcPr>
            <w:tcW w:w="607" w:type="dxa"/>
            <w:vAlign w:val="center"/>
          </w:tcPr>
          <w:p w14:paraId="18E3DF75"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lastRenderedPageBreak/>
              <w:t>III.</w:t>
            </w:r>
          </w:p>
          <w:p w14:paraId="696597A3" w14:textId="316C7427"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.11</w:t>
            </w:r>
          </w:p>
        </w:tc>
        <w:tc>
          <w:tcPr>
            <w:tcW w:w="540" w:type="dxa"/>
            <w:vAlign w:val="center"/>
          </w:tcPr>
          <w:p w14:paraId="797742A5"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59CE44A" w14:textId="7EEED8E0"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Dispute Resolution Procedures.</w:t>
            </w:r>
          </w:p>
          <w:p w14:paraId="2C02FC17" w14:textId="77777777" w:rsidR="00D43073" w:rsidRPr="005613A7" w:rsidRDefault="00D43073" w:rsidP="00D43073">
            <w:pPr>
              <w:pStyle w:val="PlainText"/>
              <w:rPr>
                <w:rFonts w:asciiTheme="minorHAnsi" w:hAnsiTheme="minorHAnsi"/>
                <w:bCs/>
                <w:sz w:val="20"/>
                <w:szCs w:val="20"/>
              </w:rPr>
            </w:pPr>
          </w:p>
          <w:p w14:paraId="73A028DB"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has a documented policy or procedures for receiving, evaluating, resolving, and documenting complaints and appeals.</w:t>
            </w:r>
          </w:p>
          <w:p w14:paraId="624C55B7" w14:textId="77777777" w:rsidR="00D43073" w:rsidRPr="005613A7" w:rsidRDefault="00D43073" w:rsidP="00D43073">
            <w:pPr>
              <w:pStyle w:val="PlainText"/>
              <w:rPr>
                <w:rFonts w:asciiTheme="minorHAnsi" w:hAnsiTheme="minorHAnsi"/>
                <w:bCs/>
                <w:sz w:val="20"/>
                <w:szCs w:val="20"/>
              </w:rPr>
            </w:pPr>
          </w:p>
          <w:p w14:paraId="6F44AC80" w14:textId="25812692"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- 7.13.1 (ISO/IEC 17065 takes out term “disputes”).</w:t>
            </w:r>
          </w:p>
        </w:tc>
        <w:tc>
          <w:tcPr>
            <w:tcW w:w="4680" w:type="dxa"/>
            <w:vAlign w:val="center"/>
          </w:tcPr>
          <w:p w14:paraId="389A8E61" w14:textId="754843BB"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for complaints and appeals.</w:t>
            </w:r>
          </w:p>
          <w:p w14:paraId="03A1FD68" w14:textId="785C4423"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Sample records of complaints, and or appeals and corrective actions taken.</w:t>
            </w:r>
          </w:p>
          <w:p w14:paraId="78832E5C" w14:textId="77777777" w:rsidR="00D43073" w:rsidRPr="005613A7" w:rsidRDefault="00D43073" w:rsidP="00D43073">
            <w:pPr>
              <w:pStyle w:val="PlainText"/>
              <w:rPr>
                <w:rFonts w:asciiTheme="minorHAnsi" w:hAnsiTheme="minorHAnsi"/>
                <w:bCs/>
                <w:sz w:val="20"/>
                <w:szCs w:val="20"/>
              </w:rPr>
            </w:pPr>
          </w:p>
        </w:tc>
      </w:tr>
      <w:tr w:rsidR="00D43073" w:rsidRPr="005613A7" w14:paraId="0BB48B92" w14:textId="77777777" w:rsidTr="005B03D0">
        <w:trPr>
          <w:trHeight w:val="971"/>
        </w:trPr>
        <w:tc>
          <w:tcPr>
            <w:tcW w:w="607" w:type="dxa"/>
            <w:vAlign w:val="center"/>
          </w:tcPr>
          <w:p w14:paraId="3848DF28"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0468FD61" w14:textId="222BC69E"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.12</w:t>
            </w:r>
          </w:p>
        </w:tc>
        <w:tc>
          <w:tcPr>
            <w:tcW w:w="540" w:type="dxa"/>
            <w:vAlign w:val="center"/>
          </w:tcPr>
          <w:p w14:paraId="4ACD3766" w14:textId="3DC3B7CB" w:rsidR="00D43073" w:rsidRPr="005613A7" w:rsidRDefault="00D43073" w:rsidP="00D43073">
            <w:pPr>
              <w:spacing w:after="0" w:line="240" w:lineRule="auto"/>
              <w:rPr>
                <w:rFonts w:asciiTheme="minorHAnsi" w:hAnsiTheme="minorHAnsi"/>
                <w:bCs/>
                <w:sz w:val="20"/>
                <w:szCs w:val="20"/>
              </w:rPr>
            </w:pPr>
            <w:r>
              <w:rPr>
                <w:rFonts w:asciiTheme="minorHAnsi" w:hAnsiTheme="minorHAnsi"/>
                <w:bCs/>
                <w:sz w:val="20"/>
                <w:szCs w:val="20"/>
              </w:rPr>
              <w:t>B</w:t>
            </w:r>
          </w:p>
        </w:tc>
        <w:tc>
          <w:tcPr>
            <w:tcW w:w="5130" w:type="dxa"/>
            <w:vAlign w:val="center"/>
          </w:tcPr>
          <w:p w14:paraId="1BA644D8" w14:textId="77777777"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Traceability Procedures.</w:t>
            </w:r>
          </w:p>
          <w:p w14:paraId="7E5E8E4E" w14:textId="179A75CF"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b/>
                <w:sz w:val="20"/>
                <w:szCs w:val="20"/>
              </w:rPr>
              <w:t xml:space="preserve"> </w:t>
            </w:r>
          </w:p>
          <w:p w14:paraId="3DD310A2" w14:textId="6529AB12" w:rsidR="00D43073" w:rsidRPr="005613A7" w:rsidRDefault="00D43073" w:rsidP="008947DB">
            <w:pPr>
              <w:pStyle w:val="PlainText"/>
              <w:rPr>
                <w:rFonts w:asciiTheme="minorHAnsi" w:hAnsiTheme="minorHAnsi"/>
                <w:color w:val="000000"/>
                <w:sz w:val="20"/>
                <w:szCs w:val="20"/>
              </w:rPr>
            </w:pPr>
            <w:r w:rsidRPr="005613A7">
              <w:rPr>
                <w:rFonts w:asciiTheme="minorHAnsi" w:hAnsiTheme="minorHAnsi"/>
                <w:color w:val="000000"/>
                <w:sz w:val="20"/>
                <w:szCs w:val="20"/>
              </w:rPr>
              <w:t>The CAB ha</w:t>
            </w:r>
            <w:r w:rsidR="008947DB">
              <w:rPr>
                <w:rFonts w:asciiTheme="minorHAnsi" w:hAnsiTheme="minorHAnsi"/>
                <w:color w:val="000000"/>
                <w:sz w:val="20"/>
                <w:szCs w:val="20"/>
              </w:rPr>
              <w:t>s</w:t>
            </w:r>
            <w:r w:rsidRPr="005613A7">
              <w:rPr>
                <w:rFonts w:asciiTheme="minorHAnsi" w:hAnsiTheme="minorHAnsi"/>
                <w:color w:val="000000"/>
                <w:sz w:val="20"/>
                <w:szCs w:val="20"/>
              </w:rPr>
              <w:t xml:space="preserve"> traceability or chain-of-custody procedures where this is necessary to ensure qualif</w:t>
            </w:r>
            <w:r>
              <w:rPr>
                <w:rFonts w:asciiTheme="minorHAnsi" w:hAnsiTheme="minorHAnsi"/>
                <w:color w:val="000000"/>
                <w:sz w:val="20"/>
                <w:szCs w:val="20"/>
              </w:rPr>
              <w:t>ied products meet the standard.</w:t>
            </w:r>
          </w:p>
        </w:tc>
        <w:tc>
          <w:tcPr>
            <w:tcW w:w="4680" w:type="dxa"/>
            <w:vAlign w:val="center"/>
          </w:tcPr>
          <w:p w14:paraId="7875B5AE" w14:textId="77777777" w:rsidR="00D43073" w:rsidRDefault="007A30F9" w:rsidP="00D43073">
            <w:pPr>
              <w:pStyle w:val="PlainText"/>
              <w:rPr>
                <w:rFonts w:asciiTheme="minorHAnsi" w:hAnsiTheme="minorHAnsi"/>
                <w:color w:val="000000"/>
                <w:sz w:val="20"/>
                <w:szCs w:val="20"/>
              </w:rPr>
            </w:pPr>
            <w:r>
              <w:rPr>
                <w:rFonts w:asciiTheme="minorHAnsi" w:hAnsiTheme="minorHAnsi"/>
                <w:color w:val="000000"/>
                <w:sz w:val="20"/>
                <w:szCs w:val="20"/>
              </w:rPr>
              <w:t>-</w:t>
            </w:r>
            <w:r w:rsidR="00D43073" w:rsidRPr="005613A7">
              <w:rPr>
                <w:rFonts w:asciiTheme="minorHAnsi" w:hAnsiTheme="minorHAnsi"/>
                <w:color w:val="000000"/>
                <w:sz w:val="20"/>
                <w:szCs w:val="20"/>
              </w:rPr>
              <w:t>Policy/ procedures for traceability/chain of custody by CAB demonstrating conformance with the criteria.</w:t>
            </w:r>
          </w:p>
          <w:p w14:paraId="56C7D2C4" w14:textId="77777777" w:rsidR="00257C11" w:rsidRDefault="00257C11" w:rsidP="00D43073">
            <w:pPr>
              <w:pStyle w:val="PlainText"/>
              <w:rPr>
                <w:rFonts w:asciiTheme="minorHAnsi" w:hAnsiTheme="minorHAnsi"/>
                <w:color w:val="000000"/>
                <w:sz w:val="20"/>
                <w:szCs w:val="20"/>
              </w:rPr>
            </w:pPr>
          </w:p>
          <w:p w14:paraId="6531E2C1" w14:textId="4AED7B19" w:rsidR="00257C11" w:rsidRPr="005613A7" w:rsidRDefault="00257C11" w:rsidP="00D43073">
            <w:pPr>
              <w:pStyle w:val="PlainText"/>
              <w:rPr>
                <w:rFonts w:asciiTheme="minorHAnsi" w:hAnsiTheme="minorHAnsi"/>
                <w:bCs/>
                <w:sz w:val="20"/>
                <w:szCs w:val="20"/>
              </w:rPr>
            </w:pPr>
            <w:r>
              <w:rPr>
                <w:rFonts w:asciiTheme="minorHAnsi" w:hAnsiTheme="minorHAnsi"/>
                <w:color w:val="000000"/>
                <w:sz w:val="20"/>
                <w:szCs w:val="20"/>
              </w:rPr>
              <w:t>OR justification of how this is not applicable.</w:t>
            </w:r>
          </w:p>
        </w:tc>
      </w:tr>
      <w:tr w:rsidR="00D43073" w:rsidRPr="005613A7" w14:paraId="545B1E97" w14:textId="77777777" w:rsidTr="005B03D0">
        <w:trPr>
          <w:trHeight w:val="971"/>
        </w:trPr>
        <w:tc>
          <w:tcPr>
            <w:tcW w:w="607" w:type="dxa"/>
            <w:vAlign w:val="center"/>
          </w:tcPr>
          <w:p w14:paraId="1D5E7B3A"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4C24BCCD" w14:textId="3FEC399F"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.13</w:t>
            </w:r>
          </w:p>
        </w:tc>
        <w:tc>
          <w:tcPr>
            <w:tcW w:w="540" w:type="dxa"/>
            <w:vAlign w:val="center"/>
          </w:tcPr>
          <w:p w14:paraId="386BE73B"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E7D3231" w14:textId="33FB59EB"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Periodic evaluation of marked products.</w:t>
            </w:r>
          </w:p>
          <w:p w14:paraId="4CB55739" w14:textId="77777777" w:rsidR="00D43073" w:rsidRPr="005613A7" w:rsidRDefault="00D43073" w:rsidP="00D43073">
            <w:pPr>
              <w:pStyle w:val="PlainText"/>
              <w:rPr>
                <w:rFonts w:asciiTheme="minorHAnsi" w:hAnsiTheme="minorHAnsi"/>
                <w:bCs/>
                <w:sz w:val="20"/>
                <w:szCs w:val="20"/>
              </w:rPr>
            </w:pPr>
          </w:p>
          <w:p w14:paraId="0C25B51D" w14:textId="13985C61"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When continuing use of a </w:t>
            </w:r>
            <w:r w:rsidR="002B25EC">
              <w:rPr>
                <w:rFonts w:asciiTheme="minorHAnsi" w:hAnsiTheme="minorHAnsi"/>
                <w:bCs/>
                <w:sz w:val="20"/>
                <w:szCs w:val="20"/>
              </w:rPr>
              <w:t>conformity-assurance</w:t>
            </w:r>
            <w:r w:rsidR="002B25EC" w:rsidRPr="005613A7">
              <w:rPr>
                <w:rFonts w:asciiTheme="minorHAnsi" w:hAnsiTheme="minorHAnsi"/>
                <w:bCs/>
                <w:sz w:val="20"/>
                <w:szCs w:val="20"/>
              </w:rPr>
              <w:t xml:space="preserve"> </w:t>
            </w:r>
            <w:r w:rsidRPr="005613A7">
              <w:rPr>
                <w:rFonts w:asciiTheme="minorHAnsi" w:hAnsiTheme="minorHAnsi"/>
                <w:bCs/>
                <w:sz w:val="20"/>
                <w:szCs w:val="20"/>
              </w:rPr>
              <w:t>mark on a product is authorized, the CAB periodically conducts surveillance of marked products to ensure ongoing validity of continued conformance.</w:t>
            </w:r>
          </w:p>
          <w:p w14:paraId="1DA1E165" w14:textId="77777777" w:rsidR="00D43073" w:rsidRPr="005613A7" w:rsidRDefault="00D43073" w:rsidP="00D43073">
            <w:pPr>
              <w:pStyle w:val="PlainText"/>
              <w:rPr>
                <w:rFonts w:asciiTheme="minorHAnsi" w:hAnsiTheme="minorHAnsi"/>
                <w:bCs/>
                <w:sz w:val="20"/>
                <w:szCs w:val="20"/>
              </w:rPr>
            </w:pPr>
          </w:p>
          <w:p w14:paraId="1E928559" w14:textId="3CF02EE3" w:rsidR="00D43073" w:rsidRPr="005613A7" w:rsidRDefault="00D43073" w:rsidP="00C55836">
            <w:pPr>
              <w:pStyle w:val="PlainText"/>
              <w:rPr>
                <w:rFonts w:asciiTheme="minorHAnsi" w:hAnsiTheme="minorHAnsi"/>
                <w:bCs/>
                <w:sz w:val="20"/>
                <w:szCs w:val="20"/>
              </w:rPr>
            </w:pPr>
            <w:r w:rsidRPr="005613A7">
              <w:rPr>
                <w:rFonts w:asciiTheme="minorHAnsi" w:hAnsiTheme="minorHAnsi"/>
                <w:bCs/>
                <w:sz w:val="20"/>
                <w:szCs w:val="20"/>
              </w:rPr>
              <w:t>Reflects ISO/IEC 17065 - 7.9.3</w:t>
            </w:r>
          </w:p>
        </w:tc>
        <w:tc>
          <w:tcPr>
            <w:tcW w:w="4680" w:type="dxa"/>
            <w:vAlign w:val="center"/>
          </w:tcPr>
          <w:p w14:paraId="761262AC" w14:textId="7E7C4C34"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Policy/procedures on how long products can display the certification mark demonstrating conformance.</w:t>
            </w:r>
          </w:p>
          <w:p w14:paraId="1D9B1B00" w14:textId="4F8234BE"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indicating surveillance activities.</w:t>
            </w:r>
          </w:p>
          <w:p w14:paraId="37787A54" w14:textId="77939B8B"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Copy of market surveillance report.</w:t>
            </w:r>
          </w:p>
          <w:p w14:paraId="23F9CC06" w14:textId="77777777" w:rsidR="00D43073" w:rsidRPr="005613A7" w:rsidRDefault="00D43073" w:rsidP="00D43073">
            <w:pPr>
              <w:pStyle w:val="PlainText"/>
              <w:rPr>
                <w:rFonts w:asciiTheme="minorHAnsi" w:hAnsiTheme="minorHAnsi"/>
                <w:bCs/>
                <w:sz w:val="20"/>
                <w:szCs w:val="20"/>
              </w:rPr>
            </w:pPr>
          </w:p>
          <w:p w14:paraId="4114BE0C" w14:textId="77777777" w:rsidR="00D43073" w:rsidRPr="005613A7" w:rsidRDefault="00D43073" w:rsidP="00D43073">
            <w:pPr>
              <w:pStyle w:val="PlainText"/>
              <w:rPr>
                <w:rFonts w:asciiTheme="minorHAnsi" w:hAnsiTheme="minorHAnsi"/>
                <w:bCs/>
                <w:sz w:val="20"/>
                <w:szCs w:val="20"/>
              </w:rPr>
            </w:pPr>
          </w:p>
        </w:tc>
      </w:tr>
      <w:tr w:rsidR="00D43073" w:rsidRPr="005613A7" w14:paraId="50C73594" w14:textId="77777777" w:rsidTr="005B03D0">
        <w:trPr>
          <w:trHeight w:val="971"/>
        </w:trPr>
        <w:tc>
          <w:tcPr>
            <w:tcW w:w="607" w:type="dxa"/>
            <w:vAlign w:val="center"/>
          </w:tcPr>
          <w:p w14:paraId="35BB26B5"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1FDCC70F" w14:textId="0608E740"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.14</w:t>
            </w:r>
          </w:p>
        </w:tc>
        <w:tc>
          <w:tcPr>
            <w:tcW w:w="540" w:type="dxa"/>
            <w:vAlign w:val="center"/>
          </w:tcPr>
          <w:p w14:paraId="73CD56F3"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075C21A" w14:textId="00A438FD"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Content of Declarations of Conformity.</w:t>
            </w:r>
          </w:p>
          <w:p w14:paraId="372AF7B6" w14:textId="77777777" w:rsidR="00D43073" w:rsidRPr="005613A7" w:rsidRDefault="00D43073" w:rsidP="00D43073">
            <w:pPr>
              <w:pStyle w:val="PlainText"/>
              <w:rPr>
                <w:rFonts w:asciiTheme="minorHAnsi" w:hAnsiTheme="minorHAnsi"/>
                <w:bCs/>
                <w:sz w:val="20"/>
                <w:szCs w:val="20"/>
              </w:rPr>
            </w:pPr>
          </w:p>
          <w:p w14:paraId="5FADB783" w14:textId="3145B1CE"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provides declarations of conformity that clearly conveys information on: the name and address of the CAB; the date </w:t>
            </w:r>
            <w:r w:rsidR="00FC450D">
              <w:rPr>
                <w:rFonts w:asciiTheme="minorHAnsi" w:hAnsiTheme="minorHAnsi"/>
                <w:bCs/>
                <w:sz w:val="20"/>
                <w:szCs w:val="20"/>
              </w:rPr>
              <w:t>conformity assurance</w:t>
            </w:r>
            <w:r w:rsidR="00FC450D" w:rsidRPr="005613A7">
              <w:rPr>
                <w:rFonts w:asciiTheme="minorHAnsi" w:hAnsiTheme="minorHAnsi"/>
                <w:bCs/>
                <w:sz w:val="20"/>
                <w:szCs w:val="20"/>
              </w:rPr>
              <w:t xml:space="preserve"> </w:t>
            </w:r>
            <w:r w:rsidRPr="005613A7">
              <w:rPr>
                <w:rFonts w:asciiTheme="minorHAnsi" w:hAnsiTheme="minorHAnsi"/>
                <w:bCs/>
                <w:sz w:val="20"/>
                <w:szCs w:val="20"/>
              </w:rPr>
              <w:t>is granted</w:t>
            </w:r>
            <w:r w:rsidR="002B25EC">
              <w:rPr>
                <w:rFonts w:asciiTheme="minorHAnsi" w:hAnsiTheme="minorHAnsi"/>
                <w:bCs/>
                <w:sz w:val="20"/>
                <w:szCs w:val="20"/>
              </w:rPr>
              <w:t xml:space="preserve"> (if applicable)</w:t>
            </w:r>
            <w:r w:rsidRPr="005613A7">
              <w:rPr>
                <w:rFonts w:asciiTheme="minorHAnsi" w:hAnsiTheme="minorHAnsi"/>
                <w:bCs/>
                <w:sz w:val="20"/>
                <w:szCs w:val="20"/>
              </w:rPr>
              <w:t xml:space="preserve">; name and address of the client; the scope of the </w:t>
            </w:r>
            <w:r w:rsidR="00FC450D">
              <w:rPr>
                <w:rFonts w:asciiTheme="minorHAnsi" w:hAnsiTheme="minorHAnsi"/>
                <w:bCs/>
                <w:sz w:val="20"/>
                <w:szCs w:val="20"/>
              </w:rPr>
              <w:t>conformity assurance</w:t>
            </w:r>
            <w:r w:rsidRPr="005613A7">
              <w:rPr>
                <w:rFonts w:asciiTheme="minorHAnsi" w:hAnsiTheme="minorHAnsi"/>
                <w:bCs/>
                <w:sz w:val="20"/>
                <w:szCs w:val="20"/>
              </w:rPr>
              <w:t>; the term or expir</w:t>
            </w:r>
            <w:r w:rsidR="00347A2C">
              <w:rPr>
                <w:rFonts w:asciiTheme="minorHAnsi" w:hAnsiTheme="minorHAnsi"/>
                <w:bCs/>
                <w:sz w:val="20"/>
                <w:szCs w:val="20"/>
              </w:rPr>
              <w:t>ation</w:t>
            </w:r>
            <w:r w:rsidRPr="005613A7">
              <w:rPr>
                <w:rFonts w:asciiTheme="minorHAnsi" w:hAnsiTheme="minorHAnsi"/>
                <w:bCs/>
                <w:sz w:val="20"/>
                <w:szCs w:val="20"/>
              </w:rPr>
              <w:t xml:space="preserve"> date of </w:t>
            </w:r>
            <w:r w:rsidR="00FC450D">
              <w:rPr>
                <w:rFonts w:asciiTheme="minorHAnsi" w:hAnsiTheme="minorHAnsi"/>
                <w:bCs/>
                <w:sz w:val="20"/>
                <w:szCs w:val="20"/>
              </w:rPr>
              <w:t>conformity assurance</w:t>
            </w:r>
            <w:r w:rsidR="00FC450D" w:rsidRPr="005613A7">
              <w:rPr>
                <w:rFonts w:asciiTheme="minorHAnsi" w:hAnsiTheme="minorHAnsi"/>
                <w:bCs/>
                <w:sz w:val="20"/>
                <w:szCs w:val="20"/>
              </w:rPr>
              <w:t xml:space="preserve"> </w:t>
            </w:r>
            <w:r w:rsidRPr="005613A7">
              <w:rPr>
                <w:rFonts w:asciiTheme="minorHAnsi" w:hAnsiTheme="minorHAnsi"/>
                <w:bCs/>
                <w:sz w:val="20"/>
                <w:szCs w:val="20"/>
              </w:rPr>
              <w:t xml:space="preserve">(if applicable); the signature or other defined authorization of the person(s) of the </w:t>
            </w:r>
            <w:r w:rsidR="00FC450D">
              <w:rPr>
                <w:rFonts w:asciiTheme="minorHAnsi" w:hAnsiTheme="minorHAnsi"/>
                <w:bCs/>
                <w:sz w:val="20"/>
                <w:szCs w:val="20"/>
              </w:rPr>
              <w:t>CAB</w:t>
            </w:r>
            <w:r w:rsidRPr="005613A7">
              <w:rPr>
                <w:rFonts w:asciiTheme="minorHAnsi" w:hAnsiTheme="minorHAnsi"/>
                <w:bCs/>
                <w:sz w:val="20"/>
                <w:szCs w:val="20"/>
              </w:rPr>
              <w:t xml:space="preserve"> assigned such responsibility.</w:t>
            </w:r>
          </w:p>
          <w:p w14:paraId="26660B69" w14:textId="77777777" w:rsidR="00D43073" w:rsidRPr="005613A7" w:rsidRDefault="00D43073" w:rsidP="00D43073">
            <w:pPr>
              <w:pStyle w:val="PlainText"/>
              <w:rPr>
                <w:rFonts w:asciiTheme="minorHAnsi" w:hAnsiTheme="minorHAnsi"/>
                <w:bCs/>
                <w:sz w:val="20"/>
                <w:szCs w:val="20"/>
              </w:rPr>
            </w:pPr>
          </w:p>
          <w:p w14:paraId="278D9394" w14:textId="33D0876C"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17065 - 7.7.1 &amp; 7.7.2</w:t>
            </w:r>
          </w:p>
        </w:tc>
        <w:tc>
          <w:tcPr>
            <w:tcW w:w="4680" w:type="dxa"/>
            <w:vAlign w:val="center"/>
          </w:tcPr>
          <w:p w14:paraId="7D634C6F" w14:textId="74C32259"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Example declaration of conformity meeting criteria listed.</w:t>
            </w:r>
          </w:p>
        </w:tc>
      </w:tr>
      <w:tr w:rsidR="00D43073" w:rsidRPr="005613A7" w14:paraId="5FE13F28" w14:textId="77777777" w:rsidTr="005B03D0">
        <w:trPr>
          <w:trHeight w:val="971"/>
        </w:trPr>
        <w:tc>
          <w:tcPr>
            <w:tcW w:w="607" w:type="dxa"/>
            <w:vAlign w:val="center"/>
          </w:tcPr>
          <w:p w14:paraId="7C71DC56"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36EF2BC3" w14:textId="6BA5FCA4"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.15</w:t>
            </w:r>
          </w:p>
        </w:tc>
        <w:tc>
          <w:tcPr>
            <w:tcW w:w="540" w:type="dxa"/>
            <w:vAlign w:val="center"/>
          </w:tcPr>
          <w:p w14:paraId="106EA193"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E90D73B" w14:textId="259DDEC8"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Suitable Action for Misuse.</w:t>
            </w:r>
          </w:p>
          <w:p w14:paraId="34786B29" w14:textId="77777777" w:rsidR="00D43073" w:rsidRPr="005613A7" w:rsidRDefault="00D43073" w:rsidP="00D43073">
            <w:pPr>
              <w:pStyle w:val="PlainText"/>
              <w:rPr>
                <w:rFonts w:asciiTheme="minorHAnsi" w:hAnsiTheme="minorHAnsi"/>
                <w:bCs/>
                <w:sz w:val="20"/>
                <w:szCs w:val="20"/>
              </w:rPr>
            </w:pPr>
          </w:p>
          <w:p w14:paraId="67570EA4" w14:textId="03A92D53"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has established procedures to control the use of its licenses, certificates, marks of conformity, and any other mechanisms for indicating a product is </w:t>
            </w:r>
            <w:r w:rsidR="002B25EC">
              <w:rPr>
                <w:rFonts w:asciiTheme="minorHAnsi" w:hAnsiTheme="minorHAnsi"/>
                <w:bCs/>
                <w:sz w:val="20"/>
                <w:szCs w:val="20"/>
              </w:rPr>
              <w:t>conformant</w:t>
            </w:r>
            <w:r w:rsidRPr="005613A7">
              <w:rPr>
                <w:rFonts w:asciiTheme="minorHAnsi" w:hAnsiTheme="minorHAnsi"/>
                <w:bCs/>
                <w:sz w:val="20"/>
                <w:szCs w:val="20"/>
              </w:rPr>
              <w:t xml:space="preserve">, including market surveillance. Procedures describe actions to take for incorrect, misleading or un-authorized use of its mark and licenses. </w:t>
            </w:r>
          </w:p>
          <w:p w14:paraId="11D9A43D" w14:textId="77777777" w:rsidR="00D43073" w:rsidRPr="005613A7" w:rsidRDefault="00D43073" w:rsidP="00D43073">
            <w:pPr>
              <w:pStyle w:val="PlainText"/>
              <w:rPr>
                <w:rFonts w:asciiTheme="minorHAnsi" w:hAnsiTheme="minorHAnsi"/>
                <w:bCs/>
                <w:sz w:val="20"/>
                <w:szCs w:val="20"/>
              </w:rPr>
            </w:pPr>
          </w:p>
          <w:p w14:paraId="7F392DAF" w14:textId="657E78E5"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Reflects ISO/IEC 17065 -  4.1.3.1, 7.11.1, 7.9.3 and 7.9.4  </w:t>
            </w:r>
          </w:p>
        </w:tc>
        <w:tc>
          <w:tcPr>
            <w:tcW w:w="4680" w:type="dxa"/>
            <w:vAlign w:val="center"/>
          </w:tcPr>
          <w:p w14:paraId="4F9A95FF" w14:textId="7D099E19"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to take action on incorrect, misleading, or unauthorized use of marks or licenses.</w:t>
            </w:r>
          </w:p>
        </w:tc>
      </w:tr>
      <w:tr w:rsidR="00D43073" w:rsidRPr="005613A7" w14:paraId="1DCD1926" w14:textId="77777777" w:rsidTr="005B03D0">
        <w:trPr>
          <w:trHeight w:val="971"/>
        </w:trPr>
        <w:tc>
          <w:tcPr>
            <w:tcW w:w="607" w:type="dxa"/>
            <w:vAlign w:val="center"/>
          </w:tcPr>
          <w:p w14:paraId="7FB15A92"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5696C12D" w14:textId="2049EA19"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.16</w:t>
            </w:r>
          </w:p>
        </w:tc>
        <w:tc>
          <w:tcPr>
            <w:tcW w:w="540" w:type="dxa"/>
            <w:vAlign w:val="center"/>
          </w:tcPr>
          <w:p w14:paraId="707DBABB"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0AB407B4" w14:textId="3798414F"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Quality Objectives.</w:t>
            </w:r>
          </w:p>
          <w:p w14:paraId="670E4106" w14:textId="77777777" w:rsidR="00D43073" w:rsidRPr="005613A7" w:rsidRDefault="00D43073" w:rsidP="00D43073">
            <w:pPr>
              <w:pStyle w:val="PlainText"/>
              <w:rPr>
                <w:rFonts w:asciiTheme="minorHAnsi" w:hAnsiTheme="minorHAnsi"/>
                <w:bCs/>
                <w:sz w:val="20"/>
                <w:szCs w:val="20"/>
              </w:rPr>
            </w:pPr>
          </w:p>
          <w:p w14:paraId="7CEDAC15"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has a documented commitment to fulfilling quality objectives and/or an established quality management system that is implemented in the CAB’s organization.</w:t>
            </w:r>
          </w:p>
          <w:p w14:paraId="44EF9159" w14:textId="77777777" w:rsidR="00D43073" w:rsidRPr="005613A7" w:rsidRDefault="00D43073" w:rsidP="00D43073">
            <w:pPr>
              <w:pStyle w:val="PlainText"/>
              <w:rPr>
                <w:rFonts w:asciiTheme="minorHAnsi" w:hAnsiTheme="minorHAnsi"/>
                <w:bCs/>
                <w:sz w:val="20"/>
                <w:szCs w:val="20"/>
              </w:rPr>
            </w:pPr>
          </w:p>
          <w:p w14:paraId="22717A8B" w14:textId="35A7D694"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17065 - 8.2.1.</w:t>
            </w:r>
          </w:p>
        </w:tc>
        <w:tc>
          <w:tcPr>
            <w:tcW w:w="4680" w:type="dxa"/>
            <w:vAlign w:val="center"/>
          </w:tcPr>
          <w:p w14:paraId="7676DB78" w14:textId="75032954"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indicating commitment to quality</w:t>
            </w:r>
          </w:p>
          <w:p w14:paraId="3359CC58" w14:textId="0927EE3C"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Quality management system documentation.</w:t>
            </w:r>
          </w:p>
        </w:tc>
      </w:tr>
      <w:tr w:rsidR="00D43073" w:rsidRPr="005613A7" w14:paraId="27C128E6" w14:textId="77777777" w:rsidTr="005B03D0">
        <w:trPr>
          <w:trHeight w:val="971"/>
        </w:trPr>
        <w:tc>
          <w:tcPr>
            <w:tcW w:w="607" w:type="dxa"/>
            <w:vAlign w:val="center"/>
          </w:tcPr>
          <w:p w14:paraId="310F2DAC"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III.</w:t>
            </w:r>
          </w:p>
          <w:p w14:paraId="0A79EE1C" w14:textId="648FEF93"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D43073">
              <w:rPr>
                <w:rFonts w:asciiTheme="minorHAnsi" w:hAnsiTheme="minorHAnsi"/>
                <w:sz w:val="20"/>
                <w:szCs w:val="20"/>
              </w:rPr>
              <w:t>.17</w:t>
            </w:r>
          </w:p>
        </w:tc>
        <w:tc>
          <w:tcPr>
            <w:tcW w:w="540" w:type="dxa"/>
            <w:vAlign w:val="center"/>
          </w:tcPr>
          <w:p w14:paraId="02B0664B" w14:textId="4B5D86C4"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9A45042" w14:textId="3FA7CAD2"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Sufficient Personnel.</w:t>
            </w:r>
          </w:p>
          <w:p w14:paraId="1787A3D1" w14:textId="77777777" w:rsidR="00D43073" w:rsidRPr="005613A7" w:rsidRDefault="00D43073" w:rsidP="00D43073">
            <w:pPr>
              <w:pStyle w:val="PlainText"/>
              <w:rPr>
                <w:rFonts w:asciiTheme="minorHAnsi" w:hAnsiTheme="minorHAnsi"/>
                <w:bCs/>
                <w:sz w:val="20"/>
                <w:szCs w:val="20"/>
              </w:rPr>
            </w:pPr>
          </w:p>
          <w:p w14:paraId="4450EE9D"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has a process to ensure that they have sufficient personnel with the education, training, technical knowledge </w:t>
            </w:r>
            <w:r w:rsidRPr="005613A7">
              <w:rPr>
                <w:rFonts w:asciiTheme="minorHAnsi" w:hAnsiTheme="minorHAnsi"/>
                <w:bCs/>
                <w:sz w:val="20"/>
                <w:szCs w:val="20"/>
              </w:rPr>
              <w:lastRenderedPageBreak/>
              <w:t>and experience necessary for performing conformity assessment functions.</w:t>
            </w:r>
          </w:p>
          <w:p w14:paraId="54FF406F" w14:textId="77777777" w:rsidR="00D43073" w:rsidRPr="005613A7" w:rsidRDefault="00D43073" w:rsidP="00D43073">
            <w:pPr>
              <w:pStyle w:val="PlainText"/>
              <w:rPr>
                <w:rFonts w:asciiTheme="minorHAnsi" w:hAnsiTheme="minorHAnsi"/>
                <w:bCs/>
                <w:sz w:val="20"/>
                <w:szCs w:val="20"/>
              </w:rPr>
            </w:pPr>
          </w:p>
          <w:p w14:paraId="6FDECCAF" w14:textId="6543967A" w:rsidR="00D43073" w:rsidRPr="005613A7" w:rsidRDefault="00D43073" w:rsidP="00C55836">
            <w:pPr>
              <w:pStyle w:val="PlainText"/>
              <w:rPr>
                <w:rFonts w:asciiTheme="minorHAnsi" w:hAnsiTheme="minorHAnsi"/>
                <w:bCs/>
                <w:sz w:val="20"/>
                <w:szCs w:val="20"/>
              </w:rPr>
            </w:pPr>
            <w:r w:rsidRPr="005613A7">
              <w:rPr>
                <w:rFonts w:asciiTheme="minorHAnsi" w:hAnsiTheme="minorHAnsi"/>
                <w:bCs/>
                <w:sz w:val="20"/>
                <w:szCs w:val="20"/>
              </w:rPr>
              <w:t>Reflects 17065/IEC - 6.1.1.1</w:t>
            </w:r>
          </w:p>
        </w:tc>
        <w:tc>
          <w:tcPr>
            <w:tcW w:w="4680" w:type="dxa"/>
            <w:vAlign w:val="center"/>
          </w:tcPr>
          <w:p w14:paraId="515F49A3" w14:textId="5BEB32BC"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lastRenderedPageBreak/>
              <w:t>-</w:t>
            </w:r>
            <w:r w:rsidR="00D43073" w:rsidRPr="005613A7">
              <w:rPr>
                <w:rFonts w:asciiTheme="minorHAnsi" w:hAnsiTheme="minorHAnsi"/>
                <w:bCs/>
                <w:sz w:val="20"/>
                <w:szCs w:val="20"/>
              </w:rPr>
              <w:t xml:space="preserve">Description by CAB on how it ensures that its staff is qualified for CA activities. </w:t>
            </w:r>
          </w:p>
          <w:p w14:paraId="35EFAEB4" w14:textId="30C45A1C"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staffing requirements.</w:t>
            </w:r>
          </w:p>
          <w:p w14:paraId="470E0987" w14:textId="77C19EFD"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lastRenderedPageBreak/>
              <w:t>-</w:t>
            </w:r>
            <w:r w:rsidR="00D43073" w:rsidRPr="005613A7">
              <w:rPr>
                <w:rFonts w:asciiTheme="minorHAnsi" w:hAnsiTheme="minorHAnsi"/>
                <w:bCs/>
                <w:sz w:val="20"/>
                <w:szCs w:val="20"/>
              </w:rPr>
              <w:t>Qualifications stated in job advertisements for certification staff.</w:t>
            </w:r>
          </w:p>
          <w:p w14:paraId="3FC902C3" w14:textId="6398B57E"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Records/ CVs of personnel reflecting required qualifications </w:t>
            </w:r>
          </w:p>
        </w:tc>
      </w:tr>
      <w:tr w:rsidR="00D43073" w:rsidRPr="005613A7" w14:paraId="176B7BDB" w14:textId="77777777" w:rsidTr="005B03D0">
        <w:trPr>
          <w:trHeight w:val="1448"/>
        </w:trPr>
        <w:tc>
          <w:tcPr>
            <w:tcW w:w="607" w:type="dxa"/>
            <w:vAlign w:val="center"/>
          </w:tcPr>
          <w:p w14:paraId="14A9B09E" w14:textId="77777777" w:rsidR="004E6342"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lastRenderedPageBreak/>
              <w:t>III.</w:t>
            </w:r>
          </w:p>
          <w:p w14:paraId="7ECA0D11" w14:textId="2F8EC9D3"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8</w:t>
            </w:r>
            <w:r w:rsidR="00AB3EC3">
              <w:rPr>
                <w:rFonts w:asciiTheme="minorHAnsi" w:hAnsiTheme="minorHAnsi"/>
                <w:sz w:val="20"/>
                <w:szCs w:val="20"/>
              </w:rPr>
              <w:t>.18</w:t>
            </w:r>
          </w:p>
        </w:tc>
        <w:tc>
          <w:tcPr>
            <w:tcW w:w="540" w:type="dxa"/>
            <w:vAlign w:val="center"/>
          </w:tcPr>
          <w:p w14:paraId="286450B2"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18960093" w14:textId="4DA0C691" w:rsidR="00D43073" w:rsidRPr="005613A7" w:rsidRDefault="00D43073" w:rsidP="00D43073">
            <w:pPr>
              <w:spacing w:after="0" w:line="240" w:lineRule="auto"/>
              <w:rPr>
                <w:rFonts w:asciiTheme="minorHAnsi" w:hAnsiTheme="minorHAnsi"/>
                <w:b/>
                <w:sz w:val="20"/>
                <w:szCs w:val="20"/>
              </w:rPr>
            </w:pPr>
            <w:r w:rsidRPr="005613A7">
              <w:rPr>
                <w:rFonts w:asciiTheme="minorHAnsi" w:hAnsiTheme="minorHAnsi"/>
                <w:b/>
                <w:sz w:val="20"/>
                <w:szCs w:val="20"/>
              </w:rPr>
              <w:t>Adequate Facilities &amp; Equipment.</w:t>
            </w:r>
          </w:p>
          <w:p w14:paraId="1C76E759" w14:textId="77777777" w:rsidR="00D43073" w:rsidRPr="005613A7" w:rsidRDefault="00D43073" w:rsidP="00D43073">
            <w:pPr>
              <w:pStyle w:val="PlainText"/>
              <w:rPr>
                <w:rFonts w:asciiTheme="minorHAnsi" w:hAnsiTheme="minorHAnsi"/>
                <w:bCs/>
                <w:sz w:val="20"/>
                <w:szCs w:val="20"/>
              </w:rPr>
            </w:pPr>
          </w:p>
          <w:p w14:paraId="6B694848" w14:textId="77777777"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has all the facilities and equipment needed to carry out its work; if testing is required by the standard, competent and/or accredited laboratories are utilized.</w:t>
            </w:r>
          </w:p>
          <w:p w14:paraId="4106E6AC" w14:textId="77777777" w:rsidR="00D43073" w:rsidRPr="005613A7" w:rsidRDefault="00D43073" w:rsidP="00D43073">
            <w:pPr>
              <w:pStyle w:val="PlainText"/>
              <w:rPr>
                <w:rFonts w:asciiTheme="minorHAnsi" w:hAnsiTheme="minorHAnsi"/>
                <w:bCs/>
                <w:sz w:val="20"/>
                <w:szCs w:val="20"/>
              </w:rPr>
            </w:pPr>
          </w:p>
          <w:p w14:paraId="2B787889" w14:textId="40CC1958"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Broadly reflects ISO/IEC 17065 - 7.3.1</w:t>
            </w:r>
          </w:p>
        </w:tc>
        <w:tc>
          <w:tcPr>
            <w:tcW w:w="4680" w:type="dxa"/>
            <w:vAlign w:val="center"/>
          </w:tcPr>
          <w:p w14:paraId="47B4D844" w14:textId="747795B6"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facility and equipment required to conduct certification.</w:t>
            </w:r>
          </w:p>
          <w:p w14:paraId="5632A303" w14:textId="56ECDE97"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If testing is required for certification, laboratories are in conformance with ISO 17025 or equivalent standard.</w:t>
            </w:r>
          </w:p>
        </w:tc>
      </w:tr>
      <w:tr w:rsidR="00D43073" w:rsidRPr="005613A7" w14:paraId="482D2F4F" w14:textId="77777777" w:rsidTr="005B03D0">
        <w:trPr>
          <w:trHeight w:val="971"/>
        </w:trPr>
        <w:tc>
          <w:tcPr>
            <w:tcW w:w="607" w:type="dxa"/>
            <w:vAlign w:val="center"/>
          </w:tcPr>
          <w:p w14:paraId="5D3F8ACF" w14:textId="77777777" w:rsidR="004E6342" w:rsidRDefault="00D43073" w:rsidP="00AB3EC3">
            <w:pPr>
              <w:spacing w:after="0" w:line="240" w:lineRule="auto"/>
              <w:rPr>
                <w:rFonts w:asciiTheme="minorHAnsi" w:hAnsiTheme="minorHAnsi"/>
                <w:sz w:val="20"/>
                <w:szCs w:val="20"/>
              </w:rPr>
            </w:pPr>
            <w:r w:rsidRPr="005613A7">
              <w:rPr>
                <w:rFonts w:asciiTheme="minorHAnsi" w:hAnsiTheme="minorHAnsi"/>
                <w:sz w:val="20"/>
                <w:szCs w:val="20"/>
              </w:rPr>
              <w:t>III.</w:t>
            </w:r>
          </w:p>
          <w:p w14:paraId="424DE37D" w14:textId="492B6F64" w:rsidR="00D43073" w:rsidRPr="005613A7" w:rsidRDefault="003D240C" w:rsidP="00AB3EC3">
            <w:pPr>
              <w:spacing w:after="0" w:line="240" w:lineRule="auto"/>
              <w:rPr>
                <w:rFonts w:asciiTheme="minorHAnsi" w:hAnsiTheme="minorHAnsi"/>
                <w:sz w:val="20"/>
                <w:szCs w:val="20"/>
              </w:rPr>
            </w:pPr>
            <w:r>
              <w:rPr>
                <w:rFonts w:asciiTheme="minorHAnsi" w:hAnsiTheme="minorHAnsi"/>
                <w:sz w:val="20"/>
                <w:szCs w:val="20"/>
              </w:rPr>
              <w:t>8</w:t>
            </w:r>
            <w:r w:rsidR="00AB3EC3">
              <w:rPr>
                <w:rFonts w:asciiTheme="minorHAnsi" w:hAnsiTheme="minorHAnsi"/>
                <w:sz w:val="20"/>
                <w:szCs w:val="20"/>
              </w:rPr>
              <w:t>.19</w:t>
            </w:r>
          </w:p>
        </w:tc>
        <w:tc>
          <w:tcPr>
            <w:tcW w:w="540" w:type="dxa"/>
            <w:vAlign w:val="center"/>
          </w:tcPr>
          <w:p w14:paraId="411D0834"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78C6EB79" w14:textId="024489A1"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Transparent Process.</w:t>
            </w:r>
          </w:p>
          <w:p w14:paraId="1A60A4F5" w14:textId="77777777" w:rsidR="00D43073" w:rsidRPr="005613A7" w:rsidRDefault="00D43073" w:rsidP="00D43073">
            <w:pPr>
              <w:pStyle w:val="PlainText"/>
              <w:rPr>
                <w:rFonts w:asciiTheme="minorHAnsi" w:hAnsiTheme="minorHAnsi"/>
                <w:bCs/>
                <w:sz w:val="20"/>
                <w:szCs w:val="20"/>
              </w:rPr>
            </w:pPr>
          </w:p>
          <w:p w14:paraId="29A0D603" w14:textId="28D799DE"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CAB maintains through publications, electronic media or other means, and makes available upon request, information about </w:t>
            </w:r>
            <w:r w:rsidR="008947DB">
              <w:rPr>
                <w:rFonts w:asciiTheme="minorHAnsi" w:hAnsiTheme="minorHAnsi"/>
                <w:bCs/>
                <w:sz w:val="20"/>
                <w:szCs w:val="20"/>
              </w:rPr>
              <w:t xml:space="preserve">the </w:t>
            </w:r>
            <w:r w:rsidR="00FC450D">
              <w:rPr>
                <w:rFonts w:asciiTheme="minorHAnsi" w:hAnsiTheme="minorHAnsi"/>
                <w:bCs/>
                <w:sz w:val="20"/>
                <w:szCs w:val="20"/>
              </w:rPr>
              <w:t>conformity assessment</w:t>
            </w:r>
            <w:r w:rsidR="00FC450D" w:rsidRPr="005613A7">
              <w:rPr>
                <w:rFonts w:asciiTheme="minorHAnsi" w:hAnsiTheme="minorHAnsi"/>
                <w:bCs/>
                <w:sz w:val="20"/>
                <w:szCs w:val="20"/>
              </w:rPr>
              <w:t xml:space="preserve"> </w:t>
            </w:r>
            <w:r w:rsidRPr="005613A7">
              <w:rPr>
                <w:rFonts w:asciiTheme="minorHAnsi" w:hAnsiTheme="minorHAnsi"/>
                <w:bCs/>
                <w:sz w:val="20"/>
                <w:szCs w:val="20"/>
              </w:rPr>
              <w:t xml:space="preserve">process including the rules and procedures for granting maintaining, extending, reducing the scope of, </w:t>
            </w:r>
            <w:proofErr w:type="gramStart"/>
            <w:r w:rsidRPr="005613A7">
              <w:rPr>
                <w:rFonts w:asciiTheme="minorHAnsi" w:hAnsiTheme="minorHAnsi"/>
                <w:bCs/>
                <w:sz w:val="20"/>
                <w:szCs w:val="20"/>
              </w:rPr>
              <w:t>suspending</w:t>
            </w:r>
            <w:proofErr w:type="gramEnd"/>
            <w:r w:rsidRPr="005613A7">
              <w:rPr>
                <w:rFonts w:asciiTheme="minorHAnsi" w:hAnsiTheme="minorHAnsi"/>
                <w:bCs/>
                <w:sz w:val="20"/>
                <w:szCs w:val="20"/>
              </w:rPr>
              <w:t xml:space="preserve">, withdrawing or refusing </w:t>
            </w:r>
            <w:r w:rsidR="00FC450D">
              <w:rPr>
                <w:rFonts w:asciiTheme="minorHAnsi" w:hAnsiTheme="minorHAnsi"/>
                <w:bCs/>
                <w:sz w:val="20"/>
                <w:szCs w:val="20"/>
              </w:rPr>
              <w:t>conformity assurance</w:t>
            </w:r>
            <w:r w:rsidRPr="005613A7">
              <w:rPr>
                <w:rFonts w:asciiTheme="minorHAnsi" w:hAnsiTheme="minorHAnsi"/>
                <w:bCs/>
                <w:sz w:val="20"/>
                <w:szCs w:val="20"/>
              </w:rPr>
              <w:t>.</w:t>
            </w:r>
          </w:p>
          <w:p w14:paraId="1A3F07EF" w14:textId="77777777" w:rsidR="00D43073" w:rsidRPr="005613A7" w:rsidRDefault="00D43073" w:rsidP="00D43073">
            <w:pPr>
              <w:pStyle w:val="PlainText"/>
              <w:rPr>
                <w:rFonts w:asciiTheme="minorHAnsi" w:hAnsiTheme="minorHAnsi"/>
                <w:bCs/>
                <w:sz w:val="20"/>
                <w:szCs w:val="20"/>
              </w:rPr>
            </w:pPr>
          </w:p>
          <w:p w14:paraId="11D08BE9" w14:textId="7F20234D"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17065 - 4.6</w:t>
            </w:r>
          </w:p>
        </w:tc>
        <w:tc>
          <w:tcPr>
            <w:tcW w:w="4680" w:type="dxa"/>
            <w:vAlign w:val="center"/>
          </w:tcPr>
          <w:p w14:paraId="08941508" w14:textId="58242676"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appropriate and timely information disclosed publicly or available on request about the CAB certification processes.</w:t>
            </w:r>
          </w:p>
        </w:tc>
      </w:tr>
      <w:tr w:rsidR="00D43073" w:rsidRPr="005613A7" w14:paraId="62C61CE3" w14:textId="77777777" w:rsidTr="005B03D0">
        <w:trPr>
          <w:trHeight w:val="971"/>
        </w:trPr>
        <w:tc>
          <w:tcPr>
            <w:tcW w:w="607" w:type="dxa"/>
            <w:vAlign w:val="center"/>
          </w:tcPr>
          <w:p w14:paraId="396F6A73" w14:textId="77777777" w:rsidR="004E6342" w:rsidRDefault="00D43073" w:rsidP="00AB3EC3">
            <w:pPr>
              <w:spacing w:after="0" w:line="240" w:lineRule="auto"/>
              <w:rPr>
                <w:rFonts w:asciiTheme="minorHAnsi" w:hAnsiTheme="minorHAnsi"/>
                <w:sz w:val="20"/>
                <w:szCs w:val="20"/>
              </w:rPr>
            </w:pPr>
            <w:r w:rsidRPr="005613A7">
              <w:rPr>
                <w:rFonts w:asciiTheme="minorHAnsi" w:hAnsiTheme="minorHAnsi"/>
                <w:sz w:val="20"/>
                <w:szCs w:val="20"/>
              </w:rPr>
              <w:t>III.</w:t>
            </w:r>
          </w:p>
          <w:p w14:paraId="32CB74CF" w14:textId="6BC60F65" w:rsidR="00D43073" w:rsidRPr="005613A7" w:rsidRDefault="003D240C" w:rsidP="00AB3EC3">
            <w:pPr>
              <w:spacing w:after="0" w:line="240" w:lineRule="auto"/>
              <w:rPr>
                <w:rFonts w:asciiTheme="minorHAnsi" w:hAnsiTheme="minorHAnsi"/>
                <w:sz w:val="20"/>
                <w:szCs w:val="20"/>
              </w:rPr>
            </w:pPr>
            <w:r>
              <w:rPr>
                <w:rFonts w:asciiTheme="minorHAnsi" w:hAnsiTheme="minorHAnsi"/>
                <w:sz w:val="20"/>
                <w:szCs w:val="20"/>
              </w:rPr>
              <w:t>8</w:t>
            </w:r>
            <w:r w:rsidR="00AB3EC3">
              <w:rPr>
                <w:rFonts w:asciiTheme="minorHAnsi" w:hAnsiTheme="minorHAnsi"/>
                <w:sz w:val="20"/>
                <w:szCs w:val="20"/>
              </w:rPr>
              <w:t>.20</w:t>
            </w:r>
          </w:p>
        </w:tc>
        <w:tc>
          <w:tcPr>
            <w:tcW w:w="540" w:type="dxa"/>
            <w:vAlign w:val="center"/>
          </w:tcPr>
          <w:p w14:paraId="424CFF97"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2C1428D3" w14:textId="1C6EF4F4" w:rsidR="00D43073" w:rsidRPr="005613A7" w:rsidRDefault="00D43073" w:rsidP="00D43073">
            <w:pPr>
              <w:pStyle w:val="PlainText"/>
              <w:rPr>
                <w:rFonts w:asciiTheme="minorHAnsi" w:hAnsiTheme="minorHAnsi"/>
                <w:b/>
                <w:sz w:val="20"/>
                <w:szCs w:val="20"/>
              </w:rPr>
            </w:pPr>
            <w:r w:rsidRPr="005613A7">
              <w:rPr>
                <w:rFonts w:asciiTheme="minorHAnsi" w:hAnsiTheme="minorHAnsi"/>
                <w:b/>
                <w:sz w:val="20"/>
                <w:szCs w:val="20"/>
              </w:rPr>
              <w:t>Information on Fees.</w:t>
            </w:r>
          </w:p>
          <w:p w14:paraId="67B8075C" w14:textId="77777777" w:rsidR="00D43073" w:rsidRPr="005613A7" w:rsidRDefault="00D43073" w:rsidP="00D43073">
            <w:pPr>
              <w:pStyle w:val="PlainText"/>
              <w:rPr>
                <w:rFonts w:asciiTheme="minorHAnsi" w:hAnsiTheme="minorHAnsi"/>
                <w:bCs/>
                <w:sz w:val="20"/>
                <w:szCs w:val="20"/>
              </w:rPr>
            </w:pPr>
          </w:p>
          <w:p w14:paraId="6FCFD0F9" w14:textId="0EBAD36A"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CAB provides general information on fees, and/or makes this information available to applicants and clients.</w:t>
            </w:r>
          </w:p>
          <w:p w14:paraId="1290C384" w14:textId="77777777" w:rsidR="00D43073" w:rsidRPr="005613A7" w:rsidRDefault="00D43073" w:rsidP="00D43073">
            <w:pPr>
              <w:pStyle w:val="PlainText"/>
              <w:rPr>
                <w:rFonts w:asciiTheme="minorHAnsi" w:hAnsiTheme="minorHAnsi"/>
                <w:bCs/>
                <w:sz w:val="20"/>
                <w:szCs w:val="20"/>
              </w:rPr>
            </w:pPr>
          </w:p>
          <w:p w14:paraId="1EF62E42" w14:textId="56A95786"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Reflects ISO/IEC 17065 - 4.6</w:t>
            </w:r>
          </w:p>
        </w:tc>
        <w:tc>
          <w:tcPr>
            <w:tcW w:w="4680" w:type="dxa"/>
            <w:vAlign w:val="center"/>
          </w:tcPr>
          <w:p w14:paraId="65594AC1" w14:textId="7DE47460"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Example communication to applicants that includes information on fees.</w:t>
            </w:r>
          </w:p>
        </w:tc>
      </w:tr>
      <w:tr w:rsidR="00D43073" w:rsidRPr="005613A7" w14:paraId="0445D8CE" w14:textId="77777777" w:rsidTr="00BC134A">
        <w:trPr>
          <w:trHeight w:val="395"/>
        </w:trPr>
        <w:tc>
          <w:tcPr>
            <w:tcW w:w="10957" w:type="dxa"/>
            <w:gridSpan w:val="4"/>
            <w:vAlign w:val="center"/>
          </w:tcPr>
          <w:p w14:paraId="3E3B4EAB" w14:textId="0A57805B" w:rsidR="00D43073" w:rsidRPr="005613A7" w:rsidRDefault="00D43073" w:rsidP="00D43073">
            <w:pPr>
              <w:pageBreakBefore/>
              <w:spacing w:after="0" w:line="240" w:lineRule="auto"/>
              <w:rPr>
                <w:rFonts w:asciiTheme="minorHAnsi" w:hAnsiTheme="minorHAnsi"/>
                <w:bCs/>
                <w:sz w:val="20"/>
                <w:szCs w:val="20"/>
              </w:rPr>
            </w:pPr>
            <w:r w:rsidRPr="005613A7">
              <w:rPr>
                <w:rFonts w:asciiTheme="minorHAnsi" w:hAnsiTheme="minorHAnsi"/>
                <w:b/>
                <w:bCs/>
                <w:sz w:val="20"/>
                <w:szCs w:val="20"/>
              </w:rPr>
              <w:lastRenderedPageBreak/>
              <w:t>SECTION IV: MANAGEMENT OF ECOLABELING PROGRAMS</w:t>
            </w:r>
            <w:r w:rsidRPr="005613A7">
              <w:rPr>
                <w:rStyle w:val="FootnoteReference"/>
                <w:rFonts w:asciiTheme="minorHAnsi" w:hAnsiTheme="minorHAnsi"/>
                <w:b/>
                <w:bCs/>
                <w:sz w:val="20"/>
                <w:szCs w:val="20"/>
              </w:rPr>
              <w:footnoteReference w:id="27"/>
            </w:r>
            <w:r w:rsidRPr="005613A7">
              <w:rPr>
                <w:rFonts w:asciiTheme="minorHAnsi" w:hAnsiTheme="minorHAnsi"/>
                <w:b/>
                <w:bCs/>
                <w:sz w:val="20"/>
                <w:szCs w:val="20"/>
              </w:rPr>
              <w:t xml:space="preserve"> </w:t>
            </w:r>
          </w:p>
        </w:tc>
      </w:tr>
      <w:tr w:rsidR="00D43073" w:rsidRPr="005613A7" w14:paraId="73B20742" w14:textId="77777777" w:rsidTr="005B03D0">
        <w:trPr>
          <w:trHeight w:val="395"/>
        </w:trPr>
        <w:tc>
          <w:tcPr>
            <w:tcW w:w="607" w:type="dxa"/>
            <w:vAlign w:val="center"/>
          </w:tcPr>
          <w:p w14:paraId="062C4220" w14:textId="425174CB"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IV.1</w:t>
            </w:r>
          </w:p>
        </w:tc>
        <w:tc>
          <w:tcPr>
            <w:tcW w:w="540" w:type="dxa"/>
            <w:vAlign w:val="center"/>
          </w:tcPr>
          <w:p w14:paraId="6AF17354"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1F334E34"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The ecolabel program has a documented commitment to fulfilling quality objectives and/or an established quality management system</w:t>
            </w:r>
            <w:r w:rsidRPr="005613A7">
              <w:rPr>
                <w:rStyle w:val="FootnoteReference"/>
                <w:rFonts w:asciiTheme="minorHAnsi" w:hAnsiTheme="minorHAnsi"/>
                <w:bCs/>
                <w:sz w:val="20"/>
                <w:szCs w:val="20"/>
              </w:rPr>
              <w:footnoteReference w:id="28"/>
            </w:r>
            <w:r w:rsidRPr="005613A7">
              <w:rPr>
                <w:rFonts w:asciiTheme="minorHAnsi" w:hAnsiTheme="minorHAnsi"/>
                <w:bCs/>
                <w:sz w:val="20"/>
                <w:szCs w:val="20"/>
              </w:rPr>
              <w:t xml:space="preserve"> that is implemented in the organization.</w:t>
            </w:r>
          </w:p>
          <w:p w14:paraId="0E4BEC59" w14:textId="77777777" w:rsidR="00D43073" w:rsidRPr="00B41BF5" w:rsidRDefault="00D43073" w:rsidP="00D43073">
            <w:pPr>
              <w:spacing w:after="0" w:line="240" w:lineRule="auto"/>
              <w:rPr>
                <w:rFonts w:asciiTheme="minorHAnsi" w:hAnsiTheme="minorHAnsi"/>
                <w:i/>
                <w:color w:val="2E74B5" w:themeColor="accent1" w:themeShade="BF"/>
                <w:sz w:val="20"/>
                <w:szCs w:val="20"/>
              </w:rPr>
            </w:pPr>
            <w:r w:rsidRPr="00B41BF5">
              <w:rPr>
                <w:rFonts w:asciiTheme="minorHAnsi" w:hAnsiTheme="minorHAnsi"/>
                <w:i/>
                <w:color w:val="2E74B5" w:themeColor="accent1" w:themeShade="BF"/>
                <w:sz w:val="20"/>
                <w:szCs w:val="20"/>
              </w:rPr>
              <w:t xml:space="preserve">Addresses the following Draft Guideline(s): </w:t>
            </w:r>
          </w:p>
          <w:p w14:paraId="4BE25613" w14:textId="6C701252" w:rsidR="00D43073" w:rsidRPr="005613A7" w:rsidRDefault="00D43073" w:rsidP="00D43073">
            <w:pPr>
              <w:spacing w:after="0" w:line="240" w:lineRule="auto"/>
              <w:rPr>
                <w:rFonts w:asciiTheme="minorHAnsi" w:hAnsiTheme="minorHAnsi"/>
                <w:bCs/>
                <w:i/>
                <w:sz w:val="20"/>
                <w:szCs w:val="20"/>
              </w:rPr>
            </w:pPr>
            <w:r w:rsidRPr="00B41BF5">
              <w:rPr>
                <w:rFonts w:asciiTheme="minorHAnsi" w:hAnsiTheme="minorHAnsi"/>
                <w:bCs/>
                <w:i/>
                <w:color w:val="2E74B5" w:themeColor="accent1" w:themeShade="BF"/>
                <w:sz w:val="20"/>
                <w:szCs w:val="20"/>
              </w:rPr>
              <w:t>IV.1 Document Commitment to Quality</w:t>
            </w:r>
          </w:p>
        </w:tc>
        <w:tc>
          <w:tcPr>
            <w:tcW w:w="4680" w:type="dxa"/>
            <w:vAlign w:val="center"/>
          </w:tcPr>
          <w:p w14:paraId="450CFAC8" w14:textId="0D1BE560"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indicating commitment to quality.</w:t>
            </w:r>
          </w:p>
          <w:p w14:paraId="27574567" w14:textId="36F67BD3"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Evidence of a documented Quality management system documentation.</w:t>
            </w:r>
          </w:p>
        </w:tc>
      </w:tr>
      <w:tr w:rsidR="00D43073" w:rsidRPr="005613A7" w14:paraId="531958D7" w14:textId="77777777" w:rsidTr="005B03D0">
        <w:trPr>
          <w:trHeight w:val="395"/>
        </w:trPr>
        <w:tc>
          <w:tcPr>
            <w:tcW w:w="607" w:type="dxa"/>
            <w:vAlign w:val="center"/>
          </w:tcPr>
          <w:p w14:paraId="55437F7F" w14:textId="26E80EB5"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IV.2</w:t>
            </w:r>
          </w:p>
        </w:tc>
        <w:tc>
          <w:tcPr>
            <w:tcW w:w="540" w:type="dxa"/>
            <w:vAlign w:val="center"/>
          </w:tcPr>
          <w:p w14:paraId="197F12B1" w14:textId="1B664706"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3AFCC4D3"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The ecolabel program has established a methodology and procedure to evaluate the effectiveness of addressing environmental and/or human health impacts covered by its standard.</w:t>
            </w:r>
          </w:p>
          <w:p w14:paraId="75404247"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E17B928" w14:textId="3398C337" w:rsidR="00D43073" w:rsidRPr="005613A7" w:rsidRDefault="00D43073" w:rsidP="00D43073">
            <w:pPr>
              <w:spacing w:after="0" w:line="240" w:lineRule="auto"/>
              <w:rPr>
                <w:rFonts w:asciiTheme="minorHAnsi" w:hAnsiTheme="minorHAnsi"/>
                <w:i/>
                <w:sz w:val="20"/>
                <w:szCs w:val="20"/>
              </w:rPr>
            </w:pPr>
            <w:r w:rsidRPr="00B41BF5">
              <w:rPr>
                <w:rFonts w:asciiTheme="minorHAnsi" w:hAnsiTheme="minorHAnsi"/>
                <w:i/>
                <w:color w:val="2E74B5" w:themeColor="accent1" w:themeShade="BF"/>
                <w:sz w:val="20"/>
                <w:szCs w:val="20"/>
              </w:rPr>
              <w:t xml:space="preserve">IV.2 Evaluate Effectiveness </w:t>
            </w:r>
          </w:p>
        </w:tc>
        <w:tc>
          <w:tcPr>
            <w:tcW w:w="4680" w:type="dxa"/>
            <w:vAlign w:val="center"/>
          </w:tcPr>
          <w:p w14:paraId="3F26F997" w14:textId="28F9289F"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Procedure for completing the evaluation including a discussion of impact categories addressed, methods, data sources, indicators, time line.</w:t>
            </w:r>
          </w:p>
          <w:p w14:paraId="5CA0FC54" w14:textId="599D33F2" w:rsidR="00D43073" w:rsidRPr="005613A7" w:rsidRDefault="007A30F9" w:rsidP="001B78BF">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the methodology selected; including any methodology standards or norms referenced such as</w:t>
            </w:r>
            <w:r w:rsidR="00257C11">
              <w:rPr>
                <w:rFonts w:asciiTheme="minorHAnsi" w:hAnsiTheme="minorHAnsi"/>
                <w:bCs/>
                <w:sz w:val="20"/>
                <w:szCs w:val="20"/>
              </w:rPr>
              <w:t xml:space="preserve"> </w:t>
            </w:r>
            <w:r w:rsidR="001B78BF">
              <w:rPr>
                <w:rFonts w:asciiTheme="minorHAnsi" w:hAnsiTheme="minorHAnsi"/>
                <w:bCs/>
                <w:sz w:val="20"/>
                <w:szCs w:val="20"/>
              </w:rPr>
              <w:t>impact evaluation</w:t>
            </w:r>
            <w:r w:rsidR="00D43073" w:rsidRPr="005613A7">
              <w:rPr>
                <w:rFonts w:asciiTheme="minorHAnsi" w:hAnsiTheme="minorHAnsi"/>
                <w:bCs/>
                <w:sz w:val="20"/>
                <w:szCs w:val="20"/>
              </w:rPr>
              <w:t xml:space="preserve"> or the ISEAL Impacts code</w:t>
            </w:r>
            <w:r w:rsidR="00D43073" w:rsidRPr="005613A7">
              <w:rPr>
                <w:rStyle w:val="FootnoteReference"/>
                <w:rFonts w:asciiTheme="minorHAnsi" w:hAnsiTheme="minorHAnsi"/>
                <w:bCs/>
                <w:sz w:val="20"/>
                <w:szCs w:val="20"/>
              </w:rPr>
              <w:footnoteReference w:id="29"/>
            </w:r>
            <w:r w:rsidR="00D43073" w:rsidRPr="005613A7">
              <w:rPr>
                <w:rFonts w:asciiTheme="minorHAnsi" w:hAnsiTheme="minorHAnsi"/>
                <w:bCs/>
                <w:sz w:val="20"/>
                <w:szCs w:val="20"/>
              </w:rPr>
              <w:t>.</w:t>
            </w:r>
          </w:p>
        </w:tc>
      </w:tr>
      <w:tr w:rsidR="00D43073" w:rsidRPr="005613A7" w14:paraId="267BCC6E" w14:textId="77777777" w:rsidTr="005B03D0">
        <w:trPr>
          <w:trHeight w:val="1160"/>
        </w:trPr>
        <w:tc>
          <w:tcPr>
            <w:tcW w:w="607" w:type="dxa"/>
            <w:vAlign w:val="center"/>
          </w:tcPr>
          <w:p w14:paraId="4A755DBF" w14:textId="51EFD82B"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IV.3</w:t>
            </w:r>
          </w:p>
        </w:tc>
        <w:tc>
          <w:tcPr>
            <w:tcW w:w="540" w:type="dxa"/>
            <w:vAlign w:val="center"/>
          </w:tcPr>
          <w:p w14:paraId="139A4381"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02795AF4" w14:textId="77777777" w:rsidR="00D43073" w:rsidRPr="005613A7" w:rsidRDefault="00D43073" w:rsidP="00D43073">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An evaluation, by the ecolabel program or a third-party, of the effectiveness of a standard in reducing environmental and/or human health impacts has been completed within the previous 5 years.</w:t>
            </w:r>
          </w:p>
          <w:p w14:paraId="04A2E303"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01C5A8C" w14:textId="3ACBB2D7" w:rsidR="00D43073" w:rsidRPr="005613A7" w:rsidRDefault="00D43073" w:rsidP="00D43073">
            <w:pPr>
              <w:spacing w:after="0" w:line="240" w:lineRule="auto"/>
              <w:rPr>
                <w:rFonts w:asciiTheme="minorHAnsi" w:hAnsiTheme="minorHAnsi"/>
                <w:i/>
                <w:sz w:val="20"/>
                <w:szCs w:val="20"/>
              </w:rPr>
            </w:pPr>
            <w:r w:rsidRPr="00B41BF5">
              <w:rPr>
                <w:rFonts w:asciiTheme="minorHAnsi" w:hAnsiTheme="minorHAnsi"/>
                <w:i/>
                <w:color w:val="2E74B5" w:themeColor="accent1" w:themeShade="BF"/>
                <w:sz w:val="20"/>
                <w:szCs w:val="20"/>
              </w:rPr>
              <w:t xml:space="preserve">IV.2 Evaluate Effectiveness </w:t>
            </w:r>
          </w:p>
        </w:tc>
        <w:tc>
          <w:tcPr>
            <w:tcW w:w="4680" w:type="dxa"/>
            <w:vAlign w:val="center"/>
          </w:tcPr>
          <w:p w14:paraId="7ACA668D" w14:textId="2EA9209D"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Copy of completed report and publication date.</w:t>
            </w:r>
          </w:p>
          <w:p w14:paraId="76D80365" w14:textId="39D0A86C"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methods and data sources used.</w:t>
            </w:r>
          </w:p>
        </w:tc>
      </w:tr>
      <w:tr w:rsidR="00D43073" w:rsidRPr="005613A7" w14:paraId="23FA82F6" w14:textId="77777777" w:rsidTr="005B03D0">
        <w:trPr>
          <w:trHeight w:val="395"/>
        </w:trPr>
        <w:tc>
          <w:tcPr>
            <w:tcW w:w="607" w:type="dxa"/>
            <w:vAlign w:val="center"/>
          </w:tcPr>
          <w:p w14:paraId="1AE574D6" w14:textId="60897AD4"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IV.4</w:t>
            </w:r>
          </w:p>
        </w:tc>
        <w:tc>
          <w:tcPr>
            <w:tcW w:w="540" w:type="dxa"/>
            <w:vAlign w:val="center"/>
          </w:tcPr>
          <w:p w14:paraId="6FBFF20F"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0685D80C" w14:textId="77777777" w:rsidR="00D43073" w:rsidRPr="005613A7" w:rsidRDefault="00D43073" w:rsidP="00D43073">
            <w:pPr>
              <w:spacing w:after="0" w:line="240" w:lineRule="auto"/>
              <w:rPr>
                <w:rFonts w:asciiTheme="minorHAnsi" w:hAnsiTheme="minorHAnsi"/>
                <w:color w:val="000000"/>
                <w:sz w:val="20"/>
                <w:szCs w:val="20"/>
              </w:rPr>
            </w:pPr>
            <w:r w:rsidRPr="005613A7">
              <w:rPr>
                <w:rFonts w:asciiTheme="minorHAnsi" w:hAnsiTheme="minorHAnsi"/>
                <w:color w:val="000000"/>
                <w:sz w:val="20"/>
                <w:szCs w:val="20"/>
              </w:rPr>
              <w:t>Results of the evaluation are publicly available.</w:t>
            </w:r>
          </w:p>
          <w:p w14:paraId="57BDE746" w14:textId="77777777"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i/>
                <w:sz w:val="20"/>
                <w:szCs w:val="20"/>
              </w:rPr>
              <w:t>Addresses the following Draft Guideline(s):</w:t>
            </w:r>
            <w:r w:rsidRPr="005613A7">
              <w:rPr>
                <w:rFonts w:asciiTheme="minorHAnsi" w:hAnsiTheme="minorHAnsi"/>
                <w:sz w:val="20"/>
                <w:szCs w:val="20"/>
              </w:rPr>
              <w:t xml:space="preserve"> </w:t>
            </w:r>
          </w:p>
          <w:p w14:paraId="31B60BC2" w14:textId="6B0305F7" w:rsidR="00D43073" w:rsidRPr="005613A7" w:rsidRDefault="00D43073" w:rsidP="00D43073">
            <w:pPr>
              <w:spacing w:after="0" w:line="240" w:lineRule="auto"/>
              <w:rPr>
                <w:rFonts w:asciiTheme="minorHAnsi" w:hAnsiTheme="minorHAnsi"/>
                <w:i/>
                <w:sz w:val="20"/>
                <w:szCs w:val="20"/>
              </w:rPr>
            </w:pPr>
            <w:r w:rsidRPr="00B41BF5">
              <w:rPr>
                <w:rFonts w:asciiTheme="minorHAnsi" w:hAnsiTheme="minorHAnsi"/>
                <w:i/>
                <w:color w:val="2E74B5" w:themeColor="accent1" w:themeShade="BF"/>
                <w:sz w:val="20"/>
                <w:szCs w:val="20"/>
              </w:rPr>
              <w:t xml:space="preserve">IV.2 Evaluate Effectiveness </w:t>
            </w:r>
          </w:p>
        </w:tc>
        <w:tc>
          <w:tcPr>
            <w:tcW w:w="4680" w:type="dxa"/>
            <w:vAlign w:val="center"/>
          </w:tcPr>
          <w:p w14:paraId="2FEDD0F1" w14:textId="14DA125A"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Evidence that evaluation reports are publicly available; for example, publication of report online, website link, or statement that report available on request.</w:t>
            </w:r>
          </w:p>
        </w:tc>
      </w:tr>
      <w:tr w:rsidR="00D43073" w:rsidRPr="005613A7" w14:paraId="5B7DD3AE" w14:textId="77777777" w:rsidTr="005B03D0">
        <w:trPr>
          <w:trHeight w:val="395"/>
        </w:trPr>
        <w:tc>
          <w:tcPr>
            <w:tcW w:w="607" w:type="dxa"/>
            <w:vAlign w:val="center"/>
          </w:tcPr>
          <w:p w14:paraId="08B6E0F2" w14:textId="6BA8C9EB"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IV.5</w:t>
            </w:r>
          </w:p>
        </w:tc>
        <w:tc>
          <w:tcPr>
            <w:tcW w:w="540" w:type="dxa"/>
            <w:vAlign w:val="center"/>
          </w:tcPr>
          <w:p w14:paraId="6AE04BEC"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6E08D1DC"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The ecolabel program has a documented and publicly available policy or procedures for receiving, evaluating, resolving, and documenting complaints and appeals concerning the management of the ecolabel program.</w:t>
            </w:r>
          </w:p>
          <w:p w14:paraId="6367CBF2"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39CD9CCA" w14:textId="597146B2" w:rsidR="00D43073" w:rsidRPr="005613A7" w:rsidRDefault="00D43073" w:rsidP="00D4307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IV.3 Dispute Resolution Process</w:t>
            </w:r>
          </w:p>
        </w:tc>
        <w:tc>
          <w:tcPr>
            <w:tcW w:w="4680" w:type="dxa"/>
            <w:vAlign w:val="center"/>
          </w:tcPr>
          <w:p w14:paraId="2004B532" w14:textId="0CFEB561"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Policy/procedure for complaints and appeals.</w:t>
            </w:r>
          </w:p>
          <w:p w14:paraId="1B4A95C6" w14:textId="4A80BC6B"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Sample records of complaints, and/or sample of appeals and corrective actions taken.</w:t>
            </w:r>
          </w:p>
          <w:p w14:paraId="70EDB09E" w14:textId="0C7C2902"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Public website address for complaints and appeals. </w:t>
            </w:r>
          </w:p>
        </w:tc>
      </w:tr>
      <w:tr w:rsidR="00D43073" w:rsidRPr="005613A7" w14:paraId="3B16E39C" w14:textId="77777777" w:rsidTr="005B03D0">
        <w:trPr>
          <w:trHeight w:val="395"/>
        </w:trPr>
        <w:tc>
          <w:tcPr>
            <w:tcW w:w="607" w:type="dxa"/>
            <w:vAlign w:val="center"/>
          </w:tcPr>
          <w:p w14:paraId="66546F81" w14:textId="3A71968D"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IV.6</w:t>
            </w:r>
          </w:p>
        </w:tc>
        <w:tc>
          <w:tcPr>
            <w:tcW w:w="540" w:type="dxa"/>
            <w:vAlign w:val="center"/>
          </w:tcPr>
          <w:p w14:paraId="5046A418"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445995B7"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The ecolabel program makes publicly available the stakeholders</w:t>
            </w:r>
            <w:r w:rsidRPr="005613A7">
              <w:rPr>
                <w:rStyle w:val="FootnoteReference"/>
                <w:rFonts w:asciiTheme="minorHAnsi" w:hAnsiTheme="minorHAnsi"/>
                <w:bCs/>
                <w:sz w:val="20"/>
                <w:szCs w:val="20"/>
              </w:rPr>
              <w:footnoteReference w:id="30"/>
            </w:r>
            <w:r w:rsidRPr="005613A7">
              <w:rPr>
                <w:rFonts w:asciiTheme="minorHAnsi" w:hAnsiTheme="minorHAnsi"/>
                <w:bCs/>
                <w:sz w:val="20"/>
                <w:szCs w:val="20"/>
              </w:rPr>
              <w:t xml:space="preserve"> who are involved in the ongoing governance and/or operations of the ecolabel program.</w:t>
            </w:r>
          </w:p>
          <w:p w14:paraId="3BD16D04"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1120CB4" w14:textId="22690791" w:rsidR="00D43073" w:rsidRPr="005613A7" w:rsidRDefault="00D43073" w:rsidP="00D4307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IV.4 Disclose Stakeholders</w:t>
            </w:r>
          </w:p>
        </w:tc>
        <w:tc>
          <w:tcPr>
            <w:tcW w:w="4680" w:type="dxa"/>
            <w:vAlign w:val="center"/>
          </w:tcPr>
          <w:p w14:paraId="6C7E2304" w14:textId="123DE5BB"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Public website address with stakeholders listed.</w:t>
            </w:r>
          </w:p>
          <w:p w14:paraId="5AF5C518" w14:textId="645DCBEF"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availability of information on stakeholders.</w:t>
            </w:r>
          </w:p>
        </w:tc>
      </w:tr>
      <w:tr w:rsidR="00D43073" w:rsidRPr="005613A7" w14:paraId="5B1A11D6" w14:textId="77777777" w:rsidTr="005B03D0">
        <w:trPr>
          <w:trHeight w:val="395"/>
        </w:trPr>
        <w:tc>
          <w:tcPr>
            <w:tcW w:w="607" w:type="dxa"/>
            <w:vAlign w:val="center"/>
          </w:tcPr>
          <w:p w14:paraId="0865AD5E" w14:textId="2BC3FEE8" w:rsidR="00D43073" w:rsidRPr="005613A7" w:rsidRDefault="00D43073" w:rsidP="00D43073">
            <w:pPr>
              <w:spacing w:after="0" w:line="240" w:lineRule="auto"/>
              <w:rPr>
                <w:rFonts w:asciiTheme="minorHAnsi" w:hAnsiTheme="minorHAnsi"/>
                <w:sz w:val="20"/>
                <w:szCs w:val="20"/>
              </w:rPr>
            </w:pPr>
            <w:r w:rsidRPr="005613A7">
              <w:rPr>
                <w:rFonts w:asciiTheme="minorHAnsi" w:hAnsiTheme="minorHAnsi"/>
                <w:sz w:val="20"/>
                <w:szCs w:val="20"/>
              </w:rPr>
              <w:t>IV.7</w:t>
            </w:r>
          </w:p>
        </w:tc>
        <w:tc>
          <w:tcPr>
            <w:tcW w:w="540" w:type="dxa"/>
            <w:vAlign w:val="center"/>
          </w:tcPr>
          <w:p w14:paraId="3FB89E0E"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0E5DEA82" w14:textId="7236A373"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 xml:space="preserve">The ecolabel program does not allow commercial, financial or other pressures to compromise the confidentiality, objectivity or impartiality of </w:t>
            </w:r>
            <w:r w:rsidR="009662CF">
              <w:rPr>
                <w:rFonts w:asciiTheme="minorHAnsi" w:hAnsiTheme="minorHAnsi"/>
                <w:bCs/>
                <w:sz w:val="20"/>
                <w:szCs w:val="20"/>
              </w:rPr>
              <w:t>its</w:t>
            </w:r>
            <w:r w:rsidR="009662CF" w:rsidRPr="005613A7">
              <w:rPr>
                <w:rFonts w:asciiTheme="minorHAnsi" w:hAnsiTheme="minorHAnsi"/>
                <w:bCs/>
                <w:sz w:val="20"/>
                <w:szCs w:val="20"/>
              </w:rPr>
              <w:t xml:space="preserve"> </w:t>
            </w:r>
            <w:r w:rsidRPr="005613A7">
              <w:rPr>
                <w:rFonts w:asciiTheme="minorHAnsi" w:hAnsiTheme="minorHAnsi"/>
                <w:bCs/>
                <w:sz w:val="20"/>
                <w:szCs w:val="20"/>
              </w:rPr>
              <w:t>operations and decisions</w:t>
            </w:r>
            <w:r w:rsidR="002B25EC">
              <w:rPr>
                <w:rFonts w:asciiTheme="minorHAnsi" w:hAnsiTheme="minorHAnsi"/>
                <w:bCs/>
                <w:sz w:val="20"/>
                <w:szCs w:val="20"/>
              </w:rPr>
              <w:t xml:space="preserve"> that affect awarding the mark or registration,</w:t>
            </w:r>
            <w:r w:rsidRPr="005613A7">
              <w:rPr>
                <w:rFonts w:asciiTheme="minorHAnsi" w:hAnsiTheme="minorHAnsi"/>
                <w:bCs/>
                <w:sz w:val="20"/>
                <w:szCs w:val="20"/>
              </w:rPr>
              <w:t xml:space="preserve"> including ensuring that personnel (management and staff) are free from such pressures.</w:t>
            </w:r>
          </w:p>
          <w:p w14:paraId="43FA39FE"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8944DB0" w14:textId="2060EEB5" w:rsidR="00D43073" w:rsidRPr="005613A7" w:rsidRDefault="00D43073" w:rsidP="00D43073">
            <w:pPr>
              <w:pStyle w:val="PlainText"/>
              <w:rPr>
                <w:rFonts w:asciiTheme="minorHAnsi" w:hAnsiTheme="minorHAnsi"/>
                <w:bCs/>
                <w:sz w:val="20"/>
                <w:szCs w:val="20"/>
              </w:rPr>
            </w:pPr>
            <w:r w:rsidRPr="00B41BF5">
              <w:rPr>
                <w:rFonts w:asciiTheme="minorHAnsi" w:hAnsiTheme="minorHAnsi"/>
                <w:i/>
                <w:color w:val="2E74B5" w:themeColor="accent1" w:themeShade="BF"/>
                <w:sz w:val="20"/>
                <w:szCs w:val="20"/>
              </w:rPr>
              <w:t>IV.6 Free from Undue Pressures</w:t>
            </w:r>
          </w:p>
        </w:tc>
        <w:tc>
          <w:tcPr>
            <w:tcW w:w="4680" w:type="dxa"/>
            <w:vAlign w:val="center"/>
          </w:tcPr>
          <w:p w14:paraId="5C75212B" w14:textId="35296FC2"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Policy / procedure demonstrating that staff and management are able to remain impartial in </w:t>
            </w:r>
            <w:r w:rsidR="009662CF">
              <w:rPr>
                <w:rFonts w:asciiTheme="minorHAnsi" w:hAnsiTheme="minorHAnsi"/>
                <w:bCs/>
                <w:sz w:val="20"/>
                <w:szCs w:val="20"/>
              </w:rPr>
              <w:t>its</w:t>
            </w:r>
            <w:r w:rsidR="009662CF" w:rsidRPr="005613A7">
              <w:rPr>
                <w:rFonts w:asciiTheme="minorHAnsi" w:hAnsiTheme="minorHAnsi"/>
                <w:bCs/>
                <w:sz w:val="20"/>
                <w:szCs w:val="20"/>
              </w:rPr>
              <w:t xml:space="preserve"> </w:t>
            </w:r>
            <w:r w:rsidR="00D43073" w:rsidRPr="005613A7">
              <w:rPr>
                <w:rFonts w:asciiTheme="minorHAnsi" w:hAnsiTheme="minorHAnsi"/>
                <w:bCs/>
                <w:sz w:val="20"/>
                <w:szCs w:val="20"/>
              </w:rPr>
              <w:t>decisions concerning the ecolabel program.</w:t>
            </w:r>
          </w:p>
          <w:p w14:paraId="14864C5C" w14:textId="3788EF67" w:rsidR="00D43073" w:rsidRPr="005613A7" w:rsidRDefault="00D43073" w:rsidP="00D43073">
            <w:pPr>
              <w:spacing w:after="0" w:line="240" w:lineRule="auto"/>
              <w:rPr>
                <w:rFonts w:asciiTheme="minorHAnsi" w:hAnsiTheme="minorHAnsi"/>
                <w:bCs/>
                <w:sz w:val="20"/>
                <w:szCs w:val="20"/>
              </w:rPr>
            </w:pPr>
          </w:p>
        </w:tc>
      </w:tr>
      <w:tr w:rsidR="00D43073" w:rsidRPr="005613A7" w14:paraId="71194442" w14:textId="77777777" w:rsidTr="005B03D0">
        <w:trPr>
          <w:trHeight w:val="395"/>
        </w:trPr>
        <w:tc>
          <w:tcPr>
            <w:tcW w:w="607" w:type="dxa"/>
            <w:vAlign w:val="center"/>
          </w:tcPr>
          <w:p w14:paraId="687368FA" w14:textId="6EB11DC4"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lastRenderedPageBreak/>
              <w:t>IV.8</w:t>
            </w:r>
          </w:p>
        </w:tc>
        <w:tc>
          <w:tcPr>
            <w:tcW w:w="540" w:type="dxa"/>
            <w:vAlign w:val="center"/>
          </w:tcPr>
          <w:p w14:paraId="2E8F2F10"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52FEB722" w14:textId="11B13E6B"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The ecolabel program provides public access to, or disclosure of, up- to-date information on the types of financial support received for administering the ecolabel program.</w:t>
            </w:r>
          </w:p>
          <w:p w14:paraId="10C47A88"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460D5666" w14:textId="73AB4891" w:rsidR="00D43073" w:rsidRPr="005613A7" w:rsidRDefault="00D43073" w:rsidP="00D43073">
            <w:pPr>
              <w:spacing w:after="0" w:line="240" w:lineRule="auto"/>
              <w:rPr>
                <w:rFonts w:asciiTheme="minorHAnsi" w:hAnsiTheme="minorHAnsi"/>
                <w:bCs/>
                <w:sz w:val="20"/>
                <w:szCs w:val="20"/>
              </w:rPr>
            </w:pPr>
            <w:r w:rsidRPr="00B41BF5">
              <w:rPr>
                <w:rFonts w:asciiTheme="minorHAnsi" w:hAnsiTheme="minorHAnsi"/>
                <w:i/>
                <w:color w:val="2E74B5" w:themeColor="accent1" w:themeShade="BF"/>
                <w:sz w:val="20"/>
                <w:szCs w:val="20"/>
              </w:rPr>
              <w:t>IV.8 Information on Financial Support</w:t>
            </w:r>
          </w:p>
        </w:tc>
        <w:tc>
          <w:tcPr>
            <w:tcW w:w="4680" w:type="dxa"/>
            <w:vAlign w:val="center"/>
          </w:tcPr>
          <w:p w14:paraId="08B85BE1" w14:textId="3AFA3DBC" w:rsidR="00D43073" w:rsidRPr="005613A7" w:rsidRDefault="007A30F9" w:rsidP="00D43073">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Description of the types and sources financial support the ecolabel program relies on to support its work, such as application fees, license fees, royalties, membership fees, grants, sale of other goods and services, etc. </w:t>
            </w:r>
          </w:p>
          <w:p w14:paraId="358EFB00" w14:textId="1FB3AB26" w:rsidR="00D43073" w:rsidRPr="005613A7" w:rsidRDefault="007A30F9" w:rsidP="007A30F9">
            <w:pPr>
              <w:pStyle w:val="PlainText"/>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Description of where and how this information can be accessed.</w:t>
            </w:r>
          </w:p>
        </w:tc>
      </w:tr>
      <w:tr w:rsidR="00D43073" w:rsidRPr="005613A7" w14:paraId="19733BAA" w14:textId="77777777" w:rsidTr="005B03D0">
        <w:trPr>
          <w:trHeight w:val="395"/>
        </w:trPr>
        <w:tc>
          <w:tcPr>
            <w:tcW w:w="607" w:type="dxa"/>
            <w:vAlign w:val="center"/>
          </w:tcPr>
          <w:p w14:paraId="060DC811" w14:textId="1016E67F"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IV.9</w:t>
            </w:r>
          </w:p>
        </w:tc>
        <w:tc>
          <w:tcPr>
            <w:tcW w:w="540" w:type="dxa"/>
            <w:vAlign w:val="center"/>
          </w:tcPr>
          <w:p w14:paraId="59C0F896"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B0D661C" w14:textId="2B3073C8" w:rsidR="00D43073" w:rsidRPr="005613A7" w:rsidRDefault="00D43073" w:rsidP="00D43073">
            <w:pPr>
              <w:pStyle w:val="PlainText"/>
              <w:rPr>
                <w:rFonts w:asciiTheme="minorHAnsi" w:hAnsiTheme="minorHAnsi"/>
                <w:bCs/>
                <w:sz w:val="20"/>
                <w:szCs w:val="20"/>
              </w:rPr>
            </w:pPr>
            <w:r w:rsidRPr="005613A7">
              <w:rPr>
                <w:rFonts w:asciiTheme="minorHAnsi" w:hAnsiTheme="minorHAnsi"/>
                <w:bCs/>
                <w:sz w:val="20"/>
                <w:szCs w:val="20"/>
              </w:rPr>
              <w:t>The ecolabel program provides general information on fees, and makes this information available to applicants.</w:t>
            </w:r>
          </w:p>
          <w:p w14:paraId="4E710AE4"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2C133549" w14:textId="79EAF23D" w:rsidR="00D43073" w:rsidRPr="005613A7" w:rsidRDefault="00D43073" w:rsidP="00D43073">
            <w:pPr>
              <w:spacing w:after="0" w:line="240" w:lineRule="auto"/>
              <w:rPr>
                <w:rFonts w:asciiTheme="minorHAnsi" w:hAnsiTheme="minorHAnsi"/>
                <w:bCs/>
                <w:sz w:val="20"/>
                <w:szCs w:val="20"/>
              </w:rPr>
            </w:pPr>
            <w:r w:rsidRPr="00B41BF5">
              <w:rPr>
                <w:rFonts w:asciiTheme="minorHAnsi" w:hAnsiTheme="minorHAnsi" w:cs="Consolas"/>
                <w:i/>
                <w:color w:val="2E74B5" w:themeColor="accent1" w:themeShade="BF"/>
                <w:sz w:val="20"/>
                <w:szCs w:val="20"/>
              </w:rPr>
              <w:t>IV.9 Information on Fees</w:t>
            </w:r>
          </w:p>
        </w:tc>
        <w:tc>
          <w:tcPr>
            <w:tcW w:w="4680" w:type="dxa"/>
            <w:vAlign w:val="center"/>
          </w:tcPr>
          <w:p w14:paraId="77F007AF" w14:textId="4AB994EA"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Fee schedule information</w:t>
            </w:r>
          </w:p>
          <w:p w14:paraId="19F2F409"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OR</w:t>
            </w:r>
          </w:p>
          <w:p w14:paraId="0B354213" w14:textId="4C92B31E"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Process by which stakeholders and applicants can request information on fees (from ec</w:t>
            </w:r>
            <w:r w:rsidR="00D43073">
              <w:rPr>
                <w:rFonts w:asciiTheme="minorHAnsi" w:hAnsiTheme="minorHAnsi"/>
                <w:bCs/>
                <w:sz w:val="20"/>
                <w:szCs w:val="20"/>
              </w:rPr>
              <w:t xml:space="preserve">olabel program, CAB or both).  </w:t>
            </w:r>
          </w:p>
        </w:tc>
      </w:tr>
      <w:tr w:rsidR="00D43073" w:rsidRPr="005613A7" w14:paraId="4630CE1D" w14:textId="77777777" w:rsidTr="005B03D0">
        <w:trPr>
          <w:trHeight w:val="260"/>
        </w:trPr>
        <w:tc>
          <w:tcPr>
            <w:tcW w:w="607" w:type="dxa"/>
            <w:vAlign w:val="center"/>
          </w:tcPr>
          <w:p w14:paraId="30206C2E"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38E93618" w14:textId="66E2E7BE"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10</w:t>
            </w:r>
          </w:p>
        </w:tc>
        <w:tc>
          <w:tcPr>
            <w:tcW w:w="540" w:type="dxa"/>
            <w:vAlign w:val="center"/>
          </w:tcPr>
          <w:p w14:paraId="65CD0E75"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5BF50FFB" w14:textId="758D7DC4" w:rsidR="00D43073"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 xml:space="preserve">The ecolabel program makes publicly available </w:t>
            </w:r>
            <w:r>
              <w:rPr>
                <w:rFonts w:asciiTheme="minorHAnsi" w:hAnsiTheme="minorHAnsi"/>
                <w:bCs/>
                <w:sz w:val="20"/>
                <w:szCs w:val="20"/>
              </w:rPr>
              <w:t xml:space="preserve">(free of charge or for a reasonable cost) </w:t>
            </w:r>
            <w:r w:rsidRPr="005613A7">
              <w:rPr>
                <w:rFonts w:asciiTheme="minorHAnsi" w:hAnsiTheme="minorHAnsi"/>
                <w:bCs/>
                <w:sz w:val="20"/>
                <w:szCs w:val="20"/>
              </w:rPr>
              <w:t>the criteria and/or standard.</w:t>
            </w:r>
          </w:p>
          <w:p w14:paraId="6372E7EC"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6B0933F" w14:textId="01529768" w:rsidR="00D43073" w:rsidRPr="005613A7" w:rsidRDefault="00D43073" w:rsidP="00D43073">
            <w:pPr>
              <w:spacing w:after="0" w:line="240" w:lineRule="auto"/>
              <w:rPr>
                <w:rFonts w:asciiTheme="minorHAnsi" w:hAnsiTheme="minorHAnsi"/>
                <w:bCs/>
                <w:sz w:val="20"/>
                <w:szCs w:val="20"/>
              </w:rPr>
            </w:pPr>
            <w:r w:rsidRPr="00B41BF5">
              <w:rPr>
                <w:rFonts w:asciiTheme="minorHAnsi" w:hAnsiTheme="minorHAnsi" w:cs="Consolas"/>
                <w:i/>
                <w:color w:val="2E74B5" w:themeColor="accent1" w:themeShade="BF"/>
                <w:sz w:val="20"/>
                <w:szCs w:val="20"/>
              </w:rPr>
              <w:t>IV.10 Publicly Available Criteria</w:t>
            </w:r>
          </w:p>
        </w:tc>
        <w:tc>
          <w:tcPr>
            <w:tcW w:w="4680" w:type="dxa"/>
            <w:vAlign w:val="center"/>
          </w:tcPr>
          <w:p w14:paraId="3F0D8B37" w14:textId="32EE6522"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Internal URL for accessing the criteria and/or standard and how interested parties can access the standard.</w:t>
            </w:r>
          </w:p>
        </w:tc>
      </w:tr>
      <w:tr w:rsidR="00D43073" w:rsidRPr="005613A7" w14:paraId="06A1C388" w14:textId="77777777" w:rsidTr="005B03D0">
        <w:trPr>
          <w:trHeight w:val="395"/>
        </w:trPr>
        <w:tc>
          <w:tcPr>
            <w:tcW w:w="607" w:type="dxa"/>
            <w:vAlign w:val="center"/>
          </w:tcPr>
          <w:p w14:paraId="29E1455B"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5253D1E3" w14:textId="422E8C06"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11</w:t>
            </w:r>
          </w:p>
        </w:tc>
        <w:tc>
          <w:tcPr>
            <w:tcW w:w="540" w:type="dxa"/>
            <w:vAlign w:val="center"/>
          </w:tcPr>
          <w:p w14:paraId="74A7C049"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2A272772" w14:textId="52A80EF4"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 xml:space="preserve">The ecolabel program grants the label, mark, or </w:t>
            </w:r>
            <w:r w:rsidR="00CA2521">
              <w:rPr>
                <w:rFonts w:asciiTheme="minorHAnsi" w:hAnsiTheme="minorHAnsi"/>
                <w:bCs/>
                <w:sz w:val="20"/>
                <w:szCs w:val="20"/>
              </w:rPr>
              <w:t>registration</w:t>
            </w:r>
            <w:r w:rsidR="00CA2521" w:rsidRPr="005613A7">
              <w:rPr>
                <w:rFonts w:asciiTheme="minorHAnsi" w:hAnsiTheme="minorHAnsi"/>
                <w:bCs/>
                <w:sz w:val="20"/>
                <w:szCs w:val="20"/>
              </w:rPr>
              <w:t xml:space="preserve"> </w:t>
            </w:r>
            <w:r w:rsidRPr="005613A7">
              <w:rPr>
                <w:rFonts w:asciiTheme="minorHAnsi" w:hAnsiTheme="minorHAnsi"/>
                <w:bCs/>
                <w:sz w:val="20"/>
                <w:szCs w:val="20"/>
              </w:rPr>
              <w:t>if the product is demonstrated to be in conformance with the applicable standard, and the applicant meets the administrative and technical requirements of the program (such as paying fees, and accepting license agreements).</w:t>
            </w:r>
          </w:p>
          <w:p w14:paraId="3B2119E1"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6288B404" w14:textId="672BEF73" w:rsidR="00D43073" w:rsidRPr="005613A7" w:rsidRDefault="00D43073" w:rsidP="00D43073">
            <w:pPr>
              <w:spacing w:after="0" w:line="240" w:lineRule="auto"/>
              <w:rPr>
                <w:rFonts w:asciiTheme="minorHAnsi" w:hAnsiTheme="minorHAnsi"/>
                <w:bCs/>
                <w:sz w:val="20"/>
                <w:szCs w:val="20"/>
              </w:rPr>
            </w:pPr>
            <w:r w:rsidRPr="00543467">
              <w:rPr>
                <w:rFonts w:asciiTheme="minorHAnsi" w:hAnsiTheme="minorHAnsi" w:cs="Consolas"/>
                <w:i/>
                <w:color w:val="2E74B5" w:themeColor="accent1" w:themeShade="BF"/>
                <w:sz w:val="20"/>
                <w:szCs w:val="20"/>
              </w:rPr>
              <w:t>IV.11 Grant the Use of the Mark</w:t>
            </w:r>
          </w:p>
        </w:tc>
        <w:tc>
          <w:tcPr>
            <w:tcW w:w="4680" w:type="dxa"/>
            <w:vAlign w:val="center"/>
          </w:tcPr>
          <w:p w14:paraId="77EEEC0F" w14:textId="7EAA9E04" w:rsidR="00D43073"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Pr>
                <w:rFonts w:asciiTheme="minorHAnsi" w:hAnsiTheme="minorHAnsi"/>
                <w:bCs/>
                <w:sz w:val="20"/>
                <w:szCs w:val="20"/>
              </w:rPr>
              <w:t>Declaration that n</w:t>
            </w:r>
            <w:r w:rsidR="00D43073" w:rsidRPr="005613A7">
              <w:rPr>
                <w:rFonts w:asciiTheme="minorHAnsi" w:hAnsiTheme="minorHAnsi"/>
                <w:bCs/>
                <w:sz w:val="20"/>
                <w:szCs w:val="20"/>
              </w:rPr>
              <w:t>o other conditions or limits are placed on products or applicants in granting the use of the mark beyond those required by the standard and or administrative or technical requirements of the program.</w:t>
            </w:r>
          </w:p>
          <w:p w14:paraId="316EF544" w14:textId="57B459A6"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or procedure stating the conditions by which the label/mark/declaration will be granted</w:t>
            </w:r>
            <w:r w:rsidR="00D43073">
              <w:rPr>
                <w:rFonts w:asciiTheme="minorHAnsi" w:hAnsiTheme="minorHAnsi"/>
                <w:bCs/>
                <w:sz w:val="20"/>
                <w:szCs w:val="20"/>
              </w:rPr>
              <w:t xml:space="preserve"> and an </w:t>
            </w:r>
            <w:r w:rsidR="00D43073" w:rsidRPr="005613A7">
              <w:rPr>
                <w:rFonts w:asciiTheme="minorHAnsi" w:hAnsiTheme="minorHAnsi"/>
                <w:bCs/>
                <w:sz w:val="20"/>
                <w:szCs w:val="20"/>
              </w:rPr>
              <w:t xml:space="preserve">explanation as to </w:t>
            </w:r>
            <w:r w:rsidR="009662CF">
              <w:rPr>
                <w:rFonts w:asciiTheme="minorHAnsi" w:hAnsiTheme="minorHAnsi"/>
                <w:bCs/>
                <w:sz w:val="20"/>
                <w:szCs w:val="20"/>
              </w:rPr>
              <w:t>its</w:t>
            </w:r>
            <w:r w:rsidR="009662CF" w:rsidRPr="005613A7">
              <w:rPr>
                <w:rFonts w:asciiTheme="minorHAnsi" w:hAnsiTheme="minorHAnsi"/>
                <w:bCs/>
                <w:sz w:val="20"/>
                <w:szCs w:val="20"/>
              </w:rPr>
              <w:t xml:space="preserve"> </w:t>
            </w:r>
            <w:r w:rsidR="00D43073" w:rsidRPr="005613A7">
              <w:rPr>
                <w:rFonts w:asciiTheme="minorHAnsi" w:hAnsiTheme="minorHAnsi"/>
                <w:bCs/>
                <w:sz w:val="20"/>
                <w:szCs w:val="20"/>
              </w:rPr>
              <w:t>purp</w:t>
            </w:r>
            <w:r w:rsidR="00D43073">
              <w:rPr>
                <w:rFonts w:asciiTheme="minorHAnsi" w:hAnsiTheme="minorHAnsi"/>
                <w:bCs/>
                <w:sz w:val="20"/>
                <w:szCs w:val="20"/>
              </w:rPr>
              <w:t>ose and why they are reasonable</w:t>
            </w:r>
            <w:r w:rsidR="00D43073" w:rsidRPr="005613A7">
              <w:rPr>
                <w:rFonts w:asciiTheme="minorHAnsi" w:hAnsiTheme="minorHAnsi"/>
                <w:bCs/>
                <w:sz w:val="20"/>
                <w:szCs w:val="20"/>
              </w:rPr>
              <w:t>.</w:t>
            </w:r>
          </w:p>
          <w:p w14:paraId="60C86A06" w14:textId="6CDB7E00"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Statement of which organization conducts these activities – the ecolabel program, CAB, or both. </w:t>
            </w:r>
          </w:p>
        </w:tc>
      </w:tr>
      <w:tr w:rsidR="00D43073" w:rsidRPr="005613A7" w14:paraId="14A55F83" w14:textId="77777777" w:rsidTr="005B03D0">
        <w:trPr>
          <w:trHeight w:val="395"/>
        </w:trPr>
        <w:tc>
          <w:tcPr>
            <w:tcW w:w="607" w:type="dxa"/>
            <w:vAlign w:val="center"/>
          </w:tcPr>
          <w:p w14:paraId="0EBEA577"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5DF88BC2" w14:textId="42DE6D31"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12</w:t>
            </w:r>
          </w:p>
        </w:tc>
        <w:tc>
          <w:tcPr>
            <w:tcW w:w="540" w:type="dxa"/>
            <w:vAlign w:val="center"/>
          </w:tcPr>
          <w:p w14:paraId="231680E6"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B</w:t>
            </w:r>
          </w:p>
        </w:tc>
        <w:tc>
          <w:tcPr>
            <w:tcW w:w="5130" w:type="dxa"/>
            <w:vAlign w:val="center"/>
          </w:tcPr>
          <w:p w14:paraId="31EBD80B" w14:textId="3CE019C9" w:rsidR="00D43073" w:rsidRDefault="00D43073" w:rsidP="00D43073">
            <w:pPr>
              <w:pStyle w:val="PlainText"/>
              <w:rPr>
                <w:rFonts w:asciiTheme="minorHAnsi" w:hAnsiTheme="minorHAnsi"/>
                <w:bCs/>
                <w:sz w:val="20"/>
                <w:szCs w:val="20"/>
              </w:rPr>
            </w:pPr>
            <w:r w:rsidRPr="005613A7">
              <w:rPr>
                <w:rFonts w:asciiTheme="minorHAnsi" w:hAnsiTheme="minorHAnsi"/>
                <w:bCs/>
                <w:sz w:val="20"/>
                <w:szCs w:val="20"/>
              </w:rPr>
              <w:t>The ecolabel program has established procedures to control the use of its licenses, certificates, marks of conformity, and any other mechanisms for indicating a product meets the standard. Procedures describe actions to take for incorrect, misleading, or un-authorized use of its mark and licenses including suspension or removal o</w:t>
            </w:r>
            <w:r w:rsidR="009662CF">
              <w:rPr>
                <w:rFonts w:asciiTheme="minorHAnsi" w:hAnsiTheme="minorHAnsi"/>
                <w:bCs/>
                <w:sz w:val="20"/>
                <w:szCs w:val="20"/>
              </w:rPr>
              <w:t>f</w:t>
            </w:r>
            <w:r w:rsidRPr="005613A7">
              <w:rPr>
                <w:rFonts w:asciiTheme="minorHAnsi" w:hAnsiTheme="minorHAnsi"/>
                <w:bCs/>
                <w:sz w:val="20"/>
                <w:szCs w:val="20"/>
              </w:rPr>
              <w:t xml:space="preserve"> the mark if warranted.</w:t>
            </w:r>
          </w:p>
          <w:p w14:paraId="3FCBE64E"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315BAEDA" w14:textId="195FE502" w:rsidR="00D43073" w:rsidRPr="005613A7" w:rsidRDefault="00D43073" w:rsidP="00D43073">
            <w:pPr>
              <w:pStyle w:val="PlainText"/>
              <w:rPr>
                <w:rFonts w:asciiTheme="minorHAnsi" w:hAnsiTheme="minorHAnsi"/>
                <w:bCs/>
                <w:sz w:val="20"/>
                <w:szCs w:val="20"/>
              </w:rPr>
            </w:pPr>
            <w:r w:rsidRPr="00543467">
              <w:rPr>
                <w:rFonts w:asciiTheme="minorHAnsi" w:hAnsiTheme="minorHAnsi"/>
                <w:i/>
                <w:color w:val="2E74B5" w:themeColor="accent1" w:themeShade="BF"/>
                <w:sz w:val="20"/>
                <w:szCs w:val="20"/>
              </w:rPr>
              <w:t>IV.12 Suitable Action for Misuse</w:t>
            </w:r>
          </w:p>
        </w:tc>
        <w:tc>
          <w:tcPr>
            <w:tcW w:w="4680" w:type="dxa"/>
            <w:vAlign w:val="center"/>
          </w:tcPr>
          <w:p w14:paraId="254FBCFC" w14:textId="3B7DB6EB"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to take action on incorrect, misleading, or unauthorized use of marks or licenses.</w:t>
            </w:r>
          </w:p>
          <w:p w14:paraId="6A61CD18" w14:textId="6B9C0DE0"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 xml:space="preserve">Statement of which organization conducts these activities – the ecolabel program, CAB, or both. </w:t>
            </w:r>
          </w:p>
        </w:tc>
      </w:tr>
      <w:tr w:rsidR="00D43073" w:rsidRPr="005613A7" w14:paraId="5BD46D11" w14:textId="77777777" w:rsidTr="005B03D0">
        <w:trPr>
          <w:trHeight w:val="395"/>
        </w:trPr>
        <w:tc>
          <w:tcPr>
            <w:tcW w:w="607" w:type="dxa"/>
            <w:vAlign w:val="center"/>
          </w:tcPr>
          <w:p w14:paraId="6A0FDC05"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73A87057" w14:textId="7D78A93E" w:rsidR="00D43073" w:rsidRPr="005613A7" w:rsidRDefault="00D43073" w:rsidP="00D43073">
            <w:pPr>
              <w:spacing w:after="0" w:line="240" w:lineRule="auto"/>
              <w:rPr>
                <w:rFonts w:asciiTheme="minorHAnsi" w:hAnsiTheme="minorHAnsi"/>
                <w:sz w:val="20"/>
                <w:szCs w:val="20"/>
              </w:rPr>
            </w:pPr>
            <w:r>
              <w:rPr>
                <w:rFonts w:asciiTheme="minorHAnsi" w:hAnsiTheme="minorHAnsi"/>
                <w:sz w:val="20"/>
                <w:szCs w:val="20"/>
              </w:rPr>
              <w:t>13</w:t>
            </w:r>
          </w:p>
        </w:tc>
        <w:tc>
          <w:tcPr>
            <w:tcW w:w="540" w:type="dxa"/>
            <w:vAlign w:val="center"/>
          </w:tcPr>
          <w:p w14:paraId="1FEAB384"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09F596D0" w14:textId="0DB8DF4A" w:rsidR="00D43073" w:rsidRDefault="00D43073" w:rsidP="00D43073">
            <w:pPr>
              <w:pStyle w:val="PlainText"/>
              <w:rPr>
                <w:rFonts w:asciiTheme="minorHAnsi" w:hAnsiTheme="minorHAnsi"/>
                <w:bCs/>
                <w:sz w:val="20"/>
                <w:szCs w:val="20"/>
              </w:rPr>
            </w:pPr>
            <w:r w:rsidRPr="005613A7">
              <w:rPr>
                <w:rFonts w:asciiTheme="minorHAnsi" w:hAnsiTheme="minorHAnsi"/>
                <w:bCs/>
                <w:sz w:val="20"/>
                <w:szCs w:val="20"/>
              </w:rPr>
              <w:t>The ecolabel program has established procedures to periodically conduct market surveillance to check for incorrect, unauthorized use of its licenses, certificates, and marks of conformity, and is responsive to complaints of misuse</w:t>
            </w:r>
            <w:r w:rsidR="005A2C63" w:rsidRPr="005A2C63">
              <w:rPr>
                <w:rFonts w:asciiTheme="minorHAnsi" w:hAnsiTheme="minorHAnsi"/>
                <w:bCs/>
                <w:sz w:val="20"/>
                <w:szCs w:val="20"/>
              </w:rPr>
              <w:t xml:space="preserve"> or </w:t>
            </w:r>
            <w:r w:rsidR="005A2C63">
              <w:rPr>
                <w:rFonts w:asciiTheme="minorHAnsi" w:hAnsiTheme="minorHAnsi"/>
                <w:bCs/>
                <w:sz w:val="20"/>
                <w:szCs w:val="20"/>
              </w:rPr>
              <w:t>misinterpretation in the market</w:t>
            </w:r>
            <w:r w:rsidR="005A2C63" w:rsidRPr="005A2C63">
              <w:rPr>
                <w:rFonts w:asciiTheme="minorHAnsi" w:hAnsiTheme="minorHAnsi"/>
                <w:bCs/>
                <w:sz w:val="20"/>
                <w:szCs w:val="20"/>
              </w:rPr>
              <w:t>place</w:t>
            </w:r>
            <w:r w:rsidRPr="005613A7">
              <w:rPr>
                <w:rFonts w:asciiTheme="minorHAnsi" w:hAnsiTheme="minorHAnsi"/>
                <w:bCs/>
                <w:sz w:val="20"/>
                <w:szCs w:val="20"/>
              </w:rPr>
              <w:t>.</w:t>
            </w:r>
          </w:p>
          <w:p w14:paraId="10957929"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1BA12858" w14:textId="5155CE6B" w:rsidR="00D43073" w:rsidRPr="005613A7" w:rsidRDefault="00D43073" w:rsidP="00D43073">
            <w:pPr>
              <w:pStyle w:val="PlainText"/>
              <w:rPr>
                <w:rFonts w:asciiTheme="minorHAnsi" w:hAnsiTheme="minorHAnsi"/>
                <w:bCs/>
                <w:sz w:val="20"/>
                <w:szCs w:val="20"/>
              </w:rPr>
            </w:pPr>
            <w:r w:rsidRPr="00543467">
              <w:rPr>
                <w:rFonts w:asciiTheme="minorHAnsi" w:hAnsiTheme="minorHAnsi"/>
                <w:i/>
                <w:color w:val="2E74B5" w:themeColor="accent1" w:themeShade="BF"/>
                <w:sz w:val="20"/>
                <w:szCs w:val="20"/>
              </w:rPr>
              <w:t>IV.12 Suitable Action for Misuse</w:t>
            </w:r>
          </w:p>
          <w:p w14:paraId="2DA76475" w14:textId="77777777" w:rsidR="00D43073" w:rsidRPr="005613A7" w:rsidRDefault="00D43073" w:rsidP="00D43073">
            <w:pPr>
              <w:pStyle w:val="PlainText"/>
              <w:rPr>
                <w:rFonts w:asciiTheme="minorHAnsi" w:hAnsiTheme="minorHAnsi"/>
                <w:bCs/>
                <w:sz w:val="20"/>
                <w:szCs w:val="20"/>
              </w:rPr>
            </w:pPr>
          </w:p>
        </w:tc>
        <w:tc>
          <w:tcPr>
            <w:tcW w:w="4680" w:type="dxa"/>
            <w:vAlign w:val="center"/>
          </w:tcPr>
          <w:p w14:paraId="09C5AD81" w14:textId="5CCD3B24"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Policy / procedure requiring market surveillance by ecolabel program and/or the CAB.</w:t>
            </w:r>
          </w:p>
          <w:p w14:paraId="68E2E0DE" w14:textId="0ED90979"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Statement of which organization conducts these activities – the ecolabel program, CAB, or both.</w:t>
            </w:r>
          </w:p>
          <w:p w14:paraId="7D509F47" w14:textId="374D309D"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Procedure or resource for receiving complaints of misuse or trademark violations</w:t>
            </w:r>
          </w:p>
          <w:p w14:paraId="4FFB2EDF" w14:textId="5B4AE95E" w:rsidR="001B78BF"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w:t>
            </w:r>
            <w:r w:rsidR="00D43073">
              <w:rPr>
                <w:rFonts w:asciiTheme="minorHAnsi" w:hAnsiTheme="minorHAnsi"/>
                <w:bCs/>
                <w:sz w:val="20"/>
                <w:szCs w:val="20"/>
              </w:rPr>
              <w:t>xample of a market surveillance</w:t>
            </w:r>
            <w:r w:rsidR="00D43073" w:rsidRPr="005613A7">
              <w:rPr>
                <w:rFonts w:asciiTheme="minorHAnsi" w:hAnsiTheme="minorHAnsi"/>
                <w:bCs/>
                <w:sz w:val="20"/>
                <w:szCs w:val="20"/>
              </w:rPr>
              <w:t xml:space="preserve"> report.</w:t>
            </w:r>
          </w:p>
        </w:tc>
      </w:tr>
      <w:tr w:rsidR="003D240C" w:rsidRPr="005613A7" w14:paraId="0E750473" w14:textId="77777777" w:rsidTr="005B03D0">
        <w:trPr>
          <w:trHeight w:val="395"/>
        </w:trPr>
        <w:tc>
          <w:tcPr>
            <w:tcW w:w="607" w:type="dxa"/>
            <w:vAlign w:val="center"/>
          </w:tcPr>
          <w:p w14:paraId="2DDC96DA" w14:textId="470EF6CA" w:rsidR="003D240C" w:rsidRDefault="003D240C" w:rsidP="00D43073">
            <w:pPr>
              <w:spacing w:after="0" w:line="240" w:lineRule="auto"/>
              <w:rPr>
                <w:rFonts w:asciiTheme="minorHAnsi" w:hAnsiTheme="minorHAnsi"/>
                <w:sz w:val="20"/>
                <w:szCs w:val="20"/>
              </w:rPr>
            </w:pPr>
            <w:r>
              <w:rPr>
                <w:rFonts w:asciiTheme="minorHAnsi" w:hAnsiTheme="minorHAnsi"/>
                <w:sz w:val="20"/>
                <w:szCs w:val="20"/>
              </w:rPr>
              <w:t>IV. 14</w:t>
            </w:r>
          </w:p>
        </w:tc>
        <w:tc>
          <w:tcPr>
            <w:tcW w:w="540" w:type="dxa"/>
            <w:vAlign w:val="center"/>
          </w:tcPr>
          <w:p w14:paraId="0293EF55" w14:textId="63E79A15" w:rsidR="003D240C" w:rsidRPr="005613A7" w:rsidRDefault="003D240C" w:rsidP="00D43073">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7FFE2088" w14:textId="77777777" w:rsidR="003D240C" w:rsidRDefault="003D240C" w:rsidP="003D240C">
            <w:pPr>
              <w:pStyle w:val="PlainText"/>
              <w:rPr>
                <w:rFonts w:asciiTheme="minorHAnsi" w:hAnsiTheme="minorHAnsi"/>
                <w:bCs/>
                <w:sz w:val="20"/>
                <w:szCs w:val="20"/>
              </w:rPr>
            </w:pPr>
            <w:r w:rsidRPr="001B78BF">
              <w:rPr>
                <w:rFonts w:asciiTheme="minorHAnsi" w:hAnsiTheme="minorHAnsi"/>
                <w:bCs/>
                <w:sz w:val="20"/>
                <w:szCs w:val="20"/>
              </w:rPr>
              <w:t>If</w:t>
            </w:r>
            <w:r>
              <w:rPr>
                <w:rFonts w:asciiTheme="minorHAnsi" w:hAnsiTheme="minorHAnsi"/>
                <w:bCs/>
                <w:sz w:val="20"/>
                <w:szCs w:val="20"/>
              </w:rPr>
              <w:t xml:space="preserve"> an eco</w:t>
            </w:r>
            <w:r w:rsidRPr="001B78BF">
              <w:rPr>
                <w:rFonts w:asciiTheme="minorHAnsi" w:hAnsiTheme="minorHAnsi"/>
                <w:bCs/>
                <w:sz w:val="20"/>
                <w:szCs w:val="20"/>
              </w:rPr>
              <w:t xml:space="preserve">label is associated with more than one standard/certification, those ecolabels are markedly different from each other in application as not to confuse the marketplace or inflate a sense of compliance. </w:t>
            </w:r>
          </w:p>
          <w:p w14:paraId="005143F5" w14:textId="77777777" w:rsidR="003D240C" w:rsidRPr="005613A7" w:rsidRDefault="003D240C" w:rsidP="00D43073">
            <w:pPr>
              <w:pStyle w:val="PlainText"/>
              <w:rPr>
                <w:rFonts w:asciiTheme="minorHAnsi" w:hAnsiTheme="minorHAnsi"/>
                <w:bCs/>
                <w:sz w:val="20"/>
                <w:szCs w:val="20"/>
              </w:rPr>
            </w:pPr>
          </w:p>
        </w:tc>
        <w:tc>
          <w:tcPr>
            <w:tcW w:w="4680" w:type="dxa"/>
            <w:vAlign w:val="center"/>
          </w:tcPr>
          <w:p w14:paraId="5D511B12" w14:textId="77777777" w:rsidR="003D240C" w:rsidRDefault="003D240C" w:rsidP="003D240C">
            <w:pPr>
              <w:pStyle w:val="PlainText"/>
              <w:rPr>
                <w:rFonts w:asciiTheme="minorHAnsi" w:hAnsiTheme="minorHAnsi"/>
                <w:bCs/>
                <w:sz w:val="20"/>
                <w:szCs w:val="20"/>
              </w:rPr>
            </w:pPr>
            <w:r>
              <w:rPr>
                <w:rFonts w:asciiTheme="minorHAnsi" w:hAnsiTheme="minorHAnsi"/>
                <w:bCs/>
                <w:sz w:val="20"/>
                <w:szCs w:val="20"/>
              </w:rPr>
              <w:t>-C</w:t>
            </w:r>
            <w:r w:rsidRPr="001B78BF">
              <w:rPr>
                <w:rFonts w:asciiTheme="minorHAnsi" w:hAnsiTheme="minorHAnsi"/>
                <w:bCs/>
                <w:sz w:val="20"/>
                <w:szCs w:val="20"/>
              </w:rPr>
              <w:t xml:space="preserve">onsumer testing to make sure </w:t>
            </w:r>
            <w:r>
              <w:rPr>
                <w:rFonts w:asciiTheme="minorHAnsi" w:hAnsiTheme="minorHAnsi"/>
                <w:bCs/>
                <w:sz w:val="20"/>
                <w:szCs w:val="20"/>
              </w:rPr>
              <w:t xml:space="preserve">ecolabels associated with more than one standard </w:t>
            </w:r>
            <w:r w:rsidRPr="001B78BF">
              <w:rPr>
                <w:rFonts w:asciiTheme="minorHAnsi" w:hAnsiTheme="minorHAnsi"/>
                <w:bCs/>
                <w:sz w:val="20"/>
                <w:szCs w:val="20"/>
              </w:rPr>
              <w:t xml:space="preserve">are </w:t>
            </w:r>
            <w:r>
              <w:rPr>
                <w:rFonts w:asciiTheme="minorHAnsi" w:hAnsiTheme="minorHAnsi"/>
                <w:bCs/>
                <w:sz w:val="20"/>
                <w:szCs w:val="20"/>
              </w:rPr>
              <w:t xml:space="preserve">clearly </w:t>
            </w:r>
            <w:r w:rsidRPr="001B78BF">
              <w:rPr>
                <w:rFonts w:asciiTheme="minorHAnsi" w:hAnsiTheme="minorHAnsi"/>
                <w:bCs/>
                <w:sz w:val="20"/>
                <w:szCs w:val="20"/>
              </w:rPr>
              <w:t xml:space="preserve">interpreted </w:t>
            </w:r>
            <w:r>
              <w:rPr>
                <w:rFonts w:asciiTheme="minorHAnsi" w:hAnsiTheme="minorHAnsi"/>
                <w:bCs/>
                <w:sz w:val="20"/>
                <w:szCs w:val="20"/>
              </w:rPr>
              <w:t>as to the differences.</w:t>
            </w:r>
          </w:p>
          <w:p w14:paraId="48A8CAB3" w14:textId="77777777" w:rsidR="003D240C" w:rsidRDefault="003D240C" w:rsidP="00D43073">
            <w:pPr>
              <w:spacing w:after="0" w:line="240" w:lineRule="auto"/>
              <w:rPr>
                <w:rFonts w:asciiTheme="minorHAnsi" w:hAnsiTheme="minorHAnsi"/>
                <w:bCs/>
                <w:sz w:val="20"/>
                <w:szCs w:val="20"/>
              </w:rPr>
            </w:pPr>
          </w:p>
        </w:tc>
      </w:tr>
      <w:tr w:rsidR="00D43073" w:rsidRPr="005613A7" w14:paraId="601F2A22" w14:textId="77777777" w:rsidTr="005B03D0">
        <w:trPr>
          <w:trHeight w:val="1790"/>
        </w:trPr>
        <w:tc>
          <w:tcPr>
            <w:tcW w:w="607" w:type="dxa"/>
            <w:vAlign w:val="center"/>
          </w:tcPr>
          <w:p w14:paraId="1901B247"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lastRenderedPageBreak/>
              <w:t>IV.</w:t>
            </w:r>
          </w:p>
          <w:p w14:paraId="7B791DB3" w14:textId="3EE51A54"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15</w:t>
            </w:r>
          </w:p>
        </w:tc>
        <w:tc>
          <w:tcPr>
            <w:tcW w:w="540" w:type="dxa"/>
            <w:vAlign w:val="center"/>
          </w:tcPr>
          <w:p w14:paraId="70754333"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758EC8AF" w14:textId="77777777" w:rsidR="00D43073"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Ecolabel programs participate in mutual recognition activities such as equivalency assessments; formal mutual recognition of standards; and/or technical, administrative, or CA procedures.</w:t>
            </w:r>
          </w:p>
          <w:p w14:paraId="01B5CC20"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5DA00060" w14:textId="0F41482E" w:rsidR="00D43073" w:rsidRPr="005613A7" w:rsidRDefault="00D43073" w:rsidP="00D43073">
            <w:pPr>
              <w:spacing w:after="0" w:line="240" w:lineRule="auto"/>
              <w:rPr>
                <w:rFonts w:asciiTheme="minorHAnsi" w:hAnsiTheme="minorHAnsi"/>
                <w:bCs/>
                <w:sz w:val="20"/>
                <w:szCs w:val="20"/>
              </w:rPr>
            </w:pPr>
            <w:r w:rsidRPr="00543467">
              <w:rPr>
                <w:rFonts w:asciiTheme="minorHAnsi" w:hAnsiTheme="minorHAnsi" w:cs="Consolas"/>
                <w:i/>
                <w:color w:val="2E74B5" w:themeColor="accent1" w:themeShade="BF"/>
                <w:sz w:val="20"/>
                <w:szCs w:val="20"/>
              </w:rPr>
              <w:t>IV.13 Mutual Recognition</w:t>
            </w:r>
          </w:p>
        </w:tc>
        <w:tc>
          <w:tcPr>
            <w:tcW w:w="4680" w:type="dxa"/>
            <w:vAlign w:val="center"/>
          </w:tcPr>
          <w:p w14:paraId="5E3B3EA9" w14:textId="131DB0AA"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participation in associations and fora such as ISO, ISEAL Alliance, Global Ecolabelling Network, ASTM, etc.</w:t>
            </w:r>
          </w:p>
          <w:p w14:paraId="20DA14B8" w14:textId="750F33C9"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public statement in which ecolabel programs and or standards are mutually recognized and on what grounds.</w:t>
            </w:r>
          </w:p>
        </w:tc>
      </w:tr>
      <w:tr w:rsidR="00D43073" w:rsidRPr="005613A7" w14:paraId="466E3AE2" w14:textId="77777777" w:rsidTr="005B03D0">
        <w:trPr>
          <w:trHeight w:val="395"/>
        </w:trPr>
        <w:tc>
          <w:tcPr>
            <w:tcW w:w="607" w:type="dxa"/>
            <w:vAlign w:val="center"/>
          </w:tcPr>
          <w:p w14:paraId="1A06C812"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6A94B241" w14:textId="284A74DE"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16</w:t>
            </w:r>
          </w:p>
        </w:tc>
        <w:tc>
          <w:tcPr>
            <w:tcW w:w="540" w:type="dxa"/>
            <w:vAlign w:val="center"/>
          </w:tcPr>
          <w:p w14:paraId="65876664" w14:textId="777D0495" w:rsidR="00D43073" w:rsidRPr="005613A7" w:rsidRDefault="00D43073" w:rsidP="00D43073">
            <w:pPr>
              <w:spacing w:after="0" w:line="240" w:lineRule="auto"/>
              <w:rPr>
                <w:rFonts w:asciiTheme="minorHAnsi" w:hAnsiTheme="minorHAnsi"/>
                <w:bCs/>
                <w:sz w:val="20"/>
                <w:szCs w:val="20"/>
              </w:rPr>
            </w:pPr>
            <w:r>
              <w:rPr>
                <w:rFonts w:asciiTheme="minorHAnsi" w:hAnsiTheme="minorHAnsi"/>
                <w:bCs/>
                <w:sz w:val="20"/>
                <w:szCs w:val="20"/>
              </w:rPr>
              <w:t>L</w:t>
            </w:r>
          </w:p>
        </w:tc>
        <w:tc>
          <w:tcPr>
            <w:tcW w:w="5130" w:type="dxa"/>
            <w:vAlign w:val="center"/>
          </w:tcPr>
          <w:p w14:paraId="5956AEE7" w14:textId="2C73AA51" w:rsidR="00D43073"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 xml:space="preserve">The ecolabel program makes publically available a directory of </w:t>
            </w:r>
            <w:r w:rsidR="00CA2521">
              <w:rPr>
                <w:rFonts w:asciiTheme="minorHAnsi" w:hAnsiTheme="minorHAnsi"/>
                <w:bCs/>
                <w:sz w:val="20"/>
                <w:szCs w:val="20"/>
              </w:rPr>
              <w:t xml:space="preserve">conformant </w:t>
            </w:r>
            <w:r w:rsidRPr="005613A7">
              <w:rPr>
                <w:rFonts w:asciiTheme="minorHAnsi" w:hAnsiTheme="minorHAnsi"/>
                <w:bCs/>
                <w:sz w:val="20"/>
                <w:szCs w:val="20"/>
              </w:rPr>
              <w:t xml:space="preserve">products and their </w:t>
            </w:r>
            <w:r w:rsidR="00CA2521">
              <w:rPr>
                <w:rFonts w:asciiTheme="minorHAnsi" w:hAnsiTheme="minorHAnsi"/>
                <w:bCs/>
                <w:sz w:val="20"/>
                <w:szCs w:val="20"/>
              </w:rPr>
              <w:t>brand owner</w:t>
            </w:r>
            <w:r w:rsidRPr="005613A7">
              <w:rPr>
                <w:rFonts w:asciiTheme="minorHAnsi" w:hAnsiTheme="minorHAnsi"/>
                <w:bCs/>
                <w:sz w:val="20"/>
                <w:szCs w:val="20"/>
              </w:rPr>
              <w:t>.</w:t>
            </w:r>
            <w:r>
              <w:rPr>
                <w:rFonts w:asciiTheme="minorHAnsi" w:hAnsiTheme="minorHAnsi"/>
                <w:bCs/>
                <w:sz w:val="20"/>
                <w:szCs w:val="20"/>
              </w:rPr>
              <w:t xml:space="preserve"> The </w:t>
            </w:r>
            <w:r w:rsidRPr="005613A7">
              <w:rPr>
                <w:rFonts w:asciiTheme="minorHAnsi" w:hAnsiTheme="minorHAnsi"/>
                <w:bCs/>
                <w:sz w:val="20"/>
                <w:szCs w:val="20"/>
              </w:rPr>
              <w:t>directory</w:t>
            </w:r>
            <w:r>
              <w:rPr>
                <w:rFonts w:asciiTheme="minorHAnsi" w:hAnsiTheme="minorHAnsi"/>
                <w:bCs/>
                <w:sz w:val="20"/>
                <w:szCs w:val="20"/>
              </w:rPr>
              <w:t xml:space="preserve"> </w:t>
            </w:r>
            <w:r w:rsidRPr="005613A7">
              <w:rPr>
                <w:rFonts w:asciiTheme="minorHAnsi" w:hAnsiTheme="minorHAnsi"/>
                <w:bCs/>
                <w:sz w:val="20"/>
                <w:szCs w:val="20"/>
              </w:rPr>
              <w:t>is up to date, and/or has been updated in the last 6 months.</w:t>
            </w:r>
          </w:p>
          <w:p w14:paraId="7CA3044B" w14:textId="01FCC679" w:rsidR="00D43073" w:rsidRDefault="00D43073" w:rsidP="00D43073">
            <w:pPr>
              <w:spacing w:after="0" w:line="240" w:lineRule="auto"/>
              <w:rPr>
                <w:rFonts w:asciiTheme="minorHAnsi" w:hAnsiTheme="minorHAnsi"/>
                <w:bCs/>
                <w:sz w:val="20"/>
                <w:szCs w:val="20"/>
              </w:rPr>
            </w:pPr>
          </w:p>
          <w:p w14:paraId="14E8B473"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506E94F" w14:textId="77777777" w:rsidR="00D43073" w:rsidRDefault="00D43073" w:rsidP="00D43073">
            <w:pPr>
              <w:spacing w:after="0" w:line="240" w:lineRule="auto"/>
              <w:rPr>
                <w:rFonts w:asciiTheme="minorHAnsi" w:hAnsiTheme="minorHAnsi" w:cs="Consolas"/>
                <w:i/>
                <w:color w:val="2E74B5" w:themeColor="accent1" w:themeShade="BF"/>
                <w:sz w:val="20"/>
                <w:szCs w:val="20"/>
              </w:rPr>
            </w:pPr>
            <w:r w:rsidRPr="00543467">
              <w:rPr>
                <w:rFonts w:asciiTheme="minorHAnsi" w:hAnsiTheme="minorHAnsi" w:cs="Consolas"/>
                <w:i/>
                <w:color w:val="2E74B5" w:themeColor="accent1" w:themeShade="BF"/>
                <w:sz w:val="20"/>
                <w:szCs w:val="20"/>
              </w:rPr>
              <w:t>IV.14 Publicly Available Directory</w:t>
            </w:r>
          </w:p>
          <w:p w14:paraId="166FF10F" w14:textId="753140C8" w:rsidR="00D43073" w:rsidRPr="005613A7" w:rsidRDefault="00D43073" w:rsidP="00D43073">
            <w:pPr>
              <w:spacing w:after="0" w:line="240" w:lineRule="auto"/>
              <w:rPr>
                <w:rFonts w:asciiTheme="minorHAnsi" w:hAnsiTheme="minorHAnsi"/>
                <w:bCs/>
                <w:sz w:val="20"/>
                <w:szCs w:val="20"/>
              </w:rPr>
            </w:pPr>
            <w:r w:rsidRPr="00543467">
              <w:rPr>
                <w:rFonts w:asciiTheme="minorHAnsi" w:hAnsiTheme="minorHAnsi" w:cs="Consolas"/>
                <w:i/>
                <w:color w:val="2E74B5" w:themeColor="accent1" w:themeShade="BF"/>
                <w:sz w:val="20"/>
                <w:szCs w:val="20"/>
              </w:rPr>
              <w:t>IV.15 Current Directory</w:t>
            </w:r>
          </w:p>
        </w:tc>
        <w:tc>
          <w:tcPr>
            <w:tcW w:w="4680" w:type="dxa"/>
            <w:vAlign w:val="center"/>
          </w:tcPr>
          <w:p w14:paraId="5F7F810C" w14:textId="6342918A"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Example of the Directory in current use by the ecolabel program and/or CAB.</w:t>
            </w:r>
          </w:p>
          <w:p w14:paraId="7B552B50" w14:textId="3780DAAD" w:rsidR="00D43073"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Instructions as to how access to the directory is provided to the public.</w:t>
            </w:r>
          </w:p>
          <w:p w14:paraId="5BCC6125" w14:textId="14231099"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Date of last update to the directory is provided.</w:t>
            </w:r>
          </w:p>
          <w:p w14:paraId="05FB463D" w14:textId="6207AC16"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Demonstration that the directory was updated in the last 6 months prior to the pilot assessment.</w:t>
            </w:r>
          </w:p>
          <w:p w14:paraId="0D6B9646" w14:textId="4EEE52FE"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Dates of when products are added to directory provided.</w:t>
            </w:r>
          </w:p>
        </w:tc>
      </w:tr>
      <w:tr w:rsidR="00D43073" w:rsidRPr="005613A7" w14:paraId="3DB12E6F" w14:textId="77777777" w:rsidTr="005B03D0">
        <w:trPr>
          <w:trHeight w:val="395"/>
        </w:trPr>
        <w:tc>
          <w:tcPr>
            <w:tcW w:w="607" w:type="dxa"/>
            <w:vAlign w:val="center"/>
          </w:tcPr>
          <w:p w14:paraId="6151864C" w14:textId="77777777" w:rsidR="004E6342" w:rsidRDefault="00D43073" w:rsidP="00D43073">
            <w:pPr>
              <w:spacing w:after="0" w:line="240" w:lineRule="auto"/>
              <w:rPr>
                <w:rFonts w:asciiTheme="minorHAnsi" w:hAnsiTheme="minorHAnsi"/>
                <w:sz w:val="20"/>
                <w:szCs w:val="20"/>
              </w:rPr>
            </w:pPr>
            <w:r>
              <w:rPr>
                <w:rFonts w:asciiTheme="minorHAnsi" w:hAnsiTheme="minorHAnsi"/>
                <w:sz w:val="20"/>
                <w:szCs w:val="20"/>
              </w:rPr>
              <w:t>IV.</w:t>
            </w:r>
          </w:p>
          <w:p w14:paraId="6B1D4D42" w14:textId="769927AB" w:rsidR="00D43073" w:rsidRPr="005613A7" w:rsidRDefault="003D240C" w:rsidP="00D43073">
            <w:pPr>
              <w:spacing w:after="0" w:line="240" w:lineRule="auto"/>
              <w:rPr>
                <w:rFonts w:asciiTheme="minorHAnsi" w:hAnsiTheme="minorHAnsi"/>
                <w:sz w:val="20"/>
                <w:szCs w:val="20"/>
              </w:rPr>
            </w:pPr>
            <w:r>
              <w:rPr>
                <w:rFonts w:asciiTheme="minorHAnsi" w:hAnsiTheme="minorHAnsi"/>
                <w:sz w:val="20"/>
                <w:szCs w:val="20"/>
              </w:rPr>
              <w:t>17</w:t>
            </w:r>
          </w:p>
        </w:tc>
        <w:tc>
          <w:tcPr>
            <w:tcW w:w="540" w:type="dxa"/>
            <w:vAlign w:val="center"/>
          </w:tcPr>
          <w:p w14:paraId="5E29BE4F"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L</w:t>
            </w:r>
          </w:p>
        </w:tc>
        <w:tc>
          <w:tcPr>
            <w:tcW w:w="5130" w:type="dxa"/>
            <w:vAlign w:val="center"/>
          </w:tcPr>
          <w:p w14:paraId="38FE19C6" w14:textId="697760B2" w:rsidR="00D43073" w:rsidRPr="005613A7" w:rsidRDefault="00D43073" w:rsidP="00D43073">
            <w:pPr>
              <w:spacing w:after="0" w:line="240" w:lineRule="auto"/>
              <w:rPr>
                <w:rFonts w:asciiTheme="minorHAnsi" w:hAnsiTheme="minorHAnsi"/>
                <w:bCs/>
                <w:sz w:val="20"/>
                <w:szCs w:val="20"/>
              </w:rPr>
            </w:pPr>
          </w:p>
          <w:p w14:paraId="5FB1FE59" w14:textId="7F162C1B" w:rsidR="00D43073"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 xml:space="preserve">The ecolabel program’s directory of </w:t>
            </w:r>
            <w:r w:rsidR="00CA2521">
              <w:rPr>
                <w:rFonts w:asciiTheme="minorHAnsi" w:hAnsiTheme="minorHAnsi"/>
                <w:bCs/>
                <w:sz w:val="20"/>
                <w:szCs w:val="20"/>
              </w:rPr>
              <w:t xml:space="preserve"> conformant </w:t>
            </w:r>
            <w:r w:rsidRPr="005613A7">
              <w:rPr>
                <w:rFonts w:asciiTheme="minorHAnsi" w:hAnsiTheme="minorHAnsi"/>
                <w:bCs/>
                <w:sz w:val="20"/>
                <w:szCs w:val="20"/>
              </w:rPr>
              <w:t xml:space="preserve">products and their </w:t>
            </w:r>
            <w:r w:rsidR="00CA2521">
              <w:rPr>
                <w:rFonts w:asciiTheme="minorHAnsi" w:hAnsiTheme="minorHAnsi"/>
                <w:bCs/>
                <w:sz w:val="20"/>
                <w:szCs w:val="20"/>
              </w:rPr>
              <w:t>brand owner</w:t>
            </w:r>
            <w:r w:rsidR="00CA2521" w:rsidRPr="005613A7">
              <w:rPr>
                <w:rFonts w:asciiTheme="minorHAnsi" w:hAnsiTheme="minorHAnsi"/>
                <w:bCs/>
                <w:sz w:val="20"/>
                <w:szCs w:val="20"/>
              </w:rPr>
              <w:t xml:space="preserve"> </w:t>
            </w:r>
            <w:r w:rsidRPr="005613A7">
              <w:rPr>
                <w:rFonts w:asciiTheme="minorHAnsi" w:hAnsiTheme="minorHAnsi"/>
                <w:bCs/>
                <w:sz w:val="20"/>
                <w:szCs w:val="20"/>
              </w:rPr>
              <w:t xml:space="preserve">can be searched so that users can find conforming products and suppliers </w:t>
            </w:r>
          </w:p>
          <w:p w14:paraId="4A778023"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0276B4BE" w14:textId="23436E88" w:rsidR="00D43073" w:rsidRPr="005613A7" w:rsidRDefault="00D43073" w:rsidP="00D43073">
            <w:pPr>
              <w:spacing w:after="0" w:line="240" w:lineRule="auto"/>
              <w:rPr>
                <w:rFonts w:asciiTheme="minorHAnsi" w:hAnsiTheme="minorHAnsi"/>
                <w:bCs/>
                <w:sz w:val="20"/>
                <w:szCs w:val="20"/>
              </w:rPr>
            </w:pPr>
            <w:r w:rsidRPr="00543467">
              <w:rPr>
                <w:rFonts w:asciiTheme="minorHAnsi" w:hAnsiTheme="minorHAnsi" w:cs="Consolas"/>
                <w:i/>
                <w:color w:val="2E74B5" w:themeColor="accent1" w:themeShade="BF"/>
                <w:sz w:val="20"/>
                <w:szCs w:val="20"/>
              </w:rPr>
              <w:t>IV.16 Searchable Directory</w:t>
            </w:r>
          </w:p>
        </w:tc>
        <w:tc>
          <w:tcPr>
            <w:tcW w:w="4680" w:type="dxa"/>
            <w:vAlign w:val="center"/>
          </w:tcPr>
          <w:p w14:paraId="294DE1A8" w14:textId="27F2C918"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Explanation or demonstration of how the directory is able to be searched.</w:t>
            </w:r>
          </w:p>
          <w:p w14:paraId="1F00A0E9" w14:textId="72043207"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Note that “searched” is not meant to imply a full online database. Search functions are also found in commonly used tools such as MS Word, MS Excel and Adobe PDF.</w:t>
            </w:r>
          </w:p>
        </w:tc>
      </w:tr>
      <w:tr w:rsidR="00D43073" w:rsidRPr="005613A7" w14:paraId="7C5AA991" w14:textId="77777777" w:rsidTr="005B03D0">
        <w:trPr>
          <w:trHeight w:val="1403"/>
        </w:trPr>
        <w:tc>
          <w:tcPr>
            <w:tcW w:w="607" w:type="dxa"/>
            <w:vAlign w:val="center"/>
          </w:tcPr>
          <w:p w14:paraId="63F9E14F" w14:textId="7C2B023D" w:rsidR="00D43073" w:rsidRPr="005613A7" w:rsidRDefault="00D43073" w:rsidP="00D43073">
            <w:pPr>
              <w:spacing w:after="0" w:line="240" w:lineRule="auto"/>
              <w:rPr>
                <w:rFonts w:asciiTheme="minorHAnsi" w:hAnsiTheme="minorHAnsi"/>
                <w:sz w:val="20"/>
                <w:szCs w:val="20"/>
              </w:rPr>
            </w:pPr>
          </w:p>
        </w:tc>
        <w:tc>
          <w:tcPr>
            <w:tcW w:w="540" w:type="dxa"/>
            <w:vAlign w:val="center"/>
          </w:tcPr>
          <w:p w14:paraId="04459029"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I</w:t>
            </w:r>
          </w:p>
        </w:tc>
        <w:tc>
          <w:tcPr>
            <w:tcW w:w="5130" w:type="dxa"/>
            <w:vAlign w:val="center"/>
          </w:tcPr>
          <w:p w14:paraId="399FD27E" w14:textId="77777777" w:rsidR="00D43073" w:rsidRDefault="00D43073" w:rsidP="00D43073">
            <w:pPr>
              <w:spacing w:after="0" w:line="240" w:lineRule="auto"/>
              <w:rPr>
                <w:rFonts w:asciiTheme="minorHAnsi" w:hAnsiTheme="minorHAnsi"/>
                <w:bCs/>
                <w:sz w:val="20"/>
                <w:szCs w:val="20"/>
              </w:rPr>
            </w:pPr>
            <w:r w:rsidRPr="005613A7">
              <w:rPr>
                <w:rFonts w:asciiTheme="minorHAnsi" w:hAnsiTheme="minorHAnsi"/>
                <w:b/>
                <w:color w:val="000000"/>
                <w:sz w:val="20"/>
                <w:szCs w:val="20"/>
              </w:rPr>
              <w:t>Informational:</w:t>
            </w:r>
            <w:r w:rsidRPr="005613A7">
              <w:rPr>
                <w:rFonts w:asciiTheme="minorHAnsi" w:hAnsiTheme="minorHAnsi"/>
                <w:color w:val="000000"/>
                <w:sz w:val="20"/>
                <w:szCs w:val="20"/>
              </w:rPr>
              <w:t xml:space="preserve"> To further EPA’s understanding in this area, we are seeking information from ecolabel programs on if/how they provide regional information regarding labeled products (e.g.,</w:t>
            </w:r>
            <w:r w:rsidRPr="005613A7">
              <w:rPr>
                <w:rFonts w:asciiTheme="minorHAnsi" w:hAnsiTheme="minorHAnsi"/>
                <w:bCs/>
                <w:sz w:val="20"/>
                <w:szCs w:val="20"/>
              </w:rPr>
              <w:t xml:space="preserve"> information on the location of suppliers; national or sub-national regions where products are available on the market.)</w:t>
            </w:r>
          </w:p>
          <w:p w14:paraId="435B0F34"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BB81D0E" w14:textId="386EF21D" w:rsidR="00D43073" w:rsidRPr="005613A7" w:rsidRDefault="00D43073" w:rsidP="00D43073">
            <w:pPr>
              <w:spacing w:after="0" w:line="240" w:lineRule="auto"/>
              <w:rPr>
                <w:rFonts w:asciiTheme="minorHAnsi" w:hAnsiTheme="minorHAnsi"/>
                <w:color w:val="000000"/>
                <w:sz w:val="20"/>
                <w:szCs w:val="20"/>
              </w:rPr>
            </w:pPr>
            <w:r w:rsidRPr="00543467">
              <w:rPr>
                <w:rFonts w:asciiTheme="minorHAnsi" w:hAnsiTheme="minorHAnsi" w:cs="Consolas"/>
                <w:i/>
                <w:color w:val="2E74B5" w:themeColor="accent1" w:themeShade="BF"/>
                <w:sz w:val="20"/>
                <w:szCs w:val="20"/>
              </w:rPr>
              <w:t>IV.17 Regional Information</w:t>
            </w:r>
          </w:p>
        </w:tc>
        <w:tc>
          <w:tcPr>
            <w:tcW w:w="4680" w:type="dxa"/>
            <w:vAlign w:val="center"/>
          </w:tcPr>
          <w:p w14:paraId="613F89B6" w14:textId="260020F1"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Directory showing supplier addresses/location information.</w:t>
            </w:r>
          </w:p>
          <w:p w14:paraId="689CCEB5" w14:textId="0DE12DA9"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Directory showing where products are available (country, state, other sub-national region).</w:t>
            </w:r>
          </w:p>
        </w:tc>
      </w:tr>
      <w:tr w:rsidR="00D43073" w:rsidRPr="005613A7" w14:paraId="1148C347" w14:textId="77777777" w:rsidTr="005B03D0">
        <w:trPr>
          <w:trHeight w:val="395"/>
        </w:trPr>
        <w:tc>
          <w:tcPr>
            <w:tcW w:w="607" w:type="dxa"/>
            <w:vAlign w:val="center"/>
          </w:tcPr>
          <w:p w14:paraId="453C9BEE" w14:textId="1901CC62" w:rsidR="00D43073" w:rsidRPr="005613A7" w:rsidRDefault="00D43073" w:rsidP="00D43073">
            <w:pPr>
              <w:spacing w:after="0" w:line="240" w:lineRule="auto"/>
              <w:rPr>
                <w:rFonts w:asciiTheme="minorHAnsi" w:hAnsiTheme="minorHAnsi"/>
                <w:sz w:val="20"/>
                <w:szCs w:val="20"/>
              </w:rPr>
            </w:pPr>
          </w:p>
        </w:tc>
        <w:tc>
          <w:tcPr>
            <w:tcW w:w="540" w:type="dxa"/>
            <w:vAlign w:val="center"/>
          </w:tcPr>
          <w:p w14:paraId="4136DC5E" w14:textId="77777777"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I</w:t>
            </w:r>
          </w:p>
        </w:tc>
        <w:tc>
          <w:tcPr>
            <w:tcW w:w="5130" w:type="dxa"/>
            <w:vAlign w:val="center"/>
          </w:tcPr>
          <w:p w14:paraId="4FC8D026" w14:textId="77777777" w:rsidR="00D43073" w:rsidRDefault="00D43073" w:rsidP="00D43073">
            <w:pPr>
              <w:spacing w:after="0" w:line="240" w:lineRule="auto"/>
              <w:rPr>
                <w:rFonts w:asciiTheme="minorHAnsi" w:hAnsiTheme="minorHAnsi"/>
                <w:bCs/>
                <w:sz w:val="20"/>
                <w:szCs w:val="20"/>
              </w:rPr>
            </w:pPr>
            <w:r w:rsidRPr="005613A7">
              <w:rPr>
                <w:rFonts w:asciiTheme="minorHAnsi" w:hAnsiTheme="minorHAnsi"/>
                <w:b/>
                <w:color w:val="000000"/>
                <w:sz w:val="20"/>
                <w:szCs w:val="20"/>
              </w:rPr>
              <w:t>Informational:</w:t>
            </w:r>
            <w:r w:rsidRPr="005613A7">
              <w:rPr>
                <w:rFonts w:asciiTheme="minorHAnsi" w:hAnsiTheme="minorHAnsi"/>
                <w:color w:val="000000"/>
                <w:sz w:val="20"/>
                <w:szCs w:val="20"/>
              </w:rPr>
              <w:t xml:space="preserve"> To further EPA’s understanding in this area, we are seeking information from ecolabel programs on if/how </w:t>
            </w:r>
            <w:r w:rsidRPr="005613A7">
              <w:rPr>
                <w:rFonts w:asciiTheme="minorHAnsi" w:hAnsiTheme="minorHAnsi"/>
                <w:bCs/>
                <w:sz w:val="20"/>
                <w:szCs w:val="20"/>
              </w:rPr>
              <w:t>the ecolabel program conducts or participates in a periodic analysis and/or publishes the uptake of the ecolabel in the marketplace.</w:t>
            </w:r>
          </w:p>
          <w:p w14:paraId="65E6199E"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0B0D2FE" w14:textId="1038E749" w:rsidR="00D43073" w:rsidRPr="005613A7" w:rsidRDefault="00D43073" w:rsidP="00D43073">
            <w:pPr>
              <w:spacing w:after="0" w:line="240" w:lineRule="auto"/>
              <w:rPr>
                <w:rFonts w:asciiTheme="minorHAnsi" w:hAnsiTheme="minorHAnsi"/>
                <w:color w:val="000000"/>
                <w:sz w:val="20"/>
                <w:szCs w:val="20"/>
              </w:rPr>
            </w:pPr>
            <w:r w:rsidRPr="00543467">
              <w:rPr>
                <w:rFonts w:asciiTheme="minorHAnsi" w:hAnsiTheme="minorHAnsi" w:cs="Consolas"/>
                <w:i/>
                <w:color w:val="2E74B5" w:themeColor="accent1" w:themeShade="BF"/>
                <w:sz w:val="20"/>
                <w:szCs w:val="20"/>
              </w:rPr>
              <w:t>IV.18 Analyses of Market Uptake</w:t>
            </w:r>
          </w:p>
        </w:tc>
        <w:tc>
          <w:tcPr>
            <w:tcW w:w="4680" w:type="dxa"/>
            <w:vAlign w:val="center"/>
          </w:tcPr>
          <w:p w14:paraId="4A9B5A1A" w14:textId="12A15A7B"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Example of analysis of marketplace uptake of the ecolabel products including market share, recognition in institutional procurement guidelines of the ecolabel or standard, or other indicators of the ecolabel’s presence.</w:t>
            </w:r>
          </w:p>
          <w:p w14:paraId="574656F3" w14:textId="78E3ADD5" w:rsidR="00D43073" w:rsidRPr="005613A7" w:rsidRDefault="007A30F9" w:rsidP="007A30F9">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Example of market report published.</w:t>
            </w:r>
          </w:p>
        </w:tc>
      </w:tr>
      <w:tr w:rsidR="00D43073" w:rsidRPr="005613A7" w14:paraId="30EA7E87" w14:textId="77777777" w:rsidTr="005B03D0">
        <w:trPr>
          <w:trHeight w:val="395"/>
        </w:trPr>
        <w:tc>
          <w:tcPr>
            <w:tcW w:w="607" w:type="dxa"/>
            <w:vAlign w:val="center"/>
          </w:tcPr>
          <w:p w14:paraId="551BAE18" w14:textId="750A8691" w:rsidR="00D43073" w:rsidRPr="005613A7" w:rsidRDefault="00D43073" w:rsidP="00D43073">
            <w:pPr>
              <w:spacing w:after="0" w:line="240" w:lineRule="auto"/>
              <w:rPr>
                <w:rFonts w:asciiTheme="minorHAnsi" w:hAnsiTheme="minorHAnsi"/>
                <w:sz w:val="20"/>
                <w:szCs w:val="20"/>
              </w:rPr>
            </w:pPr>
          </w:p>
        </w:tc>
        <w:tc>
          <w:tcPr>
            <w:tcW w:w="540" w:type="dxa"/>
            <w:vAlign w:val="center"/>
          </w:tcPr>
          <w:p w14:paraId="21F2A2A4" w14:textId="6A590CEC" w:rsidR="00D43073" w:rsidRPr="005613A7" w:rsidRDefault="00D43073" w:rsidP="00D43073">
            <w:pPr>
              <w:spacing w:after="0" w:line="240" w:lineRule="auto"/>
              <w:rPr>
                <w:rFonts w:asciiTheme="minorHAnsi" w:hAnsiTheme="minorHAnsi"/>
                <w:bCs/>
                <w:sz w:val="20"/>
                <w:szCs w:val="20"/>
              </w:rPr>
            </w:pPr>
            <w:r w:rsidRPr="005613A7">
              <w:rPr>
                <w:rFonts w:asciiTheme="minorHAnsi" w:hAnsiTheme="minorHAnsi"/>
                <w:bCs/>
                <w:sz w:val="20"/>
                <w:szCs w:val="20"/>
              </w:rPr>
              <w:t>I</w:t>
            </w:r>
          </w:p>
        </w:tc>
        <w:tc>
          <w:tcPr>
            <w:tcW w:w="5130" w:type="dxa"/>
            <w:vAlign w:val="center"/>
          </w:tcPr>
          <w:p w14:paraId="7196E760" w14:textId="68B55704" w:rsidR="00D43073" w:rsidRDefault="00D43073" w:rsidP="00D43073">
            <w:pPr>
              <w:spacing w:after="0" w:line="240" w:lineRule="auto"/>
              <w:rPr>
                <w:rFonts w:asciiTheme="minorHAnsi" w:hAnsiTheme="minorHAnsi"/>
                <w:color w:val="000000"/>
                <w:sz w:val="20"/>
                <w:szCs w:val="20"/>
              </w:rPr>
            </w:pPr>
            <w:r w:rsidRPr="005613A7">
              <w:rPr>
                <w:rFonts w:asciiTheme="minorHAnsi" w:hAnsiTheme="minorHAnsi"/>
                <w:b/>
                <w:color w:val="000000"/>
                <w:sz w:val="20"/>
                <w:szCs w:val="20"/>
              </w:rPr>
              <w:t>Informational:</w:t>
            </w:r>
            <w:r w:rsidRPr="005613A7">
              <w:rPr>
                <w:rFonts w:asciiTheme="minorHAnsi" w:hAnsiTheme="minorHAnsi"/>
                <w:color w:val="000000"/>
                <w:sz w:val="20"/>
                <w:szCs w:val="20"/>
              </w:rPr>
              <w:t xml:space="preserve"> To further EPA’s understanding in this area, we are seeking information from ecolabel programs regarding rules and procedures that aim to ensure a balance of interests among stakeholders in the program’s governance.</w:t>
            </w:r>
          </w:p>
          <w:p w14:paraId="45373859" w14:textId="77777777" w:rsidR="00D43073" w:rsidRPr="00B41BF5" w:rsidRDefault="00D43073" w:rsidP="00D43073">
            <w:pPr>
              <w:spacing w:after="0" w:line="240" w:lineRule="auto"/>
              <w:rPr>
                <w:rFonts w:asciiTheme="minorHAnsi" w:hAnsiTheme="minorHAnsi"/>
                <w:color w:val="2E74B5" w:themeColor="accent1" w:themeShade="BF"/>
                <w:sz w:val="20"/>
                <w:szCs w:val="20"/>
              </w:rPr>
            </w:pPr>
            <w:r w:rsidRPr="00B41BF5">
              <w:rPr>
                <w:rFonts w:asciiTheme="minorHAnsi" w:hAnsiTheme="minorHAnsi"/>
                <w:i/>
                <w:color w:val="2E74B5" w:themeColor="accent1" w:themeShade="BF"/>
                <w:sz w:val="20"/>
                <w:szCs w:val="20"/>
              </w:rPr>
              <w:t>Addresses the following Draft Guideline(s):</w:t>
            </w:r>
            <w:r w:rsidRPr="00B41BF5">
              <w:rPr>
                <w:rFonts w:asciiTheme="minorHAnsi" w:hAnsiTheme="minorHAnsi"/>
                <w:color w:val="2E74B5" w:themeColor="accent1" w:themeShade="BF"/>
                <w:sz w:val="20"/>
                <w:szCs w:val="20"/>
              </w:rPr>
              <w:t xml:space="preserve"> </w:t>
            </w:r>
          </w:p>
          <w:p w14:paraId="745631D6" w14:textId="274DFDB6" w:rsidR="00D43073" w:rsidRPr="005613A7" w:rsidRDefault="00D43073" w:rsidP="00D43073">
            <w:pPr>
              <w:spacing w:after="0" w:line="240" w:lineRule="auto"/>
              <w:rPr>
                <w:rFonts w:asciiTheme="minorHAnsi" w:hAnsiTheme="minorHAnsi"/>
                <w:b/>
                <w:bCs/>
                <w:sz w:val="20"/>
                <w:szCs w:val="20"/>
              </w:rPr>
            </w:pPr>
            <w:r w:rsidRPr="00543467">
              <w:rPr>
                <w:rFonts w:asciiTheme="minorHAnsi" w:hAnsiTheme="minorHAnsi" w:cs="Consolas"/>
                <w:i/>
                <w:color w:val="2E74B5" w:themeColor="accent1" w:themeShade="BF"/>
                <w:sz w:val="20"/>
                <w:szCs w:val="20"/>
              </w:rPr>
              <w:t>IV.5 Balance of Interests</w:t>
            </w:r>
          </w:p>
        </w:tc>
        <w:tc>
          <w:tcPr>
            <w:tcW w:w="4680" w:type="dxa"/>
            <w:vAlign w:val="center"/>
          </w:tcPr>
          <w:p w14:paraId="0392F358" w14:textId="5190C45B"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Definition of interest/stakeholder categories relevant to the ecolabel program.</w:t>
            </w:r>
          </w:p>
          <w:p w14:paraId="63CE4B48" w14:textId="0AF8A932" w:rsidR="00D43073" w:rsidRPr="005613A7" w:rsidRDefault="007A30F9" w:rsidP="00D43073">
            <w:pPr>
              <w:spacing w:after="0" w:line="240" w:lineRule="auto"/>
              <w:rPr>
                <w:rFonts w:asciiTheme="minorHAnsi" w:hAnsiTheme="minorHAnsi"/>
                <w:bCs/>
                <w:sz w:val="20"/>
                <w:szCs w:val="20"/>
              </w:rPr>
            </w:pPr>
            <w:r>
              <w:rPr>
                <w:rFonts w:asciiTheme="minorHAnsi" w:hAnsiTheme="minorHAnsi"/>
                <w:bCs/>
                <w:sz w:val="20"/>
                <w:szCs w:val="20"/>
              </w:rPr>
              <w:t>-</w:t>
            </w:r>
            <w:r w:rsidR="00D43073" w:rsidRPr="005613A7">
              <w:rPr>
                <w:rFonts w:asciiTheme="minorHAnsi" w:hAnsiTheme="minorHAnsi"/>
                <w:bCs/>
                <w:sz w:val="20"/>
                <w:szCs w:val="20"/>
              </w:rPr>
              <w:t>Documentation of formal rules and procedures for ensuring balance of interest.</w:t>
            </w:r>
          </w:p>
          <w:p w14:paraId="29C2CACA" w14:textId="77777777" w:rsidR="00D43073" w:rsidRPr="005613A7" w:rsidRDefault="00D43073" w:rsidP="00D43073">
            <w:pPr>
              <w:spacing w:after="0" w:line="240" w:lineRule="auto"/>
              <w:rPr>
                <w:rFonts w:asciiTheme="minorHAnsi" w:hAnsiTheme="minorHAnsi"/>
                <w:bCs/>
                <w:sz w:val="20"/>
                <w:szCs w:val="20"/>
              </w:rPr>
            </w:pPr>
          </w:p>
        </w:tc>
      </w:tr>
    </w:tbl>
    <w:p w14:paraId="2F783EFB" w14:textId="77777777" w:rsidR="004D664F" w:rsidRPr="005613A7" w:rsidRDefault="004D664F" w:rsidP="001375D1">
      <w:pPr>
        <w:spacing w:after="0" w:line="240" w:lineRule="auto"/>
        <w:rPr>
          <w:rFonts w:asciiTheme="minorHAnsi" w:hAnsiTheme="minorHAnsi"/>
          <w:sz w:val="20"/>
          <w:szCs w:val="20"/>
        </w:rPr>
      </w:pPr>
    </w:p>
    <w:sectPr w:rsidR="004D664F" w:rsidRPr="005613A7" w:rsidSect="00E87127">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FC8D8" w14:textId="77777777" w:rsidR="00156444" w:rsidRDefault="00156444" w:rsidP="003E4847">
      <w:pPr>
        <w:spacing w:after="0" w:line="240" w:lineRule="auto"/>
      </w:pPr>
      <w:r>
        <w:separator/>
      </w:r>
    </w:p>
  </w:endnote>
  <w:endnote w:type="continuationSeparator" w:id="0">
    <w:p w14:paraId="7728E821" w14:textId="77777777" w:rsidR="00156444" w:rsidRDefault="00156444" w:rsidP="003E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FFE4" w14:textId="77777777" w:rsidR="00D55BBF" w:rsidRDefault="00D55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060B" w14:textId="51AF18A2" w:rsidR="000D3050" w:rsidRPr="0092486C" w:rsidRDefault="000D3050" w:rsidP="00D723B3">
    <w:pPr>
      <w:pBdr>
        <w:top w:val="single" w:sz="4" w:space="3" w:color="auto"/>
      </w:pBdr>
      <w:tabs>
        <w:tab w:val="right" w:pos="9360"/>
      </w:tabs>
      <w:rPr>
        <w:rFonts w:cs="Calibri"/>
        <w:sz w:val="20"/>
        <w:szCs w:val="20"/>
      </w:rPr>
    </w:pPr>
    <w:r>
      <w:rPr>
        <w:i/>
      </w:rPr>
      <w:t xml:space="preserve">Final </w:t>
    </w:r>
    <w:r w:rsidRPr="00D723B3">
      <w:rPr>
        <w:i/>
      </w:rPr>
      <w:t>Guidelines Pilot</w:t>
    </w:r>
    <w:r>
      <w:rPr>
        <w:i/>
      </w:rPr>
      <w:t xml:space="preserve"> </w:t>
    </w:r>
    <w:r w:rsidRPr="00D723B3">
      <w:rPr>
        <w:i/>
      </w:rPr>
      <w:t xml:space="preserve">Criteria - </w:t>
    </w:r>
    <w:r w:rsidRPr="00D723B3">
      <w:rPr>
        <w:rFonts w:cs="Calibri"/>
        <w:i/>
        <w:sz w:val="20"/>
        <w:szCs w:val="20"/>
      </w:rPr>
      <w:t>Does not necessarily reflect EPA positions or policy</w:t>
    </w:r>
    <w:r>
      <w:rPr>
        <w:rFonts w:cs="Calibri"/>
        <w:i/>
        <w:sz w:val="20"/>
        <w:szCs w:val="20"/>
      </w:rPr>
      <w:tab/>
    </w:r>
    <w:r w:rsidRPr="0092486C">
      <w:rPr>
        <w:rFonts w:cs="Calibri"/>
        <w:i/>
        <w:sz w:val="20"/>
        <w:szCs w:val="20"/>
      </w:rPr>
      <w:t xml:space="preserve">Page </w:t>
    </w:r>
    <w:r w:rsidRPr="0092486C">
      <w:rPr>
        <w:rFonts w:cs="Calibri"/>
        <w:i/>
        <w:sz w:val="20"/>
        <w:szCs w:val="20"/>
      </w:rPr>
      <w:fldChar w:fldCharType="begin"/>
    </w:r>
    <w:r w:rsidRPr="0092486C">
      <w:rPr>
        <w:rFonts w:cs="Calibri"/>
        <w:i/>
        <w:sz w:val="20"/>
        <w:szCs w:val="20"/>
      </w:rPr>
      <w:instrText xml:space="preserve"> PAGE </w:instrText>
    </w:r>
    <w:r w:rsidRPr="0092486C">
      <w:rPr>
        <w:rFonts w:cs="Calibri"/>
        <w:i/>
        <w:sz w:val="20"/>
        <w:szCs w:val="20"/>
      </w:rPr>
      <w:fldChar w:fldCharType="separate"/>
    </w:r>
    <w:r w:rsidR="007C4023">
      <w:rPr>
        <w:rFonts w:cs="Calibri"/>
        <w:i/>
        <w:noProof/>
        <w:sz w:val="20"/>
        <w:szCs w:val="20"/>
      </w:rPr>
      <w:t>1</w:t>
    </w:r>
    <w:r w:rsidRPr="0092486C">
      <w:rPr>
        <w:rFonts w:cs="Calibri"/>
        <w:i/>
        <w:sz w:val="20"/>
        <w:szCs w:val="20"/>
      </w:rPr>
      <w:fldChar w:fldCharType="end"/>
    </w:r>
    <w:r w:rsidRPr="0092486C">
      <w:rPr>
        <w:rFonts w:cs="Calibri"/>
        <w:i/>
        <w:sz w:val="20"/>
        <w:szCs w:val="20"/>
      </w:rPr>
      <w:t xml:space="preserve"> of </w:t>
    </w:r>
    <w:r w:rsidRPr="0092486C">
      <w:rPr>
        <w:rFonts w:cs="Calibri"/>
        <w:i/>
        <w:sz w:val="20"/>
        <w:szCs w:val="20"/>
      </w:rPr>
      <w:fldChar w:fldCharType="begin"/>
    </w:r>
    <w:r w:rsidRPr="0092486C">
      <w:rPr>
        <w:rFonts w:cs="Calibri"/>
        <w:i/>
        <w:sz w:val="20"/>
        <w:szCs w:val="20"/>
      </w:rPr>
      <w:instrText xml:space="preserve"> NUMPAGES </w:instrText>
    </w:r>
    <w:r w:rsidRPr="0092486C">
      <w:rPr>
        <w:rFonts w:cs="Calibri"/>
        <w:i/>
        <w:sz w:val="20"/>
        <w:szCs w:val="20"/>
      </w:rPr>
      <w:fldChar w:fldCharType="separate"/>
    </w:r>
    <w:r w:rsidR="007C4023">
      <w:rPr>
        <w:rFonts w:cs="Calibri"/>
        <w:i/>
        <w:noProof/>
        <w:sz w:val="20"/>
        <w:szCs w:val="20"/>
      </w:rPr>
      <w:t>25</w:t>
    </w:r>
    <w:r w:rsidRPr="0092486C">
      <w:rPr>
        <w:rFonts w:cs="Calibri"/>
        <w: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7189" w14:textId="77777777" w:rsidR="00D55BBF" w:rsidRDefault="00D55B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C381" w14:textId="513022A2" w:rsidR="000D3050" w:rsidRPr="00B50F94" w:rsidRDefault="000D3050" w:rsidP="00B3464C">
    <w:pPr>
      <w:pBdr>
        <w:top w:val="single" w:sz="4" w:space="3" w:color="auto"/>
      </w:pBdr>
      <w:tabs>
        <w:tab w:val="center" w:pos="4320"/>
        <w:tab w:val="right" w:pos="13320"/>
      </w:tabs>
      <w:spacing w:after="0" w:line="240" w:lineRule="auto"/>
      <w:rPr>
        <w:rFonts w:cs="Calibri"/>
        <w:sz w:val="18"/>
        <w:szCs w:val="20"/>
      </w:rPr>
    </w:pPr>
    <w:r>
      <w:rPr>
        <w:i/>
        <w:sz w:val="18"/>
      </w:rPr>
      <w:t xml:space="preserve">Final </w:t>
    </w:r>
    <w:r w:rsidRPr="00B50F94">
      <w:rPr>
        <w:i/>
        <w:sz w:val="18"/>
      </w:rPr>
      <w:t xml:space="preserve">Guidelines Pilot Criteria - </w:t>
    </w:r>
    <w:r w:rsidRPr="00B50F94">
      <w:rPr>
        <w:rFonts w:cs="Calibri"/>
        <w:i/>
        <w:sz w:val="18"/>
        <w:szCs w:val="20"/>
      </w:rPr>
      <w:t>Does not neces</w:t>
    </w:r>
    <w:r>
      <w:rPr>
        <w:rFonts w:cs="Calibri"/>
        <w:i/>
        <w:sz w:val="18"/>
        <w:szCs w:val="20"/>
      </w:rPr>
      <w:t xml:space="preserve">sarily reflect EPA positions or </w:t>
    </w:r>
    <w:r w:rsidRPr="00B50F94">
      <w:rPr>
        <w:rFonts w:cs="Calibri"/>
        <w:i/>
        <w:sz w:val="18"/>
        <w:szCs w:val="20"/>
      </w:rPr>
      <w:t>policy</w:t>
    </w:r>
    <w:r>
      <w:rPr>
        <w:rFonts w:cs="Calibri"/>
        <w:i/>
        <w:sz w:val="20"/>
        <w:szCs w:val="20"/>
      </w:rPr>
      <w:tab/>
    </w:r>
    <w:r w:rsidRPr="00B50F94">
      <w:rPr>
        <w:rFonts w:cs="Calibri"/>
        <w:i/>
        <w:sz w:val="18"/>
        <w:szCs w:val="20"/>
      </w:rPr>
      <w:t xml:space="preserve">Page </w:t>
    </w:r>
    <w:r w:rsidRPr="00B50F94">
      <w:rPr>
        <w:rFonts w:cs="Calibri"/>
        <w:i/>
        <w:sz w:val="18"/>
        <w:szCs w:val="20"/>
      </w:rPr>
      <w:fldChar w:fldCharType="begin"/>
    </w:r>
    <w:r w:rsidRPr="00B50F94">
      <w:rPr>
        <w:rFonts w:cs="Calibri"/>
        <w:i/>
        <w:sz w:val="18"/>
        <w:szCs w:val="20"/>
      </w:rPr>
      <w:instrText xml:space="preserve"> PAGE </w:instrText>
    </w:r>
    <w:r w:rsidRPr="00B50F94">
      <w:rPr>
        <w:rFonts w:cs="Calibri"/>
        <w:i/>
        <w:sz w:val="18"/>
        <w:szCs w:val="20"/>
      </w:rPr>
      <w:fldChar w:fldCharType="separate"/>
    </w:r>
    <w:r w:rsidR="007C4023">
      <w:rPr>
        <w:rFonts w:cs="Calibri"/>
        <w:i/>
        <w:noProof/>
        <w:sz w:val="18"/>
        <w:szCs w:val="20"/>
      </w:rPr>
      <w:t>21</w:t>
    </w:r>
    <w:r w:rsidRPr="00B50F94">
      <w:rPr>
        <w:rFonts w:cs="Calibri"/>
        <w:i/>
        <w:sz w:val="18"/>
        <w:szCs w:val="20"/>
      </w:rPr>
      <w:fldChar w:fldCharType="end"/>
    </w:r>
    <w:r w:rsidRPr="00B50F94">
      <w:rPr>
        <w:rFonts w:cs="Calibri"/>
        <w:i/>
        <w:sz w:val="18"/>
        <w:szCs w:val="20"/>
      </w:rPr>
      <w:t xml:space="preserve"> of </w:t>
    </w:r>
    <w:r w:rsidRPr="00B50F94">
      <w:rPr>
        <w:rFonts w:cs="Calibri"/>
        <w:i/>
        <w:sz w:val="18"/>
        <w:szCs w:val="20"/>
      </w:rPr>
      <w:fldChar w:fldCharType="begin"/>
    </w:r>
    <w:r w:rsidRPr="00B50F94">
      <w:rPr>
        <w:rFonts w:cs="Calibri"/>
        <w:i/>
        <w:sz w:val="18"/>
        <w:szCs w:val="20"/>
      </w:rPr>
      <w:instrText xml:space="preserve"> NUMPAGES </w:instrText>
    </w:r>
    <w:r w:rsidRPr="00B50F94">
      <w:rPr>
        <w:rFonts w:cs="Calibri"/>
        <w:i/>
        <w:sz w:val="18"/>
        <w:szCs w:val="20"/>
      </w:rPr>
      <w:fldChar w:fldCharType="separate"/>
    </w:r>
    <w:r w:rsidR="007C4023">
      <w:rPr>
        <w:rFonts w:cs="Calibri"/>
        <w:i/>
        <w:noProof/>
        <w:sz w:val="18"/>
        <w:szCs w:val="20"/>
      </w:rPr>
      <w:t>25</w:t>
    </w:r>
    <w:r w:rsidRPr="00B50F94">
      <w:rPr>
        <w:rFonts w:cs="Calibri"/>
        <w: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968E4" w14:textId="77777777" w:rsidR="00156444" w:rsidRDefault="00156444" w:rsidP="003E4847">
      <w:pPr>
        <w:spacing w:after="0" w:line="240" w:lineRule="auto"/>
      </w:pPr>
      <w:r>
        <w:separator/>
      </w:r>
    </w:p>
  </w:footnote>
  <w:footnote w:type="continuationSeparator" w:id="0">
    <w:p w14:paraId="71AD412C" w14:textId="77777777" w:rsidR="00156444" w:rsidRDefault="00156444" w:rsidP="003E4847">
      <w:pPr>
        <w:spacing w:after="0" w:line="240" w:lineRule="auto"/>
      </w:pPr>
      <w:r>
        <w:continuationSeparator/>
      </w:r>
    </w:p>
  </w:footnote>
  <w:footnote w:id="1">
    <w:p w14:paraId="2B0D496A" w14:textId="7CA6FCAE" w:rsidR="001A553D" w:rsidRPr="0019094D" w:rsidRDefault="001A553D">
      <w:pPr>
        <w:pStyle w:val="FootnoteText"/>
      </w:pPr>
      <w:r w:rsidRPr="0019094D">
        <w:rPr>
          <w:rStyle w:val="FootnoteReference"/>
        </w:rPr>
        <w:footnoteRef/>
      </w:r>
      <w:r w:rsidRPr="0019094D">
        <w:t xml:space="preserve"> For more information on the Pilot, please visit: </w:t>
      </w:r>
      <w:hyperlink r:id="rId1" w:history="1">
        <w:r w:rsidRPr="0019094D">
          <w:rPr>
            <w:rStyle w:val="Hyperlink"/>
          </w:rPr>
          <w:t>http://www.resolv.org/site-guidelines/</w:t>
        </w:r>
      </w:hyperlink>
      <w:r w:rsidRPr="0019094D">
        <w:t xml:space="preserve"> </w:t>
      </w:r>
    </w:p>
  </w:footnote>
  <w:footnote w:id="2">
    <w:p w14:paraId="5141A9F7" w14:textId="650D5C78" w:rsidR="000D3050" w:rsidRPr="0019094D" w:rsidRDefault="000D3050" w:rsidP="002A27C8">
      <w:pPr>
        <w:spacing w:after="0" w:line="240" w:lineRule="auto"/>
        <w:rPr>
          <w:rFonts w:asciiTheme="minorHAnsi" w:hAnsiTheme="minorHAnsi"/>
          <w:i/>
          <w:sz w:val="18"/>
          <w:szCs w:val="16"/>
        </w:rPr>
      </w:pPr>
      <w:r w:rsidRPr="0019094D">
        <w:rPr>
          <w:rStyle w:val="FootnoteReference"/>
          <w:sz w:val="24"/>
        </w:rPr>
        <w:footnoteRef/>
      </w:r>
      <w:r w:rsidRPr="0019094D">
        <w:rPr>
          <w:sz w:val="24"/>
        </w:rPr>
        <w:t xml:space="preserve"> </w:t>
      </w:r>
      <w:r w:rsidRPr="0019094D">
        <w:rPr>
          <w:rFonts w:asciiTheme="minorHAnsi" w:hAnsiTheme="minorHAnsi"/>
          <w:sz w:val="18"/>
          <w:szCs w:val="16"/>
        </w:rPr>
        <w:t xml:space="preserve">The Draft Guidelines can be found at: </w:t>
      </w:r>
    </w:p>
    <w:p w14:paraId="3CF25BA6" w14:textId="5F22383A" w:rsidR="000D3050" w:rsidRPr="0019094D" w:rsidRDefault="00156444" w:rsidP="002A27C8">
      <w:pPr>
        <w:pStyle w:val="FootnoteText"/>
      </w:pPr>
      <w:hyperlink r:id="rId2" w:history="1">
        <w:r w:rsidR="000D3050" w:rsidRPr="0019094D">
          <w:rPr>
            <w:rStyle w:val="Hyperlink"/>
            <w:rFonts w:asciiTheme="minorHAnsi" w:hAnsiTheme="minorHAnsi"/>
            <w:sz w:val="18"/>
            <w:szCs w:val="16"/>
          </w:rPr>
          <w:t>http://www.epa.gov/sites/production/files/2015-09/documents/draftguidelines_i_-_iii_-_iv_-_nov2013_and_revised_ii_-_dec2014.pdf</w:t>
        </w:r>
      </w:hyperlink>
    </w:p>
  </w:footnote>
  <w:footnote w:id="3">
    <w:p w14:paraId="374194DE" w14:textId="52B76A5A" w:rsidR="000D3050" w:rsidRPr="0019094D" w:rsidRDefault="000D3050">
      <w:pPr>
        <w:pStyle w:val="FootnoteText"/>
      </w:pPr>
      <w:r w:rsidRPr="0019094D">
        <w:rPr>
          <w:rStyle w:val="FootnoteReference"/>
        </w:rPr>
        <w:footnoteRef/>
      </w:r>
      <w:r w:rsidRPr="0019094D">
        <w:t xml:space="preserve"> </w:t>
      </w:r>
      <w:r w:rsidRPr="0019094D">
        <w:rPr>
          <w:rFonts w:asciiTheme="minorHAnsi" w:hAnsiTheme="minorHAnsi"/>
        </w:rPr>
        <w:t xml:space="preserve">See current interim recommendations at: </w:t>
      </w:r>
      <w:hyperlink r:id="rId3" w:history="1">
        <w:r w:rsidRPr="0019094D">
          <w:rPr>
            <w:rStyle w:val="Hyperlink"/>
            <w:rFonts w:asciiTheme="minorHAnsi" w:hAnsiTheme="minorHAnsi"/>
          </w:rPr>
          <w:t>http://www.epa.gov/greenerproducts/epas-recommendations-specifications-standards-and-ecolabels</w:t>
        </w:r>
      </w:hyperlink>
      <w:r w:rsidRPr="0019094D">
        <w:rPr>
          <w:rFonts w:asciiTheme="minorHAnsi" w:hAnsiTheme="minorHAnsi"/>
        </w:rPr>
        <w:t>.</w:t>
      </w:r>
    </w:p>
  </w:footnote>
  <w:footnote w:id="4">
    <w:p w14:paraId="73CFE04D" w14:textId="43BDF0CF" w:rsidR="00B720C1" w:rsidRPr="0019094D" w:rsidRDefault="00B720C1">
      <w:pPr>
        <w:pStyle w:val="FootnoteText"/>
      </w:pPr>
      <w:r w:rsidRPr="0019094D">
        <w:rPr>
          <w:rStyle w:val="FootnoteReference"/>
        </w:rPr>
        <w:footnoteRef/>
      </w:r>
      <w:r w:rsidRPr="0019094D">
        <w:t xml:space="preserve"> It is within the IAE’s purview to request multiple sources of evidence or determine if multiple sources are needed for a criteria to be sufficiently evaluated.</w:t>
      </w:r>
    </w:p>
  </w:footnote>
  <w:footnote w:id="5">
    <w:p w14:paraId="268A0D97" w14:textId="6FCC5609" w:rsidR="000D3050" w:rsidRPr="0019094D" w:rsidRDefault="000D3050" w:rsidP="00E50FE7">
      <w:pPr>
        <w:pStyle w:val="FootnoteText"/>
      </w:pPr>
      <w:r w:rsidRPr="0019094D">
        <w:rPr>
          <w:rStyle w:val="FootnoteReference"/>
        </w:rPr>
        <w:footnoteRef/>
      </w:r>
      <w:r w:rsidRPr="0019094D">
        <w:t xml:space="preserve"> Per the revised OMB Circular A119 Section 5b, there is a preference for the use of voluntary consensus standards. The Circular does not preclude the use of other standards in rulemaking, procurement, or other program activities in cases where voluntary consensus standards do not exist or use of existing voluntary consensus standards would be inconsistent with law or otherwise impractical, including where use of a voluntary consensus standard would not be as effective at meeting the agency’s regulatory, procurement or program needs. EPA has determined that American National Standards meet the definition of voluntary consensus standards per the revised OMB A119 available at </w:t>
      </w:r>
      <w:hyperlink r:id="rId4" w:history="1">
        <w:r w:rsidRPr="0019094D">
          <w:rPr>
            <w:rStyle w:val="Hyperlink"/>
          </w:rPr>
          <w:t>https://www.whitehouse.gov/sites/default/files/omb/inforeg/revised_circular_a-119_as_of_1_22.pdf</w:t>
        </w:r>
      </w:hyperlink>
      <w:r w:rsidRPr="0019094D">
        <w:t xml:space="preserve">. Other organization’s standards development processes may also meet this definition; EPA would update this criterion and sources of evidence accordingly. </w:t>
      </w:r>
    </w:p>
  </w:footnote>
  <w:footnote w:id="6">
    <w:p w14:paraId="4A1CAAE9" w14:textId="77777777" w:rsidR="000D3050" w:rsidRPr="0019094D" w:rsidRDefault="000D3050" w:rsidP="00EE7BB2">
      <w:pPr>
        <w:pStyle w:val="FootnoteText"/>
      </w:pPr>
      <w:r w:rsidRPr="0019094D">
        <w:rPr>
          <w:rStyle w:val="FootnoteReference"/>
        </w:rPr>
        <w:footnoteRef/>
      </w:r>
      <w:r w:rsidRPr="0019094D">
        <w:t xml:space="preserve"> Active outreach may include but are not limited to </w:t>
      </w:r>
      <w:r w:rsidRPr="0019094D">
        <w:rPr>
          <w:bCs/>
        </w:rPr>
        <w:t>identifying and contacting stakeholders, inviting participation, and maintaining appropriate communications with stakeholders.</w:t>
      </w:r>
    </w:p>
  </w:footnote>
  <w:footnote w:id="7">
    <w:p w14:paraId="5DEF1668" w14:textId="77777777" w:rsidR="000D3050" w:rsidRPr="0019094D" w:rsidRDefault="000D3050" w:rsidP="00202812">
      <w:pPr>
        <w:pStyle w:val="FootnoteText"/>
      </w:pPr>
      <w:r w:rsidRPr="0019094D">
        <w:rPr>
          <w:rStyle w:val="FootnoteReference"/>
        </w:rPr>
        <w:footnoteRef/>
      </w:r>
      <w:r w:rsidRPr="0019094D">
        <w:t xml:space="preserve"> Key standard setting activities represent the </w:t>
      </w:r>
      <w:r w:rsidRPr="0019094D">
        <w:rPr>
          <w:bCs/>
        </w:rPr>
        <w:t>significant stages of the standard's development,</w:t>
      </w:r>
      <w:r w:rsidRPr="0019094D">
        <w:t xml:space="preserve"> including any action to create, revise, reaffirm, or withdraw a standard, the establishment of a new decision-making body</w:t>
      </w:r>
      <w:r w:rsidRPr="0019094D">
        <w:rPr>
          <w:bCs/>
        </w:rPr>
        <w:t>; Selection and scoping of product categories and product functional characteristics; Call for members/ participation (voting, participating, and/or commenting); Selection and development of environmental/ human health criteria; Availability of proposals for comment and/or vote; Responses to comments posted; Modified proposals as a result of comments available for comment and/or vote; Announcement of final action; Complaints and/or appeals received; Publication of standard; Other key activities as determined by the SDO.</w:t>
      </w:r>
    </w:p>
  </w:footnote>
  <w:footnote w:id="8">
    <w:p w14:paraId="5E83F4EB" w14:textId="176546A4" w:rsidR="000D3050" w:rsidRPr="0019094D" w:rsidRDefault="000D3050" w:rsidP="00202812">
      <w:pPr>
        <w:pStyle w:val="FootnoteText"/>
      </w:pPr>
      <w:r w:rsidRPr="0019094D">
        <w:rPr>
          <w:rStyle w:val="FootnoteReference"/>
        </w:rPr>
        <w:footnoteRef/>
      </w:r>
      <w:r w:rsidRPr="0019094D">
        <w:t xml:space="preserve"> Suitable media should match up to the methods utilized and available to materially affected persons (including public interest groups, affected local and indigenous persons). Suitable media could include (but are not limited to): maintenance of an open email subscription list/ list serve throughout the SD process, email notifications, publication of press releases, online publication, newsletters, use of social media (such as Linked-in announcements and updates), posting of notifications in external standards’ or trade media bulletins and news-services such as ANSI’s “Standards Action”. Note: A posting on a website to check back for more information and updates periodically is not considered sufficient. </w:t>
      </w:r>
    </w:p>
  </w:footnote>
  <w:footnote w:id="9">
    <w:p w14:paraId="36EC87CA" w14:textId="77777777" w:rsidR="000D3050" w:rsidRPr="0019094D" w:rsidRDefault="000D3050" w:rsidP="00202812">
      <w:pPr>
        <w:pStyle w:val="FootnoteText"/>
      </w:pPr>
      <w:r w:rsidRPr="0019094D">
        <w:rPr>
          <w:rStyle w:val="FootnoteReference"/>
        </w:rPr>
        <w:footnoteRef/>
      </w:r>
      <w:r w:rsidRPr="0019094D">
        <w:t xml:space="preserve"> Sufficient time varies by key standard activity but is generally </w:t>
      </w:r>
      <w:r w:rsidRPr="0019094D">
        <w:rPr>
          <w:bCs/>
        </w:rPr>
        <w:t xml:space="preserve">defined as keeping stakeholders up to date and engaged in the standard setting activities, and providing sufficient time for response from stakeholders. </w:t>
      </w:r>
      <w:r w:rsidRPr="0019094D">
        <w:t xml:space="preserve">For example, ANSI essential requirements stipulates 30-day comment periods for proposals 5 pages or less in length, 45-days for readily available proposals (available within 1-day of a request to receive it), or 60-days if the above 2 options are not applicable. </w:t>
      </w:r>
    </w:p>
  </w:footnote>
  <w:footnote w:id="10">
    <w:p w14:paraId="05FCF6DD" w14:textId="77777777" w:rsidR="000D3050" w:rsidRPr="0019094D" w:rsidRDefault="000D3050" w:rsidP="00436B4F">
      <w:pPr>
        <w:pStyle w:val="FootnoteText"/>
      </w:pPr>
      <w:r w:rsidRPr="0019094D">
        <w:rPr>
          <w:rStyle w:val="FootnoteReference"/>
        </w:rPr>
        <w:footnoteRef/>
      </w:r>
      <w:r w:rsidRPr="0019094D">
        <w:t xml:space="preserve"> </w:t>
      </w:r>
      <w:r w:rsidRPr="0019094D">
        <w:rPr>
          <w:bCs/>
        </w:rPr>
        <w:t xml:space="preserve">Timely manner is defined as keeping stakeholders up to date and engaged in the standard setting activities, and providing sufficient time for response from stakeholders. </w:t>
      </w:r>
    </w:p>
  </w:footnote>
  <w:footnote w:id="11">
    <w:p w14:paraId="390E935C" w14:textId="77777777" w:rsidR="000D3050" w:rsidRPr="0019094D" w:rsidRDefault="000D3050" w:rsidP="00202812">
      <w:pPr>
        <w:pStyle w:val="FootnoteText"/>
      </w:pPr>
      <w:r w:rsidRPr="0019094D">
        <w:rPr>
          <w:rStyle w:val="FootnoteReference"/>
        </w:rPr>
        <w:footnoteRef/>
      </w:r>
      <w:r w:rsidRPr="0019094D">
        <w:t xml:space="preserve"> The standard setting process includes key steps starting with the announcement of a new standard or review of an existing standard, and ending with the publication of the standard and all activities between.</w:t>
      </w:r>
    </w:p>
  </w:footnote>
  <w:footnote w:id="12">
    <w:p w14:paraId="7F380802" w14:textId="77777777" w:rsidR="000D3050" w:rsidRPr="0019094D" w:rsidRDefault="000D3050" w:rsidP="00202812">
      <w:pPr>
        <w:pStyle w:val="FootnoteText"/>
      </w:pPr>
      <w:r w:rsidRPr="0019094D">
        <w:rPr>
          <w:rStyle w:val="FootnoteReference"/>
        </w:rPr>
        <w:footnoteRef/>
      </w:r>
      <w:r w:rsidRPr="0019094D">
        <w:t xml:space="preserve"> </w:t>
      </w:r>
      <w:r w:rsidRPr="0019094D">
        <w:rPr>
          <w:bCs/>
        </w:rPr>
        <w:t xml:space="preserve">Adjudicate - </w:t>
      </w:r>
      <w:r w:rsidRPr="0019094D">
        <w:t>make a formal judgment or decision about a problem or disputed matter. (from Google)</w:t>
      </w:r>
    </w:p>
  </w:footnote>
  <w:footnote w:id="13">
    <w:p w14:paraId="3B4B7A24" w14:textId="04A09C30" w:rsidR="000D3050" w:rsidRPr="0019094D" w:rsidRDefault="000D3050" w:rsidP="00436B4F">
      <w:pPr>
        <w:pStyle w:val="FootnoteText"/>
      </w:pPr>
      <w:r w:rsidRPr="0019094D">
        <w:rPr>
          <w:rStyle w:val="FootnoteReference"/>
        </w:rPr>
        <w:footnoteRef/>
      </w:r>
      <w:r w:rsidRPr="0019094D">
        <w:t xml:space="preserve"> Per OMB A119 sect </w:t>
      </w:r>
      <w:proofErr w:type="gramStart"/>
      <w:r w:rsidRPr="0019094D">
        <w:t>2e(</w:t>
      </w:r>
      <w:proofErr w:type="gramEnd"/>
      <w:r w:rsidRPr="0019094D">
        <w:t>ii), “The standards development process should be balanced. Specifically, there should be meaningful involvement from a broad range of parties, with no single interest dominating the decision-making.” Definition of “balance of interest” may also be informed by ANSI Essential Requirements (2015), which defines and “balance” as “a) no single interest category constitutes more than one-third of the membership of a consensus body dealing with safety-related standards or b) no single interest category constitutes a majority of the membership of a consensus body dealing with other than safety-related standards. In addition, the Draft EPA Guidelines footnote #3 states that in the case of standards development organizations: “additional steps have been taken by a number of SDOs to further ensure a balance of diverse interests (e.g. limiting number of votes per organization, confirming accuracy of affiliations, actively recruiting additional members from other stakeholder categories).”</w:t>
      </w:r>
    </w:p>
  </w:footnote>
  <w:footnote w:id="14">
    <w:p w14:paraId="733A40B1" w14:textId="77777777" w:rsidR="000D3050" w:rsidRPr="0019094D" w:rsidRDefault="000D3050" w:rsidP="00202812">
      <w:pPr>
        <w:pStyle w:val="FootnoteText"/>
      </w:pPr>
      <w:r w:rsidRPr="0019094D">
        <w:rPr>
          <w:rStyle w:val="FootnoteReference"/>
        </w:rPr>
        <w:footnoteRef/>
      </w:r>
      <w:r w:rsidRPr="0019094D">
        <w:t xml:space="preserve"> ANSI Essential Requirements 1.2 defines “dominate” as “to take a position or exercise of dominant authority, leadership, or influence by reason of superior leverage, strength, or representation to the exclusion of fair and equitable consideration of other viewpoints.” </w:t>
      </w:r>
    </w:p>
  </w:footnote>
  <w:footnote w:id="15">
    <w:p w14:paraId="1CD0B007" w14:textId="178CB7A5" w:rsidR="000D3050" w:rsidRPr="0019094D" w:rsidRDefault="000D3050" w:rsidP="00202812">
      <w:pPr>
        <w:pStyle w:val="FootnoteText"/>
        <w:rPr>
          <w:sz w:val="22"/>
        </w:rPr>
      </w:pPr>
      <w:r w:rsidRPr="0019094D">
        <w:rPr>
          <w:rStyle w:val="FootnoteReference"/>
          <w:sz w:val="22"/>
        </w:rPr>
        <w:footnoteRef/>
      </w:r>
      <w:r w:rsidRPr="0019094D">
        <w:rPr>
          <w:sz w:val="22"/>
        </w:rPr>
        <w:t xml:space="preserve"> </w:t>
      </w:r>
      <w:r w:rsidRPr="0019094D">
        <w:rPr>
          <w:bCs/>
        </w:rPr>
        <w:t>Conflict of interest – a situation in which a person or organization is in a position to derive personal benefit from actions or decisions made in their official capacity. (from Google)</w:t>
      </w:r>
    </w:p>
  </w:footnote>
  <w:footnote w:id="16">
    <w:p w14:paraId="7D0B6DD4" w14:textId="11999422" w:rsidR="000D3050" w:rsidRPr="0019094D" w:rsidRDefault="000D3050" w:rsidP="001375D1">
      <w:pPr>
        <w:spacing w:after="0" w:line="240" w:lineRule="auto"/>
        <w:rPr>
          <w:bCs/>
          <w:sz w:val="18"/>
          <w:szCs w:val="18"/>
        </w:rPr>
      </w:pPr>
      <w:r w:rsidRPr="0019094D">
        <w:rPr>
          <w:rStyle w:val="FootnoteReference"/>
          <w:sz w:val="24"/>
        </w:rPr>
        <w:footnoteRef/>
      </w:r>
      <w:r w:rsidRPr="0019094D">
        <w:rPr>
          <w:sz w:val="24"/>
        </w:rPr>
        <w:t xml:space="preserve"> </w:t>
      </w:r>
      <w:r w:rsidRPr="0019094D">
        <w:rPr>
          <w:sz w:val="20"/>
        </w:rPr>
        <w:t xml:space="preserve">Per OMB A119 Section </w:t>
      </w:r>
      <w:proofErr w:type="gramStart"/>
      <w:r w:rsidRPr="0019094D">
        <w:rPr>
          <w:sz w:val="20"/>
        </w:rPr>
        <w:t>2e(</w:t>
      </w:r>
      <w:proofErr w:type="gramEnd"/>
      <w:r w:rsidRPr="0019094D">
        <w:rPr>
          <w:sz w:val="20"/>
        </w:rPr>
        <w:t xml:space="preserve">v) “Consensus is defined as general agreement, but not necessarily unanimity. During the development of consensus, comments and objections are considered using fair, impartial, open, and transparent processes.” </w:t>
      </w:r>
    </w:p>
  </w:footnote>
  <w:footnote w:id="17">
    <w:p w14:paraId="6D70542A" w14:textId="779C7210" w:rsidR="000D3050" w:rsidRPr="0019094D" w:rsidRDefault="000D3050">
      <w:pPr>
        <w:pStyle w:val="FootnoteText"/>
      </w:pPr>
      <w:r w:rsidRPr="0019094D">
        <w:rPr>
          <w:rStyle w:val="FootnoteReference"/>
        </w:rPr>
        <w:footnoteRef/>
      </w:r>
      <w:r w:rsidRPr="0019094D">
        <w:t xml:space="preserve"> </w:t>
      </w:r>
      <w:r w:rsidRPr="0019094D">
        <w:rPr>
          <w:rFonts w:asciiTheme="minorHAnsi" w:hAnsiTheme="minorHAnsi"/>
          <w:bCs/>
        </w:rPr>
        <w:t>A reasonable time to file a notice of appeal, as long as the paperwork and documentation burden is limited, is generally considered to be at least 15 days from the date of the final vote.</w:t>
      </w:r>
    </w:p>
  </w:footnote>
  <w:footnote w:id="18">
    <w:p w14:paraId="5DB36EA6" w14:textId="4A1D4BA6" w:rsidR="000D3050" w:rsidRPr="0019094D" w:rsidRDefault="000D3050" w:rsidP="00257C11">
      <w:pPr>
        <w:pStyle w:val="ListParagraph"/>
        <w:spacing w:before="100" w:beforeAutospacing="1" w:after="100" w:afterAutospacing="1" w:line="240" w:lineRule="auto"/>
        <w:ind w:left="0"/>
        <w:rPr>
          <w:sz w:val="24"/>
          <w:szCs w:val="24"/>
        </w:rPr>
      </w:pPr>
      <w:r w:rsidRPr="0019094D">
        <w:rPr>
          <w:rStyle w:val="FootnoteReference"/>
        </w:rPr>
        <w:footnoteRef/>
      </w:r>
      <w:r w:rsidRPr="0019094D">
        <w:t xml:space="preserve"> </w:t>
      </w:r>
      <w:r w:rsidRPr="0019094D">
        <w:rPr>
          <w:sz w:val="20"/>
        </w:rPr>
        <w:t xml:space="preserve">Impact assessment methodologies for issues of toxicity, land use, biodiversity, water use and other spatially explicit impacts are nascent in LCA and there is not sufficient scientific evidence to reflect their effectiveness. For those impact areas, LCA is not sufficient in determining relative importance and other methods (e.g., traditional toxicity risk assessment studies, hazard identification, biodiversity surveys/IUCN </w:t>
      </w:r>
      <w:proofErr w:type="spellStart"/>
      <w:r w:rsidRPr="0019094D">
        <w:rPr>
          <w:sz w:val="20"/>
        </w:rPr>
        <w:t>redlist</w:t>
      </w:r>
      <w:proofErr w:type="spellEnd"/>
      <w:r w:rsidRPr="0019094D">
        <w:rPr>
          <w:sz w:val="20"/>
        </w:rPr>
        <w:t xml:space="preserve"> threats, </w:t>
      </w:r>
      <w:proofErr w:type="gramStart"/>
      <w:r w:rsidRPr="0019094D">
        <w:rPr>
          <w:sz w:val="20"/>
        </w:rPr>
        <w:t>peer</w:t>
      </w:r>
      <w:proofErr w:type="gramEnd"/>
      <w:r w:rsidRPr="0019094D">
        <w:rPr>
          <w:sz w:val="20"/>
        </w:rPr>
        <w:t>-reviewed scientific literature) should be utilized in making these determinations. Given the vast data gaps in life cycle assessment databases on these impact areas, even if new methods exist, the results of the studies cannot be relied upon to determine importance</w:t>
      </w:r>
      <w:r w:rsidRPr="0019094D">
        <w:rPr>
          <w:sz w:val="18"/>
        </w:rPr>
        <w:t>.</w:t>
      </w:r>
    </w:p>
  </w:footnote>
  <w:footnote w:id="19">
    <w:p w14:paraId="601AE208" w14:textId="1FF3EFE2" w:rsidR="000D3050" w:rsidRPr="0019094D" w:rsidRDefault="000D3050" w:rsidP="006B3EB2">
      <w:pPr>
        <w:pStyle w:val="FootnoteText"/>
        <w:spacing w:after="120"/>
        <w:rPr>
          <w:rFonts w:asciiTheme="minorHAnsi" w:hAnsiTheme="minorHAnsi"/>
        </w:rPr>
      </w:pPr>
      <w:r w:rsidRPr="0019094D">
        <w:rPr>
          <w:rStyle w:val="FootnoteReference"/>
          <w:rFonts w:asciiTheme="minorHAnsi" w:hAnsiTheme="minorHAnsi"/>
        </w:rPr>
        <w:footnoteRef/>
      </w:r>
      <w:r w:rsidRPr="0019094D">
        <w:rPr>
          <w:rFonts w:asciiTheme="minorHAnsi" w:hAnsiTheme="minorHAnsi"/>
        </w:rPr>
        <w:t xml:space="preserve"> There are a number of potential concerns surrounding weighting and aggregating of impacts.  Weighting and aggregation of impacts introduces levels of subjectivity above and beyond the inherent uncertainty in any given impact indicator result.  Therefore, such approaches run the risk of reducing transparency—diminishing the opportunity to improve purchasers’ environmental literacy and hiding potential environmental and/or human health trade-offs.</w:t>
      </w:r>
    </w:p>
  </w:footnote>
  <w:footnote w:id="20">
    <w:p w14:paraId="0C9105B7" w14:textId="7FF4984E" w:rsidR="000D3050" w:rsidRPr="0019094D" w:rsidRDefault="000D3050" w:rsidP="00D31724">
      <w:pPr>
        <w:pStyle w:val="FootnoteText"/>
      </w:pPr>
      <w:r w:rsidRPr="0019094D">
        <w:rPr>
          <w:rStyle w:val="FootnoteReference"/>
        </w:rPr>
        <w:footnoteRef/>
      </w:r>
      <w:r w:rsidRPr="0019094D">
        <w:t xml:space="preserve"> An intrinsic hazard is the potential for harm based on the chemical structure and properties that define its ability to interact with biological molecules. A hazard-based approach, grounded in Green Chemistry principles, can reduce the use of hazardous substances, and lower overall risk to people and the environment. While intrinsic hazard assessment may be the most cautious approach to identifying potential chemicals of concern, intrinsic hazard assessment does not necessarily reflect the overall safety/risk of the product and it does not represent the findings of a comprehensive risk assessment, as it does not consider possible or probable exposure pathways.  As such, the results of such an assessment do not necessarily reflect product safety nor the potential trade-offs associated with alternatives/substitutes elsewhere in a product's lifecycle nor impacts on the functional ("fitness for use") performance of the product. Finally, hazard assessments may not distinguish between hazardous raw materials versus post-reacted and finished products.  </w:t>
      </w:r>
    </w:p>
    <w:p w14:paraId="7374EB07" w14:textId="66DF2262" w:rsidR="000D3050" w:rsidRPr="0019094D" w:rsidRDefault="000D3050" w:rsidP="00D31724">
      <w:pPr>
        <w:pStyle w:val="FootnoteText"/>
      </w:pPr>
      <w:r w:rsidRPr="0019094D" w:rsidDel="00D31724">
        <w:t xml:space="preserve"> </w:t>
      </w:r>
      <w:r w:rsidRPr="0019094D">
        <w:t xml:space="preserve">.  </w:t>
      </w:r>
    </w:p>
  </w:footnote>
  <w:footnote w:id="21">
    <w:p w14:paraId="058FF8B2" w14:textId="77777777" w:rsidR="000D3050" w:rsidRPr="0019094D" w:rsidRDefault="000D3050" w:rsidP="00974B8F">
      <w:pPr>
        <w:pStyle w:val="FootnoteText"/>
        <w:spacing w:after="120"/>
        <w:rPr>
          <w:rFonts w:asciiTheme="minorHAnsi" w:hAnsiTheme="minorHAnsi"/>
        </w:rPr>
      </w:pPr>
      <w:r w:rsidRPr="0019094D">
        <w:rPr>
          <w:rStyle w:val="FootnoteReference"/>
          <w:rFonts w:asciiTheme="minorHAnsi" w:hAnsiTheme="minorHAnsi"/>
        </w:rPr>
        <w:footnoteRef/>
      </w:r>
      <w:r w:rsidRPr="0019094D">
        <w:rPr>
          <w:rFonts w:asciiTheme="minorHAnsi" w:hAnsiTheme="minorHAnsi"/>
        </w:rPr>
        <w:t xml:space="preserve"> PPM standards address unfinished (not final) products and have a more limited focus on performance issues related to specific aspects of production or preproduction, such as (for example) extraction or transport. </w:t>
      </w:r>
    </w:p>
  </w:footnote>
  <w:footnote w:id="22">
    <w:p w14:paraId="757D8508" w14:textId="24D977B8" w:rsidR="000D3050" w:rsidRPr="0019094D" w:rsidRDefault="000D3050" w:rsidP="005A17E1">
      <w:pPr>
        <w:autoSpaceDE w:val="0"/>
        <w:autoSpaceDN w:val="0"/>
        <w:adjustRightInd w:val="0"/>
        <w:spacing w:after="0" w:line="240" w:lineRule="auto"/>
        <w:rPr>
          <w:rFonts w:cs="TT15Ct00"/>
          <w:sz w:val="20"/>
          <w:szCs w:val="18"/>
        </w:rPr>
      </w:pPr>
      <w:r w:rsidRPr="0019094D">
        <w:rPr>
          <w:rStyle w:val="FootnoteReference"/>
          <w:sz w:val="20"/>
          <w:szCs w:val="18"/>
        </w:rPr>
        <w:footnoteRef/>
      </w:r>
      <w:r w:rsidRPr="0019094D">
        <w:rPr>
          <w:sz w:val="20"/>
          <w:szCs w:val="18"/>
        </w:rPr>
        <w:t xml:space="preserve"> I</w:t>
      </w:r>
      <w:r w:rsidRPr="0019094D">
        <w:rPr>
          <w:rFonts w:cs="TT15Ct00"/>
          <w:sz w:val="20"/>
          <w:szCs w:val="18"/>
        </w:rPr>
        <w:t xml:space="preserve">f a standard does not have an associated second- or third-party conformity assessment program, or it is determined that a supplier’s declaration is sufficient for a particular product standard, then this section of the Guidelines would not be applicable. Moreover, the </w:t>
      </w:r>
      <w:r w:rsidRPr="0019094D">
        <w:rPr>
          <w:sz w:val="20"/>
          <w:szCs w:val="18"/>
        </w:rPr>
        <w:t>Nov 2013 FAQ noted in answer to the question “</w:t>
      </w:r>
      <w:r w:rsidRPr="0019094D">
        <w:rPr>
          <w:bCs/>
          <w:sz w:val="20"/>
          <w:szCs w:val="18"/>
        </w:rPr>
        <w:t xml:space="preserve">Will 3rd party certification of products be required to meet the guidelines?” that </w:t>
      </w:r>
      <w:r w:rsidRPr="0019094D">
        <w:rPr>
          <w:sz w:val="20"/>
          <w:szCs w:val="18"/>
        </w:rPr>
        <w:t>the draft guidelines do not require manufacturers to seek third party conformity assessment. The EPA and the Federal interagency group that developed the draft guidelines recognized that the appropriate method of conformity assessment may vary across product categories based on cost, risk, and other factors.</w:t>
      </w:r>
    </w:p>
  </w:footnote>
  <w:footnote w:id="23">
    <w:p w14:paraId="57AD00AB" w14:textId="73588D05" w:rsidR="000D3050" w:rsidRPr="0019094D" w:rsidRDefault="000D3050">
      <w:pPr>
        <w:pStyle w:val="FootnoteText"/>
      </w:pPr>
      <w:r w:rsidRPr="0019094D">
        <w:rPr>
          <w:rStyle w:val="FootnoteReference"/>
        </w:rPr>
        <w:footnoteRef/>
      </w:r>
      <w:r w:rsidRPr="0019094D">
        <w:t xml:space="preserve"> Note that the revenue from conformity assessment is often necessary to offset the significant investment in standards development and, to address any issues (perceived or real) related to conflicts of interest, organizations should separate the management and operations of conformity assessment and standards development.</w:t>
      </w:r>
    </w:p>
  </w:footnote>
  <w:footnote w:id="24">
    <w:p w14:paraId="74F435E6" w14:textId="64FDACED" w:rsidR="000D3050" w:rsidRPr="0019094D" w:rsidRDefault="000D3050">
      <w:pPr>
        <w:pStyle w:val="FootnoteText"/>
        <w:rPr>
          <w:sz w:val="22"/>
        </w:rPr>
      </w:pPr>
      <w:r w:rsidRPr="0019094D">
        <w:rPr>
          <w:rStyle w:val="FootnoteReference"/>
          <w:sz w:val="22"/>
        </w:rPr>
        <w:footnoteRef/>
      </w:r>
      <w:r w:rsidRPr="0019094D">
        <w:rPr>
          <w:sz w:val="22"/>
        </w:rPr>
        <w:t xml:space="preserve"> </w:t>
      </w:r>
      <w:r w:rsidRPr="0019094D">
        <w:t xml:space="preserve">Examples of US-based members to ILAC and/or IAF include </w:t>
      </w:r>
      <w:r w:rsidRPr="0019094D">
        <w:rPr>
          <w:rFonts w:asciiTheme="minorHAnsi" w:hAnsiTheme="minorHAnsi"/>
          <w:color w:val="000000"/>
        </w:rPr>
        <w:t>ANSI; A2LA; IAS; LAB; NVLAP.</w:t>
      </w:r>
    </w:p>
  </w:footnote>
  <w:footnote w:id="25">
    <w:p w14:paraId="2C035607" w14:textId="0CD5533B" w:rsidR="000D3050" w:rsidRPr="0019094D" w:rsidRDefault="000D3050" w:rsidP="00697EB4">
      <w:pPr>
        <w:pStyle w:val="FootnoteText"/>
      </w:pPr>
      <w:r w:rsidRPr="0019094D">
        <w:rPr>
          <w:rStyle w:val="FootnoteReference"/>
        </w:rPr>
        <w:footnoteRef/>
      </w:r>
      <w:r w:rsidRPr="0019094D">
        <w:t xml:space="preserve"> For example, those who are members of the International  Accreditation Forum, </w:t>
      </w:r>
      <w:hyperlink r:id="rId5" w:history="1">
        <w:r w:rsidRPr="0019094D">
          <w:rPr>
            <w:rStyle w:val="Hyperlink"/>
          </w:rPr>
          <w:t>http://www.iaf.nu/articles/Accred_Body_Members_by_Name/52</w:t>
        </w:r>
      </w:hyperlink>
      <w:r w:rsidRPr="0019094D">
        <w:t xml:space="preserve"> </w:t>
      </w:r>
    </w:p>
  </w:footnote>
  <w:footnote w:id="26">
    <w:p w14:paraId="00B5E9DA" w14:textId="77777777" w:rsidR="000D3050" w:rsidRPr="0019094D" w:rsidRDefault="000D3050" w:rsidP="003D62AF">
      <w:pPr>
        <w:pStyle w:val="FootnoteText"/>
      </w:pPr>
      <w:r w:rsidRPr="0019094D">
        <w:rPr>
          <w:rStyle w:val="FootnoteReference"/>
          <w:szCs w:val="18"/>
        </w:rPr>
        <w:footnoteRef/>
      </w:r>
      <w:r w:rsidRPr="0019094D">
        <w:rPr>
          <w:szCs w:val="18"/>
        </w:rPr>
        <w:t xml:space="preserve"> ISO 17000: 2004: Vocabulary and General Principles. See: </w:t>
      </w:r>
      <w:hyperlink r:id="rId6" w:history="1">
        <w:r w:rsidRPr="0019094D">
          <w:rPr>
            <w:rStyle w:val="Hyperlink"/>
            <w:szCs w:val="18"/>
          </w:rPr>
          <w:t>http://www.iso.org/iso/catalogue_detail.htm?csnumber=29316</w:t>
        </w:r>
      </w:hyperlink>
      <w:r w:rsidRPr="0019094D">
        <w:rPr>
          <w:szCs w:val="18"/>
        </w:rPr>
        <w:t xml:space="preserve">  </w:t>
      </w:r>
    </w:p>
  </w:footnote>
  <w:footnote w:id="27">
    <w:p w14:paraId="5DD90BE9" w14:textId="77777777" w:rsidR="000D3050" w:rsidRPr="0019094D" w:rsidRDefault="000D3050">
      <w:pPr>
        <w:pStyle w:val="FootnoteText"/>
        <w:rPr>
          <w:sz w:val="22"/>
        </w:rPr>
      </w:pPr>
      <w:r w:rsidRPr="0019094D">
        <w:rPr>
          <w:rStyle w:val="FootnoteReference"/>
          <w:sz w:val="22"/>
        </w:rPr>
        <w:footnoteRef/>
      </w:r>
      <w:r w:rsidRPr="0019094D">
        <w:rPr>
          <w:sz w:val="22"/>
        </w:rPr>
        <w:t xml:space="preserve"> </w:t>
      </w:r>
      <w:r w:rsidRPr="0019094D">
        <w:t xml:space="preserve">The Management of </w:t>
      </w:r>
      <w:proofErr w:type="spellStart"/>
      <w:r w:rsidRPr="0019094D">
        <w:t>Ecolabeling</w:t>
      </w:r>
      <w:proofErr w:type="spellEnd"/>
      <w:r w:rsidRPr="0019094D">
        <w:t xml:space="preserve"> Programs Guidelines would not apply to product environmental standards that are not associated with an ecolabel. </w:t>
      </w:r>
    </w:p>
  </w:footnote>
  <w:footnote w:id="28">
    <w:p w14:paraId="6AAAE0EE" w14:textId="77777777" w:rsidR="000D3050" w:rsidRPr="0019094D" w:rsidRDefault="000D3050" w:rsidP="00FC531E">
      <w:pPr>
        <w:pStyle w:val="FootnoteText"/>
        <w:rPr>
          <w:sz w:val="22"/>
        </w:rPr>
      </w:pPr>
      <w:r w:rsidRPr="0019094D">
        <w:rPr>
          <w:rStyle w:val="FootnoteReference"/>
          <w:sz w:val="22"/>
        </w:rPr>
        <w:footnoteRef/>
      </w:r>
      <w:r w:rsidRPr="0019094D">
        <w:rPr>
          <w:sz w:val="22"/>
        </w:rPr>
        <w:t xml:space="preserve"> A</w:t>
      </w:r>
      <w:r w:rsidRPr="0019094D">
        <w:rPr>
          <w:szCs w:val="18"/>
        </w:rPr>
        <w:t xml:space="preserve"> quality management system is a formalized system that documents the structure, responsibilities, and procedures required to achieve effective quality management. American Society for Quality (ASQ) Quality Glossary. Accessed online 12/3/2015 at </w:t>
      </w:r>
      <w:hyperlink r:id="rId7" w:history="1">
        <w:r w:rsidRPr="0019094D">
          <w:rPr>
            <w:rStyle w:val="Hyperlink"/>
            <w:szCs w:val="18"/>
          </w:rPr>
          <w:t>http://asq.org/glossary/q.html</w:t>
        </w:r>
      </w:hyperlink>
      <w:r w:rsidRPr="0019094D">
        <w:rPr>
          <w:szCs w:val="18"/>
        </w:rPr>
        <w:t xml:space="preserve">. An example of as standard for quality management system is ISO 9000, see </w:t>
      </w:r>
      <w:hyperlink r:id="rId8" w:history="1">
        <w:r w:rsidRPr="0019094D">
          <w:rPr>
            <w:rStyle w:val="Hyperlink"/>
            <w:szCs w:val="18"/>
          </w:rPr>
          <w:t>http://www.iso.org/iso/home/standards/management-standards/iso_9000.htm</w:t>
        </w:r>
      </w:hyperlink>
      <w:r w:rsidRPr="0019094D">
        <w:rPr>
          <w:szCs w:val="18"/>
        </w:rPr>
        <w:t>.</w:t>
      </w:r>
    </w:p>
  </w:footnote>
  <w:footnote w:id="29">
    <w:p w14:paraId="3883F65C" w14:textId="77777777" w:rsidR="000D3050" w:rsidRPr="0019094D" w:rsidRDefault="000D3050" w:rsidP="00FC531E">
      <w:pPr>
        <w:pStyle w:val="FootnoteText"/>
        <w:rPr>
          <w:sz w:val="22"/>
        </w:rPr>
      </w:pPr>
      <w:r w:rsidRPr="0019094D">
        <w:rPr>
          <w:rStyle w:val="FootnoteReference"/>
          <w:szCs w:val="18"/>
        </w:rPr>
        <w:footnoteRef/>
      </w:r>
      <w:r w:rsidRPr="0019094D">
        <w:rPr>
          <w:szCs w:val="18"/>
        </w:rPr>
        <w:t xml:space="preserve"> </w:t>
      </w:r>
      <w:r w:rsidRPr="0019094D">
        <w:rPr>
          <w:rFonts w:cs="Arial"/>
          <w:szCs w:val="18"/>
          <w:shd w:val="clear" w:color="auto" w:fill="FFFFFF"/>
        </w:rPr>
        <w:t>The ISEAL Code of Good Practice for Assessing the Impacts of Social and Environmental Standards (Impacts Code). Accessed online 12/3/2015 at:</w:t>
      </w:r>
      <w:r w:rsidRPr="0019094D">
        <w:rPr>
          <w:szCs w:val="18"/>
        </w:rPr>
        <w:t xml:space="preserve"> </w:t>
      </w:r>
      <w:hyperlink r:id="rId9" w:history="1">
        <w:r w:rsidRPr="0019094D">
          <w:rPr>
            <w:rStyle w:val="Hyperlink"/>
            <w:szCs w:val="18"/>
          </w:rPr>
          <w:t>http://www.isealalliance.org/our-work/defining-credibility/codes-of-good-practice/impacts-code</w:t>
        </w:r>
      </w:hyperlink>
      <w:r w:rsidRPr="0019094D">
        <w:rPr>
          <w:szCs w:val="18"/>
        </w:rPr>
        <w:t xml:space="preserve">   </w:t>
      </w:r>
    </w:p>
  </w:footnote>
  <w:footnote w:id="30">
    <w:p w14:paraId="398EF07A" w14:textId="77777777" w:rsidR="000D3050" w:rsidRDefault="000D3050" w:rsidP="00FC531E">
      <w:pPr>
        <w:pStyle w:val="FootnoteText"/>
      </w:pPr>
      <w:r w:rsidRPr="0019094D">
        <w:rPr>
          <w:rStyle w:val="FootnoteReference"/>
          <w:szCs w:val="18"/>
        </w:rPr>
        <w:footnoteRef/>
      </w:r>
      <w:r w:rsidRPr="0019094D">
        <w:rPr>
          <w:szCs w:val="18"/>
        </w:rPr>
        <w:t xml:space="preserve"> Stakeholders are defined as those organizations or individuals </w:t>
      </w:r>
      <w:r w:rsidRPr="0019094D">
        <w:rPr>
          <w:bCs/>
          <w:szCs w:val="18"/>
        </w:rPr>
        <w:t>directly and materially affected by the ecolabel program and who have an ongoing relationship with the program and are involved in either its governance and/or operations.</w:t>
      </w:r>
      <w:r w:rsidRPr="003D240C">
        <w:rPr>
          <w:bCs/>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4EA8" w14:textId="77777777" w:rsidR="00D55BBF" w:rsidRDefault="00D55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F435" w14:textId="1441BA11" w:rsidR="000D3050" w:rsidRPr="00B3464C" w:rsidRDefault="00D55BBF">
    <w:pPr>
      <w:pStyle w:val="Header"/>
      <w:rPr>
        <w:i/>
        <w:sz w:val="20"/>
      </w:rPr>
    </w:pPr>
    <w:r>
      <w:rPr>
        <w:i/>
        <w:sz w:val="20"/>
      </w:rPr>
      <w:t>EPA ICR No. 2516.01: Attachment 5</w:t>
    </w:r>
    <w:r w:rsidR="000D3050" w:rsidRPr="00B3464C">
      <w:rPr>
        <w:i/>
        <w:sz w:val="20"/>
      </w:rPr>
      <w:tab/>
    </w:r>
    <w:r w:rsidR="000D3050">
      <w:rPr>
        <w:i/>
        <w:sz w:val="20"/>
      </w:rPr>
      <w:tab/>
    </w:r>
    <w:r>
      <w:rPr>
        <w:i/>
        <w:sz w:val="20"/>
      </w:rPr>
      <w:t>April 14</w:t>
    </w:r>
    <w:r w:rsidR="000D3050">
      <w:rPr>
        <w:i/>
        <w:sz w:val="20"/>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78DCA" w14:textId="77777777" w:rsidR="00D55BBF" w:rsidRDefault="00D55B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84D22" w14:textId="1F48ECF5" w:rsidR="000D3050" w:rsidRDefault="000D3050" w:rsidP="00B3464C">
    <w:pPr>
      <w:pStyle w:val="Header"/>
      <w:tabs>
        <w:tab w:val="clear" w:pos="9360"/>
        <w:tab w:val="right" w:pos="13320"/>
      </w:tabs>
    </w:pPr>
    <w:r w:rsidRPr="00B3464C">
      <w:rPr>
        <w:i/>
        <w:sz w:val="20"/>
      </w:rPr>
      <w:tab/>
    </w:r>
    <w:r>
      <w:rPr>
        <w:i/>
        <w:sz w:val="20"/>
      </w:rPr>
      <w:tab/>
      <w:t xml:space="preserve">March </w:t>
    </w:r>
    <w:r w:rsidR="001A553D">
      <w:rPr>
        <w:i/>
        <w:sz w:val="20"/>
      </w:rPr>
      <w:t>16</w:t>
    </w:r>
    <w:r>
      <w:rPr>
        <w:i/>
        <w:sz w:val="20"/>
      </w:rP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7FBE"/>
    <w:multiLevelType w:val="hybridMultilevel"/>
    <w:tmpl w:val="E69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195"/>
    <w:multiLevelType w:val="hybridMultilevel"/>
    <w:tmpl w:val="024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3D7C"/>
    <w:multiLevelType w:val="hybridMultilevel"/>
    <w:tmpl w:val="1AE8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5CCA"/>
    <w:multiLevelType w:val="hybridMultilevel"/>
    <w:tmpl w:val="E3468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170EAC"/>
    <w:multiLevelType w:val="hybridMultilevel"/>
    <w:tmpl w:val="19B83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321E4E"/>
    <w:multiLevelType w:val="multilevel"/>
    <w:tmpl w:val="75E0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1A32"/>
    <w:multiLevelType w:val="hybridMultilevel"/>
    <w:tmpl w:val="3190E9D6"/>
    <w:lvl w:ilvl="0" w:tplc="047C6B66">
      <w:numFmt w:val="bullet"/>
      <w:lvlText w:val="-"/>
      <w:lvlJc w:val="left"/>
      <w:pPr>
        <w:ind w:left="765" w:hanging="360"/>
      </w:pPr>
      <w:rPr>
        <w:rFonts w:ascii="Calibri" w:eastAsia="Times New Roman" w:hAnsi="Calibri"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FA077D4"/>
    <w:multiLevelType w:val="hybridMultilevel"/>
    <w:tmpl w:val="C5D0653E"/>
    <w:lvl w:ilvl="0" w:tplc="047C6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6458D"/>
    <w:multiLevelType w:val="hybridMultilevel"/>
    <w:tmpl w:val="03D8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F45DF"/>
    <w:multiLevelType w:val="hybridMultilevel"/>
    <w:tmpl w:val="7BF2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D2A37"/>
    <w:multiLevelType w:val="hybridMultilevel"/>
    <w:tmpl w:val="8624A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484D1A"/>
    <w:multiLevelType w:val="hybridMultilevel"/>
    <w:tmpl w:val="6C989B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AC75451"/>
    <w:multiLevelType w:val="hybridMultilevel"/>
    <w:tmpl w:val="74F695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B1341B4"/>
    <w:multiLevelType w:val="hybridMultilevel"/>
    <w:tmpl w:val="6876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4944"/>
    <w:multiLevelType w:val="hybridMultilevel"/>
    <w:tmpl w:val="1E643050"/>
    <w:lvl w:ilvl="0" w:tplc="A454D5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5928"/>
    <w:multiLevelType w:val="hybridMultilevel"/>
    <w:tmpl w:val="49E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0093B"/>
    <w:multiLevelType w:val="hybridMultilevel"/>
    <w:tmpl w:val="BA668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353E9"/>
    <w:multiLevelType w:val="hybridMultilevel"/>
    <w:tmpl w:val="CC08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70D2B"/>
    <w:multiLevelType w:val="hybridMultilevel"/>
    <w:tmpl w:val="B0BA6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1432B6"/>
    <w:multiLevelType w:val="hybridMultilevel"/>
    <w:tmpl w:val="6042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B438EA"/>
    <w:multiLevelType w:val="hybridMultilevel"/>
    <w:tmpl w:val="4C76C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9615A"/>
    <w:multiLevelType w:val="hybridMultilevel"/>
    <w:tmpl w:val="108C4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4520D"/>
    <w:multiLevelType w:val="hybridMultilevel"/>
    <w:tmpl w:val="CC8E1670"/>
    <w:lvl w:ilvl="0" w:tplc="9D7AE960">
      <w:start w:val="1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2127"/>
    <w:multiLevelType w:val="hybridMultilevel"/>
    <w:tmpl w:val="8AA8B5F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0057F"/>
    <w:multiLevelType w:val="hybridMultilevel"/>
    <w:tmpl w:val="0F50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D2545"/>
    <w:multiLevelType w:val="hybridMultilevel"/>
    <w:tmpl w:val="998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930F7"/>
    <w:multiLevelType w:val="hybridMultilevel"/>
    <w:tmpl w:val="4408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C7783"/>
    <w:multiLevelType w:val="hybridMultilevel"/>
    <w:tmpl w:val="1D1A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20CED"/>
    <w:multiLevelType w:val="hybridMultilevel"/>
    <w:tmpl w:val="4830B9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751445F3"/>
    <w:multiLevelType w:val="hybridMultilevel"/>
    <w:tmpl w:val="739A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8552C"/>
    <w:multiLevelType w:val="hybridMultilevel"/>
    <w:tmpl w:val="E940CB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F40BC2"/>
    <w:multiLevelType w:val="hybridMultilevel"/>
    <w:tmpl w:val="684EF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2"/>
  </w:num>
  <w:num w:numId="4">
    <w:abstractNumId w:val="22"/>
  </w:num>
  <w:num w:numId="5">
    <w:abstractNumId w:val="6"/>
  </w:num>
  <w:num w:numId="6">
    <w:abstractNumId w:val="11"/>
  </w:num>
  <w:num w:numId="7">
    <w:abstractNumId w:val="30"/>
  </w:num>
  <w:num w:numId="8">
    <w:abstractNumId w:val="1"/>
  </w:num>
  <w:num w:numId="9">
    <w:abstractNumId w:val="4"/>
  </w:num>
  <w:num w:numId="10">
    <w:abstractNumId w:val="13"/>
  </w:num>
  <w:num w:numId="11">
    <w:abstractNumId w:val="28"/>
  </w:num>
  <w:num w:numId="12">
    <w:abstractNumId w:val="15"/>
  </w:num>
  <w:num w:numId="13">
    <w:abstractNumId w:val="26"/>
  </w:num>
  <w:num w:numId="14">
    <w:abstractNumId w:val="24"/>
  </w:num>
  <w:num w:numId="15">
    <w:abstractNumId w:val="20"/>
  </w:num>
  <w:num w:numId="16">
    <w:abstractNumId w:val="16"/>
  </w:num>
  <w:num w:numId="17">
    <w:abstractNumId w:val="21"/>
  </w:num>
  <w:num w:numId="18">
    <w:abstractNumId w:val="10"/>
  </w:num>
  <w:num w:numId="19">
    <w:abstractNumId w:val="19"/>
  </w:num>
  <w:num w:numId="20">
    <w:abstractNumId w:val="5"/>
  </w:num>
  <w:num w:numId="21">
    <w:abstractNumId w:val="14"/>
  </w:num>
  <w:num w:numId="22">
    <w:abstractNumId w:val="27"/>
  </w:num>
  <w:num w:numId="23">
    <w:abstractNumId w:val="31"/>
  </w:num>
  <w:num w:numId="24">
    <w:abstractNumId w:val="18"/>
  </w:num>
  <w:num w:numId="25">
    <w:abstractNumId w:val="23"/>
  </w:num>
  <w:num w:numId="26">
    <w:abstractNumId w:val="0"/>
  </w:num>
  <w:num w:numId="27">
    <w:abstractNumId w:val="9"/>
  </w:num>
  <w:num w:numId="28">
    <w:abstractNumId w:val="25"/>
  </w:num>
  <w:num w:numId="29">
    <w:abstractNumId w:val="8"/>
  </w:num>
  <w:num w:numId="30">
    <w:abstractNumId w:val="17"/>
  </w:num>
  <w:num w:numId="31">
    <w:abstractNumId w:val="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4E"/>
    <w:rsid w:val="0000326A"/>
    <w:rsid w:val="0002241C"/>
    <w:rsid w:val="0002383F"/>
    <w:rsid w:val="000252E7"/>
    <w:rsid w:val="00026B97"/>
    <w:rsid w:val="0003137C"/>
    <w:rsid w:val="00033910"/>
    <w:rsid w:val="00036EFD"/>
    <w:rsid w:val="00043204"/>
    <w:rsid w:val="000432AF"/>
    <w:rsid w:val="000470C6"/>
    <w:rsid w:val="00054683"/>
    <w:rsid w:val="00063155"/>
    <w:rsid w:val="00064EBA"/>
    <w:rsid w:val="0006730A"/>
    <w:rsid w:val="00067C6E"/>
    <w:rsid w:val="0007659D"/>
    <w:rsid w:val="00076ECA"/>
    <w:rsid w:val="00083CC2"/>
    <w:rsid w:val="00084C88"/>
    <w:rsid w:val="00092794"/>
    <w:rsid w:val="000A0A6C"/>
    <w:rsid w:val="000A517F"/>
    <w:rsid w:val="000A6CC9"/>
    <w:rsid w:val="000B034A"/>
    <w:rsid w:val="000B1E36"/>
    <w:rsid w:val="000B206D"/>
    <w:rsid w:val="000B22E0"/>
    <w:rsid w:val="000B33E9"/>
    <w:rsid w:val="000B5D41"/>
    <w:rsid w:val="000C1766"/>
    <w:rsid w:val="000C406D"/>
    <w:rsid w:val="000D3050"/>
    <w:rsid w:val="000D5274"/>
    <w:rsid w:val="000E5004"/>
    <w:rsid w:val="000E6BB3"/>
    <w:rsid w:val="000F0EDE"/>
    <w:rsid w:val="000F2B71"/>
    <w:rsid w:val="00100E02"/>
    <w:rsid w:val="0010663E"/>
    <w:rsid w:val="00112B37"/>
    <w:rsid w:val="001167A3"/>
    <w:rsid w:val="00120B4E"/>
    <w:rsid w:val="0012636C"/>
    <w:rsid w:val="00127501"/>
    <w:rsid w:val="00130871"/>
    <w:rsid w:val="00135811"/>
    <w:rsid w:val="001375D1"/>
    <w:rsid w:val="001379D2"/>
    <w:rsid w:val="00142381"/>
    <w:rsid w:val="00154C85"/>
    <w:rsid w:val="00156444"/>
    <w:rsid w:val="00157E82"/>
    <w:rsid w:val="001628D3"/>
    <w:rsid w:val="00167F87"/>
    <w:rsid w:val="00172A50"/>
    <w:rsid w:val="001732D8"/>
    <w:rsid w:val="001741FD"/>
    <w:rsid w:val="001805ED"/>
    <w:rsid w:val="00180A9B"/>
    <w:rsid w:val="00183A34"/>
    <w:rsid w:val="00183F20"/>
    <w:rsid w:val="001858F8"/>
    <w:rsid w:val="0019094D"/>
    <w:rsid w:val="00190AED"/>
    <w:rsid w:val="0019355B"/>
    <w:rsid w:val="001A02F1"/>
    <w:rsid w:val="001A176C"/>
    <w:rsid w:val="001A2DFB"/>
    <w:rsid w:val="001A5008"/>
    <w:rsid w:val="001A553D"/>
    <w:rsid w:val="001A6E3D"/>
    <w:rsid w:val="001B00FD"/>
    <w:rsid w:val="001B4487"/>
    <w:rsid w:val="001B63CE"/>
    <w:rsid w:val="001B78BF"/>
    <w:rsid w:val="001B7E9F"/>
    <w:rsid w:val="001B7EA2"/>
    <w:rsid w:val="001C03BB"/>
    <w:rsid w:val="001D66F8"/>
    <w:rsid w:val="001D765C"/>
    <w:rsid w:val="001F3FE3"/>
    <w:rsid w:val="001F5F4E"/>
    <w:rsid w:val="001F7FE7"/>
    <w:rsid w:val="00201ECF"/>
    <w:rsid w:val="00202812"/>
    <w:rsid w:val="00204E45"/>
    <w:rsid w:val="00210325"/>
    <w:rsid w:val="00211464"/>
    <w:rsid w:val="00211D0B"/>
    <w:rsid w:val="00212BA4"/>
    <w:rsid w:val="00214A64"/>
    <w:rsid w:val="0021731E"/>
    <w:rsid w:val="00217F6E"/>
    <w:rsid w:val="00222E2A"/>
    <w:rsid w:val="00223B71"/>
    <w:rsid w:val="00225834"/>
    <w:rsid w:val="0022670F"/>
    <w:rsid w:val="0022726B"/>
    <w:rsid w:val="00231AF5"/>
    <w:rsid w:val="00237059"/>
    <w:rsid w:val="00237B55"/>
    <w:rsid w:val="002403B7"/>
    <w:rsid w:val="00240E33"/>
    <w:rsid w:val="00247BDE"/>
    <w:rsid w:val="0025003E"/>
    <w:rsid w:val="002557ED"/>
    <w:rsid w:val="002570D9"/>
    <w:rsid w:val="0025751D"/>
    <w:rsid w:val="00257C11"/>
    <w:rsid w:val="00261D06"/>
    <w:rsid w:val="00261F70"/>
    <w:rsid w:val="00265947"/>
    <w:rsid w:val="002661EF"/>
    <w:rsid w:val="00275B35"/>
    <w:rsid w:val="00275E59"/>
    <w:rsid w:val="0028232F"/>
    <w:rsid w:val="00283F87"/>
    <w:rsid w:val="0029010C"/>
    <w:rsid w:val="00290177"/>
    <w:rsid w:val="00294B9F"/>
    <w:rsid w:val="002A27C8"/>
    <w:rsid w:val="002B25EC"/>
    <w:rsid w:val="002B264E"/>
    <w:rsid w:val="002B2820"/>
    <w:rsid w:val="002B2E63"/>
    <w:rsid w:val="002B3202"/>
    <w:rsid w:val="002C3F82"/>
    <w:rsid w:val="002C4A24"/>
    <w:rsid w:val="002C73F5"/>
    <w:rsid w:val="002C77D5"/>
    <w:rsid w:val="002D09D5"/>
    <w:rsid w:val="002D705F"/>
    <w:rsid w:val="002D7A82"/>
    <w:rsid w:val="002E1AEC"/>
    <w:rsid w:val="002E42FD"/>
    <w:rsid w:val="002E471E"/>
    <w:rsid w:val="002E7872"/>
    <w:rsid w:val="002E7A89"/>
    <w:rsid w:val="002F1B1F"/>
    <w:rsid w:val="002F396F"/>
    <w:rsid w:val="002F7E91"/>
    <w:rsid w:val="00300EFF"/>
    <w:rsid w:val="0030208D"/>
    <w:rsid w:val="003053FF"/>
    <w:rsid w:val="00307E26"/>
    <w:rsid w:val="00310682"/>
    <w:rsid w:val="00310B5A"/>
    <w:rsid w:val="003121EA"/>
    <w:rsid w:val="003161B2"/>
    <w:rsid w:val="0032429C"/>
    <w:rsid w:val="00327434"/>
    <w:rsid w:val="00331021"/>
    <w:rsid w:val="00341F6E"/>
    <w:rsid w:val="003421FC"/>
    <w:rsid w:val="00344FF1"/>
    <w:rsid w:val="00344FF3"/>
    <w:rsid w:val="00347A2C"/>
    <w:rsid w:val="00347AA2"/>
    <w:rsid w:val="003534F0"/>
    <w:rsid w:val="00353B99"/>
    <w:rsid w:val="00362534"/>
    <w:rsid w:val="00370DD9"/>
    <w:rsid w:val="00376B3E"/>
    <w:rsid w:val="003853D1"/>
    <w:rsid w:val="00390461"/>
    <w:rsid w:val="0039224F"/>
    <w:rsid w:val="00395833"/>
    <w:rsid w:val="003A0CDD"/>
    <w:rsid w:val="003A107B"/>
    <w:rsid w:val="003B0A46"/>
    <w:rsid w:val="003B0B43"/>
    <w:rsid w:val="003C3611"/>
    <w:rsid w:val="003C4479"/>
    <w:rsid w:val="003C4BCC"/>
    <w:rsid w:val="003D1890"/>
    <w:rsid w:val="003D1FE7"/>
    <w:rsid w:val="003D240C"/>
    <w:rsid w:val="003D356D"/>
    <w:rsid w:val="003D62AF"/>
    <w:rsid w:val="003E4847"/>
    <w:rsid w:val="003E61F6"/>
    <w:rsid w:val="003E65BA"/>
    <w:rsid w:val="003E6902"/>
    <w:rsid w:val="003F1C6C"/>
    <w:rsid w:val="003F3D22"/>
    <w:rsid w:val="00401233"/>
    <w:rsid w:val="00406E74"/>
    <w:rsid w:val="0041472F"/>
    <w:rsid w:val="0041558F"/>
    <w:rsid w:val="00415A8E"/>
    <w:rsid w:val="00421AD8"/>
    <w:rsid w:val="004258B4"/>
    <w:rsid w:val="004270DE"/>
    <w:rsid w:val="00431126"/>
    <w:rsid w:val="00436B4F"/>
    <w:rsid w:val="00440844"/>
    <w:rsid w:val="004410CA"/>
    <w:rsid w:val="0044255C"/>
    <w:rsid w:val="00451D01"/>
    <w:rsid w:val="004611FC"/>
    <w:rsid w:val="004634AD"/>
    <w:rsid w:val="00464930"/>
    <w:rsid w:val="00470DC0"/>
    <w:rsid w:val="00471508"/>
    <w:rsid w:val="00473710"/>
    <w:rsid w:val="0047402F"/>
    <w:rsid w:val="00476506"/>
    <w:rsid w:val="0047756C"/>
    <w:rsid w:val="004809F8"/>
    <w:rsid w:val="004900D3"/>
    <w:rsid w:val="00490588"/>
    <w:rsid w:val="00491990"/>
    <w:rsid w:val="004943AA"/>
    <w:rsid w:val="00494D5F"/>
    <w:rsid w:val="004965FC"/>
    <w:rsid w:val="004A486A"/>
    <w:rsid w:val="004A4E38"/>
    <w:rsid w:val="004B257B"/>
    <w:rsid w:val="004B4900"/>
    <w:rsid w:val="004B597F"/>
    <w:rsid w:val="004C15AD"/>
    <w:rsid w:val="004C2A6F"/>
    <w:rsid w:val="004C2B59"/>
    <w:rsid w:val="004C437F"/>
    <w:rsid w:val="004C6F0F"/>
    <w:rsid w:val="004D04F7"/>
    <w:rsid w:val="004D38BC"/>
    <w:rsid w:val="004D5DFF"/>
    <w:rsid w:val="004D61F1"/>
    <w:rsid w:val="004D664F"/>
    <w:rsid w:val="004D7D78"/>
    <w:rsid w:val="004E25A4"/>
    <w:rsid w:val="004E30B7"/>
    <w:rsid w:val="004E6342"/>
    <w:rsid w:val="004F2B89"/>
    <w:rsid w:val="004F4B63"/>
    <w:rsid w:val="0050042B"/>
    <w:rsid w:val="00501A43"/>
    <w:rsid w:val="00503212"/>
    <w:rsid w:val="00504A48"/>
    <w:rsid w:val="00515668"/>
    <w:rsid w:val="00516171"/>
    <w:rsid w:val="0051749E"/>
    <w:rsid w:val="00520979"/>
    <w:rsid w:val="00540942"/>
    <w:rsid w:val="00540EE7"/>
    <w:rsid w:val="005413C3"/>
    <w:rsid w:val="00543467"/>
    <w:rsid w:val="00547743"/>
    <w:rsid w:val="00550673"/>
    <w:rsid w:val="00550943"/>
    <w:rsid w:val="00551B4B"/>
    <w:rsid w:val="00551D9E"/>
    <w:rsid w:val="005529EA"/>
    <w:rsid w:val="00555561"/>
    <w:rsid w:val="00560CA0"/>
    <w:rsid w:val="005613A7"/>
    <w:rsid w:val="00562AFE"/>
    <w:rsid w:val="00571607"/>
    <w:rsid w:val="00571A6E"/>
    <w:rsid w:val="00572F3F"/>
    <w:rsid w:val="00573E19"/>
    <w:rsid w:val="00576849"/>
    <w:rsid w:val="005822CD"/>
    <w:rsid w:val="0058545D"/>
    <w:rsid w:val="0058673D"/>
    <w:rsid w:val="00597354"/>
    <w:rsid w:val="005A083D"/>
    <w:rsid w:val="005A17E1"/>
    <w:rsid w:val="005A2B83"/>
    <w:rsid w:val="005A2C63"/>
    <w:rsid w:val="005A68BD"/>
    <w:rsid w:val="005B03D0"/>
    <w:rsid w:val="005B1616"/>
    <w:rsid w:val="005B1A70"/>
    <w:rsid w:val="005B38E7"/>
    <w:rsid w:val="005B507C"/>
    <w:rsid w:val="005B68EE"/>
    <w:rsid w:val="005C2C68"/>
    <w:rsid w:val="005C52DB"/>
    <w:rsid w:val="005C69F6"/>
    <w:rsid w:val="005C6CB4"/>
    <w:rsid w:val="005D4D96"/>
    <w:rsid w:val="005D7ADF"/>
    <w:rsid w:val="005E0558"/>
    <w:rsid w:val="005E0D75"/>
    <w:rsid w:val="005E2B68"/>
    <w:rsid w:val="005E3168"/>
    <w:rsid w:val="005E53AA"/>
    <w:rsid w:val="005F16EC"/>
    <w:rsid w:val="005F79B8"/>
    <w:rsid w:val="0060172B"/>
    <w:rsid w:val="006029A7"/>
    <w:rsid w:val="00603D66"/>
    <w:rsid w:val="00605AF2"/>
    <w:rsid w:val="00607595"/>
    <w:rsid w:val="006117F5"/>
    <w:rsid w:val="00613383"/>
    <w:rsid w:val="00614FC8"/>
    <w:rsid w:val="00616265"/>
    <w:rsid w:val="006217F8"/>
    <w:rsid w:val="006223A8"/>
    <w:rsid w:val="00624D5D"/>
    <w:rsid w:val="0062564F"/>
    <w:rsid w:val="00627AD6"/>
    <w:rsid w:val="006332C6"/>
    <w:rsid w:val="006333A6"/>
    <w:rsid w:val="00636E2C"/>
    <w:rsid w:val="006457CB"/>
    <w:rsid w:val="0064722B"/>
    <w:rsid w:val="0065072A"/>
    <w:rsid w:val="00652323"/>
    <w:rsid w:val="00653BA1"/>
    <w:rsid w:val="00654886"/>
    <w:rsid w:val="00657968"/>
    <w:rsid w:val="00662569"/>
    <w:rsid w:val="00662C50"/>
    <w:rsid w:val="00664E9A"/>
    <w:rsid w:val="0066532C"/>
    <w:rsid w:val="00665836"/>
    <w:rsid w:val="006729BF"/>
    <w:rsid w:val="00681C44"/>
    <w:rsid w:val="006879C6"/>
    <w:rsid w:val="00692859"/>
    <w:rsid w:val="00692D51"/>
    <w:rsid w:val="00697EB4"/>
    <w:rsid w:val="006A11A5"/>
    <w:rsid w:val="006B3EB2"/>
    <w:rsid w:val="006C657F"/>
    <w:rsid w:val="006D0967"/>
    <w:rsid w:val="006D2317"/>
    <w:rsid w:val="006D3B5F"/>
    <w:rsid w:val="006D6DB0"/>
    <w:rsid w:val="006D6ECB"/>
    <w:rsid w:val="006E2DCD"/>
    <w:rsid w:val="006E3644"/>
    <w:rsid w:val="006E4282"/>
    <w:rsid w:val="006F2535"/>
    <w:rsid w:val="006F5DE5"/>
    <w:rsid w:val="007001A7"/>
    <w:rsid w:val="00704E38"/>
    <w:rsid w:val="00711677"/>
    <w:rsid w:val="00713350"/>
    <w:rsid w:val="0071343D"/>
    <w:rsid w:val="00714B7B"/>
    <w:rsid w:val="0071722C"/>
    <w:rsid w:val="00717906"/>
    <w:rsid w:val="00731300"/>
    <w:rsid w:val="00733EDD"/>
    <w:rsid w:val="0073497C"/>
    <w:rsid w:val="007352F5"/>
    <w:rsid w:val="007353CE"/>
    <w:rsid w:val="0073789D"/>
    <w:rsid w:val="0074018E"/>
    <w:rsid w:val="0074132B"/>
    <w:rsid w:val="0074140A"/>
    <w:rsid w:val="0074348C"/>
    <w:rsid w:val="00743DA6"/>
    <w:rsid w:val="007508D9"/>
    <w:rsid w:val="00750F2A"/>
    <w:rsid w:val="00754634"/>
    <w:rsid w:val="007602AD"/>
    <w:rsid w:val="00760528"/>
    <w:rsid w:val="00761335"/>
    <w:rsid w:val="0076389E"/>
    <w:rsid w:val="00770D7D"/>
    <w:rsid w:val="007711D0"/>
    <w:rsid w:val="00776AD7"/>
    <w:rsid w:val="00776EFF"/>
    <w:rsid w:val="00777F0A"/>
    <w:rsid w:val="00781FE0"/>
    <w:rsid w:val="007820D7"/>
    <w:rsid w:val="00782EEC"/>
    <w:rsid w:val="00786A39"/>
    <w:rsid w:val="007959C6"/>
    <w:rsid w:val="00797818"/>
    <w:rsid w:val="007A0A6C"/>
    <w:rsid w:val="007A163D"/>
    <w:rsid w:val="007A30F9"/>
    <w:rsid w:val="007A618C"/>
    <w:rsid w:val="007B0F87"/>
    <w:rsid w:val="007B318B"/>
    <w:rsid w:val="007C37F4"/>
    <w:rsid w:val="007C4023"/>
    <w:rsid w:val="007C434A"/>
    <w:rsid w:val="007C45CE"/>
    <w:rsid w:val="007C60F9"/>
    <w:rsid w:val="007C70F1"/>
    <w:rsid w:val="007C7D36"/>
    <w:rsid w:val="007D071E"/>
    <w:rsid w:val="007E05C3"/>
    <w:rsid w:val="007E1742"/>
    <w:rsid w:val="007E218E"/>
    <w:rsid w:val="007E35F0"/>
    <w:rsid w:val="007E4090"/>
    <w:rsid w:val="007E4715"/>
    <w:rsid w:val="007E4870"/>
    <w:rsid w:val="007E4C7C"/>
    <w:rsid w:val="007E4CBD"/>
    <w:rsid w:val="007E5AD6"/>
    <w:rsid w:val="007E601C"/>
    <w:rsid w:val="007E7DA8"/>
    <w:rsid w:val="007F3D3E"/>
    <w:rsid w:val="007F40FA"/>
    <w:rsid w:val="00806CA9"/>
    <w:rsid w:val="0081381C"/>
    <w:rsid w:val="008152D3"/>
    <w:rsid w:val="00816993"/>
    <w:rsid w:val="00816B30"/>
    <w:rsid w:val="00817E6C"/>
    <w:rsid w:val="008261BE"/>
    <w:rsid w:val="0082748E"/>
    <w:rsid w:val="008307DB"/>
    <w:rsid w:val="00836286"/>
    <w:rsid w:val="00837A4C"/>
    <w:rsid w:val="00837D0C"/>
    <w:rsid w:val="008405D1"/>
    <w:rsid w:val="00845006"/>
    <w:rsid w:val="008453DA"/>
    <w:rsid w:val="00845F93"/>
    <w:rsid w:val="00853F6B"/>
    <w:rsid w:val="00854266"/>
    <w:rsid w:val="0085611A"/>
    <w:rsid w:val="00856CB5"/>
    <w:rsid w:val="00857982"/>
    <w:rsid w:val="0086107D"/>
    <w:rsid w:val="00863997"/>
    <w:rsid w:val="00864C2F"/>
    <w:rsid w:val="00866AF5"/>
    <w:rsid w:val="008703CC"/>
    <w:rsid w:val="00872D7D"/>
    <w:rsid w:val="00885978"/>
    <w:rsid w:val="00887D91"/>
    <w:rsid w:val="00892E36"/>
    <w:rsid w:val="008947DB"/>
    <w:rsid w:val="008957E2"/>
    <w:rsid w:val="00896420"/>
    <w:rsid w:val="0089647D"/>
    <w:rsid w:val="008A3568"/>
    <w:rsid w:val="008A3830"/>
    <w:rsid w:val="008A46A7"/>
    <w:rsid w:val="008A573F"/>
    <w:rsid w:val="008A7801"/>
    <w:rsid w:val="008A7DB0"/>
    <w:rsid w:val="008B009E"/>
    <w:rsid w:val="008B23A2"/>
    <w:rsid w:val="008B2C2E"/>
    <w:rsid w:val="008B5217"/>
    <w:rsid w:val="008B6550"/>
    <w:rsid w:val="008B6E37"/>
    <w:rsid w:val="008C1C7E"/>
    <w:rsid w:val="008C209A"/>
    <w:rsid w:val="008C39DA"/>
    <w:rsid w:val="008D0C95"/>
    <w:rsid w:val="008D4D79"/>
    <w:rsid w:val="008E47F2"/>
    <w:rsid w:val="008E5113"/>
    <w:rsid w:val="008E76E1"/>
    <w:rsid w:val="008F1855"/>
    <w:rsid w:val="008F1A0F"/>
    <w:rsid w:val="008F2D6D"/>
    <w:rsid w:val="008F3634"/>
    <w:rsid w:val="008F78DF"/>
    <w:rsid w:val="00900BE2"/>
    <w:rsid w:val="0090123B"/>
    <w:rsid w:val="00902786"/>
    <w:rsid w:val="00904F2B"/>
    <w:rsid w:val="00906D24"/>
    <w:rsid w:val="00911A4E"/>
    <w:rsid w:val="00914CFC"/>
    <w:rsid w:val="009151E2"/>
    <w:rsid w:val="009238F9"/>
    <w:rsid w:val="0092486C"/>
    <w:rsid w:val="00930DE4"/>
    <w:rsid w:val="00930E2E"/>
    <w:rsid w:val="00933615"/>
    <w:rsid w:val="009461F3"/>
    <w:rsid w:val="00947FD2"/>
    <w:rsid w:val="009645DD"/>
    <w:rsid w:val="00964B8A"/>
    <w:rsid w:val="009662CF"/>
    <w:rsid w:val="00973FF1"/>
    <w:rsid w:val="00974B8F"/>
    <w:rsid w:val="00985C06"/>
    <w:rsid w:val="00987BC6"/>
    <w:rsid w:val="009901A3"/>
    <w:rsid w:val="00990854"/>
    <w:rsid w:val="00994991"/>
    <w:rsid w:val="00994EB4"/>
    <w:rsid w:val="00996511"/>
    <w:rsid w:val="00997EE6"/>
    <w:rsid w:val="009A2980"/>
    <w:rsid w:val="009A420D"/>
    <w:rsid w:val="009A4F54"/>
    <w:rsid w:val="009B2DDF"/>
    <w:rsid w:val="009B3BAF"/>
    <w:rsid w:val="009C2AF0"/>
    <w:rsid w:val="009C6C5D"/>
    <w:rsid w:val="009D0882"/>
    <w:rsid w:val="009D09E0"/>
    <w:rsid w:val="009D1C7C"/>
    <w:rsid w:val="009E08EC"/>
    <w:rsid w:val="009E29DD"/>
    <w:rsid w:val="009E5554"/>
    <w:rsid w:val="009E626F"/>
    <w:rsid w:val="009E6742"/>
    <w:rsid w:val="009E7063"/>
    <w:rsid w:val="009F1779"/>
    <w:rsid w:val="009F32AE"/>
    <w:rsid w:val="009F412D"/>
    <w:rsid w:val="009F6B79"/>
    <w:rsid w:val="009F6F91"/>
    <w:rsid w:val="009F7D31"/>
    <w:rsid w:val="00A01A0B"/>
    <w:rsid w:val="00A04A12"/>
    <w:rsid w:val="00A05E6E"/>
    <w:rsid w:val="00A145EB"/>
    <w:rsid w:val="00A205CF"/>
    <w:rsid w:val="00A20883"/>
    <w:rsid w:val="00A25369"/>
    <w:rsid w:val="00A3393E"/>
    <w:rsid w:val="00A430CE"/>
    <w:rsid w:val="00A438BE"/>
    <w:rsid w:val="00A43909"/>
    <w:rsid w:val="00A43FDD"/>
    <w:rsid w:val="00A44417"/>
    <w:rsid w:val="00A46466"/>
    <w:rsid w:val="00A5369D"/>
    <w:rsid w:val="00A53B42"/>
    <w:rsid w:val="00A55D21"/>
    <w:rsid w:val="00A57481"/>
    <w:rsid w:val="00A604E8"/>
    <w:rsid w:val="00A67AD5"/>
    <w:rsid w:val="00A67B2F"/>
    <w:rsid w:val="00A7397B"/>
    <w:rsid w:val="00A73B77"/>
    <w:rsid w:val="00A75456"/>
    <w:rsid w:val="00A76084"/>
    <w:rsid w:val="00A768E0"/>
    <w:rsid w:val="00A76DAB"/>
    <w:rsid w:val="00A901DA"/>
    <w:rsid w:val="00A9047C"/>
    <w:rsid w:val="00A9432B"/>
    <w:rsid w:val="00A94855"/>
    <w:rsid w:val="00A954EE"/>
    <w:rsid w:val="00AA4BF5"/>
    <w:rsid w:val="00AA67D4"/>
    <w:rsid w:val="00AB1B8F"/>
    <w:rsid w:val="00AB298C"/>
    <w:rsid w:val="00AB3EC3"/>
    <w:rsid w:val="00AB5F29"/>
    <w:rsid w:val="00AB65A0"/>
    <w:rsid w:val="00AC1743"/>
    <w:rsid w:val="00AC2579"/>
    <w:rsid w:val="00AC2BED"/>
    <w:rsid w:val="00AC2FF7"/>
    <w:rsid w:val="00AC367E"/>
    <w:rsid w:val="00AC62C4"/>
    <w:rsid w:val="00AD0B99"/>
    <w:rsid w:val="00AD11B3"/>
    <w:rsid w:val="00AD2278"/>
    <w:rsid w:val="00AD2599"/>
    <w:rsid w:val="00AD2BE3"/>
    <w:rsid w:val="00AD476E"/>
    <w:rsid w:val="00AD5C59"/>
    <w:rsid w:val="00AD68EF"/>
    <w:rsid w:val="00AE0C40"/>
    <w:rsid w:val="00AE6BD7"/>
    <w:rsid w:val="00AE6C09"/>
    <w:rsid w:val="00AF137C"/>
    <w:rsid w:val="00B00612"/>
    <w:rsid w:val="00B01015"/>
    <w:rsid w:val="00B013D4"/>
    <w:rsid w:val="00B03102"/>
    <w:rsid w:val="00B04978"/>
    <w:rsid w:val="00B06025"/>
    <w:rsid w:val="00B116EC"/>
    <w:rsid w:val="00B16872"/>
    <w:rsid w:val="00B174AE"/>
    <w:rsid w:val="00B17624"/>
    <w:rsid w:val="00B244C0"/>
    <w:rsid w:val="00B255E0"/>
    <w:rsid w:val="00B3464C"/>
    <w:rsid w:val="00B35336"/>
    <w:rsid w:val="00B3595A"/>
    <w:rsid w:val="00B35F3A"/>
    <w:rsid w:val="00B407A1"/>
    <w:rsid w:val="00B40B5B"/>
    <w:rsid w:val="00B41AFD"/>
    <w:rsid w:val="00B41BF5"/>
    <w:rsid w:val="00B421F0"/>
    <w:rsid w:val="00B445B5"/>
    <w:rsid w:val="00B50F94"/>
    <w:rsid w:val="00B52453"/>
    <w:rsid w:val="00B5253D"/>
    <w:rsid w:val="00B534DD"/>
    <w:rsid w:val="00B60977"/>
    <w:rsid w:val="00B64CF6"/>
    <w:rsid w:val="00B668C7"/>
    <w:rsid w:val="00B66E62"/>
    <w:rsid w:val="00B7161D"/>
    <w:rsid w:val="00B71D7B"/>
    <w:rsid w:val="00B71F2E"/>
    <w:rsid w:val="00B720C1"/>
    <w:rsid w:val="00B7247A"/>
    <w:rsid w:val="00B74798"/>
    <w:rsid w:val="00B75024"/>
    <w:rsid w:val="00B75FDF"/>
    <w:rsid w:val="00B766CA"/>
    <w:rsid w:val="00B80D0E"/>
    <w:rsid w:val="00B8473F"/>
    <w:rsid w:val="00B849FF"/>
    <w:rsid w:val="00B9055E"/>
    <w:rsid w:val="00B9056E"/>
    <w:rsid w:val="00B909D1"/>
    <w:rsid w:val="00B91C75"/>
    <w:rsid w:val="00B93FCB"/>
    <w:rsid w:val="00B95DE8"/>
    <w:rsid w:val="00BA1FBF"/>
    <w:rsid w:val="00BA3AA0"/>
    <w:rsid w:val="00BA3EF9"/>
    <w:rsid w:val="00BB4754"/>
    <w:rsid w:val="00BB4C1B"/>
    <w:rsid w:val="00BB71FF"/>
    <w:rsid w:val="00BC134A"/>
    <w:rsid w:val="00BC4A50"/>
    <w:rsid w:val="00BC4CB6"/>
    <w:rsid w:val="00BD0739"/>
    <w:rsid w:val="00BD4853"/>
    <w:rsid w:val="00BD6834"/>
    <w:rsid w:val="00BE1957"/>
    <w:rsid w:val="00BE5B99"/>
    <w:rsid w:val="00BE7946"/>
    <w:rsid w:val="00BE7B0F"/>
    <w:rsid w:val="00BE7CC2"/>
    <w:rsid w:val="00BF03E6"/>
    <w:rsid w:val="00BF38DB"/>
    <w:rsid w:val="00BF3943"/>
    <w:rsid w:val="00C017EE"/>
    <w:rsid w:val="00C02F87"/>
    <w:rsid w:val="00C049C0"/>
    <w:rsid w:val="00C07640"/>
    <w:rsid w:val="00C113CD"/>
    <w:rsid w:val="00C114CC"/>
    <w:rsid w:val="00C13026"/>
    <w:rsid w:val="00C1312F"/>
    <w:rsid w:val="00C14DFA"/>
    <w:rsid w:val="00C15F2B"/>
    <w:rsid w:val="00C16FDE"/>
    <w:rsid w:val="00C20452"/>
    <w:rsid w:val="00C22642"/>
    <w:rsid w:val="00C2386D"/>
    <w:rsid w:val="00C2617D"/>
    <w:rsid w:val="00C3353D"/>
    <w:rsid w:val="00C335D1"/>
    <w:rsid w:val="00C34DF5"/>
    <w:rsid w:val="00C3751D"/>
    <w:rsid w:val="00C40F55"/>
    <w:rsid w:val="00C4102E"/>
    <w:rsid w:val="00C4529C"/>
    <w:rsid w:val="00C46110"/>
    <w:rsid w:val="00C4693C"/>
    <w:rsid w:val="00C47CB1"/>
    <w:rsid w:val="00C51781"/>
    <w:rsid w:val="00C51F09"/>
    <w:rsid w:val="00C52D77"/>
    <w:rsid w:val="00C53BBD"/>
    <w:rsid w:val="00C544F7"/>
    <w:rsid w:val="00C555B4"/>
    <w:rsid w:val="00C55836"/>
    <w:rsid w:val="00C61874"/>
    <w:rsid w:val="00C62B54"/>
    <w:rsid w:val="00C66F52"/>
    <w:rsid w:val="00C70FFA"/>
    <w:rsid w:val="00C741A0"/>
    <w:rsid w:val="00C75D69"/>
    <w:rsid w:val="00C81BDA"/>
    <w:rsid w:val="00C82F98"/>
    <w:rsid w:val="00C9201A"/>
    <w:rsid w:val="00C9641B"/>
    <w:rsid w:val="00C97EEE"/>
    <w:rsid w:val="00CA03FA"/>
    <w:rsid w:val="00CA105F"/>
    <w:rsid w:val="00CA250A"/>
    <w:rsid w:val="00CA2521"/>
    <w:rsid w:val="00CA2A5C"/>
    <w:rsid w:val="00CA41E3"/>
    <w:rsid w:val="00CA4FF2"/>
    <w:rsid w:val="00CA77BC"/>
    <w:rsid w:val="00CB20DC"/>
    <w:rsid w:val="00CB5D24"/>
    <w:rsid w:val="00CC16DB"/>
    <w:rsid w:val="00CC29B8"/>
    <w:rsid w:val="00CC77C9"/>
    <w:rsid w:val="00CC7D99"/>
    <w:rsid w:val="00CD02CC"/>
    <w:rsid w:val="00CD2AC7"/>
    <w:rsid w:val="00CD7AE5"/>
    <w:rsid w:val="00CE0325"/>
    <w:rsid w:val="00CE3363"/>
    <w:rsid w:val="00CE4BB2"/>
    <w:rsid w:val="00CE55B1"/>
    <w:rsid w:val="00CE7104"/>
    <w:rsid w:val="00CF574F"/>
    <w:rsid w:val="00D00F30"/>
    <w:rsid w:val="00D0226F"/>
    <w:rsid w:val="00D1098B"/>
    <w:rsid w:val="00D14C00"/>
    <w:rsid w:val="00D14E48"/>
    <w:rsid w:val="00D166D2"/>
    <w:rsid w:val="00D234AE"/>
    <w:rsid w:val="00D23BFF"/>
    <w:rsid w:val="00D24F45"/>
    <w:rsid w:val="00D2735E"/>
    <w:rsid w:val="00D31724"/>
    <w:rsid w:val="00D3366C"/>
    <w:rsid w:val="00D43073"/>
    <w:rsid w:val="00D45CC9"/>
    <w:rsid w:val="00D510EC"/>
    <w:rsid w:val="00D51EDD"/>
    <w:rsid w:val="00D55BBF"/>
    <w:rsid w:val="00D5687D"/>
    <w:rsid w:val="00D57FFD"/>
    <w:rsid w:val="00D65F04"/>
    <w:rsid w:val="00D66CC7"/>
    <w:rsid w:val="00D723B3"/>
    <w:rsid w:val="00D72B1B"/>
    <w:rsid w:val="00D73BEB"/>
    <w:rsid w:val="00D80E1E"/>
    <w:rsid w:val="00D83996"/>
    <w:rsid w:val="00D85957"/>
    <w:rsid w:val="00D85D0A"/>
    <w:rsid w:val="00D92E50"/>
    <w:rsid w:val="00D96799"/>
    <w:rsid w:val="00DA02F5"/>
    <w:rsid w:val="00DA253D"/>
    <w:rsid w:val="00DA31F6"/>
    <w:rsid w:val="00DA6F16"/>
    <w:rsid w:val="00DA7AB6"/>
    <w:rsid w:val="00DB1D62"/>
    <w:rsid w:val="00DB3C38"/>
    <w:rsid w:val="00DC2D3C"/>
    <w:rsid w:val="00DD445B"/>
    <w:rsid w:val="00DD7F59"/>
    <w:rsid w:val="00DE32DD"/>
    <w:rsid w:val="00DE4552"/>
    <w:rsid w:val="00DF031F"/>
    <w:rsid w:val="00DF7728"/>
    <w:rsid w:val="00E004B6"/>
    <w:rsid w:val="00E01DCE"/>
    <w:rsid w:val="00E078CB"/>
    <w:rsid w:val="00E12E5B"/>
    <w:rsid w:val="00E20D4D"/>
    <w:rsid w:val="00E21226"/>
    <w:rsid w:val="00E2430F"/>
    <w:rsid w:val="00E276EF"/>
    <w:rsid w:val="00E30337"/>
    <w:rsid w:val="00E306DE"/>
    <w:rsid w:val="00E448B8"/>
    <w:rsid w:val="00E4774D"/>
    <w:rsid w:val="00E477B5"/>
    <w:rsid w:val="00E47A4F"/>
    <w:rsid w:val="00E50FE7"/>
    <w:rsid w:val="00E51813"/>
    <w:rsid w:val="00E53711"/>
    <w:rsid w:val="00E53882"/>
    <w:rsid w:val="00E54E8F"/>
    <w:rsid w:val="00E62FCF"/>
    <w:rsid w:val="00E65007"/>
    <w:rsid w:val="00E66025"/>
    <w:rsid w:val="00E754A8"/>
    <w:rsid w:val="00E76C2A"/>
    <w:rsid w:val="00E77DC8"/>
    <w:rsid w:val="00E82B04"/>
    <w:rsid w:val="00E858E3"/>
    <w:rsid w:val="00E87127"/>
    <w:rsid w:val="00E95272"/>
    <w:rsid w:val="00E95389"/>
    <w:rsid w:val="00EA3BDB"/>
    <w:rsid w:val="00EA7901"/>
    <w:rsid w:val="00EB4660"/>
    <w:rsid w:val="00EB7D46"/>
    <w:rsid w:val="00EC3342"/>
    <w:rsid w:val="00EC4940"/>
    <w:rsid w:val="00EC62E0"/>
    <w:rsid w:val="00EC7402"/>
    <w:rsid w:val="00EC75D2"/>
    <w:rsid w:val="00ED2AB0"/>
    <w:rsid w:val="00ED7AD7"/>
    <w:rsid w:val="00EE02C3"/>
    <w:rsid w:val="00EE0F70"/>
    <w:rsid w:val="00EE1F34"/>
    <w:rsid w:val="00EE3CA1"/>
    <w:rsid w:val="00EE6767"/>
    <w:rsid w:val="00EE7BB2"/>
    <w:rsid w:val="00EE7DE0"/>
    <w:rsid w:val="00EF230D"/>
    <w:rsid w:val="00EF7F5E"/>
    <w:rsid w:val="00F013DD"/>
    <w:rsid w:val="00F021B3"/>
    <w:rsid w:val="00F04BCA"/>
    <w:rsid w:val="00F059BA"/>
    <w:rsid w:val="00F1446F"/>
    <w:rsid w:val="00F1500A"/>
    <w:rsid w:val="00F2693C"/>
    <w:rsid w:val="00F273B6"/>
    <w:rsid w:val="00F273C1"/>
    <w:rsid w:val="00F311CB"/>
    <w:rsid w:val="00F337AE"/>
    <w:rsid w:val="00F351EE"/>
    <w:rsid w:val="00F3634D"/>
    <w:rsid w:val="00F36787"/>
    <w:rsid w:val="00F36AD8"/>
    <w:rsid w:val="00F41429"/>
    <w:rsid w:val="00F42C8C"/>
    <w:rsid w:val="00F53E20"/>
    <w:rsid w:val="00F6076E"/>
    <w:rsid w:val="00F6742D"/>
    <w:rsid w:val="00FA29E0"/>
    <w:rsid w:val="00FA38B3"/>
    <w:rsid w:val="00FA4056"/>
    <w:rsid w:val="00FA50EE"/>
    <w:rsid w:val="00FA5251"/>
    <w:rsid w:val="00FA6ECF"/>
    <w:rsid w:val="00FB1686"/>
    <w:rsid w:val="00FB6320"/>
    <w:rsid w:val="00FB7879"/>
    <w:rsid w:val="00FC1948"/>
    <w:rsid w:val="00FC450D"/>
    <w:rsid w:val="00FC531E"/>
    <w:rsid w:val="00FC7BAB"/>
    <w:rsid w:val="00FD0BD7"/>
    <w:rsid w:val="00FE3098"/>
    <w:rsid w:val="00FE6FF0"/>
    <w:rsid w:val="00FF0899"/>
    <w:rsid w:val="00FF0C89"/>
    <w:rsid w:val="00FF3778"/>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A5522"/>
  <w15:docId w15:val="{224F656F-3119-4A65-88E4-4338E0BD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91"/>
    <w:pPr>
      <w:spacing w:after="200" w:line="276" w:lineRule="auto"/>
    </w:pPr>
    <w:rPr>
      <w:rFonts w:eastAsia="Times New Roman"/>
      <w:sz w:val="22"/>
      <w:szCs w:val="22"/>
    </w:rPr>
  </w:style>
  <w:style w:type="paragraph" w:styleId="Heading7">
    <w:name w:val="heading 7"/>
    <w:basedOn w:val="Normal"/>
    <w:next w:val="Normal"/>
    <w:link w:val="Heading7Char"/>
    <w:uiPriority w:val="9"/>
    <w:semiHidden/>
    <w:unhideWhenUsed/>
    <w:qFormat/>
    <w:locked/>
    <w:rsid w:val="00F273C1"/>
    <w:pPr>
      <w:spacing w:before="120" w:after="0" w:line="240" w:lineRule="auto"/>
      <w:outlineLvl w:val="6"/>
    </w:pPr>
    <w:rPr>
      <w:rFonts w:asciiTheme="majorHAnsi" w:eastAsiaTheme="majorEastAsia" w:hAnsiTheme="majorHAnsi" w:cstheme="majorBidi"/>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F4E"/>
    <w:pPr>
      <w:ind w:left="720"/>
      <w:contextualSpacing/>
    </w:pPr>
  </w:style>
  <w:style w:type="paragraph" w:styleId="Header">
    <w:name w:val="header"/>
    <w:basedOn w:val="Normal"/>
    <w:link w:val="HeaderChar"/>
    <w:rsid w:val="003E4847"/>
    <w:pPr>
      <w:tabs>
        <w:tab w:val="center" w:pos="4680"/>
        <w:tab w:val="right" w:pos="9360"/>
      </w:tabs>
      <w:spacing w:after="0" w:line="240" w:lineRule="auto"/>
    </w:pPr>
  </w:style>
  <w:style w:type="character" w:customStyle="1" w:styleId="HeaderChar">
    <w:name w:val="Header Char"/>
    <w:basedOn w:val="DefaultParagraphFont"/>
    <w:link w:val="Header"/>
    <w:locked/>
    <w:rsid w:val="003E4847"/>
    <w:rPr>
      <w:rFonts w:cs="Times New Roman"/>
    </w:rPr>
  </w:style>
  <w:style w:type="paragraph" w:styleId="Footer">
    <w:name w:val="footer"/>
    <w:basedOn w:val="Normal"/>
    <w:link w:val="FooterChar"/>
    <w:rsid w:val="003E4847"/>
    <w:pPr>
      <w:tabs>
        <w:tab w:val="center" w:pos="4680"/>
        <w:tab w:val="right" w:pos="9360"/>
      </w:tabs>
      <w:spacing w:after="0" w:line="240" w:lineRule="auto"/>
    </w:pPr>
  </w:style>
  <w:style w:type="character" w:customStyle="1" w:styleId="FooterChar">
    <w:name w:val="Footer Char"/>
    <w:basedOn w:val="DefaultParagraphFont"/>
    <w:link w:val="Footer"/>
    <w:locked/>
    <w:rsid w:val="003E4847"/>
    <w:rPr>
      <w:rFonts w:cs="Times New Roman"/>
    </w:rPr>
  </w:style>
  <w:style w:type="character" w:styleId="CommentReference">
    <w:name w:val="annotation reference"/>
    <w:basedOn w:val="DefaultParagraphFont"/>
    <w:uiPriority w:val="99"/>
    <w:semiHidden/>
    <w:rsid w:val="00A55D21"/>
    <w:rPr>
      <w:rFonts w:cs="Times New Roman"/>
      <w:sz w:val="16"/>
      <w:szCs w:val="16"/>
    </w:rPr>
  </w:style>
  <w:style w:type="paragraph" w:styleId="CommentText">
    <w:name w:val="annotation text"/>
    <w:basedOn w:val="Normal"/>
    <w:link w:val="CommentTextChar"/>
    <w:uiPriority w:val="99"/>
    <w:rsid w:val="00A55D21"/>
    <w:pPr>
      <w:spacing w:line="240" w:lineRule="auto"/>
    </w:pPr>
    <w:rPr>
      <w:sz w:val="20"/>
      <w:szCs w:val="20"/>
    </w:rPr>
  </w:style>
  <w:style w:type="character" w:customStyle="1" w:styleId="CommentTextChar">
    <w:name w:val="Comment Text Char"/>
    <w:basedOn w:val="DefaultParagraphFont"/>
    <w:link w:val="CommentText"/>
    <w:uiPriority w:val="99"/>
    <w:locked/>
    <w:rsid w:val="00A55D21"/>
    <w:rPr>
      <w:rFonts w:cs="Times New Roman"/>
      <w:sz w:val="20"/>
      <w:szCs w:val="20"/>
    </w:rPr>
  </w:style>
  <w:style w:type="paragraph" w:styleId="CommentSubject">
    <w:name w:val="annotation subject"/>
    <w:basedOn w:val="CommentText"/>
    <w:next w:val="CommentText"/>
    <w:link w:val="CommentSubjectChar"/>
    <w:semiHidden/>
    <w:rsid w:val="00A55D21"/>
    <w:rPr>
      <w:b/>
      <w:bCs/>
    </w:rPr>
  </w:style>
  <w:style w:type="character" w:customStyle="1" w:styleId="CommentSubjectChar">
    <w:name w:val="Comment Subject Char"/>
    <w:basedOn w:val="CommentTextChar"/>
    <w:link w:val="CommentSubject"/>
    <w:semiHidden/>
    <w:locked/>
    <w:rsid w:val="00A55D21"/>
    <w:rPr>
      <w:rFonts w:cs="Times New Roman"/>
      <w:b/>
      <w:bCs/>
      <w:sz w:val="20"/>
      <w:szCs w:val="20"/>
    </w:rPr>
  </w:style>
  <w:style w:type="paragraph" w:styleId="BalloonText">
    <w:name w:val="Balloon Text"/>
    <w:basedOn w:val="Normal"/>
    <w:link w:val="BalloonTextChar"/>
    <w:uiPriority w:val="99"/>
    <w:semiHidden/>
    <w:rsid w:val="00A5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5D21"/>
    <w:rPr>
      <w:rFonts w:ascii="Tahoma" w:hAnsi="Tahoma" w:cs="Tahoma"/>
      <w:sz w:val="16"/>
      <w:szCs w:val="16"/>
    </w:rPr>
  </w:style>
  <w:style w:type="character" w:styleId="Hyperlink">
    <w:name w:val="Hyperlink"/>
    <w:basedOn w:val="DefaultParagraphFont"/>
    <w:rsid w:val="004634AD"/>
    <w:rPr>
      <w:rFonts w:cs="Times New Roman"/>
      <w:color w:val="0000FF"/>
      <w:u w:val="single"/>
    </w:rPr>
  </w:style>
  <w:style w:type="table" w:styleId="TableGrid">
    <w:name w:val="Table Grid"/>
    <w:basedOn w:val="TableNormal"/>
    <w:uiPriority w:val="39"/>
    <w:rsid w:val="002028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028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02812"/>
    <w:rPr>
      <w:rFonts w:cs="Times New Roman"/>
      <w:sz w:val="20"/>
      <w:szCs w:val="20"/>
    </w:rPr>
  </w:style>
  <w:style w:type="character" w:styleId="FootnoteReference">
    <w:name w:val="footnote reference"/>
    <w:basedOn w:val="DefaultParagraphFont"/>
    <w:semiHidden/>
    <w:rsid w:val="00202812"/>
    <w:rPr>
      <w:rFonts w:cs="Times New Roman"/>
      <w:vertAlign w:val="superscript"/>
    </w:rPr>
  </w:style>
  <w:style w:type="paragraph" w:styleId="PlainText">
    <w:name w:val="Plain Text"/>
    <w:basedOn w:val="Normal"/>
    <w:link w:val="PlainTextChar"/>
    <w:rsid w:val="003D62AF"/>
    <w:pPr>
      <w:spacing w:after="0" w:line="240" w:lineRule="auto"/>
    </w:pPr>
    <w:rPr>
      <w:rFonts w:cs="Consolas"/>
      <w:szCs w:val="21"/>
    </w:rPr>
  </w:style>
  <w:style w:type="character" w:customStyle="1" w:styleId="PlainTextChar">
    <w:name w:val="Plain Text Char"/>
    <w:basedOn w:val="DefaultParagraphFont"/>
    <w:link w:val="PlainText"/>
    <w:locked/>
    <w:rsid w:val="003D62AF"/>
    <w:rPr>
      <w:rFonts w:ascii="Calibri" w:hAnsi="Calibri" w:cs="Consolas"/>
      <w:sz w:val="21"/>
      <w:szCs w:val="21"/>
    </w:rPr>
  </w:style>
  <w:style w:type="character" w:customStyle="1" w:styleId="Heading7Char">
    <w:name w:val="Heading 7 Char"/>
    <w:basedOn w:val="DefaultParagraphFont"/>
    <w:link w:val="Heading7"/>
    <w:uiPriority w:val="9"/>
    <w:semiHidden/>
    <w:rsid w:val="00F273C1"/>
    <w:rPr>
      <w:rFonts w:asciiTheme="majorHAnsi" w:eastAsiaTheme="majorEastAsia" w:hAnsiTheme="majorHAnsi" w:cstheme="majorBidi"/>
      <w:i/>
      <w:iCs/>
      <w:sz w:val="22"/>
      <w:szCs w:val="22"/>
      <w:lang w:bidi="en-US"/>
    </w:rPr>
  </w:style>
  <w:style w:type="character" w:styleId="FollowedHyperlink">
    <w:name w:val="FollowedHyperlink"/>
    <w:basedOn w:val="DefaultParagraphFont"/>
    <w:semiHidden/>
    <w:unhideWhenUsed/>
    <w:rsid w:val="004C6F0F"/>
    <w:rPr>
      <w:color w:val="954F72" w:themeColor="followedHyperlink"/>
      <w:u w:val="single"/>
    </w:rPr>
  </w:style>
  <w:style w:type="paragraph" w:styleId="Revision">
    <w:name w:val="Revision"/>
    <w:hidden/>
    <w:uiPriority w:val="99"/>
    <w:semiHidden/>
    <w:rsid w:val="00026B97"/>
    <w:rPr>
      <w:rFonts w:eastAsia="Times New Roman"/>
      <w:sz w:val="22"/>
      <w:szCs w:val="22"/>
    </w:rPr>
  </w:style>
  <w:style w:type="paragraph" w:customStyle="1" w:styleId="CM17">
    <w:name w:val="CM17"/>
    <w:basedOn w:val="Normal"/>
    <w:next w:val="Normal"/>
    <w:uiPriority w:val="99"/>
    <w:rsid w:val="009662CF"/>
    <w:pPr>
      <w:widowControl w:val="0"/>
      <w:autoSpaceDE w:val="0"/>
      <w:autoSpaceDN w:val="0"/>
      <w:adjustRightInd w:val="0"/>
      <w:spacing w:after="0" w:line="240" w:lineRule="auto"/>
    </w:pPr>
    <w:rPr>
      <w:sz w:val="24"/>
      <w:szCs w:val="24"/>
    </w:rPr>
  </w:style>
  <w:style w:type="paragraph" w:styleId="NoSpacing">
    <w:name w:val="No Spacing"/>
    <w:uiPriority w:val="1"/>
    <w:qFormat/>
    <w:rsid w:val="0046493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853">
      <w:bodyDiv w:val="1"/>
      <w:marLeft w:val="0"/>
      <w:marRight w:val="0"/>
      <w:marTop w:val="0"/>
      <w:marBottom w:val="0"/>
      <w:divBdr>
        <w:top w:val="none" w:sz="0" w:space="0" w:color="auto"/>
        <w:left w:val="none" w:sz="0" w:space="0" w:color="auto"/>
        <w:bottom w:val="none" w:sz="0" w:space="0" w:color="auto"/>
        <w:right w:val="none" w:sz="0" w:space="0" w:color="auto"/>
      </w:divBdr>
    </w:div>
    <w:div w:id="15815170">
      <w:bodyDiv w:val="1"/>
      <w:marLeft w:val="0"/>
      <w:marRight w:val="0"/>
      <w:marTop w:val="0"/>
      <w:marBottom w:val="0"/>
      <w:divBdr>
        <w:top w:val="none" w:sz="0" w:space="0" w:color="auto"/>
        <w:left w:val="none" w:sz="0" w:space="0" w:color="auto"/>
        <w:bottom w:val="none" w:sz="0" w:space="0" w:color="auto"/>
        <w:right w:val="none" w:sz="0" w:space="0" w:color="auto"/>
      </w:divBdr>
    </w:div>
    <w:div w:id="50539288">
      <w:bodyDiv w:val="1"/>
      <w:marLeft w:val="0"/>
      <w:marRight w:val="0"/>
      <w:marTop w:val="0"/>
      <w:marBottom w:val="0"/>
      <w:divBdr>
        <w:top w:val="none" w:sz="0" w:space="0" w:color="auto"/>
        <w:left w:val="none" w:sz="0" w:space="0" w:color="auto"/>
        <w:bottom w:val="none" w:sz="0" w:space="0" w:color="auto"/>
        <w:right w:val="none" w:sz="0" w:space="0" w:color="auto"/>
      </w:divBdr>
    </w:div>
    <w:div w:id="150872555">
      <w:bodyDiv w:val="1"/>
      <w:marLeft w:val="0"/>
      <w:marRight w:val="0"/>
      <w:marTop w:val="0"/>
      <w:marBottom w:val="0"/>
      <w:divBdr>
        <w:top w:val="none" w:sz="0" w:space="0" w:color="auto"/>
        <w:left w:val="none" w:sz="0" w:space="0" w:color="auto"/>
        <w:bottom w:val="none" w:sz="0" w:space="0" w:color="auto"/>
        <w:right w:val="none" w:sz="0" w:space="0" w:color="auto"/>
      </w:divBdr>
    </w:div>
    <w:div w:id="358088928">
      <w:bodyDiv w:val="1"/>
      <w:marLeft w:val="0"/>
      <w:marRight w:val="0"/>
      <w:marTop w:val="0"/>
      <w:marBottom w:val="0"/>
      <w:divBdr>
        <w:top w:val="none" w:sz="0" w:space="0" w:color="auto"/>
        <w:left w:val="none" w:sz="0" w:space="0" w:color="auto"/>
        <w:bottom w:val="none" w:sz="0" w:space="0" w:color="auto"/>
        <w:right w:val="none" w:sz="0" w:space="0" w:color="auto"/>
      </w:divBdr>
    </w:div>
    <w:div w:id="454257461">
      <w:bodyDiv w:val="1"/>
      <w:marLeft w:val="0"/>
      <w:marRight w:val="0"/>
      <w:marTop w:val="0"/>
      <w:marBottom w:val="0"/>
      <w:divBdr>
        <w:top w:val="none" w:sz="0" w:space="0" w:color="auto"/>
        <w:left w:val="none" w:sz="0" w:space="0" w:color="auto"/>
        <w:bottom w:val="none" w:sz="0" w:space="0" w:color="auto"/>
        <w:right w:val="none" w:sz="0" w:space="0" w:color="auto"/>
      </w:divBdr>
    </w:div>
    <w:div w:id="547959880">
      <w:bodyDiv w:val="1"/>
      <w:marLeft w:val="0"/>
      <w:marRight w:val="0"/>
      <w:marTop w:val="0"/>
      <w:marBottom w:val="0"/>
      <w:divBdr>
        <w:top w:val="none" w:sz="0" w:space="0" w:color="auto"/>
        <w:left w:val="none" w:sz="0" w:space="0" w:color="auto"/>
        <w:bottom w:val="none" w:sz="0" w:space="0" w:color="auto"/>
        <w:right w:val="none" w:sz="0" w:space="0" w:color="auto"/>
      </w:divBdr>
    </w:div>
    <w:div w:id="720908735">
      <w:bodyDiv w:val="1"/>
      <w:marLeft w:val="0"/>
      <w:marRight w:val="0"/>
      <w:marTop w:val="0"/>
      <w:marBottom w:val="0"/>
      <w:divBdr>
        <w:top w:val="none" w:sz="0" w:space="0" w:color="auto"/>
        <w:left w:val="none" w:sz="0" w:space="0" w:color="auto"/>
        <w:bottom w:val="none" w:sz="0" w:space="0" w:color="auto"/>
        <w:right w:val="none" w:sz="0" w:space="0" w:color="auto"/>
      </w:divBdr>
    </w:div>
    <w:div w:id="960838959">
      <w:bodyDiv w:val="1"/>
      <w:marLeft w:val="0"/>
      <w:marRight w:val="0"/>
      <w:marTop w:val="0"/>
      <w:marBottom w:val="0"/>
      <w:divBdr>
        <w:top w:val="none" w:sz="0" w:space="0" w:color="auto"/>
        <w:left w:val="none" w:sz="0" w:space="0" w:color="auto"/>
        <w:bottom w:val="none" w:sz="0" w:space="0" w:color="auto"/>
        <w:right w:val="none" w:sz="0" w:space="0" w:color="auto"/>
      </w:divBdr>
    </w:div>
    <w:div w:id="1091000983">
      <w:bodyDiv w:val="1"/>
      <w:marLeft w:val="0"/>
      <w:marRight w:val="0"/>
      <w:marTop w:val="0"/>
      <w:marBottom w:val="0"/>
      <w:divBdr>
        <w:top w:val="none" w:sz="0" w:space="0" w:color="auto"/>
        <w:left w:val="none" w:sz="0" w:space="0" w:color="auto"/>
        <w:bottom w:val="none" w:sz="0" w:space="0" w:color="auto"/>
        <w:right w:val="none" w:sz="0" w:space="0" w:color="auto"/>
      </w:divBdr>
    </w:div>
    <w:div w:id="1226449150">
      <w:bodyDiv w:val="1"/>
      <w:marLeft w:val="0"/>
      <w:marRight w:val="0"/>
      <w:marTop w:val="0"/>
      <w:marBottom w:val="0"/>
      <w:divBdr>
        <w:top w:val="none" w:sz="0" w:space="0" w:color="auto"/>
        <w:left w:val="none" w:sz="0" w:space="0" w:color="auto"/>
        <w:bottom w:val="none" w:sz="0" w:space="0" w:color="auto"/>
        <w:right w:val="none" w:sz="0" w:space="0" w:color="auto"/>
      </w:divBdr>
    </w:div>
    <w:div w:id="1259098526">
      <w:bodyDiv w:val="1"/>
      <w:marLeft w:val="0"/>
      <w:marRight w:val="0"/>
      <w:marTop w:val="0"/>
      <w:marBottom w:val="0"/>
      <w:divBdr>
        <w:top w:val="none" w:sz="0" w:space="0" w:color="auto"/>
        <w:left w:val="none" w:sz="0" w:space="0" w:color="auto"/>
        <w:bottom w:val="none" w:sz="0" w:space="0" w:color="auto"/>
        <w:right w:val="none" w:sz="0" w:space="0" w:color="auto"/>
      </w:divBdr>
    </w:div>
    <w:div w:id="1284926615">
      <w:bodyDiv w:val="1"/>
      <w:marLeft w:val="0"/>
      <w:marRight w:val="0"/>
      <w:marTop w:val="0"/>
      <w:marBottom w:val="0"/>
      <w:divBdr>
        <w:top w:val="none" w:sz="0" w:space="0" w:color="auto"/>
        <w:left w:val="none" w:sz="0" w:space="0" w:color="auto"/>
        <w:bottom w:val="none" w:sz="0" w:space="0" w:color="auto"/>
        <w:right w:val="none" w:sz="0" w:space="0" w:color="auto"/>
      </w:divBdr>
    </w:div>
    <w:div w:id="20877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greenerproducts/draft-guidelines-sections-i-i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iso.org/iso/home/standards/management-standards/iso_9000.htm" TargetMode="External"/><Relationship Id="rId3" Type="http://schemas.openxmlformats.org/officeDocument/2006/relationships/hyperlink" Target="http://www.epa.gov/greenerproducts/epas-recommendations-specifications-standards-and-ecolabels" TargetMode="External"/><Relationship Id="rId7" Type="http://schemas.openxmlformats.org/officeDocument/2006/relationships/hyperlink" Target="http://asq.org/glossary/q.html" TargetMode="External"/><Relationship Id="rId2" Type="http://schemas.openxmlformats.org/officeDocument/2006/relationships/hyperlink" Target="http://www.epa.gov/sites/production/files/2015-09/documents/draftguidelines_i_-_iii_-_iv_-_nov2013_and_revised_ii_-_dec2014.pdf" TargetMode="External"/><Relationship Id="rId1" Type="http://schemas.openxmlformats.org/officeDocument/2006/relationships/hyperlink" Target="http://www.resolv.org/site-guidelines/" TargetMode="External"/><Relationship Id="rId6" Type="http://schemas.openxmlformats.org/officeDocument/2006/relationships/hyperlink" Target="http://www.iso.org/iso/catalogue_detail.htm?csnumber=29316" TargetMode="External"/><Relationship Id="rId5" Type="http://schemas.openxmlformats.org/officeDocument/2006/relationships/hyperlink" Target="http://www.iaf.nu/articles/Accred_Body_Members_by_Name/52" TargetMode="External"/><Relationship Id="rId4" Type="http://schemas.openxmlformats.org/officeDocument/2006/relationships/hyperlink" Target="https://www.whitehouse.gov/sites/default/files/omb/inforeg/revised_circular_a-119_as_of_1_22.pdf" TargetMode="External"/><Relationship Id="rId9" Type="http://schemas.openxmlformats.org/officeDocument/2006/relationships/hyperlink" Target="http://www.isealalliance.org/our-work/defining-credibility/codes-of-good-practice/impact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D164-F63C-4674-948A-010DCBD9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9700</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Orientation to Version 2</vt:lpstr>
    </vt:vector>
  </TitlesOfParts>
  <Company>Industrial Economics Inc.</Company>
  <LinksUpToDate>false</LinksUpToDate>
  <CharactersWithSpaces>64861</CharactersWithSpaces>
  <SharedDoc>false</SharedDoc>
  <HLinks>
    <vt:vector size="144" baseType="variant">
      <vt:variant>
        <vt:i4>5898249</vt:i4>
      </vt:variant>
      <vt:variant>
        <vt:i4>48</vt:i4>
      </vt:variant>
      <vt:variant>
        <vt:i4>0</vt:i4>
      </vt:variant>
      <vt:variant>
        <vt:i4>5</vt:i4>
      </vt:variant>
      <vt:variant>
        <vt:lpwstr>http://www.subsport.eu/list-of-lists-database</vt:lpwstr>
      </vt:variant>
      <vt:variant>
        <vt:lpwstr/>
      </vt:variant>
      <vt:variant>
        <vt:i4>3997802</vt:i4>
      </vt:variant>
      <vt:variant>
        <vt:i4>45</vt:i4>
      </vt:variant>
      <vt:variant>
        <vt:i4>0</vt:i4>
      </vt:variant>
      <vt:variant>
        <vt:i4>5</vt:i4>
      </vt:variant>
      <vt:variant>
        <vt:lpwstr>http://www.cleanproduction.org/Greenscreen.php</vt:lpwstr>
      </vt:variant>
      <vt:variant>
        <vt:lpwstr/>
      </vt:variant>
      <vt:variant>
        <vt:i4>2162707</vt:i4>
      </vt:variant>
      <vt:variant>
        <vt:i4>42</vt:i4>
      </vt:variant>
      <vt:variant>
        <vt:i4>0</vt:i4>
      </vt:variant>
      <vt:variant>
        <vt:i4>5</vt:i4>
      </vt:variant>
      <vt:variant>
        <vt:lpwstr>http://www.epa.gov/dfe/alternative_assessments.html</vt:lpwstr>
      </vt:variant>
      <vt:variant>
        <vt:lpwstr/>
      </vt:variant>
      <vt:variant>
        <vt:i4>6684789</vt:i4>
      </vt:variant>
      <vt:variant>
        <vt:i4>39</vt:i4>
      </vt:variant>
      <vt:variant>
        <vt:i4>0</vt:i4>
      </vt:variant>
      <vt:variant>
        <vt:i4>5</vt:i4>
      </vt:variant>
      <vt:variant>
        <vt:lpwstr>http://www.epa.gov/hpvis/hazardinfo.htm</vt:lpwstr>
      </vt:variant>
      <vt:variant>
        <vt:lpwstr/>
      </vt:variant>
      <vt:variant>
        <vt:i4>5046279</vt:i4>
      </vt:variant>
      <vt:variant>
        <vt:i4>36</vt:i4>
      </vt:variant>
      <vt:variant>
        <vt:i4>0</vt:i4>
      </vt:variant>
      <vt:variant>
        <vt:i4>5</vt:i4>
      </vt:variant>
      <vt:variant>
        <vt:lpwstr>http://www.atsdr.cdc.gov/substances/index.asp</vt:lpwstr>
      </vt:variant>
      <vt:variant>
        <vt:lpwstr/>
      </vt:variant>
      <vt:variant>
        <vt:i4>2555942</vt:i4>
      </vt:variant>
      <vt:variant>
        <vt:i4>33</vt:i4>
      </vt:variant>
      <vt:variant>
        <vt:i4>0</vt:i4>
      </vt:variant>
      <vt:variant>
        <vt:i4>5</vt:i4>
      </vt:variant>
      <vt:variant>
        <vt:lpwstr>http://www.epa.gov/oppt/aegl/pubs/chemlist.htm</vt:lpwstr>
      </vt:variant>
      <vt:variant>
        <vt:lpwstr/>
      </vt:variant>
      <vt:variant>
        <vt:i4>5439496</vt:i4>
      </vt:variant>
      <vt:variant>
        <vt:i4>30</vt:i4>
      </vt:variant>
      <vt:variant>
        <vt:i4>0</vt:i4>
      </vt:variant>
      <vt:variant>
        <vt:i4>5</vt:i4>
      </vt:variant>
      <vt:variant>
        <vt:lpwstr>http://www.oecd.org/document/46/0,3746,en_2649_34379_2501870_1_1_1_1,00.html</vt:lpwstr>
      </vt:variant>
      <vt:variant>
        <vt:lpwstr>International_Uniform</vt:lpwstr>
      </vt:variant>
      <vt:variant>
        <vt:i4>5242886</vt:i4>
      </vt:variant>
      <vt:variant>
        <vt:i4>27</vt:i4>
      </vt:variant>
      <vt:variant>
        <vt:i4>0</vt:i4>
      </vt:variant>
      <vt:variant>
        <vt:i4>5</vt:i4>
      </vt:variant>
      <vt:variant>
        <vt:lpwstr>http://accelrys.com/products/databases/bioactivity/rtecs.html</vt:lpwstr>
      </vt:variant>
      <vt:variant>
        <vt:lpwstr/>
      </vt:variant>
      <vt:variant>
        <vt:i4>6488097</vt:i4>
      </vt:variant>
      <vt:variant>
        <vt:i4>24</vt:i4>
      </vt:variant>
      <vt:variant>
        <vt:i4>0</vt:i4>
      </vt:variant>
      <vt:variant>
        <vt:i4>5</vt:i4>
      </vt:variant>
      <vt:variant>
        <vt:lpwstr>http://www.epa.gov/ncct/dsstox/</vt:lpwstr>
      </vt:variant>
      <vt:variant>
        <vt:lpwstr/>
      </vt:variant>
      <vt:variant>
        <vt:i4>2097214</vt:i4>
      </vt:variant>
      <vt:variant>
        <vt:i4>21</vt:i4>
      </vt:variant>
      <vt:variant>
        <vt:i4>0</vt:i4>
      </vt:variant>
      <vt:variant>
        <vt:i4>5</vt:i4>
      </vt:variant>
      <vt:variant>
        <vt:lpwstr>http://www.epa.gov/hpv/</vt:lpwstr>
      </vt:variant>
      <vt:variant>
        <vt:lpwstr/>
      </vt:variant>
      <vt:variant>
        <vt:i4>5898324</vt:i4>
      </vt:variant>
      <vt:variant>
        <vt:i4>18</vt:i4>
      </vt:variant>
      <vt:variant>
        <vt:i4>0</vt:i4>
      </vt:variant>
      <vt:variant>
        <vt:i4>5</vt:i4>
      </vt:variant>
      <vt:variant>
        <vt:lpwstr>http://ntp.niehs.nih.gov/</vt:lpwstr>
      </vt:variant>
      <vt:variant>
        <vt:lpwstr/>
      </vt:variant>
      <vt:variant>
        <vt:i4>1114191</vt:i4>
      </vt:variant>
      <vt:variant>
        <vt:i4>15</vt:i4>
      </vt:variant>
      <vt:variant>
        <vt:i4>0</vt:i4>
      </vt:variant>
      <vt:variant>
        <vt:i4>5</vt:i4>
      </vt:variant>
      <vt:variant>
        <vt:lpwstr>http://www.epa.gov/IRIS/</vt:lpwstr>
      </vt:variant>
      <vt:variant>
        <vt:lpwstr/>
      </vt:variant>
      <vt:variant>
        <vt:i4>2687080</vt:i4>
      </vt:variant>
      <vt:variant>
        <vt:i4>12</vt:i4>
      </vt:variant>
      <vt:variant>
        <vt:i4>0</vt:i4>
      </vt:variant>
      <vt:variant>
        <vt:i4>5</vt:i4>
      </vt:variant>
      <vt:variant>
        <vt:lpwstr>http://toxnet.nlm.nih.gov/</vt:lpwstr>
      </vt:variant>
      <vt:variant>
        <vt:lpwstr/>
      </vt:variant>
      <vt:variant>
        <vt:i4>6094879</vt:i4>
      </vt:variant>
      <vt:variant>
        <vt:i4>9</vt:i4>
      </vt:variant>
      <vt:variant>
        <vt:i4>0</vt:i4>
      </vt:variant>
      <vt:variant>
        <vt:i4>5</vt:i4>
      </vt:variant>
      <vt:variant>
        <vt:lpwstr>http://yosemite.epa.gov/oppts/epatscat8.nsf/ReportSearch?OpenForm</vt:lpwstr>
      </vt:variant>
      <vt:variant>
        <vt:lpwstr/>
      </vt:variant>
      <vt:variant>
        <vt:i4>1507422</vt:i4>
      </vt:variant>
      <vt:variant>
        <vt:i4>6</vt:i4>
      </vt:variant>
      <vt:variant>
        <vt:i4>0</vt:i4>
      </vt:variant>
      <vt:variant>
        <vt:i4>5</vt:i4>
      </vt:variant>
      <vt:variant>
        <vt:lpwstr>http://www2.epa.gov/sites/production/files/2015-11/tri_chemical_list_for_ry15_11_5_2015_1.xlsx</vt:lpwstr>
      </vt:variant>
      <vt:variant>
        <vt:lpwstr/>
      </vt:variant>
      <vt:variant>
        <vt:i4>2949211</vt:i4>
      </vt:variant>
      <vt:variant>
        <vt:i4>3</vt:i4>
      </vt:variant>
      <vt:variant>
        <vt:i4>0</vt:i4>
      </vt:variant>
      <vt:variant>
        <vt:i4>5</vt:i4>
      </vt:variant>
      <vt:variant>
        <vt:lpwstr>mailto:Kinn.Alison@epa.gov</vt:lpwstr>
      </vt:variant>
      <vt:variant>
        <vt:lpwstr/>
      </vt:variant>
      <vt:variant>
        <vt:i4>1966087</vt:i4>
      </vt:variant>
      <vt:variant>
        <vt:i4>0</vt:i4>
      </vt:variant>
      <vt:variant>
        <vt:i4>0</vt:i4>
      </vt:variant>
      <vt:variant>
        <vt:i4>5</vt:i4>
      </vt:variant>
      <vt:variant>
        <vt:lpwstr>http://www.resolv.org/site-guidelines-workspace/general-pilot-resources/</vt:lpwstr>
      </vt:variant>
      <vt:variant>
        <vt:lpwstr/>
      </vt:variant>
      <vt:variant>
        <vt:i4>2424953</vt:i4>
      </vt:variant>
      <vt:variant>
        <vt:i4>18</vt:i4>
      </vt:variant>
      <vt:variant>
        <vt:i4>0</vt:i4>
      </vt:variant>
      <vt:variant>
        <vt:i4>5</vt:i4>
      </vt:variant>
      <vt:variant>
        <vt:lpwstr>http://www.isealalliance.org/our-work/defining-credibility/codes-of-good-practice/impacts-code</vt:lpwstr>
      </vt:variant>
      <vt:variant>
        <vt:lpwstr/>
      </vt:variant>
      <vt:variant>
        <vt:i4>7274575</vt:i4>
      </vt:variant>
      <vt:variant>
        <vt:i4>15</vt:i4>
      </vt:variant>
      <vt:variant>
        <vt:i4>0</vt:i4>
      </vt:variant>
      <vt:variant>
        <vt:i4>5</vt:i4>
      </vt:variant>
      <vt:variant>
        <vt:lpwstr>http://www.iso.org/iso/home/standards/management-standards/iso_9000.htm</vt:lpwstr>
      </vt:variant>
      <vt:variant>
        <vt:lpwstr/>
      </vt:variant>
      <vt:variant>
        <vt:i4>2293882</vt:i4>
      </vt:variant>
      <vt:variant>
        <vt:i4>12</vt:i4>
      </vt:variant>
      <vt:variant>
        <vt:i4>0</vt:i4>
      </vt:variant>
      <vt:variant>
        <vt:i4>5</vt:i4>
      </vt:variant>
      <vt:variant>
        <vt:lpwstr>http://asq.org/glossary/q.html</vt:lpwstr>
      </vt:variant>
      <vt:variant>
        <vt:lpwstr/>
      </vt:variant>
      <vt:variant>
        <vt:i4>6750228</vt:i4>
      </vt:variant>
      <vt:variant>
        <vt:i4>9</vt:i4>
      </vt:variant>
      <vt:variant>
        <vt:i4>0</vt:i4>
      </vt:variant>
      <vt:variant>
        <vt:i4>5</vt:i4>
      </vt:variant>
      <vt:variant>
        <vt:lpwstr>http://www.iso.org/iso/catalogue_detail.htm?csnumber=29316</vt:lpwstr>
      </vt:variant>
      <vt:variant>
        <vt:lpwstr/>
      </vt:variant>
      <vt:variant>
        <vt:i4>5570565</vt:i4>
      </vt:variant>
      <vt:variant>
        <vt:i4>6</vt:i4>
      </vt:variant>
      <vt:variant>
        <vt:i4>0</vt:i4>
      </vt:variant>
      <vt:variant>
        <vt:i4>5</vt:i4>
      </vt:variant>
      <vt:variant>
        <vt:lpwstr>http://www.iaf.nu/articles/Accred_Body_Members_by_Name/52</vt:lpwstr>
      </vt:variant>
      <vt:variant>
        <vt:lpwstr/>
      </vt:variant>
      <vt:variant>
        <vt:i4>7864374</vt:i4>
      </vt:variant>
      <vt:variant>
        <vt:i4>3</vt:i4>
      </vt:variant>
      <vt:variant>
        <vt:i4>0</vt:i4>
      </vt:variant>
      <vt:variant>
        <vt:i4>5</vt:i4>
      </vt:variant>
      <vt:variant>
        <vt:lpwstr>http://www.iso.org/sites/cascoregulators/01_0_conformity-assessment-basic-concepts.html</vt:lpwstr>
      </vt:variant>
      <vt:variant>
        <vt:lpwstr/>
      </vt:variant>
      <vt:variant>
        <vt:i4>2293818</vt:i4>
      </vt:variant>
      <vt:variant>
        <vt:i4>0</vt:i4>
      </vt:variant>
      <vt:variant>
        <vt:i4>0</vt:i4>
      </vt:variant>
      <vt:variant>
        <vt:i4>5</vt:i4>
      </vt:variant>
      <vt:variant>
        <vt:lpwstr>http://www.whitehouse.gov/omb/circulars_a119</vt:lpwstr>
      </vt:variant>
      <vt:variant>
        <vt:lpwstr>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 to Version 2</dc:title>
  <dc:creator>Anastasia ORourke</dc:creator>
  <cp:lastModifiedBy>Clark, Spencer</cp:lastModifiedBy>
  <cp:revision>2</cp:revision>
  <cp:lastPrinted>2016-02-09T19:58:00Z</cp:lastPrinted>
  <dcterms:created xsi:type="dcterms:W3CDTF">2016-04-15T20:23:00Z</dcterms:created>
  <dcterms:modified xsi:type="dcterms:W3CDTF">2016-04-15T20:23:00Z</dcterms:modified>
</cp:coreProperties>
</file>