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E961A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D95213" w:rsidRDefault="00B846E7">
      <w:r w:rsidRPr="00D95213">
        <w:rPr>
          <w:b/>
        </w:rPr>
        <w:t>NSPS for Nitric Acid Plants for which Construction, Reconstruction or Modification Commenced after October 14, 2011 (40 CFR Part 60, Subpart Ga)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F02524" w:rsidRDefault="00B846E7" w:rsidP="002B29A5">
      <w:pPr>
        <w:rPr>
          <w:bCs/>
        </w:rPr>
      </w:pPr>
      <w:r w:rsidRPr="00F02524">
        <w:rPr>
          <w:bCs/>
        </w:rPr>
        <w:t>NSPS for Nitric Acid Plants for which Construction, Reconstruction or</w:t>
      </w:r>
      <w:r w:rsidR="00661361">
        <w:rPr>
          <w:bCs/>
        </w:rPr>
        <w:t xml:space="preserve"> </w:t>
      </w:r>
      <w:r w:rsidRPr="00F02524">
        <w:rPr>
          <w:bCs/>
        </w:rPr>
        <w:t xml:space="preserve">Modification Commenced after October 14, 2011 (40 CFR Part 60, Subpart Ga) </w:t>
      </w:r>
      <w:r w:rsidR="002B29A5" w:rsidRPr="00F02524">
        <w:rPr>
          <w:bCs/>
        </w:rPr>
        <w:t xml:space="preserve">(Renewal), </w:t>
      </w:r>
      <w:r w:rsidR="00661361">
        <w:rPr>
          <w:bCs/>
        </w:rPr>
        <w:t xml:space="preserve">                        </w:t>
      </w:r>
      <w:r w:rsidR="002B29A5" w:rsidRPr="00F02524">
        <w:rPr>
          <w:bCs/>
        </w:rPr>
        <w:t xml:space="preserve">EPA ICR Number </w:t>
      </w:r>
      <w:r w:rsidRPr="00F02524">
        <w:rPr>
          <w:bCs/>
        </w:rPr>
        <w:t>2445.03</w:t>
      </w:r>
      <w:r w:rsidR="002B29A5" w:rsidRPr="00F02524">
        <w:rPr>
          <w:bCs/>
        </w:rPr>
        <w:t>, OMB Control Number 2060-</w:t>
      </w:r>
      <w:r w:rsidR="00456263" w:rsidRPr="00F02524">
        <w:rPr>
          <w:bCs/>
        </w:rPr>
        <w:t>0674</w:t>
      </w:r>
      <w:r w:rsidR="002B29A5" w:rsidRPr="00F02524">
        <w:rPr>
          <w:bCs/>
        </w:rPr>
        <w:t>.</w:t>
      </w:r>
    </w:p>
    <w:p w:rsidR="00CA4CD6" w:rsidRPr="00F02524" w:rsidRDefault="00CA4CD6">
      <w:pPr>
        <w:rPr>
          <w:b/>
          <w:bCs/>
        </w:rPr>
      </w:pPr>
    </w:p>
    <w:p w:rsidR="00CA4CD6" w:rsidRPr="00F02524" w:rsidRDefault="00CA4CD6">
      <w:pPr>
        <w:ind w:firstLine="720"/>
      </w:pPr>
      <w:r w:rsidRPr="00F02524">
        <w:rPr>
          <w:b/>
          <w:bCs/>
        </w:rPr>
        <w:t>1(b</w:t>
      </w:r>
      <w:proofErr w:type="gramStart"/>
      <w:r w:rsidRPr="00F02524">
        <w:rPr>
          <w:b/>
          <w:bCs/>
        </w:rPr>
        <w:t>)  Short</w:t>
      </w:r>
      <w:proofErr w:type="gramEnd"/>
      <w:r w:rsidRPr="00F02524">
        <w:rPr>
          <w:b/>
          <w:bCs/>
        </w:rPr>
        <w:t xml:space="preserve"> Characterization/Abstract</w:t>
      </w:r>
    </w:p>
    <w:p w:rsidR="00CA4CD6" w:rsidRPr="00F02524" w:rsidRDefault="00CA4CD6"/>
    <w:p w:rsidR="00CA4CD6" w:rsidRPr="00F02524" w:rsidRDefault="00CA4CD6">
      <w:pPr>
        <w:ind w:firstLine="720"/>
      </w:pPr>
      <w:r w:rsidRPr="00F02524">
        <w:t xml:space="preserve">The New Source Performance Standards (NSPS) for </w:t>
      </w:r>
      <w:r w:rsidR="00456263" w:rsidRPr="00F02524">
        <w:t xml:space="preserve">Nitric Acid Plants for which Construction, Reconstruction or Modification Commenced after October 14, 2011 (40 CFR Part 60, Subpart Ga) </w:t>
      </w:r>
      <w:r w:rsidRPr="00F02524">
        <w:t xml:space="preserve">were proposed on </w:t>
      </w:r>
      <w:r w:rsidR="00230942" w:rsidRPr="00F02524">
        <w:t>October 14, 2011</w:t>
      </w:r>
      <w:r w:rsidRPr="00F02524">
        <w:t>, and promulgated on</w:t>
      </w:r>
      <w:r w:rsidR="00230942" w:rsidRPr="00F02524">
        <w:t xml:space="preserve"> August 14, 2012</w:t>
      </w:r>
      <w:r w:rsidRPr="00F02524">
        <w:t xml:space="preserve">.  These regulations apply </w:t>
      </w:r>
      <w:r w:rsidR="00724BC7" w:rsidRPr="00F02524">
        <w:t xml:space="preserve">to new </w:t>
      </w:r>
      <w:r w:rsidR="00230942" w:rsidRPr="00F02524">
        <w:t>nitric acid production units (</w:t>
      </w:r>
      <w:proofErr w:type="spellStart"/>
      <w:r w:rsidR="00230942" w:rsidRPr="00F02524">
        <w:t>NAPUs</w:t>
      </w:r>
      <w:proofErr w:type="spellEnd"/>
      <w:r w:rsidR="00230942" w:rsidRPr="00F02524">
        <w:t>)</w:t>
      </w:r>
      <w:r w:rsidRPr="00F02524">
        <w:t xml:space="preserve"> that </w:t>
      </w:r>
      <w:r w:rsidR="00230942" w:rsidRPr="00F02524">
        <w:t>produce weak nitric acid by either the pressure or atmospheric pressure process</w:t>
      </w:r>
      <w:r w:rsidRPr="00F02524">
        <w:t xml:space="preserve">.  </w:t>
      </w:r>
      <w:r w:rsidR="00DA6C6D" w:rsidRPr="00F02524">
        <w:t>Nitrogen oxide (NO</w:t>
      </w:r>
      <w:r w:rsidR="00DA6C6D" w:rsidRPr="00F02524">
        <w:rPr>
          <w:vertAlign w:val="subscript"/>
        </w:rPr>
        <w:t>X</w:t>
      </w:r>
      <w:r w:rsidR="00DA6C6D" w:rsidRPr="00F02524">
        <w:t>) is the pollutant regulated under this subpart. The</w:t>
      </w:r>
      <w:r w:rsidR="00661361">
        <w:t>se</w:t>
      </w:r>
      <w:r w:rsidR="00DA6C6D" w:rsidRPr="00F02524">
        <w:t xml:space="preserve"> standards limit nitrogen oxides, expressed as nitrogen dioxide (NO</w:t>
      </w:r>
      <w:r w:rsidR="00DA6C6D" w:rsidRPr="00F02524">
        <w:rPr>
          <w:vertAlign w:val="subscript"/>
        </w:rPr>
        <w:t>2</w:t>
      </w:r>
      <w:r w:rsidR="00DA6C6D" w:rsidRPr="00F02524">
        <w:t xml:space="preserve">), to 0.50 lb per ton of 100 percent nitric acid produced.  </w:t>
      </w:r>
      <w:r w:rsidRPr="00F02524">
        <w:t xml:space="preserve">This information is being collected to assure compliance with 40 CFR </w:t>
      </w:r>
      <w:r w:rsidR="006810C3" w:rsidRPr="00F02524">
        <w:t xml:space="preserve">Part </w:t>
      </w:r>
      <w:r w:rsidRPr="00F02524">
        <w:t xml:space="preserve">60, </w:t>
      </w:r>
      <w:r w:rsidR="006810C3" w:rsidRPr="00F02524">
        <w:t xml:space="preserve">Subpart </w:t>
      </w:r>
      <w:r w:rsidR="00230942" w:rsidRPr="00F02524">
        <w:t>Ga</w:t>
      </w:r>
      <w:r w:rsidRPr="00F02524">
        <w:t>.</w:t>
      </w:r>
    </w:p>
    <w:p w:rsidR="00CA4CD6" w:rsidRPr="00F02524" w:rsidRDefault="00CA4CD6"/>
    <w:p w:rsidR="00CA4CD6" w:rsidRPr="00F02524" w:rsidRDefault="00CA4CD6">
      <w:pPr>
        <w:ind w:firstLine="720"/>
      </w:pPr>
      <w:r w:rsidRPr="00F02524">
        <w:t>In general, all NSPS standards require initial notification</w:t>
      </w:r>
      <w:r w:rsidR="00661361">
        <w:t xml:space="preserve"> report</w:t>
      </w:r>
      <w:r w:rsidRPr="00F02524">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A4CD6" w:rsidRPr="00F02524" w:rsidRDefault="00CA4CD6"/>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661361">
        <w:t xml:space="preserve"> </w:t>
      </w:r>
      <w:r w:rsidRPr="00F02524">
        <w:t>In the event that there is no such delegated authority, the reports are sent directly to the U</w:t>
      </w:r>
      <w:r w:rsidR="00661361">
        <w:t>.</w:t>
      </w:r>
      <w:r w:rsidRPr="00F02524">
        <w:t>S</w:t>
      </w:r>
      <w:r w:rsidR="00661361">
        <w:t>.</w:t>
      </w:r>
      <w:r w:rsidRPr="00F02524">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pPr>
    </w:p>
    <w:p w:rsidR="006C76DE" w:rsidRPr="00CC3A20" w:rsidRDefault="006C76DE" w:rsidP="006C76DE">
      <w:pPr>
        <w:ind w:firstLine="720"/>
      </w:pPr>
      <w:r w:rsidRPr="00CC3A20">
        <w:t xml:space="preserve">Potential respondents are owners or operators of nitric acid production units constructed, modified, or reconstructed after October 14, 2011. The </w:t>
      </w:r>
      <w:r w:rsidR="00661361">
        <w:t>“</w:t>
      </w:r>
      <w:r w:rsidRPr="00CC3A20">
        <w:t>burden</w:t>
      </w:r>
      <w:r w:rsidR="00661361">
        <w:t>”</w:t>
      </w:r>
      <w:r w:rsidRPr="00CC3A20">
        <w:t xml:space="preserve"> to the “Affected Public” may be found </w:t>
      </w:r>
      <w:r w:rsidR="00661361">
        <w:t xml:space="preserve">below </w:t>
      </w:r>
      <w:r w:rsidRPr="00CC3A20">
        <w:t xml:space="preserve">in Table 1: Annual Respondent Burden and Cost – </w:t>
      </w:r>
      <w:r w:rsidRPr="00CC3A20">
        <w:rPr>
          <w:bCs/>
        </w:rPr>
        <w:t>NSPS for Nitric Acid Plants for which Construction, Reconstruction or Modification Commenced after October 14, 2011 (40 CFR Part 60, Subpart Ga) (Renewal)</w:t>
      </w:r>
      <w:r w:rsidRPr="00CC3A20">
        <w:t xml:space="preserve">.  The </w:t>
      </w:r>
      <w:r w:rsidR="00661361">
        <w:t>“</w:t>
      </w:r>
      <w:r w:rsidRPr="00CC3A20">
        <w:t>burden</w:t>
      </w:r>
      <w:r w:rsidR="00661361">
        <w:t>”</w:t>
      </w:r>
      <w:r w:rsidRPr="00CC3A20">
        <w:t xml:space="preserve"> to the Federal Government is attributed entirely to work performed by </w:t>
      </w:r>
      <w:r w:rsidR="00661361">
        <w:t>either F</w:t>
      </w:r>
      <w:r w:rsidRPr="00CC3A20">
        <w:t xml:space="preserve">ederal employees or government contractors and can be found </w:t>
      </w:r>
      <w:r w:rsidR="00661361">
        <w:t xml:space="preserve">below </w:t>
      </w:r>
      <w:r w:rsidRPr="00CC3A20">
        <w:t xml:space="preserve">in Table 2: Average Annual EPA Burden and Cost – </w:t>
      </w:r>
      <w:r w:rsidRPr="00CC3A20">
        <w:rPr>
          <w:bCs/>
        </w:rPr>
        <w:t>NSPS for Nitric Acid Plants for which Construction, Reconstruction or Modification Commenced after October 14, 2011 (40 CFR Part 60, Subpart Ga) (Renewal)</w:t>
      </w:r>
      <w:r w:rsidRPr="00CC3A20">
        <w:t xml:space="preserve">. </w:t>
      </w:r>
    </w:p>
    <w:p w:rsidR="00CA4CD6" w:rsidRPr="00F02524" w:rsidRDefault="00DA6C6D">
      <w:pPr>
        <w:pBdr>
          <w:top w:val="single" w:sz="6" w:space="0" w:color="FFFFFF"/>
          <w:left w:val="single" w:sz="6" w:space="0" w:color="FFFFFF"/>
          <w:bottom w:val="single" w:sz="6" w:space="0" w:color="FFFFFF"/>
          <w:right w:val="single" w:sz="6" w:space="0" w:color="FFFFFF"/>
        </w:pBdr>
        <w:ind w:firstLine="720"/>
      </w:pPr>
      <w:r w:rsidRPr="00F02524">
        <w:lastRenderedPageBreak/>
        <w:t>During rule development, we estimated that 5 newly</w:t>
      </w:r>
      <w:r w:rsidR="009C33CB">
        <w:t>-</w:t>
      </w:r>
      <w:r w:rsidRPr="00F02524">
        <w:t xml:space="preserve">constructed nitric acid production units and 1 modified unit will become subject to the regulation in the five-year period after the rule effective date (1.2 new sources per year). </w:t>
      </w:r>
      <w:r w:rsidR="00E10DA7" w:rsidRPr="00F02524">
        <w:t xml:space="preserve">Over the next three years, </w:t>
      </w:r>
      <w:r w:rsidRPr="00F02524">
        <w:t xml:space="preserve">we estimate that 6 </w:t>
      </w:r>
      <w:r w:rsidR="00FB7A27" w:rsidRPr="00F02524">
        <w:t>units</w:t>
      </w:r>
      <w:r w:rsidR="00CA4CD6" w:rsidRPr="00F02524">
        <w:t xml:space="preserve"> </w:t>
      </w:r>
      <w:r w:rsidR="00E10DA7" w:rsidRPr="00F02524">
        <w:t>per year will be subject to the</w:t>
      </w:r>
      <w:r w:rsidR="009C33CB">
        <w:t>se</w:t>
      </w:r>
      <w:r w:rsidR="00E10DA7" w:rsidRPr="00F02524">
        <w:t xml:space="preserve"> standard</w:t>
      </w:r>
      <w:r w:rsidR="009C33CB">
        <w:t>s</w:t>
      </w:r>
      <w:r w:rsidR="00CA4CD6" w:rsidRPr="00F02524">
        <w:t xml:space="preserve">, and </w:t>
      </w:r>
      <w:r w:rsidRPr="00F02524">
        <w:t xml:space="preserve">1.2 </w:t>
      </w:r>
      <w:r w:rsidR="00E10DA7" w:rsidRPr="00F02524">
        <w:t xml:space="preserve">additional </w:t>
      </w:r>
      <w:r w:rsidR="00FB7A27" w:rsidRPr="00F02524">
        <w:t xml:space="preserve">units </w:t>
      </w:r>
      <w:r w:rsidR="00E10DA7" w:rsidRPr="00F02524">
        <w:t xml:space="preserve">per year </w:t>
      </w:r>
      <w:r w:rsidR="00CA4CD6" w:rsidRPr="00F02524">
        <w:t>will become subject to the</w:t>
      </w:r>
      <w:r w:rsidR="009C33CB">
        <w:t>se</w:t>
      </w:r>
      <w:r w:rsidR="00CA4CD6" w:rsidRPr="00F02524">
        <w:t xml:space="preserve"> </w:t>
      </w:r>
      <w:r w:rsidR="00E10DA7" w:rsidRPr="00F02524">
        <w:t>standard</w:t>
      </w:r>
      <w:r w:rsidR="009C33CB">
        <w:t>s</w:t>
      </w:r>
      <w:r w:rsidR="00E10DA7" w:rsidRPr="00F02524">
        <w:t xml:space="preserve">. </w:t>
      </w:r>
      <w:r w:rsidRPr="00F02524">
        <w:t>Plants can have more than one nitric acid production unit onsite.</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0E7656">
      <w:pPr>
        <w:pBdr>
          <w:top w:val="single" w:sz="6" w:space="0" w:color="FFFFFF"/>
          <w:left w:val="single" w:sz="6" w:space="0" w:color="FFFFFF"/>
          <w:bottom w:val="single" w:sz="6" w:space="0" w:color="FFFFFF"/>
          <w:right w:val="single" w:sz="6" w:space="0" w:color="FFFFFF"/>
        </w:pBdr>
        <w:ind w:firstLine="720"/>
      </w:pPr>
      <w:r w:rsidRPr="00F02524">
        <w:t xml:space="preserve">The Office of Management and Budget </w:t>
      </w:r>
      <w:r w:rsidR="00CA4CD6" w:rsidRPr="00F02524">
        <w:t>OMB approved the currently</w:t>
      </w:r>
      <w:r w:rsidR="009C33CB">
        <w:t>-</w:t>
      </w:r>
      <w:r w:rsidR="00CA4CD6" w:rsidRPr="00F02524">
        <w:t xml:space="preserve">active </w:t>
      </w:r>
      <w:r w:rsidR="009C33CB">
        <w:t>Information Collection Requirements (</w:t>
      </w:r>
      <w:r w:rsidR="00CA4CD6" w:rsidRPr="00F02524">
        <w:t>ICR</w:t>
      </w:r>
      <w:r w:rsidR="009C33CB">
        <w:t>)</w:t>
      </w:r>
      <w:r w:rsidR="00CA4CD6" w:rsidRPr="00F02524">
        <w:t xml:space="preserve"> without any </w:t>
      </w:r>
      <w:r w:rsidR="009C33CB">
        <w:t>“</w:t>
      </w:r>
      <w:r w:rsidR="00CA4CD6" w:rsidRPr="00F02524">
        <w:t>Terms of Clearance</w:t>
      </w:r>
      <w:r w:rsidR="009C33CB">
        <w:t>”</w:t>
      </w:r>
      <w:r w:rsidR="00CA4CD6" w:rsidRPr="00F02524">
        <w:t>.</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2B29A5" w:rsidRPr="009D6567" w:rsidRDefault="009D6567" w:rsidP="002B29A5">
      <w:pPr>
        <w:rPr>
          <w:color w:val="FF0000"/>
        </w:rPr>
      </w:pPr>
      <w:r>
        <w:tab/>
      </w: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C3A20" w:rsidRDefault="00CA4CD6">
      <w:pPr>
        <w:pBdr>
          <w:top w:val="single" w:sz="6" w:space="0" w:color="FFFFFF"/>
          <w:left w:val="single" w:sz="6" w:space="0" w:color="FFFFFF"/>
          <w:bottom w:val="single" w:sz="6" w:space="0" w:color="FFFFFF"/>
          <w:right w:val="single" w:sz="6" w:space="0" w:color="FFFFFF"/>
        </w:pBdr>
        <w:ind w:firstLine="720"/>
      </w:pPr>
      <w:r w:rsidRPr="00CC3A20">
        <w:t xml:space="preserve">The EPA is charged under Section 111 of the Clean Air Act (CAA), as amended, to establish standards of performance for new stationary sources that reflect: </w:t>
      </w:r>
    </w:p>
    <w:p w:rsidR="00CA4CD6" w:rsidRPr="00CC3A20" w:rsidRDefault="00CA4CD6">
      <w:pPr>
        <w:pBdr>
          <w:top w:val="single" w:sz="6" w:space="0" w:color="FFFFFF"/>
          <w:left w:val="single" w:sz="6" w:space="0" w:color="FFFFFF"/>
          <w:bottom w:val="single" w:sz="6" w:space="0" w:color="FFFFFF"/>
          <w:right w:val="single" w:sz="6" w:space="0" w:color="FFFFFF"/>
        </w:pBdr>
      </w:pPr>
    </w:p>
    <w:p w:rsidR="00CA4CD6" w:rsidRPr="00CC3A20" w:rsidRDefault="00CA4CD6">
      <w:pPr>
        <w:pBdr>
          <w:top w:val="single" w:sz="6" w:space="0" w:color="FFFFFF"/>
          <w:left w:val="single" w:sz="6" w:space="0" w:color="FFFFFF"/>
          <w:bottom w:val="single" w:sz="6" w:space="0" w:color="FFFFFF"/>
          <w:right w:val="single" w:sz="6" w:space="0" w:color="FFFFFF"/>
        </w:pBdr>
        <w:ind w:left="1440" w:right="1440"/>
      </w:pPr>
      <w:r w:rsidRPr="00CC3A20">
        <w:rPr>
          <w:b/>
          <w:bCs/>
        </w:rPr>
        <w:t>. . .</w:t>
      </w:r>
      <w:r w:rsidRPr="00CC3A20">
        <w:t xml:space="preserve"> </w:t>
      </w:r>
      <w:proofErr w:type="gramStart"/>
      <w:r w:rsidRPr="00CC3A20">
        <w:t>application</w:t>
      </w:r>
      <w:proofErr w:type="gramEnd"/>
      <w:r w:rsidRPr="00CC3A20">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CC3A20">
        <w:t>)(</w:t>
      </w:r>
      <w:proofErr w:type="gramEnd"/>
      <w:r w:rsidRPr="00CC3A20">
        <w:t>l).</w:t>
      </w:r>
    </w:p>
    <w:p w:rsidR="00CA4CD6" w:rsidRPr="00CC3A20" w:rsidRDefault="00CA4CD6">
      <w:pPr>
        <w:pBdr>
          <w:top w:val="single" w:sz="6" w:space="0" w:color="FFFFFF"/>
          <w:left w:val="single" w:sz="6" w:space="0" w:color="FFFFFF"/>
          <w:bottom w:val="single" w:sz="6" w:space="0" w:color="FFFFFF"/>
          <w:right w:val="single" w:sz="6" w:space="0" w:color="FFFFFF"/>
        </w:pBdr>
      </w:pPr>
    </w:p>
    <w:p w:rsidR="009D49DD" w:rsidRPr="00CC3A20" w:rsidRDefault="00CA4CD6">
      <w:pPr>
        <w:pBdr>
          <w:top w:val="single" w:sz="6" w:space="0" w:color="FFFFFF"/>
          <w:left w:val="single" w:sz="6" w:space="0" w:color="FFFFFF"/>
          <w:bottom w:val="single" w:sz="6" w:space="0" w:color="FFFFFF"/>
          <w:right w:val="single" w:sz="6" w:space="0" w:color="FFFFFF"/>
        </w:pBdr>
      </w:pPr>
      <w:r w:rsidRPr="00CC3A20">
        <w:t xml:space="preserve">The Agency refers to this charge as selecting the best demonstrated technology (BDT).  Section 111 also requires that the Administrator review and, if appropriate, revise such standards every </w:t>
      </w:r>
      <w:proofErr w:type="gramStart"/>
      <w:r w:rsidRPr="00CC3A20">
        <w:t>four</w:t>
      </w:r>
      <w:proofErr w:type="gramEnd"/>
      <w:r w:rsidRPr="00CC3A20">
        <w:t xml:space="preserve"> years.</w:t>
      </w:r>
      <w:r w:rsidR="009D49DD" w:rsidRPr="00CC3A20">
        <w:t xml:space="preserve"> </w:t>
      </w:r>
    </w:p>
    <w:p w:rsidR="009D49DD" w:rsidRPr="00CC3A20" w:rsidRDefault="009D49DD">
      <w:pPr>
        <w:pBdr>
          <w:top w:val="single" w:sz="6" w:space="0" w:color="FFFFFF"/>
          <w:left w:val="single" w:sz="6" w:space="0" w:color="FFFFFF"/>
          <w:bottom w:val="single" w:sz="6" w:space="0" w:color="FFFFFF"/>
          <w:right w:val="single" w:sz="6" w:space="0" w:color="FFFFFF"/>
        </w:pBdr>
      </w:pPr>
    </w:p>
    <w:p w:rsidR="000C6AD7" w:rsidRPr="00CC3A20" w:rsidRDefault="009D49DD">
      <w:pPr>
        <w:pBdr>
          <w:top w:val="single" w:sz="6" w:space="0" w:color="FFFFFF"/>
          <w:left w:val="single" w:sz="6" w:space="0" w:color="FFFFFF"/>
          <w:bottom w:val="single" w:sz="6" w:space="0" w:color="FFFFFF"/>
          <w:right w:val="single" w:sz="6" w:space="0" w:color="FFFFFF"/>
        </w:pBdr>
      </w:pPr>
      <w:r w:rsidRPr="00CC3A20">
        <w:tab/>
      </w:r>
      <w:r w:rsidR="00CA4CD6" w:rsidRPr="00CC3A20">
        <w:t xml:space="preserve">In addition, section 114(a) states that the Administrator may require any owner/operator subject to any requirement of this Act to: </w:t>
      </w:r>
    </w:p>
    <w:p w:rsidR="00CA4CD6" w:rsidRPr="00CC3A20" w:rsidRDefault="00CA4CD6">
      <w:pPr>
        <w:pBdr>
          <w:top w:val="single" w:sz="6" w:space="0" w:color="FFFFFF"/>
          <w:left w:val="single" w:sz="6" w:space="0" w:color="FFFFFF"/>
          <w:bottom w:val="single" w:sz="6" w:space="0" w:color="FFFFFF"/>
          <w:right w:val="single" w:sz="6" w:space="0" w:color="FFFFFF"/>
        </w:pBdr>
      </w:pPr>
    </w:p>
    <w:p w:rsidR="00CA4CD6" w:rsidRPr="00CC3A20" w:rsidRDefault="00CA4CD6">
      <w:pPr>
        <w:pBdr>
          <w:top w:val="single" w:sz="6" w:space="0" w:color="FFFFFF"/>
          <w:left w:val="single" w:sz="6" w:space="0" w:color="FFFFFF"/>
          <w:bottom w:val="single" w:sz="6" w:space="0" w:color="FFFFFF"/>
          <w:right w:val="single" w:sz="6" w:space="0" w:color="FFFFFF"/>
        </w:pBdr>
        <w:ind w:left="1440" w:right="1440"/>
      </w:pPr>
      <w:r w:rsidRPr="00CC3A2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CC3A20" w:rsidRDefault="00CA4CD6">
      <w:pPr>
        <w:pBdr>
          <w:top w:val="single" w:sz="6" w:space="0" w:color="FFFFFF"/>
          <w:left w:val="single" w:sz="6" w:space="0" w:color="FFFFFF"/>
          <w:bottom w:val="single" w:sz="6" w:space="0" w:color="FFFFFF"/>
          <w:right w:val="single" w:sz="6" w:space="0" w:color="FFFFFF"/>
        </w:pBdr>
      </w:pPr>
    </w:p>
    <w:p w:rsidR="00CA4CD6" w:rsidRPr="00CC3A20" w:rsidRDefault="00CA4CD6">
      <w:pPr>
        <w:pBdr>
          <w:top w:val="single" w:sz="6" w:space="0" w:color="FFFFFF"/>
          <w:left w:val="single" w:sz="6" w:space="0" w:color="FFFFFF"/>
          <w:bottom w:val="single" w:sz="6" w:space="0" w:color="FFFFFF"/>
          <w:right w:val="single" w:sz="6" w:space="0" w:color="FFFFFF"/>
        </w:pBdr>
        <w:ind w:firstLine="720"/>
      </w:pPr>
      <w:r w:rsidRPr="00CC3A20">
        <w:lastRenderedPageBreak/>
        <w:t xml:space="preserve">In the Administrator's judgment, </w:t>
      </w:r>
      <w:r w:rsidR="009D49DD" w:rsidRPr="00CC3A20">
        <w:t>NO</w:t>
      </w:r>
      <w:r w:rsidR="00E8481E" w:rsidRPr="00CC3A20">
        <w:rPr>
          <w:vertAlign w:val="subscript"/>
        </w:rPr>
        <w:t>X</w:t>
      </w:r>
      <w:r w:rsidR="009D49DD" w:rsidRPr="00CC3A20">
        <w:t xml:space="preserve"> </w:t>
      </w:r>
      <w:r w:rsidRPr="00CC3A20">
        <w:t xml:space="preserve">emissions from </w:t>
      </w:r>
      <w:r w:rsidR="009D49DD" w:rsidRPr="00CC3A20">
        <w:t xml:space="preserve">nitric acid plants </w:t>
      </w:r>
      <w:r w:rsidRPr="00CC3A20">
        <w:t>cause or contribute to air pollution that may reasonably be anticipated to endanger public health or welfare.  Therefore, the NSPS</w:t>
      </w:r>
      <w:r w:rsidR="009D49DD" w:rsidRPr="00CC3A20">
        <w:t xml:space="preserve"> </w:t>
      </w:r>
      <w:r w:rsidRPr="00CC3A20">
        <w:t xml:space="preserve">were promulgated for this source category at 40 CFR </w:t>
      </w:r>
      <w:r w:rsidR="006810C3" w:rsidRPr="00CC3A20">
        <w:t xml:space="preserve">Part </w:t>
      </w:r>
      <w:r w:rsidRPr="00CC3A20">
        <w:t>60,</w:t>
      </w:r>
      <w:r w:rsidRPr="00CC3A20">
        <w:rPr>
          <w:b/>
          <w:bCs/>
          <w:i/>
          <w:iCs/>
        </w:rPr>
        <w:t xml:space="preserve"> </w:t>
      </w:r>
      <w:r w:rsidR="006810C3" w:rsidRPr="00CC3A20">
        <w:t xml:space="preserve">Subpart </w:t>
      </w:r>
      <w:r w:rsidR="009D49DD" w:rsidRPr="00CC3A20">
        <w:t>Ga</w:t>
      </w:r>
      <w:r w:rsidRPr="00CC3A20">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9D49DD" w:rsidRDefault="009D49D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C33CB">
        <w:rPr>
          <w:color w:val="000000"/>
        </w:rPr>
        <w:t>se</w:t>
      </w:r>
      <w:r>
        <w:rPr>
          <w:color w:val="000000"/>
        </w:rPr>
        <w:t xml:space="preserve"> standard</w:t>
      </w:r>
      <w:r w:rsidR="009C33CB">
        <w:rPr>
          <w:color w:val="000000"/>
        </w:rPr>
        <w:t>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FB7A27">
        <w:rPr>
          <w:color w:val="000000"/>
        </w:rPr>
        <w:t xml:space="preserve"> </w:t>
      </w:r>
      <w:r w:rsidR="00FB7A27" w:rsidRPr="00FB7A27">
        <w:t>For our analysis of these standards, we assume sources will rely on the reduction of NO</w:t>
      </w:r>
      <w:r w:rsidR="00FB7A27" w:rsidRPr="00FB7A27">
        <w:rPr>
          <w:vertAlign w:val="subscript"/>
        </w:rPr>
        <w:t>X</w:t>
      </w:r>
      <w:r w:rsidR="00FB7A27" w:rsidRPr="00FB7A27">
        <w:t xml:space="preserve"> by using Selective Catalytic Reduction (SCR).</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w:t>
      </w:r>
      <w:r w:rsidR="004D61D4" w:rsidRPr="00F02524">
        <w:t>operated,</w:t>
      </w:r>
      <w:r w:rsidRPr="00F02524">
        <w:t xml:space="preserve"> leaks are being detected and repaired</w:t>
      </w:r>
      <w:r w:rsidR="004D61D4" w:rsidRPr="00F02524">
        <w:t>,</w:t>
      </w:r>
      <w:r w:rsidRPr="00F02524">
        <w:t xml:space="preserve"> and the standard</w:t>
      </w:r>
      <w:r w:rsidR="009C33CB">
        <w:t xml:space="preserve">s are </w:t>
      </w:r>
      <w:r w:rsidRPr="00F02524">
        <w:t>being met.  The performance test may also be observed.</w:t>
      </w:r>
    </w:p>
    <w:p w:rsidR="00CA4CD6" w:rsidRPr="00F02524" w:rsidRDefault="00CA4CD6">
      <w:pPr>
        <w:pBdr>
          <w:top w:val="single" w:sz="6" w:space="0" w:color="FFFFFF"/>
          <w:left w:val="single" w:sz="6" w:space="0" w:color="FFFFFF"/>
          <w:bottom w:val="single" w:sz="6" w:space="0" w:color="FFFFFF"/>
          <w:right w:val="single" w:sz="6" w:space="0" w:color="FFFFFF"/>
        </w:pBdr>
        <w:ind w:firstLine="720"/>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t>The required</w:t>
      </w:r>
      <w:r w:rsidR="004D61D4" w:rsidRPr="00F02524">
        <w:t xml:space="preserve"> noncompliance and malfunction</w:t>
      </w:r>
      <w:r w:rsidRPr="00F02524">
        <w:t xml:space="preserve"> reports are used to determine periods of excess emissions, identify problems at the facility, verify operation/maintenance procedures and for compliance determinations.</w:t>
      </w:r>
    </w:p>
    <w:p w:rsidR="00606DEF" w:rsidRPr="00F02524" w:rsidRDefault="00606DEF">
      <w:pPr>
        <w:pBdr>
          <w:top w:val="single" w:sz="6" w:space="0" w:color="FFFFFF"/>
          <w:left w:val="single" w:sz="6" w:space="0" w:color="FFFFFF"/>
          <w:bottom w:val="single" w:sz="6" w:space="0" w:color="FFFFFF"/>
          <w:right w:val="single" w:sz="6" w:space="0" w:color="FFFFFF"/>
        </w:pBdr>
      </w:pPr>
    </w:p>
    <w:p w:rsidR="00CA4CD6" w:rsidRPr="00F0252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02524">
        <w:rPr>
          <w:b/>
          <w:bCs/>
        </w:rPr>
        <w:t>3.  Non</w:t>
      </w:r>
      <w:r w:rsidR="009C33CB">
        <w:rPr>
          <w:b/>
          <w:bCs/>
        </w:rPr>
        <w:t>-</w:t>
      </w:r>
      <w:r w:rsidRPr="00F02524">
        <w:rPr>
          <w:b/>
          <w:bCs/>
        </w:rPr>
        <w:t>duplication, Consultations, and Other Collection Criteria</w:t>
      </w:r>
    </w:p>
    <w:p w:rsidR="00CA4CD6" w:rsidRPr="00F02524" w:rsidRDefault="00CA4CD6">
      <w:pPr>
        <w:pBdr>
          <w:top w:val="single" w:sz="6" w:space="0" w:color="FFFFFF"/>
          <w:left w:val="single" w:sz="6" w:space="0" w:color="FFFFFF"/>
          <w:bottom w:val="single" w:sz="6" w:space="0" w:color="FFFFFF"/>
          <w:right w:val="single" w:sz="6" w:space="0" w:color="FFFFFF"/>
        </w:pBdr>
        <w:rPr>
          <w:b/>
          <w:bCs/>
        </w:rP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rPr>
          <w:b/>
          <w:bCs/>
        </w:rPr>
        <w:t>3(a</w:t>
      </w:r>
      <w:proofErr w:type="gramStart"/>
      <w:r w:rsidRPr="00F02524">
        <w:rPr>
          <w:b/>
          <w:bCs/>
        </w:rPr>
        <w:t>)  Non</w:t>
      </w:r>
      <w:proofErr w:type="gramEnd"/>
      <w:r w:rsidR="009C33CB">
        <w:rPr>
          <w:b/>
          <w:bCs/>
        </w:rPr>
        <w:t>-</w:t>
      </w:r>
      <w:r w:rsidRPr="00F02524">
        <w:rPr>
          <w:b/>
          <w:bCs/>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r w:rsidR="00603D7E">
        <w:rPr>
          <w:color w:val="000000"/>
        </w:rPr>
        <w:t>, duplication</w:t>
      </w:r>
      <w:r>
        <w:rPr>
          <w:color w:val="000000"/>
        </w:rPr>
        <w:t xml:space="preserve"> </w:t>
      </w:r>
      <w:r w:rsidR="009C33CB">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comment period for the renewal of this ICR</w:t>
      </w:r>
      <w:r w:rsidRPr="00F02524">
        <w:t xml:space="preserve"> was published in the </w:t>
      </w:r>
      <w:r w:rsidRPr="00F02524">
        <w:rPr>
          <w:u w:val="single"/>
        </w:rPr>
        <w:t>Federal Register</w:t>
      </w:r>
      <w:r w:rsidRPr="00F02524">
        <w:t xml:space="preserve"> (</w:t>
      </w:r>
      <w:r w:rsidR="00A103B6" w:rsidRPr="00F02524">
        <w:t xml:space="preserve">79 </w:t>
      </w:r>
      <w:r w:rsidR="00DF6DA8" w:rsidRPr="00F02524">
        <w:rPr>
          <w:u w:val="single"/>
        </w:rPr>
        <w:t>FR</w:t>
      </w:r>
      <w:r w:rsidR="00A103B6" w:rsidRPr="00F02524">
        <w:t xml:space="preserve"> 30117</w:t>
      </w:r>
      <w:r w:rsidRPr="00F02524">
        <w:t xml:space="preserve">) on </w:t>
      </w:r>
      <w:r w:rsidR="00A103B6" w:rsidRPr="00F02524">
        <w:t>May 27, 2014</w:t>
      </w:r>
      <w:r w:rsidRPr="00F02524">
        <w:t xml:space="preserve">.  </w:t>
      </w:r>
      <w:r w:rsidR="00A103B6" w:rsidRPr="00F02524">
        <w:t xml:space="preserve">One </w:t>
      </w:r>
      <w:r w:rsidRPr="00F02524">
        <w:t>comment w</w:t>
      </w:r>
      <w:r w:rsidR="00A103B6" w:rsidRPr="00F02524">
        <w:t>as</w:t>
      </w:r>
      <w:r w:rsidRPr="00F02524">
        <w:t xml:space="preserve"> received on the burden published in the </w:t>
      </w:r>
      <w:r w:rsidRPr="00F02524">
        <w:rPr>
          <w:u w:val="single"/>
        </w:rPr>
        <w:t>Federal Register</w:t>
      </w:r>
      <w:r w:rsidR="00A103B6" w:rsidRPr="00F02524">
        <w:t xml:space="preserve">, </w:t>
      </w:r>
      <w:r w:rsidR="009C33CB" w:rsidRPr="00F02524">
        <w:t>and</w:t>
      </w:r>
      <w:r w:rsidR="009C33CB">
        <w:t xml:space="preserve"> it </w:t>
      </w:r>
      <w:r w:rsidR="00F356B2" w:rsidRPr="00F02524">
        <w:t>is addressed in section 3(c) below.</w:t>
      </w:r>
      <w:r w:rsidR="00F356B2">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0C6AD7" w:rsidRDefault="000C6AD7">
      <w:pPr>
        <w:widowControl/>
        <w:outlineLvl w:val="0"/>
        <w:rPr>
          <w:color w:val="FF0000"/>
        </w:rPr>
      </w:pPr>
    </w:p>
    <w:p w:rsidR="000C6AD7" w:rsidRPr="00ED774C" w:rsidRDefault="002B6993">
      <w:pPr>
        <w:widowControl/>
        <w:ind w:firstLine="720"/>
      </w:pPr>
      <w:r w:rsidRPr="00ED774C">
        <w:t>The Agency has consulted i</w:t>
      </w:r>
      <w:r w:rsidR="00E25DB6" w:rsidRPr="00ED774C">
        <w:rPr>
          <w:bCs/>
        </w:rPr>
        <w:t xml:space="preserve">ndustry experts and internal data sources </w:t>
      </w:r>
      <w:r w:rsidRPr="00ED774C">
        <w:rPr>
          <w:bCs/>
        </w:rPr>
        <w:t xml:space="preserve">to </w:t>
      </w:r>
      <w:r w:rsidR="00E25DB6" w:rsidRPr="00ED774C">
        <w:rPr>
          <w:bCs/>
        </w:rPr>
        <w:t>project</w:t>
      </w:r>
      <w:r w:rsidRPr="00ED774C">
        <w:rPr>
          <w:bCs/>
        </w:rPr>
        <w:t xml:space="preserve"> the number of affected facilities and </w:t>
      </w:r>
      <w:r w:rsidR="00E25DB6" w:rsidRPr="00ED774C">
        <w:rPr>
          <w:bCs/>
        </w:rPr>
        <w:t>industry growth over the next three years.</w:t>
      </w:r>
      <w:r w:rsidR="00E25DB6" w:rsidRPr="00ED774C">
        <w:rPr>
          <w:b/>
          <w:bCs/>
        </w:rPr>
        <w:t xml:space="preserve">  </w:t>
      </w:r>
      <w:r w:rsidR="00277F42" w:rsidRPr="00ED774C">
        <w:t xml:space="preserve">The primary source of information as reported by industry, in compliance with the recordkeeping and reporting provisions in the standard, is </w:t>
      </w:r>
      <w:r w:rsidR="0036229C" w:rsidRPr="00ED774C">
        <w:t xml:space="preserve">Enforcement and Compliance History Online (ECHO), </w:t>
      </w:r>
      <w:r w:rsidR="00277F42" w:rsidRPr="00ED774C">
        <w:t xml:space="preserve">which is operated and maintained by EPA's Office of Compliance.  </w:t>
      </w:r>
      <w:r w:rsidR="0036229C" w:rsidRPr="00ED774C">
        <w:t>ECHO</w:t>
      </w:r>
      <w:r w:rsidR="00277F42" w:rsidRPr="00ED774C">
        <w:t xml:space="preserve"> is EPA</w:t>
      </w:r>
      <w:r w:rsidR="00560AD2" w:rsidRPr="00ED774C">
        <w:t>’</w:t>
      </w:r>
      <w:r w:rsidR="00277F42" w:rsidRPr="00ED774C">
        <w:t xml:space="preserve">s database for the collection, maintenance, and retrieval of all compliance data.  The growth rate for the industry </w:t>
      </w:r>
      <w:r w:rsidR="009C33CB">
        <w:t xml:space="preserve">  </w:t>
      </w:r>
      <w:r w:rsidR="00277F42" w:rsidRPr="00ED774C">
        <w:t xml:space="preserve">is based on our consultations with the Agency’s internal industry experts. </w:t>
      </w:r>
    </w:p>
    <w:p w:rsidR="00277F42" w:rsidRPr="00277F42" w:rsidRDefault="00277F42" w:rsidP="00277F42">
      <w:pPr>
        <w:rPr>
          <w:color w:val="FF0000"/>
        </w:rPr>
      </w:pPr>
    </w:p>
    <w:p w:rsidR="00F356B2" w:rsidRPr="00ED774C" w:rsidDel="006F6808" w:rsidRDefault="0029006A" w:rsidP="00F356B2">
      <w:pPr>
        <w:ind w:firstLine="720"/>
      </w:pPr>
      <w:r w:rsidRPr="00ED774C">
        <w:t>I</w:t>
      </w:r>
      <w:r w:rsidR="00123889" w:rsidRPr="00ED774C">
        <w:t>ndustry trade associations and other interested parties were provided an opportunity to comment on the burden associated with the</w:t>
      </w:r>
      <w:r w:rsidR="009C33CB">
        <w:t>se</w:t>
      </w:r>
      <w:r w:rsidR="00123889" w:rsidRPr="00ED774C">
        <w:t xml:space="preserve"> standard</w:t>
      </w:r>
      <w:r w:rsidR="009C33CB">
        <w:t>s</w:t>
      </w:r>
      <w:r w:rsidR="00123889" w:rsidRPr="00ED774C">
        <w:t xml:space="preserve"> as </w:t>
      </w:r>
      <w:r w:rsidR="009C33CB">
        <w:t xml:space="preserve">they were </w:t>
      </w:r>
      <w:r w:rsidR="00123889" w:rsidRPr="00ED774C">
        <w:t>being developed and the</w:t>
      </w:r>
      <w:r w:rsidR="009C33CB">
        <w:t>se</w:t>
      </w:r>
      <w:r w:rsidR="00123889" w:rsidRPr="00ED774C">
        <w:t xml:space="preserve"> standard</w:t>
      </w:r>
      <w:r w:rsidR="009C33CB">
        <w:t>s</w:t>
      </w:r>
      <w:r w:rsidR="00123889" w:rsidRPr="00ED774C">
        <w:t xml:space="preserve"> ha</w:t>
      </w:r>
      <w:r w:rsidR="009C33CB">
        <w:t>ve</w:t>
      </w:r>
      <w:r w:rsidR="00123889" w:rsidRPr="00ED774C">
        <w:t xml:space="preserve"> been reviewed </w:t>
      </w:r>
      <w:r w:rsidR="009C33CB" w:rsidRPr="009C33CB">
        <w:t xml:space="preserve">previously </w:t>
      </w:r>
      <w:r w:rsidR="00123889" w:rsidRPr="00ED774C">
        <w:t>to determine the minimum information needed for compliance purposes.</w:t>
      </w:r>
      <w:r w:rsidR="00F356B2" w:rsidRPr="00ED774C" w:rsidDel="006F6808">
        <w:t xml:space="preserve"> In developing this ICR, we contacted both </w:t>
      </w:r>
      <w:r w:rsidR="00F356B2" w:rsidRPr="00ED774C">
        <w:t>The Fertilizer Institute (</w:t>
      </w:r>
      <w:proofErr w:type="spellStart"/>
      <w:r w:rsidR="00F356B2" w:rsidRPr="00ED774C">
        <w:t>TFI</w:t>
      </w:r>
      <w:proofErr w:type="spellEnd"/>
      <w:r w:rsidR="00F356B2" w:rsidRPr="00ED774C">
        <w:t>)</w:t>
      </w:r>
      <w:r w:rsidR="009C33CB">
        <w:t xml:space="preserve">,  </w:t>
      </w:r>
      <w:r w:rsidR="00F356B2" w:rsidRPr="00ED774C" w:rsidDel="006F6808">
        <w:t xml:space="preserve"> at </w:t>
      </w:r>
      <w:r w:rsidR="00F356B2" w:rsidRPr="00ED774C">
        <w:rPr>
          <w:rStyle w:val="field-content"/>
        </w:rPr>
        <w:t>(202) 515-2701</w:t>
      </w:r>
      <w:r w:rsidR="009C33CB">
        <w:rPr>
          <w:rStyle w:val="field-content"/>
        </w:rPr>
        <w:t>,</w:t>
      </w:r>
      <w:r w:rsidR="00F356B2" w:rsidRPr="00ED774C" w:rsidDel="006F6808">
        <w:t xml:space="preserve"> and the </w:t>
      </w:r>
      <w:r w:rsidR="00F356B2" w:rsidRPr="00ED774C">
        <w:t>American Chemistry Council</w:t>
      </w:r>
      <w:r w:rsidR="009C33CB">
        <w:t>,</w:t>
      </w:r>
      <w:r w:rsidR="00F356B2" w:rsidRPr="00ED774C" w:rsidDel="006F6808">
        <w:t xml:space="preserve"> at </w:t>
      </w:r>
      <w:r w:rsidR="00F356B2" w:rsidRPr="00ED774C">
        <w:t>(202) 249-7000</w:t>
      </w:r>
      <w:r w:rsidR="00F356B2" w:rsidRPr="00ED774C" w:rsidDel="006F6808">
        <w:t>.</w:t>
      </w:r>
      <w:r w:rsidR="00F356B2" w:rsidRPr="00ED774C">
        <w:t xml:space="preserve"> </w:t>
      </w:r>
      <w:r w:rsidR="009C33CB">
        <w:t xml:space="preserve"> The </w:t>
      </w:r>
      <w:r w:rsidR="00F356B2" w:rsidRPr="00ED774C">
        <w:t>EPA did not receive any comments from the consultations.</w:t>
      </w:r>
    </w:p>
    <w:p w:rsidR="00277F42" w:rsidRDefault="00277F42" w:rsidP="00123889">
      <w:pPr>
        <w:rPr>
          <w:color w:val="FF0000"/>
        </w:rPr>
      </w:pPr>
    </w:p>
    <w:p w:rsidR="000C6AD7" w:rsidRPr="00ED774C" w:rsidRDefault="00D42D52">
      <w:pPr>
        <w:widowControl/>
        <w:ind w:firstLine="720"/>
      </w:pPr>
      <w:r w:rsidRPr="00ED774C">
        <w:rPr>
          <w:bCs/>
        </w:rPr>
        <w:t xml:space="preserve">It is our policy to respond after a thorough review of comments received since the last ICR renewal as well as those submitted in response to the </w:t>
      </w:r>
      <w:r w:rsidR="005253D4" w:rsidRPr="00ED774C">
        <w:rPr>
          <w:bCs/>
        </w:rPr>
        <w:t>f</w:t>
      </w:r>
      <w:r w:rsidRPr="00ED774C">
        <w:rPr>
          <w:bCs/>
        </w:rPr>
        <w:t xml:space="preserve">irst </w:t>
      </w:r>
      <w:r w:rsidRPr="00ED774C">
        <w:rPr>
          <w:bCs/>
          <w:u w:val="single"/>
        </w:rPr>
        <w:t>Federal Register</w:t>
      </w:r>
      <w:r w:rsidRPr="00ED774C">
        <w:rPr>
          <w:bCs/>
        </w:rPr>
        <w:t xml:space="preserve"> </w:t>
      </w:r>
      <w:r w:rsidR="005253D4" w:rsidRPr="00ED774C">
        <w:rPr>
          <w:bCs/>
        </w:rPr>
        <w:t>n</w:t>
      </w:r>
      <w:r w:rsidRPr="00ED774C">
        <w:rPr>
          <w:bCs/>
        </w:rPr>
        <w:t xml:space="preserve">otice.  </w:t>
      </w:r>
      <w:r w:rsidR="009C33CB">
        <w:rPr>
          <w:bCs/>
        </w:rPr>
        <w:t xml:space="preserve">The </w:t>
      </w:r>
      <w:r w:rsidR="00F356B2" w:rsidRPr="00ED774C">
        <w:t xml:space="preserve">EPA received one comment in response to the first </w:t>
      </w:r>
      <w:r w:rsidR="00F356B2" w:rsidRPr="0092159E">
        <w:rPr>
          <w:u w:val="single"/>
        </w:rPr>
        <w:t>Federal Register</w:t>
      </w:r>
      <w:r w:rsidR="00F356B2" w:rsidRPr="00ED774C">
        <w:t xml:space="preserve"> notice, but the comment did not contain any substantive recommendations and did not result in changes to this ICR.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2369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F356B2">
        <w:rPr>
          <w:color w:val="000000"/>
        </w:rPr>
        <w:t xml:space="preserve">nitric acid plants. </w:t>
      </w:r>
      <w:r>
        <w:rPr>
          <w:color w:val="000000"/>
        </w:rPr>
        <w:t xml:space="preserve">The </w:t>
      </w:r>
      <w:r w:rsidR="00CF2B37">
        <w:rPr>
          <w:color w:val="000000"/>
        </w:rPr>
        <w:t>Unite</w:t>
      </w:r>
      <w:r w:rsidR="00CF2B37" w:rsidRPr="00F02524">
        <w:t>d States Standard Industrial Classification (</w:t>
      </w:r>
      <w:r w:rsidRPr="00F02524">
        <w:t>SIC</w:t>
      </w:r>
      <w:r w:rsidR="00CF2B37" w:rsidRPr="00F02524">
        <w:t>)</w:t>
      </w:r>
      <w:r w:rsidRPr="00F02524">
        <w:t xml:space="preserve"> code for the respondents affected by the standards is SIC </w:t>
      </w:r>
      <w:r w:rsidR="00F356B2" w:rsidRPr="00F02524">
        <w:t>2873, Nitrogenous Fertilizers,</w:t>
      </w:r>
      <w:r w:rsidRPr="00F02524">
        <w:t xml:space="preserve"> which corresponds to the North American Industry Classification System</w:t>
      </w:r>
      <w:r w:rsidR="00CF2B37" w:rsidRPr="00F02524">
        <w:t xml:space="preserve"> (NAICS</w:t>
      </w:r>
      <w:r w:rsidRPr="00F02524">
        <w:t xml:space="preserve">) </w:t>
      </w:r>
      <w:r w:rsidR="00F356B2" w:rsidRPr="00F02524">
        <w:t>code 325311</w:t>
      </w:r>
      <w:r w:rsidRPr="00F02524">
        <w:t xml:space="preserve"> for</w:t>
      </w:r>
      <w:r w:rsidR="00F356B2" w:rsidRPr="00F02524">
        <w:t xml:space="preserve"> Nitrogenous Fertilizer Manufacturing</w:t>
      </w:r>
      <w:r w:rsidRPr="00F02524">
        <w:t xml:space="preserve">.  </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rPr>
          <w:b/>
          <w:bCs/>
        </w:rPr>
        <w:t>4(b</w:t>
      </w:r>
      <w:proofErr w:type="gramStart"/>
      <w:r w:rsidRPr="00F02524">
        <w:rPr>
          <w:b/>
          <w:bCs/>
        </w:rPr>
        <w:t>)  Information</w:t>
      </w:r>
      <w:proofErr w:type="gramEnd"/>
      <w:r w:rsidRPr="00F02524">
        <w:rPr>
          <w:b/>
          <w:bCs/>
        </w:rPr>
        <w:t xml:space="preserve"> Requested</w:t>
      </w:r>
      <w:r w:rsidRPr="00F02524">
        <w:t xml:space="preserve"> </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02524">
        <w:rPr>
          <w:b/>
          <w:bCs/>
        </w:rPr>
        <w:t>(i)  Data Items</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817E8B" w:rsidP="00ED774C">
      <w:pPr>
        <w:ind w:firstLine="720"/>
        <w:rPr>
          <w:b/>
          <w:bCs/>
        </w:rPr>
      </w:pPr>
      <w:r w:rsidRPr="00F02524">
        <w:t>I</w:t>
      </w:r>
      <w:r w:rsidR="00CA4CD6" w:rsidRPr="00F02524">
        <w:t>n this ICR</w:t>
      </w:r>
      <w:r w:rsidRPr="00F02524">
        <w:t>, all the data</w:t>
      </w:r>
      <w:r w:rsidR="00CA4CD6" w:rsidRPr="00F02524">
        <w:t xml:space="preserve"> </w:t>
      </w:r>
      <w:r w:rsidRPr="00F02524">
        <w:t xml:space="preserve">that is </w:t>
      </w:r>
      <w:r w:rsidR="00CA4CD6" w:rsidRPr="00F02524">
        <w:t xml:space="preserve">recorded or reported </w:t>
      </w:r>
      <w:r w:rsidRPr="00F02524">
        <w:t>is</w:t>
      </w:r>
      <w:r w:rsidR="00CA4CD6" w:rsidRPr="00F02524">
        <w:t xml:space="preserve"> required by</w:t>
      </w:r>
      <w:r w:rsidR="00ED774C" w:rsidRPr="00F02524">
        <w:t xml:space="preserve"> the</w:t>
      </w:r>
      <w:r w:rsidR="00CA4CD6" w:rsidRPr="00F02524">
        <w:t xml:space="preserve"> </w:t>
      </w:r>
      <w:r w:rsidR="00256946" w:rsidRPr="00F02524">
        <w:rPr>
          <w:bCs/>
        </w:rPr>
        <w:t>NSPS for Nitric Acid Plants for which Construction, Reconstruction or Modification Commenced after October 14, 2011 (40 CFR Part 60, Subpart Ga)</w:t>
      </w:r>
      <w:r w:rsidR="00256946" w:rsidRPr="00F02524">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3E25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keepNext/>
              <w:spacing w:before="99" w:after="51"/>
            </w:pPr>
            <w:r>
              <w:t>Notification of construction or modification application</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keepNext/>
              <w:spacing w:before="99" w:after="51"/>
            </w:pPr>
            <w:r>
              <w:t>60.6(a)</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keepNext/>
              <w:spacing w:before="99" w:after="51"/>
            </w:pPr>
            <w:r w:rsidRPr="007A7336">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keepNext/>
              <w:spacing w:before="99" w:after="51"/>
            </w:pPr>
            <w:r w:rsidRPr="007A7336">
              <w:t>60.7(a)(1)</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keepNext/>
              <w:spacing w:before="99" w:after="51"/>
            </w:pPr>
            <w:r>
              <w:t>Initial notifications</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keepNext/>
              <w:spacing w:before="99" w:after="51"/>
            </w:pPr>
            <w:r>
              <w:t>60.7(a)(3)</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spacing w:before="99" w:after="51"/>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spacing w:before="99" w:after="51"/>
            </w:pPr>
            <w:r>
              <w:t>60.7(a)(3)</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spacing w:before="99" w:after="51"/>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spacing w:before="99" w:after="51"/>
            </w:pPr>
            <w:r>
              <w:t>60.7(a)(4)</w:t>
            </w:r>
          </w:p>
        </w:tc>
      </w:tr>
      <w:tr w:rsidR="00256946" w:rsidRPr="00CF2B37" w:rsidTr="00256946">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spacing w:before="99" w:after="51"/>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256946" w:rsidRDefault="00256946" w:rsidP="00256946">
            <w:pPr>
              <w:spacing w:before="99" w:after="51"/>
            </w:pPr>
            <w:r>
              <w:t>60.7(a)(5)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A73600" w:rsidRPr="00CF2B37"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56946"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spacing w:before="99" w:after="51"/>
            </w:pPr>
            <w:r>
              <w:t xml:space="preserve">Initial </w:t>
            </w:r>
            <w:r w:rsidR="00DB1C73">
              <w:t xml:space="preserve">and subsequent </w:t>
            </w:r>
            <w:r>
              <w:t>performance test results.</w:t>
            </w:r>
          </w:p>
        </w:tc>
        <w:tc>
          <w:tcPr>
            <w:tcW w:w="2082" w:type="dxa"/>
            <w:gridSpan w:val="2"/>
            <w:tcBorders>
              <w:top w:val="single" w:sz="7" w:space="0" w:color="000000"/>
              <w:left w:val="single" w:sz="7" w:space="0" w:color="000000"/>
              <w:bottom w:val="single" w:sz="7" w:space="0" w:color="000000"/>
              <w:right w:val="single" w:sz="7" w:space="0" w:color="000000"/>
            </w:tcBorders>
          </w:tcPr>
          <w:p w:rsidR="00256946" w:rsidRDefault="00256946" w:rsidP="00DB1C73">
            <w:pPr>
              <w:spacing w:before="99" w:after="51"/>
            </w:pPr>
            <w:r>
              <w:t>60.8(a), 60.77</w:t>
            </w:r>
            <w:r w:rsidR="00DB1C73">
              <w:t>a</w:t>
            </w:r>
            <w:r>
              <w:t>(a)</w:t>
            </w:r>
          </w:p>
        </w:tc>
      </w:tr>
      <w:tr w:rsidR="00256946"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256946" w:rsidRDefault="00256946" w:rsidP="00256946">
            <w:pPr>
              <w:spacing w:before="99" w:after="51"/>
            </w:pPr>
            <w:r>
              <w:t>Compliance status.</w:t>
            </w:r>
          </w:p>
        </w:tc>
        <w:tc>
          <w:tcPr>
            <w:tcW w:w="2082" w:type="dxa"/>
            <w:gridSpan w:val="2"/>
            <w:tcBorders>
              <w:top w:val="single" w:sz="7" w:space="0" w:color="000000"/>
              <w:left w:val="single" w:sz="7" w:space="0" w:color="000000"/>
              <w:bottom w:val="single" w:sz="7" w:space="0" w:color="000000"/>
              <w:right w:val="single" w:sz="7" w:space="0" w:color="000000"/>
            </w:tcBorders>
          </w:tcPr>
          <w:p w:rsidR="00256946" w:rsidRDefault="00256946" w:rsidP="00256946">
            <w:pPr>
              <w:spacing w:before="99" w:after="51"/>
            </w:pPr>
            <w:r>
              <w:t>60.7(a)(7)</w:t>
            </w:r>
          </w:p>
        </w:tc>
      </w:tr>
      <w:tr w:rsidR="00256946"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256946" w:rsidRDefault="00777C53" w:rsidP="00777C53">
            <w:pPr>
              <w:spacing w:before="99" w:after="51"/>
            </w:pPr>
            <w:r>
              <w:t xml:space="preserve">A report of noncompliance, including the time period, </w:t>
            </w:r>
            <w:r w:rsidR="00256946">
              <w:t>NO</w:t>
            </w:r>
            <w:r w:rsidR="00256946" w:rsidRPr="005B4933">
              <w:rPr>
                <w:vertAlign w:val="subscript"/>
              </w:rPr>
              <w:t>X</w:t>
            </w:r>
            <w:r w:rsidR="00256946">
              <w:t xml:space="preserve"> emission rates</w:t>
            </w:r>
            <w:r>
              <w:t>, reasons for</w:t>
            </w:r>
            <w:r w:rsidR="00256946">
              <w:t xml:space="preserve"> </w:t>
            </w:r>
            <w:r>
              <w:t>non</w:t>
            </w:r>
            <w:r w:rsidR="00256946">
              <w:t>compliance with the emission standard</w:t>
            </w:r>
            <w:r>
              <w:t xml:space="preserve"> and a </w:t>
            </w:r>
            <w:r>
              <w:lastRenderedPageBreak/>
              <w:t>description of corrective actions taken</w:t>
            </w:r>
            <w:r w:rsidR="00256946">
              <w:t>.</w:t>
            </w:r>
          </w:p>
        </w:tc>
        <w:tc>
          <w:tcPr>
            <w:tcW w:w="2082" w:type="dxa"/>
            <w:gridSpan w:val="2"/>
            <w:tcBorders>
              <w:top w:val="single" w:sz="7" w:space="0" w:color="000000"/>
              <w:left w:val="single" w:sz="7" w:space="0" w:color="000000"/>
              <w:bottom w:val="single" w:sz="7" w:space="0" w:color="000000"/>
              <w:right w:val="single" w:sz="7" w:space="0" w:color="000000"/>
            </w:tcBorders>
          </w:tcPr>
          <w:p w:rsidR="00256946" w:rsidRDefault="00256946" w:rsidP="00256946">
            <w:pPr>
              <w:spacing w:before="99" w:after="51"/>
            </w:pPr>
            <w:r>
              <w:lastRenderedPageBreak/>
              <w:t>60.77a(b)</w:t>
            </w:r>
          </w:p>
        </w:tc>
      </w:tr>
      <w:tr w:rsidR="00777C53"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777C53" w:rsidRDefault="00777C53" w:rsidP="00777C53">
            <w:pPr>
              <w:spacing w:before="99" w:after="51"/>
            </w:pPr>
            <w:r>
              <w:lastRenderedPageBreak/>
              <w:t>A report summarizing times when the pollutant concentration or volumetric flow rate exceeds the high value of the monitoring equipment.</w:t>
            </w:r>
          </w:p>
        </w:tc>
        <w:tc>
          <w:tcPr>
            <w:tcW w:w="2082" w:type="dxa"/>
            <w:gridSpan w:val="2"/>
            <w:tcBorders>
              <w:top w:val="single" w:sz="7" w:space="0" w:color="000000"/>
              <w:left w:val="single" w:sz="7" w:space="0" w:color="000000"/>
              <w:bottom w:val="single" w:sz="7" w:space="0" w:color="000000"/>
              <w:right w:val="single" w:sz="7" w:space="0" w:color="000000"/>
            </w:tcBorders>
          </w:tcPr>
          <w:p w:rsidR="00777C53" w:rsidRDefault="00777C53" w:rsidP="00256946">
            <w:pPr>
              <w:spacing w:before="99" w:after="51"/>
            </w:pPr>
            <w:r>
              <w:t>60.77a(c)</w:t>
            </w:r>
          </w:p>
        </w:tc>
      </w:tr>
      <w:tr w:rsidR="00777C53"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777C53" w:rsidRDefault="00777C53" w:rsidP="00777C53">
            <w:pPr>
              <w:spacing w:before="99" w:after="51"/>
            </w:pPr>
            <w:r>
              <w:t>Report of any modifications to CERMS which could affect the ability of the CERMS to comply with applicable performance specifications.</w:t>
            </w:r>
          </w:p>
        </w:tc>
        <w:tc>
          <w:tcPr>
            <w:tcW w:w="2082" w:type="dxa"/>
            <w:gridSpan w:val="2"/>
            <w:tcBorders>
              <w:top w:val="single" w:sz="7" w:space="0" w:color="000000"/>
              <w:left w:val="single" w:sz="7" w:space="0" w:color="000000"/>
              <w:bottom w:val="single" w:sz="7" w:space="0" w:color="000000"/>
              <w:right w:val="single" w:sz="7" w:space="0" w:color="000000"/>
            </w:tcBorders>
          </w:tcPr>
          <w:p w:rsidR="00777C53" w:rsidRDefault="00777C53" w:rsidP="00256946">
            <w:pPr>
              <w:spacing w:before="99" w:after="51"/>
            </w:pPr>
            <w:r>
              <w:t>60.77a(d)</w:t>
            </w:r>
          </w:p>
        </w:tc>
      </w:tr>
      <w:tr w:rsidR="00777C53" w:rsidRPr="00CF2B37" w:rsidTr="004E4E27">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777C53" w:rsidRDefault="00777C53" w:rsidP="004E4E27">
            <w:pPr>
              <w:spacing w:before="99" w:after="51"/>
            </w:pPr>
            <w:r>
              <w:t>Initial performance test.</w:t>
            </w:r>
          </w:p>
        </w:tc>
        <w:tc>
          <w:tcPr>
            <w:tcW w:w="2082" w:type="dxa"/>
            <w:gridSpan w:val="2"/>
            <w:tcBorders>
              <w:top w:val="single" w:sz="7" w:space="0" w:color="000000"/>
              <w:left w:val="single" w:sz="7" w:space="0" w:color="000000"/>
              <w:bottom w:val="single" w:sz="7" w:space="0" w:color="000000"/>
              <w:right w:val="single" w:sz="7" w:space="0" w:color="000000"/>
            </w:tcBorders>
          </w:tcPr>
          <w:p w:rsidR="00777C53" w:rsidRDefault="00777C53" w:rsidP="004E4E27">
            <w:pPr>
              <w:spacing w:before="99" w:after="51"/>
            </w:pPr>
            <w:r>
              <w:t>60.8(d), 60.73a(e)</w:t>
            </w:r>
          </w:p>
        </w:tc>
      </w:tr>
      <w:tr w:rsidR="00777C53" w:rsidRPr="00CF2B37" w:rsidTr="00256946">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rsidR="00777C53" w:rsidRDefault="00777C53" w:rsidP="00777C53">
            <w:pPr>
              <w:spacing w:before="99" w:after="51"/>
            </w:pPr>
            <w:r>
              <w:t>Compliance status.</w:t>
            </w:r>
          </w:p>
        </w:tc>
        <w:tc>
          <w:tcPr>
            <w:tcW w:w="2082" w:type="dxa"/>
            <w:gridSpan w:val="2"/>
            <w:tcBorders>
              <w:top w:val="single" w:sz="7" w:space="0" w:color="000000"/>
              <w:left w:val="single" w:sz="7" w:space="0" w:color="000000"/>
              <w:bottom w:val="single" w:sz="7" w:space="0" w:color="000000"/>
              <w:right w:val="single" w:sz="7" w:space="0" w:color="000000"/>
            </w:tcBorders>
          </w:tcPr>
          <w:p w:rsidR="00777C53" w:rsidRDefault="00777C53" w:rsidP="00256946">
            <w:pPr>
              <w:spacing w:before="99" w:after="51"/>
            </w:pPr>
            <w:r>
              <w:t>60.7(a)(7)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110"/>
        <w:gridCol w:w="2250"/>
        <w:gridCol w:w="12"/>
      </w:tblGrid>
      <w:tr w:rsidR="00A73600" w:rsidRPr="00CF2B37" w:rsidTr="008138BC">
        <w:trPr>
          <w:gridAfter w:val="1"/>
          <w:wAfter w:w="12" w:type="dxa"/>
          <w:tblHeader/>
          <w:jc w:val="center"/>
        </w:trPr>
        <w:tc>
          <w:tcPr>
            <w:tcW w:w="9360" w:type="dxa"/>
            <w:gridSpan w:val="2"/>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138BC" w:rsidRPr="00CF2B37" w:rsidTr="008138BC">
        <w:trPr>
          <w:jc w:val="center"/>
        </w:trPr>
        <w:tc>
          <w:tcPr>
            <w:tcW w:w="7110" w:type="dxa"/>
            <w:vAlign w:val="bottom"/>
          </w:tcPr>
          <w:p w:rsidR="008138BC" w:rsidRDefault="008138BC" w:rsidP="00256946">
            <w:pPr>
              <w:spacing w:before="99" w:after="48"/>
            </w:pPr>
            <w:r>
              <w:t>For the NO</w:t>
            </w:r>
            <w:r w:rsidRPr="008138BC">
              <w:rPr>
                <w:vertAlign w:val="subscript"/>
              </w:rPr>
              <w:t>X</w:t>
            </w:r>
            <w:r>
              <w:t xml:space="preserve"> emissions rate, results of the performance evaluations of the </w:t>
            </w:r>
            <w:proofErr w:type="spellStart"/>
            <w:r>
              <w:t>CEMs</w:t>
            </w:r>
            <w:proofErr w:type="spellEnd"/>
            <w:r>
              <w:t>.</w:t>
            </w:r>
          </w:p>
        </w:tc>
        <w:tc>
          <w:tcPr>
            <w:tcW w:w="2262" w:type="dxa"/>
            <w:gridSpan w:val="2"/>
          </w:tcPr>
          <w:p w:rsidR="008138BC" w:rsidRDefault="008138BC" w:rsidP="00256946">
            <w:pPr>
              <w:spacing w:before="99" w:after="48"/>
            </w:pPr>
            <w:r>
              <w:t>60.76a(a)</w:t>
            </w:r>
          </w:p>
        </w:tc>
      </w:tr>
      <w:tr w:rsidR="008138BC" w:rsidTr="008138BC">
        <w:trPr>
          <w:jc w:val="center"/>
        </w:trPr>
        <w:tc>
          <w:tcPr>
            <w:tcW w:w="7110" w:type="dxa"/>
            <w:vAlign w:val="bottom"/>
          </w:tcPr>
          <w:p w:rsidR="008138BC" w:rsidRDefault="008138BC" w:rsidP="008138BC">
            <w:pPr>
              <w:spacing w:before="99" w:after="48"/>
            </w:pPr>
            <w:r>
              <w:t>Daily production rate of nitric acid.</w:t>
            </w:r>
          </w:p>
        </w:tc>
        <w:tc>
          <w:tcPr>
            <w:tcW w:w="2262" w:type="dxa"/>
            <w:gridSpan w:val="2"/>
          </w:tcPr>
          <w:p w:rsidR="008138BC" w:rsidRDefault="008138BC" w:rsidP="004E4E27">
            <w:pPr>
              <w:spacing w:before="99" w:after="48"/>
            </w:pPr>
            <w:r>
              <w:t>60.76a(b)(2)</w:t>
            </w:r>
          </w:p>
        </w:tc>
      </w:tr>
      <w:tr w:rsidR="008138BC" w:rsidRPr="00CF2B37" w:rsidTr="008138BC">
        <w:trPr>
          <w:jc w:val="center"/>
        </w:trPr>
        <w:tc>
          <w:tcPr>
            <w:tcW w:w="7110" w:type="dxa"/>
            <w:vAlign w:val="bottom"/>
          </w:tcPr>
          <w:p w:rsidR="008138BC" w:rsidRPr="008138BC" w:rsidRDefault="008138BC" w:rsidP="00256946">
            <w:pPr>
              <w:spacing w:before="99" w:after="48"/>
            </w:pPr>
            <w:r>
              <w:t>30 operating day average NO</w:t>
            </w:r>
            <w:r w:rsidRPr="008138BC">
              <w:rPr>
                <w:vertAlign w:val="subscript"/>
              </w:rPr>
              <w:t>X</w:t>
            </w:r>
            <w:r>
              <w:rPr>
                <w:vertAlign w:val="subscript"/>
              </w:rPr>
              <w:t xml:space="preserve"> </w:t>
            </w:r>
            <w:r>
              <w:t>emissions rate values</w:t>
            </w:r>
          </w:p>
        </w:tc>
        <w:tc>
          <w:tcPr>
            <w:tcW w:w="2262" w:type="dxa"/>
            <w:gridSpan w:val="2"/>
          </w:tcPr>
          <w:p w:rsidR="008138BC" w:rsidRDefault="008138BC" w:rsidP="00256946">
            <w:pPr>
              <w:spacing w:before="99" w:after="48"/>
            </w:pPr>
            <w:r>
              <w:t>60.76a(b)(3)</w:t>
            </w:r>
          </w:p>
        </w:tc>
      </w:tr>
      <w:tr w:rsidR="008138BC" w:rsidRPr="00CF2B37" w:rsidTr="008138BC">
        <w:trPr>
          <w:jc w:val="center"/>
        </w:trPr>
        <w:tc>
          <w:tcPr>
            <w:tcW w:w="7110" w:type="dxa"/>
            <w:vAlign w:val="bottom"/>
          </w:tcPr>
          <w:p w:rsidR="008138BC" w:rsidRPr="008138BC" w:rsidRDefault="008138BC" w:rsidP="008138BC">
            <w:pPr>
              <w:spacing w:before="99" w:after="48"/>
            </w:pPr>
            <w:r>
              <w:t>Times of noncompliance with the emissions standards and when pollutant concentrations or flow rates exceed the full span of the monitoring equipment.</w:t>
            </w:r>
          </w:p>
        </w:tc>
        <w:tc>
          <w:tcPr>
            <w:tcW w:w="2262" w:type="dxa"/>
            <w:gridSpan w:val="2"/>
          </w:tcPr>
          <w:p w:rsidR="008138BC" w:rsidRDefault="008138BC" w:rsidP="00256946">
            <w:pPr>
              <w:spacing w:before="99" w:after="48"/>
            </w:pPr>
            <w:r>
              <w:t>60.76a(c)</w:t>
            </w:r>
          </w:p>
        </w:tc>
      </w:tr>
      <w:tr w:rsidR="008138BC" w:rsidRPr="00CF2B37" w:rsidTr="008138BC">
        <w:trPr>
          <w:jc w:val="center"/>
        </w:trPr>
        <w:tc>
          <w:tcPr>
            <w:tcW w:w="7110" w:type="dxa"/>
            <w:vAlign w:val="bottom"/>
          </w:tcPr>
          <w:p w:rsidR="008138BC" w:rsidRDefault="008138BC" w:rsidP="00256946">
            <w:pPr>
              <w:spacing w:before="99" w:after="48"/>
            </w:pPr>
            <w:r>
              <w:t>Reasons for periods of noncompliance and description of corrective actions taken.</w:t>
            </w:r>
          </w:p>
        </w:tc>
        <w:tc>
          <w:tcPr>
            <w:tcW w:w="2262" w:type="dxa"/>
            <w:gridSpan w:val="2"/>
          </w:tcPr>
          <w:p w:rsidR="008138BC" w:rsidRDefault="008138BC" w:rsidP="00256946">
            <w:pPr>
              <w:spacing w:before="99" w:after="48"/>
            </w:pPr>
            <w:r>
              <w:t>60.76a(d)</w:t>
            </w:r>
          </w:p>
        </w:tc>
      </w:tr>
      <w:tr w:rsidR="008138BC" w:rsidRPr="00CF2B37" w:rsidTr="008138BC">
        <w:trPr>
          <w:jc w:val="center"/>
        </w:trPr>
        <w:tc>
          <w:tcPr>
            <w:tcW w:w="7110" w:type="dxa"/>
            <w:vAlign w:val="bottom"/>
          </w:tcPr>
          <w:p w:rsidR="008138BC" w:rsidRDefault="008138BC" w:rsidP="00256946">
            <w:pPr>
              <w:spacing w:before="99" w:after="48"/>
            </w:pPr>
            <w:r>
              <w:t>Records of modifications to CEMS which could affect the ability of the CEMS to comply with performance specifications.</w:t>
            </w:r>
          </w:p>
        </w:tc>
        <w:tc>
          <w:tcPr>
            <w:tcW w:w="2262" w:type="dxa"/>
            <w:gridSpan w:val="2"/>
          </w:tcPr>
          <w:p w:rsidR="008138BC" w:rsidRDefault="008138BC" w:rsidP="00256946">
            <w:pPr>
              <w:spacing w:before="99" w:after="48"/>
            </w:pPr>
            <w:r>
              <w:t>60.76a(e)</w:t>
            </w:r>
          </w:p>
        </w:tc>
      </w:tr>
      <w:tr w:rsidR="008138BC" w:rsidRPr="00CF2B37" w:rsidTr="008138BC">
        <w:trPr>
          <w:jc w:val="center"/>
        </w:trPr>
        <w:tc>
          <w:tcPr>
            <w:tcW w:w="7110" w:type="dxa"/>
            <w:vAlign w:val="bottom"/>
          </w:tcPr>
          <w:p w:rsidR="008138BC" w:rsidRDefault="008138BC" w:rsidP="008138BC">
            <w:pPr>
              <w:spacing w:before="99" w:after="48"/>
            </w:pPr>
            <w:r>
              <w:t>The occurrence and duration of malfunctions of operation or of the pollution control and monitoring equipment. Description of actions taken to minimize emissions during periods of malfunction and correction actions to restore normal operation.</w:t>
            </w:r>
          </w:p>
        </w:tc>
        <w:tc>
          <w:tcPr>
            <w:tcW w:w="2262" w:type="dxa"/>
            <w:gridSpan w:val="2"/>
          </w:tcPr>
          <w:p w:rsidR="008138BC" w:rsidRDefault="008138BC" w:rsidP="00256946">
            <w:pPr>
              <w:spacing w:before="99" w:after="48"/>
            </w:pPr>
            <w:r>
              <w:t>60.76a(f)</w:t>
            </w:r>
          </w:p>
        </w:tc>
      </w:tr>
      <w:tr w:rsidR="008138BC" w:rsidRPr="00CF2B37" w:rsidTr="008138BC">
        <w:trPr>
          <w:jc w:val="center"/>
        </w:trPr>
        <w:tc>
          <w:tcPr>
            <w:tcW w:w="7110" w:type="dxa"/>
            <w:vAlign w:val="bottom"/>
          </w:tcPr>
          <w:p w:rsidR="008138BC" w:rsidRDefault="008138BC" w:rsidP="00256946">
            <w:pPr>
              <w:spacing w:before="99" w:after="48"/>
            </w:pPr>
            <w:r>
              <w:t>Records are required to be retained for two (</w:t>
            </w:r>
            <w:r w:rsidRPr="00436C93">
              <w:t>2</w:t>
            </w:r>
            <w:r>
              <w:t>) years.</w:t>
            </w:r>
          </w:p>
        </w:tc>
        <w:tc>
          <w:tcPr>
            <w:tcW w:w="2262" w:type="dxa"/>
            <w:gridSpan w:val="2"/>
          </w:tcPr>
          <w:p w:rsidR="008138BC" w:rsidRDefault="008138BC" w:rsidP="00256946">
            <w:pPr>
              <w:spacing w:before="99" w:after="48"/>
            </w:pPr>
            <w:r>
              <w:t>60.7(f)</w:t>
            </w:r>
          </w:p>
        </w:tc>
      </w:tr>
      <w:tr w:rsidR="008138BC" w:rsidRPr="00CF2B37" w:rsidTr="008138BC">
        <w:trPr>
          <w:jc w:val="center"/>
        </w:trPr>
        <w:tc>
          <w:tcPr>
            <w:tcW w:w="7110" w:type="dxa"/>
            <w:vAlign w:val="bottom"/>
          </w:tcPr>
          <w:p w:rsidR="008138BC" w:rsidRDefault="008138BC" w:rsidP="00256946">
            <w:pPr>
              <w:spacing w:before="99" w:after="48"/>
            </w:pPr>
            <w:r>
              <w:t>Records of ongoing monitoring.</w:t>
            </w:r>
          </w:p>
        </w:tc>
        <w:tc>
          <w:tcPr>
            <w:tcW w:w="2262" w:type="dxa"/>
            <w:gridSpan w:val="2"/>
          </w:tcPr>
          <w:p w:rsidR="008138BC" w:rsidRDefault="008138BC" w:rsidP="00256946">
            <w:pPr>
              <w:spacing w:before="99" w:after="4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w:t>
      </w:r>
      <w:r w:rsidR="00CA4CD6">
        <w:rPr>
          <w:color w:val="000000"/>
        </w:rPr>
        <w:lastRenderedPageBreak/>
        <w:t xml:space="preserve">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F02524">
        <w:rPr>
          <w:b/>
          <w:bCs/>
        </w:rPr>
        <w:t>(ii)  Respondent Activities</w:t>
      </w:r>
      <w:r w:rsidRPr="00F02524">
        <w:rPr>
          <w:b/>
          <w:bCs/>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6C76D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Familiarization with the regulatory requirements.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25694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w:t>
            </w:r>
            <w:r w:rsidR="00256946">
              <w:rPr>
                <w:color w:val="000000"/>
              </w:rPr>
              <w:t xml:space="preserve">ontinuous Emissions Rate </w:t>
            </w:r>
            <w:r>
              <w:rPr>
                <w:color w:val="000000"/>
              </w:rPr>
              <w:t>M</w:t>
            </w:r>
            <w:r w:rsidR="00256946">
              <w:rPr>
                <w:color w:val="000000"/>
              </w:rPr>
              <w:t xml:space="preserve">onitoring </w:t>
            </w:r>
            <w:r>
              <w:rPr>
                <w:color w:val="000000"/>
              </w:rPr>
              <w:t>S</w:t>
            </w:r>
            <w:r w:rsidR="00256946">
              <w:rPr>
                <w:color w:val="000000"/>
              </w:rPr>
              <w:t>ystems (CERMS), which include NO</w:t>
            </w:r>
            <w:r w:rsidR="00256946" w:rsidRPr="00256946">
              <w:rPr>
                <w:color w:val="000000"/>
                <w:vertAlign w:val="subscript"/>
              </w:rPr>
              <w:t>X</w:t>
            </w:r>
            <w:r w:rsidR="00256946">
              <w:rPr>
                <w:color w:val="000000"/>
              </w:rPr>
              <w:t xml:space="preserve"> concentration and gas flow rate monitors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256946">
        <w:trPr>
          <w:jc w:val="center"/>
        </w:trPr>
        <w:tc>
          <w:tcPr>
            <w:tcW w:w="9360" w:type="dxa"/>
            <w:tcBorders>
              <w:top w:val="single" w:sz="7" w:space="0" w:color="000000"/>
              <w:left w:val="single" w:sz="7" w:space="0" w:color="000000"/>
              <w:bottom w:val="single" w:sz="7" w:space="0" w:color="000000"/>
              <w:right w:val="single" w:sz="7" w:space="0" w:color="000000"/>
            </w:tcBorders>
          </w:tcPr>
          <w:p w:rsidR="00256946" w:rsidRDefault="00256946" w:rsidP="00256946">
            <w:pPr>
              <w:spacing w:line="120" w:lineRule="exact"/>
              <w:rPr>
                <w:color w:val="000000"/>
              </w:rPr>
            </w:pPr>
          </w:p>
          <w:p w:rsidR="00256946" w:rsidRDefault="0025694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r w:rsidR="00256946">
        <w:trPr>
          <w:jc w:val="center"/>
        </w:trPr>
        <w:tc>
          <w:tcPr>
            <w:tcW w:w="9360" w:type="dxa"/>
            <w:tcBorders>
              <w:top w:val="single" w:sz="7" w:space="0" w:color="000000"/>
              <w:left w:val="single" w:sz="7" w:space="0" w:color="000000"/>
              <w:bottom w:val="single" w:sz="7" w:space="0" w:color="000000"/>
              <w:right w:val="single" w:sz="7" w:space="0" w:color="000000"/>
            </w:tcBorders>
          </w:tcPr>
          <w:p w:rsidR="00256946" w:rsidRDefault="00256946" w:rsidP="00256946">
            <w:pPr>
              <w:rPr>
                <w:color w:val="000000"/>
              </w:rPr>
            </w:pPr>
            <w:r>
              <w:rPr>
                <w:color w:val="000000"/>
              </w:rPr>
              <w:t>Train personnel on CERMS operation and maintenance.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256946" w:rsidTr="00256946">
        <w:tc>
          <w:tcPr>
            <w:tcW w:w="9360" w:type="dxa"/>
            <w:tcBorders>
              <w:top w:val="single" w:sz="7" w:space="0" w:color="000000"/>
              <w:left w:val="single" w:sz="7" w:space="0" w:color="000000"/>
              <w:bottom w:val="single" w:sz="6" w:space="0" w:color="FFFFFF"/>
              <w:right w:val="single" w:sz="7" w:space="0" w:color="000000"/>
            </w:tcBorders>
            <w:vAlign w:val="center"/>
          </w:tcPr>
          <w:p w:rsidR="00CC3A20" w:rsidRDefault="00256946">
            <w:pPr>
              <w:rPr>
                <w:color w:val="000000"/>
              </w:rPr>
            </w:pPr>
            <w:r w:rsidRPr="0041318E">
              <w:t>Observe initial performance tests.</w:t>
            </w:r>
          </w:p>
        </w:tc>
      </w:tr>
      <w:tr w:rsidR="00256946">
        <w:tc>
          <w:tcPr>
            <w:tcW w:w="9360" w:type="dxa"/>
            <w:tcBorders>
              <w:top w:val="single" w:sz="7" w:space="0" w:color="000000"/>
              <w:left w:val="single" w:sz="7" w:space="0" w:color="000000"/>
              <w:bottom w:val="single" w:sz="6" w:space="0" w:color="FFFFFF"/>
              <w:right w:val="single" w:sz="7" w:space="0" w:color="000000"/>
            </w:tcBorders>
          </w:tcPr>
          <w:p w:rsidR="00256946" w:rsidRDefault="00256946">
            <w:pPr>
              <w:spacing w:line="120" w:lineRule="exact"/>
              <w:rPr>
                <w:color w:val="000000"/>
              </w:rPr>
            </w:pPr>
          </w:p>
          <w:p w:rsidR="00256946" w:rsidRDefault="0025694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256946">
        <w:tc>
          <w:tcPr>
            <w:tcW w:w="9360" w:type="dxa"/>
            <w:tcBorders>
              <w:top w:val="single" w:sz="7" w:space="0" w:color="000000"/>
              <w:left w:val="single" w:sz="7" w:space="0" w:color="000000"/>
              <w:bottom w:val="single" w:sz="6" w:space="0" w:color="FFFFFF"/>
              <w:right w:val="single" w:sz="7" w:space="0" w:color="000000"/>
            </w:tcBorders>
          </w:tcPr>
          <w:p w:rsidR="00256946" w:rsidRDefault="00256946">
            <w:pPr>
              <w:spacing w:line="120" w:lineRule="exact"/>
              <w:rPr>
                <w:color w:val="000000"/>
              </w:rPr>
            </w:pPr>
          </w:p>
          <w:p w:rsidR="00256946" w:rsidRDefault="0025694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256946">
        <w:tc>
          <w:tcPr>
            <w:tcW w:w="9360" w:type="dxa"/>
            <w:tcBorders>
              <w:top w:val="single" w:sz="7" w:space="0" w:color="000000"/>
              <w:left w:val="single" w:sz="7" w:space="0" w:color="000000"/>
              <w:bottom w:val="single" w:sz="7" w:space="0" w:color="000000"/>
              <w:right w:val="single" w:sz="7" w:space="0" w:color="000000"/>
            </w:tcBorders>
          </w:tcPr>
          <w:p w:rsidR="00256946" w:rsidRDefault="00256946">
            <w:pPr>
              <w:spacing w:line="120" w:lineRule="exact"/>
              <w:rPr>
                <w:color w:val="000000"/>
              </w:rPr>
            </w:pPr>
          </w:p>
          <w:p w:rsidR="00256946" w:rsidRDefault="0025694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Integrated Compliance Information System (ICIS) and ECHO. </w:t>
            </w:r>
          </w:p>
        </w:tc>
      </w:tr>
    </w:tbl>
    <w:p w:rsidR="00603D7E" w:rsidRDefault="00603D7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D774C" w:rsidRDefault="00CA4CD6">
      <w:pPr>
        <w:pBdr>
          <w:top w:val="single" w:sz="6" w:space="0" w:color="FFFFFF"/>
          <w:left w:val="single" w:sz="6" w:space="0" w:color="FFFFFF"/>
          <w:bottom w:val="single" w:sz="6" w:space="0" w:color="FFFFFF"/>
          <w:right w:val="single" w:sz="6" w:space="0" w:color="FFFFFF"/>
        </w:pBdr>
        <w:ind w:firstLine="720"/>
      </w:pPr>
      <w:r w:rsidRPr="00ED774C">
        <w:t xml:space="preserve">Following notification of startup, the reviewing authority </w:t>
      </w:r>
      <w:r w:rsidR="002B29A7" w:rsidRPr="00ED774C">
        <w:t xml:space="preserve">could </w:t>
      </w:r>
      <w:r w:rsidRPr="00ED774C">
        <w:t>inspect the source to determine whether the pollution control devices are properly installed and operated.</w:t>
      </w:r>
      <w:r w:rsidR="00256946" w:rsidRPr="00ED774C">
        <w:t xml:space="preserve"> </w:t>
      </w:r>
      <w:r w:rsidRPr="00ED774C">
        <w:t>Performance test reports are used by the Agency to discern a source</w:t>
      </w:r>
      <w:r w:rsidR="004C701D" w:rsidRPr="00ED774C">
        <w:t>’</w:t>
      </w:r>
      <w:r w:rsidRPr="00ED774C">
        <w:t xml:space="preserve">s initial capability to comply with the emission standard. Data and records maintained by the respondents are tabulated and published for use in compliance and enforcement programs. The reports </w:t>
      </w:r>
      <w:r w:rsidR="00256946" w:rsidRPr="00ED774C">
        <w:t xml:space="preserve">of noncompliance </w:t>
      </w:r>
      <w:r w:rsidRPr="00ED774C">
        <w:t>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w:t>
      </w:r>
      <w:r w:rsidR="00423692">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2159E">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256946" w:rsidRDefault="00256946" w:rsidP="002569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Most, if not all, of the anticipated new sources will be large entities (e.g., large businesses). </w:t>
      </w:r>
      <w:r w:rsidR="00ED774C">
        <w:t xml:space="preserve"> </w:t>
      </w:r>
      <w:r>
        <w:t xml:space="preserve">However, the impact on potential small entities (i.e., small business) was taken into consideration during the development of the regulation. </w:t>
      </w:r>
      <w:r w:rsidR="00ED774C">
        <w:t xml:space="preserve"> </w:t>
      </w:r>
      <w:r>
        <w:t xml:space="preserve">Due to technical considerations involving the process operation and the types of control equipment employed, the recordkeeping and reporting requirements are the same for both small and large entities. </w:t>
      </w:r>
      <w:r w:rsidR="00ED774C">
        <w:t xml:space="preserve"> </w:t>
      </w:r>
      <w:r>
        <w:t xml:space="preserve">The agency considers these requirements the minimum needed to ensure compliance and, therefore, cannot reduce them further for small entities. </w:t>
      </w:r>
      <w:r w:rsidR="00ED774C">
        <w:t xml:space="preserve"> </w:t>
      </w:r>
      <w:r>
        <w:t>To the extent that larger business can use economies of scale to reduce their burden, the overall burden will be reduced.</w:t>
      </w:r>
    </w:p>
    <w:p w:rsidR="00CA4CD6" w:rsidRDefault="00256946">
      <w:pPr>
        <w:pBdr>
          <w:top w:val="single" w:sz="6" w:space="0" w:color="FFFFFF"/>
          <w:left w:val="single" w:sz="6" w:space="0" w:color="FFFFFF"/>
          <w:bottom w:val="single" w:sz="6" w:space="0" w:color="FFFFFF"/>
          <w:right w:val="single" w:sz="6" w:space="0" w:color="FFFFFF"/>
        </w:pBdr>
        <w:rPr>
          <w:b/>
          <w:bCs/>
          <w:color w:val="000000"/>
        </w:rPr>
      </w:pPr>
      <w:r w:rsidRPr="003F1AFC" w:rsidDel="00256946">
        <w:rPr>
          <w:color w:val="FF0000"/>
        </w:rPr>
        <w:t xml:space="preserve"> </w:t>
      </w: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5(d</w:t>
      </w:r>
      <w:proofErr w:type="gramStart"/>
      <w:r>
        <w:rPr>
          <w:b/>
          <w:bCs/>
          <w:color w:val="000000"/>
        </w:rPr>
        <w:t>)  Collection</w:t>
      </w:r>
      <w:proofErr w:type="gramEnd"/>
      <w:r>
        <w:rPr>
          <w:b/>
          <w:bCs/>
          <w:color w:val="000000"/>
        </w:rPr>
        <w:t xml:space="preserve"> Schedule</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pPr>
        <w:pBdr>
          <w:top w:val="single" w:sz="6" w:space="0" w:color="FFFFFF"/>
          <w:left w:val="single" w:sz="6" w:space="0" w:color="FFFFFF"/>
          <w:bottom w:val="single" w:sz="6" w:space="0" w:color="FFFFFF"/>
          <w:right w:val="single" w:sz="6" w:space="0" w:color="FFFFFF"/>
        </w:pBdr>
        <w:ind w:firstLine="720"/>
        <w:rPr>
          <w:b/>
          <w:bCs/>
        </w:rPr>
      </w:pPr>
      <w:r w:rsidRPr="00F02524">
        <w:t xml:space="preserve">The specific frequency for each information collection activity within this request is shown </w:t>
      </w:r>
      <w:r w:rsidR="00F175BE" w:rsidRPr="00F175BE">
        <w:t xml:space="preserve">below </w:t>
      </w:r>
      <w:r w:rsidRPr="00F02524">
        <w:t xml:space="preserve">in Table 1: </w:t>
      </w:r>
      <w:r w:rsidR="00CF2B37" w:rsidRPr="00F02524">
        <w:t>Annual Respondent Burden and Cost –</w:t>
      </w:r>
      <w:r w:rsidRPr="00F02524">
        <w:t xml:space="preserve"> </w:t>
      </w:r>
      <w:r w:rsidR="009D49DD" w:rsidRPr="00F02524">
        <w:rPr>
          <w:bCs/>
        </w:rPr>
        <w:t>NSPS for Nitric Acid Plants for which Construction, Reconstruction or Modification Commenced after October 14, 2011 (40 CFR Part 60, Subpart Ga) (Renewal)</w:t>
      </w:r>
      <w:r w:rsidRPr="00F02524">
        <w:t>.</w:t>
      </w:r>
      <w:r w:rsidR="00ED774C" w:rsidRPr="00F02524">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A0689D">
        <w:rPr>
          <w:color w:val="000000"/>
        </w:rPr>
        <w:t>-</w:t>
      </w:r>
      <w:r>
        <w:rPr>
          <w:color w:val="000000"/>
        </w:rPr>
        <w:t>keeping and reporting requirement</w:t>
      </w:r>
      <w:r w:rsidR="004C701D">
        <w:rPr>
          <w:color w:val="000000"/>
        </w:rPr>
        <w:t xml:space="preserve">s is estimated to be </w:t>
      </w:r>
      <w:r w:rsidR="00ED774C">
        <w:rPr>
          <w:color w:val="000000"/>
        </w:rPr>
        <w:t>1,3</w:t>
      </w:r>
      <w:r w:rsidR="00A0689D">
        <w:rPr>
          <w:color w:val="000000"/>
        </w:rPr>
        <w:t>70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w:t>
      </w:r>
      <w:r w:rsidRPr="00ED774C">
        <w:t>ce with the NSPS</w:t>
      </w:r>
      <w:r w:rsidR="004D61D4" w:rsidRPr="00ED774C">
        <w:t xml:space="preserve"> </w:t>
      </w:r>
      <w:r w:rsidRPr="00ED774C">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81579D">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rsidR="00ED774C" w:rsidRDefault="00ED774C"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Pr="00ED774C" w:rsidRDefault="00CA4CD6">
      <w:pPr>
        <w:pBdr>
          <w:top w:val="single" w:sz="6" w:space="0" w:color="FFFFFF"/>
          <w:left w:val="single" w:sz="6" w:space="0" w:color="FFFFFF"/>
          <w:bottom w:val="single" w:sz="6" w:space="0" w:color="FFFFFF"/>
          <w:right w:val="single" w:sz="6" w:space="0" w:color="FFFFFF"/>
        </w:pBdr>
        <w:ind w:firstLine="720"/>
      </w:pPr>
      <w:r w:rsidRPr="00ED774C">
        <w:t>The type of industry costs associated with the information collection activities in the subject standard are both labor costs which are addressed elsewhere in this ICR and the costs associated with continuous monitoring.  Th</w:t>
      </w:r>
      <w:r w:rsidR="00ED774C" w:rsidRPr="00ED774C">
        <w:t>e capital/startup costs are one-</w:t>
      </w:r>
      <w:r w:rsidRPr="00ED774C">
        <w:t>time costs when a facility becomes subject to the regulation.  The annual operation and maintenance costs are the ongoing costs to maintain the monitor and other costs such as photocopying and postage.</w:t>
      </w:r>
    </w:p>
    <w:p w:rsidR="00694F70" w:rsidRDefault="00694F7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5000" w:type="pct"/>
        <w:tblCellMar>
          <w:left w:w="111" w:type="dxa"/>
          <w:right w:w="111" w:type="dxa"/>
        </w:tblCellMar>
        <w:tblLook w:val="0000" w:firstRow="0" w:lastRow="0" w:firstColumn="0" w:lastColumn="0" w:noHBand="0" w:noVBand="0"/>
      </w:tblPr>
      <w:tblGrid>
        <w:gridCol w:w="1743"/>
        <w:gridCol w:w="1433"/>
        <w:gridCol w:w="1245"/>
        <w:gridCol w:w="1433"/>
        <w:gridCol w:w="1167"/>
        <w:gridCol w:w="1245"/>
        <w:gridCol w:w="1076"/>
      </w:tblGrid>
      <w:tr w:rsidR="00A73600" w:rsidRPr="00656193" w:rsidTr="005B6219">
        <w:trPr>
          <w:tblHeader/>
        </w:trPr>
        <w:tc>
          <w:tcPr>
            <w:tcW w:w="5000" w:type="pct"/>
            <w:gridSpan w:val="7"/>
            <w:tcBorders>
              <w:top w:val="single" w:sz="7" w:space="0" w:color="000000"/>
              <w:left w:val="single" w:sz="7" w:space="0" w:color="000000"/>
              <w:bottom w:val="single" w:sz="6" w:space="0" w:color="FFFFFF"/>
              <w:right w:val="single" w:sz="7" w:space="0" w:color="000000"/>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656193">
              <w:rPr>
                <w:b/>
                <w:bCs/>
                <w:color w:val="000000"/>
                <w:sz w:val="20"/>
                <w:szCs w:val="20"/>
              </w:rPr>
              <w:t>Capital/Startup vs. Operation and Maintenance (O&amp;M) Costs</w:t>
            </w:r>
          </w:p>
        </w:tc>
      </w:tr>
      <w:tr w:rsidR="00CA4CD6" w:rsidRPr="00656193" w:rsidTr="005B6219">
        <w:tc>
          <w:tcPr>
            <w:tcW w:w="976"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b/>
                <w:bCs/>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(A)</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Continuous Monitoring Device</w:t>
            </w:r>
          </w:p>
        </w:tc>
        <w:tc>
          <w:tcPr>
            <w:tcW w:w="748"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(B)</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Capital/Startup Cost for One Respondent</w:t>
            </w:r>
          </w:p>
        </w:tc>
        <w:tc>
          <w:tcPr>
            <w:tcW w:w="650"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(C)</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 xml:space="preserve">Number of New Respondents </w:t>
            </w:r>
          </w:p>
        </w:tc>
        <w:tc>
          <w:tcPr>
            <w:tcW w:w="748"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(D)</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Total Capital/Startup Cost,  (B X C)</w:t>
            </w:r>
          </w:p>
        </w:tc>
        <w:tc>
          <w:tcPr>
            <w:tcW w:w="609"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(E)</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Annual O&amp;M Costs for One Respondent</w:t>
            </w:r>
          </w:p>
        </w:tc>
        <w:tc>
          <w:tcPr>
            <w:tcW w:w="650" w:type="pct"/>
            <w:tcBorders>
              <w:top w:val="single" w:sz="7" w:space="0" w:color="000000"/>
              <w:left w:val="single" w:sz="7" w:space="0" w:color="000000"/>
              <w:bottom w:val="single" w:sz="6" w:space="0" w:color="FFFFFF"/>
              <w:right w:val="single" w:sz="6" w:space="0" w:color="FFFFFF"/>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(F)</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Number of Respondents  with O&amp;M</w:t>
            </w:r>
          </w:p>
        </w:tc>
        <w:tc>
          <w:tcPr>
            <w:tcW w:w="619" w:type="pct"/>
            <w:tcBorders>
              <w:top w:val="single" w:sz="7" w:space="0" w:color="000000"/>
              <w:left w:val="single" w:sz="7" w:space="0" w:color="000000"/>
              <w:bottom w:val="single" w:sz="6" w:space="0" w:color="FFFFFF"/>
              <w:right w:val="single" w:sz="7" w:space="0" w:color="000000"/>
            </w:tcBorders>
          </w:tcPr>
          <w:p w:rsidR="00CA4CD6" w:rsidRPr="00656193" w:rsidRDefault="00CA4CD6" w:rsidP="006C76DE">
            <w:pPr>
              <w:keepNext/>
              <w:keepLines/>
              <w:spacing w:line="120" w:lineRule="exact"/>
              <w:rPr>
                <w:color w:val="000000"/>
                <w:sz w:val="20"/>
                <w:szCs w:val="20"/>
              </w:rPr>
            </w:pP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(G)</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Total O&amp;M,</w:t>
            </w:r>
          </w:p>
          <w:p w:rsidR="00CA4CD6" w:rsidRPr="00656193" w:rsidRDefault="00CA4CD6" w:rsidP="006C76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656193">
              <w:rPr>
                <w:color w:val="000000"/>
                <w:sz w:val="20"/>
                <w:szCs w:val="20"/>
              </w:rPr>
              <w:t>(E X F)</w:t>
            </w:r>
          </w:p>
        </w:tc>
      </w:tr>
      <w:tr w:rsidR="00656193" w:rsidRPr="00656193" w:rsidTr="00656193">
        <w:tc>
          <w:tcPr>
            <w:tcW w:w="976" w:type="pct"/>
            <w:tcBorders>
              <w:top w:val="single" w:sz="7" w:space="0" w:color="000000"/>
              <w:left w:val="single" w:sz="7" w:space="0" w:color="000000"/>
              <w:bottom w:val="single" w:sz="7" w:space="0" w:color="000000"/>
              <w:right w:val="single" w:sz="6" w:space="0" w:color="FFFFFF"/>
            </w:tcBorders>
            <w:vAlign w:val="bottom"/>
          </w:tcPr>
          <w:p w:rsidR="00656193" w:rsidRPr="00656193" w:rsidRDefault="00656193" w:rsidP="006C76DE">
            <w:pPr>
              <w:keepNext/>
              <w:keepLines/>
              <w:rPr>
                <w:color w:val="000000"/>
                <w:sz w:val="20"/>
                <w:szCs w:val="20"/>
              </w:rPr>
            </w:pPr>
            <w:r w:rsidRPr="00656193">
              <w:rPr>
                <w:color w:val="000000"/>
                <w:sz w:val="20"/>
                <w:szCs w:val="20"/>
              </w:rPr>
              <w:t>NOX CERMS and flow meter</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$136,174</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1.2</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$163,409</w:t>
            </w:r>
          </w:p>
        </w:tc>
        <w:tc>
          <w:tcPr>
            <w:tcW w:w="609"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$9,787</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6</w:t>
            </w:r>
          </w:p>
        </w:tc>
        <w:tc>
          <w:tcPr>
            <w:tcW w:w="619" w:type="pct"/>
            <w:tcBorders>
              <w:top w:val="single" w:sz="7" w:space="0" w:color="000000"/>
              <w:left w:val="single" w:sz="7" w:space="0" w:color="000000"/>
              <w:bottom w:val="single" w:sz="7" w:space="0" w:color="000000"/>
              <w:right w:val="single" w:sz="7" w:space="0" w:color="000000"/>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$58,720</w:t>
            </w:r>
          </w:p>
        </w:tc>
      </w:tr>
      <w:tr w:rsidR="00656193" w:rsidRPr="00656193" w:rsidTr="00656193">
        <w:tc>
          <w:tcPr>
            <w:tcW w:w="976" w:type="pct"/>
            <w:tcBorders>
              <w:top w:val="single" w:sz="7" w:space="0" w:color="000000"/>
              <w:left w:val="single" w:sz="7" w:space="0" w:color="000000"/>
              <w:bottom w:val="single" w:sz="7" w:space="0" w:color="000000"/>
              <w:right w:val="single" w:sz="6" w:space="0" w:color="FFFFFF"/>
            </w:tcBorders>
            <w:vAlign w:val="bottom"/>
          </w:tcPr>
          <w:p w:rsidR="00656193" w:rsidRPr="00656193" w:rsidRDefault="00656193" w:rsidP="006C76DE">
            <w:pPr>
              <w:keepNext/>
              <w:keepLines/>
              <w:rPr>
                <w:color w:val="000000"/>
                <w:sz w:val="20"/>
                <w:szCs w:val="20"/>
              </w:rPr>
            </w:pPr>
            <w:r w:rsidRPr="00656193">
              <w:rPr>
                <w:color w:val="000000"/>
                <w:sz w:val="20"/>
                <w:szCs w:val="20"/>
              </w:rPr>
              <w:t>Initial CERMS testing</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$15,019</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1.2</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$18,023</w:t>
            </w:r>
          </w:p>
        </w:tc>
        <w:tc>
          <w:tcPr>
            <w:tcW w:w="609"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19" w:type="pct"/>
            <w:tcBorders>
              <w:top w:val="single" w:sz="7" w:space="0" w:color="000000"/>
              <w:left w:val="single" w:sz="7" w:space="0" w:color="000000"/>
              <w:bottom w:val="single" w:sz="7" w:space="0" w:color="000000"/>
              <w:right w:val="single" w:sz="7" w:space="0" w:color="000000"/>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r>
      <w:tr w:rsidR="00656193" w:rsidRPr="00656193" w:rsidTr="00656193">
        <w:tc>
          <w:tcPr>
            <w:tcW w:w="976" w:type="pct"/>
            <w:tcBorders>
              <w:top w:val="single" w:sz="7" w:space="0" w:color="000000"/>
              <w:left w:val="single" w:sz="7" w:space="0" w:color="000000"/>
              <w:right w:val="single" w:sz="6" w:space="0" w:color="FFFFFF"/>
            </w:tcBorders>
            <w:vAlign w:val="bottom"/>
          </w:tcPr>
          <w:p w:rsidR="00656193" w:rsidRPr="00656193" w:rsidRDefault="00656193" w:rsidP="006C76DE">
            <w:pPr>
              <w:keepNext/>
              <w:keepLines/>
              <w:rPr>
                <w:color w:val="000000"/>
                <w:sz w:val="20"/>
                <w:szCs w:val="20"/>
              </w:rPr>
            </w:pPr>
            <w:r w:rsidRPr="00656193">
              <w:rPr>
                <w:color w:val="000000"/>
                <w:sz w:val="20"/>
                <w:szCs w:val="20"/>
              </w:rPr>
              <w:t>Initial flow meter testing</w:t>
            </w:r>
          </w:p>
        </w:tc>
        <w:tc>
          <w:tcPr>
            <w:tcW w:w="748"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$6,229</w:t>
            </w:r>
          </w:p>
        </w:tc>
        <w:tc>
          <w:tcPr>
            <w:tcW w:w="650"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1.2</w:t>
            </w:r>
          </w:p>
        </w:tc>
        <w:tc>
          <w:tcPr>
            <w:tcW w:w="748"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$7,475</w:t>
            </w:r>
          </w:p>
        </w:tc>
        <w:tc>
          <w:tcPr>
            <w:tcW w:w="609"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19" w:type="pct"/>
            <w:tcBorders>
              <w:top w:val="single" w:sz="7" w:space="0" w:color="000000"/>
              <w:left w:val="single" w:sz="7" w:space="0" w:color="000000"/>
              <w:bottom w:val="single" w:sz="7" w:space="0" w:color="000000"/>
              <w:right w:val="single" w:sz="7" w:space="0" w:color="000000"/>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r>
      <w:tr w:rsidR="00656193" w:rsidRPr="00656193" w:rsidTr="00656193">
        <w:tc>
          <w:tcPr>
            <w:tcW w:w="976" w:type="pct"/>
            <w:tcBorders>
              <w:top w:val="single" w:sz="7" w:space="0" w:color="000000"/>
              <w:left w:val="single" w:sz="7" w:space="0" w:color="000000"/>
              <w:right w:val="single" w:sz="6" w:space="0" w:color="FFFFFF"/>
            </w:tcBorders>
            <w:vAlign w:val="bottom"/>
          </w:tcPr>
          <w:p w:rsidR="00656193" w:rsidRPr="00656193" w:rsidRDefault="00BD0838" w:rsidP="006C76DE">
            <w:pPr>
              <w:keepNext/>
              <w:keepLines/>
              <w:rPr>
                <w:color w:val="000000"/>
                <w:sz w:val="20"/>
                <w:szCs w:val="20"/>
              </w:rPr>
            </w:pPr>
            <w:r>
              <w:rPr>
                <w:color w:val="000000"/>
                <w:sz w:val="20"/>
                <w:szCs w:val="20"/>
              </w:rPr>
              <w:t>File c</w:t>
            </w:r>
            <w:r w:rsidRPr="00656193">
              <w:rPr>
                <w:color w:val="000000"/>
                <w:sz w:val="20"/>
                <w:szCs w:val="20"/>
              </w:rPr>
              <w:t>abinet</w:t>
            </w:r>
            <w:r>
              <w:rPr>
                <w:color w:val="000000"/>
                <w:sz w:val="20"/>
                <w:szCs w:val="20"/>
              </w:rPr>
              <w:t xml:space="preserve"> </w:t>
            </w:r>
            <w:r w:rsidRPr="00BD0838">
              <w:rPr>
                <w:color w:val="000000"/>
                <w:sz w:val="20"/>
                <w:szCs w:val="20"/>
                <w:vertAlign w:val="superscript"/>
              </w:rPr>
              <w:t>1</w:t>
            </w:r>
          </w:p>
        </w:tc>
        <w:tc>
          <w:tcPr>
            <w:tcW w:w="748"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50"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748" w:type="pct"/>
            <w:tcBorders>
              <w:top w:val="single" w:sz="7" w:space="0" w:color="000000"/>
              <w:left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 </w:t>
            </w:r>
          </w:p>
        </w:tc>
        <w:tc>
          <w:tcPr>
            <w:tcW w:w="609"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$43</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6</w:t>
            </w:r>
          </w:p>
        </w:tc>
        <w:tc>
          <w:tcPr>
            <w:tcW w:w="619" w:type="pct"/>
            <w:tcBorders>
              <w:top w:val="single" w:sz="7" w:space="0" w:color="000000"/>
              <w:left w:val="single" w:sz="7" w:space="0" w:color="000000"/>
              <w:bottom w:val="single" w:sz="7" w:space="0" w:color="000000"/>
              <w:right w:val="single" w:sz="7" w:space="0" w:color="000000"/>
            </w:tcBorders>
            <w:vAlign w:val="center"/>
          </w:tcPr>
          <w:p w:rsidR="00656193" w:rsidRPr="00656193" w:rsidRDefault="00656193" w:rsidP="006C76DE">
            <w:pPr>
              <w:keepNext/>
              <w:keepLines/>
              <w:jc w:val="right"/>
              <w:rPr>
                <w:color w:val="000000"/>
                <w:sz w:val="20"/>
                <w:szCs w:val="20"/>
              </w:rPr>
            </w:pPr>
            <w:r w:rsidRPr="00656193">
              <w:rPr>
                <w:color w:val="000000"/>
                <w:sz w:val="20"/>
                <w:szCs w:val="20"/>
              </w:rPr>
              <w:t>$258</w:t>
            </w:r>
          </w:p>
        </w:tc>
      </w:tr>
      <w:tr w:rsidR="00656193" w:rsidRPr="00656193" w:rsidTr="00656193">
        <w:trPr>
          <w:trHeight w:val="415"/>
        </w:trPr>
        <w:tc>
          <w:tcPr>
            <w:tcW w:w="976" w:type="pct"/>
            <w:tcBorders>
              <w:top w:val="single" w:sz="7" w:space="0" w:color="000000"/>
              <w:left w:val="single" w:sz="7" w:space="0" w:color="000000"/>
              <w:bottom w:val="single" w:sz="7" w:space="0" w:color="000000"/>
              <w:right w:val="single" w:sz="6" w:space="0" w:color="FFFFFF"/>
            </w:tcBorders>
            <w:vAlign w:val="bottom"/>
          </w:tcPr>
          <w:p w:rsidR="00656193" w:rsidRPr="00656193" w:rsidRDefault="00656193" w:rsidP="006C76DE">
            <w:pPr>
              <w:keepNext/>
              <w:keepLines/>
              <w:rPr>
                <w:b/>
                <w:bCs/>
                <w:color w:val="000000"/>
                <w:sz w:val="20"/>
                <w:szCs w:val="20"/>
              </w:rPr>
            </w:pPr>
            <w:r w:rsidRPr="00656193">
              <w:rPr>
                <w:b/>
                <w:bCs/>
                <w:color w:val="000000"/>
                <w:sz w:val="20"/>
                <w:szCs w:val="20"/>
              </w:rPr>
              <w:t>TOTAL</w:t>
            </w:r>
            <w:r w:rsidR="006C76DE">
              <w:rPr>
                <w:b/>
                <w:bCs/>
                <w:color w:val="000000"/>
                <w:sz w:val="20"/>
                <w:szCs w:val="20"/>
              </w:rPr>
              <w:t xml:space="preserve"> (Rounded)</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 </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 </w:t>
            </w:r>
          </w:p>
        </w:tc>
        <w:tc>
          <w:tcPr>
            <w:tcW w:w="748"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$18</w:t>
            </w:r>
            <w:r w:rsidR="006C76DE">
              <w:rPr>
                <w:b/>
                <w:bCs/>
                <w:color w:val="000000"/>
                <w:sz w:val="20"/>
                <w:szCs w:val="20"/>
              </w:rPr>
              <w:t>9</w:t>
            </w:r>
            <w:r w:rsidRPr="00656193">
              <w:rPr>
                <w:b/>
                <w:bCs/>
                <w:color w:val="000000"/>
                <w:sz w:val="20"/>
                <w:szCs w:val="20"/>
              </w:rPr>
              <w:t>,</w:t>
            </w:r>
            <w:r w:rsidR="006C76DE">
              <w:rPr>
                <w:b/>
                <w:bCs/>
                <w:color w:val="000000"/>
                <w:sz w:val="20"/>
                <w:szCs w:val="20"/>
              </w:rPr>
              <w:t>000</w:t>
            </w:r>
          </w:p>
        </w:tc>
        <w:tc>
          <w:tcPr>
            <w:tcW w:w="609"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 </w:t>
            </w:r>
          </w:p>
        </w:tc>
        <w:tc>
          <w:tcPr>
            <w:tcW w:w="650" w:type="pct"/>
            <w:tcBorders>
              <w:top w:val="single" w:sz="7" w:space="0" w:color="000000"/>
              <w:left w:val="single" w:sz="7" w:space="0" w:color="000000"/>
              <w:bottom w:val="single" w:sz="7" w:space="0" w:color="000000"/>
              <w:right w:val="single" w:sz="6" w:space="0" w:color="FFFFFF"/>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 </w:t>
            </w:r>
          </w:p>
        </w:tc>
        <w:tc>
          <w:tcPr>
            <w:tcW w:w="619" w:type="pct"/>
            <w:tcBorders>
              <w:top w:val="single" w:sz="7" w:space="0" w:color="000000"/>
              <w:left w:val="single" w:sz="7" w:space="0" w:color="000000"/>
              <w:bottom w:val="single" w:sz="7" w:space="0" w:color="000000"/>
              <w:right w:val="single" w:sz="7" w:space="0" w:color="000000"/>
            </w:tcBorders>
            <w:vAlign w:val="center"/>
          </w:tcPr>
          <w:p w:rsidR="00656193" w:rsidRPr="00656193" w:rsidRDefault="00656193" w:rsidP="006C76DE">
            <w:pPr>
              <w:keepNext/>
              <w:keepLines/>
              <w:jc w:val="right"/>
              <w:rPr>
                <w:b/>
                <w:bCs/>
                <w:color w:val="000000"/>
                <w:sz w:val="20"/>
                <w:szCs w:val="20"/>
              </w:rPr>
            </w:pPr>
            <w:r w:rsidRPr="00656193">
              <w:rPr>
                <w:b/>
                <w:bCs/>
                <w:color w:val="000000"/>
                <w:sz w:val="20"/>
                <w:szCs w:val="20"/>
              </w:rPr>
              <w:t>$5</w:t>
            </w:r>
            <w:r w:rsidR="006C76DE">
              <w:rPr>
                <w:b/>
                <w:bCs/>
                <w:color w:val="000000"/>
                <w:sz w:val="20"/>
                <w:szCs w:val="20"/>
              </w:rPr>
              <w:t>9</w:t>
            </w:r>
            <w:r w:rsidRPr="00656193">
              <w:rPr>
                <w:b/>
                <w:bCs/>
                <w:color w:val="000000"/>
                <w:sz w:val="20"/>
                <w:szCs w:val="20"/>
              </w:rPr>
              <w:t>,</w:t>
            </w:r>
            <w:r w:rsidR="006C76DE">
              <w:rPr>
                <w:b/>
                <w:bCs/>
                <w:color w:val="000000"/>
                <w:sz w:val="20"/>
                <w:szCs w:val="20"/>
              </w:rPr>
              <w:t>000</w:t>
            </w:r>
          </w:p>
        </w:tc>
      </w:tr>
    </w:tbl>
    <w:p w:rsidR="00CA4CD6" w:rsidRDefault="00733C19">
      <w:pPr>
        <w:pBdr>
          <w:top w:val="single" w:sz="6" w:space="0" w:color="FFFFFF"/>
          <w:left w:val="single" w:sz="6" w:space="0" w:color="FFFFFF"/>
          <w:bottom w:val="single" w:sz="6" w:space="0" w:color="FFFFFF"/>
          <w:right w:val="single" w:sz="6" w:space="0" w:color="FFFFFF"/>
        </w:pBdr>
        <w:rPr>
          <w:sz w:val="16"/>
          <w:szCs w:val="16"/>
        </w:rPr>
      </w:pPr>
      <w:r>
        <w:rPr>
          <w:color w:val="000000"/>
        </w:rPr>
        <w:t xml:space="preserve"> </w:t>
      </w:r>
      <w:r w:rsidRPr="00733C19">
        <w:rPr>
          <w:color w:val="000000"/>
          <w:sz w:val="16"/>
          <w:szCs w:val="16"/>
          <w:vertAlign w:val="superscript"/>
        </w:rPr>
        <w:t>1</w:t>
      </w:r>
      <w:r w:rsidRPr="00733C19">
        <w:rPr>
          <w:sz w:val="16"/>
          <w:szCs w:val="16"/>
        </w:rPr>
        <w:t xml:space="preserve"> </w:t>
      </w:r>
      <w:r w:rsidR="00BD0838">
        <w:rPr>
          <w:sz w:val="16"/>
          <w:szCs w:val="16"/>
        </w:rPr>
        <w:t xml:space="preserve">Included as O&amp;M because the cost is annualized using </w:t>
      </w:r>
      <w:r w:rsidR="00BD0838" w:rsidRPr="00733C19">
        <w:rPr>
          <w:sz w:val="16"/>
          <w:szCs w:val="16"/>
        </w:rPr>
        <w:t>a 7 percent interest rate and a 15</w:t>
      </w:r>
      <w:r w:rsidR="00BD0838" w:rsidRPr="00733C19">
        <w:rPr>
          <w:sz w:val="16"/>
          <w:szCs w:val="16"/>
        </w:rPr>
        <w:noBreakHyphen/>
        <w:t>year life (i.e., CRF of 0.1098)</w:t>
      </w:r>
      <w:r w:rsidR="00BD0838">
        <w:rPr>
          <w:sz w:val="16"/>
          <w:szCs w:val="16"/>
        </w:rPr>
        <w:t xml:space="preserve">. </w:t>
      </w:r>
    </w:p>
    <w:p w:rsidR="006C76DE" w:rsidRDefault="006C76DE">
      <w:pPr>
        <w:pBdr>
          <w:top w:val="single" w:sz="6" w:space="0" w:color="FFFFFF"/>
          <w:left w:val="single" w:sz="6" w:space="0" w:color="FFFFFF"/>
          <w:bottom w:val="single" w:sz="6" w:space="0" w:color="FFFFFF"/>
          <w:right w:val="single" w:sz="6" w:space="0" w:color="FFFFFF"/>
        </w:pBdr>
        <w:rPr>
          <w:sz w:val="16"/>
          <w:szCs w:val="16"/>
        </w:rPr>
      </w:pPr>
      <w:r>
        <w:rPr>
          <w:sz w:val="16"/>
          <w:szCs w:val="16"/>
        </w:rPr>
        <w:t xml:space="preserve">Note: Totals have been rounded to 3 significant digits. Figures may not add exactly due to rounding. </w:t>
      </w:r>
    </w:p>
    <w:p w:rsidR="00733C19" w:rsidRPr="00733C19" w:rsidRDefault="00733C19">
      <w:pPr>
        <w:pBdr>
          <w:top w:val="single" w:sz="6" w:space="0" w:color="FFFFFF"/>
          <w:left w:val="single" w:sz="6" w:space="0" w:color="FFFFFF"/>
          <w:bottom w:val="single" w:sz="6" w:space="0" w:color="FFFFFF"/>
          <w:right w:val="single" w:sz="6" w:space="0" w:color="FFFFFF"/>
        </w:pBdr>
        <w:rPr>
          <w:color w:val="000000"/>
          <w:sz w:val="16"/>
          <w:szCs w:val="16"/>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56193">
        <w:rPr>
          <w:color w:val="000000"/>
        </w:rPr>
        <w:t>18</w:t>
      </w:r>
      <w:r w:rsidR="006C76DE">
        <w:rPr>
          <w:color w:val="000000"/>
        </w:rPr>
        <w:t>9</w:t>
      </w:r>
      <w:r w:rsidR="00656193">
        <w:rPr>
          <w:color w:val="000000"/>
        </w:rPr>
        <w:t>,</w:t>
      </w:r>
      <w:r w:rsidR="006C76DE">
        <w:rPr>
          <w:color w:val="000000"/>
        </w:rPr>
        <w:t>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656193">
        <w:t>are $</w:t>
      </w:r>
      <w:r w:rsidR="00656193" w:rsidRPr="00656193">
        <w:t>5</w:t>
      </w:r>
      <w:r w:rsidR="006C76DE">
        <w:t>9</w:t>
      </w:r>
      <w:r w:rsidR="00656193" w:rsidRPr="00656193">
        <w:t>,</w:t>
      </w:r>
      <w:r w:rsidR="006C76DE">
        <w:t>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BD0838">
        <w:rPr>
          <w:color w:val="000000"/>
        </w:rPr>
        <w:t>$24</w:t>
      </w:r>
      <w:r w:rsidR="006C76DE">
        <w:rPr>
          <w:color w:val="000000"/>
        </w:rPr>
        <w:t>8</w:t>
      </w:r>
      <w:r w:rsidR="00BD0838">
        <w:rPr>
          <w:color w:val="000000"/>
        </w:rPr>
        <w:t>,</w:t>
      </w:r>
      <w:r w:rsidR="006C76DE">
        <w:rPr>
          <w:color w:val="000000"/>
        </w:rPr>
        <w:t>000</w:t>
      </w:r>
      <w:r w:rsidR="00CA4CD6">
        <w:rPr>
          <w:color w:val="000000"/>
        </w:rPr>
        <w:t xml:space="preserve">. </w:t>
      </w:r>
      <w:r w:rsidR="001C5991">
        <w:rPr>
          <w:color w:val="000000"/>
        </w:rPr>
        <w:t xml:space="preserve">  These are</w:t>
      </w:r>
      <w:r w:rsidR="00A0689D">
        <w:rPr>
          <w:color w:val="000000"/>
        </w:rPr>
        <w:t xml:space="preserve"> the costs   of</w:t>
      </w:r>
      <w:r w:rsidR="001C5991">
        <w:rPr>
          <w:color w:val="000000"/>
        </w:rPr>
        <w:t xml:space="preserve"> 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D0838">
        <w:rPr>
          <w:color w:val="000000"/>
        </w:rPr>
        <w:t>2,32</w:t>
      </w:r>
      <w:r w:rsidR="006C76DE">
        <w:rPr>
          <w:color w:val="000000"/>
        </w:rPr>
        <w:t>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w:t>
      </w:r>
      <w:r w:rsidR="00CF2B37" w:rsidRPr="00F02524">
        <w:t>n and Cost –</w:t>
      </w:r>
      <w:r w:rsidR="00144F35" w:rsidRPr="00F02524">
        <w:t xml:space="preserve"> </w:t>
      </w:r>
      <w:r w:rsidR="009D49DD" w:rsidRPr="00F02524">
        <w:rPr>
          <w:bCs/>
        </w:rPr>
        <w:t>NSPS for Nitric Acid Plants for which Construction, Reconstruction or Modification Commenced after October 14, 2011 (40 CFR Part 60, Subpart Ga)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F2903">
        <w:rPr>
          <w:color w:val="000000"/>
        </w:rPr>
        <w:t>4.8</w:t>
      </w:r>
      <w:r>
        <w:rPr>
          <w:color w:val="000000"/>
        </w:rPr>
        <w:t xml:space="preserve"> existing respondents will be subject to the standard.  It is estimated that an additional </w:t>
      </w:r>
      <w:r w:rsidR="00BF2903">
        <w:rPr>
          <w:color w:val="000000"/>
        </w:rPr>
        <w:t xml:space="preserve">1.2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BF2903">
        <w:rPr>
          <w:color w:val="000000"/>
        </w:rPr>
        <w:t xml:space="preserve">6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8779D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779D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w:t>
            </w:r>
            <w:proofErr w:type="spellStart"/>
            <w:r>
              <w:rPr>
                <w:color w:val="000000"/>
                <w:sz w:val="20"/>
                <w:szCs w:val="20"/>
              </w:rPr>
              <w:t>A+B+C-D</w:t>
            </w:r>
            <w:proofErr w:type="spellEnd"/>
            <w:r>
              <w:rPr>
                <w:color w:val="000000"/>
                <w:sz w:val="20"/>
                <w:szCs w:val="20"/>
              </w:rPr>
              <w:t>)</w:t>
            </w:r>
          </w:p>
        </w:tc>
      </w:tr>
      <w:tr w:rsidR="008779D0">
        <w:tc>
          <w:tcPr>
            <w:tcW w:w="900" w:type="dxa"/>
            <w:tcBorders>
              <w:top w:val="single" w:sz="8" w:space="0" w:color="000000"/>
              <w:left w:val="single" w:sz="8" w:space="0" w:color="000000"/>
              <w:bottom w:val="single" w:sz="6" w:space="0" w:color="000000"/>
              <w:right w:val="single" w:sz="6" w:space="0" w:color="000000"/>
            </w:tcBorders>
          </w:tcPr>
          <w:p w:rsidR="008779D0" w:rsidRDefault="008779D0">
            <w:pPr>
              <w:spacing w:line="120" w:lineRule="exact"/>
              <w:rPr>
                <w:color w:val="000000"/>
                <w:sz w:val="20"/>
                <w:szCs w:val="20"/>
              </w:rPr>
            </w:pPr>
          </w:p>
          <w:p w:rsidR="008779D0" w:rsidRDefault="008779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8"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w:t>
            </w:r>
          </w:p>
        </w:tc>
        <w:tc>
          <w:tcPr>
            <w:tcW w:w="2070" w:type="dxa"/>
            <w:tcBorders>
              <w:top w:val="single" w:sz="8"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r>
      <w:tr w:rsidR="008779D0">
        <w:tc>
          <w:tcPr>
            <w:tcW w:w="900" w:type="dxa"/>
            <w:tcBorders>
              <w:top w:val="single" w:sz="6" w:space="0" w:color="000000"/>
              <w:left w:val="single" w:sz="8"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8779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8779D0">
        <w:tc>
          <w:tcPr>
            <w:tcW w:w="900" w:type="dxa"/>
            <w:tcBorders>
              <w:top w:val="single" w:sz="6" w:space="0" w:color="000000"/>
              <w:left w:val="single" w:sz="8"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8779D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8779D0" w:rsidRDefault="008779D0">
            <w:pPr>
              <w:spacing w:line="120" w:lineRule="exact"/>
              <w:rPr>
                <w:color w:val="000000"/>
                <w:sz w:val="18"/>
                <w:szCs w:val="18"/>
              </w:rPr>
            </w:pPr>
          </w:p>
          <w:p w:rsidR="008779D0" w:rsidRDefault="005B621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7.2</w:t>
            </w:r>
          </w:p>
        </w:tc>
      </w:tr>
      <w:tr w:rsidR="008779D0" w:rsidRPr="004213E0">
        <w:tc>
          <w:tcPr>
            <w:tcW w:w="900" w:type="dxa"/>
            <w:tcBorders>
              <w:top w:val="single" w:sz="6" w:space="0" w:color="000000"/>
              <w:left w:val="single" w:sz="8" w:space="0" w:color="000000"/>
              <w:bottom w:val="single" w:sz="8" w:space="0" w:color="000000"/>
              <w:right w:val="single" w:sz="6" w:space="0" w:color="000000"/>
            </w:tcBorders>
          </w:tcPr>
          <w:p w:rsidR="008779D0" w:rsidRPr="004213E0" w:rsidRDefault="008779D0">
            <w:pPr>
              <w:spacing w:line="120" w:lineRule="exact"/>
              <w:rPr>
                <w:sz w:val="18"/>
                <w:szCs w:val="18"/>
              </w:rPr>
            </w:pPr>
          </w:p>
          <w:p w:rsidR="008779D0" w:rsidRPr="004213E0" w:rsidRDefault="008779D0">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8779D0" w:rsidRPr="004213E0" w:rsidRDefault="008779D0">
            <w:pPr>
              <w:spacing w:line="120" w:lineRule="exact"/>
              <w:rPr>
                <w:sz w:val="18"/>
                <w:szCs w:val="18"/>
              </w:rPr>
            </w:pPr>
          </w:p>
          <w:p w:rsidR="008779D0" w:rsidRPr="004213E0" w:rsidRDefault="005B6219">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1.2</w:t>
            </w:r>
          </w:p>
        </w:tc>
        <w:tc>
          <w:tcPr>
            <w:tcW w:w="1282" w:type="dxa"/>
            <w:tcBorders>
              <w:top w:val="single" w:sz="6" w:space="0" w:color="000000"/>
              <w:left w:val="single" w:sz="6" w:space="0" w:color="000000"/>
              <w:bottom w:val="single" w:sz="8" w:space="0" w:color="000000"/>
              <w:right w:val="single" w:sz="6" w:space="0" w:color="000000"/>
            </w:tcBorders>
          </w:tcPr>
          <w:p w:rsidR="008779D0" w:rsidRPr="004213E0" w:rsidRDefault="008779D0">
            <w:pPr>
              <w:spacing w:line="120" w:lineRule="exact"/>
              <w:rPr>
                <w:sz w:val="18"/>
                <w:szCs w:val="18"/>
              </w:rPr>
            </w:pPr>
          </w:p>
          <w:p w:rsidR="008779D0" w:rsidRPr="004213E0" w:rsidRDefault="005B6219">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4.8</w:t>
            </w:r>
          </w:p>
        </w:tc>
        <w:tc>
          <w:tcPr>
            <w:tcW w:w="2070" w:type="dxa"/>
            <w:tcBorders>
              <w:top w:val="single" w:sz="6" w:space="0" w:color="000000"/>
              <w:left w:val="single" w:sz="6" w:space="0" w:color="000000"/>
              <w:bottom w:val="single" w:sz="8" w:space="0" w:color="000000"/>
              <w:right w:val="single" w:sz="6" w:space="0" w:color="000000"/>
            </w:tcBorders>
          </w:tcPr>
          <w:p w:rsidR="008779D0" w:rsidRPr="004213E0" w:rsidRDefault="008779D0">
            <w:pPr>
              <w:spacing w:line="120" w:lineRule="exact"/>
              <w:rPr>
                <w:sz w:val="18"/>
                <w:szCs w:val="18"/>
              </w:rPr>
            </w:pPr>
          </w:p>
          <w:p w:rsidR="008779D0" w:rsidRPr="004213E0" w:rsidRDefault="005B6219">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8779D0" w:rsidRPr="004213E0" w:rsidRDefault="008779D0">
            <w:pPr>
              <w:spacing w:line="120" w:lineRule="exact"/>
              <w:rPr>
                <w:sz w:val="18"/>
                <w:szCs w:val="18"/>
              </w:rPr>
            </w:pPr>
          </w:p>
          <w:p w:rsidR="008779D0" w:rsidRPr="004213E0" w:rsidRDefault="005B6219">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8779D0" w:rsidRPr="004213E0" w:rsidRDefault="008779D0">
            <w:pPr>
              <w:spacing w:line="120" w:lineRule="exact"/>
              <w:rPr>
                <w:sz w:val="18"/>
                <w:szCs w:val="18"/>
              </w:rPr>
            </w:pPr>
          </w:p>
          <w:p w:rsidR="008779D0" w:rsidRPr="004213E0" w:rsidRDefault="005B6219">
            <w:pPr>
              <w:pBdr>
                <w:top w:val="single" w:sz="6" w:space="0" w:color="FFFFFF"/>
                <w:left w:val="single" w:sz="6" w:space="0" w:color="FFFFFF"/>
                <w:bottom w:val="single" w:sz="6" w:space="0" w:color="FFFFFF"/>
                <w:right w:val="single" w:sz="6" w:space="0" w:color="FFFFFF"/>
              </w:pBdr>
              <w:spacing w:after="72"/>
              <w:jc w:val="center"/>
              <w:rPr>
                <w:sz w:val="18"/>
                <w:szCs w:val="18"/>
              </w:rPr>
            </w:pPr>
            <w:r w:rsidRPr="004213E0">
              <w:rPr>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w:t>
      </w:r>
      <w:r w:rsidR="004213E0">
        <w:rPr>
          <w:color w:val="000000"/>
          <w:sz w:val="20"/>
          <w:szCs w:val="20"/>
        </w:rPr>
        <w:t xml:space="preserve"> </w:t>
      </w:r>
      <w:r>
        <w:rPr>
          <w:color w:val="000000"/>
          <w:sz w:val="20"/>
          <w:szCs w:val="20"/>
        </w:rPr>
        <w:t>and modified affected facilities</w:t>
      </w:r>
      <w:r w:rsidR="005B6219">
        <w:rPr>
          <w:color w:val="000000"/>
          <w:sz w:val="20"/>
          <w:szCs w:val="20"/>
        </w:rPr>
        <w:t>.</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rsidP="004213E0">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4213E0">
        <w:rPr>
          <w:color w:val="000000"/>
        </w:rPr>
        <w:t>6</w:t>
      </w:r>
      <w:r w:rsidR="00507EC5">
        <w:rPr>
          <w:color w:val="000000"/>
        </w:rPr>
        <w:t xml:space="preserve">. </w:t>
      </w:r>
    </w:p>
    <w:p w:rsidR="00CA4CD6" w:rsidRDefault="00CA4CD6" w:rsidP="004213E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8779D0">
        <w:trPr>
          <w:tblHeader/>
        </w:trPr>
        <w:tc>
          <w:tcPr>
            <w:tcW w:w="9180" w:type="dxa"/>
            <w:gridSpan w:val="5"/>
          </w:tcPr>
          <w:p w:rsidR="00CA4CD6" w:rsidRDefault="00CA4CD6" w:rsidP="004213E0">
            <w:pPr>
              <w:keepNext/>
              <w:keepLines/>
              <w:spacing w:line="120" w:lineRule="exact"/>
              <w:rPr>
                <w:color w:val="000000"/>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4213E0">
            <w:pPr>
              <w:keepNext/>
              <w:keepLines/>
              <w:spacing w:line="120" w:lineRule="exact"/>
              <w:jc w:val="center"/>
              <w:rPr>
                <w:b/>
                <w:bCs/>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4213E0">
            <w:pPr>
              <w:keepNext/>
              <w:keepLines/>
              <w:spacing w:line="120" w:lineRule="exact"/>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4213E0">
            <w:pPr>
              <w:keepNext/>
              <w:keepLines/>
              <w:spacing w:line="120" w:lineRule="exact"/>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4213E0">
            <w:pPr>
              <w:keepNext/>
              <w:keepLines/>
              <w:spacing w:line="120" w:lineRule="exact"/>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4213E0">
            <w:pPr>
              <w:keepNext/>
              <w:keepLines/>
              <w:spacing w:line="120" w:lineRule="exact"/>
              <w:jc w:val="center"/>
              <w:rPr>
                <w:color w:val="000000"/>
                <w:sz w:val="18"/>
                <w:szCs w:val="18"/>
              </w:rPr>
            </w:pP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4213E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779D0">
        <w:tc>
          <w:tcPr>
            <w:tcW w:w="2700" w:type="dxa"/>
          </w:tcPr>
          <w:p w:rsidR="008779D0" w:rsidRDefault="008779D0" w:rsidP="004213E0">
            <w:pPr>
              <w:keepNext/>
              <w:keepLines/>
              <w:spacing w:line="120" w:lineRule="exact"/>
              <w:rPr>
                <w:color w:val="000000"/>
                <w:sz w:val="18"/>
                <w:szCs w:val="18"/>
              </w:rPr>
            </w:pPr>
          </w:p>
          <w:p w:rsidR="008779D0"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 reconstruction</w:t>
            </w:r>
          </w:p>
        </w:tc>
        <w:tc>
          <w:tcPr>
            <w:tcW w:w="126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2F45D4">
        <w:tc>
          <w:tcPr>
            <w:tcW w:w="2700" w:type="dxa"/>
          </w:tcPr>
          <w:p w:rsidR="002F45D4" w:rsidRDefault="002F45D4" w:rsidP="004213E0">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2F45D4">
        <w:tc>
          <w:tcPr>
            <w:tcW w:w="2700" w:type="dxa"/>
          </w:tcPr>
          <w:p w:rsidR="002F45D4" w:rsidRDefault="002F45D4" w:rsidP="004213E0">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physical or operational change</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2F45D4">
        <w:tc>
          <w:tcPr>
            <w:tcW w:w="2700" w:type="dxa"/>
          </w:tcPr>
          <w:p w:rsidR="002F45D4" w:rsidRDefault="002F45D4" w:rsidP="004213E0">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CERMS demonstration</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F45D4" w:rsidRDefault="002F45D4" w:rsidP="004213E0">
            <w:pPr>
              <w:keepNext/>
              <w:keepLines/>
              <w:spacing w:line="120" w:lineRule="exact"/>
              <w:rPr>
                <w:color w:val="000000"/>
                <w:sz w:val="18"/>
                <w:szCs w:val="18"/>
              </w:rPr>
            </w:pPr>
          </w:p>
          <w:p w:rsid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2F45D4" w:rsidTr="002F45D4">
        <w:tc>
          <w:tcPr>
            <w:tcW w:w="270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performance test</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2F45D4" w:rsidTr="002F45D4">
        <w:tc>
          <w:tcPr>
            <w:tcW w:w="270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performance test</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2F45D4" w:rsidRDefault="002F45D4" w:rsidP="002F45D4">
            <w:pPr>
              <w:keepNext/>
              <w:keepLines/>
              <w:spacing w:line="120" w:lineRule="exact"/>
              <w:rPr>
                <w:color w:val="000000"/>
                <w:sz w:val="18"/>
                <w:szCs w:val="18"/>
              </w:rPr>
            </w:pPr>
          </w:p>
          <w:p w:rsidR="002F45D4" w:rsidRDefault="002F45D4" w:rsidP="002F45D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8779D0">
        <w:tc>
          <w:tcPr>
            <w:tcW w:w="2700" w:type="dxa"/>
          </w:tcPr>
          <w:p w:rsidR="008779D0" w:rsidRDefault="008779D0" w:rsidP="004213E0">
            <w:pPr>
              <w:keepNext/>
              <w:keepLines/>
              <w:spacing w:line="120" w:lineRule="exact"/>
              <w:rPr>
                <w:color w:val="000000"/>
                <w:sz w:val="18"/>
                <w:szCs w:val="18"/>
              </w:rPr>
            </w:pPr>
          </w:p>
          <w:p w:rsidR="008779D0" w:rsidRDefault="002F45D4" w:rsidP="002F45D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NOx noncompliance report</w:t>
            </w:r>
          </w:p>
        </w:tc>
        <w:tc>
          <w:tcPr>
            <w:tcW w:w="126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0.6</w:t>
            </w:r>
          </w:p>
        </w:tc>
        <w:tc>
          <w:tcPr>
            <w:tcW w:w="126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8779D0" w:rsidRDefault="008779D0" w:rsidP="004213E0">
            <w:pPr>
              <w:keepNext/>
              <w:keepLines/>
              <w:spacing w:line="120" w:lineRule="exact"/>
              <w:rPr>
                <w:color w:val="000000"/>
                <w:sz w:val="18"/>
                <w:szCs w:val="18"/>
              </w:rPr>
            </w:pPr>
          </w:p>
          <w:p w:rsidR="008779D0"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0.6</w:t>
            </w:r>
          </w:p>
        </w:tc>
      </w:tr>
      <w:tr w:rsidR="008779D0" w:rsidRPr="002F45D4">
        <w:tc>
          <w:tcPr>
            <w:tcW w:w="2700" w:type="dxa"/>
          </w:tcPr>
          <w:p w:rsidR="008779D0" w:rsidRPr="002F45D4" w:rsidRDefault="008779D0" w:rsidP="004213E0">
            <w:pPr>
              <w:keepNext/>
              <w:keepLines/>
              <w:spacing w:line="120" w:lineRule="exact"/>
              <w:rPr>
                <w:b/>
                <w:sz w:val="18"/>
                <w:szCs w:val="18"/>
              </w:rPr>
            </w:pPr>
          </w:p>
          <w:p w:rsidR="008779D0" w:rsidRPr="002F45D4" w:rsidRDefault="008779D0" w:rsidP="004213E0">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rsidR="008779D0" w:rsidRPr="002F45D4" w:rsidRDefault="008779D0" w:rsidP="004213E0">
            <w:pPr>
              <w:keepNext/>
              <w:keepLines/>
              <w:spacing w:line="120" w:lineRule="exact"/>
              <w:rPr>
                <w:b/>
                <w:sz w:val="18"/>
                <w:szCs w:val="18"/>
              </w:rPr>
            </w:pPr>
          </w:p>
          <w:p w:rsidR="008779D0" w:rsidRPr="002F45D4" w:rsidRDefault="008779D0" w:rsidP="004213E0">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rsidR="008779D0" w:rsidRPr="002F45D4" w:rsidRDefault="008779D0" w:rsidP="004213E0">
            <w:pPr>
              <w:keepNext/>
              <w:keepLines/>
              <w:spacing w:line="120" w:lineRule="exact"/>
              <w:rPr>
                <w:b/>
                <w:sz w:val="18"/>
                <w:szCs w:val="18"/>
              </w:rPr>
            </w:pPr>
          </w:p>
          <w:p w:rsidR="008779D0" w:rsidRPr="002F45D4" w:rsidRDefault="008779D0" w:rsidP="004213E0">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tcPr>
          <w:p w:rsidR="008779D0" w:rsidRPr="002F45D4" w:rsidRDefault="008779D0" w:rsidP="004213E0">
            <w:pPr>
              <w:keepNext/>
              <w:keepLines/>
              <w:spacing w:line="120" w:lineRule="exact"/>
              <w:rPr>
                <w:b/>
                <w:sz w:val="18"/>
                <w:szCs w:val="18"/>
              </w:rPr>
            </w:pPr>
          </w:p>
          <w:p w:rsidR="008779D0" w:rsidRPr="002F45D4" w:rsidRDefault="008779D0" w:rsidP="004213E0">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2F45D4">
              <w:rPr>
                <w:b/>
                <w:sz w:val="18"/>
                <w:szCs w:val="18"/>
              </w:rPr>
              <w:t>Total</w:t>
            </w:r>
          </w:p>
        </w:tc>
        <w:tc>
          <w:tcPr>
            <w:tcW w:w="2070" w:type="dxa"/>
          </w:tcPr>
          <w:p w:rsidR="008779D0" w:rsidRPr="002F45D4" w:rsidRDefault="008779D0" w:rsidP="004213E0">
            <w:pPr>
              <w:keepNext/>
              <w:keepLines/>
              <w:spacing w:line="120" w:lineRule="exact"/>
              <w:rPr>
                <w:b/>
                <w:sz w:val="18"/>
                <w:szCs w:val="18"/>
              </w:rPr>
            </w:pPr>
          </w:p>
          <w:p w:rsidR="008779D0" w:rsidRPr="002F45D4" w:rsidRDefault="002F45D4" w:rsidP="004213E0">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2F45D4">
              <w:rPr>
                <w:b/>
                <w:sz w:val="18"/>
                <w:szCs w:val="18"/>
              </w:rPr>
              <w:t>7.8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D60FD">
        <w:rPr>
          <w:color w:val="000000"/>
        </w:rPr>
        <w:t>8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3D60FD">
        <w:rPr>
          <w:color w:val="000000"/>
        </w:rPr>
        <w:t>$13</w:t>
      </w:r>
      <w:r w:rsidR="006C76DE">
        <w:rPr>
          <w:color w:val="000000"/>
        </w:rPr>
        <w:t>8</w:t>
      </w:r>
      <w:r w:rsidR="003D60FD">
        <w:rPr>
          <w:color w:val="000000"/>
        </w:rPr>
        <w:t>,0</w:t>
      </w:r>
      <w:r w:rsidR="006C76DE">
        <w:rPr>
          <w:color w:val="000000"/>
        </w:rPr>
        <w:t>00</w:t>
      </w:r>
      <w:r>
        <w:rPr>
          <w:color w:val="000000"/>
        </w:rPr>
        <w:t>.</w:t>
      </w:r>
      <w:r w:rsidR="00507EC5">
        <w:rPr>
          <w:color w:val="000000"/>
        </w:rPr>
        <w:t xml:space="preserve">  </w:t>
      </w:r>
      <w:r>
        <w:rPr>
          <w:color w:val="000000"/>
        </w:rPr>
        <w:t>Details regar</w:t>
      </w:r>
      <w:r w:rsidRPr="00F02524">
        <w:t xml:space="preserve">ding these estimates may be found </w:t>
      </w:r>
      <w:r w:rsidR="007A458D" w:rsidRPr="00F02524">
        <w:t xml:space="preserve">below </w:t>
      </w:r>
      <w:r w:rsidR="0035325B" w:rsidRPr="00F02524">
        <w:t>in Table 1:</w:t>
      </w:r>
      <w:r w:rsidRPr="00F02524">
        <w:t xml:space="preserve"> Annual Respondent Burden and Cost</w:t>
      </w:r>
      <w:r w:rsidR="00CF2B37" w:rsidRPr="00F02524">
        <w:t xml:space="preserve"> –</w:t>
      </w:r>
      <w:r w:rsidRPr="00F02524">
        <w:t xml:space="preserve"> </w:t>
      </w:r>
      <w:r w:rsidR="009D49DD" w:rsidRPr="00F02524">
        <w:rPr>
          <w:bCs/>
        </w:rPr>
        <w:t>NSPS for Nitric Acid Plants for which Construction, Reconstruction or Modification Commenced after October 14, 2011 (40 CFR Part 60, Subpart Ga) (Renewal)</w:t>
      </w:r>
      <w:r w:rsidRPr="00F02524">
        <w:t>.</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rPr>
          <w:b/>
          <w:bCs/>
        </w:rPr>
        <w:t>6(e</w:t>
      </w:r>
      <w:proofErr w:type="gramStart"/>
      <w:r w:rsidRPr="00F02524">
        <w:rPr>
          <w:b/>
          <w:bCs/>
        </w:rPr>
        <w:t>)  Bottom</w:t>
      </w:r>
      <w:proofErr w:type="gramEnd"/>
      <w:r w:rsidRPr="00F02524">
        <w:rPr>
          <w:b/>
          <w:bCs/>
        </w:rPr>
        <w:t xml:space="preserve"> Line Burden Hours and Cost Tables</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pPr>
        <w:pBdr>
          <w:top w:val="single" w:sz="6" w:space="0" w:color="FFFFFF"/>
          <w:left w:val="single" w:sz="6" w:space="0" w:color="FFFFFF"/>
          <w:bottom w:val="single" w:sz="6" w:space="0" w:color="FFFFFF"/>
          <w:right w:val="single" w:sz="6" w:space="0" w:color="FFFFFF"/>
        </w:pBdr>
        <w:ind w:firstLine="720"/>
      </w:pPr>
      <w:r w:rsidRPr="00F02524">
        <w:t xml:space="preserve">The detailed bottom line burden hours and cost calculations for the respondents and the Agency are shown in Tables 1 and 2, respectively, and summarized below.  </w:t>
      </w:r>
    </w:p>
    <w:p w:rsidR="00CA4CD6" w:rsidRPr="00F02524" w:rsidRDefault="00CA4CD6">
      <w:pPr>
        <w:pBdr>
          <w:top w:val="single" w:sz="6" w:space="0" w:color="FFFFFF"/>
          <w:left w:val="single" w:sz="6" w:space="0" w:color="FFFFFF"/>
          <w:bottom w:val="single" w:sz="6" w:space="0" w:color="FFFFFF"/>
          <w:right w:val="single" w:sz="6" w:space="0" w:color="FFFFFF"/>
        </w:pBdr>
      </w:pPr>
    </w:p>
    <w:p w:rsidR="00CA4CD6" w:rsidRPr="00F025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02524">
        <w:rPr>
          <w:b/>
          <w:bCs/>
        </w:rPr>
        <w:t>(i) Respondent Tally</w:t>
      </w:r>
    </w:p>
    <w:p w:rsidR="00CA4CD6" w:rsidRPr="00F02524" w:rsidRDefault="00CA4CD6">
      <w:pPr>
        <w:pBdr>
          <w:top w:val="single" w:sz="6" w:space="0" w:color="FFFFFF"/>
          <w:left w:val="single" w:sz="6" w:space="0" w:color="FFFFFF"/>
          <w:bottom w:val="single" w:sz="6" w:space="0" w:color="FFFFFF"/>
          <w:right w:val="single" w:sz="6" w:space="0" w:color="FFFFFF"/>
        </w:pBdr>
      </w:pPr>
    </w:p>
    <w:p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F02524">
        <w:t xml:space="preserve">The total annual labor </w:t>
      </w:r>
      <w:r w:rsidR="002C416A" w:rsidRPr="00F02524">
        <w:t>hours are</w:t>
      </w:r>
      <w:r w:rsidRPr="00F02524">
        <w:t xml:space="preserve"> </w:t>
      </w:r>
      <w:r w:rsidR="003D60FD" w:rsidRPr="00F02524">
        <w:t>1,3</w:t>
      </w:r>
      <w:r w:rsidR="006C76DE">
        <w:t>70</w:t>
      </w:r>
      <w:r w:rsidR="00C15AA0">
        <w:t xml:space="preserve"> hours, at a cost of $138,000 (rounded)</w:t>
      </w:r>
      <w:r w:rsidRPr="00F02524">
        <w:t>.</w:t>
      </w:r>
      <w:r w:rsidR="00507EC5" w:rsidRPr="00F02524">
        <w:t xml:space="preserve"> </w:t>
      </w:r>
      <w:r w:rsidR="00C15AA0">
        <w:t xml:space="preserve">       </w:t>
      </w:r>
      <w:r w:rsidR="00507EC5" w:rsidRPr="00F02524">
        <w:t xml:space="preserve"> </w:t>
      </w:r>
      <w:r w:rsidRPr="00F02524">
        <w:t xml:space="preserve">Details regarding these estimates may be found </w:t>
      </w:r>
      <w:r w:rsidR="00C15AA0">
        <w:t xml:space="preserve">below </w:t>
      </w:r>
      <w:r w:rsidRPr="00F02524">
        <w:t>in Table 1</w:t>
      </w:r>
      <w:r w:rsidR="00C15AA0">
        <w:t xml:space="preserve">: </w:t>
      </w:r>
      <w:r w:rsidRPr="00F02524">
        <w:t xml:space="preserve">Annual Respondent Burden </w:t>
      </w:r>
      <w:r w:rsidR="00C15AA0">
        <w:t xml:space="preserve">          </w:t>
      </w:r>
      <w:r w:rsidRPr="00F02524">
        <w:t>and Cost</w:t>
      </w:r>
      <w:r w:rsidR="00CF2B37" w:rsidRPr="00F02524">
        <w:t xml:space="preserve"> – </w:t>
      </w:r>
      <w:r w:rsidR="009D49DD" w:rsidRPr="00F02524">
        <w:rPr>
          <w:bCs/>
        </w:rPr>
        <w:t xml:space="preserve">NSPS for Nitric Acid Plants for which Construction, Reconstruction or </w:t>
      </w:r>
      <w:r w:rsidR="00C15AA0">
        <w:rPr>
          <w:bCs/>
        </w:rPr>
        <w:t xml:space="preserve">   </w:t>
      </w:r>
      <w:r w:rsidR="009D49DD" w:rsidRPr="00F02524">
        <w:rPr>
          <w:bCs/>
        </w:rPr>
        <w:t>Modification Commenced after October 14, 2011 (40 CFR Part 60, Subpart Ga) (Renewal)</w:t>
      </w:r>
      <w:r w:rsidRPr="00F02524">
        <w:t xml:space="preserve">.  </w:t>
      </w:r>
    </w:p>
    <w:p w:rsidR="006C76DE" w:rsidRDefault="006C76DE" w:rsidP="0021722B">
      <w:pPr>
        <w:pBdr>
          <w:top w:val="single" w:sz="6" w:space="0" w:color="FFFFFF"/>
          <w:left w:val="single" w:sz="6" w:space="0" w:color="FFFFFF"/>
          <w:bottom w:val="single" w:sz="6" w:space="0" w:color="FFFFFF"/>
          <w:right w:val="single" w:sz="6" w:space="0" w:color="FFFFFF"/>
        </w:pBdr>
        <w:ind w:firstLine="720"/>
      </w:pPr>
    </w:p>
    <w:p w:rsidR="006C76DE" w:rsidRPr="006C76DE" w:rsidRDefault="006C76DE" w:rsidP="006C76DE">
      <w:pPr>
        <w:pBdr>
          <w:top w:val="single" w:sz="6" w:space="0" w:color="FFFFFF"/>
          <w:left w:val="single" w:sz="6" w:space="0" w:color="FFFFFF"/>
          <w:bottom w:val="single" w:sz="6" w:space="0" w:color="FFFFFF"/>
          <w:right w:val="single" w:sz="6" w:space="0" w:color="FFFFFF"/>
        </w:pBdr>
        <w:ind w:firstLine="720"/>
      </w:pPr>
      <w:r w:rsidRPr="006C76DE">
        <w:t xml:space="preserve">We assume that burdens for managerial tasks take 5% of the time required for technical tasks because the typical tasks for managers are to review and approve reports.  Clerical burdens </w:t>
      </w:r>
      <w:r w:rsidRPr="006C76DE">
        <w:lastRenderedPageBreak/>
        <w:t xml:space="preserve">are assumed to take 10% of the time required for technical tasks because the typical duties </w:t>
      </w:r>
      <w:r w:rsidR="00C15AA0">
        <w:t xml:space="preserve">        </w:t>
      </w:r>
      <w:r w:rsidRPr="006C76DE">
        <w:t>of clerical staff are to proofread the reports, make copies and maintain records.</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C15AA0">
        <w:rPr>
          <w:color w:val="000000"/>
        </w:rPr>
        <w:t xml:space="preserve">   </w:t>
      </w:r>
      <w:r>
        <w:rPr>
          <w:color w:val="000000"/>
        </w:rPr>
        <w:t xml:space="preserve">of information is estimated to average </w:t>
      </w:r>
      <w:r w:rsidR="003D60FD">
        <w:rPr>
          <w:color w:val="000000"/>
        </w:rPr>
        <w:t>17</w:t>
      </w:r>
      <w:r w:rsidR="00603D7E">
        <w:rPr>
          <w:color w:val="000000"/>
        </w:rPr>
        <w:t>0</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D60FD">
        <w:rPr>
          <w:color w:val="000000"/>
        </w:rPr>
        <w:t>$24</w:t>
      </w:r>
      <w:r w:rsidR="006C76DE">
        <w:rPr>
          <w:color w:val="000000"/>
        </w:rPr>
        <w:t>8</w:t>
      </w:r>
      <w:r w:rsidR="003D60FD">
        <w:rPr>
          <w:color w:val="000000"/>
        </w:rPr>
        <w:t>,</w:t>
      </w:r>
      <w:r w:rsidR="006C76DE">
        <w:rPr>
          <w:color w:val="000000"/>
        </w:rPr>
        <w:t>000</w:t>
      </w:r>
      <w:r w:rsidR="00507EC5">
        <w:rPr>
          <w:color w:val="000000"/>
        </w:rPr>
        <w:t xml:space="preserve">.  </w:t>
      </w:r>
      <w:r w:rsidR="00C15AA0">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F02524"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B36AD">
        <w:rPr>
          <w:color w:val="000000"/>
        </w:rPr>
        <w:t>50</w:t>
      </w:r>
      <w:r>
        <w:rPr>
          <w:color w:val="000000"/>
        </w:rPr>
        <w:t xml:space="preserve"> labor hours at a cost of </w:t>
      </w:r>
      <w:r w:rsidR="00CB36AD">
        <w:rPr>
          <w:color w:val="000000"/>
        </w:rPr>
        <w:t>$2,32</w:t>
      </w:r>
      <w:r w:rsidR="006C76DE">
        <w:rPr>
          <w:color w:val="000000"/>
        </w:rPr>
        <w:t>0</w:t>
      </w:r>
      <w:r w:rsidR="00144F35">
        <w:rPr>
          <w:color w:val="000000"/>
        </w:rPr>
        <w:t xml:space="preserve">.  See Table 2: </w:t>
      </w:r>
      <w:r w:rsidR="00CF2B37" w:rsidRPr="00CF2B37">
        <w:t>Average Annual EPA Burden and</w:t>
      </w:r>
      <w:r w:rsidR="00CF2B37" w:rsidRPr="00F02524">
        <w:t xml:space="preserve"> Cost –</w:t>
      </w:r>
      <w:r w:rsidR="00144F35" w:rsidRPr="00F02524">
        <w:t xml:space="preserve"> </w:t>
      </w:r>
      <w:r w:rsidR="009D49DD" w:rsidRPr="00F02524">
        <w:rPr>
          <w:bCs/>
        </w:rPr>
        <w:t>NSPS for Nitric Acid Plants for which Construction, Reconstruction or Modification Commenced after October 14, 2011 (40 CFR Part 60, Subpart Ga) (Renewal)</w:t>
      </w:r>
      <w:r w:rsidRPr="00F02524">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6C76DE" w:rsidRPr="006C76DE" w:rsidRDefault="006C76DE" w:rsidP="006C76DE">
      <w:pPr>
        <w:pBdr>
          <w:top w:val="single" w:sz="6" w:space="0" w:color="FFFFFF"/>
          <w:left w:val="single" w:sz="6" w:space="0" w:color="FFFFFF"/>
          <w:bottom w:val="single" w:sz="6" w:space="0" w:color="FFFFFF"/>
          <w:right w:val="single" w:sz="6" w:space="0" w:color="FFFFFF"/>
        </w:pBdr>
        <w:ind w:firstLine="720"/>
      </w:pPr>
      <w:r w:rsidRPr="006C76D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6C76DE" w:rsidRDefault="006C76DE">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Pr="00CB36AD" w:rsidRDefault="00CA4CD6">
      <w:pPr>
        <w:pBdr>
          <w:top w:val="single" w:sz="6" w:space="0" w:color="FFFFFF"/>
          <w:left w:val="single" w:sz="6" w:space="0" w:color="FFFFFF"/>
          <w:bottom w:val="single" w:sz="6" w:space="0" w:color="FFFFFF"/>
          <w:right w:val="single" w:sz="6" w:space="0" w:color="FFFFFF"/>
        </w:pBdr>
      </w:pPr>
    </w:p>
    <w:p w:rsidR="00CB36AD" w:rsidRPr="00CB36AD" w:rsidRDefault="00CB36AD">
      <w:pPr>
        <w:pBdr>
          <w:top w:val="single" w:sz="6" w:space="0" w:color="FFFFFF"/>
          <w:left w:val="single" w:sz="6" w:space="0" w:color="FFFFFF"/>
          <w:bottom w:val="single" w:sz="6" w:space="0" w:color="FFFFFF"/>
          <w:right w:val="single" w:sz="6" w:space="0" w:color="FFFFFF"/>
        </w:pBdr>
        <w:ind w:firstLine="720"/>
      </w:pPr>
      <w:r w:rsidRPr="00CB36AD">
        <w:t xml:space="preserve">There is an adjustment increase in the respondent and Agency burden due to an increase in the estimated number of </w:t>
      </w:r>
      <w:r w:rsidR="00D95213">
        <w:t>sources</w:t>
      </w:r>
      <w:r w:rsidRPr="00CB36AD">
        <w:t xml:space="preserve">.  Our research during the rule development indicated an average of 1.2 new sources per year will become subject to the rule.  We assume the industry will continue to grow linearly at this rate. </w:t>
      </w:r>
      <w:r w:rsidR="00D95213">
        <w:t xml:space="preserve"> </w:t>
      </w:r>
      <w:r w:rsidRPr="00CB36AD">
        <w:t xml:space="preserve">This also results in an increase in annual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B36AD">
        <w:rPr>
          <w:color w:val="000000"/>
        </w:rPr>
        <w:t>17</w:t>
      </w:r>
      <w:r w:rsidR="00603D7E">
        <w:rPr>
          <w:color w:val="000000"/>
        </w:rPr>
        <w:t>0</w:t>
      </w:r>
      <w:r w:rsidR="00CB36AD">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bookmarkStart w:id="0" w:name="_GoBack"/>
      <w:bookmarkEnd w:id="0"/>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To comment on the Agency's need for t</w:t>
      </w:r>
      <w:r w:rsidR="00CA4CD6" w:rsidRPr="00F02524">
        <w:t xml:space="preserve">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F02524">
        <w:t>EPA-HQ-OECA-201</w:t>
      </w:r>
      <w:r w:rsidR="00456263" w:rsidRPr="00F02524">
        <w:t>4</w:t>
      </w:r>
      <w:r w:rsidR="0035325B" w:rsidRPr="00F02524">
        <w:t>-</w:t>
      </w:r>
      <w:r w:rsidR="00456263" w:rsidRPr="00F02524">
        <w:t>0103</w:t>
      </w:r>
      <w:r w:rsidR="00354C15" w:rsidRPr="00F02524">
        <w:t>.</w:t>
      </w:r>
      <w:r w:rsidR="00354C15">
        <w:rPr>
          <w:color w:val="FF0000"/>
        </w:rPr>
        <w:t xml:space="preserve">  </w:t>
      </w:r>
      <w:r w:rsidR="00354C15" w:rsidRPr="00354C15">
        <w:t xml:space="preserve">An electronic version of the public docket is available at </w:t>
      </w:r>
      <w:hyperlink r:id="rId8" w:history="1">
        <w:r w:rsidR="00377D7F" w:rsidRPr="0092159E">
          <w:rPr>
            <w:rStyle w:val="Hyperlink"/>
            <w:color w:val="auto"/>
          </w:rPr>
          <w:t>http://www.regulations.gov/</w:t>
        </w:r>
      </w:hyperlink>
      <w:r w:rsidR="00C15AA0">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proofErr w:type="spellStart"/>
      <w:r w:rsidR="00C15AA0">
        <w:t>WJC</w:t>
      </w:r>
      <w:proofErr w:type="spellEnd"/>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C15AA0">
        <w:t>52</w:t>
      </w:r>
      <w:r w:rsidR="00354C15">
        <w:t xml:space="preserve">.  </w:t>
      </w:r>
      <w:r w:rsidR="00CA4CD6">
        <w:t xml:space="preserve">Also, you can send comments to the Office of Information and Regulatory Affairs, Office of </w:t>
      </w:r>
      <w:r w:rsidR="00CA4CD6" w:rsidRPr="00F02524">
        <w:t xml:space="preserve">Management and Budget, 725 17th Street, NW, Washington, DC 20503, Attention: Desk Officer for EPA.  Please include the EPA Docket ID Number </w:t>
      </w:r>
      <w:r w:rsidR="00144A82" w:rsidRPr="00F02524">
        <w:t>EPA-HQ-OECA-20</w:t>
      </w:r>
      <w:r w:rsidR="0035325B" w:rsidRPr="00F02524">
        <w:t>1</w:t>
      </w:r>
      <w:r w:rsidR="00456263" w:rsidRPr="00F02524">
        <w:t>4</w:t>
      </w:r>
      <w:r w:rsidR="00CA4CD6" w:rsidRPr="00F02524">
        <w:t>-</w:t>
      </w:r>
      <w:r w:rsidR="00456263" w:rsidRPr="00F02524">
        <w:t>0103</w:t>
      </w:r>
      <w:r w:rsidR="00CA4CD6" w:rsidRPr="00F02524">
        <w:t xml:space="preserve"> and OMB Control Number </w:t>
      </w:r>
      <w:r w:rsidR="00456263" w:rsidRPr="00F02524">
        <w:t>2060-0674</w:t>
      </w:r>
      <w:r w:rsidR="00CA4CD6" w:rsidRPr="00F02524">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D95213">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D95213" w:rsidRPr="00D95213">
        <w:rPr>
          <w:b/>
        </w:rPr>
        <w:t>NSPS for Nitric Acid Plants for which Construction, Reconstruction or Modification Commenced after October 14, 2011 (40 CFR Part 60, Subpart Ga) (Renewal)</w:t>
      </w:r>
    </w:p>
    <w:p w:rsidR="00144F35" w:rsidRDefault="00144F35" w:rsidP="004F5614">
      <w:pPr>
        <w:outlineLvl w:val="0"/>
        <w:rPr>
          <w:b/>
          <w:bCs/>
          <w:color w:val="000000"/>
        </w:rPr>
      </w:pPr>
    </w:p>
    <w:tbl>
      <w:tblPr>
        <w:tblW w:w="13705" w:type="dxa"/>
        <w:tblInd w:w="-162" w:type="dxa"/>
        <w:tblLook w:val="04A0" w:firstRow="1" w:lastRow="0" w:firstColumn="1" w:lastColumn="0" w:noHBand="0" w:noVBand="1"/>
      </w:tblPr>
      <w:tblGrid>
        <w:gridCol w:w="3922"/>
        <w:gridCol w:w="1245"/>
        <w:gridCol w:w="1271"/>
        <w:gridCol w:w="1227"/>
        <w:gridCol w:w="1294"/>
        <w:gridCol w:w="1150"/>
        <w:gridCol w:w="1207"/>
        <w:gridCol w:w="1179"/>
        <w:gridCol w:w="1210"/>
      </w:tblGrid>
      <w:tr w:rsidR="00F02524" w:rsidRPr="00F02524" w:rsidTr="00F02524">
        <w:trPr>
          <w:trHeight w:val="1200"/>
        </w:trPr>
        <w:tc>
          <w:tcPr>
            <w:tcW w:w="3922" w:type="dxa"/>
            <w:tcBorders>
              <w:top w:val="single" w:sz="4" w:space="0" w:color="auto"/>
              <w:left w:val="single" w:sz="4" w:space="0" w:color="auto"/>
              <w:bottom w:val="nil"/>
              <w:right w:val="nil"/>
            </w:tcBorders>
            <w:shd w:val="clear" w:color="auto" w:fill="auto"/>
            <w:vAlign w:val="center"/>
            <w:hideMark/>
          </w:tcPr>
          <w:p w:rsidR="00F02524" w:rsidRPr="00F02524" w:rsidRDefault="00F02524" w:rsidP="00F02524">
            <w:pPr>
              <w:widowControl/>
              <w:autoSpaceDE/>
              <w:autoSpaceDN/>
              <w:adjustRightInd/>
              <w:jc w:val="center"/>
              <w:rPr>
                <w:b/>
                <w:bCs/>
                <w:color w:val="000000"/>
                <w:sz w:val="20"/>
                <w:szCs w:val="20"/>
              </w:rPr>
            </w:pPr>
            <w:r w:rsidRPr="00F02524">
              <w:rPr>
                <w:b/>
                <w:bCs/>
                <w:color w:val="000000"/>
                <w:sz w:val="20"/>
                <w:szCs w:val="20"/>
              </w:rPr>
              <w:t>Item</w:t>
            </w:r>
          </w:p>
        </w:tc>
        <w:tc>
          <w:tcPr>
            <w:tcW w:w="1245" w:type="dxa"/>
            <w:tcBorders>
              <w:top w:val="single" w:sz="4" w:space="0" w:color="auto"/>
              <w:left w:val="single" w:sz="4" w:space="0" w:color="auto"/>
              <w:bottom w:val="nil"/>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xml:space="preserve">(A)  </w:t>
            </w:r>
            <w:r w:rsidRPr="00F02524">
              <w:rPr>
                <w:color w:val="000000"/>
                <w:sz w:val="20"/>
                <w:szCs w:val="20"/>
              </w:rPr>
              <w:br/>
              <w:t>Hours per Occurrence</w:t>
            </w:r>
          </w:p>
        </w:tc>
        <w:tc>
          <w:tcPr>
            <w:tcW w:w="1271" w:type="dxa"/>
            <w:tcBorders>
              <w:top w:val="single" w:sz="4" w:space="0" w:color="auto"/>
              <w:left w:val="nil"/>
              <w:bottom w:val="nil"/>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xml:space="preserve">(B)  </w:t>
            </w:r>
            <w:r w:rsidRPr="00F02524">
              <w:rPr>
                <w:color w:val="000000"/>
                <w:sz w:val="20"/>
                <w:szCs w:val="20"/>
              </w:rPr>
              <w:br/>
              <w:t>Occurrences/ Respondent-Yr</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02524" w:rsidRDefault="00F02524" w:rsidP="00F02524">
            <w:pPr>
              <w:widowControl/>
              <w:autoSpaceDE/>
              <w:autoSpaceDN/>
              <w:adjustRightInd/>
              <w:jc w:val="center"/>
              <w:rPr>
                <w:color w:val="000000"/>
                <w:sz w:val="20"/>
                <w:szCs w:val="20"/>
              </w:rPr>
            </w:pPr>
            <w:r w:rsidRPr="00F02524">
              <w:rPr>
                <w:color w:val="000000"/>
                <w:sz w:val="20"/>
                <w:szCs w:val="20"/>
              </w:rPr>
              <w:t xml:space="preserve">(C)  </w:t>
            </w:r>
          </w:p>
          <w:p w:rsidR="00F02524" w:rsidRDefault="00F02524" w:rsidP="00F02524">
            <w:pPr>
              <w:widowControl/>
              <w:autoSpaceDE/>
              <w:autoSpaceDN/>
              <w:adjustRightInd/>
              <w:jc w:val="center"/>
              <w:rPr>
                <w:color w:val="000000"/>
                <w:sz w:val="20"/>
                <w:szCs w:val="20"/>
              </w:rPr>
            </w:pPr>
            <w:r w:rsidRPr="00F02524">
              <w:rPr>
                <w:color w:val="000000"/>
                <w:sz w:val="20"/>
                <w:szCs w:val="20"/>
              </w:rPr>
              <w:t xml:space="preserve">Hours/ Respondent-Yr </w:t>
            </w:r>
          </w:p>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w:t>
            </w:r>
            <w:proofErr w:type="spellStart"/>
            <w:r w:rsidRPr="00F02524">
              <w:rPr>
                <w:color w:val="000000"/>
                <w:sz w:val="20"/>
                <w:szCs w:val="20"/>
              </w:rPr>
              <w:t>AxB</w:t>
            </w:r>
            <w:proofErr w:type="spellEnd"/>
            <w:r w:rsidRPr="00F02524">
              <w:rPr>
                <w:color w:val="000000"/>
                <w:sz w:val="20"/>
                <w:szCs w:val="20"/>
              </w:rPr>
              <w:t>)</w:t>
            </w:r>
          </w:p>
        </w:tc>
        <w:tc>
          <w:tcPr>
            <w:tcW w:w="1294" w:type="dxa"/>
            <w:tcBorders>
              <w:top w:val="single" w:sz="4" w:space="0" w:color="auto"/>
              <w:left w:val="nil"/>
              <w:bottom w:val="nil"/>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(D)  Respondents/ Year</w:t>
            </w:r>
          </w:p>
        </w:tc>
        <w:tc>
          <w:tcPr>
            <w:tcW w:w="1150" w:type="dxa"/>
            <w:tcBorders>
              <w:top w:val="single" w:sz="4" w:space="0" w:color="auto"/>
              <w:left w:val="nil"/>
              <w:bottom w:val="nil"/>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(E)  Technical Hours/Year (C x D)</w:t>
            </w:r>
          </w:p>
        </w:tc>
        <w:tc>
          <w:tcPr>
            <w:tcW w:w="1207" w:type="dxa"/>
            <w:tcBorders>
              <w:top w:val="single" w:sz="4" w:space="0" w:color="auto"/>
              <w:left w:val="nil"/>
              <w:bottom w:val="nil"/>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(F) Managerial Hours/Year (E x 0.05)</w:t>
            </w:r>
          </w:p>
        </w:tc>
        <w:tc>
          <w:tcPr>
            <w:tcW w:w="1179" w:type="dxa"/>
            <w:tcBorders>
              <w:top w:val="single" w:sz="4" w:space="0" w:color="auto"/>
              <w:left w:val="nil"/>
              <w:bottom w:val="nil"/>
              <w:right w:val="single" w:sz="4" w:space="0" w:color="auto"/>
            </w:tcBorders>
            <w:shd w:val="clear" w:color="auto" w:fill="auto"/>
            <w:vAlign w:val="center"/>
            <w:hideMark/>
          </w:tcPr>
          <w:p w:rsidR="00F02524" w:rsidRDefault="00F02524" w:rsidP="00F02524">
            <w:pPr>
              <w:widowControl/>
              <w:autoSpaceDE/>
              <w:autoSpaceDN/>
              <w:adjustRightInd/>
              <w:jc w:val="center"/>
              <w:rPr>
                <w:color w:val="000000"/>
                <w:sz w:val="20"/>
                <w:szCs w:val="20"/>
              </w:rPr>
            </w:pPr>
            <w:r w:rsidRPr="00F02524">
              <w:rPr>
                <w:color w:val="000000"/>
                <w:sz w:val="20"/>
                <w:szCs w:val="20"/>
              </w:rPr>
              <w:t xml:space="preserve">(G) </w:t>
            </w:r>
          </w:p>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Clerical Hours/Year (E x 0.10)</w:t>
            </w:r>
          </w:p>
        </w:tc>
        <w:tc>
          <w:tcPr>
            <w:tcW w:w="1210" w:type="dxa"/>
            <w:tcBorders>
              <w:top w:val="single" w:sz="4" w:space="0" w:color="auto"/>
              <w:left w:val="nil"/>
              <w:bottom w:val="nil"/>
              <w:right w:val="single" w:sz="4" w:space="0" w:color="auto"/>
            </w:tcBorders>
            <w:shd w:val="clear" w:color="auto" w:fill="auto"/>
            <w:vAlign w:val="center"/>
            <w:hideMark/>
          </w:tcPr>
          <w:p w:rsidR="00F02524" w:rsidRDefault="00F02524" w:rsidP="00F02524">
            <w:pPr>
              <w:widowControl/>
              <w:autoSpaceDE/>
              <w:autoSpaceDN/>
              <w:adjustRightInd/>
              <w:jc w:val="center"/>
              <w:rPr>
                <w:color w:val="000000"/>
                <w:sz w:val="20"/>
                <w:szCs w:val="20"/>
              </w:rPr>
            </w:pPr>
            <w:r w:rsidRPr="00F02524">
              <w:rPr>
                <w:color w:val="000000"/>
                <w:sz w:val="20"/>
                <w:szCs w:val="20"/>
              </w:rPr>
              <w:t>(F)</w:t>
            </w:r>
          </w:p>
          <w:p w:rsidR="00F02524" w:rsidRPr="00F02524" w:rsidRDefault="00F02524" w:rsidP="00F02524">
            <w:pPr>
              <w:widowControl/>
              <w:autoSpaceDE/>
              <w:autoSpaceDN/>
              <w:adjustRightInd/>
              <w:rPr>
                <w:color w:val="000000"/>
                <w:sz w:val="20"/>
                <w:szCs w:val="20"/>
              </w:rPr>
            </w:pPr>
            <w:r w:rsidRPr="00F02524">
              <w:rPr>
                <w:color w:val="000000"/>
                <w:sz w:val="20"/>
                <w:szCs w:val="20"/>
              </w:rPr>
              <w:t>Cost/ Year</w:t>
            </w:r>
          </w:p>
        </w:tc>
      </w:tr>
      <w:tr w:rsidR="00F02524" w:rsidRPr="00F02524" w:rsidTr="00F02524">
        <w:trPr>
          <w:trHeight w:val="255"/>
        </w:trPr>
        <w:tc>
          <w:tcPr>
            <w:tcW w:w="3922" w:type="dxa"/>
            <w:tcBorders>
              <w:top w:val="single" w:sz="4" w:space="0" w:color="auto"/>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xml:space="preserve">1. APPLICATIONS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r>
              <w:rPr>
                <w:color w:val="000000"/>
                <w:sz w:val="20"/>
                <w:szCs w:val="20"/>
              </w:rPr>
              <w:t>N/A</w:t>
            </w:r>
            <w:r w:rsidRPr="00F02524">
              <w:rPr>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xml:space="preserve">2. SURVEY AND STUDIES </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Pr>
                <w:color w:val="000000"/>
                <w:sz w:val="20"/>
                <w:szCs w:val="20"/>
              </w:rPr>
              <w:t>N/A</w:t>
            </w: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xml:space="preserve">3.  ACQUISITION, INSTALLATION, AND UTILIZATION OF TECHNOLOGY AND SYSTEMS </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Pr>
                <w:color w:val="000000"/>
                <w:sz w:val="20"/>
                <w:szCs w:val="20"/>
              </w:rPr>
              <w:t>N/A</w:t>
            </w: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4. REPORT REQUIREMENTS</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63E8F">
            <w:pPr>
              <w:widowControl/>
              <w:autoSpaceDE/>
              <w:autoSpaceDN/>
              <w:adjustRightInd/>
              <w:ind w:firstLineChars="100" w:firstLine="200"/>
              <w:rPr>
                <w:color w:val="000000"/>
                <w:sz w:val="20"/>
                <w:szCs w:val="20"/>
              </w:rPr>
            </w:pPr>
            <w:r w:rsidRPr="00F02524">
              <w:rPr>
                <w:color w:val="000000"/>
                <w:sz w:val="20"/>
                <w:szCs w:val="20"/>
              </w:rPr>
              <w:t xml:space="preserve">A. </w:t>
            </w:r>
            <w:r w:rsidR="00F63E8F">
              <w:rPr>
                <w:color w:val="000000"/>
                <w:sz w:val="20"/>
                <w:szCs w:val="20"/>
              </w:rPr>
              <w:t>Familiarization with the regulatory requirements</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Pr="00F02524" w:rsidRDefault="00DA7CA5" w:rsidP="00F02524">
            <w:pPr>
              <w:widowControl/>
              <w:autoSpaceDE/>
              <w:autoSpaceDN/>
              <w:adjustRightInd/>
              <w:ind w:firstLineChars="200" w:firstLine="400"/>
              <w:rPr>
                <w:color w:val="000000"/>
                <w:sz w:val="20"/>
                <w:szCs w:val="20"/>
              </w:rPr>
            </w:pPr>
            <w:r>
              <w:rPr>
                <w:color w:val="000000"/>
                <w:sz w:val="20"/>
                <w:szCs w:val="20"/>
              </w:rPr>
              <w:t>All</w:t>
            </w:r>
            <w:r w:rsidR="00F02524" w:rsidRPr="00F02524">
              <w:rPr>
                <w:color w:val="000000"/>
                <w:sz w:val="20"/>
                <w:szCs w:val="20"/>
              </w:rPr>
              <w:t xml:space="preserve"> Sources</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DA7CA5" w:rsidP="00F02524">
            <w:pPr>
              <w:widowControl/>
              <w:autoSpaceDE/>
              <w:autoSpaceDN/>
              <w:adjustRightInd/>
              <w:jc w:val="center"/>
              <w:rPr>
                <w:color w:val="000000"/>
                <w:sz w:val="20"/>
                <w:szCs w:val="20"/>
              </w:rPr>
            </w:pPr>
            <w:r>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DA7CA5" w:rsidP="00F02524">
            <w:pPr>
              <w:widowControl/>
              <w:autoSpaceDE/>
              <w:autoSpaceDN/>
              <w:adjustRightInd/>
              <w:jc w:val="center"/>
              <w:rPr>
                <w:color w:val="000000"/>
                <w:sz w:val="20"/>
                <w:szCs w:val="20"/>
              </w:rPr>
            </w:pPr>
            <w:r>
              <w:rPr>
                <w:color w:val="000000"/>
                <w:sz w:val="20"/>
                <w:szCs w:val="20"/>
              </w:rPr>
              <w:t>6</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DA7CA5" w:rsidP="00F02524">
            <w:pPr>
              <w:widowControl/>
              <w:autoSpaceDE/>
              <w:autoSpaceDN/>
              <w:adjustRightInd/>
              <w:jc w:val="center"/>
              <w:rPr>
                <w:color w:val="000000"/>
                <w:sz w:val="20"/>
                <w:szCs w:val="20"/>
              </w:rPr>
            </w:pPr>
            <w:r>
              <w:rPr>
                <w:color w:val="000000"/>
                <w:sz w:val="20"/>
                <w:szCs w:val="20"/>
              </w:rPr>
              <w:t>0.3</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DA7CA5" w:rsidP="00F02524">
            <w:pPr>
              <w:widowControl/>
              <w:autoSpaceDE/>
              <w:autoSpaceDN/>
              <w:adjustRightInd/>
              <w:jc w:val="center"/>
              <w:rPr>
                <w:color w:val="000000"/>
                <w:sz w:val="20"/>
                <w:szCs w:val="20"/>
              </w:rPr>
            </w:pPr>
            <w:r>
              <w:rPr>
                <w:color w:val="000000"/>
                <w:sz w:val="20"/>
                <w:szCs w:val="20"/>
              </w:rPr>
              <w:t>0.6</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DA7CA5" w:rsidP="00F02524">
            <w:pPr>
              <w:widowControl/>
              <w:autoSpaceDE/>
              <w:autoSpaceDN/>
              <w:adjustRightInd/>
              <w:jc w:val="right"/>
              <w:rPr>
                <w:color w:val="000000"/>
                <w:sz w:val="20"/>
                <w:szCs w:val="20"/>
              </w:rPr>
            </w:pPr>
            <w:r>
              <w:rPr>
                <w:color w:val="000000"/>
                <w:sz w:val="20"/>
                <w:szCs w:val="20"/>
              </w:rPr>
              <w:t>$693.87</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B. Required Activities</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Initial Performance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Test</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180</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180</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216</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10.8</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21.6</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$24,979.43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Demonstration of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CERMS</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180</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180</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216</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10.8</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21.6</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$24,979.43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Daily monitoring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(CERMS)</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330</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165</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198</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9.9</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19.8</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$22,897.81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C. Create Information (Included in 4B)</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Default="00F02524" w:rsidP="00F02524">
            <w:pPr>
              <w:widowControl/>
              <w:autoSpaceDE/>
              <w:autoSpaceDN/>
              <w:adjustRightInd/>
              <w:ind w:firstLineChars="100" w:firstLine="200"/>
              <w:rPr>
                <w:color w:val="000000"/>
                <w:sz w:val="20"/>
                <w:szCs w:val="20"/>
              </w:rPr>
            </w:pPr>
            <w:r w:rsidRPr="00F02524">
              <w:rPr>
                <w:color w:val="000000"/>
                <w:sz w:val="20"/>
                <w:szCs w:val="20"/>
              </w:rPr>
              <w:t xml:space="preserve">D. Gather Existing Information </w:t>
            </w:r>
          </w:p>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(Included in 4E)</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E. Write Report</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Notification of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construction/reconstruction</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Notification of actual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startup</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Physical or </w:t>
            </w:r>
          </w:p>
          <w:p w:rsidR="00F02524" w:rsidRPr="00F02524" w:rsidRDefault="00F02524" w:rsidP="00F02524">
            <w:pPr>
              <w:widowControl/>
              <w:autoSpaceDE/>
              <w:autoSpaceDN/>
              <w:adjustRightInd/>
              <w:ind w:firstLineChars="200" w:firstLine="400"/>
              <w:rPr>
                <w:color w:val="000000"/>
                <w:sz w:val="20"/>
                <w:szCs w:val="20"/>
              </w:rPr>
            </w:pPr>
            <w:r>
              <w:rPr>
                <w:color w:val="000000"/>
                <w:sz w:val="20"/>
                <w:szCs w:val="20"/>
              </w:rPr>
              <w:t>o</w:t>
            </w:r>
            <w:r w:rsidRPr="00F02524">
              <w:rPr>
                <w:color w:val="000000"/>
                <w:sz w:val="20"/>
                <w:szCs w:val="20"/>
              </w:rPr>
              <w:t xml:space="preserve">perational </w:t>
            </w:r>
            <w:r>
              <w:rPr>
                <w:color w:val="000000"/>
                <w:sz w:val="20"/>
                <w:szCs w:val="20"/>
              </w:rPr>
              <w:t>c</w:t>
            </w:r>
            <w:r w:rsidRPr="00F02524">
              <w:rPr>
                <w:color w:val="000000"/>
                <w:sz w:val="20"/>
                <w:szCs w:val="20"/>
              </w:rPr>
              <w:t>hange</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510"/>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lastRenderedPageBreak/>
              <w:t xml:space="preserve">New Sources - Notification of </w:t>
            </w:r>
          </w:p>
          <w:p w:rsidR="00F02524" w:rsidRPr="00F02524" w:rsidRDefault="00F02524" w:rsidP="00F02524">
            <w:pPr>
              <w:widowControl/>
              <w:autoSpaceDE/>
              <w:autoSpaceDN/>
              <w:adjustRightInd/>
              <w:ind w:firstLineChars="200" w:firstLine="400"/>
              <w:rPr>
                <w:color w:val="000000"/>
                <w:sz w:val="20"/>
                <w:szCs w:val="20"/>
              </w:rPr>
            </w:pPr>
            <w:r>
              <w:rPr>
                <w:color w:val="000000"/>
                <w:sz w:val="20"/>
                <w:szCs w:val="20"/>
              </w:rPr>
              <w:t>d</w:t>
            </w:r>
            <w:r w:rsidRPr="00F02524">
              <w:rPr>
                <w:color w:val="000000"/>
                <w:sz w:val="20"/>
                <w:szCs w:val="20"/>
              </w:rPr>
              <w:t>emonstration of CERMS</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510"/>
        </w:trPr>
        <w:tc>
          <w:tcPr>
            <w:tcW w:w="3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Notification of </w:t>
            </w:r>
            <w:r>
              <w:rPr>
                <w:color w:val="000000"/>
                <w:sz w:val="20"/>
                <w:szCs w:val="20"/>
              </w:rPr>
              <w:t>i</w:t>
            </w:r>
            <w:r w:rsidRPr="00F02524">
              <w:rPr>
                <w:color w:val="000000"/>
                <w:sz w:val="20"/>
                <w:szCs w:val="20"/>
              </w:rPr>
              <w:t xml:space="preserve">nitial </w:t>
            </w:r>
          </w:p>
          <w:p w:rsidR="00F02524" w:rsidRPr="00F02524" w:rsidRDefault="00F02524" w:rsidP="00F02524">
            <w:pPr>
              <w:widowControl/>
              <w:autoSpaceDE/>
              <w:autoSpaceDN/>
              <w:adjustRightInd/>
              <w:ind w:firstLineChars="200" w:firstLine="400"/>
              <w:rPr>
                <w:color w:val="000000"/>
                <w:sz w:val="20"/>
                <w:szCs w:val="20"/>
              </w:rPr>
            </w:pPr>
            <w:r>
              <w:rPr>
                <w:color w:val="000000"/>
                <w:sz w:val="20"/>
                <w:szCs w:val="20"/>
              </w:rPr>
              <w:t>p</w:t>
            </w:r>
            <w:r w:rsidRPr="00F02524">
              <w:rPr>
                <w:color w:val="000000"/>
                <w:sz w:val="20"/>
                <w:szCs w:val="20"/>
              </w:rPr>
              <w:t xml:space="preserve">erformance </w:t>
            </w:r>
            <w:r>
              <w:rPr>
                <w:color w:val="000000"/>
                <w:sz w:val="20"/>
                <w:szCs w:val="20"/>
              </w:rPr>
              <w:t>t</w:t>
            </w:r>
            <w:r w:rsidRPr="00F02524">
              <w:rPr>
                <w:color w:val="000000"/>
                <w:sz w:val="20"/>
                <w:szCs w:val="20"/>
              </w:rPr>
              <w:t>est</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255"/>
        </w:trPr>
        <w:tc>
          <w:tcPr>
            <w:tcW w:w="3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New Sources - Report of </w:t>
            </w:r>
          </w:p>
          <w:p w:rsidR="00F02524" w:rsidRPr="00F02524" w:rsidRDefault="00F02524" w:rsidP="00F02524">
            <w:pPr>
              <w:widowControl/>
              <w:autoSpaceDE/>
              <w:autoSpaceDN/>
              <w:adjustRightInd/>
              <w:ind w:firstLineChars="200" w:firstLine="400"/>
              <w:rPr>
                <w:color w:val="000000"/>
                <w:sz w:val="20"/>
                <w:szCs w:val="20"/>
              </w:rPr>
            </w:pPr>
            <w:r>
              <w:rPr>
                <w:color w:val="000000"/>
                <w:sz w:val="20"/>
                <w:szCs w:val="20"/>
              </w:rPr>
              <w:t>p</w:t>
            </w:r>
            <w:r w:rsidRPr="00F02524">
              <w:rPr>
                <w:color w:val="000000"/>
                <w:sz w:val="20"/>
                <w:szCs w:val="20"/>
              </w:rPr>
              <w:t xml:space="preserve">erformance </w:t>
            </w:r>
            <w:r>
              <w:rPr>
                <w:color w:val="000000"/>
                <w:sz w:val="20"/>
                <w:szCs w:val="20"/>
              </w:rPr>
              <w:t>t</w:t>
            </w:r>
            <w:r w:rsidRPr="00F02524">
              <w:rPr>
                <w:color w:val="000000"/>
                <w:sz w:val="20"/>
                <w:szCs w:val="20"/>
              </w:rPr>
              <w:t>est</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$277.55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ind w:firstLineChars="200" w:firstLine="400"/>
              <w:rPr>
                <w:color w:val="000000"/>
                <w:sz w:val="20"/>
                <w:szCs w:val="20"/>
              </w:rPr>
            </w:pPr>
            <w:r>
              <w:rPr>
                <w:color w:val="000000"/>
                <w:sz w:val="20"/>
                <w:szCs w:val="20"/>
              </w:rPr>
              <w:t>NOx Non</w:t>
            </w:r>
            <w:r w:rsidRPr="00F02524">
              <w:rPr>
                <w:color w:val="000000"/>
                <w:sz w:val="20"/>
                <w:szCs w:val="20"/>
              </w:rPr>
              <w:t>compliance report</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0.06</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$138.77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200" w:firstLine="402"/>
              <w:rPr>
                <w:b/>
                <w:bCs/>
                <w:color w:val="000000"/>
                <w:sz w:val="20"/>
                <w:szCs w:val="20"/>
              </w:rPr>
            </w:pPr>
            <w:r w:rsidRPr="00F02524">
              <w:rPr>
                <w:b/>
                <w:bCs/>
                <w:color w:val="000000"/>
                <w:sz w:val="20"/>
                <w:szCs w:val="20"/>
              </w:rPr>
              <w:t>Subtotal for Reporting</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3536" w:type="dxa"/>
            <w:gridSpan w:val="3"/>
            <w:tcBorders>
              <w:top w:val="single" w:sz="4" w:space="0" w:color="auto"/>
              <w:left w:val="nil"/>
              <w:bottom w:val="single" w:sz="4" w:space="0" w:color="auto"/>
              <w:right w:val="single" w:sz="4" w:space="0" w:color="000000"/>
            </w:tcBorders>
            <w:shd w:val="clear" w:color="auto" w:fill="auto"/>
            <w:vAlign w:val="center"/>
            <w:hideMark/>
          </w:tcPr>
          <w:p w:rsidR="00F02524" w:rsidRPr="00F02524" w:rsidRDefault="00F02524" w:rsidP="00DA7CA5">
            <w:pPr>
              <w:widowControl/>
              <w:autoSpaceDE/>
              <w:autoSpaceDN/>
              <w:adjustRightInd/>
              <w:jc w:val="center"/>
              <w:rPr>
                <w:b/>
                <w:bCs/>
                <w:color w:val="000000"/>
                <w:sz w:val="20"/>
                <w:szCs w:val="20"/>
              </w:rPr>
            </w:pPr>
            <w:r w:rsidRPr="00F02524">
              <w:rPr>
                <w:b/>
                <w:bCs/>
                <w:color w:val="000000"/>
                <w:sz w:val="20"/>
                <w:szCs w:val="20"/>
              </w:rPr>
              <w:t>74</w:t>
            </w:r>
            <w:r w:rsidR="00DA7CA5">
              <w:rPr>
                <w:b/>
                <w:bCs/>
                <w:color w:val="000000"/>
                <w:sz w:val="20"/>
                <w:szCs w:val="20"/>
              </w:rPr>
              <w:t>9</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DA7CA5">
            <w:pPr>
              <w:widowControl/>
              <w:autoSpaceDE/>
              <w:autoSpaceDN/>
              <w:adjustRightInd/>
              <w:jc w:val="right"/>
              <w:rPr>
                <w:b/>
                <w:bCs/>
                <w:color w:val="000000"/>
                <w:sz w:val="20"/>
                <w:szCs w:val="20"/>
              </w:rPr>
            </w:pPr>
            <w:r w:rsidRPr="00F02524">
              <w:rPr>
                <w:b/>
                <w:bCs/>
                <w:color w:val="000000"/>
                <w:sz w:val="20"/>
                <w:szCs w:val="20"/>
              </w:rPr>
              <w:t>$7</w:t>
            </w:r>
            <w:r w:rsidR="00DA7CA5">
              <w:rPr>
                <w:b/>
                <w:bCs/>
                <w:color w:val="000000"/>
                <w:sz w:val="20"/>
                <w:szCs w:val="20"/>
              </w:rPr>
              <w:t>5</w:t>
            </w:r>
            <w:r w:rsidRPr="00F02524">
              <w:rPr>
                <w:b/>
                <w:bCs/>
                <w:color w:val="000000"/>
                <w:sz w:val="20"/>
                <w:szCs w:val="20"/>
              </w:rPr>
              <w:t>,</w:t>
            </w:r>
            <w:r w:rsidR="00DA7CA5">
              <w:rPr>
                <w:b/>
                <w:bCs/>
                <w:color w:val="000000"/>
                <w:sz w:val="20"/>
                <w:szCs w:val="20"/>
              </w:rPr>
              <w:t>355</w:t>
            </w:r>
            <w:r w:rsidRPr="00F02524">
              <w:rPr>
                <w:b/>
                <w:bCs/>
                <w:color w:val="000000"/>
                <w:sz w:val="20"/>
                <w:szCs w:val="20"/>
              </w:rPr>
              <w:t xml:space="preserve">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5. RECORDKEEPING REQUIREMENTS</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A. Read Instructions (Included in 4A)</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B. Plan Activities (Included in 4B)</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C. Implement Activities (Included in 4B)</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D. Record Data ( Not Applicable)</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Record of noncompliance</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3</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0.15</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0.3</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$346.94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Default="00F02524" w:rsidP="00F02524">
            <w:pPr>
              <w:widowControl/>
              <w:autoSpaceDE/>
              <w:autoSpaceDN/>
              <w:adjustRightInd/>
              <w:ind w:firstLineChars="100" w:firstLine="200"/>
              <w:rPr>
                <w:color w:val="000000"/>
                <w:sz w:val="20"/>
                <w:szCs w:val="20"/>
              </w:rPr>
            </w:pPr>
            <w:r w:rsidRPr="00F02524">
              <w:rPr>
                <w:color w:val="000000"/>
                <w:sz w:val="20"/>
                <w:szCs w:val="20"/>
              </w:rPr>
              <w:t xml:space="preserve">E. Time to Transmit or Disclose </w:t>
            </w:r>
          </w:p>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Information</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Daily production and flow rates</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48</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4.8</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$5,550.98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Data </w:t>
            </w:r>
            <w:r>
              <w:rPr>
                <w:color w:val="000000"/>
                <w:sz w:val="20"/>
                <w:szCs w:val="20"/>
              </w:rPr>
              <w:t>c</w:t>
            </w:r>
            <w:r w:rsidRPr="00F02524">
              <w:rPr>
                <w:color w:val="000000"/>
                <w:sz w:val="20"/>
                <w:szCs w:val="20"/>
              </w:rPr>
              <w:t>ollection</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0.125</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330</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41.25</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247.5</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12.375</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24.75</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$28,622.26 </w:t>
            </w:r>
          </w:p>
        </w:tc>
      </w:tr>
      <w:tr w:rsidR="00F02524" w:rsidRPr="00F02524" w:rsidTr="00F02524">
        <w:trPr>
          <w:trHeight w:val="510"/>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Records of </w:t>
            </w:r>
            <w:r>
              <w:rPr>
                <w:color w:val="000000"/>
                <w:sz w:val="20"/>
                <w:szCs w:val="20"/>
              </w:rPr>
              <w:t>s</w:t>
            </w:r>
            <w:r w:rsidRPr="00F02524">
              <w:rPr>
                <w:color w:val="000000"/>
                <w:sz w:val="20"/>
                <w:szCs w:val="20"/>
              </w:rPr>
              <w:t xml:space="preserve">tartups, </w:t>
            </w:r>
            <w:r>
              <w:rPr>
                <w:color w:val="000000"/>
                <w:sz w:val="20"/>
                <w:szCs w:val="20"/>
              </w:rPr>
              <w:t>s</w:t>
            </w:r>
            <w:r w:rsidRPr="00F02524">
              <w:rPr>
                <w:color w:val="000000"/>
                <w:sz w:val="20"/>
                <w:szCs w:val="20"/>
              </w:rPr>
              <w:t xml:space="preserve">hutdowns,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malfunctions, etc</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48</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4.8</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$5,550.98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F. Time to Train Personnel</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single" w:sz="4" w:space="0" w:color="auto"/>
              <w:right w:val="single" w:sz="4" w:space="0" w:color="auto"/>
            </w:tcBorders>
            <w:shd w:val="clear" w:color="auto" w:fill="auto"/>
            <w:vAlign w:val="bottom"/>
            <w:hideMark/>
          </w:tcPr>
          <w:p w:rsidR="00F02524" w:rsidRDefault="00F02524" w:rsidP="00F02524">
            <w:pPr>
              <w:widowControl/>
              <w:autoSpaceDE/>
              <w:autoSpaceDN/>
              <w:adjustRightInd/>
              <w:ind w:firstLineChars="200" w:firstLine="400"/>
              <w:rPr>
                <w:color w:val="000000"/>
                <w:sz w:val="20"/>
                <w:szCs w:val="20"/>
              </w:rPr>
            </w:pPr>
            <w:r w:rsidRPr="00F02524">
              <w:rPr>
                <w:color w:val="000000"/>
                <w:sz w:val="20"/>
                <w:szCs w:val="20"/>
              </w:rPr>
              <w:t xml:space="preserve">Train Personnel for CERMS </w:t>
            </w:r>
          </w:p>
          <w:p w:rsidR="00F02524" w:rsidRPr="00F02524" w:rsidRDefault="00F02524" w:rsidP="00F02524">
            <w:pPr>
              <w:widowControl/>
              <w:autoSpaceDE/>
              <w:autoSpaceDN/>
              <w:adjustRightInd/>
              <w:ind w:firstLineChars="200" w:firstLine="400"/>
              <w:rPr>
                <w:color w:val="000000"/>
                <w:sz w:val="20"/>
                <w:szCs w:val="20"/>
              </w:rPr>
            </w:pPr>
            <w:r w:rsidRPr="00F02524">
              <w:rPr>
                <w:color w:val="000000"/>
                <w:sz w:val="20"/>
                <w:szCs w:val="20"/>
              </w:rPr>
              <w:t>maintenance</w:t>
            </w:r>
          </w:p>
        </w:tc>
        <w:tc>
          <w:tcPr>
            <w:tcW w:w="1245"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16</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32</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192</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9.6</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19.2</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$22,203.94 </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ind w:firstLineChars="100" w:firstLine="200"/>
              <w:rPr>
                <w:color w:val="000000"/>
                <w:sz w:val="20"/>
                <w:szCs w:val="20"/>
              </w:rPr>
            </w:pPr>
            <w:r w:rsidRPr="00F02524">
              <w:rPr>
                <w:color w:val="000000"/>
                <w:sz w:val="20"/>
                <w:szCs w:val="20"/>
              </w:rPr>
              <w:t>G. Time for Audits (Not Applicable)</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w:t>
            </w:r>
          </w:p>
        </w:tc>
      </w:tr>
      <w:tr w:rsidR="00F02524" w:rsidRPr="00F02524" w:rsidTr="00F02524">
        <w:trPr>
          <w:trHeight w:val="255"/>
        </w:trPr>
        <w:tc>
          <w:tcPr>
            <w:tcW w:w="3922" w:type="dxa"/>
            <w:tcBorders>
              <w:top w:val="nil"/>
              <w:left w:val="single" w:sz="4" w:space="0" w:color="auto"/>
              <w:bottom w:val="nil"/>
              <w:right w:val="nil"/>
            </w:tcBorders>
            <w:shd w:val="clear" w:color="auto" w:fill="auto"/>
            <w:vAlign w:val="bottom"/>
            <w:hideMark/>
          </w:tcPr>
          <w:p w:rsidR="00F02524" w:rsidRPr="00F02524" w:rsidRDefault="00F02524" w:rsidP="00F02524">
            <w:pPr>
              <w:widowControl/>
              <w:autoSpaceDE/>
              <w:autoSpaceDN/>
              <w:adjustRightInd/>
              <w:ind w:firstLineChars="100" w:firstLine="201"/>
              <w:rPr>
                <w:b/>
                <w:bCs/>
                <w:color w:val="000000"/>
                <w:sz w:val="20"/>
                <w:szCs w:val="20"/>
              </w:rPr>
            </w:pPr>
            <w:r w:rsidRPr="00F02524">
              <w:rPr>
                <w:b/>
                <w:bCs/>
                <w:color w:val="000000"/>
                <w:sz w:val="20"/>
                <w:szCs w:val="20"/>
              </w:rPr>
              <w:t>Subtotal for Recordkeeping</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3536" w:type="dxa"/>
            <w:gridSpan w:val="3"/>
            <w:tcBorders>
              <w:top w:val="single" w:sz="4" w:space="0" w:color="auto"/>
              <w:left w:val="nil"/>
              <w:bottom w:val="single" w:sz="4" w:space="0" w:color="auto"/>
              <w:right w:val="single" w:sz="4" w:space="0" w:color="000000"/>
            </w:tcBorders>
            <w:shd w:val="clear" w:color="auto" w:fill="auto"/>
            <w:vAlign w:val="center"/>
            <w:hideMark/>
          </w:tcPr>
          <w:p w:rsidR="00F02524" w:rsidRPr="00F02524" w:rsidRDefault="00F02524" w:rsidP="00F02524">
            <w:pPr>
              <w:widowControl/>
              <w:autoSpaceDE/>
              <w:autoSpaceDN/>
              <w:adjustRightInd/>
              <w:jc w:val="center"/>
              <w:rPr>
                <w:b/>
                <w:bCs/>
                <w:color w:val="000000"/>
                <w:sz w:val="20"/>
                <w:szCs w:val="20"/>
              </w:rPr>
            </w:pPr>
            <w:r w:rsidRPr="00F02524">
              <w:rPr>
                <w:b/>
                <w:bCs/>
                <w:color w:val="000000"/>
                <w:sz w:val="20"/>
                <w:szCs w:val="20"/>
              </w:rPr>
              <w:t>619</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jc w:val="right"/>
              <w:rPr>
                <w:b/>
                <w:bCs/>
                <w:color w:val="000000"/>
                <w:sz w:val="20"/>
                <w:szCs w:val="20"/>
              </w:rPr>
            </w:pPr>
            <w:r w:rsidRPr="00F02524">
              <w:rPr>
                <w:b/>
                <w:bCs/>
                <w:color w:val="000000"/>
                <w:sz w:val="20"/>
                <w:szCs w:val="20"/>
              </w:rPr>
              <w:t xml:space="preserve">$62,275.10 </w:t>
            </w:r>
          </w:p>
        </w:tc>
      </w:tr>
      <w:tr w:rsidR="00F02524" w:rsidRPr="00F02524" w:rsidTr="00F02524">
        <w:trPr>
          <w:trHeight w:val="255"/>
        </w:trPr>
        <w:tc>
          <w:tcPr>
            <w:tcW w:w="3922" w:type="dxa"/>
            <w:tcBorders>
              <w:top w:val="single" w:sz="4" w:space="0" w:color="auto"/>
              <w:left w:val="single" w:sz="4" w:space="0" w:color="auto"/>
              <w:bottom w:val="single" w:sz="4" w:space="0" w:color="auto"/>
              <w:right w:val="nil"/>
            </w:tcBorders>
            <w:shd w:val="clear" w:color="auto" w:fill="auto"/>
            <w:vAlign w:val="bottom"/>
            <w:hideMark/>
          </w:tcPr>
          <w:p w:rsidR="00F02524" w:rsidRPr="00F02524" w:rsidRDefault="00F02524" w:rsidP="00694F70">
            <w:pPr>
              <w:widowControl/>
              <w:autoSpaceDE/>
              <w:autoSpaceDN/>
              <w:adjustRightInd/>
              <w:rPr>
                <w:b/>
                <w:bCs/>
                <w:color w:val="000000"/>
                <w:sz w:val="20"/>
                <w:szCs w:val="20"/>
              </w:rPr>
            </w:pPr>
            <w:r w:rsidRPr="00F02524">
              <w:rPr>
                <w:b/>
                <w:bCs/>
                <w:color w:val="000000"/>
                <w:sz w:val="20"/>
                <w:szCs w:val="20"/>
              </w:rPr>
              <w:t>TOTAL ANNUAL LABOR BURDEN AND COST</w:t>
            </w:r>
            <w:r w:rsidR="00412CA7">
              <w:rPr>
                <w:b/>
                <w:bCs/>
                <w:color w:val="000000"/>
                <w:sz w:val="20"/>
                <w:szCs w:val="20"/>
              </w:rPr>
              <w:t xml:space="preserve"> (</w:t>
            </w:r>
            <w:r w:rsidR="00694F70">
              <w:rPr>
                <w:b/>
                <w:bCs/>
                <w:color w:val="000000"/>
                <w:sz w:val="20"/>
                <w:szCs w:val="20"/>
              </w:rPr>
              <w:t>R</w:t>
            </w:r>
            <w:r w:rsidR="00412CA7">
              <w:rPr>
                <w:b/>
                <w:bCs/>
                <w:color w:val="000000"/>
                <w:sz w:val="20"/>
                <w:szCs w:val="20"/>
              </w:rPr>
              <w:t>ounded)</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3536" w:type="dxa"/>
            <w:gridSpan w:val="3"/>
            <w:tcBorders>
              <w:top w:val="single" w:sz="4" w:space="0" w:color="auto"/>
              <w:left w:val="nil"/>
              <w:bottom w:val="single" w:sz="4" w:space="0" w:color="auto"/>
              <w:right w:val="single" w:sz="4" w:space="0" w:color="000000"/>
            </w:tcBorders>
            <w:shd w:val="clear" w:color="auto" w:fill="auto"/>
            <w:vAlign w:val="center"/>
            <w:hideMark/>
          </w:tcPr>
          <w:p w:rsidR="00F02524" w:rsidRPr="00F02524" w:rsidRDefault="00F02524" w:rsidP="00DA7CA5">
            <w:pPr>
              <w:widowControl/>
              <w:autoSpaceDE/>
              <w:autoSpaceDN/>
              <w:adjustRightInd/>
              <w:jc w:val="center"/>
              <w:rPr>
                <w:b/>
                <w:bCs/>
                <w:color w:val="000000"/>
                <w:sz w:val="20"/>
                <w:szCs w:val="20"/>
              </w:rPr>
            </w:pPr>
            <w:r w:rsidRPr="00F02524">
              <w:rPr>
                <w:b/>
                <w:bCs/>
                <w:color w:val="000000"/>
                <w:sz w:val="20"/>
                <w:szCs w:val="20"/>
              </w:rPr>
              <w:t>1,3</w:t>
            </w:r>
            <w:r w:rsidR="00DA7CA5">
              <w:rPr>
                <w:b/>
                <w:bCs/>
                <w:color w:val="000000"/>
                <w:sz w:val="20"/>
                <w:szCs w:val="20"/>
              </w:rPr>
              <w:t>70</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6C76DE">
            <w:pPr>
              <w:widowControl/>
              <w:autoSpaceDE/>
              <w:autoSpaceDN/>
              <w:adjustRightInd/>
              <w:jc w:val="right"/>
              <w:rPr>
                <w:b/>
                <w:bCs/>
                <w:color w:val="000000"/>
                <w:sz w:val="20"/>
                <w:szCs w:val="20"/>
              </w:rPr>
            </w:pPr>
            <w:r w:rsidRPr="00F02524">
              <w:rPr>
                <w:b/>
                <w:bCs/>
                <w:color w:val="000000"/>
                <w:sz w:val="20"/>
                <w:szCs w:val="20"/>
              </w:rPr>
              <w:t>$13</w:t>
            </w:r>
            <w:r w:rsidR="006C76DE">
              <w:rPr>
                <w:b/>
                <w:bCs/>
                <w:color w:val="000000"/>
                <w:sz w:val="20"/>
                <w:szCs w:val="20"/>
              </w:rPr>
              <w:t>8</w:t>
            </w:r>
            <w:r w:rsidRPr="00F02524">
              <w:rPr>
                <w:b/>
                <w:bCs/>
                <w:color w:val="000000"/>
                <w:sz w:val="20"/>
                <w:szCs w:val="20"/>
              </w:rPr>
              <w:t>,0</w:t>
            </w:r>
            <w:r w:rsidR="006C76DE">
              <w:rPr>
                <w:b/>
                <w:bCs/>
                <w:color w:val="000000"/>
                <w:sz w:val="20"/>
                <w:szCs w:val="20"/>
              </w:rPr>
              <w:t>00</w:t>
            </w:r>
            <w:r w:rsidRPr="00F02524">
              <w:rPr>
                <w:b/>
                <w:bCs/>
                <w:color w:val="000000"/>
                <w:sz w:val="20"/>
                <w:szCs w:val="20"/>
              </w:rPr>
              <w:t xml:space="preserve"> </w:t>
            </w:r>
          </w:p>
        </w:tc>
      </w:tr>
      <w:tr w:rsidR="00F02524" w:rsidRPr="00F02524" w:rsidTr="00F02524">
        <w:trPr>
          <w:trHeight w:val="255"/>
        </w:trPr>
        <w:tc>
          <w:tcPr>
            <w:tcW w:w="3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Capital and O&amp;M</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F02524" w:rsidRPr="00F02524" w:rsidRDefault="00F02524" w:rsidP="006C76DE">
            <w:pPr>
              <w:widowControl/>
              <w:autoSpaceDE/>
              <w:autoSpaceDN/>
              <w:adjustRightInd/>
              <w:jc w:val="right"/>
              <w:rPr>
                <w:color w:val="000000"/>
                <w:sz w:val="20"/>
                <w:szCs w:val="20"/>
              </w:rPr>
            </w:pPr>
            <w:r w:rsidRPr="00F02524">
              <w:rPr>
                <w:color w:val="000000"/>
                <w:sz w:val="20"/>
                <w:szCs w:val="20"/>
              </w:rPr>
              <w:t>$24</w:t>
            </w:r>
            <w:r w:rsidR="006C76DE">
              <w:rPr>
                <w:color w:val="000000"/>
                <w:sz w:val="20"/>
                <w:szCs w:val="20"/>
              </w:rPr>
              <w:t>8</w:t>
            </w:r>
            <w:r w:rsidRPr="00F02524">
              <w:rPr>
                <w:color w:val="000000"/>
                <w:sz w:val="20"/>
                <w:szCs w:val="20"/>
              </w:rPr>
              <w:t>,</w:t>
            </w:r>
            <w:r w:rsidR="006C76DE">
              <w:rPr>
                <w:color w:val="000000"/>
                <w:sz w:val="20"/>
                <w:szCs w:val="20"/>
              </w:rPr>
              <w:t>000</w:t>
            </w:r>
          </w:p>
        </w:tc>
      </w:tr>
      <w:tr w:rsidR="00F02524" w:rsidRPr="00F02524" w:rsidTr="00F02524">
        <w:trPr>
          <w:trHeight w:val="255"/>
        </w:trPr>
        <w:tc>
          <w:tcPr>
            <w:tcW w:w="3922" w:type="dxa"/>
            <w:tcBorders>
              <w:top w:val="nil"/>
              <w:left w:val="single" w:sz="4" w:space="0" w:color="auto"/>
              <w:bottom w:val="single" w:sz="4" w:space="0" w:color="auto"/>
              <w:right w:val="nil"/>
            </w:tcBorders>
            <w:shd w:val="clear" w:color="auto" w:fill="auto"/>
            <w:vAlign w:val="bottom"/>
            <w:hideMark/>
          </w:tcPr>
          <w:p w:rsidR="00F02524" w:rsidRPr="00F02524" w:rsidRDefault="00F02524" w:rsidP="00F02524">
            <w:pPr>
              <w:widowControl/>
              <w:autoSpaceDE/>
              <w:autoSpaceDN/>
              <w:adjustRightInd/>
              <w:rPr>
                <w:b/>
                <w:bCs/>
                <w:color w:val="000000"/>
                <w:sz w:val="20"/>
                <w:szCs w:val="20"/>
              </w:rPr>
            </w:pPr>
            <w:r w:rsidRPr="00F02524">
              <w:rPr>
                <w:b/>
                <w:bCs/>
                <w:color w:val="000000"/>
                <w:sz w:val="20"/>
                <w:szCs w:val="20"/>
              </w:rPr>
              <w:t xml:space="preserve">TOTAL COSTS </w:t>
            </w:r>
          </w:p>
        </w:tc>
        <w:tc>
          <w:tcPr>
            <w:tcW w:w="1245" w:type="dxa"/>
            <w:tcBorders>
              <w:top w:val="nil"/>
              <w:left w:val="single" w:sz="4" w:space="0" w:color="auto"/>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2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07"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F02524" w:rsidRPr="00F02524" w:rsidRDefault="00F02524" w:rsidP="006C76DE">
            <w:pPr>
              <w:widowControl/>
              <w:autoSpaceDE/>
              <w:autoSpaceDN/>
              <w:adjustRightInd/>
              <w:jc w:val="right"/>
              <w:rPr>
                <w:b/>
                <w:bCs/>
                <w:color w:val="000000"/>
                <w:sz w:val="20"/>
                <w:szCs w:val="20"/>
              </w:rPr>
            </w:pPr>
            <w:r w:rsidRPr="00F02524">
              <w:rPr>
                <w:b/>
                <w:bCs/>
                <w:color w:val="000000"/>
                <w:sz w:val="20"/>
                <w:szCs w:val="20"/>
              </w:rPr>
              <w:t>$38</w:t>
            </w:r>
            <w:r w:rsidR="006C76DE">
              <w:rPr>
                <w:b/>
                <w:bCs/>
                <w:color w:val="000000"/>
                <w:sz w:val="20"/>
                <w:szCs w:val="20"/>
              </w:rPr>
              <w:t>6</w:t>
            </w:r>
            <w:r w:rsidRPr="00F02524">
              <w:rPr>
                <w:b/>
                <w:bCs/>
                <w:color w:val="000000"/>
                <w:sz w:val="20"/>
                <w:szCs w:val="20"/>
              </w:rPr>
              <w:t>,</w:t>
            </w:r>
            <w:r w:rsidR="006C76DE">
              <w:rPr>
                <w:b/>
                <w:bCs/>
                <w:color w:val="000000"/>
                <w:sz w:val="20"/>
                <w:szCs w:val="20"/>
              </w:rPr>
              <w:t>000</w:t>
            </w:r>
            <w:r w:rsidRPr="00F02524">
              <w:rPr>
                <w:b/>
                <w:bCs/>
                <w:color w:val="000000"/>
                <w:sz w:val="20"/>
                <w:szCs w:val="20"/>
              </w:rPr>
              <w:t xml:space="preserve"> </w:t>
            </w:r>
          </w:p>
        </w:tc>
      </w:tr>
    </w:tbl>
    <w:p w:rsidR="006C76DE" w:rsidRPr="006C76DE" w:rsidRDefault="006C76DE" w:rsidP="006C76DE">
      <w:pPr>
        <w:pBdr>
          <w:top w:val="single" w:sz="6" w:space="0" w:color="FFFFFF"/>
          <w:left w:val="single" w:sz="6" w:space="0" w:color="FFFFFF"/>
          <w:bottom w:val="single" w:sz="6" w:space="0" w:color="FFFFFF"/>
          <w:right w:val="single" w:sz="6" w:space="0" w:color="FFFFFF"/>
        </w:pBdr>
        <w:rPr>
          <w:sz w:val="20"/>
          <w:szCs w:val="20"/>
        </w:rPr>
      </w:pPr>
      <w:r w:rsidRPr="006C76DE">
        <w:rPr>
          <w:sz w:val="20"/>
          <w:szCs w:val="20"/>
        </w:rPr>
        <w:t xml:space="preserve">Note: Totals have been rounded to 3 significant digits. Figures may not add exactly due to rounding. </w:t>
      </w:r>
    </w:p>
    <w:p w:rsidR="00F02524" w:rsidRDefault="00F02524" w:rsidP="004F5614">
      <w:pPr>
        <w:outlineLvl w:val="0"/>
        <w:rPr>
          <w:b/>
          <w:bCs/>
          <w:color w:val="000000"/>
        </w:rPr>
      </w:pPr>
    </w:p>
    <w:p w:rsidR="003D6951" w:rsidRPr="003F1AFC" w:rsidRDefault="003D6951" w:rsidP="00F02524">
      <w:pPr>
        <w:rPr>
          <w:color w:val="FF0000"/>
        </w:rPr>
      </w:pPr>
    </w:p>
    <w:p w:rsidR="003D6951" w:rsidRPr="003F1AFC" w:rsidRDefault="003D6951" w:rsidP="003D6951">
      <w:pPr>
        <w:rPr>
          <w:color w:val="FF0000"/>
        </w:rPr>
      </w:pPr>
    </w:p>
    <w:p w:rsidR="00144F35" w:rsidRPr="003E2595" w:rsidRDefault="00144F35" w:rsidP="00D95213">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D95213" w:rsidRPr="00D95213">
        <w:rPr>
          <w:b/>
        </w:rPr>
        <w:t>NSPS for Nitric Acid Plants for which Construction, Reconstruction or Modification Commenced after October 14, 2011 (40 CFR Part 60, Subpart Ga) (Renewal)</w:t>
      </w:r>
    </w:p>
    <w:p w:rsidR="00144F35" w:rsidRDefault="00144F35" w:rsidP="004F5614">
      <w:pPr>
        <w:outlineLvl w:val="0"/>
        <w:rPr>
          <w:b/>
          <w:bCs/>
          <w:color w:val="000000"/>
        </w:rPr>
      </w:pPr>
    </w:p>
    <w:tbl>
      <w:tblPr>
        <w:tblW w:w="13197" w:type="dxa"/>
        <w:jc w:val="center"/>
        <w:tblLook w:val="04A0" w:firstRow="1" w:lastRow="0" w:firstColumn="1" w:lastColumn="0" w:noHBand="0" w:noVBand="1"/>
      </w:tblPr>
      <w:tblGrid>
        <w:gridCol w:w="4023"/>
        <w:gridCol w:w="1216"/>
        <w:gridCol w:w="1349"/>
        <w:gridCol w:w="1150"/>
        <w:gridCol w:w="969"/>
        <w:gridCol w:w="1119"/>
        <w:gridCol w:w="1227"/>
        <w:gridCol w:w="1227"/>
        <w:gridCol w:w="917"/>
      </w:tblGrid>
      <w:tr w:rsidR="00F02524" w:rsidRPr="00F02524" w:rsidTr="00F02524">
        <w:trPr>
          <w:trHeight w:val="1020"/>
          <w:jc w:val="center"/>
        </w:trPr>
        <w:tc>
          <w:tcPr>
            <w:tcW w:w="4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b/>
                <w:bCs/>
                <w:color w:val="000000"/>
                <w:sz w:val="20"/>
                <w:szCs w:val="20"/>
              </w:rPr>
            </w:pPr>
            <w:r w:rsidRPr="00F02524">
              <w:rPr>
                <w:b/>
                <w:bCs/>
                <w:color w:val="000000"/>
                <w:sz w:val="20"/>
                <w:szCs w:val="20"/>
              </w:rPr>
              <w:t>Activity</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(A)</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EPA Hours/ Occurrence</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(B) Occurrences/ Plant/Year</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(C)</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EPA Hours/ Plant/Year (A x B)</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(D) Plants/ Year</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EPA Technical Hours/ Year</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(C x D)</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(F)</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EPA Managerial Hours/Year</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(G)</w:t>
            </w:r>
          </w:p>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EPA Clerical Hours/Year</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F02524" w:rsidRPr="00F02524" w:rsidRDefault="00F02524" w:rsidP="00F02524">
            <w:pPr>
              <w:widowControl/>
              <w:autoSpaceDE/>
              <w:autoSpaceDN/>
              <w:adjustRightInd/>
              <w:jc w:val="center"/>
              <w:rPr>
                <w:bCs/>
                <w:color w:val="000000"/>
                <w:sz w:val="20"/>
                <w:szCs w:val="20"/>
              </w:rPr>
            </w:pPr>
            <w:r w:rsidRPr="00F02524">
              <w:rPr>
                <w:bCs/>
                <w:color w:val="000000"/>
                <w:sz w:val="20"/>
                <w:szCs w:val="20"/>
              </w:rPr>
              <w:t>(H) Cost,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Observe Initial Performance Tests</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28.8</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1.44</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2.88</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$1,507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Notification of construction/reconstruction commencement</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2.4</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0.12</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0.24</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$126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Notification of actual startup</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0.6</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0.03</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0.06</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$31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Notification of performance test</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0.5</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0.6</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0.03</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0.06</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$31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Review Test Results</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9.6</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0.48</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0.10</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$481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color w:val="000000"/>
                <w:sz w:val="20"/>
                <w:szCs w:val="20"/>
              </w:rPr>
            </w:pPr>
            <w:r w:rsidRPr="00F02524">
              <w:rPr>
                <w:color w:val="000000"/>
                <w:sz w:val="20"/>
                <w:szCs w:val="20"/>
              </w:rPr>
              <w:t>Review NOX noncompliance reports</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1</w:t>
            </w: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8</w:t>
            </w: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0.36</w:t>
            </w:r>
          </w:p>
        </w:tc>
        <w:tc>
          <w:tcPr>
            <w:tcW w:w="111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2.88</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0.144</w:t>
            </w:r>
          </w:p>
        </w:tc>
        <w:tc>
          <w:tcPr>
            <w:tcW w:w="122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0.03</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right"/>
              <w:rPr>
                <w:color w:val="000000"/>
                <w:sz w:val="20"/>
                <w:szCs w:val="20"/>
              </w:rPr>
            </w:pPr>
            <w:r w:rsidRPr="00F02524">
              <w:rPr>
                <w:color w:val="000000"/>
                <w:sz w:val="20"/>
                <w:szCs w:val="20"/>
              </w:rPr>
              <w:t xml:space="preserve">$144 </w:t>
            </w:r>
          </w:p>
        </w:tc>
      </w:tr>
      <w:tr w:rsidR="00F02524" w:rsidRPr="00F02524" w:rsidTr="00F02524">
        <w:trPr>
          <w:trHeight w:val="255"/>
          <w:jc w:val="center"/>
        </w:trPr>
        <w:tc>
          <w:tcPr>
            <w:tcW w:w="4023" w:type="dxa"/>
            <w:tcBorders>
              <w:top w:val="nil"/>
              <w:left w:val="single" w:sz="4" w:space="0" w:color="auto"/>
              <w:bottom w:val="single" w:sz="4" w:space="0" w:color="auto"/>
              <w:right w:val="single" w:sz="4" w:space="0" w:color="auto"/>
            </w:tcBorders>
            <w:shd w:val="clear" w:color="auto" w:fill="auto"/>
            <w:noWrap/>
            <w:vAlign w:val="bottom"/>
            <w:hideMark/>
          </w:tcPr>
          <w:p w:rsidR="00F02524" w:rsidRPr="00F02524" w:rsidRDefault="00F02524" w:rsidP="00F02524">
            <w:pPr>
              <w:widowControl/>
              <w:autoSpaceDE/>
              <w:autoSpaceDN/>
              <w:adjustRightInd/>
              <w:rPr>
                <w:b/>
                <w:bCs/>
                <w:color w:val="000000"/>
                <w:sz w:val="20"/>
                <w:szCs w:val="20"/>
              </w:rPr>
            </w:pPr>
            <w:r w:rsidRPr="00F02524">
              <w:rPr>
                <w:b/>
                <w:bCs/>
                <w:color w:val="000000"/>
                <w:sz w:val="20"/>
                <w:szCs w:val="20"/>
              </w:rPr>
              <w:t>Total Annual Hours</w:t>
            </w:r>
            <w:r w:rsidR="006C76DE">
              <w:rPr>
                <w:b/>
                <w:bCs/>
                <w:color w:val="000000"/>
                <w:sz w:val="20"/>
                <w:szCs w:val="20"/>
              </w:rPr>
              <w:t xml:space="preserve"> (Rounded)</w:t>
            </w:r>
          </w:p>
        </w:tc>
        <w:tc>
          <w:tcPr>
            <w:tcW w:w="1216"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p>
        </w:tc>
        <w:tc>
          <w:tcPr>
            <w:tcW w:w="134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p>
        </w:tc>
        <w:tc>
          <w:tcPr>
            <w:tcW w:w="1150"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p>
        </w:tc>
        <w:tc>
          <w:tcPr>
            <w:tcW w:w="969"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p>
        </w:tc>
        <w:tc>
          <w:tcPr>
            <w:tcW w:w="3573" w:type="dxa"/>
            <w:gridSpan w:val="3"/>
            <w:tcBorders>
              <w:top w:val="single" w:sz="4" w:space="0" w:color="auto"/>
              <w:left w:val="nil"/>
              <w:bottom w:val="single" w:sz="4" w:space="0" w:color="auto"/>
              <w:right w:val="single" w:sz="4" w:space="0" w:color="auto"/>
            </w:tcBorders>
            <w:shd w:val="clear" w:color="auto" w:fill="auto"/>
            <w:noWrap/>
            <w:vAlign w:val="center"/>
            <w:hideMark/>
          </w:tcPr>
          <w:p w:rsidR="00F02524" w:rsidRPr="00F02524" w:rsidRDefault="00F02524" w:rsidP="00F02524">
            <w:pPr>
              <w:widowControl/>
              <w:autoSpaceDE/>
              <w:autoSpaceDN/>
              <w:adjustRightInd/>
              <w:jc w:val="center"/>
              <w:rPr>
                <w:color w:val="000000"/>
                <w:sz w:val="20"/>
                <w:szCs w:val="20"/>
              </w:rPr>
            </w:pPr>
            <w:r w:rsidRPr="00F02524">
              <w:rPr>
                <w:color w:val="000000"/>
                <w:sz w:val="20"/>
                <w:szCs w:val="20"/>
              </w:rPr>
              <w:t>50</w:t>
            </w:r>
          </w:p>
        </w:tc>
        <w:tc>
          <w:tcPr>
            <w:tcW w:w="917" w:type="dxa"/>
            <w:tcBorders>
              <w:top w:val="nil"/>
              <w:left w:val="nil"/>
              <w:bottom w:val="single" w:sz="4" w:space="0" w:color="auto"/>
              <w:right w:val="single" w:sz="4" w:space="0" w:color="auto"/>
            </w:tcBorders>
            <w:shd w:val="clear" w:color="auto" w:fill="auto"/>
            <w:noWrap/>
            <w:vAlign w:val="center"/>
            <w:hideMark/>
          </w:tcPr>
          <w:p w:rsidR="00F02524" w:rsidRPr="00F02524" w:rsidRDefault="00F02524" w:rsidP="006C76DE">
            <w:pPr>
              <w:widowControl/>
              <w:autoSpaceDE/>
              <w:autoSpaceDN/>
              <w:adjustRightInd/>
              <w:jc w:val="right"/>
              <w:rPr>
                <w:color w:val="000000"/>
                <w:sz w:val="20"/>
                <w:szCs w:val="20"/>
              </w:rPr>
            </w:pPr>
            <w:r w:rsidRPr="00F02524">
              <w:rPr>
                <w:color w:val="000000"/>
                <w:sz w:val="20"/>
                <w:szCs w:val="20"/>
              </w:rPr>
              <w:t>$2,32</w:t>
            </w:r>
            <w:r w:rsidR="006C76DE">
              <w:rPr>
                <w:color w:val="000000"/>
                <w:sz w:val="20"/>
                <w:szCs w:val="20"/>
              </w:rPr>
              <w:t>0</w:t>
            </w:r>
            <w:r w:rsidRPr="00F02524">
              <w:rPr>
                <w:color w:val="000000"/>
                <w:sz w:val="20"/>
                <w:szCs w:val="20"/>
              </w:rPr>
              <w:t xml:space="preserve"> </w:t>
            </w:r>
          </w:p>
        </w:tc>
      </w:tr>
    </w:tbl>
    <w:p w:rsidR="006C76DE" w:rsidRPr="006C76DE" w:rsidRDefault="006C76DE" w:rsidP="006C76DE">
      <w:pPr>
        <w:pBdr>
          <w:top w:val="single" w:sz="6" w:space="0" w:color="FFFFFF"/>
          <w:left w:val="single" w:sz="6" w:space="0" w:color="FFFFFF"/>
          <w:bottom w:val="single" w:sz="6" w:space="0" w:color="FFFFFF"/>
          <w:right w:val="single" w:sz="6" w:space="0" w:color="FFFFFF"/>
        </w:pBdr>
        <w:rPr>
          <w:sz w:val="20"/>
          <w:szCs w:val="20"/>
        </w:rPr>
      </w:pPr>
      <w:r w:rsidRPr="006C76DE">
        <w:rPr>
          <w:sz w:val="20"/>
          <w:szCs w:val="20"/>
        </w:rPr>
        <w:t xml:space="preserve">Note: Totals have been rounded to 3 significant digits. Figures may not add exactly due to rounding. </w:t>
      </w:r>
    </w:p>
    <w:p w:rsidR="00144F35" w:rsidRPr="00144F35" w:rsidRDefault="00144F35" w:rsidP="00F340DF">
      <w:pPr>
        <w:rPr>
          <w:bCs/>
          <w:color w:val="FF0000"/>
        </w:rPr>
      </w:pP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88" w:rsidRDefault="00C71088">
      <w:r>
        <w:separator/>
      </w:r>
    </w:p>
  </w:endnote>
  <w:endnote w:type="continuationSeparator" w:id="0">
    <w:p w:rsidR="00C71088" w:rsidRDefault="00C7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88" w:rsidRDefault="00C71088">
      <w:r>
        <w:separator/>
      </w:r>
    </w:p>
  </w:footnote>
  <w:footnote w:type="continuationSeparator" w:id="0">
    <w:p w:rsidR="00C71088" w:rsidRDefault="00C71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7E" w:rsidRDefault="00603D7E">
    <w:pPr>
      <w:framePr w:w="9361" w:wrap="notBeside" w:vAnchor="text" w:hAnchor="text" w:x="1" w:y="1"/>
      <w:jc w:val="center"/>
    </w:pPr>
    <w:r>
      <w:fldChar w:fldCharType="begin"/>
    </w:r>
    <w:r>
      <w:instrText xml:space="preserve">PAGE </w:instrText>
    </w:r>
    <w:r>
      <w:fldChar w:fldCharType="separate"/>
    </w:r>
    <w:r w:rsidR="000B6A13">
      <w:rPr>
        <w:noProof/>
      </w:rPr>
      <w:t>6</w:t>
    </w:r>
    <w:r>
      <w:rPr>
        <w:noProof/>
      </w:rPr>
      <w:fldChar w:fldCharType="end"/>
    </w:r>
  </w:p>
  <w:p w:rsidR="00603D7E" w:rsidRDefault="00603D7E"/>
  <w:p w:rsidR="00603D7E" w:rsidRDefault="00603D7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37A25"/>
    <w:rsid w:val="00055BDF"/>
    <w:rsid w:val="00055DC5"/>
    <w:rsid w:val="000A1FBB"/>
    <w:rsid w:val="000A3B6B"/>
    <w:rsid w:val="000A687C"/>
    <w:rsid w:val="000B6A13"/>
    <w:rsid w:val="000C6AD7"/>
    <w:rsid w:val="000D2272"/>
    <w:rsid w:val="000E7656"/>
    <w:rsid w:val="000F772C"/>
    <w:rsid w:val="00101B40"/>
    <w:rsid w:val="00102B52"/>
    <w:rsid w:val="0010697C"/>
    <w:rsid w:val="00123889"/>
    <w:rsid w:val="00126A7C"/>
    <w:rsid w:val="001356D4"/>
    <w:rsid w:val="0014079D"/>
    <w:rsid w:val="00144978"/>
    <w:rsid w:val="00144A82"/>
    <w:rsid w:val="00144F35"/>
    <w:rsid w:val="0015433E"/>
    <w:rsid w:val="00174945"/>
    <w:rsid w:val="00186DA3"/>
    <w:rsid w:val="00195753"/>
    <w:rsid w:val="001A0B41"/>
    <w:rsid w:val="001B0B9A"/>
    <w:rsid w:val="001B35F2"/>
    <w:rsid w:val="001C5991"/>
    <w:rsid w:val="001D7301"/>
    <w:rsid w:val="001D762C"/>
    <w:rsid w:val="001F19FF"/>
    <w:rsid w:val="002041C5"/>
    <w:rsid w:val="002063FE"/>
    <w:rsid w:val="0020641C"/>
    <w:rsid w:val="00206932"/>
    <w:rsid w:val="0021722B"/>
    <w:rsid w:val="0022738C"/>
    <w:rsid w:val="00230942"/>
    <w:rsid w:val="00234A28"/>
    <w:rsid w:val="00236DB3"/>
    <w:rsid w:val="002431D9"/>
    <w:rsid w:val="00256946"/>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45D4"/>
    <w:rsid w:val="002F674B"/>
    <w:rsid w:val="002F6DB3"/>
    <w:rsid w:val="00312AF0"/>
    <w:rsid w:val="003139FC"/>
    <w:rsid w:val="00341540"/>
    <w:rsid w:val="003511C6"/>
    <w:rsid w:val="0035325B"/>
    <w:rsid w:val="00354C15"/>
    <w:rsid w:val="0036229C"/>
    <w:rsid w:val="00377D7F"/>
    <w:rsid w:val="00390A52"/>
    <w:rsid w:val="003B384B"/>
    <w:rsid w:val="003C4B46"/>
    <w:rsid w:val="003C5023"/>
    <w:rsid w:val="003D536B"/>
    <w:rsid w:val="003D60FD"/>
    <w:rsid w:val="003D6951"/>
    <w:rsid w:val="003E2595"/>
    <w:rsid w:val="003E30B5"/>
    <w:rsid w:val="003E3BD0"/>
    <w:rsid w:val="003E4C18"/>
    <w:rsid w:val="003F1AFC"/>
    <w:rsid w:val="0040391F"/>
    <w:rsid w:val="00412CA7"/>
    <w:rsid w:val="004170BC"/>
    <w:rsid w:val="004213E0"/>
    <w:rsid w:val="00423692"/>
    <w:rsid w:val="0044133C"/>
    <w:rsid w:val="00455557"/>
    <w:rsid w:val="00456263"/>
    <w:rsid w:val="00473407"/>
    <w:rsid w:val="00484A45"/>
    <w:rsid w:val="004A4B25"/>
    <w:rsid w:val="004C5E95"/>
    <w:rsid w:val="004C6850"/>
    <w:rsid w:val="004C701D"/>
    <w:rsid w:val="004D61D4"/>
    <w:rsid w:val="004E4E27"/>
    <w:rsid w:val="004F1469"/>
    <w:rsid w:val="004F5614"/>
    <w:rsid w:val="004F6FCD"/>
    <w:rsid w:val="00504745"/>
    <w:rsid w:val="00507EC5"/>
    <w:rsid w:val="00516952"/>
    <w:rsid w:val="005253D4"/>
    <w:rsid w:val="00525AD7"/>
    <w:rsid w:val="00551815"/>
    <w:rsid w:val="00560AD2"/>
    <w:rsid w:val="00565A51"/>
    <w:rsid w:val="00571260"/>
    <w:rsid w:val="00583626"/>
    <w:rsid w:val="005A1986"/>
    <w:rsid w:val="005B5DE8"/>
    <w:rsid w:val="005B6219"/>
    <w:rsid w:val="005C3665"/>
    <w:rsid w:val="005C42AC"/>
    <w:rsid w:val="005D385C"/>
    <w:rsid w:val="005E194B"/>
    <w:rsid w:val="005F42F8"/>
    <w:rsid w:val="00601205"/>
    <w:rsid w:val="00603D7E"/>
    <w:rsid w:val="00606DEF"/>
    <w:rsid w:val="00626F2A"/>
    <w:rsid w:val="00631517"/>
    <w:rsid w:val="00635DBD"/>
    <w:rsid w:val="00656193"/>
    <w:rsid w:val="00661361"/>
    <w:rsid w:val="006741F7"/>
    <w:rsid w:val="006810C3"/>
    <w:rsid w:val="00694B55"/>
    <w:rsid w:val="00694F70"/>
    <w:rsid w:val="006C76DE"/>
    <w:rsid w:val="006D1B12"/>
    <w:rsid w:val="006E4A6E"/>
    <w:rsid w:val="006E642B"/>
    <w:rsid w:val="006F6808"/>
    <w:rsid w:val="00724BC7"/>
    <w:rsid w:val="00733C19"/>
    <w:rsid w:val="00763160"/>
    <w:rsid w:val="00766BF3"/>
    <w:rsid w:val="00777C53"/>
    <w:rsid w:val="00780612"/>
    <w:rsid w:val="00786A20"/>
    <w:rsid w:val="007A0634"/>
    <w:rsid w:val="007A16F4"/>
    <w:rsid w:val="007A458D"/>
    <w:rsid w:val="007C0FAA"/>
    <w:rsid w:val="007D7C06"/>
    <w:rsid w:val="007E6FF4"/>
    <w:rsid w:val="007F07FB"/>
    <w:rsid w:val="00801440"/>
    <w:rsid w:val="00810507"/>
    <w:rsid w:val="008138BC"/>
    <w:rsid w:val="00813E69"/>
    <w:rsid w:val="0081579D"/>
    <w:rsid w:val="00817E8B"/>
    <w:rsid w:val="008271C3"/>
    <w:rsid w:val="008338D4"/>
    <w:rsid w:val="00837642"/>
    <w:rsid w:val="0084255D"/>
    <w:rsid w:val="00850ACF"/>
    <w:rsid w:val="00852038"/>
    <w:rsid w:val="00861489"/>
    <w:rsid w:val="008779D0"/>
    <w:rsid w:val="0088639E"/>
    <w:rsid w:val="008A46EB"/>
    <w:rsid w:val="008B02A3"/>
    <w:rsid w:val="008B407C"/>
    <w:rsid w:val="008E65E6"/>
    <w:rsid w:val="008F285B"/>
    <w:rsid w:val="008F4564"/>
    <w:rsid w:val="009018EC"/>
    <w:rsid w:val="00906EDB"/>
    <w:rsid w:val="00907009"/>
    <w:rsid w:val="00912E00"/>
    <w:rsid w:val="0092159E"/>
    <w:rsid w:val="00923C46"/>
    <w:rsid w:val="00932997"/>
    <w:rsid w:val="009711DB"/>
    <w:rsid w:val="009A0F50"/>
    <w:rsid w:val="009A16CD"/>
    <w:rsid w:val="009C06F5"/>
    <w:rsid w:val="009C33CB"/>
    <w:rsid w:val="009D49DD"/>
    <w:rsid w:val="009D6567"/>
    <w:rsid w:val="009E0F31"/>
    <w:rsid w:val="009E219A"/>
    <w:rsid w:val="009F3802"/>
    <w:rsid w:val="00A007F5"/>
    <w:rsid w:val="00A038EC"/>
    <w:rsid w:val="00A0689D"/>
    <w:rsid w:val="00A103B6"/>
    <w:rsid w:val="00A145B0"/>
    <w:rsid w:val="00A15172"/>
    <w:rsid w:val="00A26EF7"/>
    <w:rsid w:val="00A277D6"/>
    <w:rsid w:val="00A379F8"/>
    <w:rsid w:val="00A42878"/>
    <w:rsid w:val="00A451FE"/>
    <w:rsid w:val="00A54EEA"/>
    <w:rsid w:val="00A56BFF"/>
    <w:rsid w:val="00A73600"/>
    <w:rsid w:val="00A74C1E"/>
    <w:rsid w:val="00A7661C"/>
    <w:rsid w:val="00A949F7"/>
    <w:rsid w:val="00A95BC7"/>
    <w:rsid w:val="00A962DF"/>
    <w:rsid w:val="00AA4008"/>
    <w:rsid w:val="00AC7A83"/>
    <w:rsid w:val="00AF70A1"/>
    <w:rsid w:val="00B07F79"/>
    <w:rsid w:val="00B16C07"/>
    <w:rsid w:val="00B46A57"/>
    <w:rsid w:val="00B65754"/>
    <w:rsid w:val="00B66231"/>
    <w:rsid w:val="00B769F1"/>
    <w:rsid w:val="00B82025"/>
    <w:rsid w:val="00B846E7"/>
    <w:rsid w:val="00B94435"/>
    <w:rsid w:val="00BA0A91"/>
    <w:rsid w:val="00BA4887"/>
    <w:rsid w:val="00BA5BCC"/>
    <w:rsid w:val="00BB3390"/>
    <w:rsid w:val="00BB3C1A"/>
    <w:rsid w:val="00BC11E9"/>
    <w:rsid w:val="00BC6DEF"/>
    <w:rsid w:val="00BD0838"/>
    <w:rsid w:val="00BD7CAE"/>
    <w:rsid w:val="00BE2989"/>
    <w:rsid w:val="00BE7A11"/>
    <w:rsid w:val="00BF2903"/>
    <w:rsid w:val="00BF722F"/>
    <w:rsid w:val="00C04D9F"/>
    <w:rsid w:val="00C13FE8"/>
    <w:rsid w:val="00C15AA0"/>
    <w:rsid w:val="00C30A60"/>
    <w:rsid w:val="00C33ABA"/>
    <w:rsid w:val="00C37BB6"/>
    <w:rsid w:val="00C52EFD"/>
    <w:rsid w:val="00C64378"/>
    <w:rsid w:val="00C71088"/>
    <w:rsid w:val="00C75CF0"/>
    <w:rsid w:val="00C808B5"/>
    <w:rsid w:val="00C82DB6"/>
    <w:rsid w:val="00CA4CD6"/>
    <w:rsid w:val="00CA7DA0"/>
    <w:rsid w:val="00CB36AD"/>
    <w:rsid w:val="00CC3A2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92F66"/>
    <w:rsid w:val="00D95213"/>
    <w:rsid w:val="00D95819"/>
    <w:rsid w:val="00DA6C6D"/>
    <w:rsid w:val="00DA7285"/>
    <w:rsid w:val="00DA7CA5"/>
    <w:rsid w:val="00DB1C73"/>
    <w:rsid w:val="00DB59E1"/>
    <w:rsid w:val="00DD0312"/>
    <w:rsid w:val="00DD1AC1"/>
    <w:rsid w:val="00DD7D49"/>
    <w:rsid w:val="00DF5C4E"/>
    <w:rsid w:val="00DF6DA8"/>
    <w:rsid w:val="00E10DA7"/>
    <w:rsid w:val="00E1538C"/>
    <w:rsid w:val="00E25DB6"/>
    <w:rsid w:val="00E276CD"/>
    <w:rsid w:val="00E32EDA"/>
    <w:rsid w:val="00E50CA0"/>
    <w:rsid w:val="00E53137"/>
    <w:rsid w:val="00E702F6"/>
    <w:rsid w:val="00E72D70"/>
    <w:rsid w:val="00E77D5E"/>
    <w:rsid w:val="00E8481E"/>
    <w:rsid w:val="00E868BB"/>
    <w:rsid w:val="00E961A5"/>
    <w:rsid w:val="00EA37A9"/>
    <w:rsid w:val="00EA7026"/>
    <w:rsid w:val="00EC4074"/>
    <w:rsid w:val="00ED741E"/>
    <w:rsid w:val="00ED774C"/>
    <w:rsid w:val="00EF113F"/>
    <w:rsid w:val="00F02524"/>
    <w:rsid w:val="00F02EB3"/>
    <w:rsid w:val="00F033F0"/>
    <w:rsid w:val="00F03803"/>
    <w:rsid w:val="00F066C9"/>
    <w:rsid w:val="00F114EC"/>
    <w:rsid w:val="00F1237E"/>
    <w:rsid w:val="00F14997"/>
    <w:rsid w:val="00F175BE"/>
    <w:rsid w:val="00F20584"/>
    <w:rsid w:val="00F20822"/>
    <w:rsid w:val="00F30FDB"/>
    <w:rsid w:val="00F340DF"/>
    <w:rsid w:val="00F356B2"/>
    <w:rsid w:val="00F538BC"/>
    <w:rsid w:val="00F63E8F"/>
    <w:rsid w:val="00F87E6A"/>
    <w:rsid w:val="00F9092B"/>
    <w:rsid w:val="00F92D22"/>
    <w:rsid w:val="00FB0650"/>
    <w:rsid w:val="00FB4D98"/>
    <w:rsid w:val="00FB6378"/>
    <w:rsid w:val="00FB7A27"/>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DD680D5-52A3-4B81-BFC4-231A6112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character" w:customStyle="1" w:styleId="field-content">
    <w:name w:val="field-content"/>
    <w:basedOn w:val="DefaultParagraphFont"/>
    <w:rsid w:val="00F3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6787941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255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E551-A7CF-44E8-9E1A-D60ECD7B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4931</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2015-08-10T13:35:00Z</dcterms:created>
  <dcterms:modified xsi:type="dcterms:W3CDTF">2015-08-10T13:35:00Z</dcterms:modified>
</cp:coreProperties>
</file>