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6C38F2" w14:textId="5DED6AF9" w:rsidR="0012764F" w:rsidRPr="0012764F" w:rsidRDefault="00423958" w:rsidP="0012764F">
      <w:pPr>
        <w:jc w:val="right"/>
      </w:pPr>
      <w:r>
        <w:t>1/5/2017</w:t>
      </w:r>
    </w:p>
    <w:p w14:paraId="40D179CD" w14:textId="6E1353BA" w:rsidR="0012764F" w:rsidRDefault="00260378" w:rsidP="00720F5A">
      <w:pPr>
        <w:jc w:val="center"/>
        <w:rPr>
          <w:b/>
        </w:rPr>
      </w:pPr>
      <w:r>
        <w:rPr>
          <w:b/>
        </w:rPr>
        <w:t>Department of Energy</w:t>
      </w:r>
    </w:p>
    <w:p w14:paraId="3F3A77CD" w14:textId="77777777" w:rsidR="00C82919" w:rsidRPr="00C82919" w:rsidRDefault="00C82919" w:rsidP="00720F5A">
      <w:pPr>
        <w:jc w:val="center"/>
        <w:rPr>
          <w:b/>
        </w:rPr>
      </w:pPr>
      <w:r w:rsidRPr="00C82919">
        <w:rPr>
          <w:b/>
        </w:rPr>
        <w:t xml:space="preserve">Supporting Statement: </w:t>
      </w:r>
      <w:r w:rsidR="0012764F">
        <w:rPr>
          <w:b/>
        </w:rPr>
        <w:t>ICR for DOE Impact Evaluation of HVAC, Water Heating and Appliance R&amp;D Program</w:t>
      </w:r>
    </w:p>
    <w:p w14:paraId="4112D481" w14:textId="4D84F781" w:rsidR="00C82919" w:rsidRDefault="00C82919" w:rsidP="00C82919">
      <w:pPr>
        <w:jc w:val="center"/>
        <w:rPr>
          <w:b/>
        </w:rPr>
      </w:pPr>
      <w:r w:rsidRPr="00C82919">
        <w:rPr>
          <w:b/>
        </w:rPr>
        <w:t>OMB Control Number 1910-</w:t>
      </w:r>
      <w:r w:rsidR="000451A2">
        <w:rPr>
          <w:b/>
        </w:rPr>
        <w:t>NEW</w:t>
      </w:r>
    </w:p>
    <w:p w14:paraId="0A6F3B53" w14:textId="77777777" w:rsidR="00720F5A" w:rsidRDefault="00720F5A" w:rsidP="00C82919">
      <w:pPr>
        <w:jc w:val="center"/>
        <w:rPr>
          <w:b/>
        </w:rPr>
      </w:pPr>
    </w:p>
    <w:p w14:paraId="68438630" w14:textId="749F441F" w:rsidR="00184C46" w:rsidRDefault="00184C46" w:rsidP="00184C46">
      <w:r>
        <w:t>This supporting statement provides additional information regarding the Department of Energy (DOE)</w:t>
      </w:r>
      <w:r w:rsidR="00A74347">
        <w:t xml:space="preserve"> Office of Energy Efficiency and Renewable Energy</w:t>
      </w:r>
      <w:r>
        <w:t xml:space="preserve"> </w:t>
      </w:r>
      <w:r w:rsidR="00A74347">
        <w:t xml:space="preserve">(EERE) </w:t>
      </w:r>
      <w:r>
        <w:t>request for processing of the</w:t>
      </w:r>
      <w:r w:rsidRPr="003C41DF">
        <w:t xml:space="preserve"> </w:t>
      </w:r>
      <w:r>
        <w:t>proposed information collection</w:t>
      </w:r>
      <w:r w:rsidR="00736940">
        <w:t xml:space="preserve"> for the study</w:t>
      </w:r>
      <w:r>
        <w:t xml:space="preserve">, </w:t>
      </w:r>
      <w:r w:rsidR="00694CD0" w:rsidRPr="00505190">
        <w:t>DOE Impact Evaluation of HVAC, Water Heating and Appliance R&amp;D Program</w:t>
      </w:r>
      <w:r w:rsidR="00A74347">
        <w:t>.</w:t>
      </w:r>
    </w:p>
    <w:p w14:paraId="2E9F2433" w14:textId="77777777" w:rsidR="00505190" w:rsidRDefault="00505190" w:rsidP="00184C46"/>
    <w:p w14:paraId="6FC25D96" w14:textId="77777777" w:rsidR="00505190" w:rsidRPr="00905A25" w:rsidRDefault="00505190" w:rsidP="00505190">
      <w:pPr>
        <w:numPr>
          <w:ilvl w:val="0"/>
          <w:numId w:val="2"/>
        </w:numPr>
        <w:rPr>
          <w:b/>
          <w:sz w:val="28"/>
          <w:szCs w:val="28"/>
          <w:u w:val="single"/>
        </w:rPr>
      </w:pPr>
      <w:r w:rsidRPr="00905A25">
        <w:rPr>
          <w:b/>
          <w:sz w:val="28"/>
          <w:szCs w:val="28"/>
          <w:u w:val="single"/>
        </w:rPr>
        <w:t>Collections of Information Employing Statistical Methods.</w:t>
      </w:r>
    </w:p>
    <w:p w14:paraId="0E8D3AA2" w14:textId="77777777" w:rsidR="00505190" w:rsidRDefault="00505190" w:rsidP="00505190"/>
    <w:p w14:paraId="62B130E1" w14:textId="45104C61" w:rsidR="00D6687C" w:rsidRDefault="005C1724" w:rsidP="00630FB9">
      <w:r w:rsidRPr="005C1724">
        <w:t xml:space="preserve">The information collection will gather opinions of experts in industry regarding the impact </w:t>
      </w:r>
      <w:r w:rsidR="00B70CE2" w:rsidRPr="005C1724">
        <w:t>of DOE/EERE Building Technologies Office</w:t>
      </w:r>
      <w:r w:rsidR="00B70CE2">
        <w:t xml:space="preserve"> (BTO)</w:t>
      </w:r>
      <w:r w:rsidR="00B70CE2" w:rsidRPr="005C1724">
        <w:t xml:space="preserve"> investments </w:t>
      </w:r>
      <w:r w:rsidRPr="005C1724">
        <w:t xml:space="preserve">on the development and diffusion of energy-efficient HVAC, water heating, and appliance technologies. Expert opinions are necessary </w:t>
      </w:r>
      <w:r w:rsidR="00C43795">
        <w:t xml:space="preserve">in evaluation studies of </w:t>
      </w:r>
      <w:r w:rsidR="00206318">
        <w:t>R&amp;D investments</w:t>
      </w:r>
      <w:r w:rsidR="00C43795">
        <w:t xml:space="preserve">, </w:t>
      </w:r>
      <w:r w:rsidRPr="005C1724">
        <w:t xml:space="preserve">to </w:t>
      </w:r>
      <w:r w:rsidR="00C43795">
        <w:t>confirm the actual role of BTO in the</w:t>
      </w:r>
      <w:r w:rsidR="00206318">
        <w:t xml:space="preserve"> financing and development of the</w:t>
      </w:r>
      <w:r w:rsidR="00C43795">
        <w:t xml:space="preserve"> index technologies, and to </w:t>
      </w:r>
      <w:r w:rsidRPr="005C1724">
        <w:t xml:space="preserve">characterize counterfactual patterns of technology development and diffusion in the absence of </w:t>
      </w:r>
      <w:r w:rsidR="00A74347">
        <w:t>BTO</w:t>
      </w:r>
      <w:r w:rsidRPr="005C1724">
        <w:t xml:space="preserve"> investments, </w:t>
      </w:r>
      <w:r w:rsidR="00C43795">
        <w:t>thus enabling</w:t>
      </w:r>
      <w:r w:rsidRPr="005C1724">
        <w:t xml:space="preserve"> (by comparing these counterfactuals with actual observations) </w:t>
      </w:r>
      <w:r w:rsidR="00206318">
        <w:t xml:space="preserve">the </w:t>
      </w:r>
      <w:r w:rsidRPr="005C1724">
        <w:t>estimat</w:t>
      </w:r>
      <w:r w:rsidR="00206318">
        <w:t>ion of</w:t>
      </w:r>
      <w:r w:rsidRPr="005C1724">
        <w:t xml:space="preserve"> the </w:t>
      </w:r>
      <w:r w:rsidR="00A74347">
        <w:t>impact attributable to</w:t>
      </w:r>
      <w:r>
        <w:t xml:space="preserve"> </w:t>
      </w:r>
      <w:r w:rsidR="00A74347">
        <w:t>BTO</w:t>
      </w:r>
      <w:r w:rsidR="00505190">
        <w:t>.</w:t>
      </w:r>
    </w:p>
    <w:p w14:paraId="057DD5C6" w14:textId="77777777" w:rsidR="00D6687C" w:rsidRDefault="00D6687C" w:rsidP="00A74347">
      <w:pPr>
        <w:ind w:firstLine="360"/>
      </w:pPr>
    </w:p>
    <w:p w14:paraId="477EBB63" w14:textId="0E794BC8" w:rsidR="00D6687C" w:rsidRDefault="00657DCE" w:rsidP="00630FB9">
      <w:pPr>
        <w:spacing w:after="120"/>
      </w:pPr>
      <w:r>
        <w:t xml:space="preserve">Interviews with industry experts will be conducted for </w:t>
      </w:r>
      <w:r w:rsidR="00423958">
        <w:t>two</w:t>
      </w:r>
      <w:r w:rsidR="00423958">
        <w:t xml:space="preserve"> </w:t>
      </w:r>
      <w:r w:rsidR="00D6687C">
        <w:t>technologies:</w:t>
      </w:r>
    </w:p>
    <w:p w14:paraId="7D01E5CC" w14:textId="741887BD" w:rsidR="00D6687C" w:rsidRDefault="00D6687C" w:rsidP="00D6687C">
      <w:pPr>
        <w:spacing w:after="120"/>
        <w:ind w:firstLine="360"/>
      </w:pPr>
      <w:r>
        <w:tab/>
        <w:t>1. Advanced Refrigeration and Refrigerator/Freezer Technology</w:t>
      </w:r>
    </w:p>
    <w:p w14:paraId="3795ACE4" w14:textId="173BC315" w:rsidR="00657DCE" w:rsidRDefault="00657DCE" w:rsidP="00657DCE">
      <w:pPr>
        <w:spacing w:after="120"/>
        <w:ind w:firstLine="720"/>
      </w:pPr>
      <w:r>
        <w:t>2. Alternative Refrigerants Research and the Heat Pump Design Model</w:t>
      </w:r>
    </w:p>
    <w:p w14:paraId="314F0DED" w14:textId="0AD8EBD0" w:rsidR="00206318" w:rsidRDefault="00657DCE" w:rsidP="00657DCE">
      <w:pPr>
        <w:spacing w:after="120"/>
      </w:pPr>
      <w:r>
        <w:t>The scope of these interviews will be limited to R&amp;D performed within the past 15 years.</w:t>
      </w:r>
    </w:p>
    <w:p w14:paraId="537F4D7D" w14:textId="05444877" w:rsidR="001A5382" w:rsidRPr="007873F1" w:rsidRDefault="00F04FDB" w:rsidP="00630FB9">
      <w:r>
        <w:t>S</w:t>
      </w:r>
      <w:r w:rsidR="002F3185">
        <w:t>eparate interview guide</w:t>
      </w:r>
      <w:r w:rsidR="0069155F">
        <w:t>s</w:t>
      </w:r>
      <w:r w:rsidR="002F3185">
        <w:t xml:space="preserve"> </w:t>
      </w:r>
      <w:r>
        <w:t xml:space="preserve">will be developed </w:t>
      </w:r>
      <w:r w:rsidR="0069155F">
        <w:t xml:space="preserve">and separate </w:t>
      </w:r>
      <w:r w:rsidR="00736940">
        <w:t xml:space="preserve">sets </w:t>
      </w:r>
      <w:r w:rsidR="00F22568">
        <w:t>of respondents</w:t>
      </w:r>
      <w:r w:rsidR="0069155F">
        <w:t xml:space="preserve"> </w:t>
      </w:r>
      <w:r>
        <w:t xml:space="preserve">will be targeted </w:t>
      </w:r>
      <w:r w:rsidR="002F3185">
        <w:t>for</w:t>
      </w:r>
      <w:r w:rsidR="0069155F">
        <w:t xml:space="preserve"> each of these </w:t>
      </w:r>
      <w:r w:rsidR="00423958">
        <w:t>two</w:t>
      </w:r>
      <w:r w:rsidR="00423958">
        <w:t xml:space="preserve"> </w:t>
      </w:r>
      <w:r w:rsidR="0069155F">
        <w:t xml:space="preserve">technologies. </w:t>
      </w:r>
      <w:r w:rsidR="0029584F">
        <w:t>If any</w:t>
      </w:r>
      <w:r w:rsidR="00896BC2" w:rsidRPr="00896BC2">
        <w:t xml:space="preserve"> respondent</w:t>
      </w:r>
      <w:r w:rsidR="0029584F">
        <w:t xml:space="preserve"> has</w:t>
      </w:r>
      <w:r w:rsidR="00896BC2" w:rsidRPr="00896BC2">
        <w:t xml:space="preserve"> knowledge of </w:t>
      </w:r>
      <w:r w:rsidR="0029584F">
        <w:t xml:space="preserve">more than one of these </w:t>
      </w:r>
      <w:r w:rsidR="00423958">
        <w:t>two</w:t>
      </w:r>
      <w:r w:rsidR="00423958" w:rsidRPr="00896BC2">
        <w:t xml:space="preserve"> </w:t>
      </w:r>
      <w:r w:rsidR="00896BC2" w:rsidRPr="00896BC2">
        <w:t xml:space="preserve">technologies, </w:t>
      </w:r>
      <w:r w:rsidR="0029584F">
        <w:t xml:space="preserve">we will select one technology for the interview; no interviewee will be asked to </w:t>
      </w:r>
      <w:r w:rsidR="0029584F" w:rsidRPr="007873F1">
        <w:t>provide information on more than one technology</w:t>
      </w:r>
      <w:r w:rsidR="00896BC2" w:rsidRPr="007873F1">
        <w:t>.</w:t>
      </w:r>
      <w:r w:rsidR="00AE36FE" w:rsidRPr="007873F1">
        <w:t xml:space="preserve"> </w:t>
      </w:r>
      <w:r w:rsidR="001A63A6" w:rsidRPr="007873F1">
        <w:t xml:space="preserve">EERE </w:t>
      </w:r>
      <w:r w:rsidR="00AE36FE" w:rsidRPr="007873F1">
        <w:t xml:space="preserve">will select the technology for </w:t>
      </w:r>
      <w:r w:rsidR="001A5382" w:rsidRPr="007873F1">
        <w:t>the interview based on the applicability of one or more of the following criteria:</w:t>
      </w:r>
    </w:p>
    <w:p w14:paraId="5B0F0522" w14:textId="7AA57FE9" w:rsidR="00505190" w:rsidRPr="007873F1" w:rsidRDefault="00AE36FE" w:rsidP="007873F1">
      <w:pPr>
        <w:pStyle w:val="ListParagraph"/>
        <w:numPr>
          <w:ilvl w:val="0"/>
          <w:numId w:val="22"/>
        </w:numPr>
        <w:rPr>
          <w:rFonts w:ascii="Times New Roman" w:hAnsi="Times New Roman" w:cs="Times New Roman"/>
          <w:sz w:val="24"/>
          <w:szCs w:val="24"/>
        </w:rPr>
      </w:pPr>
      <w:r w:rsidRPr="007873F1">
        <w:rPr>
          <w:rFonts w:ascii="Times New Roman" w:hAnsi="Times New Roman" w:cs="Times New Roman"/>
          <w:sz w:val="24"/>
          <w:szCs w:val="24"/>
        </w:rPr>
        <w:t xml:space="preserve">the </w:t>
      </w:r>
      <w:r w:rsidR="001A5382" w:rsidRPr="007873F1">
        <w:rPr>
          <w:rFonts w:ascii="Times New Roman" w:hAnsi="Times New Roman" w:cs="Times New Roman"/>
          <w:sz w:val="24"/>
          <w:szCs w:val="24"/>
        </w:rPr>
        <w:t xml:space="preserve">technology that </w:t>
      </w:r>
      <w:r w:rsidRPr="007873F1">
        <w:rPr>
          <w:rFonts w:ascii="Times New Roman" w:hAnsi="Times New Roman" w:cs="Times New Roman"/>
          <w:sz w:val="24"/>
          <w:szCs w:val="24"/>
        </w:rPr>
        <w:t>respondent has the greatest number of years of relevant experience since 2000</w:t>
      </w:r>
      <w:r w:rsidR="001A63A6" w:rsidRPr="007873F1">
        <w:rPr>
          <w:rFonts w:ascii="Times New Roman" w:hAnsi="Times New Roman" w:cs="Times New Roman"/>
          <w:sz w:val="24"/>
          <w:szCs w:val="24"/>
        </w:rPr>
        <w:t>;</w:t>
      </w:r>
    </w:p>
    <w:p w14:paraId="0D6076B3" w14:textId="334F7EC1" w:rsidR="001A5382" w:rsidRPr="007873F1" w:rsidRDefault="001A5382" w:rsidP="007873F1">
      <w:pPr>
        <w:pStyle w:val="ListParagraph"/>
        <w:numPr>
          <w:ilvl w:val="0"/>
          <w:numId w:val="22"/>
        </w:numPr>
        <w:rPr>
          <w:rFonts w:ascii="Times New Roman" w:hAnsi="Times New Roman" w:cs="Times New Roman"/>
          <w:sz w:val="24"/>
          <w:szCs w:val="24"/>
        </w:rPr>
      </w:pPr>
      <w:r w:rsidRPr="007873F1">
        <w:rPr>
          <w:rFonts w:ascii="Times New Roman" w:hAnsi="Times New Roman" w:cs="Times New Roman"/>
          <w:sz w:val="24"/>
          <w:szCs w:val="24"/>
        </w:rPr>
        <w:t>The technology that respondent has been most actively involved with</w:t>
      </w:r>
      <w:r w:rsidR="001A63A6" w:rsidRPr="007873F1">
        <w:rPr>
          <w:rFonts w:ascii="Times New Roman" w:hAnsi="Times New Roman" w:cs="Times New Roman"/>
          <w:sz w:val="24"/>
          <w:szCs w:val="24"/>
        </w:rPr>
        <w:t xml:space="preserve"> since 2000.</w:t>
      </w:r>
    </w:p>
    <w:p w14:paraId="6A44D09A" w14:textId="77777777" w:rsidR="00505190" w:rsidRPr="00F4687A" w:rsidRDefault="00505190" w:rsidP="00505190">
      <w:pPr>
        <w:rPr>
          <w:b/>
          <w:i/>
        </w:rPr>
      </w:pPr>
    </w:p>
    <w:p w14:paraId="6D038952" w14:textId="1B49CFEE" w:rsidR="00505190" w:rsidRPr="00F4687A" w:rsidRDefault="00DE13B3" w:rsidP="00505190">
      <w:pPr>
        <w:numPr>
          <w:ilvl w:val="0"/>
          <w:numId w:val="15"/>
        </w:numPr>
        <w:rPr>
          <w:b/>
          <w:bCs/>
          <w:u w:val="single"/>
        </w:rPr>
      </w:pPr>
      <w:r>
        <w:rPr>
          <w:b/>
          <w:u w:val="single"/>
        </w:rPr>
        <w:t>R</w:t>
      </w:r>
      <w:r w:rsidR="00505190" w:rsidRPr="00EE507C">
        <w:rPr>
          <w:b/>
          <w:u w:val="single"/>
        </w:rPr>
        <w:t xml:space="preserve">espondent </w:t>
      </w:r>
      <w:r>
        <w:rPr>
          <w:b/>
          <w:u w:val="single"/>
        </w:rPr>
        <w:t>u</w:t>
      </w:r>
      <w:r w:rsidR="00505190" w:rsidRPr="00EE507C">
        <w:rPr>
          <w:b/>
          <w:u w:val="single"/>
        </w:rPr>
        <w:t xml:space="preserve">niverse and </w:t>
      </w:r>
      <w:r>
        <w:rPr>
          <w:b/>
          <w:u w:val="single"/>
        </w:rPr>
        <w:t>s</w:t>
      </w:r>
      <w:r w:rsidR="00505190" w:rsidRPr="00EE507C">
        <w:rPr>
          <w:b/>
          <w:u w:val="single"/>
        </w:rPr>
        <w:t xml:space="preserve">election </w:t>
      </w:r>
      <w:r>
        <w:rPr>
          <w:b/>
          <w:u w:val="single"/>
        </w:rPr>
        <w:t>m</w:t>
      </w:r>
      <w:r w:rsidR="00505190" w:rsidRPr="00EE507C">
        <w:rPr>
          <w:b/>
          <w:u w:val="single"/>
        </w:rPr>
        <w:t>ethods</w:t>
      </w:r>
    </w:p>
    <w:p w14:paraId="3BB805C7" w14:textId="77777777" w:rsidR="00505190" w:rsidRDefault="00505190" w:rsidP="00505190"/>
    <w:p w14:paraId="38AC7216" w14:textId="49AA3577" w:rsidR="005E042B" w:rsidRPr="005E042B" w:rsidRDefault="005024BC" w:rsidP="00630FB9">
      <w:r w:rsidRPr="005E042B">
        <w:t>Qualified</w:t>
      </w:r>
      <w:r w:rsidR="00A74347" w:rsidRPr="005E042B">
        <w:t xml:space="preserve"> respondents must </w:t>
      </w:r>
      <w:r w:rsidR="00736940">
        <w:t xml:space="preserve">be industry experts who </w:t>
      </w:r>
      <w:r w:rsidR="005E042B" w:rsidRPr="005E042B">
        <w:t>have knowledge</w:t>
      </w:r>
      <w:r w:rsidR="00A74347" w:rsidRPr="005E042B">
        <w:t xml:space="preserve"> </w:t>
      </w:r>
      <w:r w:rsidR="00EF58FA">
        <w:t>in each of the following three areas:</w:t>
      </w:r>
    </w:p>
    <w:p w14:paraId="6DFB250F" w14:textId="279CA758" w:rsidR="005E042B" w:rsidRPr="005E042B" w:rsidRDefault="001E43F6" w:rsidP="00630FB9">
      <w:pPr>
        <w:pStyle w:val="ListParagraph"/>
        <w:numPr>
          <w:ilvl w:val="0"/>
          <w:numId w:val="17"/>
        </w:numPr>
        <w:spacing w:after="120"/>
        <w:ind w:left="1152"/>
        <w:contextualSpacing w:val="0"/>
        <w:rPr>
          <w:rFonts w:ascii="Times New Roman" w:hAnsi="Times New Roman" w:cs="Times New Roman"/>
          <w:sz w:val="24"/>
          <w:szCs w:val="24"/>
        </w:rPr>
      </w:pPr>
      <w:r>
        <w:rPr>
          <w:rFonts w:ascii="Times New Roman" w:hAnsi="Times New Roman" w:cs="Times New Roman"/>
          <w:sz w:val="24"/>
          <w:szCs w:val="24"/>
        </w:rPr>
        <w:t>T</w:t>
      </w:r>
      <w:r w:rsidR="00A74347" w:rsidRPr="005E042B">
        <w:rPr>
          <w:rFonts w:ascii="Times New Roman" w:hAnsi="Times New Roman" w:cs="Times New Roman"/>
          <w:sz w:val="24"/>
          <w:szCs w:val="24"/>
        </w:rPr>
        <w:t>he relevant BTO investments</w:t>
      </w:r>
      <w:r w:rsidR="00D55DC9" w:rsidRPr="005E042B">
        <w:rPr>
          <w:rFonts w:ascii="Times New Roman" w:hAnsi="Times New Roman" w:cs="Times New Roman"/>
          <w:sz w:val="24"/>
          <w:szCs w:val="24"/>
        </w:rPr>
        <w:t xml:space="preserve"> and activities</w:t>
      </w:r>
      <w:r w:rsidR="006A285A">
        <w:rPr>
          <w:rFonts w:ascii="Times New Roman" w:hAnsi="Times New Roman" w:cs="Times New Roman"/>
          <w:sz w:val="24"/>
          <w:szCs w:val="24"/>
        </w:rPr>
        <w:t xml:space="preserve"> that use the </w:t>
      </w:r>
      <w:r w:rsidR="00423958">
        <w:rPr>
          <w:rFonts w:ascii="Times New Roman" w:hAnsi="Times New Roman" w:cs="Times New Roman"/>
          <w:sz w:val="24"/>
          <w:szCs w:val="24"/>
        </w:rPr>
        <w:t>two</w:t>
      </w:r>
      <w:r w:rsidR="00423958">
        <w:rPr>
          <w:rFonts w:ascii="Times New Roman" w:hAnsi="Times New Roman" w:cs="Times New Roman"/>
          <w:sz w:val="24"/>
          <w:szCs w:val="24"/>
        </w:rPr>
        <w:t xml:space="preserve"> </w:t>
      </w:r>
      <w:r w:rsidR="006A285A">
        <w:rPr>
          <w:rFonts w:ascii="Times New Roman" w:hAnsi="Times New Roman" w:cs="Times New Roman"/>
          <w:sz w:val="24"/>
          <w:szCs w:val="24"/>
        </w:rPr>
        <w:t>technologies being evaluated in this study</w:t>
      </w:r>
      <w:r w:rsidR="00D55DC9" w:rsidRPr="005E042B">
        <w:rPr>
          <w:rFonts w:ascii="Times New Roman" w:hAnsi="Times New Roman" w:cs="Times New Roman"/>
          <w:sz w:val="24"/>
          <w:szCs w:val="24"/>
        </w:rPr>
        <w:t>;</w:t>
      </w:r>
      <w:r w:rsidR="00A74347" w:rsidRPr="005E042B">
        <w:rPr>
          <w:rFonts w:ascii="Times New Roman" w:hAnsi="Times New Roman" w:cs="Times New Roman"/>
          <w:sz w:val="24"/>
          <w:szCs w:val="24"/>
        </w:rPr>
        <w:t xml:space="preserve"> </w:t>
      </w:r>
    </w:p>
    <w:p w14:paraId="0E54D8D7" w14:textId="3FCC9198" w:rsidR="005E042B" w:rsidRPr="005E042B" w:rsidRDefault="001E43F6" w:rsidP="00630FB9">
      <w:pPr>
        <w:pStyle w:val="ListParagraph"/>
        <w:numPr>
          <w:ilvl w:val="0"/>
          <w:numId w:val="17"/>
        </w:numPr>
        <w:spacing w:after="120"/>
        <w:ind w:left="1152"/>
        <w:contextualSpacing w:val="0"/>
        <w:rPr>
          <w:rFonts w:ascii="Times New Roman" w:hAnsi="Times New Roman" w:cs="Times New Roman"/>
          <w:sz w:val="24"/>
          <w:szCs w:val="24"/>
        </w:rPr>
      </w:pPr>
      <w:r>
        <w:rPr>
          <w:rFonts w:ascii="Times New Roman" w:hAnsi="Times New Roman" w:cs="Times New Roman"/>
          <w:sz w:val="24"/>
          <w:szCs w:val="24"/>
        </w:rPr>
        <w:t>T</w:t>
      </w:r>
      <w:r w:rsidR="00D55DC9" w:rsidRPr="005E042B">
        <w:rPr>
          <w:rFonts w:ascii="Times New Roman" w:hAnsi="Times New Roman" w:cs="Times New Roman"/>
          <w:sz w:val="24"/>
          <w:szCs w:val="24"/>
        </w:rPr>
        <w:t>echnology development, commercialization, and market adoption and diffusion trends</w:t>
      </w:r>
      <w:r w:rsidR="006A285A">
        <w:rPr>
          <w:rFonts w:ascii="Times New Roman" w:hAnsi="Times New Roman" w:cs="Times New Roman"/>
          <w:sz w:val="24"/>
          <w:szCs w:val="24"/>
        </w:rPr>
        <w:t xml:space="preserve"> for these </w:t>
      </w:r>
      <w:r w:rsidR="00423958">
        <w:rPr>
          <w:rFonts w:ascii="Times New Roman" w:hAnsi="Times New Roman" w:cs="Times New Roman"/>
          <w:sz w:val="24"/>
          <w:szCs w:val="24"/>
        </w:rPr>
        <w:t>two</w:t>
      </w:r>
      <w:r w:rsidR="00423958">
        <w:rPr>
          <w:rFonts w:ascii="Times New Roman" w:hAnsi="Times New Roman" w:cs="Times New Roman"/>
          <w:sz w:val="24"/>
          <w:szCs w:val="24"/>
        </w:rPr>
        <w:t xml:space="preserve"> </w:t>
      </w:r>
      <w:r w:rsidR="006A285A">
        <w:rPr>
          <w:rFonts w:ascii="Times New Roman" w:hAnsi="Times New Roman" w:cs="Times New Roman"/>
          <w:sz w:val="24"/>
          <w:szCs w:val="24"/>
        </w:rPr>
        <w:t>technologies</w:t>
      </w:r>
      <w:r w:rsidR="00D55DC9" w:rsidRPr="005E042B">
        <w:rPr>
          <w:rFonts w:ascii="Times New Roman" w:hAnsi="Times New Roman" w:cs="Times New Roman"/>
          <w:sz w:val="24"/>
          <w:szCs w:val="24"/>
        </w:rPr>
        <w:t>;</w:t>
      </w:r>
    </w:p>
    <w:p w14:paraId="7BD53CA9" w14:textId="5115BE28" w:rsidR="005E042B" w:rsidRPr="005E042B" w:rsidRDefault="001E43F6" w:rsidP="00630FB9">
      <w:pPr>
        <w:pStyle w:val="ListParagraph"/>
        <w:numPr>
          <w:ilvl w:val="0"/>
          <w:numId w:val="17"/>
        </w:numPr>
        <w:spacing w:after="120"/>
        <w:ind w:left="1152"/>
        <w:contextualSpacing w:val="0"/>
        <w:rPr>
          <w:rFonts w:ascii="Times New Roman" w:hAnsi="Times New Roman" w:cs="Times New Roman"/>
          <w:sz w:val="24"/>
          <w:szCs w:val="24"/>
        </w:rPr>
      </w:pPr>
      <w:r>
        <w:rPr>
          <w:rFonts w:ascii="Times New Roman" w:hAnsi="Times New Roman" w:cs="Times New Roman"/>
          <w:sz w:val="24"/>
          <w:szCs w:val="24"/>
        </w:rPr>
        <w:lastRenderedPageBreak/>
        <w:t>O</w:t>
      </w:r>
      <w:r w:rsidR="00D55DC9" w:rsidRPr="005E042B">
        <w:rPr>
          <w:rFonts w:ascii="Times New Roman" w:hAnsi="Times New Roman" w:cs="Times New Roman"/>
          <w:sz w:val="24"/>
          <w:szCs w:val="24"/>
        </w:rPr>
        <w:t>ther factors that influenced those trends</w:t>
      </w:r>
      <w:r w:rsidR="001173C0" w:rsidRPr="005E042B">
        <w:rPr>
          <w:rFonts w:ascii="Times New Roman" w:hAnsi="Times New Roman" w:cs="Times New Roman"/>
          <w:sz w:val="24"/>
          <w:szCs w:val="24"/>
        </w:rPr>
        <w:t xml:space="preserve"> and, together with BTO activities and investments, contributed to the outcomes observed</w:t>
      </w:r>
      <w:r w:rsidR="00D55DC9" w:rsidRPr="005E042B">
        <w:rPr>
          <w:rFonts w:ascii="Times New Roman" w:hAnsi="Times New Roman" w:cs="Times New Roman"/>
          <w:sz w:val="24"/>
          <w:szCs w:val="24"/>
        </w:rPr>
        <w:t>.</w:t>
      </w:r>
      <w:r w:rsidR="00C37547" w:rsidRPr="005E042B">
        <w:rPr>
          <w:rFonts w:ascii="Times New Roman" w:hAnsi="Times New Roman" w:cs="Times New Roman"/>
          <w:sz w:val="24"/>
          <w:szCs w:val="24"/>
        </w:rPr>
        <w:t xml:space="preserve"> </w:t>
      </w:r>
    </w:p>
    <w:p w14:paraId="2ACF1073" w14:textId="77777777" w:rsidR="00F22568" w:rsidRDefault="00F22568" w:rsidP="00630FB9">
      <w:pPr>
        <w:pStyle w:val="ListParagraph"/>
        <w:ind w:left="0"/>
        <w:rPr>
          <w:rFonts w:ascii="Times New Roman" w:hAnsi="Times New Roman" w:cs="Times New Roman"/>
          <w:sz w:val="24"/>
          <w:szCs w:val="24"/>
        </w:rPr>
      </w:pPr>
    </w:p>
    <w:p w14:paraId="0094BE4E" w14:textId="3A290EC0" w:rsidR="00B66BFC" w:rsidRDefault="00C37547" w:rsidP="00630FB9">
      <w:pPr>
        <w:pStyle w:val="ListParagraph"/>
        <w:ind w:left="0"/>
        <w:rPr>
          <w:rFonts w:ascii="Times New Roman" w:hAnsi="Times New Roman" w:cs="Times New Roman"/>
          <w:sz w:val="24"/>
          <w:szCs w:val="24"/>
        </w:rPr>
      </w:pPr>
      <w:r w:rsidRPr="005E042B">
        <w:rPr>
          <w:rFonts w:ascii="Times New Roman" w:hAnsi="Times New Roman" w:cs="Times New Roman"/>
          <w:sz w:val="24"/>
          <w:szCs w:val="24"/>
        </w:rPr>
        <w:t>The universe of experts that meet the</w:t>
      </w:r>
      <w:r w:rsidR="005E042B">
        <w:rPr>
          <w:rFonts w:ascii="Times New Roman" w:hAnsi="Times New Roman" w:cs="Times New Roman"/>
          <w:sz w:val="24"/>
          <w:szCs w:val="24"/>
        </w:rPr>
        <w:t xml:space="preserve">se criteria is relatively small, </w:t>
      </w:r>
      <w:r w:rsidRPr="005E042B">
        <w:rPr>
          <w:rFonts w:ascii="Times New Roman" w:hAnsi="Times New Roman" w:cs="Times New Roman"/>
          <w:sz w:val="24"/>
          <w:szCs w:val="24"/>
        </w:rPr>
        <w:t xml:space="preserve">heterogeneous, </w:t>
      </w:r>
      <w:r w:rsidR="005E042B">
        <w:rPr>
          <w:rFonts w:ascii="Times New Roman" w:hAnsi="Times New Roman" w:cs="Times New Roman"/>
          <w:sz w:val="24"/>
          <w:szCs w:val="24"/>
        </w:rPr>
        <w:t xml:space="preserve">and </w:t>
      </w:r>
      <w:r w:rsidR="006A285A">
        <w:rPr>
          <w:rFonts w:ascii="Times New Roman" w:hAnsi="Times New Roman" w:cs="Times New Roman"/>
          <w:sz w:val="24"/>
          <w:szCs w:val="24"/>
        </w:rPr>
        <w:t>difficult</w:t>
      </w:r>
      <w:r w:rsidR="005E042B">
        <w:rPr>
          <w:rFonts w:ascii="Times New Roman" w:hAnsi="Times New Roman" w:cs="Times New Roman"/>
          <w:sz w:val="24"/>
          <w:szCs w:val="24"/>
        </w:rPr>
        <w:t xml:space="preserve"> to</w:t>
      </w:r>
      <w:r w:rsidRPr="005E042B">
        <w:rPr>
          <w:rFonts w:ascii="Times New Roman" w:hAnsi="Times New Roman" w:cs="Times New Roman"/>
          <w:sz w:val="24"/>
          <w:szCs w:val="24"/>
        </w:rPr>
        <w:t xml:space="preserve"> defin</w:t>
      </w:r>
      <w:r w:rsidR="005E042B">
        <w:rPr>
          <w:rFonts w:ascii="Times New Roman" w:hAnsi="Times New Roman" w:cs="Times New Roman"/>
          <w:sz w:val="24"/>
          <w:szCs w:val="24"/>
        </w:rPr>
        <w:t>e</w:t>
      </w:r>
      <w:r w:rsidRPr="005E042B">
        <w:rPr>
          <w:rFonts w:ascii="Times New Roman" w:hAnsi="Times New Roman" w:cs="Times New Roman"/>
          <w:sz w:val="24"/>
          <w:szCs w:val="24"/>
        </w:rPr>
        <w:t xml:space="preserve"> ex ante.</w:t>
      </w:r>
      <w:r w:rsidR="00102B02" w:rsidRPr="005E042B">
        <w:rPr>
          <w:rFonts w:ascii="Times New Roman" w:hAnsi="Times New Roman" w:cs="Times New Roman"/>
          <w:sz w:val="24"/>
          <w:szCs w:val="24"/>
        </w:rPr>
        <w:t xml:space="preserve"> </w:t>
      </w:r>
      <w:r w:rsidR="00B66BFC">
        <w:rPr>
          <w:rFonts w:ascii="Times New Roman" w:hAnsi="Times New Roman" w:cs="Times New Roman"/>
          <w:sz w:val="24"/>
          <w:szCs w:val="24"/>
        </w:rPr>
        <w:t>Our general approach</w:t>
      </w:r>
      <w:r w:rsidR="00B17229">
        <w:rPr>
          <w:rFonts w:ascii="Times New Roman" w:hAnsi="Times New Roman" w:cs="Times New Roman"/>
          <w:sz w:val="24"/>
          <w:szCs w:val="24"/>
        </w:rPr>
        <w:t>, explained in more detail below,</w:t>
      </w:r>
      <w:r w:rsidR="00B66BFC">
        <w:rPr>
          <w:rFonts w:ascii="Times New Roman" w:hAnsi="Times New Roman" w:cs="Times New Roman"/>
          <w:sz w:val="24"/>
          <w:szCs w:val="24"/>
        </w:rPr>
        <w:t xml:space="preserve"> will be to construct a sampling frame that is reasonably representative of the universe, given the best information we are able to gather before going into the field with our </w:t>
      </w:r>
      <w:r w:rsidR="00107374">
        <w:rPr>
          <w:rFonts w:ascii="Times New Roman" w:hAnsi="Times New Roman" w:cs="Times New Roman"/>
          <w:sz w:val="24"/>
          <w:szCs w:val="24"/>
        </w:rPr>
        <w:t xml:space="preserve">interview guides; to contact potential respondents </w:t>
      </w:r>
      <w:r w:rsidR="00B17229">
        <w:rPr>
          <w:rFonts w:ascii="Times New Roman" w:hAnsi="Times New Roman" w:cs="Times New Roman"/>
          <w:sz w:val="24"/>
          <w:szCs w:val="24"/>
        </w:rPr>
        <w:t xml:space="preserve">in this frame </w:t>
      </w:r>
      <w:r w:rsidR="00107374">
        <w:rPr>
          <w:rFonts w:ascii="Times New Roman" w:hAnsi="Times New Roman" w:cs="Times New Roman"/>
          <w:sz w:val="24"/>
          <w:szCs w:val="24"/>
        </w:rPr>
        <w:t>according to a randomized process</w:t>
      </w:r>
      <w:r w:rsidR="00B17229">
        <w:rPr>
          <w:rFonts w:ascii="Times New Roman" w:hAnsi="Times New Roman" w:cs="Times New Roman"/>
          <w:sz w:val="24"/>
          <w:szCs w:val="24"/>
        </w:rPr>
        <w:t>; and to</w:t>
      </w:r>
      <w:r w:rsidR="00D06C99">
        <w:rPr>
          <w:rFonts w:ascii="Times New Roman" w:hAnsi="Times New Roman" w:cs="Times New Roman"/>
          <w:sz w:val="24"/>
          <w:szCs w:val="24"/>
        </w:rPr>
        <w:t xml:space="preserve"> then</w:t>
      </w:r>
      <w:r w:rsidR="00B17229">
        <w:rPr>
          <w:rFonts w:ascii="Times New Roman" w:hAnsi="Times New Roman" w:cs="Times New Roman"/>
          <w:sz w:val="24"/>
          <w:szCs w:val="24"/>
        </w:rPr>
        <w:t xml:space="preserve"> add respondent-referred contacts to the frame according to a process that will let us test and adjust for any bias that accepting such referrals</w:t>
      </w:r>
      <w:r w:rsidR="00D06C99">
        <w:rPr>
          <w:rFonts w:ascii="Times New Roman" w:hAnsi="Times New Roman" w:cs="Times New Roman"/>
          <w:sz w:val="24"/>
          <w:szCs w:val="24"/>
        </w:rPr>
        <w:t xml:space="preserve"> may introduce</w:t>
      </w:r>
      <w:r w:rsidR="00B17229">
        <w:rPr>
          <w:rFonts w:ascii="Times New Roman" w:hAnsi="Times New Roman" w:cs="Times New Roman"/>
          <w:sz w:val="24"/>
          <w:szCs w:val="24"/>
        </w:rPr>
        <w:t xml:space="preserve">. </w:t>
      </w:r>
      <w:r w:rsidR="00107374">
        <w:rPr>
          <w:rFonts w:ascii="Times New Roman" w:hAnsi="Times New Roman" w:cs="Times New Roman"/>
          <w:sz w:val="24"/>
          <w:szCs w:val="24"/>
        </w:rPr>
        <w:t xml:space="preserve">  </w:t>
      </w:r>
      <w:r w:rsidR="00B66BFC">
        <w:rPr>
          <w:rFonts w:ascii="Times New Roman" w:hAnsi="Times New Roman" w:cs="Times New Roman"/>
          <w:sz w:val="24"/>
          <w:szCs w:val="24"/>
        </w:rPr>
        <w:t xml:space="preserve"> </w:t>
      </w:r>
    </w:p>
    <w:p w14:paraId="18F4404C" w14:textId="77777777" w:rsidR="00B66BFC" w:rsidRDefault="00B66BFC" w:rsidP="00630FB9">
      <w:pPr>
        <w:pStyle w:val="ListParagraph"/>
        <w:ind w:left="0"/>
        <w:rPr>
          <w:rFonts w:ascii="Times New Roman" w:hAnsi="Times New Roman" w:cs="Times New Roman"/>
          <w:sz w:val="24"/>
          <w:szCs w:val="24"/>
        </w:rPr>
      </w:pPr>
    </w:p>
    <w:p w14:paraId="6ACFF935" w14:textId="0B35EDCB" w:rsidR="00C37547" w:rsidRDefault="00102B02" w:rsidP="00630FB9">
      <w:pPr>
        <w:pStyle w:val="ListParagraph"/>
        <w:ind w:left="0"/>
        <w:rPr>
          <w:rFonts w:ascii="Times New Roman" w:hAnsi="Times New Roman" w:cs="Times New Roman"/>
          <w:sz w:val="24"/>
          <w:szCs w:val="24"/>
        </w:rPr>
      </w:pPr>
      <w:r w:rsidRPr="005E042B">
        <w:rPr>
          <w:rFonts w:ascii="Times New Roman" w:hAnsi="Times New Roman" w:cs="Times New Roman"/>
          <w:sz w:val="24"/>
          <w:szCs w:val="24"/>
        </w:rPr>
        <w:t xml:space="preserve">Within each of the </w:t>
      </w:r>
      <w:r w:rsidR="00423958">
        <w:rPr>
          <w:rFonts w:ascii="Times New Roman" w:hAnsi="Times New Roman" w:cs="Times New Roman"/>
          <w:sz w:val="24"/>
          <w:szCs w:val="24"/>
        </w:rPr>
        <w:t>two</w:t>
      </w:r>
      <w:r w:rsidR="00423958" w:rsidRPr="005E042B">
        <w:rPr>
          <w:rFonts w:ascii="Times New Roman" w:hAnsi="Times New Roman" w:cs="Times New Roman"/>
          <w:sz w:val="24"/>
          <w:szCs w:val="24"/>
        </w:rPr>
        <w:t xml:space="preserve"> </w:t>
      </w:r>
      <w:r w:rsidRPr="005E042B">
        <w:rPr>
          <w:rFonts w:ascii="Times New Roman" w:hAnsi="Times New Roman" w:cs="Times New Roman"/>
          <w:sz w:val="24"/>
          <w:szCs w:val="24"/>
        </w:rPr>
        <w:t xml:space="preserve">technology areas, there will be </w:t>
      </w:r>
      <w:r w:rsidR="00736940">
        <w:rPr>
          <w:rFonts w:ascii="Times New Roman" w:hAnsi="Times New Roman" w:cs="Times New Roman"/>
          <w:sz w:val="24"/>
          <w:szCs w:val="24"/>
        </w:rPr>
        <w:t>subsets</w:t>
      </w:r>
      <w:r w:rsidRPr="005E042B">
        <w:rPr>
          <w:rFonts w:ascii="Times New Roman" w:hAnsi="Times New Roman" w:cs="Times New Roman"/>
          <w:sz w:val="24"/>
          <w:szCs w:val="24"/>
        </w:rPr>
        <w:t xml:space="preserve"> of respondents whose expertise is focused more on some aspects than others. For example, some respondents will be more familiar with DOE activities while others are more familiar with non-</w:t>
      </w:r>
      <w:r w:rsidR="00937CAF">
        <w:rPr>
          <w:rFonts w:ascii="Times New Roman" w:hAnsi="Times New Roman" w:cs="Times New Roman"/>
          <w:sz w:val="24"/>
          <w:szCs w:val="24"/>
        </w:rPr>
        <w:t>DOE</w:t>
      </w:r>
      <w:r w:rsidRPr="005E042B">
        <w:rPr>
          <w:rFonts w:ascii="Times New Roman" w:hAnsi="Times New Roman" w:cs="Times New Roman"/>
          <w:sz w:val="24"/>
          <w:szCs w:val="24"/>
        </w:rPr>
        <w:t xml:space="preserve"> contributing factors, and it is natural to expect perceptions and</w:t>
      </w:r>
      <w:r w:rsidR="00305F1C" w:rsidRPr="005E042B">
        <w:rPr>
          <w:rFonts w:ascii="Times New Roman" w:hAnsi="Times New Roman" w:cs="Times New Roman"/>
          <w:sz w:val="24"/>
          <w:szCs w:val="24"/>
        </w:rPr>
        <w:t xml:space="preserve"> opinions about attribution to DOE to vary across these groups.</w:t>
      </w:r>
      <w:r w:rsidR="00806243">
        <w:rPr>
          <w:rFonts w:ascii="Times New Roman" w:hAnsi="Times New Roman" w:cs="Times New Roman"/>
          <w:sz w:val="24"/>
          <w:szCs w:val="24"/>
        </w:rPr>
        <w:t xml:space="preserve"> Some of this variation may align with respondent characteristics that are possible to identify ex ante, and to the extent possible we will stratify the universe along these lines and select respondents from each strata.</w:t>
      </w:r>
    </w:p>
    <w:p w14:paraId="1C88939D" w14:textId="77777777" w:rsidR="001E79F6" w:rsidRDefault="001E79F6" w:rsidP="00630FB9">
      <w:pPr>
        <w:pStyle w:val="ListParagraph"/>
        <w:spacing w:after="0"/>
        <w:ind w:left="0" w:firstLine="446"/>
        <w:rPr>
          <w:rFonts w:ascii="Times New Roman" w:hAnsi="Times New Roman" w:cs="Times New Roman"/>
          <w:sz w:val="24"/>
          <w:szCs w:val="24"/>
        </w:rPr>
      </w:pPr>
    </w:p>
    <w:p w14:paraId="3E93B96A" w14:textId="2EF03C58" w:rsidR="001E79F6" w:rsidRPr="002607CC" w:rsidRDefault="00F65301" w:rsidP="00630FB9">
      <w:r>
        <w:t xml:space="preserve">For each of the </w:t>
      </w:r>
      <w:r w:rsidR="00423958">
        <w:t>two</w:t>
      </w:r>
      <w:r w:rsidR="006725E2">
        <w:t xml:space="preserve"> </w:t>
      </w:r>
      <w:r>
        <w:t>technologies, these</w:t>
      </w:r>
      <w:r w:rsidRPr="007D4506">
        <w:t xml:space="preserve"> </w:t>
      </w:r>
      <w:r w:rsidR="001E79F6" w:rsidRPr="007D4506">
        <w:t>strata would include at least the following:</w:t>
      </w:r>
    </w:p>
    <w:p w14:paraId="0BA4DBE3" w14:textId="4A2CE69D" w:rsidR="001E79F6" w:rsidRDefault="002607CC" w:rsidP="00F65301">
      <w:pPr>
        <w:pStyle w:val="ListParagraph"/>
        <w:numPr>
          <w:ilvl w:val="0"/>
          <w:numId w:val="21"/>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I</w:t>
      </w:r>
      <w:r w:rsidR="001E79F6" w:rsidRPr="001E79F6">
        <w:rPr>
          <w:rFonts w:ascii="Times New Roman" w:hAnsi="Times New Roman" w:cs="Times New Roman"/>
          <w:sz w:val="24"/>
          <w:szCs w:val="24"/>
        </w:rPr>
        <w:t>ndividuals who can be identified because of their direct involvement with BTO-funded research and development (R&amp;D), such as engineers at national laboratories a</w:t>
      </w:r>
      <w:r w:rsidR="008F18EF">
        <w:rPr>
          <w:rFonts w:ascii="Times New Roman" w:hAnsi="Times New Roman" w:cs="Times New Roman"/>
          <w:sz w:val="24"/>
          <w:szCs w:val="24"/>
        </w:rPr>
        <w:t>nd private companies</w:t>
      </w:r>
      <w:r w:rsidR="001E79F6" w:rsidRPr="005E042B">
        <w:rPr>
          <w:rFonts w:ascii="Times New Roman" w:hAnsi="Times New Roman" w:cs="Times New Roman"/>
          <w:sz w:val="24"/>
          <w:szCs w:val="24"/>
        </w:rPr>
        <w:t xml:space="preserve">; </w:t>
      </w:r>
    </w:p>
    <w:p w14:paraId="617BE669" w14:textId="77B4B7E5" w:rsidR="000C544C" w:rsidRPr="005E042B" w:rsidRDefault="002607CC" w:rsidP="00F65301">
      <w:pPr>
        <w:pStyle w:val="ListParagraph"/>
        <w:numPr>
          <w:ilvl w:val="0"/>
          <w:numId w:val="21"/>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R</w:t>
      </w:r>
      <w:r w:rsidR="000C544C">
        <w:rPr>
          <w:rFonts w:ascii="Times New Roman" w:hAnsi="Times New Roman" w:cs="Times New Roman"/>
          <w:sz w:val="24"/>
          <w:szCs w:val="24"/>
        </w:rPr>
        <w:t xml:space="preserve">epresentatives of companies manufacturing and marketing equipment related to </w:t>
      </w:r>
      <w:r w:rsidR="00EC2EE4">
        <w:rPr>
          <w:rFonts w:ascii="Times New Roman" w:hAnsi="Times New Roman" w:cs="Times New Roman"/>
          <w:sz w:val="24"/>
          <w:szCs w:val="24"/>
        </w:rPr>
        <w:t>the technology</w:t>
      </w:r>
      <w:r w:rsidR="000C544C">
        <w:rPr>
          <w:rFonts w:ascii="Times New Roman" w:hAnsi="Times New Roman" w:cs="Times New Roman"/>
          <w:sz w:val="24"/>
          <w:szCs w:val="24"/>
        </w:rPr>
        <w:t>;</w:t>
      </w:r>
    </w:p>
    <w:p w14:paraId="4E944CC9" w14:textId="6AFFB803" w:rsidR="001E79F6" w:rsidRPr="005E042B" w:rsidRDefault="002607CC" w:rsidP="00F65301">
      <w:pPr>
        <w:pStyle w:val="ListParagraph"/>
        <w:numPr>
          <w:ilvl w:val="0"/>
          <w:numId w:val="21"/>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I</w:t>
      </w:r>
      <w:r w:rsidR="00264593">
        <w:rPr>
          <w:rFonts w:ascii="Times New Roman" w:hAnsi="Times New Roman" w:cs="Times New Roman"/>
          <w:sz w:val="24"/>
          <w:szCs w:val="24"/>
        </w:rPr>
        <w:t xml:space="preserve">ndividuals identified </w:t>
      </w:r>
      <w:r w:rsidR="00740B77">
        <w:rPr>
          <w:rFonts w:ascii="Times New Roman" w:hAnsi="Times New Roman" w:cs="Times New Roman"/>
          <w:sz w:val="24"/>
          <w:szCs w:val="24"/>
        </w:rPr>
        <w:t>independently (</w:t>
      </w:r>
      <w:r w:rsidR="00264593">
        <w:rPr>
          <w:rFonts w:ascii="Times New Roman" w:hAnsi="Times New Roman" w:cs="Times New Roman"/>
          <w:sz w:val="24"/>
          <w:szCs w:val="24"/>
        </w:rPr>
        <w:t>through engineering journals, trade journals, conference proceedings</w:t>
      </w:r>
      <w:r w:rsidR="00901BFD">
        <w:rPr>
          <w:rFonts w:ascii="Times New Roman" w:hAnsi="Times New Roman" w:cs="Times New Roman"/>
          <w:sz w:val="24"/>
          <w:szCs w:val="24"/>
        </w:rPr>
        <w:t>,</w:t>
      </w:r>
      <w:r w:rsidR="00740B77">
        <w:rPr>
          <w:rFonts w:ascii="Times New Roman" w:hAnsi="Times New Roman" w:cs="Times New Roman"/>
          <w:sz w:val="24"/>
          <w:szCs w:val="24"/>
        </w:rPr>
        <w:t xml:space="preserve"> ACEEE Summer Papers and similar</w:t>
      </w:r>
      <w:r w:rsidR="00901BFD">
        <w:rPr>
          <w:rFonts w:ascii="Times New Roman" w:hAnsi="Times New Roman" w:cs="Times New Roman"/>
          <w:sz w:val="24"/>
          <w:szCs w:val="24"/>
        </w:rPr>
        <w:t>, etc.</w:t>
      </w:r>
      <w:r w:rsidR="00740B77">
        <w:rPr>
          <w:rFonts w:ascii="Times New Roman" w:hAnsi="Times New Roman" w:cs="Times New Roman"/>
          <w:sz w:val="24"/>
          <w:szCs w:val="24"/>
        </w:rPr>
        <w:t xml:space="preserve">) as having relevant knowledge of </w:t>
      </w:r>
      <w:r w:rsidR="00EC2EE4">
        <w:rPr>
          <w:rFonts w:ascii="Times New Roman" w:hAnsi="Times New Roman" w:cs="Times New Roman"/>
          <w:sz w:val="24"/>
          <w:szCs w:val="24"/>
        </w:rPr>
        <w:t xml:space="preserve">the </w:t>
      </w:r>
      <w:r w:rsidR="00740B77">
        <w:rPr>
          <w:rFonts w:ascii="Times New Roman" w:hAnsi="Times New Roman" w:cs="Times New Roman"/>
          <w:sz w:val="24"/>
          <w:szCs w:val="24"/>
        </w:rPr>
        <w:t>technology</w:t>
      </w:r>
      <w:r w:rsidR="001E79F6" w:rsidRPr="005E042B">
        <w:rPr>
          <w:rFonts w:ascii="Times New Roman" w:hAnsi="Times New Roman" w:cs="Times New Roman"/>
          <w:sz w:val="24"/>
          <w:szCs w:val="24"/>
        </w:rPr>
        <w:t>;</w:t>
      </w:r>
    </w:p>
    <w:p w14:paraId="2A529323" w14:textId="4A53AEA7" w:rsidR="001E79F6" w:rsidRDefault="002607CC" w:rsidP="00F65301">
      <w:pPr>
        <w:pStyle w:val="ListParagraph"/>
        <w:numPr>
          <w:ilvl w:val="0"/>
          <w:numId w:val="21"/>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C</w:t>
      </w:r>
      <w:r w:rsidR="000C544C">
        <w:rPr>
          <w:rFonts w:ascii="Times New Roman" w:hAnsi="Times New Roman" w:cs="Times New Roman"/>
          <w:sz w:val="24"/>
          <w:szCs w:val="24"/>
        </w:rPr>
        <w:t>urrent and former members</w:t>
      </w:r>
      <w:r w:rsidR="00F4313D">
        <w:rPr>
          <w:rFonts w:ascii="Times New Roman" w:hAnsi="Times New Roman" w:cs="Times New Roman"/>
          <w:sz w:val="24"/>
          <w:szCs w:val="24"/>
        </w:rPr>
        <w:t xml:space="preserve"> of technical societies (ASHRAE; ASME),</w:t>
      </w:r>
      <w:r w:rsidR="000C544C">
        <w:rPr>
          <w:rFonts w:ascii="Times New Roman" w:hAnsi="Times New Roman" w:cs="Times New Roman"/>
          <w:sz w:val="24"/>
          <w:szCs w:val="24"/>
        </w:rPr>
        <w:t xml:space="preserve"> industry associations (</w:t>
      </w:r>
      <w:r w:rsidR="008F18EF">
        <w:rPr>
          <w:rFonts w:ascii="Times New Roman" w:hAnsi="Times New Roman" w:cs="Times New Roman"/>
          <w:sz w:val="24"/>
          <w:szCs w:val="24"/>
        </w:rPr>
        <w:t xml:space="preserve">e.g. </w:t>
      </w:r>
      <w:r w:rsidR="004F7DC2">
        <w:rPr>
          <w:rFonts w:ascii="Times New Roman" w:hAnsi="Times New Roman" w:cs="Times New Roman"/>
          <w:sz w:val="24"/>
          <w:szCs w:val="24"/>
        </w:rPr>
        <w:t xml:space="preserve">Association of Home Appliance Manufacturers; </w:t>
      </w:r>
      <w:r w:rsidR="00F81DE4">
        <w:rPr>
          <w:rFonts w:ascii="Times New Roman" w:hAnsi="Times New Roman" w:cs="Times New Roman"/>
          <w:sz w:val="24"/>
          <w:szCs w:val="24"/>
        </w:rPr>
        <w:t>Air-Conditioning, Heating, and Refrigeration Institute</w:t>
      </w:r>
      <w:r w:rsidR="004F7DC2">
        <w:rPr>
          <w:rFonts w:ascii="Times New Roman" w:hAnsi="Times New Roman" w:cs="Times New Roman"/>
          <w:sz w:val="24"/>
          <w:szCs w:val="24"/>
        </w:rPr>
        <w:t xml:space="preserve">; </w:t>
      </w:r>
      <w:r w:rsidR="008F18EF">
        <w:rPr>
          <w:rFonts w:ascii="Times New Roman" w:hAnsi="Times New Roman" w:cs="Times New Roman"/>
          <w:sz w:val="24"/>
          <w:szCs w:val="24"/>
        </w:rPr>
        <w:t xml:space="preserve">National </w:t>
      </w:r>
      <w:proofErr w:type="spellStart"/>
      <w:r w:rsidR="008F18EF">
        <w:rPr>
          <w:rFonts w:ascii="Times New Roman" w:hAnsi="Times New Roman" w:cs="Times New Roman"/>
          <w:sz w:val="24"/>
          <w:szCs w:val="24"/>
        </w:rPr>
        <w:t>Oilh</w:t>
      </w:r>
      <w:r w:rsidR="000C544C">
        <w:rPr>
          <w:rFonts w:ascii="Times New Roman" w:hAnsi="Times New Roman" w:cs="Times New Roman"/>
          <w:sz w:val="24"/>
          <w:szCs w:val="24"/>
        </w:rPr>
        <w:t>eat</w:t>
      </w:r>
      <w:proofErr w:type="spellEnd"/>
      <w:r w:rsidR="000C544C">
        <w:rPr>
          <w:rFonts w:ascii="Times New Roman" w:hAnsi="Times New Roman" w:cs="Times New Roman"/>
          <w:sz w:val="24"/>
          <w:szCs w:val="24"/>
        </w:rPr>
        <w:t xml:space="preserve"> </w:t>
      </w:r>
      <w:r w:rsidR="008F18EF">
        <w:rPr>
          <w:rFonts w:ascii="Times New Roman" w:hAnsi="Times New Roman" w:cs="Times New Roman"/>
          <w:sz w:val="24"/>
          <w:szCs w:val="24"/>
        </w:rPr>
        <w:t xml:space="preserve">Research Alliance; </w:t>
      </w:r>
      <w:proofErr w:type="spellStart"/>
      <w:r w:rsidR="008F18EF">
        <w:rPr>
          <w:rFonts w:ascii="Times New Roman" w:hAnsi="Times New Roman" w:cs="Times New Roman"/>
          <w:sz w:val="24"/>
          <w:szCs w:val="24"/>
        </w:rPr>
        <w:t>Oilheat</w:t>
      </w:r>
      <w:proofErr w:type="spellEnd"/>
      <w:r w:rsidR="008F18EF">
        <w:rPr>
          <w:rFonts w:ascii="Times New Roman" w:hAnsi="Times New Roman" w:cs="Times New Roman"/>
          <w:sz w:val="24"/>
          <w:szCs w:val="24"/>
        </w:rPr>
        <w:t xml:space="preserve"> Manufacturers </w:t>
      </w:r>
      <w:r w:rsidR="000C544C">
        <w:rPr>
          <w:rFonts w:ascii="Times New Roman" w:hAnsi="Times New Roman" w:cs="Times New Roman"/>
          <w:sz w:val="24"/>
          <w:szCs w:val="24"/>
        </w:rPr>
        <w:t>Association)</w:t>
      </w:r>
      <w:r w:rsidR="004F7DC2">
        <w:rPr>
          <w:rFonts w:ascii="Times New Roman" w:hAnsi="Times New Roman" w:cs="Times New Roman"/>
          <w:sz w:val="24"/>
          <w:szCs w:val="24"/>
        </w:rPr>
        <w:t>, advocacy organizations (e.g., American Council for an Energy-Efficient Economy; California Institute for Energy and Environment)</w:t>
      </w:r>
      <w:r w:rsidR="008F18EF">
        <w:rPr>
          <w:rFonts w:ascii="Times New Roman" w:hAnsi="Times New Roman" w:cs="Times New Roman"/>
          <w:sz w:val="24"/>
          <w:szCs w:val="24"/>
        </w:rPr>
        <w:t>,</w:t>
      </w:r>
      <w:r w:rsidR="00740B77">
        <w:rPr>
          <w:rFonts w:ascii="Times New Roman" w:hAnsi="Times New Roman" w:cs="Times New Roman"/>
          <w:sz w:val="24"/>
          <w:szCs w:val="24"/>
        </w:rPr>
        <w:t xml:space="preserve"> </w:t>
      </w:r>
      <w:r w:rsidR="00A05AA3">
        <w:rPr>
          <w:rFonts w:ascii="Times New Roman" w:hAnsi="Times New Roman" w:cs="Times New Roman"/>
          <w:sz w:val="24"/>
          <w:szCs w:val="24"/>
        </w:rPr>
        <w:t xml:space="preserve">or </w:t>
      </w:r>
      <w:r w:rsidR="004F7DC2">
        <w:rPr>
          <w:rFonts w:ascii="Times New Roman" w:hAnsi="Times New Roman" w:cs="Times New Roman"/>
          <w:sz w:val="24"/>
          <w:szCs w:val="24"/>
        </w:rPr>
        <w:t xml:space="preserve">state energy offices (see </w:t>
      </w:r>
      <w:hyperlink r:id="rId8" w:history="1">
        <w:r w:rsidR="004F7DC2" w:rsidRPr="00F81DE4">
          <w:rPr>
            <w:rStyle w:val="Hyperlink"/>
            <w:rFonts w:ascii="Times New Roman" w:hAnsi="Times New Roman" w:cs="Times New Roman"/>
            <w:sz w:val="24"/>
            <w:szCs w:val="24"/>
          </w:rPr>
          <w:t>http://www.naseo.org/members-states</w:t>
        </w:r>
      </w:hyperlink>
      <w:r w:rsidR="004F7DC2" w:rsidRPr="007C6ADF">
        <w:rPr>
          <w:rFonts w:ascii="Times New Roman" w:hAnsi="Times New Roman" w:cs="Times New Roman"/>
          <w:sz w:val="24"/>
          <w:szCs w:val="24"/>
        </w:rPr>
        <w:t>)</w:t>
      </w:r>
      <w:r w:rsidR="00A05AA3">
        <w:rPr>
          <w:rFonts w:ascii="Times New Roman" w:hAnsi="Times New Roman" w:cs="Times New Roman"/>
          <w:sz w:val="24"/>
          <w:szCs w:val="24"/>
        </w:rPr>
        <w:t>,</w:t>
      </w:r>
      <w:r w:rsidR="00EC2EE4">
        <w:rPr>
          <w:rFonts w:ascii="Times New Roman" w:hAnsi="Times New Roman" w:cs="Times New Roman"/>
          <w:sz w:val="24"/>
          <w:szCs w:val="24"/>
        </w:rPr>
        <w:t xml:space="preserve"> as pertains to </w:t>
      </w:r>
      <w:r w:rsidR="00A05AA3">
        <w:rPr>
          <w:rFonts w:ascii="Times New Roman" w:hAnsi="Times New Roman" w:cs="Times New Roman"/>
          <w:sz w:val="24"/>
          <w:szCs w:val="24"/>
        </w:rPr>
        <w:t>the technology</w:t>
      </w:r>
      <w:r w:rsidR="001E79F6" w:rsidRPr="007C6ADF">
        <w:rPr>
          <w:rFonts w:ascii="Times New Roman" w:hAnsi="Times New Roman" w:cs="Times New Roman"/>
          <w:sz w:val="24"/>
          <w:szCs w:val="24"/>
        </w:rPr>
        <w:t xml:space="preserve">. </w:t>
      </w:r>
    </w:p>
    <w:p w14:paraId="72615350" w14:textId="77777777" w:rsidR="00BC7241" w:rsidRDefault="00BC7241" w:rsidP="00BC7241"/>
    <w:p w14:paraId="2009FC08" w14:textId="36F9CABB" w:rsidR="006A285A" w:rsidRPr="006A285A" w:rsidRDefault="006A285A" w:rsidP="00BC7241">
      <w:pPr>
        <w:rPr>
          <w:b/>
          <w:u w:val="single"/>
        </w:rPr>
      </w:pPr>
      <w:r w:rsidRPr="006A285A">
        <w:rPr>
          <w:b/>
          <w:u w:val="single"/>
        </w:rPr>
        <w:t>2. Sampling Methodology</w:t>
      </w:r>
    </w:p>
    <w:p w14:paraId="11B80311" w14:textId="5147CD44" w:rsidR="00032081" w:rsidRPr="007C6ADF" w:rsidRDefault="00F81DE4" w:rsidP="00630FB9">
      <w:pPr>
        <w:spacing w:after="120"/>
      </w:pPr>
      <w:r w:rsidRPr="007C6ADF">
        <w:t xml:space="preserve">We will </w:t>
      </w:r>
      <w:r w:rsidR="00CA6AF0">
        <w:t xml:space="preserve">build and </w:t>
      </w:r>
      <w:r w:rsidR="007C6ADF">
        <w:t>manage</w:t>
      </w:r>
      <w:r w:rsidRPr="007C6ADF">
        <w:t xml:space="preserve"> </w:t>
      </w:r>
      <w:r w:rsidR="00CA6AF0">
        <w:t xml:space="preserve">our sampling frame for each of the </w:t>
      </w:r>
      <w:r w:rsidR="00423958">
        <w:t>two</w:t>
      </w:r>
      <w:r w:rsidR="006725E2">
        <w:t xml:space="preserve"> </w:t>
      </w:r>
      <w:r w:rsidR="00CA6AF0">
        <w:t>technologies</w:t>
      </w:r>
      <w:r w:rsidRPr="007C6ADF">
        <w:t xml:space="preserve"> according to the following steps:</w:t>
      </w:r>
    </w:p>
    <w:p w14:paraId="707BE685" w14:textId="252B17DE" w:rsidR="00F81DE4" w:rsidRDefault="00F81DE4" w:rsidP="00630FB9">
      <w:pPr>
        <w:pStyle w:val="ListParagraph"/>
        <w:numPr>
          <w:ilvl w:val="0"/>
          <w:numId w:val="18"/>
        </w:numPr>
        <w:spacing w:after="120" w:line="240" w:lineRule="auto"/>
        <w:contextualSpacing w:val="0"/>
        <w:rPr>
          <w:rFonts w:ascii="Times New Roman" w:hAnsi="Times New Roman" w:cs="Times New Roman"/>
          <w:sz w:val="24"/>
          <w:szCs w:val="24"/>
        </w:rPr>
      </w:pPr>
      <w:r w:rsidRPr="00F81DE4">
        <w:rPr>
          <w:rFonts w:ascii="Times New Roman" w:hAnsi="Times New Roman" w:cs="Times New Roman"/>
          <w:sz w:val="24"/>
          <w:szCs w:val="24"/>
        </w:rPr>
        <w:t>Ident</w:t>
      </w:r>
      <w:r w:rsidR="007C6ADF">
        <w:rPr>
          <w:rFonts w:ascii="Times New Roman" w:hAnsi="Times New Roman" w:cs="Times New Roman"/>
          <w:sz w:val="24"/>
          <w:szCs w:val="24"/>
        </w:rPr>
        <w:t>ify initial contacts in the above groups</w:t>
      </w:r>
      <w:r w:rsidR="00EB7C97">
        <w:rPr>
          <w:rFonts w:ascii="Times New Roman" w:hAnsi="Times New Roman" w:cs="Times New Roman"/>
          <w:sz w:val="24"/>
          <w:szCs w:val="24"/>
        </w:rPr>
        <w:t xml:space="preserve"> (</w:t>
      </w:r>
      <w:r w:rsidR="007C6ADF">
        <w:rPr>
          <w:rFonts w:ascii="Times New Roman" w:hAnsi="Times New Roman" w:cs="Times New Roman"/>
          <w:sz w:val="24"/>
          <w:szCs w:val="24"/>
        </w:rPr>
        <w:t xml:space="preserve">and </w:t>
      </w:r>
      <w:r w:rsidR="00EB7C97">
        <w:rPr>
          <w:rFonts w:ascii="Times New Roman" w:hAnsi="Times New Roman" w:cs="Times New Roman"/>
          <w:sz w:val="24"/>
          <w:szCs w:val="24"/>
        </w:rPr>
        <w:t xml:space="preserve">in </w:t>
      </w:r>
      <w:r w:rsidR="007C6ADF">
        <w:rPr>
          <w:rFonts w:ascii="Times New Roman" w:hAnsi="Times New Roman" w:cs="Times New Roman"/>
          <w:sz w:val="24"/>
          <w:szCs w:val="24"/>
        </w:rPr>
        <w:t>other groups</w:t>
      </w:r>
      <w:r w:rsidR="00EB7C97">
        <w:rPr>
          <w:rFonts w:ascii="Times New Roman" w:hAnsi="Times New Roman" w:cs="Times New Roman"/>
          <w:sz w:val="24"/>
          <w:szCs w:val="24"/>
        </w:rPr>
        <w:t>,</w:t>
      </w:r>
      <w:r w:rsidR="007C6ADF">
        <w:rPr>
          <w:rFonts w:ascii="Times New Roman" w:hAnsi="Times New Roman" w:cs="Times New Roman"/>
          <w:sz w:val="24"/>
          <w:szCs w:val="24"/>
        </w:rPr>
        <w:t xml:space="preserve"> as appropriate</w:t>
      </w:r>
      <w:r w:rsidR="00EB7C97">
        <w:rPr>
          <w:rFonts w:ascii="Times New Roman" w:hAnsi="Times New Roman" w:cs="Times New Roman"/>
          <w:sz w:val="24"/>
          <w:szCs w:val="24"/>
        </w:rPr>
        <w:t>)</w:t>
      </w:r>
      <w:r w:rsidR="007C6ADF">
        <w:rPr>
          <w:rFonts w:ascii="Times New Roman" w:hAnsi="Times New Roman" w:cs="Times New Roman"/>
          <w:sz w:val="24"/>
          <w:szCs w:val="24"/>
        </w:rPr>
        <w:t xml:space="preserve"> to ensure a mix of perspectives for each technology.</w:t>
      </w:r>
      <w:r w:rsidR="008C09EC">
        <w:rPr>
          <w:rFonts w:ascii="Times New Roman" w:hAnsi="Times New Roman" w:cs="Times New Roman"/>
          <w:sz w:val="24"/>
          <w:szCs w:val="24"/>
        </w:rPr>
        <w:t xml:space="preserve">  EERE seeks to obtain interviews from the following categories of respondents shown in Table </w:t>
      </w:r>
      <w:r w:rsidR="001A5382">
        <w:rPr>
          <w:rFonts w:ascii="Times New Roman" w:hAnsi="Times New Roman" w:cs="Times New Roman"/>
          <w:sz w:val="24"/>
          <w:szCs w:val="24"/>
        </w:rPr>
        <w:t>B.</w:t>
      </w:r>
      <w:r w:rsidR="008C09EC">
        <w:rPr>
          <w:rFonts w:ascii="Times New Roman" w:hAnsi="Times New Roman" w:cs="Times New Roman"/>
          <w:sz w:val="24"/>
          <w:szCs w:val="24"/>
        </w:rPr>
        <w:t>1.</w:t>
      </w:r>
      <w:r w:rsidR="00BA24A0">
        <w:rPr>
          <w:rFonts w:ascii="Times New Roman" w:hAnsi="Times New Roman" w:cs="Times New Roman"/>
          <w:sz w:val="24"/>
          <w:szCs w:val="24"/>
        </w:rPr>
        <w:t xml:space="preserve"> As stated in Supporting </w:t>
      </w:r>
      <w:r w:rsidR="00BA24A0">
        <w:rPr>
          <w:rFonts w:ascii="Times New Roman" w:hAnsi="Times New Roman" w:cs="Times New Roman"/>
          <w:sz w:val="24"/>
          <w:szCs w:val="24"/>
        </w:rPr>
        <w:lastRenderedPageBreak/>
        <w:t xml:space="preserve">Statement A, the target number interviews for each technology is 40 (total of </w:t>
      </w:r>
      <w:r w:rsidR="00423958">
        <w:rPr>
          <w:rFonts w:ascii="Times New Roman" w:hAnsi="Times New Roman" w:cs="Times New Roman"/>
          <w:sz w:val="24"/>
          <w:szCs w:val="24"/>
        </w:rPr>
        <w:t>80</w:t>
      </w:r>
      <w:r w:rsidR="00423958">
        <w:rPr>
          <w:rFonts w:ascii="Times New Roman" w:hAnsi="Times New Roman" w:cs="Times New Roman"/>
          <w:sz w:val="24"/>
          <w:szCs w:val="24"/>
        </w:rPr>
        <w:t xml:space="preserve"> </w:t>
      </w:r>
      <w:r w:rsidR="00BA24A0">
        <w:rPr>
          <w:rFonts w:ascii="Times New Roman" w:hAnsi="Times New Roman" w:cs="Times New Roman"/>
          <w:sz w:val="24"/>
          <w:szCs w:val="24"/>
        </w:rPr>
        <w:t xml:space="preserve">across the </w:t>
      </w:r>
      <w:r w:rsidR="00423958">
        <w:rPr>
          <w:rFonts w:ascii="Times New Roman" w:hAnsi="Times New Roman" w:cs="Times New Roman"/>
          <w:sz w:val="24"/>
          <w:szCs w:val="24"/>
        </w:rPr>
        <w:t>two</w:t>
      </w:r>
      <w:r w:rsidR="00423958">
        <w:rPr>
          <w:rFonts w:ascii="Times New Roman" w:hAnsi="Times New Roman" w:cs="Times New Roman"/>
          <w:sz w:val="24"/>
          <w:szCs w:val="24"/>
        </w:rPr>
        <w:t xml:space="preserve"> </w:t>
      </w:r>
      <w:r w:rsidR="00BA24A0">
        <w:rPr>
          <w:rFonts w:ascii="Times New Roman" w:hAnsi="Times New Roman" w:cs="Times New Roman"/>
          <w:sz w:val="24"/>
          <w:szCs w:val="24"/>
        </w:rPr>
        <w:t>technologies)</w:t>
      </w:r>
      <w:r w:rsidR="004825A3">
        <w:rPr>
          <w:rFonts w:ascii="Times New Roman" w:hAnsi="Times New Roman" w:cs="Times New Roman"/>
          <w:sz w:val="24"/>
          <w:szCs w:val="24"/>
        </w:rPr>
        <w:t>. Based on an expectation of converting 50% of invitations to interviews, the target number of invitations for each group is twice the target number of respondents</w:t>
      </w:r>
      <w:r w:rsidR="00BA24A0">
        <w:rPr>
          <w:rFonts w:ascii="Times New Roman" w:hAnsi="Times New Roman" w:cs="Times New Roman"/>
          <w:sz w:val="24"/>
          <w:szCs w:val="24"/>
        </w:rPr>
        <w:t xml:space="preserve">. </w:t>
      </w:r>
    </w:p>
    <w:p w14:paraId="4B8259A9" w14:textId="77777777" w:rsidR="001A5382" w:rsidRDefault="001A5382" w:rsidP="007873F1">
      <w:pPr>
        <w:spacing w:after="120"/>
      </w:pPr>
    </w:p>
    <w:p w14:paraId="1D20F7C4" w14:textId="45BF35CA" w:rsidR="001A5382" w:rsidRPr="001A5382" w:rsidRDefault="001A5382" w:rsidP="007873F1">
      <w:pPr>
        <w:spacing w:after="120"/>
      </w:pPr>
      <w:r>
        <w:t xml:space="preserve">TABLE B.1 </w:t>
      </w:r>
    </w:p>
    <w:p w14:paraId="46C07C53" w14:textId="77777777" w:rsidR="008C09EC" w:rsidRDefault="008C09EC" w:rsidP="007873F1">
      <w:pPr>
        <w:pStyle w:val="ListParagraph"/>
        <w:spacing w:after="120" w:line="240" w:lineRule="auto"/>
        <w:contextualSpacing w:val="0"/>
        <w:rPr>
          <w:rFonts w:ascii="Times New Roman" w:hAnsi="Times New Roman" w:cs="Times New Roman"/>
          <w:sz w:val="24"/>
          <w:szCs w:val="24"/>
        </w:rPr>
      </w:pPr>
    </w:p>
    <w:tbl>
      <w:tblPr>
        <w:tblStyle w:val="TableGrid"/>
        <w:tblW w:w="0" w:type="auto"/>
        <w:tblInd w:w="720" w:type="dxa"/>
        <w:tblLayout w:type="fixed"/>
        <w:tblLook w:val="04A0" w:firstRow="1" w:lastRow="0" w:firstColumn="1" w:lastColumn="0" w:noHBand="0" w:noVBand="1"/>
      </w:tblPr>
      <w:tblGrid>
        <w:gridCol w:w="4315"/>
        <w:gridCol w:w="2070"/>
        <w:gridCol w:w="2070"/>
      </w:tblGrid>
      <w:tr w:rsidR="004825A3" w14:paraId="560B1BA5" w14:textId="18307898" w:rsidTr="00C178B0">
        <w:tc>
          <w:tcPr>
            <w:tcW w:w="4315" w:type="dxa"/>
          </w:tcPr>
          <w:p w14:paraId="2946B17F" w14:textId="79F1FE3F" w:rsidR="004825A3" w:rsidRPr="001A5382" w:rsidRDefault="004825A3" w:rsidP="006A285A">
            <w:pPr>
              <w:pStyle w:val="ListParagraph"/>
              <w:spacing w:after="120" w:line="240" w:lineRule="auto"/>
              <w:ind w:left="0"/>
              <w:contextualSpacing w:val="0"/>
              <w:rPr>
                <w:rFonts w:ascii="Times New Roman" w:hAnsi="Times New Roman" w:cs="Times New Roman"/>
                <w:sz w:val="24"/>
                <w:szCs w:val="24"/>
              </w:rPr>
            </w:pPr>
            <w:r w:rsidRPr="001A5382">
              <w:rPr>
                <w:b/>
              </w:rPr>
              <w:t>Category of Respondent</w:t>
            </w:r>
          </w:p>
        </w:tc>
        <w:tc>
          <w:tcPr>
            <w:tcW w:w="2070" w:type="dxa"/>
          </w:tcPr>
          <w:p w14:paraId="294ECA3C" w14:textId="3821890C" w:rsidR="004825A3" w:rsidRPr="007E6415" w:rsidDel="004825A3" w:rsidRDefault="004825A3" w:rsidP="006A285A">
            <w:pPr>
              <w:pStyle w:val="ListParagraph"/>
              <w:spacing w:after="120" w:line="240" w:lineRule="auto"/>
              <w:ind w:left="0"/>
              <w:contextualSpacing w:val="0"/>
              <w:rPr>
                <w:b/>
              </w:rPr>
            </w:pPr>
            <w:r>
              <w:rPr>
                <w:b/>
              </w:rPr>
              <w:t>Target Number of Contacts Invited to Interview</w:t>
            </w:r>
          </w:p>
        </w:tc>
        <w:tc>
          <w:tcPr>
            <w:tcW w:w="2070" w:type="dxa"/>
          </w:tcPr>
          <w:p w14:paraId="181418E1" w14:textId="64193289" w:rsidR="004825A3" w:rsidRDefault="004825A3" w:rsidP="006A285A">
            <w:pPr>
              <w:pStyle w:val="ListParagraph"/>
              <w:spacing w:after="120" w:line="240" w:lineRule="auto"/>
              <w:ind w:left="0"/>
              <w:contextualSpacing w:val="0"/>
              <w:rPr>
                <w:rFonts w:ascii="Times New Roman" w:hAnsi="Times New Roman" w:cs="Times New Roman"/>
                <w:sz w:val="24"/>
                <w:szCs w:val="24"/>
              </w:rPr>
            </w:pPr>
            <w:r>
              <w:rPr>
                <w:b/>
              </w:rPr>
              <w:t>Target Number of</w:t>
            </w:r>
            <w:r w:rsidRPr="007E6415">
              <w:rPr>
                <w:b/>
              </w:rPr>
              <w:t xml:space="preserve"> Respondents</w:t>
            </w:r>
          </w:p>
        </w:tc>
      </w:tr>
      <w:tr w:rsidR="004825A3" w14:paraId="05213F34" w14:textId="0CC6C611" w:rsidTr="00C178B0">
        <w:tc>
          <w:tcPr>
            <w:tcW w:w="4315" w:type="dxa"/>
          </w:tcPr>
          <w:p w14:paraId="033073B8" w14:textId="2E6C5C68" w:rsidR="004825A3" w:rsidRPr="001A5382" w:rsidRDefault="004825A3" w:rsidP="001A5382">
            <w:pPr>
              <w:pStyle w:val="ListParagraph"/>
              <w:spacing w:after="120" w:line="240" w:lineRule="auto"/>
              <w:ind w:left="0"/>
              <w:contextualSpacing w:val="0"/>
              <w:rPr>
                <w:rFonts w:ascii="Times New Roman" w:hAnsi="Times New Roman" w:cs="Times New Roman"/>
                <w:sz w:val="24"/>
                <w:szCs w:val="24"/>
              </w:rPr>
            </w:pPr>
            <w:r w:rsidRPr="001A5382">
              <w:rPr>
                <w:rFonts w:ascii="Times New Roman" w:hAnsi="Times New Roman" w:cs="Times New Roman"/>
                <w:sz w:val="24"/>
                <w:szCs w:val="24"/>
              </w:rPr>
              <w:t>Directly Involved</w:t>
            </w:r>
          </w:p>
        </w:tc>
        <w:tc>
          <w:tcPr>
            <w:tcW w:w="2070" w:type="dxa"/>
          </w:tcPr>
          <w:p w14:paraId="7CB2B9C7" w14:textId="79936BDF" w:rsidR="004825A3" w:rsidDel="00E9676F" w:rsidRDefault="004825A3" w:rsidP="00BA24A0">
            <w:pPr>
              <w:pStyle w:val="ListParagraph"/>
              <w:spacing w:after="120" w:line="240" w:lineRule="auto"/>
              <w:ind w:left="0"/>
              <w:contextualSpacing w:val="0"/>
              <w:jc w:val="right"/>
              <w:rPr>
                <w:rFonts w:ascii="Times New Roman" w:hAnsi="Times New Roman" w:cs="Times New Roman"/>
                <w:sz w:val="24"/>
                <w:szCs w:val="24"/>
              </w:rPr>
            </w:pPr>
            <w:r>
              <w:rPr>
                <w:rFonts w:ascii="Times New Roman" w:hAnsi="Times New Roman" w:cs="Times New Roman"/>
                <w:sz w:val="24"/>
                <w:szCs w:val="24"/>
              </w:rPr>
              <w:t>32</w:t>
            </w:r>
          </w:p>
        </w:tc>
        <w:tc>
          <w:tcPr>
            <w:tcW w:w="2070" w:type="dxa"/>
          </w:tcPr>
          <w:p w14:paraId="74D40719" w14:textId="35B48C0F" w:rsidR="004825A3" w:rsidRDefault="004825A3" w:rsidP="007873F1">
            <w:pPr>
              <w:pStyle w:val="ListParagraph"/>
              <w:spacing w:after="120" w:line="240" w:lineRule="auto"/>
              <w:ind w:left="0"/>
              <w:contextualSpacing w:val="0"/>
              <w:jc w:val="right"/>
              <w:rPr>
                <w:rFonts w:ascii="Times New Roman" w:hAnsi="Times New Roman" w:cs="Times New Roman"/>
                <w:sz w:val="24"/>
                <w:szCs w:val="24"/>
              </w:rPr>
            </w:pPr>
            <w:r>
              <w:rPr>
                <w:rFonts w:ascii="Times New Roman" w:hAnsi="Times New Roman" w:cs="Times New Roman"/>
                <w:sz w:val="24"/>
                <w:szCs w:val="24"/>
              </w:rPr>
              <w:t>16</w:t>
            </w:r>
          </w:p>
        </w:tc>
      </w:tr>
      <w:tr w:rsidR="004825A3" w14:paraId="6E5A5573" w14:textId="3848AED0" w:rsidTr="00C178B0">
        <w:tc>
          <w:tcPr>
            <w:tcW w:w="4315" w:type="dxa"/>
          </w:tcPr>
          <w:p w14:paraId="67824E55" w14:textId="0E21DF72" w:rsidR="004825A3" w:rsidRPr="001A5382" w:rsidRDefault="004825A3" w:rsidP="001A5382">
            <w:pPr>
              <w:pStyle w:val="ListParagraph"/>
              <w:spacing w:after="120" w:line="240" w:lineRule="auto"/>
              <w:ind w:left="0"/>
              <w:contextualSpacing w:val="0"/>
              <w:rPr>
                <w:rFonts w:ascii="Times New Roman" w:hAnsi="Times New Roman" w:cs="Times New Roman"/>
                <w:sz w:val="24"/>
                <w:szCs w:val="24"/>
              </w:rPr>
            </w:pPr>
            <w:r w:rsidRPr="001A5382">
              <w:rPr>
                <w:rFonts w:ascii="Times New Roman" w:hAnsi="Times New Roman" w:cs="Times New Roman"/>
                <w:sz w:val="24"/>
                <w:szCs w:val="24"/>
              </w:rPr>
              <w:t>Use Technology to manufacture equipment</w:t>
            </w:r>
          </w:p>
        </w:tc>
        <w:tc>
          <w:tcPr>
            <w:tcW w:w="2070" w:type="dxa"/>
          </w:tcPr>
          <w:p w14:paraId="33ABE860" w14:textId="279E3409" w:rsidR="004825A3" w:rsidDel="00E9676F" w:rsidRDefault="004825A3" w:rsidP="00BA24A0">
            <w:pPr>
              <w:pStyle w:val="ListParagraph"/>
              <w:spacing w:after="120" w:line="240" w:lineRule="auto"/>
              <w:ind w:left="0"/>
              <w:contextualSpacing w:val="0"/>
              <w:jc w:val="right"/>
              <w:rPr>
                <w:rFonts w:ascii="Times New Roman" w:hAnsi="Times New Roman" w:cs="Times New Roman"/>
                <w:sz w:val="24"/>
                <w:szCs w:val="24"/>
              </w:rPr>
            </w:pPr>
            <w:r>
              <w:rPr>
                <w:rFonts w:ascii="Times New Roman" w:hAnsi="Times New Roman" w:cs="Times New Roman"/>
                <w:sz w:val="24"/>
                <w:szCs w:val="24"/>
              </w:rPr>
              <w:t>16</w:t>
            </w:r>
          </w:p>
        </w:tc>
        <w:tc>
          <w:tcPr>
            <w:tcW w:w="2070" w:type="dxa"/>
          </w:tcPr>
          <w:p w14:paraId="0D0405AC" w14:textId="6A6DF091" w:rsidR="004825A3" w:rsidRDefault="004825A3" w:rsidP="007873F1">
            <w:pPr>
              <w:pStyle w:val="ListParagraph"/>
              <w:spacing w:after="120" w:line="240" w:lineRule="auto"/>
              <w:ind w:left="0"/>
              <w:contextualSpacing w:val="0"/>
              <w:jc w:val="right"/>
              <w:rPr>
                <w:rFonts w:ascii="Times New Roman" w:hAnsi="Times New Roman" w:cs="Times New Roman"/>
                <w:sz w:val="24"/>
                <w:szCs w:val="24"/>
              </w:rPr>
            </w:pPr>
            <w:r>
              <w:rPr>
                <w:rFonts w:ascii="Times New Roman" w:hAnsi="Times New Roman" w:cs="Times New Roman"/>
                <w:sz w:val="24"/>
                <w:szCs w:val="24"/>
              </w:rPr>
              <w:t>8</w:t>
            </w:r>
          </w:p>
        </w:tc>
      </w:tr>
      <w:tr w:rsidR="004825A3" w14:paraId="27047E89" w14:textId="2A623E01" w:rsidTr="00C178B0">
        <w:tc>
          <w:tcPr>
            <w:tcW w:w="4315" w:type="dxa"/>
          </w:tcPr>
          <w:p w14:paraId="1A8CFEF0" w14:textId="4485CDD7" w:rsidR="004825A3" w:rsidRPr="001A5382" w:rsidRDefault="004825A3" w:rsidP="001A5382">
            <w:pPr>
              <w:pStyle w:val="ListParagraph"/>
              <w:spacing w:after="120" w:line="240" w:lineRule="auto"/>
              <w:ind w:left="0"/>
              <w:contextualSpacing w:val="0"/>
              <w:rPr>
                <w:rFonts w:ascii="Times New Roman" w:hAnsi="Times New Roman" w:cs="Times New Roman"/>
                <w:sz w:val="24"/>
                <w:szCs w:val="24"/>
              </w:rPr>
            </w:pPr>
            <w:r w:rsidRPr="001A5382">
              <w:rPr>
                <w:rFonts w:ascii="Times New Roman" w:hAnsi="Times New Roman" w:cs="Times New Roman"/>
                <w:sz w:val="24"/>
                <w:szCs w:val="24"/>
              </w:rPr>
              <w:t>Possess Relevant Knowledge</w:t>
            </w:r>
          </w:p>
        </w:tc>
        <w:tc>
          <w:tcPr>
            <w:tcW w:w="2070" w:type="dxa"/>
          </w:tcPr>
          <w:p w14:paraId="10845132" w14:textId="7B3F1801" w:rsidR="004825A3" w:rsidDel="00E9676F" w:rsidRDefault="004825A3" w:rsidP="00BA24A0">
            <w:pPr>
              <w:pStyle w:val="ListParagraph"/>
              <w:spacing w:after="120" w:line="240" w:lineRule="auto"/>
              <w:ind w:left="0"/>
              <w:contextualSpacing w:val="0"/>
              <w:jc w:val="right"/>
              <w:rPr>
                <w:rFonts w:ascii="Times New Roman" w:hAnsi="Times New Roman" w:cs="Times New Roman"/>
                <w:sz w:val="24"/>
                <w:szCs w:val="24"/>
              </w:rPr>
            </w:pPr>
            <w:r>
              <w:rPr>
                <w:rFonts w:ascii="Times New Roman" w:hAnsi="Times New Roman" w:cs="Times New Roman"/>
                <w:sz w:val="24"/>
                <w:szCs w:val="24"/>
              </w:rPr>
              <w:t>16</w:t>
            </w:r>
          </w:p>
        </w:tc>
        <w:tc>
          <w:tcPr>
            <w:tcW w:w="2070" w:type="dxa"/>
          </w:tcPr>
          <w:p w14:paraId="2E1CEEDE" w14:textId="16B2D1B4" w:rsidR="004825A3" w:rsidRDefault="004825A3" w:rsidP="007873F1">
            <w:pPr>
              <w:pStyle w:val="ListParagraph"/>
              <w:spacing w:after="120" w:line="240" w:lineRule="auto"/>
              <w:ind w:left="0"/>
              <w:contextualSpacing w:val="0"/>
              <w:jc w:val="right"/>
              <w:rPr>
                <w:rFonts w:ascii="Times New Roman" w:hAnsi="Times New Roman" w:cs="Times New Roman"/>
                <w:sz w:val="24"/>
                <w:szCs w:val="24"/>
              </w:rPr>
            </w:pPr>
            <w:r>
              <w:rPr>
                <w:rFonts w:ascii="Times New Roman" w:hAnsi="Times New Roman" w:cs="Times New Roman"/>
                <w:sz w:val="24"/>
                <w:szCs w:val="24"/>
              </w:rPr>
              <w:t>8</w:t>
            </w:r>
          </w:p>
        </w:tc>
      </w:tr>
      <w:tr w:rsidR="004825A3" w14:paraId="25F4FEA2" w14:textId="68ABA4A1" w:rsidTr="00C178B0">
        <w:tc>
          <w:tcPr>
            <w:tcW w:w="4315" w:type="dxa"/>
          </w:tcPr>
          <w:p w14:paraId="727716F9" w14:textId="5C367823" w:rsidR="004825A3" w:rsidRPr="001A5382" w:rsidRDefault="004825A3" w:rsidP="001A5382">
            <w:pPr>
              <w:pStyle w:val="ListParagraph"/>
              <w:spacing w:after="120" w:line="240" w:lineRule="auto"/>
              <w:ind w:left="0"/>
              <w:contextualSpacing w:val="0"/>
              <w:rPr>
                <w:rFonts w:ascii="Times New Roman" w:hAnsi="Times New Roman" w:cs="Times New Roman"/>
                <w:sz w:val="24"/>
                <w:szCs w:val="24"/>
              </w:rPr>
            </w:pPr>
            <w:r w:rsidRPr="001A5382">
              <w:rPr>
                <w:rFonts w:ascii="Times New Roman" w:hAnsi="Times New Roman" w:cs="Times New Roman"/>
                <w:sz w:val="24"/>
                <w:szCs w:val="24"/>
              </w:rPr>
              <w:t>Member of Technical Society</w:t>
            </w:r>
          </w:p>
        </w:tc>
        <w:tc>
          <w:tcPr>
            <w:tcW w:w="2070" w:type="dxa"/>
          </w:tcPr>
          <w:p w14:paraId="061E9A84" w14:textId="3E88DD4B" w:rsidR="004825A3" w:rsidDel="00E9676F" w:rsidRDefault="004825A3" w:rsidP="00BA24A0">
            <w:pPr>
              <w:pStyle w:val="ListParagraph"/>
              <w:spacing w:after="120" w:line="240" w:lineRule="auto"/>
              <w:ind w:left="0"/>
              <w:contextualSpacing w:val="0"/>
              <w:jc w:val="right"/>
              <w:rPr>
                <w:rFonts w:ascii="Times New Roman" w:hAnsi="Times New Roman" w:cs="Times New Roman"/>
                <w:sz w:val="24"/>
                <w:szCs w:val="24"/>
              </w:rPr>
            </w:pPr>
            <w:r>
              <w:rPr>
                <w:rFonts w:ascii="Times New Roman" w:hAnsi="Times New Roman" w:cs="Times New Roman"/>
                <w:sz w:val="24"/>
                <w:szCs w:val="24"/>
              </w:rPr>
              <w:t>16</w:t>
            </w:r>
          </w:p>
        </w:tc>
        <w:tc>
          <w:tcPr>
            <w:tcW w:w="2070" w:type="dxa"/>
          </w:tcPr>
          <w:p w14:paraId="5DB93A0D" w14:textId="6523B6DD" w:rsidR="004825A3" w:rsidRDefault="004825A3" w:rsidP="007873F1">
            <w:pPr>
              <w:pStyle w:val="ListParagraph"/>
              <w:spacing w:after="120" w:line="240" w:lineRule="auto"/>
              <w:ind w:left="0"/>
              <w:contextualSpacing w:val="0"/>
              <w:jc w:val="right"/>
              <w:rPr>
                <w:rFonts w:ascii="Times New Roman" w:hAnsi="Times New Roman" w:cs="Times New Roman"/>
                <w:sz w:val="24"/>
                <w:szCs w:val="24"/>
              </w:rPr>
            </w:pPr>
            <w:r>
              <w:rPr>
                <w:rFonts w:ascii="Times New Roman" w:hAnsi="Times New Roman" w:cs="Times New Roman"/>
                <w:sz w:val="24"/>
                <w:szCs w:val="24"/>
              </w:rPr>
              <w:t>8</w:t>
            </w:r>
          </w:p>
        </w:tc>
      </w:tr>
      <w:tr w:rsidR="004825A3" w14:paraId="5335329B" w14:textId="77777777" w:rsidTr="00C178B0">
        <w:tc>
          <w:tcPr>
            <w:tcW w:w="4315" w:type="dxa"/>
          </w:tcPr>
          <w:p w14:paraId="38ED5626" w14:textId="36BFD93A" w:rsidR="004825A3" w:rsidRPr="001A5382" w:rsidRDefault="004825A3" w:rsidP="006A285A">
            <w:pPr>
              <w:pStyle w:val="ListParagraph"/>
              <w:spacing w:after="120" w:line="240" w:lineRule="auto"/>
              <w:ind w:left="0"/>
              <w:contextualSpacing w:val="0"/>
              <w:rPr>
                <w:rFonts w:ascii="Times New Roman" w:hAnsi="Times New Roman" w:cs="Times New Roman"/>
                <w:sz w:val="24"/>
                <w:szCs w:val="24"/>
              </w:rPr>
            </w:pPr>
            <w:r w:rsidRPr="001A5382">
              <w:rPr>
                <w:rFonts w:ascii="Times New Roman" w:hAnsi="Times New Roman" w:cs="Times New Roman"/>
                <w:sz w:val="24"/>
                <w:szCs w:val="24"/>
              </w:rPr>
              <w:t>TOTAL</w:t>
            </w:r>
            <w:r>
              <w:rPr>
                <w:rFonts w:ascii="Times New Roman" w:hAnsi="Times New Roman" w:cs="Times New Roman"/>
                <w:sz w:val="24"/>
                <w:szCs w:val="24"/>
              </w:rPr>
              <w:t>S</w:t>
            </w:r>
          </w:p>
        </w:tc>
        <w:tc>
          <w:tcPr>
            <w:tcW w:w="2070" w:type="dxa"/>
          </w:tcPr>
          <w:p w14:paraId="11F67CE1" w14:textId="239E54B3" w:rsidR="004825A3" w:rsidDel="00E9676F" w:rsidRDefault="004825A3">
            <w:pPr>
              <w:pStyle w:val="ListParagraph"/>
              <w:spacing w:after="120" w:line="240" w:lineRule="auto"/>
              <w:ind w:left="0"/>
              <w:contextualSpacing w:val="0"/>
              <w:jc w:val="right"/>
              <w:rPr>
                <w:rFonts w:ascii="Times New Roman" w:hAnsi="Times New Roman" w:cs="Times New Roman"/>
                <w:sz w:val="24"/>
                <w:szCs w:val="24"/>
              </w:rPr>
            </w:pPr>
            <w:r>
              <w:rPr>
                <w:rFonts w:ascii="Times New Roman" w:hAnsi="Times New Roman" w:cs="Times New Roman"/>
                <w:sz w:val="24"/>
                <w:szCs w:val="24"/>
              </w:rPr>
              <w:t>80</w:t>
            </w:r>
          </w:p>
        </w:tc>
        <w:tc>
          <w:tcPr>
            <w:tcW w:w="2070" w:type="dxa"/>
          </w:tcPr>
          <w:p w14:paraId="040EC933" w14:textId="262B1946" w:rsidR="004825A3" w:rsidRDefault="004825A3" w:rsidP="007873F1">
            <w:pPr>
              <w:pStyle w:val="ListParagraph"/>
              <w:spacing w:after="120" w:line="240" w:lineRule="auto"/>
              <w:ind w:left="0"/>
              <w:contextualSpacing w:val="0"/>
              <w:jc w:val="right"/>
              <w:rPr>
                <w:rFonts w:ascii="Times New Roman" w:hAnsi="Times New Roman" w:cs="Times New Roman"/>
                <w:sz w:val="24"/>
                <w:szCs w:val="24"/>
              </w:rPr>
            </w:pPr>
            <w:r>
              <w:rPr>
                <w:rFonts w:ascii="Times New Roman" w:hAnsi="Times New Roman" w:cs="Times New Roman"/>
                <w:sz w:val="24"/>
                <w:szCs w:val="24"/>
              </w:rPr>
              <w:t>40</w:t>
            </w:r>
          </w:p>
        </w:tc>
      </w:tr>
    </w:tbl>
    <w:p w14:paraId="27E3437F" w14:textId="77777777" w:rsidR="006A285A" w:rsidRDefault="006A285A" w:rsidP="007873F1">
      <w:pPr>
        <w:pStyle w:val="ListParagraph"/>
        <w:spacing w:after="120" w:line="240" w:lineRule="auto"/>
        <w:contextualSpacing w:val="0"/>
        <w:rPr>
          <w:rFonts w:ascii="Times New Roman" w:hAnsi="Times New Roman" w:cs="Times New Roman"/>
          <w:sz w:val="24"/>
          <w:szCs w:val="24"/>
        </w:rPr>
      </w:pPr>
    </w:p>
    <w:p w14:paraId="74F468FB" w14:textId="63913D60" w:rsidR="00EB7C97" w:rsidRPr="00EB7C97" w:rsidRDefault="00EB7C97" w:rsidP="00630FB9">
      <w:pPr>
        <w:pStyle w:val="ListParagraph"/>
        <w:numPr>
          <w:ilvl w:val="0"/>
          <w:numId w:val="18"/>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Augment the initial contact list with a respondent-driven or snowball sampling approach</w:t>
      </w:r>
      <w:r w:rsidR="004825A3">
        <w:rPr>
          <w:rFonts w:ascii="Times New Roman" w:hAnsi="Times New Roman" w:cs="Times New Roman"/>
          <w:sz w:val="24"/>
          <w:szCs w:val="24"/>
        </w:rPr>
        <w:t xml:space="preserve">. These contacts will be used to augment the sampling frame, if needed, for hard-to-identify populations. </w:t>
      </w:r>
      <w:r>
        <w:rPr>
          <w:rFonts w:ascii="Times New Roman" w:hAnsi="Times New Roman" w:cs="Times New Roman"/>
          <w:sz w:val="24"/>
          <w:szCs w:val="24"/>
        </w:rPr>
        <w:t>We will ask each respondent to recommend</w:t>
      </w:r>
      <w:r w:rsidRPr="00E03079">
        <w:rPr>
          <w:rFonts w:ascii="Times New Roman" w:hAnsi="Times New Roman" w:cs="Times New Roman"/>
          <w:sz w:val="24"/>
          <w:szCs w:val="24"/>
        </w:rPr>
        <w:t xml:space="preserve"> other potential respondents</w:t>
      </w:r>
      <w:r>
        <w:rPr>
          <w:rFonts w:ascii="Times New Roman" w:hAnsi="Times New Roman" w:cs="Times New Roman"/>
          <w:sz w:val="24"/>
          <w:szCs w:val="24"/>
        </w:rPr>
        <w:t xml:space="preserve"> in their professional networks. If certain groups appear underrepresented in our sample, we might ask specifically if the respondent can suggest someone in that group. Often, a respondent will refer us to someone they know, or know of, when they do not feel comfortable answering a certain question, or feel that they are not the most qualified to answer.</w:t>
      </w:r>
      <w:r w:rsidR="009D486E">
        <w:rPr>
          <w:rFonts w:ascii="Times New Roman" w:hAnsi="Times New Roman" w:cs="Times New Roman"/>
          <w:sz w:val="24"/>
          <w:szCs w:val="24"/>
        </w:rPr>
        <w:t xml:space="preserve"> </w:t>
      </w:r>
      <w:r w:rsidR="001C6E03">
        <w:rPr>
          <w:rFonts w:ascii="Times New Roman" w:hAnsi="Times New Roman" w:cs="Times New Roman"/>
          <w:sz w:val="24"/>
          <w:szCs w:val="24"/>
        </w:rPr>
        <w:t>The totality of experts compiled f</w:t>
      </w:r>
      <w:r w:rsidR="009D486E">
        <w:rPr>
          <w:rFonts w:ascii="Times New Roman" w:hAnsi="Times New Roman" w:cs="Times New Roman"/>
          <w:sz w:val="24"/>
          <w:szCs w:val="24"/>
        </w:rPr>
        <w:t xml:space="preserve">rom Steps 1 &amp; </w:t>
      </w:r>
      <w:r w:rsidR="004825A3">
        <w:rPr>
          <w:rFonts w:ascii="Times New Roman" w:hAnsi="Times New Roman" w:cs="Times New Roman"/>
          <w:sz w:val="24"/>
          <w:szCs w:val="24"/>
        </w:rPr>
        <w:t>2</w:t>
      </w:r>
      <w:r w:rsidR="009D486E">
        <w:rPr>
          <w:rFonts w:ascii="Times New Roman" w:hAnsi="Times New Roman" w:cs="Times New Roman"/>
          <w:sz w:val="24"/>
          <w:szCs w:val="24"/>
        </w:rPr>
        <w:t xml:space="preserve">, will </w:t>
      </w:r>
      <w:r w:rsidR="001C6E03">
        <w:rPr>
          <w:rFonts w:ascii="Times New Roman" w:hAnsi="Times New Roman" w:cs="Times New Roman"/>
          <w:sz w:val="24"/>
          <w:szCs w:val="24"/>
        </w:rPr>
        <w:t>comprise</w:t>
      </w:r>
      <w:r w:rsidR="009D486E">
        <w:rPr>
          <w:rFonts w:ascii="Times New Roman" w:hAnsi="Times New Roman" w:cs="Times New Roman"/>
          <w:sz w:val="24"/>
          <w:szCs w:val="24"/>
        </w:rPr>
        <w:t xml:space="preserve"> our sampling </w:t>
      </w:r>
      <w:r w:rsidR="00EF58FA">
        <w:rPr>
          <w:rFonts w:ascii="Times New Roman" w:hAnsi="Times New Roman" w:cs="Times New Roman"/>
          <w:sz w:val="24"/>
          <w:szCs w:val="24"/>
        </w:rPr>
        <w:t>frame</w:t>
      </w:r>
      <w:r w:rsidR="009D486E">
        <w:rPr>
          <w:rFonts w:ascii="Times New Roman" w:hAnsi="Times New Roman" w:cs="Times New Roman"/>
          <w:sz w:val="24"/>
          <w:szCs w:val="24"/>
        </w:rPr>
        <w:t>.</w:t>
      </w:r>
      <w:r w:rsidR="002A0FF3">
        <w:rPr>
          <w:rFonts w:ascii="Times New Roman" w:hAnsi="Times New Roman" w:cs="Times New Roman"/>
          <w:sz w:val="24"/>
          <w:szCs w:val="24"/>
        </w:rPr>
        <w:t xml:space="preserve">  The respondent-driven approach is an appropriate sampling method in developing a frame for hard-to-identify populations.</w:t>
      </w:r>
    </w:p>
    <w:p w14:paraId="1AAEF08F" w14:textId="17E0B98A" w:rsidR="007F3573" w:rsidRPr="00F81DE4" w:rsidRDefault="007F3573" w:rsidP="00630FB9">
      <w:pPr>
        <w:pStyle w:val="ListParagraph"/>
        <w:numPr>
          <w:ilvl w:val="0"/>
          <w:numId w:val="18"/>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Periodically reassess the stratification strategy </w:t>
      </w:r>
      <w:r w:rsidR="00BC7241">
        <w:rPr>
          <w:rFonts w:ascii="Times New Roman" w:hAnsi="Times New Roman" w:cs="Times New Roman"/>
          <w:sz w:val="24"/>
          <w:szCs w:val="24"/>
        </w:rPr>
        <w:t>and review response rates within each</w:t>
      </w:r>
      <w:r w:rsidR="000A3BFC">
        <w:rPr>
          <w:rFonts w:ascii="Times New Roman" w:hAnsi="Times New Roman" w:cs="Times New Roman"/>
          <w:sz w:val="24"/>
          <w:szCs w:val="24"/>
        </w:rPr>
        <w:t xml:space="preserve"> </w:t>
      </w:r>
      <w:r w:rsidR="00BC7241">
        <w:rPr>
          <w:rFonts w:ascii="Times New Roman" w:hAnsi="Times New Roman" w:cs="Times New Roman"/>
          <w:sz w:val="24"/>
          <w:szCs w:val="24"/>
        </w:rPr>
        <w:t xml:space="preserve">strata: Are there additional groups for which we should identify potential contacts? Do we need to focus on any one group to reach </w:t>
      </w:r>
      <w:r w:rsidR="00D63D84">
        <w:rPr>
          <w:rFonts w:ascii="Times New Roman" w:hAnsi="Times New Roman" w:cs="Times New Roman"/>
          <w:sz w:val="24"/>
          <w:szCs w:val="24"/>
        </w:rPr>
        <w:t xml:space="preserve">the target </w:t>
      </w:r>
      <w:r w:rsidR="00C5339D">
        <w:rPr>
          <w:rFonts w:ascii="Times New Roman" w:hAnsi="Times New Roman" w:cs="Times New Roman"/>
          <w:sz w:val="24"/>
          <w:szCs w:val="24"/>
        </w:rPr>
        <w:t>n</w:t>
      </w:r>
      <w:r w:rsidR="00BC7241">
        <w:rPr>
          <w:rFonts w:ascii="Times New Roman" w:hAnsi="Times New Roman" w:cs="Times New Roman"/>
          <w:sz w:val="24"/>
          <w:szCs w:val="24"/>
        </w:rPr>
        <w:t xml:space="preserve">umber of </w:t>
      </w:r>
      <w:r w:rsidR="00D63D84">
        <w:rPr>
          <w:rFonts w:ascii="Times New Roman" w:hAnsi="Times New Roman" w:cs="Times New Roman"/>
          <w:sz w:val="24"/>
          <w:szCs w:val="24"/>
        </w:rPr>
        <w:t>interviews</w:t>
      </w:r>
      <w:r w:rsidR="00BC7241">
        <w:rPr>
          <w:rFonts w:ascii="Times New Roman" w:hAnsi="Times New Roman" w:cs="Times New Roman"/>
          <w:sz w:val="24"/>
          <w:szCs w:val="24"/>
        </w:rPr>
        <w:t>?</w:t>
      </w:r>
      <w:r w:rsidR="00F773F4">
        <w:rPr>
          <w:rFonts w:ascii="Times New Roman" w:hAnsi="Times New Roman" w:cs="Times New Roman"/>
          <w:sz w:val="24"/>
          <w:szCs w:val="24"/>
        </w:rPr>
        <w:t xml:space="preserve"> Has a potential contact been identified as having special knowledge that would be especially valuable to include in the study?</w:t>
      </w:r>
      <w:r w:rsidR="00BC7241">
        <w:rPr>
          <w:rFonts w:ascii="Times New Roman" w:hAnsi="Times New Roman" w:cs="Times New Roman"/>
          <w:sz w:val="24"/>
          <w:szCs w:val="24"/>
        </w:rPr>
        <w:t xml:space="preserve"> Adjust the approach as appropriate. </w:t>
      </w:r>
    </w:p>
    <w:p w14:paraId="4616F7C0" w14:textId="1D99AAF3" w:rsidR="00505190" w:rsidRDefault="00FD6357" w:rsidP="007873F1">
      <w:r>
        <w:t xml:space="preserve">This sampling methodology is appropriate for hard-to-reach populations that are familiar with one another when a sampling frame is not readily available or difficult </w:t>
      </w:r>
      <w:r w:rsidR="000B1899">
        <w:t>to build.</w:t>
      </w:r>
    </w:p>
    <w:p w14:paraId="1A1B1FA5" w14:textId="77777777" w:rsidR="000B1899" w:rsidRPr="000C2F4E" w:rsidRDefault="000B1899" w:rsidP="00630FB9">
      <w:pPr>
        <w:ind w:firstLine="360"/>
      </w:pPr>
    </w:p>
    <w:p w14:paraId="7A2B6D9E" w14:textId="233A91AA" w:rsidR="00505190" w:rsidRPr="00652F9E" w:rsidRDefault="00C024B0" w:rsidP="00505190">
      <w:pPr>
        <w:rPr>
          <w:b/>
          <w:u w:val="single"/>
        </w:rPr>
      </w:pPr>
      <w:r>
        <w:rPr>
          <w:b/>
        </w:rPr>
        <w:t>3</w:t>
      </w:r>
      <w:r w:rsidR="00505190">
        <w:rPr>
          <w:b/>
        </w:rPr>
        <w:t xml:space="preserve">.  </w:t>
      </w:r>
      <w:r w:rsidR="000C2F4E">
        <w:rPr>
          <w:b/>
          <w:u w:val="single"/>
        </w:rPr>
        <w:t>Information collection</w:t>
      </w:r>
      <w:r w:rsidR="00505190">
        <w:rPr>
          <w:b/>
          <w:u w:val="single"/>
        </w:rPr>
        <w:t xml:space="preserve"> procedures</w:t>
      </w:r>
    </w:p>
    <w:p w14:paraId="6F1943AD" w14:textId="77777777" w:rsidR="00505190" w:rsidRDefault="00505190" w:rsidP="00505190"/>
    <w:p w14:paraId="46F5F725" w14:textId="5EE074B6" w:rsidR="00F773F4" w:rsidRDefault="003C77E7" w:rsidP="00630FB9">
      <w:pPr>
        <w:pStyle w:val="ListParagraph"/>
        <w:ind w:left="0"/>
        <w:rPr>
          <w:rFonts w:ascii="Times New Roman" w:hAnsi="Times New Roman" w:cs="Times New Roman"/>
          <w:sz w:val="24"/>
          <w:szCs w:val="24"/>
        </w:rPr>
      </w:pPr>
      <w:r w:rsidRPr="00567FE5">
        <w:rPr>
          <w:rFonts w:ascii="Times New Roman" w:hAnsi="Times New Roman" w:cs="Times New Roman"/>
          <w:sz w:val="24"/>
          <w:szCs w:val="24"/>
        </w:rPr>
        <w:t>Email invitations will be sent to prospective respondents</w:t>
      </w:r>
      <w:r w:rsidR="00E240A9">
        <w:rPr>
          <w:rFonts w:ascii="Times New Roman" w:hAnsi="Times New Roman" w:cs="Times New Roman"/>
          <w:sz w:val="24"/>
          <w:szCs w:val="24"/>
        </w:rPr>
        <w:t xml:space="preserve"> for each technology</w:t>
      </w:r>
      <w:r w:rsidRPr="00567FE5">
        <w:rPr>
          <w:rFonts w:ascii="Times New Roman" w:hAnsi="Times New Roman" w:cs="Times New Roman"/>
          <w:sz w:val="24"/>
          <w:szCs w:val="24"/>
        </w:rPr>
        <w:t xml:space="preserve">, </w:t>
      </w:r>
      <w:r w:rsidR="00E240A9">
        <w:rPr>
          <w:rFonts w:ascii="Times New Roman" w:hAnsi="Times New Roman" w:cs="Times New Roman"/>
          <w:sz w:val="24"/>
          <w:szCs w:val="24"/>
        </w:rPr>
        <w:t>with</w:t>
      </w:r>
      <w:r w:rsidR="00E240A9" w:rsidRPr="00567FE5">
        <w:rPr>
          <w:rFonts w:ascii="Times New Roman" w:hAnsi="Times New Roman" w:cs="Times New Roman"/>
          <w:sz w:val="24"/>
          <w:szCs w:val="24"/>
        </w:rPr>
        <w:t xml:space="preserve"> </w:t>
      </w:r>
      <w:r w:rsidRPr="00567FE5">
        <w:rPr>
          <w:rFonts w:ascii="Times New Roman" w:hAnsi="Times New Roman" w:cs="Times New Roman"/>
          <w:sz w:val="24"/>
          <w:szCs w:val="24"/>
        </w:rPr>
        <w:t>a brief description of the project and its objectives. An interview guide</w:t>
      </w:r>
      <w:r w:rsidR="009D486E">
        <w:rPr>
          <w:rFonts w:ascii="Times New Roman" w:hAnsi="Times New Roman" w:cs="Times New Roman"/>
          <w:sz w:val="24"/>
          <w:szCs w:val="24"/>
        </w:rPr>
        <w:t>,</w:t>
      </w:r>
      <w:r w:rsidRPr="00567FE5">
        <w:rPr>
          <w:rFonts w:ascii="Times New Roman" w:hAnsi="Times New Roman" w:cs="Times New Roman"/>
          <w:sz w:val="24"/>
          <w:szCs w:val="24"/>
        </w:rPr>
        <w:t xml:space="preserve"> </w:t>
      </w:r>
      <w:r w:rsidR="009D486E">
        <w:rPr>
          <w:rFonts w:ascii="Times New Roman" w:hAnsi="Times New Roman" w:cs="Times New Roman"/>
          <w:sz w:val="24"/>
          <w:szCs w:val="24"/>
        </w:rPr>
        <w:t>with</w:t>
      </w:r>
      <w:r w:rsidR="009D486E" w:rsidRPr="00567FE5">
        <w:rPr>
          <w:rFonts w:ascii="Times New Roman" w:hAnsi="Times New Roman" w:cs="Times New Roman"/>
          <w:sz w:val="24"/>
          <w:szCs w:val="24"/>
        </w:rPr>
        <w:t xml:space="preserve"> </w:t>
      </w:r>
      <w:r w:rsidRPr="00567FE5">
        <w:rPr>
          <w:rFonts w:ascii="Times New Roman" w:hAnsi="Times New Roman" w:cs="Times New Roman"/>
          <w:sz w:val="24"/>
          <w:szCs w:val="24"/>
        </w:rPr>
        <w:t>background materials for the technology</w:t>
      </w:r>
      <w:r w:rsidR="009D486E">
        <w:rPr>
          <w:rFonts w:ascii="Times New Roman" w:hAnsi="Times New Roman" w:cs="Times New Roman"/>
          <w:sz w:val="24"/>
          <w:szCs w:val="24"/>
        </w:rPr>
        <w:t>,</w:t>
      </w:r>
      <w:r w:rsidRPr="00567FE5">
        <w:rPr>
          <w:rFonts w:ascii="Times New Roman" w:hAnsi="Times New Roman" w:cs="Times New Roman"/>
          <w:sz w:val="24"/>
          <w:szCs w:val="24"/>
        </w:rPr>
        <w:t xml:space="preserve"> will be sent </w:t>
      </w:r>
      <w:r w:rsidR="000A4BE4" w:rsidRPr="00567FE5">
        <w:rPr>
          <w:rFonts w:ascii="Times New Roman" w:hAnsi="Times New Roman" w:cs="Times New Roman"/>
          <w:sz w:val="24"/>
          <w:szCs w:val="24"/>
        </w:rPr>
        <w:t xml:space="preserve">once </w:t>
      </w:r>
      <w:r w:rsidR="009A222B">
        <w:rPr>
          <w:rFonts w:ascii="Times New Roman" w:hAnsi="Times New Roman" w:cs="Times New Roman"/>
          <w:sz w:val="24"/>
          <w:szCs w:val="24"/>
        </w:rPr>
        <w:t xml:space="preserve">the respondent has agreed to participate and </w:t>
      </w:r>
      <w:r w:rsidR="000A4BE4" w:rsidRPr="00567FE5">
        <w:rPr>
          <w:rFonts w:ascii="Times New Roman" w:hAnsi="Times New Roman" w:cs="Times New Roman"/>
          <w:sz w:val="24"/>
          <w:szCs w:val="24"/>
        </w:rPr>
        <w:t xml:space="preserve">a time has been set </w:t>
      </w:r>
      <w:r w:rsidR="000A4BE4" w:rsidRPr="00567FE5">
        <w:rPr>
          <w:rFonts w:ascii="Times New Roman" w:hAnsi="Times New Roman" w:cs="Times New Roman"/>
          <w:sz w:val="24"/>
          <w:szCs w:val="24"/>
        </w:rPr>
        <w:lastRenderedPageBreak/>
        <w:t>for the interview</w:t>
      </w:r>
      <w:r w:rsidRPr="00567FE5">
        <w:rPr>
          <w:rFonts w:ascii="Times New Roman" w:hAnsi="Times New Roman" w:cs="Times New Roman"/>
          <w:sz w:val="24"/>
          <w:szCs w:val="24"/>
        </w:rPr>
        <w:t>.</w:t>
      </w:r>
      <w:r w:rsidR="000A4BE4" w:rsidRPr="00567FE5">
        <w:rPr>
          <w:rFonts w:ascii="Times New Roman" w:hAnsi="Times New Roman" w:cs="Times New Roman"/>
          <w:sz w:val="24"/>
          <w:szCs w:val="24"/>
        </w:rPr>
        <w:t xml:space="preserve"> </w:t>
      </w:r>
      <w:r w:rsidR="009A222B">
        <w:rPr>
          <w:rFonts w:ascii="Times New Roman" w:hAnsi="Times New Roman" w:cs="Times New Roman"/>
          <w:sz w:val="24"/>
          <w:szCs w:val="24"/>
        </w:rPr>
        <w:t>Interviews</w:t>
      </w:r>
      <w:r w:rsidR="000A4BE4" w:rsidRPr="00567FE5">
        <w:rPr>
          <w:rFonts w:ascii="Times New Roman" w:hAnsi="Times New Roman" w:cs="Times New Roman"/>
          <w:sz w:val="24"/>
          <w:szCs w:val="24"/>
        </w:rPr>
        <w:t xml:space="preserve"> will be conducted by conference call</w:t>
      </w:r>
      <w:r w:rsidR="009A222B">
        <w:rPr>
          <w:rFonts w:ascii="Times New Roman" w:hAnsi="Times New Roman" w:cs="Times New Roman"/>
          <w:sz w:val="24"/>
          <w:szCs w:val="24"/>
        </w:rPr>
        <w:t xml:space="preserve"> attended by</w:t>
      </w:r>
      <w:r w:rsidR="000A4BE4" w:rsidRPr="00567FE5">
        <w:rPr>
          <w:rFonts w:ascii="Times New Roman" w:hAnsi="Times New Roman" w:cs="Times New Roman"/>
          <w:sz w:val="24"/>
          <w:szCs w:val="24"/>
        </w:rPr>
        <w:t xml:space="preserve"> two RTI staff</w:t>
      </w:r>
      <w:r w:rsidR="009A222B">
        <w:rPr>
          <w:rFonts w:ascii="Times New Roman" w:hAnsi="Times New Roman" w:cs="Times New Roman"/>
          <w:sz w:val="24"/>
          <w:szCs w:val="24"/>
        </w:rPr>
        <w:t>, one to lead and one to take notes</w:t>
      </w:r>
      <w:r w:rsidR="000A4BE4" w:rsidRPr="00567FE5">
        <w:rPr>
          <w:rFonts w:ascii="Times New Roman" w:hAnsi="Times New Roman" w:cs="Times New Roman"/>
          <w:sz w:val="24"/>
          <w:szCs w:val="24"/>
        </w:rPr>
        <w:t xml:space="preserve">. </w:t>
      </w:r>
      <w:r w:rsidR="009A222B">
        <w:rPr>
          <w:rFonts w:ascii="Times New Roman" w:hAnsi="Times New Roman" w:cs="Times New Roman"/>
          <w:sz w:val="24"/>
          <w:szCs w:val="24"/>
        </w:rPr>
        <w:t xml:space="preserve">If </w:t>
      </w:r>
      <w:r w:rsidR="000A4BE4" w:rsidRPr="00567FE5">
        <w:rPr>
          <w:rFonts w:ascii="Times New Roman" w:hAnsi="Times New Roman" w:cs="Times New Roman"/>
          <w:sz w:val="24"/>
          <w:szCs w:val="24"/>
        </w:rPr>
        <w:t xml:space="preserve">respondents prefer to provide responses on the interview guide (typing their responses into the Word document) and return to us by </w:t>
      </w:r>
      <w:r w:rsidR="009A222B">
        <w:rPr>
          <w:rFonts w:ascii="Times New Roman" w:hAnsi="Times New Roman" w:cs="Times New Roman"/>
          <w:sz w:val="24"/>
          <w:szCs w:val="24"/>
        </w:rPr>
        <w:t>e</w:t>
      </w:r>
      <w:r w:rsidR="000A4BE4" w:rsidRPr="00567FE5">
        <w:rPr>
          <w:rFonts w:ascii="Times New Roman" w:hAnsi="Times New Roman" w:cs="Times New Roman"/>
          <w:sz w:val="24"/>
          <w:szCs w:val="24"/>
        </w:rPr>
        <w:t>mail attachment</w:t>
      </w:r>
      <w:r w:rsidR="00A116E1">
        <w:rPr>
          <w:rFonts w:ascii="Times New Roman" w:hAnsi="Times New Roman" w:cs="Times New Roman"/>
          <w:sz w:val="24"/>
          <w:szCs w:val="24"/>
        </w:rPr>
        <w:t xml:space="preserve"> </w:t>
      </w:r>
      <w:r w:rsidR="009A222B">
        <w:rPr>
          <w:rFonts w:ascii="Times New Roman" w:hAnsi="Times New Roman" w:cs="Times New Roman"/>
          <w:sz w:val="24"/>
          <w:szCs w:val="24"/>
        </w:rPr>
        <w:t>that is also acceptable</w:t>
      </w:r>
      <w:r w:rsidR="00427D04">
        <w:rPr>
          <w:rFonts w:ascii="Times New Roman" w:hAnsi="Times New Roman" w:cs="Times New Roman"/>
          <w:sz w:val="24"/>
          <w:szCs w:val="24"/>
        </w:rPr>
        <w:t>; this approach may be supplemented with brief email or telephone follow-up</w:t>
      </w:r>
      <w:r w:rsidR="000A4BE4" w:rsidRPr="00567FE5">
        <w:rPr>
          <w:rFonts w:ascii="Times New Roman" w:hAnsi="Times New Roman" w:cs="Times New Roman"/>
          <w:sz w:val="24"/>
          <w:szCs w:val="24"/>
        </w:rPr>
        <w:t>.</w:t>
      </w:r>
    </w:p>
    <w:p w14:paraId="224E4A0D" w14:textId="77777777" w:rsidR="00567FE5" w:rsidRPr="00567FE5" w:rsidRDefault="00567FE5" w:rsidP="00567FE5">
      <w:pPr>
        <w:pStyle w:val="ListParagraph"/>
        <w:ind w:left="0" w:firstLine="450"/>
        <w:rPr>
          <w:rFonts w:ascii="Times New Roman" w:hAnsi="Times New Roman" w:cs="Times New Roman"/>
          <w:sz w:val="24"/>
          <w:szCs w:val="24"/>
        </w:rPr>
      </w:pPr>
    </w:p>
    <w:p w14:paraId="44F958A5" w14:textId="5B5A6C4E" w:rsidR="00937CAF" w:rsidRPr="00567FE5" w:rsidRDefault="00937CAF" w:rsidP="00630FB9">
      <w:pPr>
        <w:pStyle w:val="ListParagraph"/>
        <w:ind w:left="0"/>
        <w:rPr>
          <w:rFonts w:ascii="Times New Roman" w:hAnsi="Times New Roman" w:cs="Times New Roman"/>
          <w:sz w:val="24"/>
          <w:szCs w:val="24"/>
        </w:rPr>
      </w:pPr>
      <w:r w:rsidRPr="00567FE5">
        <w:rPr>
          <w:rFonts w:ascii="Times New Roman" w:hAnsi="Times New Roman" w:cs="Times New Roman"/>
          <w:sz w:val="24"/>
          <w:szCs w:val="24"/>
        </w:rPr>
        <w:t>To ensure that variation among responses reflects, as nearly as possible, only true differences of opinion regarding DOE’s impact, we will provide respondents with timelines and tables summarizing relevant objective facts: (1) the actual observed outcomes most relevant for each of the technologies; (2) the factors that are most likely to have contributed to those outcomes (with as much detail as possible on organizations, activities, and dates). The data collection instrument will ask respondents to react to the information presented: Is it complete? Are there important factors missing that they would want to add?</w:t>
      </w:r>
    </w:p>
    <w:p w14:paraId="651716EA" w14:textId="77777777" w:rsidR="00F773F4" w:rsidRPr="001E79F6" w:rsidRDefault="00F773F4" w:rsidP="001E79F6">
      <w:pPr>
        <w:pStyle w:val="ListParagraph"/>
        <w:ind w:left="0" w:firstLine="450"/>
        <w:rPr>
          <w:rFonts w:ascii="Times New Roman" w:hAnsi="Times New Roman" w:cs="Times New Roman"/>
          <w:sz w:val="24"/>
          <w:szCs w:val="24"/>
        </w:rPr>
      </w:pPr>
    </w:p>
    <w:p w14:paraId="29249493" w14:textId="3C42AC93" w:rsidR="00505190" w:rsidRDefault="00C024B0" w:rsidP="00505190">
      <w:r>
        <w:rPr>
          <w:b/>
        </w:rPr>
        <w:t>4</w:t>
      </w:r>
      <w:r w:rsidR="00505190">
        <w:rPr>
          <w:b/>
        </w:rPr>
        <w:t xml:space="preserve">.  </w:t>
      </w:r>
      <w:r w:rsidR="000A4BE4">
        <w:rPr>
          <w:b/>
          <w:u w:val="single"/>
        </w:rPr>
        <w:t>M</w:t>
      </w:r>
      <w:r w:rsidR="00505190">
        <w:rPr>
          <w:b/>
          <w:u w:val="single"/>
        </w:rPr>
        <w:t>e</w:t>
      </w:r>
      <w:r w:rsidR="000A4BE4">
        <w:rPr>
          <w:b/>
          <w:u w:val="single"/>
        </w:rPr>
        <w:t>thods to maximize response rates</w:t>
      </w:r>
      <w:r w:rsidR="00505190" w:rsidRPr="00CA77EE">
        <w:t xml:space="preserve"> </w:t>
      </w:r>
    </w:p>
    <w:p w14:paraId="7B6482EC" w14:textId="77777777" w:rsidR="00505190" w:rsidRDefault="00505190" w:rsidP="00505190">
      <w:pPr>
        <w:tabs>
          <w:tab w:val="left" w:pos="360"/>
        </w:tabs>
      </w:pPr>
    </w:p>
    <w:p w14:paraId="5068BFF5" w14:textId="58C77DBD" w:rsidR="00431B04" w:rsidRDefault="00431B04" w:rsidP="00630FB9">
      <w:pPr>
        <w:pStyle w:val="ListParagraph"/>
        <w:ind w:left="0"/>
        <w:rPr>
          <w:rFonts w:ascii="Times New Roman" w:hAnsi="Times New Roman" w:cs="Times New Roman"/>
          <w:sz w:val="24"/>
          <w:szCs w:val="24"/>
        </w:rPr>
      </w:pPr>
      <w:r w:rsidRPr="001E79F6">
        <w:rPr>
          <w:rFonts w:ascii="Times New Roman" w:hAnsi="Times New Roman" w:cs="Times New Roman"/>
          <w:sz w:val="24"/>
          <w:szCs w:val="24"/>
        </w:rPr>
        <w:t>We will</w:t>
      </w:r>
      <w:r w:rsidR="00443E84" w:rsidRPr="001E79F6">
        <w:rPr>
          <w:rFonts w:ascii="Times New Roman" w:hAnsi="Times New Roman" w:cs="Times New Roman"/>
          <w:sz w:val="24"/>
          <w:szCs w:val="24"/>
        </w:rPr>
        <w:t xml:space="preserve"> </w:t>
      </w:r>
      <w:r w:rsidRPr="001E79F6">
        <w:rPr>
          <w:rFonts w:ascii="Times New Roman" w:hAnsi="Times New Roman" w:cs="Times New Roman"/>
          <w:sz w:val="24"/>
          <w:szCs w:val="24"/>
        </w:rPr>
        <w:t>leverage</w:t>
      </w:r>
      <w:r w:rsidR="00443E84" w:rsidRPr="001E79F6">
        <w:rPr>
          <w:rFonts w:ascii="Times New Roman" w:hAnsi="Times New Roman" w:cs="Times New Roman"/>
          <w:sz w:val="24"/>
          <w:szCs w:val="24"/>
        </w:rPr>
        <w:t xml:space="preserve"> mutual connections </w:t>
      </w:r>
      <w:r w:rsidRPr="001E79F6">
        <w:rPr>
          <w:rFonts w:ascii="Times New Roman" w:hAnsi="Times New Roman" w:cs="Times New Roman"/>
          <w:sz w:val="24"/>
          <w:szCs w:val="24"/>
        </w:rPr>
        <w:t>when possible</w:t>
      </w:r>
      <w:r w:rsidR="00443E84" w:rsidRPr="001E79F6">
        <w:rPr>
          <w:rFonts w:ascii="Times New Roman" w:hAnsi="Times New Roman" w:cs="Times New Roman"/>
          <w:sz w:val="24"/>
          <w:szCs w:val="24"/>
        </w:rPr>
        <w:t xml:space="preserve"> to increase the likelihood of response</w:t>
      </w:r>
      <w:r w:rsidRPr="001E79F6">
        <w:rPr>
          <w:rFonts w:ascii="Times New Roman" w:hAnsi="Times New Roman" w:cs="Times New Roman"/>
          <w:sz w:val="24"/>
          <w:szCs w:val="24"/>
        </w:rPr>
        <w:t xml:space="preserve">. This may take the form of an </w:t>
      </w:r>
      <w:r w:rsidR="009A222B">
        <w:rPr>
          <w:rFonts w:ascii="Times New Roman" w:hAnsi="Times New Roman" w:cs="Times New Roman"/>
          <w:sz w:val="24"/>
          <w:szCs w:val="24"/>
        </w:rPr>
        <w:t>e</w:t>
      </w:r>
      <w:r w:rsidRPr="001E79F6">
        <w:rPr>
          <w:rFonts w:ascii="Times New Roman" w:hAnsi="Times New Roman" w:cs="Times New Roman"/>
          <w:sz w:val="24"/>
          <w:szCs w:val="24"/>
        </w:rPr>
        <w:t xml:space="preserve">mail introduction from one respondent to another prospective respondent, or referencing in an </w:t>
      </w:r>
      <w:r w:rsidR="009A222B">
        <w:rPr>
          <w:rFonts w:ascii="Times New Roman" w:hAnsi="Times New Roman" w:cs="Times New Roman"/>
          <w:sz w:val="24"/>
          <w:szCs w:val="24"/>
        </w:rPr>
        <w:t>e</w:t>
      </w:r>
      <w:r w:rsidRPr="001E79F6">
        <w:rPr>
          <w:rFonts w:ascii="Times New Roman" w:hAnsi="Times New Roman" w:cs="Times New Roman"/>
          <w:sz w:val="24"/>
          <w:szCs w:val="24"/>
        </w:rPr>
        <w:t>mail interview invitation the name of a mutual connection (with that person’s permission) who recommended that we reach out.</w:t>
      </w:r>
    </w:p>
    <w:p w14:paraId="7EDCDAAD" w14:textId="77777777" w:rsidR="00BC7241" w:rsidRDefault="00BC7241" w:rsidP="001E79F6">
      <w:pPr>
        <w:pStyle w:val="ListParagraph"/>
        <w:ind w:left="0" w:firstLine="450"/>
        <w:rPr>
          <w:rFonts w:ascii="Times New Roman" w:hAnsi="Times New Roman" w:cs="Times New Roman"/>
          <w:sz w:val="24"/>
          <w:szCs w:val="24"/>
        </w:rPr>
      </w:pPr>
    </w:p>
    <w:p w14:paraId="79BE1143" w14:textId="1621E98A" w:rsidR="00BC7241" w:rsidRPr="001E79F6" w:rsidRDefault="00BC7241" w:rsidP="00630FB9">
      <w:pPr>
        <w:pStyle w:val="ListParagraph"/>
        <w:ind w:left="0"/>
        <w:rPr>
          <w:rFonts w:ascii="Times New Roman" w:hAnsi="Times New Roman" w:cs="Times New Roman"/>
          <w:sz w:val="24"/>
          <w:szCs w:val="24"/>
        </w:rPr>
      </w:pPr>
      <w:r>
        <w:rPr>
          <w:rFonts w:ascii="Times New Roman" w:hAnsi="Times New Roman" w:cs="Times New Roman"/>
          <w:sz w:val="24"/>
          <w:szCs w:val="24"/>
        </w:rPr>
        <w:t>Every effort will be made to ensure that a potential respondent has an opportunity to contribute their opinions and perspectives to the study in the way that is most convenient for them. As described in Section 2</w:t>
      </w:r>
      <w:r w:rsidR="00F773F4">
        <w:rPr>
          <w:rFonts w:ascii="Times New Roman" w:hAnsi="Times New Roman" w:cs="Times New Roman"/>
          <w:sz w:val="24"/>
          <w:szCs w:val="24"/>
        </w:rPr>
        <w:t xml:space="preserve"> for example</w:t>
      </w:r>
      <w:r>
        <w:rPr>
          <w:rFonts w:ascii="Times New Roman" w:hAnsi="Times New Roman" w:cs="Times New Roman"/>
          <w:sz w:val="24"/>
          <w:szCs w:val="24"/>
        </w:rPr>
        <w:t xml:space="preserve">, </w:t>
      </w:r>
      <w:r w:rsidR="00F773F4">
        <w:rPr>
          <w:rFonts w:ascii="Times New Roman" w:hAnsi="Times New Roman" w:cs="Times New Roman"/>
          <w:sz w:val="24"/>
          <w:szCs w:val="24"/>
        </w:rPr>
        <w:t xml:space="preserve">although data collection will most often </w:t>
      </w:r>
      <w:r>
        <w:rPr>
          <w:rFonts w:ascii="Times New Roman" w:hAnsi="Times New Roman" w:cs="Times New Roman"/>
          <w:sz w:val="24"/>
          <w:szCs w:val="24"/>
        </w:rPr>
        <w:t>take the form of telephone interviews</w:t>
      </w:r>
      <w:r w:rsidR="00F773F4">
        <w:rPr>
          <w:rFonts w:ascii="Times New Roman" w:hAnsi="Times New Roman" w:cs="Times New Roman"/>
          <w:sz w:val="24"/>
          <w:szCs w:val="24"/>
        </w:rPr>
        <w:t>, some respondents may prefer to provide responses offline</w:t>
      </w:r>
      <w:r w:rsidR="00F773F4" w:rsidRPr="00567FE5">
        <w:rPr>
          <w:rFonts w:ascii="Times New Roman" w:hAnsi="Times New Roman" w:cs="Times New Roman"/>
          <w:sz w:val="24"/>
          <w:szCs w:val="24"/>
        </w:rPr>
        <w:t xml:space="preserve"> </w:t>
      </w:r>
      <w:r w:rsidR="00F773F4" w:rsidRPr="00F773F4">
        <w:rPr>
          <w:rFonts w:ascii="Times New Roman" w:hAnsi="Times New Roman" w:cs="Times New Roman"/>
          <w:sz w:val="24"/>
          <w:szCs w:val="24"/>
        </w:rPr>
        <w:t xml:space="preserve">on the interview guide (typing their responses into the Word document) and return to us by </w:t>
      </w:r>
      <w:r w:rsidR="009A222B">
        <w:rPr>
          <w:rFonts w:ascii="Times New Roman" w:hAnsi="Times New Roman" w:cs="Times New Roman"/>
          <w:sz w:val="24"/>
          <w:szCs w:val="24"/>
        </w:rPr>
        <w:t>e</w:t>
      </w:r>
      <w:r w:rsidR="00F773F4" w:rsidRPr="00F773F4">
        <w:rPr>
          <w:rFonts w:ascii="Times New Roman" w:hAnsi="Times New Roman" w:cs="Times New Roman"/>
          <w:sz w:val="24"/>
          <w:szCs w:val="24"/>
        </w:rPr>
        <w:t>mail attachment.</w:t>
      </w:r>
      <w:r w:rsidR="00F773F4">
        <w:rPr>
          <w:rFonts w:ascii="Times New Roman" w:hAnsi="Times New Roman" w:cs="Times New Roman"/>
          <w:sz w:val="24"/>
          <w:szCs w:val="24"/>
        </w:rPr>
        <w:t xml:space="preserve"> </w:t>
      </w:r>
    </w:p>
    <w:p w14:paraId="4E65476F" w14:textId="77777777" w:rsidR="00431B04" w:rsidRPr="001E79F6" w:rsidRDefault="00431B04" w:rsidP="001E79F6">
      <w:pPr>
        <w:pStyle w:val="ListParagraph"/>
        <w:ind w:left="0" w:firstLine="450"/>
        <w:rPr>
          <w:rFonts w:ascii="Times New Roman" w:hAnsi="Times New Roman" w:cs="Times New Roman"/>
          <w:sz w:val="24"/>
          <w:szCs w:val="24"/>
        </w:rPr>
      </w:pPr>
    </w:p>
    <w:p w14:paraId="59FF886D" w14:textId="782FA65B" w:rsidR="00505190" w:rsidRPr="001E79F6" w:rsidRDefault="00431B04" w:rsidP="00630FB9">
      <w:pPr>
        <w:pStyle w:val="ListParagraph"/>
        <w:ind w:left="0"/>
        <w:rPr>
          <w:rFonts w:ascii="Times New Roman" w:hAnsi="Times New Roman" w:cs="Times New Roman"/>
          <w:sz w:val="24"/>
          <w:szCs w:val="24"/>
        </w:rPr>
      </w:pPr>
      <w:r w:rsidRPr="001E79F6">
        <w:rPr>
          <w:rFonts w:ascii="Times New Roman" w:hAnsi="Times New Roman" w:cs="Times New Roman"/>
          <w:sz w:val="24"/>
          <w:szCs w:val="24"/>
        </w:rPr>
        <w:t>A f</w:t>
      </w:r>
      <w:r w:rsidR="00443E84" w:rsidRPr="001E79F6">
        <w:rPr>
          <w:rFonts w:ascii="Times New Roman" w:hAnsi="Times New Roman" w:cs="Times New Roman"/>
          <w:sz w:val="24"/>
          <w:szCs w:val="24"/>
        </w:rPr>
        <w:t xml:space="preserve">ollow-up </w:t>
      </w:r>
      <w:r w:rsidR="009A222B">
        <w:rPr>
          <w:rFonts w:ascii="Times New Roman" w:hAnsi="Times New Roman" w:cs="Times New Roman"/>
          <w:sz w:val="24"/>
          <w:szCs w:val="24"/>
        </w:rPr>
        <w:t>e</w:t>
      </w:r>
      <w:r w:rsidRPr="001E79F6">
        <w:rPr>
          <w:rFonts w:ascii="Times New Roman" w:hAnsi="Times New Roman" w:cs="Times New Roman"/>
          <w:sz w:val="24"/>
          <w:szCs w:val="24"/>
        </w:rPr>
        <w:t xml:space="preserve">mail </w:t>
      </w:r>
      <w:r w:rsidR="00443E84" w:rsidRPr="001E79F6">
        <w:rPr>
          <w:rFonts w:ascii="Times New Roman" w:hAnsi="Times New Roman" w:cs="Times New Roman"/>
          <w:sz w:val="24"/>
          <w:szCs w:val="24"/>
        </w:rPr>
        <w:t xml:space="preserve">will be sent when an individual </w:t>
      </w:r>
      <w:r w:rsidRPr="001E79F6">
        <w:rPr>
          <w:rFonts w:ascii="Times New Roman" w:hAnsi="Times New Roman" w:cs="Times New Roman"/>
          <w:sz w:val="24"/>
          <w:szCs w:val="24"/>
        </w:rPr>
        <w:t>does not respond to our first interview invitation</w:t>
      </w:r>
      <w:r w:rsidR="00443E84" w:rsidRPr="001E79F6">
        <w:rPr>
          <w:rFonts w:ascii="Times New Roman" w:hAnsi="Times New Roman" w:cs="Times New Roman"/>
          <w:sz w:val="24"/>
          <w:szCs w:val="24"/>
        </w:rPr>
        <w:t>.</w:t>
      </w:r>
      <w:r w:rsidR="00F773F4">
        <w:rPr>
          <w:rFonts w:ascii="Times New Roman" w:hAnsi="Times New Roman" w:cs="Times New Roman"/>
          <w:sz w:val="24"/>
          <w:szCs w:val="24"/>
        </w:rPr>
        <w:t xml:space="preserve"> If a contact has been</w:t>
      </w:r>
      <w:r w:rsidR="00F773F4" w:rsidRPr="00567FE5">
        <w:rPr>
          <w:rFonts w:ascii="Times New Roman" w:hAnsi="Times New Roman" w:cs="Times New Roman"/>
          <w:sz w:val="24"/>
          <w:szCs w:val="24"/>
        </w:rPr>
        <w:t xml:space="preserve"> </w:t>
      </w:r>
      <w:r w:rsidR="00F773F4" w:rsidRPr="00F773F4">
        <w:rPr>
          <w:rFonts w:ascii="Times New Roman" w:hAnsi="Times New Roman" w:cs="Times New Roman"/>
          <w:sz w:val="24"/>
          <w:szCs w:val="24"/>
        </w:rPr>
        <w:t>identified as having special knowledge that would be especially valuable to include in the study</w:t>
      </w:r>
      <w:r w:rsidR="00F773F4">
        <w:rPr>
          <w:rFonts w:ascii="Times New Roman" w:hAnsi="Times New Roman" w:cs="Times New Roman"/>
          <w:sz w:val="24"/>
          <w:szCs w:val="24"/>
        </w:rPr>
        <w:t xml:space="preserve">, the email may include additional text explaining our interest in speaking with them specifically. </w:t>
      </w:r>
      <w:r w:rsidR="009A222B">
        <w:rPr>
          <w:rFonts w:ascii="Times New Roman" w:hAnsi="Times New Roman" w:cs="Times New Roman"/>
          <w:sz w:val="24"/>
          <w:szCs w:val="24"/>
        </w:rPr>
        <w:t>The maximum number of contact attempts will be three.</w:t>
      </w:r>
      <w:r w:rsidR="00F773F4">
        <w:rPr>
          <w:rFonts w:ascii="Times New Roman" w:hAnsi="Times New Roman" w:cs="Times New Roman"/>
          <w:sz w:val="24"/>
          <w:szCs w:val="24"/>
        </w:rPr>
        <w:t xml:space="preserve">  </w:t>
      </w:r>
    </w:p>
    <w:p w14:paraId="3B219EA1" w14:textId="77777777" w:rsidR="00505190" w:rsidRDefault="00505190" w:rsidP="00505190"/>
    <w:p w14:paraId="13CF68F2" w14:textId="64E35F43" w:rsidR="00505190" w:rsidRPr="00652F9E" w:rsidRDefault="00C024B0" w:rsidP="00505190">
      <w:pPr>
        <w:rPr>
          <w:b/>
          <w:u w:val="single"/>
        </w:rPr>
      </w:pPr>
      <w:r>
        <w:rPr>
          <w:b/>
        </w:rPr>
        <w:t>5</w:t>
      </w:r>
      <w:r w:rsidR="00505190">
        <w:rPr>
          <w:b/>
        </w:rPr>
        <w:t xml:space="preserve">.  </w:t>
      </w:r>
      <w:r w:rsidR="00B17229">
        <w:rPr>
          <w:b/>
          <w:u w:val="single"/>
        </w:rPr>
        <w:t>Analysis of Results</w:t>
      </w:r>
    </w:p>
    <w:p w14:paraId="0A12C442" w14:textId="570DE413" w:rsidR="00505190" w:rsidRDefault="00431B04" w:rsidP="00630FB9">
      <w:pPr>
        <w:pStyle w:val="ListParagraph"/>
        <w:ind w:left="0"/>
        <w:rPr>
          <w:rFonts w:ascii="Times New Roman" w:hAnsi="Times New Roman" w:cs="Times New Roman"/>
          <w:sz w:val="24"/>
          <w:szCs w:val="24"/>
        </w:rPr>
      </w:pPr>
      <w:r w:rsidRPr="001E79F6">
        <w:rPr>
          <w:rFonts w:ascii="Times New Roman" w:hAnsi="Times New Roman" w:cs="Times New Roman"/>
          <w:sz w:val="24"/>
          <w:szCs w:val="24"/>
        </w:rPr>
        <w:t xml:space="preserve">Summary statistics will be calculated for quantitative responses: mean, median, quartiles, standard deviations. Where appropriate, standard statistical tests for differences </w:t>
      </w:r>
      <w:r w:rsidR="00E64EBF" w:rsidRPr="001E79F6">
        <w:rPr>
          <w:rFonts w:ascii="Times New Roman" w:hAnsi="Times New Roman" w:cs="Times New Roman"/>
          <w:sz w:val="24"/>
          <w:szCs w:val="24"/>
        </w:rPr>
        <w:t>of mean (t test) will be used to explore whether different respondent groups offered significantly different answers (e.g., national lab versus industry, or BTO-funded versus non-BTO-funded).</w:t>
      </w:r>
    </w:p>
    <w:p w14:paraId="01FB15CA" w14:textId="77777777" w:rsidR="006069D5" w:rsidRDefault="006069D5" w:rsidP="00567FE5">
      <w:pPr>
        <w:pStyle w:val="ListParagraph"/>
        <w:ind w:left="0" w:firstLine="450"/>
        <w:rPr>
          <w:rFonts w:ascii="Times New Roman" w:hAnsi="Times New Roman" w:cs="Times New Roman"/>
          <w:sz w:val="24"/>
          <w:szCs w:val="24"/>
        </w:rPr>
      </w:pPr>
    </w:p>
    <w:p w14:paraId="7111D7BA" w14:textId="422E2E48" w:rsidR="00CF2429" w:rsidRDefault="006069D5" w:rsidP="00630FB9">
      <w:pPr>
        <w:pStyle w:val="ListParagraph"/>
        <w:ind w:left="0"/>
        <w:rPr>
          <w:rFonts w:ascii="Times New Roman" w:hAnsi="Times New Roman" w:cs="Times New Roman"/>
          <w:sz w:val="24"/>
          <w:szCs w:val="24"/>
        </w:rPr>
      </w:pPr>
      <w:r>
        <w:rPr>
          <w:rFonts w:ascii="Times New Roman" w:hAnsi="Times New Roman" w:cs="Times New Roman"/>
          <w:sz w:val="24"/>
          <w:szCs w:val="24"/>
        </w:rPr>
        <w:t>To test and adjust for any bias resulting from the respondent-driven sampling approach</w:t>
      </w:r>
      <w:r w:rsidR="008E4B5E">
        <w:rPr>
          <w:rFonts w:ascii="Times New Roman" w:hAnsi="Times New Roman" w:cs="Times New Roman"/>
          <w:sz w:val="24"/>
          <w:szCs w:val="24"/>
        </w:rPr>
        <w:t>, we will also report adjusted means, with responses weighted by inverse propensity scores</w:t>
      </w:r>
      <w:r w:rsidR="00CF2429">
        <w:rPr>
          <w:rFonts w:ascii="Times New Roman" w:hAnsi="Times New Roman" w:cs="Times New Roman"/>
          <w:sz w:val="24"/>
          <w:szCs w:val="24"/>
        </w:rPr>
        <w:t>, so that the opinions of respondents who were less likely to be included in our sample are weighted more heavily</w:t>
      </w:r>
      <w:r w:rsidR="008E4B5E">
        <w:rPr>
          <w:rFonts w:ascii="Times New Roman" w:hAnsi="Times New Roman" w:cs="Times New Roman"/>
          <w:sz w:val="24"/>
          <w:szCs w:val="24"/>
        </w:rPr>
        <w:t xml:space="preserve">. </w:t>
      </w:r>
      <w:r w:rsidR="0033130F">
        <w:rPr>
          <w:rFonts w:ascii="Times New Roman" w:hAnsi="Times New Roman" w:cs="Times New Roman"/>
          <w:sz w:val="24"/>
          <w:szCs w:val="24"/>
        </w:rPr>
        <w:t>We would estimate a propensity score (i.e. probability of inclusion in the sample) for each potential respondent as a function of characteristics. These characteristics could include</w:t>
      </w:r>
      <w:r w:rsidR="00CF2429">
        <w:rPr>
          <w:rFonts w:ascii="Times New Roman" w:hAnsi="Times New Roman" w:cs="Times New Roman"/>
          <w:sz w:val="24"/>
          <w:szCs w:val="24"/>
        </w:rPr>
        <w:t xml:space="preserve">, </w:t>
      </w:r>
      <w:r w:rsidR="00CF2429">
        <w:rPr>
          <w:rFonts w:ascii="Times New Roman" w:hAnsi="Times New Roman" w:cs="Times New Roman"/>
          <w:sz w:val="24"/>
          <w:szCs w:val="24"/>
        </w:rPr>
        <w:lastRenderedPageBreak/>
        <w:t xml:space="preserve">e.g., </w:t>
      </w:r>
      <w:r w:rsidR="00AF5296">
        <w:rPr>
          <w:rFonts w:ascii="Times New Roman" w:hAnsi="Times New Roman" w:cs="Times New Roman"/>
          <w:sz w:val="24"/>
          <w:szCs w:val="24"/>
        </w:rPr>
        <w:t xml:space="preserve">indicators (0/1, or dummy variables) </w:t>
      </w:r>
      <w:r w:rsidR="0033130F">
        <w:rPr>
          <w:rFonts w:ascii="Times New Roman" w:hAnsi="Times New Roman" w:cs="Times New Roman"/>
          <w:sz w:val="24"/>
          <w:szCs w:val="24"/>
        </w:rPr>
        <w:t>for affiliation with</w:t>
      </w:r>
      <w:r w:rsidR="00AF5296">
        <w:rPr>
          <w:rFonts w:ascii="Times New Roman" w:hAnsi="Times New Roman" w:cs="Times New Roman"/>
          <w:sz w:val="24"/>
          <w:szCs w:val="24"/>
        </w:rPr>
        <w:t xml:space="preserve"> compan</w:t>
      </w:r>
      <w:r w:rsidR="0033130F">
        <w:rPr>
          <w:rFonts w:ascii="Times New Roman" w:hAnsi="Times New Roman" w:cs="Times New Roman"/>
          <w:sz w:val="24"/>
          <w:szCs w:val="24"/>
        </w:rPr>
        <w:t>ies</w:t>
      </w:r>
      <w:r w:rsidR="00AF5296">
        <w:rPr>
          <w:rFonts w:ascii="Times New Roman" w:hAnsi="Times New Roman" w:cs="Times New Roman"/>
          <w:sz w:val="24"/>
          <w:szCs w:val="24"/>
        </w:rPr>
        <w:t>, national lab</w:t>
      </w:r>
      <w:r w:rsidR="0033130F">
        <w:rPr>
          <w:rFonts w:ascii="Times New Roman" w:hAnsi="Times New Roman" w:cs="Times New Roman"/>
          <w:sz w:val="24"/>
          <w:szCs w:val="24"/>
        </w:rPr>
        <w:t>s</w:t>
      </w:r>
      <w:r w:rsidR="00AF5296">
        <w:rPr>
          <w:rFonts w:ascii="Times New Roman" w:hAnsi="Times New Roman" w:cs="Times New Roman"/>
          <w:sz w:val="24"/>
          <w:szCs w:val="24"/>
        </w:rPr>
        <w:t>, and industry association</w:t>
      </w:r>
      <w:r w:rsidR="0033130F">
        <w:rPr>
          <w:rFonts w:ascii="Times New Roman" w:hAnsi="Times New Roman" w:cs="Times New Roman"/>
          <w:sz w:val="24"/>
          <w:szCs w:val="24"/>
        </w:rPr>
        <w:t>s</w:t>
      </w:r>
      <w:r w:rsidR="00AF5296">
        <w:rPr>
          <w:rFonts w:ascii="Times New Roman" w:hAnsi="Times New Roman" w:cs="Times New Roman"/>
          <w:sz w:val="24"/>
          <w:szCs w:val="24"/>
        </w:rPr>
        <w:t xml:space="preserve">; indicators of </w:t>
      </w:r>
      <w:r w:rsidR="00CF2429">
        <w:rPr>
          <w:rFonts w:ascii="Times New Roman" w:hAnsi="Times New Roman" w:cs="Times New Roman"/>
          <w:sz w:val="24"/>
          <w:szCs w:val="24"/>
        </w:rPr>
        <w:t>the source of the contact information (e.g., DOE-provided, RTI-identified, respondent-referral</w:t>
      </w:r>
      <w:r w:rsidR="00AF5296">
        <w:rPr>
          <w:rFonts w:ascii="Times New Roman" w:hAnsi="Times New Roman" w:cs="Times New Roman"/>
          <w:sz w:val="24"/>
          <w:szCs w:val="24"/>
        </w:rPr>
        <w:t>); and the number of times another respondent referred us to the potential respondent</w:t>
      </w:r>
      <w:r w:rsidR="00CF2429">
        <w:rPr>
          <w:rFonts w:ascii="Times New Roman" w:hAnsi="Times New Roman" w:cs="Times New Roman"/>
          <w:sz w:val="24"/>
          <w:szCs w:val="24"/>
        </w:rPr>
        <w:t xml:space="preserve">. We would then report </w:t>
      </w:r>
      <w:r w:rsidR="005F4746">
        <w:rPr>
          <w:rFonts w:ascii="Times New Roman" w:hAnsi="Times New Roman" w:cs="Times New Roman"/>
          <w:sz w:val="24"/>
          <w:szCs w:val="24"/>
        </w:rPr>
        <w:t xml:space="preserve">results based on </w:t>
      </w:r>
      <w:r w:rsidR="00CF2429">
        <w:rPr>
          <w:rFonts w:ascii="Times New Roman" w:hAnsi="Times New Roman" w:cs="Times New Roman"/>
          <w:sz w:val="24"/>
          <w:szCs w:val="24"/>
        </w:rPr>
        <w:t xml:space="preserve">the weighted average </w:t>
      </w:r>
      <w:r w:rsidR="005F4746">
        <w:rPr>
          <w:rFonts w:ascii="Times New Roman" w:hAnsi="Times New Roman" w:cs="Times New Roman"/>
          <w:sz w:val="24"/>
          <w:szCs w:val="24"/>
        </w:rPr>
        <w:t xml:space="preserve">of responses, where </w:t>
      </w:r>
      <w:r w:rsidR="0033130F">
        <w:rPr>
          <w:rFonts w:ascii="Times New Roman" w:hAnsi="Times New Roman" w:cs="Times New Roman"/>
          <w:sz w:val="24"/>
          <w:szCs w:val="24"/>
        </w:rPr>
        <w:t xml:space="preserve">weights are given by the inverse of the respondent’s propensity score. A respondent in our sample with a propensity score of 0.25 (i.e., this respondent had 1 chance in 4 of being included) would </w:t>
      </w:r>
      <w:r w:rsidR="00567FE5">
        <w:rPr>
          <w:rFonts w:ascii="Times New Roman" w:hAnsi="Times New Roman" w:cs="Times New Roman"/>
          <w:sz w:val="24"/>
          <w:szCs w:val="24"/>
        </w:rPr>
        <w:t xml:space="preserve">be included 4 times when calculating an </w:t>
      </w:r>
      <w:r w:rsidR="007C11D3">
        <w:rPr>
          <w:rFonts w:ascii="Times New Roman" w:hAnsi="Times New Roman" w:cs="Times New Roman"/>
          <w:sz w:val="24"/>
          <w:szCs w:val="24"/>
        </w:rPr>
        <w:t xml:space="preserve">adjusted </w:t>
      </w:r>
      <w:r w:rsidR="00567FE5">
        <w:rPr>
          <w:rFonts w:ascii="Times New Roman" w:hAnsi="Times New Roman" w:cs="Times New Roman"/>
          <w:sz w:val="24"/>
          <w:szCs w:val="24"/>
        </w:rPr>
        <w:t>average</w:t>
      </w:r>
      <w:r w:rsidR="00CF2429">
        <w:rPr>
          <w:rFonts w:ascii="Times New Roman" w:hAnsi="Times New Roman" w:cs="Times New Roman"/>
          <w:sz w:val="24"/>
          <w:szCs w:val="24"/>
        </w:rPr>
        <w:t>.</w:t>
      </w:r>
    </w:p>
    <w:p w14:paraId="741633B3" w14:textId="77777777" w:rsidR="00DA22FD" w:rsidRDefault="00DA22FD" w:rsidP="00630FB9">
      <w:pPr>
        <w:pStyle w:val="ListParagraph"/>
        <w:ind w:left="0"/>
        <w:rPr>
          <w:rFonts w:ascii="Times New Roman" w:hAnsi="Times New Roman" w:cs="Times New Roman"/>
          <w:sz w:val="24"/>
          <w:szCs w:val="24"/>
        </w:rPr>
      </w:pPr>
    </w:p>
    <w:p w14:paraId="12CA54EA" w14:textId="30DB7609" w:rsidR="00DA22FD" w:rsidRDefault="00DA22FD" w:rsidP="00630FB9">
      <w:pPr>
        <w:pStyle w:val="ListParagraph"/>
        <w:ind w:left="0"/>
        <w:rPr>
          <w:rFonts w:ascii="Times New Roman" w:hAnsi="Times New Roman" w:cs="Times New Roman"/>
          <w:sz w:val="24"/>
          <w:szCs w:val="24"/>
        </w:rPr>
      </w:pPr>
      <w:r>
        <w:rPr>
          <w:rFonts w:ascii="Times New Roman" w:hAnsi="Times New Roman" w:cs="Times New Roman"/>
          <w:sz w:val="24"/>
          <w:szCs w:val="24"/>
        </w:rPr>
        <w:t>To flesh out this example, suppose that our respondent was identified by RTI</w:t>
      </w:r>
      <w:r w:rsidR="00EC2EE4">
        <w:rPr>
          <w:rFonts w:ascii="Times New Roman" w:hAnsi="Times New Roman" w:cs="Times New Roman"/>
          <w:sz w:val="24"/>
          <w:szCs w:val="24"/>
        </w:rPr>
        <w:t>,</w:t>
      </w:r>
      <w:r>
        <w:rPr>
          <w:rFonts w:ascii="Times New Roman" w:hAnsi="Times New Roman" w:cs="Times New Roman"/>
          <w:sz w:val="24"/>
          <w:szCs w:val="24"/>
        </w:rPr>
        <w:t xml:space="preserve"> wh</w:t>
      </w:r>
      <w:r w:rsidR="00EC2EE4">
        <w:rPr>
          <w:rFonts w:ascii="Times New Roman" w:hAnsi="Times New Roman" w:cs="Times New Roman"/>
          <w:sz w:val="24"/>
          <w:szCs w:val="24"/>
        </w:rPr>
        <w:t>ich</w:t>
      </w:r>
      <w:r>
        <w:rPr>
          <w:rFonts w:ascii="Times New Roman" w:hAnsi="Times New Roman" w:cs="Times New Roman"/>
          <w:sz w:val="24"/>
          <w:szCs w:val="24"/>
        </w:rPr>
        <w:t xml:space="preserve"> found </w:t>
      </w:r>
      <w:r w:rsidR="00EC2EE4">
        <w:rPr>
          <w:rFonts w:ascii="Times New Roman" w:hAnsi="Times New Roman" w:cs="Times New Roman"/>
          <w:sz w:val="24"/>
          <w:szCs w:val="24"/>
        </w:rPr>
        <w:t xml:space="preserve">his name among the authors of a relevant article in the </w:t>
      </w:r>
      <w:r w:rsidR="00EC2EE4" w:rsidRPr="00EC2EE4">
        <w:rPr>
          <w:rFonts w:ascii="Times New Roman" w:hAnsi="Times New Roman" w:cs="Times New Roman"/>
          <w:sz w:val="24"/>
          <w:szCs w:val="24"/>
        </w:rPr>
        <w:t xml:space="preserve">ACEEE Summer </w:t>
      </w:r>
      <w:r w:rsidR="00EC2EE4">
        <w:rPr>
          <w:rFonts w:ascii="Times New Roman" w:hAnsi="Times New Roman" w:cs="Times New Roman"/>
          <w:sz w:val="24"/>
          <w:szCs w:val="24"/>
        </w:rPr>
        <w:t>Study Proceedings archives, pre-1990</w:t>
      </w:r>
      <w:r w:rsidR="00A05AA3">
        <w:rPr>
          <w:rFonts w:ascii="Times New Roman" w:hAnsi="Times New Roman" w:cs="Times New Roman"/>
          <w:sz w:val="24"/>
          <w:szCs w:val="24"/>
        </w:rPr>
        <w:t xml:space="preserve">; that he had worked in industry; that he had been affiliated with an industry association; and that he had retired more than 10 years ago. </w:t>
      </w:r>
      <w:r w:rsidR="008C4728">
        <w:rPr>
          <w:rFonts w:ascii="Times New Roman" w:hAnsi="Times New Roman" w:cs="Times New Roman"/>
          <w:sz w:val="24"/>
          <w:szCs w:val="24"/>
        </w:rPr>
        <w:t>Suppose o</w:t>
      </w:r>
      <w:r w:rsidR="00A05AA3">
        <w:rPr>
          <w:rFonts w:ascii="Times New Roman" w:hAnsi="Times New Roman" w:cs="Times New Roman"/>
          <w:sz w:val="24"/>
          <w:szCs w:val="24"/>
        </w:rPr>
        <w:t xml:space="preserve">ur sampling frame contains three other individuals who fit this description but from whom we did not receive responses. Then this one individual would have a propensity score of 0.25 </w:t>
      </w:r>
      <w:r w:rsidR="00066DE7">
        <w:rPr>
          <w:rFonts w:ascii="Times New Roman" w:hAnsi="Times New Roman" w:cs="Times New Roman"/>
          <w:sz w:val="24"/>
          <w:szCs w:val="24"/>
        </w:rPr>
        <w:t xml:space="preserve">and his responses would be given a weight of 4 when calculating an average. In comparison, suppose that 8 out of 10 contacts RTI was given by another respondent, being referred to each one </w:t>
      </w:r>
      <w:r w:rsidR="008C4728">
        <w:rPr>
          <w:rFonts w:ascii="Times New Roman" w:hAnsi="Times New Roman" w:cs="Times New Roman"/>
          <w:sz w:val="24"/>
          <w:szCs w:val="24"/>
        </w:rPr>
        <w:t>exactly</w:t>
      </w:r>
      <w:r w:rsidR="00066DE7">
        <w:rPr>
          <w:rFonts w:ascii="Times New Roman" w:hAnsi="Times New Roman" w:cs="Times New Roman"/>
          <w:sz w:val="24"/>
          <w:szCs w:val="24"/>
        </w:rPr>
        <w:t xml:space="preserve"> once, provided a response; then each of those respondents would receive a weight of 1.25. Suppose further that every individual to whom RTI was referred by more than one other respondent provided a response themselves; then each of those respondents would receive a weight of 1.0.</w:t>
      </w:r>
      <w:r w:rsidR="00A05AA3">
        <w:rPr>
          <w:rFonts w:ascii="Times New Roman" w:hAnsi="Times New Roman" w:cs="Times New Roman"/>
          <w:sz w:val="24"/>
          <w:szCs w:val="24"/>
        </w:rPr>
        <w:t xml:space="preserve"> </w:t>
      </w:r>
      <w:r w:rsidR="000B1899">
        <w:rPr>
          <w:rFonts w:ascii="Times New Roman" w:hAnsi="Times New Roman" w:cs="Times New Roman"/>
          <w:sz w:val="24"/>
          <w:szCs w:val="24"/>
        </w:rPr>
        <w:t xml:space="preserve"> There may be variability in the characteristics among the cases being weighted up </w:t>
      </w:r>
      <w:r w:rsidR="00C024B0">
        <w:rPr>
          <w:rFonts w:ascii="Times New Roman" w:hAnsi="Times New Roman" w:cs="Times New Roman"/>
          <w:sz w:val="24"/>
          <w:szCs w:val="24"/>
        </w:rPr>
        <w:t xml:space="preserve">to approximate </w:t>
      </w:r>
      <w:r w:rsidR="000B1899">
        <w:rPr>
          <w:rFonts w:ascii="Times New Roman" w:hAnsi="Times New Roman" w:cs="Times New Roman"/>
          <w:sz w:val="24"/>
          <w:szCs w:val="24"/>
        </w:rPr>
        <w:t>the population and that may affect the accuracy of the findings.</w:t>
      </w:r>
      <w:r w:rsidR="00A05AA3">
        <w:rPr>
          <w:rFonts w:ascii="Times New Roman" w:hAnsi="Times New Roman" w:cs="Times New Roman"/>
          <w:sz w:val="24"/>
          <w:szCs w:val="24"/>
        </w:rPr>
        <w:t xml:space="preserve">  </w:t>
      </w:r>
      <w:r w:rsidR="000B1899">
        <w:rPr>
          <w:rFonts w:ascii="Times New Roman" w:hAnsi="Times New Roman" w:cs="Times New Roman"/>
          <w:sz w:val="24"/>
          <w:szCs w:val="24"/>
        </w:rPr>
        <w:t xml:space="preserve">The weighted and unweighted estimates will be used to </w:t>
      </w:r>
      <w:r w:rsidR="00D63D84">
        <w:rPr>
          <w:rFonts w:ascii="Times New Roman" w:hAnsi="Times New Roman" w:cs="Times New Roman"/>
          <w:sz w:val="24"/>
          <w:szCs w:val="24"/>
        </w:rPr>
        <w:t xml:space="preserve">assess </w:t>
      </w:r>
      <w:r w:rsidR="000B1899">
        <w:rPr>
          <w:rFonts w:ascii="Times New Roman" w:hAnsi="Times New Roman" w:cs="Times New Roman"/>
          <w:sz w:val="24"/>
          <w:szCs w:val="24"/>
        </w:rPr>
        <w:t xml:space="preserve">how </w:t>
      </w:r>
      <w:r w:rsidR="00D63D84">
        <w:rPr>
          <w:rFonts w:ascii="Times New Roman" w:hAnsi="Times New Roman" w:cs="Times New Roman"/>
          <w:sz w:val="24"/>
          <w:szCs w:val="24"/>
        </w:rPr>
        <w:t>close</w:t>
      </w:r>
      <w:r w:rsidR="000B1899">
        <w:rPr>
          <w:rFonts w:ascii="Times New Roman" w:hAnsi="Times New Roman" w:cs="Times New Roman"/>
          <w:sz w:val="24"/>
          <w:szCs w:val="24"/>
        </w:rPr>
        <w:t xml:space="preserve"> the estimates from the sample approximate the target population parameters.</w:t>
      </w:r>
      <w:r w:rsidR="00A05AA3">
        <w:rPr>
          <w:rFonts w:ascii="Times New Roman" w:hAnsi="Times New Roman" w:cs="Times New Roman"/>
          <w:sz w:val="24"/>
          <w:szCs w:val="24"/>
        </w:rPr>
        <w:t xml:space="preserve"> </w:t>
      </w:r>
      <w:r w:rsidR="00EC2EE4">
        <w:rPr>
          <w:rFonts w:ascii="Times New Roman" w:hAnsi="Times New Roman" w:cs="Times New Roman"/>
          <w:sz w:val="24"/>
          <w:szCs w:val="24"/>
        </w:rPr>
        <w:t xml:space="preserve"> </w:t>
      </w:r>
      <w:r w:rsidR="00A116E1">
        <w:rPr>
          <w:rFonts w:ascii="Times New Roman" w:hAnsi="Times New Roman" w:cs="Times New Roman"/>
          <w:sz w:val="24"/>
          <w:szCs w:val="24"/>
        </w:rPr>
        <w:t>T</w:t>
      </w:r>
      <w:r w:rsidR="000B1899">
        <w:rPr>
          <w:rFonts w:ascii="Times New Roman" w:hAnsi="Times New Roman" w:cs="Times New Roman"/>
          <w:sz w:val="24"/>
          <w:szCs w:val="24"/>
        </w:rPr>
        <w:t xml:space="preserve">he analysis will be based solely on </w:t>
      </w:r>
      <w:r w:rsidR="00D63D84">
        <w:rPr>
          <w:rFonts w:ascii="Times New Roman" w:hAnsi="Times New Roman" w:cs="Times New Roman"/>
          <w:sz w:val="24"/>
          <w:szCs w:val="24"/>
        </w:rPr>
        <w:t>results from the interviews.</w:t>
      </w:r>
      <w:r w:rsidR="00EC2EE4">
        <w:rPr>
          <w:rFonts w:ascii="Times New Roman" w:hAnsi="Times New Roman" w:cs="Times New Roman"/>
          <w:sz w:val="24"/>
          <w:szCs w:val="24"/>
        </w:rPr>
        <w:t xml:space="preserve">  </w:t>
      </w:r>
      <w:r w:rsidR="00D63D84">
        <w:rPr>
          <w:rFonts w:ascii="Times New Roman" w:hAnsi="Times New Roman" w:cs="Times New Roman"/>
          <w:sz w:val="24"/>
          <w:szCs w:val="24"/>
        </w:rPr>
        <w:t xml:space="preserve">Since there are no available estimates of the target population parameters, the evaluation will be based on how reasonable the results are based on the interviews.   </w:t>
      </w:r>
    </w:p>
    <w:p w14:paraId="27E66D7A" w14:textId="77777777" w:rsidR="005F4746" w:rsidRDefault="005F4746" w:rsidP="00567FE5">
      <w:pPr>
        <w:pStyle w:val="ListParagraph"/>
        <w:ind w:left="0" w:firstLine="450"/>
        <w:rPr>
          <w:rFonts w:ascii="Times New Roman" w:hAnsi="Times New Roman" w:cs="Times New Roman"/>
          <w:sz w:val="24"/>
          <w:szCs w:val="24"/>
        </w:rPr>
      </w:pPr>
    </w:p>
    <w:p w14:paraId="47CEDB03" w14:textId="03B85997" w:rsidR="00BD6C8F" w:rsidRDefault="00567FE5" w:rsidP="00630FB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The foregoing discussion is </w:t>
      </w:r>
      <w:r w:rsidR="004E14C4">
        <w:rPr>
          <w:rFonts w:ascii="Times New Roman" w:hAnsi="Times New Roman" w:cs="Times New Roman"/>
          <w:sz w:val="24"/>
          <w:szCs w:val="24"/>
        </w:rPr>
        <w:t xml:space="preserve">more </w:t>
      </w:r>
      <w:r>
        <w:rPr>
          <w:rFonts w:ascii="Times New Roman" w:hAnsi="Times New Roman" w:cs="Times New Roman"/>
          <w:sz w:val="24"/>
          <w:szCs w:val="24"/>
        </w:rPr>
        <w:t xml:space="preserve">heuristic than it is technically exact. In carrying out these procedures in our data, we would follow accepted best practice in the social science literature. For references to some key articles, see </w:t>
      </w:r>
      <w:r w:rsidRPr="00567FE5">
        <w:rPr>
          <w:rFonts w:ascii="Times New Roman" w:hAnsi="Times New Roman" w:cs="Times New Roman"/>
          <w:sz w:val="24"/>
          <w:szCs w:val="24"/>
        </w:rPr>
        <w:t>http://www.respondentdrivensampling.org</w:t>
      </w:r>
      <w:r w:rsidR="005F4746">
        <w:rPr>
          <w:rFonts w:ascii="Times New Roman" w:hAnsi="Times New Roman" w:cs="Times New Roman"/>
          <w:sz w:val="24"/>
          <w:szCs w:val="24"/>
        </w:rPr>
        <w:t>.</w:t>
      </w:r>
      <w:r w:rsidR="00BD6C8F">
        <w:rPr>
          <w:rFonts w:ascii="Times New Roman" w:hAnsi="Times New Roman" w:cs="Times New Roman"/>
          <w:sz w:val="24"/>
          <w:szCs w:val="24"/>
        </w:rPr>
        <w:t xml:space="preserve"> </w:t>
      </w:r>
      <w:r w:rsidR="00AE36FE">
        <w:rPr>
          <w:rFonts w:ascii="Times New Roman" w:hAnsi="Times New Roman" w:cs="Times New Roman"/>
          <w:sz w:val="24"/>
          <w:szCs w:val="24"/>
        </w:rPr>
        <w:t>Note that the proposed methods cannot create nationally representative estimates, because the actual underlying population of informed experts cannot be completely characterized. The proposed methods endeavor to build a sampling frame that is as close as possible to representative</w:t>
      </w:r>
      <w:r w:rsidR="0084721D">
        <w:rPr>
          <w:rFonts w:ascii="Times New Roman" w:hAnsi="Times New Roman" w:cs="Times New Roman"/>
          <w:sz w:val="24"/>
          <w:szCs w:val="24"/>
        </w:rPr>
        <w:t>,</w:t>
      </w:r>
      <w:r w:rsidR="00AE36FE">
        <w:rPr>
          <w:rFonts w:ascii="Times New Roman" w:hAnsi="Times New Roman" w:cs="Times New Roman"/>
          <w:sz w:val="24"/>
          <w:szCs w:val="24"/>
        </w:rPr>
        <w:t xml:space="preserve"> based on available information</w:t>
      </w:r>
      <w:r w:rsidR="0084721D">
        <w:rPr>
          <w:rFonts w:ascii="Times New Roman" w:hAnsi="Times New Roman" w:cs="Times New Roman"/>
          <w:sz w:val="24"/>
          <w:szCs w:val="24"/>
        </w:rPr>
        <w:t>, and then weight responses to the frame. We will not claim that the frame is nationally representative; therefore we cannot claim that our results (weighted to the frame) are nationally representative</w:t>
      </w:r>
      <w:r w:rsidR="000B1899">
        <w:rPr>
          <w:rFonts w:ascii="Times New Roman" w:hAnsi="Times New Roman" w:cs="Times New Roman"/>
          <w:sz w:val="24"/>
          <w:szCs w:val="24"/>
        </w:rPr>
        <w:t>.</w:t>
      </w:r>
      <w:r w:rsidR="00AE36FE">
        <w:rPr>
          <w:rFonts w:ascii="Times New Roman" w:hAnsi="Times New Roman" w:cs="Times New Roman"/>
          <w:sz w:val="24"/>
          <w:szCs w:val="24"/>
        </w:rPr>
        <w:t xml:space="preserve"> </w:t>
      </w:r>
      <w:r w:rsidR="00D63D84">
        <w:rPr>
          <w:rFonts w:ascii="Times New Roman" w:hAnsi="Times New Roman" w:cs="Times New Roman"/>
          <w:sz w:val="24"/>
          <w:szCs w:val="24"/>
        </w:rPr>
        <w:t xml:space="preserve"> </w:t>
      </w:r>
    </w:p>
    <w:p w14:paraId="1F7CBB1B" w14:textId="77777777" w:rsidR="008C61D3" w:rsidRDefault="008C61D3" w:rsidP="00630FB9">
      <w:pPr>
        <w:pStyle w:val="ListParagraph"/>
        <w:ind w:left="0"/>
        <w:rPr>
          <w:rFonts w:ascii="Times New Roman" w:hAnsi="Times New Roman" w:cs="Times New Roman"/>
          <w:sz w:val="24"/>
          <w:szCs w:val="24"/>
        </w:rPr>
      </w:pPr>
    </w:p>
    <w:p w14:paraId="0F22B5DB" w14:textId="00B2562E" w:rsidR="008C61D3" w:rsidRPr="008C61D3" w:rsidRDefault="008C61D3" w:rsidP="00630FB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To reiterate, weighted metrics will be reported </w:t>
      </w:r>
      <w:r>
        <w:rPr>
          <w:rFonts w:ascii="Times New Roman" w:hAnsi="Times New Roman" w:cs="Times New Roman"/>
          <w:i/>
          <w:sz w:val="24"/>
          <w:szCs w:val="24"/>
        </w:rPr>
        <w:t>in addition to</w:t>
      </w:r>
      <w:r>
        <w:rPr>
          <w:rFonts w:ascii="Times New Roman" w:hAnsi="Times New Roman" w:cs="Times New Roman"/>
          <w:sz w:val="24"/>
          <w:szCs w:val="24"/>
        </w:rPr>
        <w:t xml:space="preserve"> unweighted metrics, as a robustness check against potential selection bias. Given the impossibility of perfectly defining the sampling universe ex ante, our weighting scheme must be recognized for what it is: a good-faith best effort to account for potential selection bias. If weighted and unweighted statistics are significantly different from one anoth</w:t>
      </w:r>
      <w:r w:rsidR="00DE5D05">
        <w:rPr>
          <w:rFonts w:ascii="Times New Roman" w:hAnsi="Times New Roman" w:cs="Times New Roman"/>
          <w:sz w:val="24"/>
          <w:szCs w:val="24"/>
        </w:rPr>
        <w:t>er, that fact will be discussed in our report.</w:t>
      </w:r>
    </w:p>
    <w:p w14:paraId="67178954" w14:textId="77777777" w:rsidR="008C4728" w:rsidRDefault="008C4728" w:rsidP="00630FB9">
      <w:pPr>
        <w:pStyle w:val="ListParagraph"/>
        <w:ind w:left="0"/>
        <w:rPr>
          <w:rFonts w:ascii="Times New Roman" w:hAnsi="Times New Roman" w:cs="Times New Roman"/>
          <w:sz w:val="24"/>
          <w:szCs w:val="24"/>
        </w:rPr>
      </w:pPr>
    </w:p>
    <w:p w14:paraId="0CFC3C40" w14:textId="723B632C" w:rsidR="008C4728" w:rsidRPr="001E79F6" w:rsidRDefault="008C4728" w:rsidP="00630FB9">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As is customary, a range of robustness checks</w:t>
      </w:r>
      <w:r w:rsidR="00DC77AD">
        <w:rPr>
          <w:rFonts w:ascii="Times New Roman" w:hAnsi="Times New Roman" w:cs="Times New Roman"/>
          <w:sz w:val="24"/>
          <w:szCs w:val="24"/>
        </w:rPr>
        <w:t xml:space="preserve"> will be provided</w:t>
      </w:r>
      <w:r>
        <w:rPr>
          <w:rFonts w:ascii="Times New Roman" w:hAnsi="Times New Roman" w:cs="Times New Roman"/>
          <w:sz w:val="24"/>
          <w:szCs w:val="24"/>
        </w:rPr>
        <w:t xml:space="preserve">, including but not limited to the inverse propensity </w:t>
      </w:r>
      <w:r w:rsidR="00DC77AD">
        <w:rPr>
          <w:rFonts w:ascii="Times New Roman" w:hAnsi="Times New Roman" w:cs="Times New Roman"/>
          <w:sz w:val="24"/>
          <w:szCs w:val="24"/>
        </w:rPr>
        <w:t>score weighting described above</w:t>
      </w:r>
      <w:r>
        <w:rPr>
          <w:rFonts w:ascii="Times New Roman" w:hAnsi="Times New Roman" w:cs="Times New Roman"/>
          <w:sz w:val="24"/>
          <w:szCs w:val="24"/>
        </w:rPr>
        <w:t xml:space="preserve">. </w:t>
      </w:r>
      <w:r w:rsidR="00DC77AD">
        <w:rPr>
          <w:rFonts w:ascii="Times New Roman" w:hAnsi="Times New Roman" w:cs="Times New Roman"/>
          <w:sz w:val="24"/>
          <w:szCs w:val="24"/>
        </w:rPr>
        <w:t>For another example, it</w:t>
      </w:r>
      <w:r>
        <w:rPr>
          <w:rFonts w:ascii="Times New Roman" w:hAnsi="Times New Roman" w:cs="Times New Roman"/>
          <w:sz w:val="24"/>
          <w:szCs w:val="24"/>
        </w:rPr>
        <w:t xml:space="preserve"> will certainly be appropriate to include a comparison </w:t>
      </w:r>
      <w:r w:rsidR="00DC77AD">
        <w:rPr>
          <w:rFonts w:ascii="Times New Roman" w:hAnsi="Times New Roman" w:cs="Times New Roman"/>
          <w:sz w:val="24"/>
          <w:szCs w:val="24"/>
        </w:rPr>
        <w:t>of the variance of quantitative responses within and across chains of referrals. If there is correlation within groups defined by respondents having referred or been referred by others in the group, then standard error</w:t>
      </w:r>
      <w:r w:rsidR="003917E6">
        <w:rPr>
          <w:rFonts w:ascii="Times New Roman" w:hAnsi="Times New Roman" w:cs="Times New Roman"/>
          <w:sz w:val="24"/>
          <w:szCs w:val="24"/>
        </w:rPr>
        <w:t>s and confidence intervals will</w:t>
      </w:r>
      <w:r w:rsidR="00DC77AD">
        <w:rPr>
          <w:rFonts w:ascii="Times New Roman" w:hAnsi="Times New Roman" w:cs="Times New Roman"/>
          <w:sz w:val="24"/>
          <w:szCs w:val="24"/>
        </w:rPr>
        <w:t xml:space="preserve"> be a</w:t>
      </w:r>
      <w:r w:rsidR="003917E6">
        <w:rPr>
          <w:rFonts w:ascii="Times New Roman" w:hAnsi="Times New Roman" w:cs="Times New Roman"/>
          <w:sz w:val="24"/>
          <w:szCs w:val="24"/>
        </w:rPr>
        <w:t>djusted appropriately. The potential for bias caused by correlation within chains of referrals is more subtle. Bias could arise, for instance, if respondents who take an especially (</w:t>
      </w:r>
      <w:proofErr w:type="gramStart"/>
      <w:r w:rsidR="003917E6">
        <w:rPr>
          <w:rFonts w:ascii="Times New Roman" w:hAnsi="Times New Roman" w:cs="Times New Roman"/>
          <w:sz w:val="24"/>
          <w:szCs w:val="24"/>
        </w:rPr>
        <w:t>un)</w:t>
      </w:r>
      <w:proofErr w:type="gramEnd"/>
      <w:r w:rsidR="003917E6">
        <w:rPr>
          <w:rFonts w:ascii="Times New Roman" w:hAnsi="Times New Roman" w:cs="Times New Roman"/>
          <w:sz w:val="24"/>
          <w:szCs w:val="24"/>
        </w:rPr>
        <w:t xml:space="preserve">favorable view of BTO contributions make a greater number of referrals or if their referrals are more likely to respond. </w:t>
      </w:r>
      <w:r w:rsidR="000C21BE">
        <w:rPr>
          <w:rFonts w:ascii="Times New Roman" w:hAnsi="Times New Roman" w:cs="Times New Roman"/>
          <w:sz w:val="24"/>
          <w:szCs w:val="24"/>
        </w:rPr>
        <w:t>This issue could be addressed within the propensity score weighting framework described above, or by a straightforward extension of it. Suppose that for every 1 standard deviation increase (decrease) in a constructed ‘favorability index’ for respondents, the average number of responses generated by referrals made by that respondent increases (decreases) by 20%</w:t>
      </w:r>
      <w:r w:rsidR="003917E6">
        <w:rPr>
          <w:rFonts w:ascii="Times New Roman" w:hAnsi="Times New Roman" w:cs="Times New Roman"/>
          <w:sz w:val="24"/>
          <w:szCs w:val="24"/>
        </w:rPr>
        <w:t>.</w:t>
      </w:r>
      <w:r w:rsidR="00DC77AD">
        <w:rPr>
          <w:rFonts w:ascii="Times New Roman" w:hAnsi="Times New Roman" w:cs="Times New Roman"/>
          <w:sz w:val="24"/>
          <w:szCs w:val="24"/>
        </w:rPr>
        <w:t xml:space="preserve"> </w:t>
      </w:r>
      <w:r w:rsidR="000C21BE">
        <w:rPr>
          <w:rFonts w:ascii="Times New Roman" w:hAnsi="Times New Roman" w:cs="Times New Roman"/>
          <w:sz w:val="24"/>
          <w:szCs w:val="24"/>
        </w:rPr>
        <w:t xml:space="preserve">Then an adjusted average could be calculated </w:t>
      </w:r>
      <w:r w:rsidR="00590539">
        <w:rPr>
          <w:rFonts w:ascii="Times New Roman" w:hAnsi="Times New Roman" w:cs="Times New Roman"/>
          <w:sz w:val="24"/>
          <w:szCs w:val="24"/>
        </w:rPr>
        <w:t>in which a response that came from a referral made by someone whose favorability index was 1 standard deviation (</w:t>
      </w:r>
      <w:proofErr w:type="spellStart"/>
      <w:r w:rsidR="00590539">
        <w:rPr>
          <w:rFonts w:ascii="Times New Roman" w:hAnsi="Times New Roman" w:cs="Times New Roman"/>
          <w:sz w:val="24"/>
          <w:szCs w:val="24"/>
        </w:rPr>
        <w:t>s.d.</w:t>
      </w:r>
      <w:proofErr w:type="spellEnd"/>
      <w:r w:rsidR="00590539">
        <w:rPr>
          <w:rFonts w:ascii="Times New Roman" w:hAnsi="Times New Roman" w:cs="Times New Roman"/>
          <w:sz w:val="24"/>
          <w:szCs w:val="24"/>
        </w:rPr>
        <w:t xml:space="preserve">) below the mean would be weighted by 1.2; referred by someone 2 </w:t>
      </w:r>
      <w:proofErr w:type="spellStart"/>
      <w:r w:rsidR="00590539">
        <w:rPr>
          <w:rFonts w:ascii="Times New Roman" w:hAnsi="Times New Roman" w:cs="Times New Roman"/>
          <w:sz w:val="24"/>
          <w:szCs w:val="24"/>
        </w:rPr>
        <w:t>s.d.</w:t>
      </w:r>
      <w:proofErr w:type="spellEnd"/>
      <w:r w:rsidR="00590539">
        <w:rPr>
          <w:rFonts w:ascii="Times New Roman" w:hAnsi="Times New Roman" w:cs="Times New Roman"/>
          <w:sz w:val="24"/>
          <w:szCs w:val="24"/>
        </w:rPr>
        <w:t xml:space="preserve"> below the mean, weighted by 1.44; referred by someone 1 </w:t>
      </w:r>
      <w:proofErr w:type="spellStart"/>
      <w:r w:rsidR="00590539">
        <w:rPr>
          <w:rFonts w:ascii="Times New Roman" w:hAnsi="Times New Roman" w:cs="Times New Roman"/>
          <w:sz w:val="24"/>
          <w:szCs w:val="24"/>
        </w:rPr>
        <w:t>s.d.</w:t>
      </w:r>
      <w:proofErr w:type="spellEnd"/>
      <w:r w:rsidR="00590539">
        <w:rPr>
          <w:rFonts w:ascii="Times New Roman" w:hAnsi="Times New Roman" w:cs="Times New Roman"/>
          <w:sz w:val="24"/>
          <w:szCs w:val="24"/>
        </w:rPr>
        <w:t xml:space="preserve"> above the mean, weighted by 0.83; referred by someone 2 </w:t>
      </w:r>
      <w:proofErr w:type="spellStart"/>
      <w:r w:rsidR="00590539">
        <w:rPr>
          <w:rFonts w:ascii="Times New Roman" w:hAnsi="Times New Roman" w:cs="Times New Roman"/>
          <w:sz w:val="24"/>
          <w:szCs w:val="24"/>
        </w:rPr>
        <w:t>s.d.</w:t>
      </w:r>
      <w:proofErr w:type="spellEnd"/>
      <w:r w:rsidR="00590539">
        <w:rPr>
          <w:rFonts w:ascii="Times New Roman" w:hAnsi="Times New Roman" w:cs="Times New Roman"/>
          <w:sz w:val="24"/>
          <w:szCs w:val="24"/>
        </w:rPr>
        <w:t xml:space="preserve"> above the mean, weighted by 0.69; etc.</w:t>
      </w:r>
      <w:r w:rsidR="00D63D84">
        <w:rPr>
          <w:rFonts w:ascii="Times New Roman" w:hAnsi="Times New Roman" w:cs="Times New Roman"/>
          <w:sz w:val="24"/>
          <w:szCs w:val="24"/>
        </w:rPr>
        <w:t xml:space="preserve">  Although these measures provide some quantifiable measure on the variability of the responses, the method is not </w:t>
      </w:r>
      <w:r w:rsidR="00C024B0">
        <w:rPr>
          <w:rFonts w:ascii="Times New Roman" w:hAnsi="Times New Roman" w:cs="Times New Roman"/>
          <w:sz w:val="24"/>
          <w:szCs w:val="24"/>
        </w:rPr>
        <w:t>designed</w:t>
      </w:r>
      <w:r w:rsidR="00D63D84">
        <w:rPr>
          <w:rFonts w:ascii="Times New Roman" w:hAnsi="Times New Roman" w:cs="Times New Roman"/>
          <w:sz w:val="24"/>
          <w:szCs w:val="24"/>
        </w:rPr>
        <w:t xml:space="preserve"> to produce estimates of the sampling error, frame coverage error, or model error.</w:t>
      </w:r>
      <w:bookmarkStart w:id="0" w:name="_GoBack"/>
      <w:bookmarkEnd w:id="0"/>
    </w:p>
    <w:p w14:paraId="0CFFC490" w14:textId="77777777" w:rsidR="00505190" w:rsidRDefault="00505190" w:rsidP="00567FE5">
      <w:pPr>
        <w:ind w:firstLine="450"/>
      </w:pPr>
    </w:p>
    <w:p w14:paraId="4B247EB6" w14:textId="670212B6" w:rsidR="00505190" w:rsidRDefault="00E64EBF" w:rsidP="00505190">
      <w:pPr>
        <w:numPr>
          <w:ilvl w:val="0"/>
          <w:numId w:val="12"/>
        </w:numPr>
        <w:rPr>
          <w:b/>
          <w:u w:val="single"/>
        </w:rPr>
      </w:pPr>
      <w:r>
        <w:rPr>
          <w:b/>
          <w:u w:val="single"/>
        </w:rPr>
        <w:t>Statistical Consultants</w:t>
      </w:r>
    </w:p>
    <w:p w14:paraId="521DE103" w14:textId="77777777" w:rsidR="00505190" w:rsidRDefault="00505190" w:rsidP="00505190"/>
    <w:p w14:paraId="338FE256" w14:textId="078ECCAB" w:rsidR="00DA62D5" w:rsidRDefault="00DA62D5" w:rsidP="00630FB9">
      <w:r>
        <w:t>Troy Scott, PhD in economics, will oversee the data collection process at RTI.</w:t>
      </w:r>
    </w:p>
    <w:p w14:paraId="4EE48809" w14:textId="77777777" w:rsidR="00DA62D5" w:rsidRDefault="00DA62D5" w:rsidP="00630FB9"/>
    <w:p w14:paraId="498D2276" w14:textId="5F840743" w:rsidR="00800351" w:rsidRDefault="00800351" w:rsidP="00630FB9">
      <w:r>
        <w:t xml:space="preserve">Jake Bournazian, at the US Energy Information Administration, has </w:t>
      </w:r>
      <w:r w:rsidR="008C4728">
        <w:t>advised</w:t>
      </w:r>
      <w:r>
        <w:t xml:space="preserve"> us on this data collection. His contact information is below.</w:t>
      </w:r>
    </w:p>
    <w:p w14:paraId="4C6A7629" w14:textId="77777777" w:rsidR="00800351" w:rsidRDefault="00800351" w:rsidP="00567FE5">
      <w:pPr>
        <w:ind w:firstLine="450"/>
      </w:pPr>
    </w:p>
    <w:p w14:paraId="513EFBFD" w14:textId="77777777" w:rsidR="00800351" w:rsidRDefault="00800351" w:rsidP="00567FE5">
      <w:pPr>
        <w:ind w:firstLine="450"/>
      </w:pPr>
      <w:r>
        <w:t>Jacob Bournazian</w:t>
      </w:r>
    </w:p>
    <w:p w14:paraId="7855EA34" w14:textId="77777777" w:rsidR="00800351" w:rsidRDefault="00800351" w:rsidP="00567FE5">
      <w:pPr>
        <w:ind w:firstLine="450"/>
      </w:pPr>
      <w:r>
        <w:t>Survey Development Team Leader</w:t>
      </w:r>
    </w:p>
    <w:p w14:paraId="1306D02B" w14:textId="77777777" w:rsidR="00800351" w:rsidRDefault="00800351" w:rsidP="00567FE5">
      <w:pPr>
        <w:ind w:firstLine="450"/>
      </w:pPr>
      <w:r>
        <w:t>Office of Survey Development and Statistical Integration</w:t>
      </w:r>
    </w:p>
    <w:p w14:paraId="076CBE18" w14:textId="77777777" w:rsidR="00800351" w:rsidRDefault="00800351" w:rsidP="00567FE5">
      <w:pPr>
        <w:ind w:firstLine="450"/>
      </w:pPr>
      <w:r>
        <w:t>US Energy Information Administration</w:t>
      </w:r>
    </w:p>
    <w:p w14:paraId="28DD63D8" w14:textId="71C5423B" w:rsidR="00800351" w:rsidRDefault="00800351" w:rsidP="00567FE5">
      <w:pPr>
        <w:ind w:firstLine="450"/>
      </w:pPr>
      <w:r>
        <w:t>(202) 586 - 5562</w:t>
      </w:r>
    </w:p>
    <w:p w14:paraId="378AD562" w14:textId="6853FB02" w:rsidR="00800351" w:rsidRPr="00827DC0" w:rsidRDefault="00800351" w:rsidP="00567FE5">
      <w:pPr>
        <w:ind w:firstLine="450"/>
      </w:pPr>
      <w:r>
        <w:t>jacob.bournazian@eia.gov</w:t>
      </w:r>
    </w:p>
    <w:p w14:paraId="4EB7AE74" w14:textId="77777777" w:rsidR="00505190" w:rsidRPr="00652F9E" w:rsidRDefault="00505190" w:rsidP="00567FE5">
      <w:pPr>
        <w:ind w:firstLine="450"/>
      </w:pPr>
    </w:p>
    <w:p w14:paraId="245D7758" w14:textId="77777777" w:rsidR="00652F9E" w:rsidRPr="00652F9E" w:rsidRDefault="00652F9E" w:rsidP="00937CAF">
      <w:pPr>
        <w:ind w:firstLine="720"/>
      </w:pPr>
    </w:p>
    <w:sectPr w:rsidR="00652F9E" w:rsidRPr="00652F9E" w:rsidSect="00000957">
      <w:footerReference w:type="default" r:id="rId9"/>
      <w:pgSz w:w="12240" w:h="15840"/>
      <w:pgMar w:top="1440" w:right="1440" w:bottom="1440" w:left="1440" w:header="720" w:footer="720"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CC4188" w14:textId="77777777" w:rsidR="00CC263C" w:rsidRDefault="00CC263C">
      <w:r>
        <w:separator/>
      </w:r>
    </w:p>
  </w:endnote>
  <w:endnote w:type="continuationSeparator" w:id="0">
    <w:p w14:paraId="1380BA81" w14:textId="77777777" w:rsidR="00CC263C" w:rsidRDefault="00CC2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FE4FE" w14:textId="77777777" w:rsidR="004379D2" w:rsidRDefault="004379D2" w:rsidP="00C9228B">
    <w:pPr>
      <w:pStyle w:val="Footer"/>
      <w:framePr w:wrap="around" w:vAnchor="text" w:hAnchor="margin" w:xAlign="right" w:y="1"/>
      <w:rPr>
        <w:rStyle w:val="PageNumber"/>
      </w:rPr>
    </w:pPr>
  </w:p>
  <w:p w14:paraId="4410D7D1" w14:textId="0E607373" w:rsidR="004379D2" w:rsidRDefault="004379D2" w:rsidP="004F61BB">
    <w:pPr>
      <w:pStyle w:val="Footer"/>
      <w:ind w:right="360"/>
      <w:rPr>
        <w:sz w:val="16"/>
        <w:szCs w:val="16"/>
      </w:rPr>
    </w:pPr>
  </w:p>
  <w:p w14:paraId="55343AED" w14:textId="77777777" w:rsidR="004379D2" w:rsidRDefault="004379D2" w:rsidP="004F61BB">
    <w:pPr>
      <w:pStyle w:val="Footer"/>
      <w:ind w:right="360"/>
      <w:rPr>
        <w:sz w:val="16"/>
        <w:szCs w:val="16"/>
      </w:rPr>
    </w:pPr>
  </w:p>
  <w:p w14:paraId="4FC5734F" w14:textId="77777777" w:rsidR="004379D2" w:rsidRPr="004F61BB" w:rsidRDefault="004379D2" w:rsidP="00000957">
    <w:pPr>
      <w:pStyle w:val="Footer"/>
      <w:ind w:right="360"/>
      <w:jc w:val="center"/>
    </w:pPr>
    <w:r>
      <w:rPr>
        <w:rStyle w:val="PageNumber"/>
      </w:rPr>
      <w:fldChar w:fldCharType="begin"/>
    </w:r>
    <w:r>
      <w:rPr>
        <w:rStyle w:val="PageNumber"/>
      </w:rPr>
      <w:instrText xml:space="preserve"> PAGE </w:instrText>
    </w:r>
    <w:r>
      <w:rPr>
        <w:rStyle w:val="PageNumber"/>
      </w:rPr>
      <w:fldChar w:fldCharType="separate"/>
    </w:r>
    <w:r w:rsidR="003E2982">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2A78F1" w14:textId="77777777" w:rsidR="00CC263C" w:rsidRDefault="00CC263C">
      <w:r>
        <w:separator/>
      </w:r>
    </w:p>
  </w:footnote>
  <w:footnote w:type="continuationSeparator" w:id="0">
    <w:p w14:paraId="3CE86CEA" w14:textId="77777777" w:rsidR="00CC263C" w:rsidRDefault="00CC26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C13A2"/>
    <w:multiLevelType w:val="hybridMultilevel"/>
    <w:tmpl w:val="3F4487CC"/>
    <w:lvl w:ilvl="0" w:tplc="CB8AFE5E">
      <w:start w:val="1"/>
      <w:numFmt w:val="decimal"/>
      <w:lvlText w:val="%1."/>
      <w:lvlJc w:val="left"/>
      <w:pPr>
        <w:tabs>
          <w:tab w:val="num" w:pos="360"/>
        </w:tabs>
        <w:ind w:left="360" w:hanging="360"/>
      </w:pPr>
      <w:rPr>
        <w:rFonts w:ascii="Times New Roman" w:hAnsi="Times New Roman" w:hint="default"/>
        <w:b/>
        <w:i w:val="0"/>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D9660D1"/>
    <w:multiLevelType w:val="hybridMultilevel"/>
    <w:tmpl w:val="F4DC1B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7434D6"/>
    <w:multiLevelType w:val="hybridMultilevel"/>
    <w:tmpl w:val="441AFE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66D574B"/>
    <w:multiLevelType w:val="multilevel"/>
    <w:tmpl w:val="DFB49C5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2CAD3428"/>
    <w:multiLevelType w:val="multilevel"/>
    <w:tmpl w:val="706EC2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E3847E1"/>
    <w:multiLevelType w:val="multilevel"/>
    <w:tmpl w:val="96829A8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31816174"/>
    <w:multiLevelType w:val="hybridMultilevel"/>
    <w:tmpl w:val="706EC22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27E425C"/>
    <w:multiLevelType w:val="hybridMultilevel"/>
    <w:tmpl w:val="0756D614"/>
    <w:lvl w:ilvl="0" w:tplc="0409000F">
      <w:start w:val="1"/>
      <w:numFmt w:val="decimal"/>
      <w:lvlText w:val="%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15:restartNumberingAfterBreak="0">
    <w:nsid w:val="328859CB"/>
    <w:multiLevelType w:val="hybridMultilevel"/>
    <w:tmpl w:val="BD98DFDC"/>
    <w:lvl w:ilvl="0" w:tplc="8AEE3434">
      <w:start w:val="1"/>
      <w:numFmt w:val="decimal"/>
      <w:lvlText w:val="%1."/>
      <w:lvlJc w:val="left"/>
      <w:pPr>
        <w:tabs>
          <w:tab w:val="num" w:pos="360"/>
        </w:tabs>
        <w:ind w:left="360" w:hanging="360"/>
      </w:pPr>
      <w:rPr>
        <w:rFonts w:ascii="Times New Roman" w:hAnsi="Times New Roman"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4A97D4A"/>
    <w:multiLevelType w:val="hybridMultilevel"/>
    <w:tmpl w:val="B3FA185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3BC10892"/>
    <w:multiLevelType w:val="hybridMultilevel"/>
    <w:tmpl w:val="E8C0AC9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7A30D27"/>
    <w:multiLevelType w:val="multilevel"/>
    <w:tmpl w:val="4350CE22"/>
    <w:styleLink w:val="RptFormat2"/>
    <w:lvl w:ilvl="0">
      <w:start w:val="1"/>
      <w:numFmt w:val="decimal"/>
      <w:pStyle w:val="Heading1"/>
      <w:lvlText w:val="Section %1"/>
      <w:lvlJc w:val="left"/>
      <w:pPr>
        <w:ind w:left="0" w:firstLine="0"/>
      </w:pPr>
      <w:rPr>
        <w:rFonts w:hint="default"/>
        <w:b/>
        <w:bCs w:val="0"/>
        <w:i w:val="0"/>
        <w:iCs w:val="0"/>
        <w:caps/>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720"/>
        </w:tabs>
        <w:ind w:left="720" w:hanging="720"/>
      </w:pPr>
      <w:rPr>
        <w:rFonts w:hint="default"/>
        <w:b/>
        <w:i w:val="0"/>
        <w:sz w:val="24"/>
      </w:rPr>
    </w:lvl>
    <w:lvl w:ilvl="2">
      <w:start w:val="1"/>
      <w:numFmt w:val="decimal"/>
      <w:pStyle w:val="Heading3"/>
      <w:lvlText w:val="%1.%2.%3"/>
      <w:lvlJc w:val="left"/>
      <w:pPr>
        <w:tabs>
          <w:tab w:val="num" w:pos="720"/>
        </w:tabs>
        <w:ind w:left="720" w:hanging="720"/>
      </w:pPr>
      <w:rPr>
        <w:rFonts w:hint="default"/>
        <w:b/>
        <w:i/>
        <w:sz w:val="24"/>
      </w:rPr>
    </w:lvl>
    <w:lvl w:ilvl="3">
      <w:start w:val="1"/>
      <w:numFmt w:val="decimal"/>
      <w:pStyle w:val="Heading4"/>
      <w:lvlText w:val="%1.%2.%3.%4"/>
      <w:lvlJc w:val="left"/>
      <w:pPr>
        <w:ind w:left="720" w:hanging="720"/>
      </w:pPr>
      <w:rPr>
        <w:rFonts w:hint="default"/>
        <w:b w:val="0"/>
        <w:i/>
        <w:sz w:val="24"/>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2" w15:restartNumberingAfterBreak="0">
    <w:nsid w:val="48204483"/>
    <w:multiLevelType w:val="multilevel"/>
    <w:tmpl w:val="4350CE22"/>
    <w:numStyleLink w:val="RptFormat2"/>
  </w:abstractNum>
  <w:abstractNum w:abstractNumId="13" w15:restartNumberingAfterBreak="0">
    <w:nsid w:val="530E7D98"/>
    <w:multiLevelType w:val="hybridMultilevel"/>
    <w:tmpl w:val="AEBABC6E"/>
    <w:lvl w:ilvl="0" w:tplc="8AEE3434">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A874188"/>
    <w:multiLevelType w:val="hybridMultilevel"/>
    <w:tmpl w:val="6B00682A"/>
    <w:lvl w:ilvl="0" w:tplc="382C4AC8">
      <w:start w:val="2"/>
      <w:numFmt w:val="upperLetter"/>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D4272BD"/>
    <w:multiLevelType w:val="multilevel"/>
    <w:tmpl w:val="DFB49C5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6D2C0BB7"/>
    <w:multiLevelType w:val="multilevel"/>
    <w:tmpl w:val="C3505F8C"/>
    <w:lvl w:ilvl="0">
      <w:start w:val="1"/>
      <w:numFmt w:val="decimal"/>
      <w:lvlText w:val="%1."/>
      <w:lvlJc w:val="left"/>
      <w:pPr>
        <w:tabs>
          <w:tab w:val="num" w:pos="360"/>
        </w:tabs>
        <w:ind w:left="360" w:hanging="360"/>
      </w:pPr>
      <w:rPr>
        <w:rFonts w:ascii="Times New Roman" w:hAnsi="Times New Roman" w:hint="default"/>
        <w:b w:val="0"/>
        <w:i w:val="0"/>
        <w:u w:val="none"/>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705257C0"/>
    <w:multiLevelType w:val="hybridMultilevel"/>
    <w:tmpl w:val="151639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EC1D69"/>
    <w:multiLevelType w:val="hybridMultilevel"/>
    <w:tmpl w:val="904C3860"/>
    <w:lvl w:ilvl="0" w:tplc="8AEE3434">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7DD23FB8"/>
    <w:multiLevelType w:val="hybridMultilevel"/>
    <w:tmpl w:val="5D98F264"/>
    <w:lvl w:ilvl="0" w:tplc="CB8AFE5E">
      <w:start w:val="1"/>
      <w:numFmt w:val="decimal"/>
      <w:lvlText w:val="%1."/>
      <w:lvlJc w:val="left"/>
      <w:pPr>
        <w:tabs>
          <w:tab w:val="num" w:pos="360"/>
        </w:tabs>
        <w:ind w:left="360" w:hanging="360"/>
      </w:pPr>
      <w:rPr>
        <w:rFonts w:ascii="Times New Roman" w:hAnsi="Times New Roman"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7F92639F"/>
    <w:multiLevelType w:val="hybridMultilevel"/>
    <w:tmpl w:val="1FEE3EC8"/>
    <w:lvl w:ilvl="0" w:tplc="8AEE3434">
      <w:start w:val="1"/>
      <w:numFmt w:val="decimal"/>
      <w:lvlText w:val="%1."/>
      <w:lvlJc w:val="left"/>
      <w:pPr>
        <w:tabs>
          <w:tab w:val="num" w:pos="360"/>
        </w:tabs>
        <w:ind w:left="360" w:hanging="360"/>
      </w:pPr>
      <w:rPr>
        <w:rFonts w:ascii="Times New Roman" w:hAnsi="Times New Roman"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7FC922A2"/>
    <w:multiLevelType w:val="hybridMultilevel"/>
    <w:tmpl w:val="96829A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6"/>
  </w:num>
  <w:num w:numId="2">
    <w:abstractNumId w:val="14"/>
  </w:num>
  <w:num w:numId="3">
    <w:abstractNumId w:val="21"/>
  </w:num>
  <w:num w:numId="4">
    <w:abstractNumId w:val="5"/>
  </w:num>
  <w:num w:numId="5">
    <w:abstractNumId w:val="10"/>
  </w:num>
  <w:num w:numId="6">
    <w:abstractNumId w:val="2"/>
  </w:num>
  <w:num w:numId="7">
    <w:abstractNumId w:val="0"/>
  </w:num>
  <w:num w:numId="8">
    <w:abstractNumId w:val="4"/>
  </w:num>
  <w:num w:numId="9">
    <w:abstractNumId w:val="3"/>
  </w:num>
  <w:num w:numId="10">
    <w:abstractNumId w:val="8"/>
  </w:num>
  <w:num w:numId="11">
    <w:abstractNumId w:val="18"/>
  </w:num>
  <w:num w:numId="12">
    <w:abstractNumId w:val="13"/>
  </w:num>
  <w:num w:numId="13">
    <w:abstractNumId w:val="15"/>
  </w:num>
  <w:num w:numId="14">
    <w:abstractNumId w:val="20"/>
  </w:num>
  <w:num w:numId="15">
    <w:abstractNumId w:val="19"/>
  </w:num>
  <w:num w:numId="16">
    <w:abstractNumId w:val="16"/>
  </w:num>
  <w:num w:numId="17">
    <w:abstractNumId w:val="9"/>
  </w:num>
  <w:num w:numId="18">
    <w:abstractNumId w:val="17"/>
  </w:num>
  <w:num w:numId="19">
    <w:abstractNumId w:val="11"/>
  </w:num>
  <w:num w:numId="20">
    <w:abstractNumId w:val="12"/>
  </w:num>
  <w:num w:numId="21">
    <w:abstractNumId w:val="7"/>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666"/>
    <w:rsid w:val="00000957"/>
    <w:rsid w:val="00005497"/>
    <w:rsid w:val="00005C09"/>
    <w:rsid w:val="00007B0C"/>
    <w:rsid w:val="000135F2"/>
    <w:rsid w:val="00023BA8"/>
    <w:rsid w:val="00032081"/>
    <w:rsid w:val="000451A2"/>
    <w:rsid w:val="00047EC0"/>
    <w:rsid w:val="00050FBE"/>
    <w:rsid w:val="00062638"/>
    <w:rsid w:val="00066DE7"/>
    <w:rsid w:val="00076B47"/>
    <w:rsid w:val="000A1BDB"/>
    <w:rsid w:val="000A3BFC"/>
    <w:rsid w:val="000A4BE4"/>
    <w:rsid w:val="000A5279"/>
    <w:rsid w:val="000B1899"/>
    <w:rsid w:val="000C0F4F"/>
    <w:rsid w:val="000C21BE"/>
    <w:rsid w:val="000C2F4E"/>
    <w:rsid w:val="000C4FDF"/>
    <w:rsid w:val="000C544C"/>
    <w:rsid w:val="000E6EC8"/>
    <w:rsid w:val="00102B02"/>
    <w:rsid w:val="0010435B"/>
    <w:rsid w:val="00107374"/>
    <w:rsid w:val="001173C0"/>
    <w:rsid w:val="00123C4A"/>
    <w:rsid w:val="0012764F"/>
    <w:rsid w:val="00137F62"/>
    <w:rsid w:val="00156614"/>
    <w:rsid w:val="0017459D"/>
    <w:rsid w:val="00176EE4"/>
    <w:rsid w:val="00184C46"/>
    <w:rsid w:val="001929B3"/>
    <w:rsid w:val="001A3930"/>
    <w:rsid w:val="001A5382"/>
    <w:rsid w:val="001A63A6"/>
    <w:rsid w:val="001B0AD0"/>
    <w:rsid w:val="001C10CD"/>
    <w:rsid w:val="001C6E03"/>
    <w:rsid w:val="001E43F6"/>
    <w:rsid w:val="001E4CA0"/>
    <w:rsid w:val="001E79F6"/>
    <w:rsid w:val="00206318"/>
    <w:rsid w:val="00223DA6"/>
    <w:rsid w:val="00235A34"/>
    <w:rsid w:val="00235ACB"/>
    <w:rsid w:val="00236386"/>
    <w:rsid w:val="00240BFC"/>
    <w:rsid w:val="00255DC0"/>
    <w:rsid w:val="00260378"/>
    <w:rsid w:val="002607CC"/>
    <w:rsid w:val="00263A6E"/>
    <w:rsid w:val="00264593"/>
    <w:rsid w:val="0027764B"/>
    <w:rsid w:val="00292A12"/>
    <w:rsid w:val="0029584F"/>
    <w:rsid w:val="002A0FF3"/>
    <w:rsid w:val="002A22ED"/>
    <w:rsid w:val="002A7110"/>
    <w:rsid w:val="002B4C46"/>
    <w:rsid w:val="002D3C67"/>
    <w:rsid w:val="002D4EB6"/>
    <w:rsid w:val="002E20AF"/>
    <w:rsid w:val="002F3185"/>
    <w:rsid w:val="00305F1C"/>
    <w:rsid w:val="003140FF"/>
    <w:rsid w:val="00316AE2"/>
    <w:rsid w:val="0033130F"/>
    <w:rsid w:val="00352C50"/>
    <w:rsid w:val="00353F1C"/>
    <w:rsid w:val="003852A0"/>
    <w:rsid w:val="003917E6"/>
    <w:rsid w:val="003A7733"/>
    <w:rsid w:val="003C6438"/>
    <w:rsid w:val="003C77E7"/>
    <w:rsid w:val="003D17F9"/>
    <w:rsid w:val="003E2982"/>
    <w:rsid w:val="00412B8F"/>
    <w:rsid w:val="00423958"/>
    <w:rsid w:val="00427D04"/>
    <w:rsid w:val="00431B04"/>
    <w:rsid w:val="004379D2"/>
    <w:rsid w:val="00443E84"/>
    <w:rsid w:val="004778FC"/>
    <w:rsid w:val="004825A3"/>
    <w:rsid w:val="00486E8E"/>
    <w:rsid w:val="00487000"/>
    <w:rsid w:val="00494A65"/>
    <w:rsid w:val="00494CC3"/>
    <w:rsid w:val="004C450D"/>
    <w:rsid w:val="004D02D9"/>
    <w:rsid w:val="004D15C5"/>
    <w:rsid w:val="004E0971"/>
    <w:rsid w:val="004E14C4"/>
    <w:rsid w:val="004F4615"/>
    <w:rsid w:val="004F61BB"/>
    <w:rsid w:val="004F7DC2"/>
    <w:rsid w:val="005024BC"/>
    <w:rsid w:val="00505190"/>
    <w:rsid w:val="00513672"/>
    <w:rsid w:val="005377BE"/>
    <w:rsid w:val="00541523"/>
    <w:rsid w:val="00567FE5"/>
    <w:rsid w:val="0058694F"/>
    <w:rsid w:val="00590539"/>
    <w:rsid w:val="005A1BBE"/>
    <w:rsid w:val="005A6C3D"/>
    <w:rsid w:val="005B54F5"/>
    <w:rsid w:val="005C1724"/>
    <w:rsid w:val="005D6762"/>
    <w:rsid w:val="005E042B"/>
    <w:rsid w:val="005F04C1"/>
    <w:rsid w:val="005F0926"/>
    <w:rsid w:val="005F110C"/>
    <w:rsid w:val="005F4746"/>
    <w:rsid w:val="006069D5"/>
    <w:rsid w:val="00615DEE"/>
    <w:rsid w:val="00621141"/>
    <w:rsid w:val="006213F5"/>
    <w:rsid w:val="00630FB9"/>
    <w:rsid w:val="00641518"/>
    <w:rsid w:val="00646E16"/>
    <w:rsid w:val="00651CC8"/>
    <w:rsid w:val="00652F9E"/>
    <w:rsid w:val="00657DCE"/>
    <w:rsid w:val="00660288"/>
    <w:rsid w:val="00671EA8"/>
    <w:rsid w:val="006725E2"/>
    <w:rsid w:val="006765C5"/>
    <w:rsid w:val="0069150A"/>
    <w:rsid w:val="0069155F"/>
    <w:rsid w:val="00694CD0"/>
    <w:rsid w:val="006A285A"/>
    <w:rsid w:val="006A78D4"/>
    <w:rsid w:val="006B612A"/>
    <w:rsid w:val="006C0BA2"/>
    <w:rsid w:val="006C6186"/>
    <w:rsid w:val="006C647E"/>
    <w:rsid w:val="006E23A7"/>
    <w:rsid w:val="006F5C6F"/>
    <w:rsid w:val="00701D06"/>
    <w:rsid w:val="007202AA"/>
    <w:rsid w:val="00720F5A"/>
    <w:rsid w:val="00726E3B"/>
    <w:rsid w:val="00736940"/>
    <w:rsid w:val="00740B77"/>
    <w:rsid w:val="00747932"/>
    <w:rsid w:val="00773990"/>
    <w:rsid w:val="00780899"/>
    <w:rsid w:val="00780EAC"/>
    <w:rsid w:val="00783356"/>
    <w:rsid w:val="007873F1"/>
    <w:rsid w:val="007A0DA5"/>
    <w:rsid w:val="007C11D3"/>
    <w:rsid w:val="007C3392"/>
    <w:rsid w:val="007C3C86"/>
    <w:rsid w:val="007C6ADF"/>
    <w:rsid w:val="007D112C"/>
    <w:rsid w:val="007D1EC9"/>
    <w:rsid w:val="007D4506"/>
    <w:rsid w:val="007E028E"/>
    <w:rsid w:val="007E29EB"/>
    <w:rsid w:val="007F3573"/>
    <w:rsid w:val="007F6C2C"/>
    <w:rsid w:val="00800351"/>
    <w:rsid w:val="00806243"/>
    <w:rsid w:val="0080626D"/>
    <w:rsid w:val="00822F33"/>
    <w:rsid w:val="00825035"/>
    <w:rsid w:val="00834FFE"/>
    <w:rsid w:val="0084721D"/>
    <w:rsid w:val="00881BEC"/>
    <w:rsid w:val="00891C0D"/>
    <w:rsid w:val="00896BC2"/>
    <w:rsid w:val="008A4633"/>
    <w:rsid w:val="008A52B4"/>
    <w:rsid w:val="008A7589"/>
    <w:rsid w:val="008C09EC"/>
    <w:rsid w:val="008C4728"/>
    <w:rsid w:val="008C61D3"/>
    <w:rsid w:val="008D1A76"/>
    <w:rsid w:val="008E4B5E"/>
    <w:rsid w:val="008E61F8"/>
    <w:rsid w:val="008F18EF"/>
    <w:rsid w:val="00901BFD"/>
    <w:rsid w:val="00905A25"/>
    <w:rsid w:val="00937CAF"/>
    <w:rsid w:val="009424F9"/>
    <w:rsid w:val="00950881"/>
    <w:rsid w:val="00953E0E"/>
    <w:rsid w:val="00964019"/>
    <w:rsid w:val="009A222B"/>
    <w:rsid w:val="009D026E"/>
    <w:rsid w:val="009D486E"/>
    <w:rsid w:val="009E2CD4"/>
    <w:rsid w:val="00A05AA3"/>
    <w:rsid w:val="00A116E1"/>
    <w:rsid w:val="00A16400"/>
    <w:rsid w:val="00A26C12"/>
    <w:rsid w:val="00A4789A"/>
    <w:rsid w:val="00A63FCF"/>
    <w:rsid w:val="00A651DB"/>
    <w:rsid w:val="00A74347"/>
    <w:rsid w:val="00A75A64"/>
    <w:rsid w:val="00A84A5E"/>
    <w:rsid w:val="00A96CD5"/>
    <w:rsid w:val="00AA0CAD"/>
    <w:rsid w:val="00AB0BEB"/>
    <w:rsid w:val="00AE2D97"/>
    <w:rsid w:val="00AE36FE"/>
    <w:rsid w:val="00AF02FD"/>
    <w:rsid w:val="00AF5296"/>
    <w:rsid w:val="00B129D6"/>
    <w:rsid w:val="00B13E60"/>
    <w:rsid w:val="00B1635C"/>
    <w:rsid w:val="00B17229"/>
    <w:rsid w:val="00B328AA"/>
    <w:rsid w:val="00B3482D"/>
    <w:rsid w:val="00B40DB5"/>
    <w:rsid w:val="00B4459C"/>
    <w:rsid w:val="00B51BF8"/>
    <w:rsid w:val="00B558C9"/>
    <w:rsid w:val="00B66BFC"/>
    <w:rsid w:val="00B70CE2"/>
    <w:rsid w:val="00B836F5"/>
    <w:rsid w:val="00BA24A0"/>
    <w:rsid w:val="00BA5387"/>
    <w:rsid w:val="00BC7241"/>
    <w:rsid w:val="00BD4715"/>
    <w:rsid w:val="00BD6C8F"/>
    <w:rsid w:val="00BE6662"/>
    <w:rsid w:val="00C024B0"/>
    <w:rsid w:val="00C02F24"/>
    <w:rsid w:val="00C14666"/>
    <w:rsid w:val="00C17DAD"/>
    <w:rsid w:val="00C21112"/>
    <w:rsid w:val="00C344EF"/>
    <w:rsid w:val="00C37547"/>
    <w:rsid w:val="00C43795"/>
    <w:rsid w:val="00C4561D"/>
    <w:rsid w:val="00C46F0F"/>
    <w:rsid w:val="00C5339D"/>
    <w:rsid w:val="00C54019"/>
    <w:rsid w:val="00C7208E"/>
    <w:rsid w:val="00C72EC2"/>
    <w:rsid w:val="00C82919"/>
    <w:rsid w:val="00C91A2A"/>
    <w:rsid w:val="00C9228B"/>
    <w:rsid w:val="00CA6AF0"/>
    <w:rsid w:val="00CA77EE"/>
    <w:rsid w:val="00CB02F8"/>
    <w:rsid w:val="00CC263C"/>
    <w:rsid w:val="00CC5535"/>
    <w:rsid w:val="00CD5EAD"/>
    <w:rsid w:val="00CE167F"/>
    <w:rsid w:val="00CE47A4"/>
    <w:rsid w:val="00CE6578"/>
    <w:rsid w:val="00CF2429"/>
    <w:rsid w:val="00D067A7"/>
    <w:rsid w:val="00D06C99"/>
    <w:rsid w:val="00D17B00"/>
    <w:rsid w:val="00D17BAA"/>
    <w:rsid w:val="00D27D94"/>
    <w:rsid w:val="00D35064"/>
    <w:rsid w:val="00D503EE"/>
    <w:rsid w:val="00D55DC9"/>
    <w:rsid w:val="00D6261F"/>
    <w:rsid w:val="00D63D84"/>
    <w:rsid w:val="00D6687C"/>
    <w:rsid w:val="00D75AFA"/>
    <w:rsid w:val="00D76D7C"/>
    <w:rsid w:val="00D93D51"/>
    <w:rsid w:val="00DA22FD"/>
    <w:rsid w:val="00DA62D5"/>
    <w:rsid w:val="00DC77AD"/>
    <w:rsid w:val="00DD2D24"/>
    <w:rsid w:val="00DE13B3"/>
    <w:rsid w:val="00DE5D05"/>
    <w:rsid w:val="00DF2D40"/>
    <w:rsid w:val="00E01177"/>
    <w:rsid w:val="00E03079"/>
    <w:rsid w:val="00E10FC0"/>
    <w:rsid w:val="00E13DDF"/>
    <w:rsid w:val="00E240A9"/>
    <w:rsid w:val="00E42EA6"/>
    <w:rsid w:val="00E448F5"/>
    <w:rsid w:val="00E64EBF"/>
    <w:rsid w:val="00E65FC8"/>
    <w:rsid w:val="00E92DD5"/>
    <w:rsid w:val="00E9676F"/>
    <w:rsid w:val="00EB2203"/>
    <w:rsid w:val="00EB7C97"/>
    <w:rsid w:val="00EC1409"/>
    <w:rsid w:val="00EC2EE4"/>
    <w:rsid w:val="00EE507C"/>
    <w:rsid w:val="00EF58FA"/>
    <w:rsid w:val="00F00D23"/>
    <w:rsid w:val="00F04FDB"/>
    <w:rsid w:val="00F13000"/>
    <w:rsid w:val="00F20244"/>
    <w:rsid w:val="00F22568"/>
    <w:rsid w:val="00F428BF"/>
    <w:rsid w:val="00F4313D"/>
    <w:rsid w:val="00F4687A"/>
    <w:rsid w:val="00F524E8"/>
    <w:rsid w:val="00F606DF"/>
    <w:rsid w:val="00F6188E"/>
    <w:rsid w:val="00F65301"/>
    <w:rsid w:val="00F773F4"/>
    <w:rsid w:val="00F8024A"/>
    <w:rsid w:val="00F81DE4"/>
    <w:rsid w:val="00FD6357"/>
    <w:rsid w:val="00FE43CD"/>
    <w:rsid w:val="00FF53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D41D3D"/>
  <w15:docId w15:val="{655982EE-1A33-4BA3-98F5-246D4CCF1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aliases w:val="l1"/>
    <w:basedOn w:val="Normal"/>
    <w:next w:val="Normal"/>
    <w:link w:val="Heading1Char"/>
    <w:uiPriority w:val="9"/>
    <w:qFormat/>
    <w:rsid w:val="00937CAF"/>
    <w:pPr>
      <w:numPr>
        <w:numId w:val="20"/>
      </w:numPr>
      <w:spacing w:after="240" w:line="360" w:lineRule="atLeast"/>
      <w:jc w:val="center"/>
      <w:outlineLvl w:val="0"/>
    </w:pPr>
    <w:rPr>
      <w:b/>
      <w:caps/>
      <w:szCs w:val="20"/>
    </w:rPr>
  </w:style>
  <w:style w:type="paragraph" w:styleId="Heading2">
    <w:name w:val="heading 2"/>
    <w:aliases w:val="l2"/>
    <w:basedOn w:val="Normal"/>
    <w:next w:val="Normal"/>
    <w:link w:val="Heading2Char"/>
    <w:uiPriority w:val="9"/>
    <w:qFormat/>
    <w:rsid w:val="00937CAF"/>
    <w:pPr>
      <w:keepNext/>
      <w:numPr>
        <w:ilvl w:val="1"/>
        <w:numId w:val="20"/>
      </w:numPr>
      <w:spacing w:before="240" w:after="120"/>
      <w:outlineLvl w:val="1"/>
    </w:pPr>
    <w:rPr>
      <w:b/>
      <w:szCs w:val="20"/>
    </w:rPr>
  </w:style>
  <w:style w:type="paragraph" w:styleId="Heading3">
    <w:name w:val="heading 3"/>
    <w:aliases w:val="l3"/>
    <w:basedOn w:val="Heading2"/>
    <w:next w:val="Normal"/>
    <w:link w:val="Heading3Char"/>
    <w:uiPriority w:val="9"/>
    <w:qFormat/>
    <w:rsid w:val="00937CAF"/>
    <w:pPr>
      <w:numPr>
        <w:ilvl w:val="2"/>
      </w:numPr>
      <w:outlineLvl w:val="2"/>
    </w:pPr>
    <w:rPr>
      <w:i/>
    </w:rPr>
  </w:style>
  <w:style w:type="paragraph" w:styleId="Heading4">
    <w:name w:val="heading 4"/>
    <w:aliases w:val="l4"/>
    <w:basedOn w:val="Normal"/>
    <w:next w:val="Normal"/>
    <w:link w:val="Heading4Char"/>
    <w:uiPriority w:val="9"/>
    <w:qFormat/>
    <w:rsid w:val="00937CAF"/>
    <w:pPr>
      <w:keepNext/>
      <w:numPr>
        <w:ilvl w:val="3"/>
        <w:numId w:val="20"/>
      </w:numPr>
      <w:spacing w:before="240" w:after="120"/>
      <w:outlineLvl w:val="3"/>
    </w:pPr>
    <w:rPr>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2919"/>
    <w:rPr>
      <w:rFonts w:ascii="Tahoma" w:hAnsi="Tahoma" w:cs="Tahoma"/>
      <w:sz w:val="16"/>
      <w:szCs w:val="16"/>
    </w:rPr>
  </w:style>
  <w:style w:type="paragraph" w:styleId="Footer">
    <w:name w:val="footer"/>
    <w:basedOn w:val="Normal"/>
    <w:rsid w:val="00C82919"/>
    <w:pPr>
      <w:tabs>
        <w:tab w:val="center" w:pos="4320"/>
        <w:tab w:val="right" w:pos="8640"/>
      </w:tabs>
    </w:pPr>
  </w:style>
  <w:style w:type="character" w:styleId="PageNumber">
    <w:name w:val="page number"/>
    <w:basedOn w:val="DefaultParagraphFont"/>
    <w:rsid w:val="00C82919"/>
  </w:style>
  <w:style w:type="paragraph" w:styleId="Header">
    <w:name w:val="header"/>
    <w:basedOn w:val="Normal"/>
    <w:rsid w:val="005F110C"/>
    <w:pPr>
      <w:tabs>
        <w:tab w:val="center" w:pos="4320"/>
        <w:tab w:val="right" w:pos="8640"/>
      </w:tabs>
    </w:pPr>
  </w:style>
  <w:style w:type="character" w:styleId="CommentReference">
    <w:name w:val="annotation reference"/>
    <w:rsid w:val="000451A2"/>
    <w:rPr>
      <w:sz w:val="16"/>
      <w:szCs w:val="16"/>
    </w:rPr>
  </w:style>
  <w:style w:type="paragraph" w:styleId="CommentText">
    <w:name w:val="annotation text"/>
    <w:basedOn w:val="Normal"/>
    <w:link w:val="CommentTextChar"/>
    <w:rsid w:val="000451A2"/>
    <w:rPr>
      <w:sz w:val="20"/>
      <w:szCs w:val="20"/>
    </w:rPr>
  </w:style>
  <w:style w:type="character" w:customStyle="1" w:styleId="CommentTextChar">
    <w:name w:val="Comment Text Char"/>
    <w:basedOn w:val="DefaultParagraphFont"/>
    <w:link w:val="CommentText"/>
    <w:rsid w:val="000451A2"/>
  </w:style>
  <w:style w:type="paragraph" w:styleId="CommentSubject">
    <w:name w:val="annotation subject"/>
    <w:basedOn w:val="CommentText"/>
    <w:next w:val="CommentText"/>
    <w:link w:val="CommentSubjectChar"/>
    <w:rsid w:val="000451A2"/>
    <w:rPr>
      <w:b/>
      <w:bCs/>
    </w:rPr>
  </w:style>
  <w:style w:type="character" w:customStyle="1" w:styleId="CommentSubjectChar">
    <w:name w:val="Comment Subject Char"/>
    <w:link w:val="CommentSubject"/>
    <w:rsid w:val="000451A2"/>
    <w:rPr>
      <w:b/>
      <w:bCs/>
    </w:rPr>
  </w:style>
  <w:style w:type="character" w:styleId="Hyperlink">
    <w:name w:val="Hyperlink"/>
    <w:rsid w:val="00C17DAD"/>
    <w:rPr>
      <w:color w:val="0000FF"/>
      <w:u w:val="single"/>
    </w:rPr>
  </w:style>
  <w:style w:type="character" w:styleId="FollowedHyperlink">
    <w:name w:val="FollowedHyperlink"/>
    <w:rsid w:val="00694CD0"/>
    <w:rPr>
      <w:color w:val="800080"/>
      <w:u w:val="single"/>
    </w:rPr>
  </w:style>
  <w:style w:type="paragraph" w:customStyle="1" w:styleId="BodyText1">
    <w:name w:val="Body Text1"/>
    <w:basedOn w:val="Normal"/>
    <w:rsid w:val="00CC5535"/>
    <w:pPr>
      <w:spacing w:after="240" w:line="360" w:lineRule="atLeast"/>
      <w:ind w:firstLine="720"/>
    </w:pPr>
    <w:rPr>
      <w:szCs w:val="20"/>
    </w:rPr>
  </w:style>
  <w:style w:type="paragraph" w:customStyle="1" w:styleId="TableTitle">
    <w:name w:val="Table Title"/>
    <w:basedOn w:val="Normal"/>
    <w:rsid w:val="00CC5535"/>
    <w:pPr>
      <w:keepNext/>
      <w:keepLines/>
      <w:spacing w:before="240" w:after="240"/>
      <w:ind w:left="1260" w:hanging="1260"/>
    </w:pPr>
    <w:rPr>
      <w:b/>
      <w:szCs w:val="20"/>
    </w:rPr>
  </w:style>
  <w:style w:type="table" w:styleId="TableGrid">
    <w:name w:val="Table Grid"/>
    <w:basedOn w:val="TableNormal"/>
    <w:uiPriority w:val="39"/>
    <w:rsid w:val="00CC5535"/>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5535"/>
    <w:pPr>
      <w:spacing w:after="160" w:line="259" w:lineRule="auto"/>
      <w:ind w:left="720"/>
      <w:contextualSpacing/>
    </w:pPr>
    <w:rPr>
      <w:rFonts w:asciiTheme="minorHAnsi" w:eastAsiaTheme="minorHAnsi" w:hAnsiTheme="minorHAnsi" w:cstheme="minorBidi"/>
      <w:sz w:val="22"/>
      <w:szCs w:val="22"/>
    </w:rPr>
  </w:style>
  <w:style w:type="character" w:customStyle="1" w:styleId="Heading1Char">
    <w:name w:val="Heading 1 Char"/>
    <w:aliases w:val="l1 Char"/>
    <w:basedOn w:val="DefaultParagraphFont"/>
    <w:link w:val="Heading1"/>
    <w:uiPriority w:val="9"/>
    <w:rsid w:val="00937CAF"/>
    <w:rPr>
      <w:b/>
      <w:caps/>
      <w:sz w:val="24"/>
    </w:rPr>
  </w:style>
  <w:style w:type="character" w:customStyle="1" w:styleId="Heading2Char">
    <w:name w:val="Heading 2 Char"/>
    <w:aliases w:val="l2 Char"/>
    <w:basedOn w:val="DefaultParagraphFont"/>
    <w:link w:val="Heading2"/>
    <w:uiPriority w:val="9"/>
    <w:rsid w:val="00937CAF"/>
    <w:rPr>
      <w:b/>
      <w:sz w:val="24"/>
    </w:rPr>
  </w:style>
  <w:style w:type="character" w:customStyle="1" w:styleId="Heading3Char">
    <w:name w:val="Heading 3 Char"/>
    <w:aliases w:val="l3 Char"/>
    <w:basedOn w:val="DefaultParagraphFont"/>
    <w:link w:val="Heading3"/>
    <w:uiPriority w:val="9"/>
    <w:rsid w:val="00937CAF"/>
    <w:rPr>
      <w:b/>
      <w:i/>
      <w:sz w:val="24"/>
    </w:rPr>
  </w:style>
  <w:style w:type="character" w:customStyle="1" w:styleId="Heading4Char">
    <w:name w:val="Heading 4 Char"/>
    <w:aliases w:val="l4 Char"/>
    <w:basedOn w:val="DefaultParagraphFont"/>
    <w:link w:val="Heading4"/>
    <w:uiPriority w:val="9"/>
    <w:rsid w:val="00937CAF"/>
    <w:rPr>
      <w:i/>
      <w:sz w:val="24"/>
    </w:rPr>
  </w:style>
  <w:style w:type="character" w:styleId="FootnoteReference">
    <w:name w:val="footnote reference"/>
    <w:uiPriority w:val="99"/>
    <w:rsid w:val="00937CAF"/>
    <w:rPr>
      <w:rFonts w:ascii="Times New Roman" w:hAnsi="Times New Roman"/>
      <w:position w:val="0"/>
      <w:sz w:val="20"/>
      <w:szCs w:val="20"/>
      <w:vertAlign w:val="superscript"/>
    </w:rPr>
  </w:style>
  <w:style w:type="paragraph" w:styleId="FootnoteText">
    <w:name w:val="footnote text"/>
    <w:basedOn w:val="Normal"/>
    <w:link w:val="FootnoteTextChar"/>
    <w:uiPriority w:val="99"/>
    <w:rsid w:val="00937CAF"/>
    <w:pPr>
      <w:ind w:left="274" w:hanging="274"/>
    </w:pPr>
    <w:rPr>
      <w:sz w:val="20"/>
      <w:szCs w:val="20"/>
    </w:rPr>
  </w:style>
  <w:style w:type="character" w:customStyle="1" w:styleId="FootnoteTextChar">
    <w:name w:val="Footnote Text Char"/>
    <w:basedOn w:val="DefaultParagraphFont"/>
    <w:link w:val="FootnoteText"/>
    <w:uiPriority w:val="99"/>
    <w:rsid w:val="00937CAF"/>
  </w:style>
  <w:style w:type="numbering" w:customStyle="1" w:styleId="RptFormat2">
    <w:name w:val="RptFormat2"/>
    <w:rsid w:val="00937CAF"/>
    <w:pPr>
      <w:numPr>
        <w:numId w:val="19"/>
      </w:numPr>
    </w:pPr>
  </w:style>
  <w:style w:type="paragraph" w:styleId="Revision">
    <w:name w:val="Revision"/>
    <w:hidden/>
    <w:uiPriority w:val="99"/>
    <w:semiHidden/>
    <w:rsid w:val="009424F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27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seo.org/members-stat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2EF67-064D-4B7C-88E0-71A1B7EA9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2458</Words>
  <Characters>13913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Instructions for the Supporting Statement</vt:lpstr>
    </vt:vector>
  </TitlesOfParts>
  <Company>Department of Energy</Company>
  <LinksUpToDate>false</LinksUpToDate>
  <CharactersWithSpaces>16339</CharactersWithSpaces>
  <SharedDoc>false</SharedDoc>
  <HLinks>
    <vt:vector size="18" baseType="variant">
      <vt:variant>
        <vt:i4>524362</vt:i4>
      </vt:variant>
      <vt:variant>
        <vt:i4>3</vt:i4>
      </vt:variant>
      <vt:variant>
        <vt:i4>0</vt:i4>
      </vt:variant>
      <vt:variant>
        <vt:i4>5</vt:i4>
      </vt:variant>
      <vt:variant>
        <vt:lpwstr>http://www.gpo.gov/fdsys/pkg/FR-</vt:lpwstr>
      </vt:variant>
      <vt:variant>
        <vt:lpwstr/>
      </vt:variant>
      <vt:variant>
        <vt:i4>8192109</vt:i4>
      </vt:variant>
      <vt:variant>
        <vt:i4>0</vt:i4>
      </vt:variant>
      <vt:variant>
        <vt:i4>0</vt:i4>
      </vt:variant>
      <vt:variant>
        <vt:i4>5</vt:i4>
      </vt:variant>
      <vt:variant>
        <vt:lpwstr>https://www.law.cornell.edu/uscode/text/42/chapter-149/subchapter-IX/part-A</vt:lpwstr>
      </vt:variant>
      <vt:variant>
        <vt:lpwstr/>
      </vt:variant>
      <vt:variant>
        <vt:i4>6815866</vt:i4>
      </vt:variant>
      <vt:variant>
        <vt:i4>0</vt:i4>
      </vt:variant>
      <vt:variant>
        <vt:i4>0</vt:i4>
      </vt:variant>
      <vt:variant>
        <vt:i4>5</vt:i4>
      </vt:variant>
      <vt:variant>
        <vt:lpwstr>http://www.bls.gov/oes/home.htm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the Supporting Statement</dc:title>
  <dc:creator>BRYANTL</dc:creator>
  <cp:lastModifiedBy>Scott, Troy</cp:lastModifiedBy>
  <cp:revision>3</cp:revision>
  <cp:lastPrinted>2008-02-29T15:21:00Z</cp:lastPrinted>
  <dcterms:created xsi:type="dcterms:W3CDTF">2017-01-05T20:37:00Z</dcterms:created>
  <dcterms:modified xsi:type="dcterms:W3CDTF">2017-01-05T20:38:00Z</dcterms:modified>
</cp:coreProperties>
</file>