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68A94"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14:paraId="1EBF075D" w14:textId="77777777" w:rsidR="00A96B65" w:rsidRDefault="00E864B3" w:rsidP="00570861">
      <w:pPr>
        <w:spacing w:after="0"/>
        <w:jc w:val="center"/>
        <w:rPr>
          <w:rFonts w:ascii="Times New Roman" w:hAnsi="Times New Roman" w:cs="Times New Roman"/>
          <w:b/>
          <w:sz w:val="24"/>
          <w:szCs w:val="24"/>
        </w:rPr>
      </w:pPr>
      <w:r>
        <w:rPr>
          <w:rFonts w:ascii="Times New Roman" w:hAnsi="Times New Roman" w:cs="Times New Roman"/>
          <w:b/>
          <w:sz w:val="24"/>
          <w:szCs w:val="24"/>
        </w:rPr>
        <w:t>FERC-725</w:t>
      </w:r>
      <w:r w:rsidR="006C1F91">
        <w:rPr>
          <w:rFonts w:ascii="Times New Roman" w:hAnsi="Times New Roman" w:cs="Times New Roman"/>
          <w:b/>
          <w:sz w:val="24"/>
          <w:szCs w:val="24"/>
        </w:rPr>
        <w:t>G1</w:t>
      </w:r>
      <w:r w:rsidR="00570861">
        <w:rPr>
          <w:rFonts w:ascii="Times New Roman" w:hAnsi="Times New Roman" w:cs="Times New Roman"/>
          <w:b/>
          <w:sz w:val="24"/>
          <w:szCs w:val="24"/>
        </w:rPr>
        <w:t>, Mandatory Reliability Sta</w:t>
      </w:r>
      <w:r w:rsidR="00BD7446">
        <w:rPr>
          <w:rFonts w:ascii="Times New Roman" w:hAnsi="Times New Roman" w:cs="Times New Roman"/>
          <w:b/>
          <w:sz w:val="24"/>
          <w:szCs w:val="24"/>
        </w:rPr>
        <w:t xml:space="preserve">ndards for </w:t>
      </w:r>
      <w:r w:rsidR="006C1F91">
        <w:rPr>
          <w:rFonts w:ascii="Times New Roman" w:hAnsi="Times New Roman" w:cs="Times New Roman"/>
          <w:b/>
          <w:sz w:val="24"/>
          <w:szCs w:val="24"/>
        </w:rPr>
        <w:t>PRC-004-3</w:t>
      </w:r>
    </w:p>
    <w:p w14:paraId="218A4C16" w14:textId="77777777" w:rsidR="00DE23E3" w:rsidRDefault="003B3B61" w:rsidP="003B3B61">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 </w:t>
      </w:r>
      <w:r w:rsidR="006C1F91">
        <w:rPr>
          <w:rFonts w:ascii="Times New Roman" w:hAnsi="Times New Roman" w:cs="Times New Roman"/>
          <w:sz w:val="24"/>
          <w:szCs w:val="24"/>
        </w:rPr>
        <w:t>Order</w:t>
      </w:r>
      <w:r w:rsidR="0002567F" w:rsidRPr="00CE2CDA">
        <w:rPr>
          <w:rFonts w:ascii="Times New Roman" w:hAnsi="Times New Roman" w:cs="Times New Roman"/>
          <w:sz w:val="24"/>
          <w:szCs w:val="24"/>
        </w:rPr>
        <w:t xml:space="preserve"> </w:t>
      </w:r>
      <w:r w:rsidR="00570861" w:rsidRPr="009430EF">
        <w:rPr>
          <w:rFonts w:ascii="Times New Roman" w:hAnsi="Times New Roman" w:cs="Times New Roman"/>
          <w:sz w:val="24"/>
          <w:szCs w:val="24"/>
        </w:rPr>
        <w:t>in</w:t>
      </w:r>
      <w:r w:rsidR="006C1F91">
        <w:rPr>
          <w:rFonts w:ascii="Times New Roman" w:hAnsi="Times New Roman" w:cs="Times New Roman"/>
          <w:sz w:val="24"/>
          <w:szCs w:val="24"/>
        </w:rPr>
        <w:t xml:space="preserve"> Docket Number RD14-14</w:t>
      </w:r>
      <w:r w:rsidR="00570861">
        <w:rPr>
          <w:rFonts w:ascii="Times New Roman" w:hAnsi="Times New Roman" w:cs="Times New Roman"/>
          <w:sz w:val="24"/>
          <w:szCs w:val="24"/>
        </w:rPr>
        <w:t>-000</w:t>
      </w:r>
      <w:r w:rsidR="00BD7446">
        <w:rPr>
          <w:rFonts w:ascii="Times New Roman" w:hAnsi="Times New Roman" w:cs="Times New Roman"/>
          <w:sz w:val="24"/>
          <w:szCs w:val="24"/>
        </w:rPr>
        <w:t xml:space="preserve"> </w:t>
      </w:r>
    </w:p>
    <w:p w14:paraId="51959E8A" w14:textId="77777777" w:rsidR="003B3B61" w:rsidRDefault="00BD7446" w:rsidP="003B3B61">
      <w:pPr>
        <w:spacing w:after="0"/>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issued</w:t>
      </w:r>
      <w:proofErr w:type="gramEnd"/>
      <w:r>
        <w:rPr>
          <w:rFonts w:ascii="Times New Roman" w:hAnsi="Times New Roman" w:cs="Times New Roman"/>
          <w:sz w:val="24"/>
          <w:szCs w:val="24"/>
        </w:rPr>
        <w:t xml:space="preserve"> on </w:t>
      </w:r>
      <w:r w:rsidR="006234A1">
        <w:rPr>
          <w:rFonts w:ascii="Times New Roman" w:hAnsi="Times New Roman" w:cs="Times New Roman"/>
          <w:sz w:val="24"/>
          <w:szCs w:val="24"/>
        </w:rPr>
        <w:t>4</w:t>
      </w:r>
      <w:r>
        <w:rPr>
          <w:rFonts w:ascii="Times New Roman" w:hAnsi="Times New Roman" w:cs="Times New Roman"/>
          <w:sz w:val="24"/>
          <w:szCs w:val="24"/>
        </w:rPr>
        <w:t>/</w:t>
      </w:r>
      <w:r w:rsidR="006234A1">
        <w:rPr>
          <w:rFonts w:ascii="Times New Roman" w:hAnsi="Times New Roman" w:cs="Times New Roman"/>
          <w:sz w:val="24"/>
          <w:szCs w:val="24"/>
        </w:rPr>
        <w:t>16</w:t>
      </w:r>
      <w:r w:rsidR="000E25B2">
        <w:rPr>
          <w:rFonts w:ascii="Times New Roman" w:hAnsi="Times New Roman" w:cs="Times New Roman"/>
          <w:sz w:val="24"/>
          <w:szCs w:val="24"/>
        </w:rPr>
        <w:t>/2015</w:t>
      </w:r>
      <w:r w:rsidR="003B3B61">
        <w:rPr>
          <w:rFonts w:ascii="Times New Roman" w:hAnsi="Times New Roman" w:cs="Times New Roman"/>
          <w:sz w:val="24"/>
          <w:szCs w:val="24"/>
        </w:rPr>
        <w:t>)</w:t>
      </w:r>
    </w:p>
    <w:p w14:paraId="73EFF6F6" w14:textId="77777777" w:rsidR="00FD66F1" w:rsidRDefault="00FD66F1" w:rsidP="00F8440A">
      <w:pPr>
        <w:spacing w:after="0"/>
        <w:rPr>
          <w:rFonts w:ascii="Times New Roman" w:hAnsi="Times New Roman" w:cs="Times New Roman"/>
          <w:sz w:val="24"/>
          <w:szCs w:val="24"/>
        </w:rPr>
      </w:pPr>
    </w:p>
    <w:p w14:paraId="57E22B9C" w14:textId="77777777"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The Federal Energy Regulatory Commission (Commission or FERC) requests that the Office of Management a</w:t>
      </w:r>
      <w:r w:rsidR="00B27783">
        <w:rPr>
          <w:rFonts w:ascii="Times New Roman" w:hAnsi="Times New Roman" w:cs="Times New Roman"/>
          <w:sz w:val="24"/>
          <w:szCs w:val="24"/>
        </w:rPr>
        <w:t xml:space="preserve">nd Budget (OMB) review </w:t>
      </w:r>
      <w:r w:rsidR="00BD7446">
        <w:rPr>
          <w:rFonts w:ascii="Times New Roman" w:hAnsi="Times New Roman" w:cs="Times New Roman"/>
          <w:sz w:val="24"/>
          <w:szCs w:val="24"/>
        </w:rPr>
        <w:t>FERC-725</w:t>
      </w:r>
      <w:r w:rsidR="006C1F91">
        <w:rPr>
          <w:rFonts w:ascii="Times New Roman" w:hAnsi="Times New Roman" w:cs="Times New Roman"/>
          <w:sz w:val="24"/>
          <w:szCs w:val="24"/>
        </w:rPr>
        <w:t>G</w:t>
      </w:r>
      <w:r w:rsidR="006234A1">
        <w:rPr>
          <w:rFonts w:ascii="Times New Roman" w:hAnsi="Times New Roman" w:cs="Times New Roman"/>
          <w:sz w:val="24"/>
          <w:szCs w:val="24"/>
        </w:rPr>
        <w:t>1</w:t>
      </w:r>
      <w:r w:rsidR="00570861">
        <w:rPr>
          <w:rFonts w:ascii="Times New Roman" w:hAnsi="Times New Roman" w:cs="Times New Roman"/>
          <w:sz w:val="24"/>
          <w:szCs w:val="24"/>
        </w:rPr>
        <w:t xml:space="preserve"> (Mandatory Reliability Standard</w:t>
      </w:r>
      <w:r w:rsidR="008D6E39">
        <w:rPr>
          <w:rFonts w:ascii="Times New Roman" w:hAnsi="Times New Roman" w:cs="Times New Roman"/>
          <w:sz w:val="24"/>
          <w:szCs w:val="24"/>
        </w:rPr>
        <w:t xml:space="preserve">s for the Bulk-Power System: </w:t>
      </w:r>
      <w:r w:rsidR="009F3297">
        <w:rPr>
          <w:rFonts w:ascii="Times New Roman" w:hAnsi="Times New Roman" w:cs="Times New Roman"/>
          <w:sz w:val="24"/>
          <w:szCs w:val="24"/>
        </w:rPr>
        <w:t>PRC</w:t>
      </w:r>
      <w:r w:rsidR="008D6E39" w:rsidRPr="005F0306">
        <w:rPr>
          <w:rStyle w:val="FootnoteReference"/>
          <w:rFonts w:ascii="Times New Roman" w:hAnsi="Times New Roman" w:cs="Times New Roman"/>
          <w:sz w:val="24"/>
          <w:szCs w:val="24"/>
          <w:vertAlign w:val="superscript"/>
        </w:rPr>
        <w:footnoteReference w:id="1"/>
      </w:r>
      <w:r w:rsidR="008D6E39">
        <w:rPr>
          <w:rFonts w:ascii="Times New Roman" w:hAnsi="Times New Roman" w:cs="Times New Roman"/>
          <w:sz w:val="24"/>
          <w:szCs w:val="24"/>
        </w:rPr>
        <w:t xml:space="preserve"> </w:t>
      </w:r>
      <w:r w:rsidR="00570861">
        <w:rPr>
          <w:rFonts w:ascii="Times New Roman" w:hAnsi="Times New Roman" w:cs="Times New Roman"/>
          <w:sz w:val="24"/>
          <w:szCs w:val="24"/>
        </w:rPr>
        <w:t>Reliability Standards</w:t>
      </w:r>
      <w:r w:rsidR="00B27783">
        <w:rPr>
          <w:rFonts w:ascii="Times New Roman" w:hAnsi="Times New Roman" w:cs="Times New Roman"/>
          <w:sz w:val="24"/>
          <w:szCs w:val="24"/>
        </w:rPr>
        <w:t>)</w:t>
      </w:r>
      <w:r w:rsidR="00570861">
        <w:rPr>
          <w:rFonts w:ascii="Times New Roman" w:hAnsi="Times New Roman" w:cs="Times New Roman"/>
          <w:sz w:val="24"/>
          <w:szCs w:val="24"/>
        </w:rPr>
        <w:t>.</w:t>
      </w:r>
      <w:r w:rsidRPr="00F8440A">
        <w:rPr>
          <w:rFonts w:ascii="Times New Roman" w:hAnsi="Times New Roman" w:cs="Times New Roman"/>
          <w:sz w:val="24"/>
          <w:szCs w:val="24"/>
        </w:rPr>
        <w:t xml:space="preserve"> </w:t>
      </w:r>
      <w:r w:rsidR="00570861">
        <w:rPr>
          <w:rFonts w:ascii="Times New Roman" w:hAnsi="Times New Roman" w:cs="Times New Roman"/>
          <w:sz w:val="24"/>
          <w:szCs w:val="24"/>
        </w:rPr>
        <w:t xml:space="preserve"> The requirements for this information collection are </w:t>
      </w:r>
      <w:r w:rsidR="00F55699">
        <w:rPr>
          <w:rFonts w:ascii="Times New Roman" w:hAnsi="Times New Roman" w:cs="Times New Roman"/>
          <w:sz w:val="24"/>
          <w:szCs w:val="24"/>
        </w:rPr>
        <w:t xml:space="preserve">referenced in </w:t>
      </w:r>
      <w:r w:rsidR="00570861">
        <w:rPr>
          <w:rFonts w:ascii="Times New Roman" w:hAnsi="Times New Roman" w:cs="Times New Roman"/>
          <w:sz w:val="24"/>
          <w:szCs w:val="24"/>
        </w:rPr>
        <w:t>the Commission’s regulations at 18 Code of Federal Regulations (CFR) Part 40.</w:t>
      </w:r>
    </w:p>
    <w:p w14:paraId="1AAFDD69" w14:textId="77777777"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ab/>
      </w:r>
    </w:p>
    <w:p w14:paraId="67CDC189" w14:textId="77777777" w:rsidR="004B1C0F" w:rsidRDefault="00657A47" w:rsidP="00F8440A">
      <w:pPr>
        <w:spacing w:after="0"/>
        <w:rPr>
          <w:rFonts w:ascii="Times New Roman" w:hAnsi="Times New Roman" w:cs="Times New Roman"/>
          <w:sz w:val="24"/>
          <w:szCs w:val="24"/>
        </w:rPr>
      </w:pPr>
      <w:r>
        <w:rPr>
          <w:rFonts w:ascii="Times New Roman" w:hAnsi="Times New Roman" w:cs="Times New Roman"/>
          <w:sz w:val="24"/>
          <w:szCs w:val="24"/>
        </w:rPr>
        <w:t xml:space="preserve">In this </w:t>
      </w:r>
      <w:r w:rsidR="006C1F91">
        <w:rPr>
          <w:rFonts w:ascii="Times New Roman" w:hAnsi="Times New Roman" w:cs="Times New Roman"/>
          <w:sz w:val="24"/>
          <w:szCs w:val="24"/>
        </w:rPr>
        <w:t>order</w:t>
      </w:r>
      <w:r w:rsidR="00F8440A" w:rsidRPr="00F8440A">
        <w:rPr>
          <w:rFonts w:ascii="Times New Roman" w:hAnsi="Times New Roman" w:cs="Times New Roman"/>
          <w:sz w:val="24"/>
          <w:szCs w:val="24"/>
        </w:rPr>
        <w:t>, the Commi</w:t>
      </w:r>
      <w:r>
        <w:rPr>
          <w:rFonts w:ascii="Times New Roman" w:hAnsi="Times New Roman" w:cs="Times New Roman"/>
          <w:sz w:val="24"/>
          <w:szCs w:val="24"/>
        </w:rPr>
        <w:t xml:space="preserve">ssion </w:t>
      </w:r>
      <w:r w:rsidR="006234A1">
        <w:rPr>
          <w:rFonts w:ascii="Times New Roman" w:hAnsi="Times New Roman" w:cs="Times New Roman"/>
          <w:sz w:val="24"/>
          <w:szCs w:val="24"/>
        </w:rPr>
        <w:t>proposes</w:t>
      </w:r>
      <w:r w:rsidR="00BD7446" w:rsidRPr="00BD7446">
        <w:rPr>
          <w:rFonts w:ascii="Times New Roman" w:hAnsi="Times New Roman" w:cs="Times New Roman"/>
          <w:sz w:val="24"/>
          <w:szCs w:val="24"/>
        </w:rPr>
        <w:t xml:space="preserve"> </w:t>
      </w:r>
      <w:r w:rsidR="00367D87">
        <w:rPr>
          <w:rFonts w:ascii="Times New Roman" w:hAnsi="Times New Roman" w:cs="Times New Roman"/>
          <w:sz w:val="24"/>
          <w:szCs w:val="24"/>
        </w:rPr>
        <w:t xml:space="preserve">to approve </w:t>
      </w:r>
      <w:r w:rsidR="00047471">
        <w:rPr>
          <w:rFonts w:ascii="Times New Roman" w:hAnsi="Times New Roman" w:cs="Times New Roman"/>
          <w:sz w:val="24"/>
          <w:szCs w:val="24"/>
        </w:rPr>
        <w:t>a revised</w:t>
      </w:r>
      <w:r w:rsidR="00BD7446" w:rsidRPr="00BD7446">
        <w:rPr>
          <w:rFonts w:ascii="Times New Roman" w:hAnsi="Times New Roman" w:cs="Times New Roman"/>
          <w:sz w:val="24"/>
          <w:szCs w:val="24"/>
        </w:rPr>
        <w:t xml:space="preserve"> Reliability Standard</w:t>
      </w:r>
      <w:r w:rsidR="006E2F34">
        <w:rPr>
          <w:rFonts w:ascii="Times New Roman" w:hAnsi="Times New Roman" w:cs="Times New Roman"/>
          <w:sz w:val="24"/>
          <w:szCs w:val="24"/>
        </w:rPr>
        <w:t xml:space="preserve"> PRC-004</w:t>
      </w:r>
      <w:r w:rsidR="00047471">
        <w:rPr>
          <w:rFonts w:ascii="Times New Roman" w:hAnsi="Times New Roman" w:cs="Times New Roman"/>
          <w:sz w:val="24"/>
          <w:szCs w:val="24"/>
        </w:rPr>
        <w:t>-</w:t>
      </w:r>
      <w:r w:rsidR="006E2F34">
        <w:rPr>
          <w:rFonts w:ascii="Times New Roman" w:hAnsi="Times New Roman" w:cs="Times New Roman"/>
          <w:sz w:val="24"/>
          <w:szCs w:val="24"/>
        </w:rPr>
        <w:t>3</w:t>
      </w:r>
      <w:r w:rsidR="00047471" w:rsidRPr="008E62C3">
        <w:rPr>
          <w:rStyle w:val="FootnoteReference"/>
          <w:rFonts w:ascii="Times New Roman" w:hAnsi="Times New Roman" w:cs="Times New Roman"/>
          <w:sz w:val="24"/>
          <w:szCs w:val="24"/>
          <w:vertAlign w:val="superscript"/>
        </w:rPr>
        <w:footnoteReference w:id="2"/>
      </w:r>
      <w:r w:rsidR="00047471">
        <w:rPr>
          <w:rFonts w:ascii="Times New Roman" w:hAnsi="Times New Roman" w:cs="Times New Roman"/>
          <w:sz w:val="24"/>
          <w:szCs w:val="24"/>
        </w:rPr>
        <w:t xml:space="preserve">.  </w:t>
      </w:r>
      <w:r w:rsidR="00C90C98">
        <w:rPr>
          <w:rFonts w:ascii="Times New Roman" w:hAnsi="Times New Roman" w:cs="Times New Roman"/>
          <w:sz w:val="24"/>
          <w:szCs w:val="24"/>
        </w:rPr>
        <w:t xml:space="preserve">The </w:t>
      </w:r>
      <w:r w:rsidR="008E62C3">
        <w:rPr>
          <w:rFonts w:ascii="Times New Roman" w:hAnsi="Times New Roman" w:cs="Times New Roman"/>
          <w:sz w:val="24"/>
          <w:szCs w:val="24"/>
        </w:rPr>
        <w:t xml:space="preserve">Reliability Standard </w:t>
      </w:r>
      <w:r w:rsidR="004B1C0F" w:rsidRPr="004B1C0F">
        <w:rPr>
          <w:rFonts w:ascii="Times New Roman" w:hAnsi="Times New Roman" w:cs="Times New Roman"/>
          <w:sz w:val="24"/>
          <w:szCs w:val="24"/>
        </w:rPr>
        <w:t>requires transmission owners, generator owners, and distribution providers to identify and correct causes of misoperations of certain protection systems</w:t>
      </w:r>
      <w:r w:rsidR="00955748">
        <w:rPr>
          <w:rFonts w:ascii="Times New Roman" w:hAnsi="Times New Roman" w:cs="Times New Roman"/>
          <w:sz w:val="24"/>
          <w:szCs w:val="24"/>
        </w:rPr>
        <w:t xml:space="preserve">.  </w:t>
      </w:r>
      <w:r w:rsidR="00047471">
        <w:rPr>
          <w:rFonts w:ascii="Times New Roman" w:hAnsi="Times New Roman" w:cs="Times New Roman"/>
          <w:sz w:val="24"/>
          <w:szCs w:val="24"/>
        </w:rPr>
        <w:t>Additionally, the Commission approves</w:t>
      </w:r>
      <w:r w:rsidR="004B1C0F">
        <w:rPr>
          <w:rFonts w:ascii="Times New Roman" w:hAnsi="Times New Roman" w:cs="Times New Roman"/>
          <w:sz w:val="24"/>
          <w:szCs w:val="24"/>
        </w:rPr>
        <w:t>:</w:t>
      </w:r>
    </w:p>
    <w:p w14:paraId="5B868E0B" w14:textId="77777777" w:rsidR="00535D48" w:rsidRDefault="004B1C0F" w:rsidP="004B1C0F">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NERC’s implementation plan for Reliability Standard PRC-004-3</w:t>
      </w:r>
      <w:r w:rsidR="00FB3764">
        <w:rPr>
          <w:rFonts w:ascii="Times New Roman" w:hAnsi="Times New Roman" w:cs="Times New Roman"/>
          <w:sz w:val="24"/>
          <w:szCs w:val="24"/>
        </w:rPr>
        <w:t>;</w:t>
      </w:r>
    </w:p>
    <w:p w14:paraId="54041DB4" w14:textId="77777777" w:rsidR="004B1C0F" w:rsidRDefault="004B1C0F" w:rsidP="004B1C0F">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The retirement of Reliability Standards PRC-004-2.1a, PRC-003-1;</w:t>
      </w:r>
    </w:p>
    <w:p w14:paraId="3CF456D6" w14:textId="77777777" w:rsidR="004B1C0F" w:rsidRDefault="00FB3764" w:rsidP="004B1C0F">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The addition of the terms “Composite Protection System” and “</w:t>
      </w:r>
      <w:proofErr w:type="spellStart"/>
      <w:r>
        <w:rPr>
          <w:rFonts w:ascii="Times New Roman" w:hAnsi="Times New Roman" w:cs="Times New Roman"/>
          <w:sz w:val="24"/>
          <w:szCs w:val="24"/>
        </w:rPr>
        <w:t>Misoperation</w:t>
      </w:r>
      <w:proofErr w:type="spellEnd"/>
      <w:r>
        <w:rPr>
          <w:rFonts w:ascii="Times New Roman" w:hAnsi="Times New Roman" w:cs="Times New Roman"/>
          <w:sz w:val="24"/>
          <w:szCs w:val="24"/>
        </w:rPr>
        <w:t>” to the NERC glossary; and</w:t>
      </w:r>
    </w:p>
    <w:p w14:paraId="04B41E6C" w14:textId="77777777" w:rsidR="00FB3764" w:rsidRPr="004B1C0F" w:rsidRDefault="00FB3764" w:rsidP="004B1C0F">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The Proposed VSL designations for the Reliability Standard PRC-004-3.</w:t>
      </w:r>
    </w:p>
    <w:p w14:paraId="0CFFBE13" w14:textId="77777777" w:rsidR="008E62C3" w:rsidRDefault="008E62C3" w:rsidP="00F8440A">
      <w:pPr>
        <w:spacing w:after="0"/>
        <w:rPr>
          <w:rFonts w:ascii="Times New Roman" w:hAnsi="Times New Roman" w:cs="Times New Roman"/>
          <w:sz w:val="24"/>
          <w:szCs w:val="24"/>
        </w:rPr>
      </w:pPr>
    </w:p>
    <w:p w14:paraId="4A2B9227" w14:textId="77777777" w:rsidR="00654786" w:rsidRDefault="002C5F61" w:rsidP="00F8440A">
      <w:pPr>
        <w:spacing w:after="0"/>
        <w:rPr>
          <w:rFonts w:ascii="Times New Roman" w:hAnsi="Times New Roman" w:cs="Times New Roman"/>
          <w:sz w:val="24"/>
          <w:szCs w:val="24"/>
        </w:rPr>
      </w:pPr>
      <w:r w:rsidRPr="007F6A0F">
        <w:rPr>
          <w:rFonts w:ascii="Times New Roman" w:hAnsi="Times New Roman" w:cs="Times New Roman"/>
          <w:sz w:val="24"/>
          <w:szCs w:val="24"/>
        </w:rPr>
        <w:t>The</w:t>
      </w:r>
      <w:r w:rsidR="008E62C3" w:rsidRPr="002C5F61">
        <w:rPr>
          <w:rFonts w:ascii="Times New Roman" w:hAnsi="Times New Roman" w:cs="Times New Roman"/>
          <w:sz w:val="24"/>
          <w:szCs w:val="24"/>
        </w:rPr>
        <w:t xml:space="preserve"> existing information collection requirements in the </w:t>
      </w:r>
      <w:r w:rsidR="00955748" w:rsidRPr="002C5F61">
        <w:rPr>
          <w:rFonts w:ascii="Times New Roman" w:hAnsi="Times New Roman" w:cs="Times New Roman"/>
          <w:sz w:val="24"/>
          <w:szCs w:val="24"/>
        </w:rPr>
        <w:t>currently-</w:t>
      </w:r>
      <w:r w:rsidR="008E62C3" w:rsidRPr="002C5F61">
        <w:rPr>
          <w:rFonts w:ascii="Times New Roman" w:hAnsi="Times New Roman" w:cs="Times New Roman"/>
          <w:sz w:val="24"/>
          <w:szCs w:val="24"/>
        </w:rPr>
        <w:t xml:space="preserve">approved </w:t>
      </w:r>
      <w:r w:rsidRPr="007F6A0F">
        <w:rPr>
          <w:rFonts w:ascii="Times New Roman" w:hAnsi="Times New Roman" w:cs="Times New Roman"/>
          <w:sz w:val="24"/>
          <w:szCs w:val="24"/>
        </w:rPr>
        <w:t xml:space="preserve">family of PRC </w:t>
      </w:r>
      <w:r w:rsidR="008E62C3" w:rsidRPr="002C5F61">
        <w:rPr>
          <w:rFonts w:ascii="Times New Roman" w:hAnsi="Times New Roman" w:cs="Times New Roman"/>
          <w:sz w:val="24"/>
          <w:szCs w:val="24"/>
        </w:rPr>
        <w:t>Reliability Standard</w:t>
      </w:r>
      <w:r w:rsidRPr="007F6A0F">
        <w:rPr>
          <w:rFonts w:ascii="Times New Roman" w:hAnsi="Times New Roman" w:cs="Times New Roman"/>
          <w:sz w:val="24"/>
          <w:szCs w:val="24"/>
        </w:rPr>
        <w:t>s</w:t>
      </w:r>
      <w:r w:rsidR="005253CD">
        <w:rPr>
          <w:rFonts w:ascii="Times New Roman" w:hAnsi="Times New Roman" w:cs="Times New Roman"/>
          <w:sz w:val="24"/>
          <w:szCs w:val="24"/>
        </w:rPr>
        <w:t>,</w:t>
      </w:r>
      <w:r w:rsidR="00C233E7" w:rsidRPr="002C5F61">
        <w:rPr>
          <w:rFonts w:ascii="Times New Roman" w:hAnsi="Times New Roman" w:cs="Times New Roman"/>
          <w:sz w:val="24"/>
          <w:szCs w:val="24"/>
        </w:rPr>
        <w:t xml:space="preserve"> </w:t>
      </w:r>
      <w:r w:rsidR="00C62B0C">
        <w:rPr>
          <w:rFonts w:ascii="Times New Roman" w:hAnsi="Times New Roman" w:cs="Times New Roman"/>
          <w:sz w:val="24"/>
          <w:szCs w:val="24"/>
        </w:rPr>
        <w:t xml:space="preserve">which are </w:t>
      </w:r>
      <w:r w:rsidR="005253CD">
        <w:rPr>
          <w:rFonts w:ascii="Times New Roman" w:hAnsi="Times New Roman" w:cs="Times New Roman"/>
          <w:sz w:val="24"/>
          <w:szCs w:val="24"/>
        </w:rPr>
        <w:t xml:space="preserve">in place before </w:t>
      </w:r>
      <w:r w:rsidR="00C62B0C">
        <w:rPr>
          <w:rFonts w:ascii="Times New Roman" w:hAnsi="Times New Roman" w:cs="Times New Roman"/>
          <w:sz w:val="24"/>
          <w:szCs w:val="24"/>
        </w:rPr>
        <w:t xml:space="preserve">implementation of </w:t>
      </w:r>
      <w:r w:rsidR="005253CD">
        <w:rPr>
          <w:rFonts w:ascii="Times New Roman" w:hAnsi="Times New Roman" w:cs="Times New Roman"/>
          <w:sz w:val="24"/>
          <w:szCs w:val="24"/>
        </w:rPr>
        <w:t xml:space="preserve">this </w:t>
      </w:r>
      <w:r w:rsidR="008874F5">
        <w:rPr>
          <w:rFonts w:ascii="Times New Roman" w:hAnsi="Times New Roman" w:cs="Times New Roman"/>
          <w:sz w:val="24"/>
          <w:szCs w:val="24"/>
        </w:rPr>
        <w:t xml:space="preserve">Order in </w:t>
      </w:r>
      <w:r w:rsidR="00971E62">
        <w:rPr>
          <w:rFonts w:ascii="Times New Roman" w:hAnsi="Times New Roman" w:cs="Times New Roman"/>
          <w:sz w:val="24"/>
          <w:szCs w:val="24"/>
        </w:rPr>
        <w:t xml:space="preserve">Docket No. </w:t>
      </w:r>
      <w:r w:rsidR="008874F5">
        <w:rPr>
          <w:rFonts w:ascii="Times New Roman" w:hAnsi="Times New Roman" w:cs="Times New Roman"/>
          <w:sz w:val="24"/>
          <w:szCs w:val="24"/>
        </w:rPr>
        <w:t>RD14-14</w:t>
      </w:r>
      <w:r w:rsidR="00971E62">
        <w:rPr>
          <w:rFonts w:ascii="Times New Roman" w:hAnsi="Times New Roman" w:cs="Times New Roman"/>
          <w:sz w:val="24"/>
          <w:szCs w:val="24"/>
        </w:rPr>
        <w:t>-000</w:t>
      </w:r>
      <w:r w:rsidR="005253CD">
        <w:rPr>
          <w:rFonts w:ascii="Times New Roman" w:hAnsi="Times New Roman" w:cs="Times New Roman"/>
          <w:sz w:val="24"/>
          <w:szCs w:val="24"/>
        </w:rPr>
        <w:t xml:space="preserve">, </w:t>
      </w:r>
      <w:r w:rsidR="00C233E7" w:rsidRPr="002C5F61">
        <w:rPr>
          <w:rFonts w:ascii="Times New Roman" w:hAnsi="Times New Roman" w:cs="Times New Roman"/>
          <w:sz w:val="24"/>
          <w:szCs w:val="24"/>
        </w:rPr>
        <w:t>are approved by OMB under FERC-725A (OMB Control No. 1902-0244)</w:t>
      </w:r>
      <w:r w:rsidRPr="002C5F61">
        <w:rPr>
          <w:rFonts w:ascii="Times New Roman" w:hAnsi="Times New Roman" w:cs="Times New Roman"/>
          <w:sz w:val="24"/>
          <w:szCs w:val="24"/>
        </w:rPr>
        <w:t>,</w:t>
      </w:r>
      <w:r w:rsidRPr="002C5F61">
        <w:t xml:space="preserve"> </w:t>
      </w:r>
      <w:r w:rsidRPr="002C5F61">
        <w:rPr>
          <w:rFonts w:ascii="Times New Roman" w:hAnsi="Times New Roman" w:cs="Times New Roman"/>
          <w:sz w:val="24"/>
          <w:szCs w:val="24"/>
        </w:rPr>
        <w:t>FERC-725G (OMB Control No. 1902-0252),</w:t>
      </w:r>
      <w:r w:rsidR="001F0066" w:rsidRPr="002C5F61">
        <w:rPr>
          <w:rFonts w:ascii="Times New Roman" w:hAnsi="Times New Roman" w:cs="Times New Roman"/>
          <w:sz w:val="24"/>
          <w:szCs w:val="24"/>
        </w:rPr>
        <w:t xml:space="preserve"> and FERC-725P (OMB Control No. 1902-0269)</w:t>
      </w:r>
      <w:r w:rsidR="00C233E7" w:rsidRPr="002C5F61">
        <w:rPr>
          <w:rFonts w:ascii="Times New Roman" w:hAnsi="Times New Roman" w:cs="Times New Roman"/>
          <w:sz w:val="24"/>
          <w:szCs w:val="24"/>
        </w:rPr>
        <w:t>.</w:t>
      </w:r>
      <w:r w:rsidR="00955748" w:rsidRPr="002C5F61">
        <w:rPr>
          <w:rFonts w:ascii="Times New Roman" w:hAnsi="Times New Roman" w:cs="Times New Roman"/>
          <w:sz w:val="24"/>
          <w:szCs w:val="24"/>
        </w:rPr>
        <w:t xml:space="preserve">  </w:t>
      </w:r>
      <w:r w:rsidR="00414670">
        <w:rPr>
          <w:rFonts w:ascii="Times New Roman" w:hAnsi="Times New Roman" w:cs="Times New Roman"/>
          <w:sz w:val="24"/>
          <w:szCs w:val="24"/>
        </w:rPr>
        <w:t>As of 7/21/2015, there are four pending ICRs (listed in Attachment A) affecting various Reliability Standards in the PRC family</w:t>
      </w:r>
      <w:r w:rsidR="005253CD" w:rsidRPr="003312EE">
        <w:rPr>
          <w:rFonts w:ascii="Times New Roman" w:hAnsi="Times New Roman" w:cs="Times New Roman"/>
          <w:sz w:val="24"/>
          <w:szCs w:val="24"/>
        </w:rPr>
        <w:t xml:space="preserve">.  </w:t>
      </w:r>
      <w:r w:rsidR="00657A47" w:rsidRPr="003312EE">
        <w:rPr>
          <w:rFonts w:ascii="Times New Roman" w:hAnsi="Times New Roman" w:cs="Times New Roman"/>
          <w:sz w:val="24"/>
          <w:szCs w:val="24"/>
        </w:rPr>
        <w:t>The Commission submits th</w:t>
      </w:r>
      <w:r w:rsidR="00F707CA" w:rsidRPr="003312EE">
        <w:rPr>
          <w:rFonts w:ascii="Times New Roman" w:hAnsi="Times New Roman" w:cs="Times New Roman"/>
          <w:sz w:val="24"/>
          <w:szCs w:val="24"/>
        </w:rPr>
        <w:t>e changes due to th</w:t>
      </w:r>
      <w:r w:rsidR="00414670" w:rsidRPr="00A93DBC">
        <w:rPr>
          <w:rFonts w:ascii="Times New Roman" w:hAnsi="Times New Roman" w:cs="Times New Roman"/>
          <w:sz w:val="24"/>
          <w:szCs w:val="24"/>
        </w:rPr>
        <w:t>is</w:t>
      </w:r>
      <w:r w:rsidR="003312EE" w:rsidRPr="00192362">
        <w:rPr>
          <w:rFonts w:ascii="Times New Roman" w:hAnsi="Times New Roman" w:cs="Times New Roman"/>
          <w:sz w:val="24"/>
          <w:szCs w:val="24"/>
        </w:rPr>
        <w:t xml:space="preserve"> order</w:t>
      </w:r>
      <w:r w:rsidR="00F707CA" w:rsidRPr="003312EE">
        <w:rPr>
          <w:rFonts w:ascii="Times New Roman" w:hAnsi="Times New Roman" w:cs="Times New Roman"/>
          <w:sz w:val="24"/>
          <w:szCs w:val="24"/>
        </w:rPr>
        <w:t xml:space="preserve"> in Docket No. </w:t>
      </w:r>
      <w:r w:rsidR="000E25B2" w:rsidRPr="00A93DBC">
        <w:rPr>
          <w:rFonts w:ascii="Times New Roman" w:hAnsi="Times New Roman" w:cs="Times New Roman"/>
          <w:sz w:val="24"/>
          <w:szCs w:val="24"/>
        </w:rPr>
        <w:t>R</w:t>
      </w:r>
      <w:r w:rsidR="003312EE">
        <w:rPr>
          <w:rFonts w:ascii="Times New Roman" w:hAnsi="Times New Roman" w:cs="Times New Roman"/>
          <w:sz w:val="24"/>
          <w:szCs w:val="24"/>
        </w:rPr>
        <w:t>D</w:t>
      </w:r>
      <w:r w:rsidR="000E25B2" w:rsidRPr="00A93DBC">
        <w:rPr>
          <w:rFonts w:ascii="Times New Roman" w:hAnsi="Times New Roman" w:cs="Times New Roman"/>
          <w:sz w:val="24"/>
          <w:szCs w:val="24"/>
        </w:rPr>
        <w:t>1</w:t>
      </w:r>
      <w:r w:rsidR="003312EE" w:rsidRPr="00192362">
        <w:rPr>
          <w:rFonts w:ascii="Times New Roman" w:hAnsi="Times New Roman" w:cs="Times New Roman"/>
          <w:sz w:val="24"/>
          <w:szCs w:val="24"/>
        </w:rPr>
        <w:t>4</w:t>
      </w:r>
      <w:r w:rsidR="000E25B2" w:rsidRPr="003312EE">
        <w:rPr>
          <w:rFonts w:ascii="Times New Roman" w:hAnsi="Times New Roman" w:cs="Times New Roman"/>
          <w:sz w:val="24"/>
          <w:szCs w:val="24"/>
        </w:rPr>
        <w:t>-</w:t>
      </w:r>
      <w:r w:rsidR="003312EE" w:rsidRPr="00192362">
        <w:rPr>
          <w:rFonts w:ascii="Times New Roman" w:hAnsi="Times New Roman" w:cs="Times New Roman"/>
          <w:sz w:val="24"/>
          <w:szCs w:val="24"/>
        </w:rPr>
        <w:t>14</w:t>
      </w:r>
      <w:r w:rsidR="00BB3B2C" w:rsidRPr="003312EE">
        <w:rPr>
          <w:rFonts w:ascii="Times New Roman" w:hAnsi="Times New Roman" w:cs="Times New Roman"/>
          <w:sz w:val="24"/>
          <w:szCs w:val="24"/>
        </w:rPr>
        <w:t xml:space="preserve">-000 </w:t>
      </w:r>
      <w:r w:rsidR="00BD7446" w:rsidRPr="003312EE">
        <w:rPr>
          <w:rFonts w:ascii="Times New Roman" w:hAnsi="Times New Roman" w:cs="Times New Roman"/>
          <w:sz w:val="24"/>
          <w:szCs w:val="24"/>
        </w:rPr>
        <w:t>under the FERC-725</w:t>
      </w:r>
      <w:r w:rsidR="003312EE" w:rsidRPr="00192362">
        <w:rPr>
          <w:rFonts w:ascii="Times New Roman" w:hAnsi="Times New Roman" w:cs="Times New Roman"/>
          <w:sz w:val="24"/>
          <w:szCs w:val="24"/>
        </w:rPr>
        <w:t>G1</w:t>
      </w:r>
      <w:r w:rsidR="00657A47" w:rsidRPr="003312EE">
        <w:rPr>
          <w:rFonts w:ascii="Times New Roman" w:hAnsi="Times New Roman" w:cs="Times New Roman"/>
          <w:sz w:val="24"/>
          <w:szCs w:val="24"/>
        </w:rPr>
        <w:t xml:space="preserve"> information colle</w:t>
      </w:r>
      <w:r w:rsidR="000E25B2" w:rsidRPr="00A93DBC">
        <w:rPr>
          <w:rFonts w:ascii="Times New Roman" w:hAnsi="Times New Roman" w:cs="Times New Roman"/>
          <w:sz w:val="24"/>
          <w:szCs w:val="24"/>
        </w:rPr>
        <w:t>ction (OMB Control No. TBD</w:t>
      </w:r>
      <w:r w:rsidR="00657A47" w:rsidRPr="00A93DBC">
        <w:rPr>
          <w:rFonts w:ascii="Times New Roman" w:hAnsi="Times New Roman" w:cs="Times New Roman"/>
          <w:sz w:val="24"/>
          <w:szCs w:val="24"/>
        </w:rPr>
        <w:t>)</w:t>
      </w:r>
      <w:r w:rsidR="00414670" w:rsidRPr="00A93DBC">
        <w:rPr>
          <w:rFonts w:ascii="Times New Roman" w:hAnsi="Times New Roman" w:cs="Times New Roman"/>
          <w:sz w:val="24"/>
          <w:szCs w:val="24"/>
        </w:rPr>
        <w:t xml:space="preserve"> in order to submit it timely to OMB</w:t>
      </w:r>
      <w:r w:rsidR="000E25B2" w:rsidRPr="00A93DBC">
        <w:rPr>
          <w:rFonts w:ascii="Times New Roman" w:hAnsi="Times New Roman" w:cs="Times New Roman"/>
          <w:sz w:val="24"/>
          <w:szCs w:val="24"/>
        </w:rPr>
        <w:t>.</w:t>
      </w:r>
      <w:r w:rsidR="00971E62">
        <w:rPr>
          <w:rFonts w:ascii="Times New Roman" w:hAnsi="Times New Roman" w:cs="Times New Roman"/>
          <w:sz w:val="24"/>
          <w:szCs w:val="24"/>
        </w:rPr>
        <w:t xml:space="preserve"> </w:t>
      </w:r>
    </w:p>
    <w:p w14:paraId="0492C54D" w14:textId="77777777" w:rsidR="00514D81" w:rsidRDefault="00514D81" w:rsidP="00F8440A">
      <w:pPr>
        <w:spacing w:after="0"/>
        <w:rPr>
          <w:rFonts w:ascii="Times New Roman" w:hAnsi="Times New Roman" w:cs="Times New Roman"/>
          <w:sz w:val="24"/>
          <w:szCs w:val="24"/>
        </w:rPr>
      </w:pPr>
    </w:p>
    <w:p w14:paraId="0DA7DA5E" w14:textId="77777777" w:rsidR="00A72E7B" w:rsidRDefault="008874F5" w:rsidP="00F8440A">
      <w:pPr>
        <w:spacing w:after="0"/>
        <w:rPr>
          <w:rFonts w:ascii="Times New Roman" w:hAnsi="Times New Roman" w:cs="Times New Roman"/>
          <w:sz w:val="24"/>
          <w:szCs w:val="24"/>
        </w:rPr>
      </w:pPr>
      <w:r>
        <w:rPr>
          <w:rFonts w:ascii="Times New Roman" w:hAnsi="Times New Roman" w:cs="Times New Roman"/>
          <w:sz w:val="24"/>
          <w:szCs w:val="24"/>
        </w:rPr>
        <w:t>Although FERC-725G1</w:t>
      </w:r>
      <w:r w:rsidR="001F0066" w:rsidRPr="002C5F61">
        <w:rPr>
          <w:rFonts w:ascii="Times New Roman" w:hAnsi="Times New Roman" w:cs="Times New Roman"/>
          <w:sz w:val="24"/>
          <w:szCs w:val="24"/>
        </w:rPr>
        <w:t xml:space="preserve"> is intended as a temporary collection </w:t>
      </w:r>
      <w:r w:rsidR="00F055D8">
        <w:rPr>
          <w:rFonts w:ascii="Times New Roman" w:hAnsi="Times New Roman" w:cs="Times New Roman"/>
          <w:sz w:val="24"/>
          <w:szCs w:val="24"/>
        </w:rPr>
        <w:t xml:space="preserve">number </w:t>
      </w:r>
      <w:r w:rsidR="001F0066" w:rsidRPr="002C5F61">
        <w:rPr>
          <w:rFonts w:ascii="Times New Roman" w:hAnsi="Times New Roman" w:cs="Times New Roman"/>
          <w:sz w:val="24"/>
          <w:szCs w:val="24"/>
        </w:rPr>
        <w:t xml:space="preserve">to ensure FERC’s timely submission to OMB, all PRC </w:t>
      </w:r>
      <w:r w:rsidR="006C04ED">
        <w:rPr>
          <w:rFonts w:ascii="Times New Roman" w:hAnsi="Times New Roman" w:cs="Times New Roman"/>
          <w:sz w:val="24"/>
          <w:szCs w:val="24"/>
        </w:rPr>
        <w:t>R</w:t>
      </w:r>
      <w:r w:rsidR="001F0066" w:rsidRPr="002C5F61">
        <w:rPr>
          <w:rFonts w:ascii="Times New Roman" w:hAnsi="Times New Roman" w:cs="Times New Roman"/>
          <w:sz w:val="24"/>
          <w:szCs w:val="24"/>
        </w:rPr>
        <w:t xml:space="preserve">eliability </w:t>
      </w:r>
      <w:r w:rsidR="006C04ED">
        <w:rPr>
          <w:rFonts w:ascii="Times New Roman" w:hAnsi="Times New Roman" w:cs="Times New Roman"/>
          <w:sz w:val="24"/>
          <w:szCs w:val="24"/>
        </w:rPr>
        <w:t>S</w:t>
      </w:r>
      <w:r w:rsidR="001F0066" w:rsidRPr="002C5F61">
        <w:rPr>
          <w:rFonts w:ascii="Times New Roman" w:hAnsi="Times New Roman" w:cs="Times New Roman"/>
          <w:sz w:val="24"/>
          <w:szCs w:val="24"/>
        </w:rPr>
        <w:t>tandards s</w:t>
      </w:r>
      <w:r w:rsidR="008B4E04" w:rsidRPr="002C5F61">
        <w:rPr>
          <w:rFonts w:ascii="Times New Roman" w:hAnsi="Times New Roman" w:cs="Times New Roman"/>
          <w:sz w:val="24"/>
          <w:szCs w:val="24"/>
        </w:rPr>
        <w:t>hould eventually be in the FERC-</w:t>
      </w:r>
      <w:r w:rsidR="001F0066" w:rsidRPr="002C5F61">
        <w:rPr>
          <w:rFonts w:ascii="Times New Roman" w:hAnsi="Times New Roman" w:cs="Times New Roman"/>
          <w:sz w:val="24"/>
          <w:szCs w:val="24"/>
        </w:rPr>
        <w:t>725G information collection (OMB Control No. 1902-0252)</w:t>
      </w:r>
      <w:r w:rsidR="008B4E04" w:rsidRPr="002C5F61">
        <w:rPr>
          <w:rFonts w:ascii="Times New Roman" w:hAnsi="Times New Roman" w:cs="Times New Roman"/>
          <w:sz w:val="24"/>
          <w:szCs w:val="24"/>
        </w:rPr>
        <w:t>.</w:t>
      </w:r>
      <w:bookmarkStart w:id="0" w:name="_Ref425256919"/>
      <w:r w:rsidR="003D05E0" w:rsidRPr="00636377">
        <w:rPr>
          <w:rStyle w:val="FootnoteReference"/>
          <w:rFonts w:ascii="Times New Roman" w:hAnsi="Times New Roman" w:cs="Times New Roman"/>
          <w:sz w:val="24"/>
          <w:szCs w:val="24"/>
          <w:vertAlign w:val="superscript"/>
        </w:rPr>
        <w:footnoteReference w:id="3"/>
      </w:r>
      <w:bookmarkEnd w:id="0"/>
    </w:p>
    <w:p w14:paraId="7B70EEE2" w14:textId="77777777" w:rsidR="0002242D" w:rsidRDefault="0002242D" w:rsidP="00FD66F1">
      <w:pPr>
        <w:spacing w:after="0"/>
        <w:rPr>
          <w:rFonts w:ascii="Times New Roman" w:hAnsi="Times New Roman" w:cs="Times New Roman"/>
          <w:sz w:val="24"/>
          <w:szCs w:val="24"/>
        </w:rPr>
      </w:pPr>
    </w:p>
    <w:p w14:paraId="368950C8"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lastRenderedPageBreak/>
        <w:t>CIRCUMSTANCES THAT MAKE THE COLLECTION OF INFORMATION NECESSARY</w:t>
      </w:r>
    </w:p>
    <w:p w14:paraId="4CECEC16" w14:textId="77777777" w:rsidR="00A72E7B" w:rsidRDefault="00A72E7B" w:rsidP="00EB3E6F">
      <w:pPr>
        <w:spacing w:after="0"/>
        <w:rPr>
          <w:rFonts w:ascii="Times New Roman" w:hAnsi="Times New Roman" w:cs="Times New Roman"/>
          <w:sz w:val="24"/>
          <w:szCs w:val="24"/>
        </w:rPr>
      </w:pPr>
    </w:p>
    <w:p w14:paraId="3829E341" w14:textId="77777777" w:rsidR="00255F1F" w:rsidRDefault="00255F1F" w:rsidP="00255F1F">
      <w:pPr>
        <w:spacing w:after="0"/>
        <w:rPr>
          <w:rFonts w:ascii="Times New Roman" w:hAnsi="Times New Roman" w:cs="Times New Roman"/>
          <w:sz w:val="24"/>
          <w:szCs w:val="24"/>
        </w:rPr>
      </w:pPr>
      <w:r w:rsidRPr="001C7753">
        <w:rPr>
          <w:rFonts w:ascii="Times New Roman" w:hAnsi="Times New Roman" w:cs="Times New Roman"/>
          <w:sz w:val="24"/>
          <w:szCs w:val="24"/>
        </w:rPr>
        <w:t xml:space="preserve">On August 8, 2005, The Electricity Modernization Act of 2005, which is Title XII of the Energy Policy Act of 2005 (EPAct 2005), was enacted into law.  EPAct 2005 added a new </w:t>
      </w:r>
      <w:r w:rsidR="00535D48" w:rsidRPr="001C7753">
        <w:rPr>
          <w:rFonts w:ascii="Times New Roman" w:hAnsi="Times New Roman" w:cs="Times New Roman"/>
          <w:sz w:val="24"/>
          <w:szCs w:val="24"/>
        </w:rPr>
        <w:t>S</w:t>
      </w:r>
      <w:r w:rsidRPr="001C7753">
        <w:rPr>
          <w:rFonts w:ascii="Times New Roman" w:hAnsi="Times New Roman" w:cs="Times New Roman"/>
          <w:sz w:val="24"/>
          <w:szCs w:val="24"/>
        </w:rPr>
        <w:t xml:space="preserve">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w:t>
      </w:r>
      <w:r w:rsidR="00955748" w:rsidRPr="001C7753">
        <w:rPr>
          <w:rFonts w:ascii="Times New Roman" w:hAnsi="Times New Roman" w:cs="Times New Roman"/>
          <w:sz w:val="24"/>
          <w:szCs w:val="24"/>
        </w:rPr>
        <w:t xml:space="preserve"> In 2006, the Commission certified the North American Electric Reliability Corporation (NERC) as the ERO pursuant to FPA section 215.</w:t>
      </w:r>
      <w:r w:rsidR="00955748" w:rsidRPr="001C7753">
        <w:rPr>
          <w:rStyle w:val="FootnoteReference"/>
          <w:rFonts w:ascii="Times New Roman" w:hAnsi="Times New Roman" w:cs="Times New Roman"/>
          <w:sz w:val="24"/>
          <w:szCs w:val="24"/>
          <w:vertAlign w:val="superscript"/>
        </w:rPr>
        <w:footnoteReference w:id="4"/>
      </w:r>
      <w:r w:rsidR="00955748" w:rsidRPr="001C7753">
        <w:rPr>
          <w:rFonts w:ascii="Times New Roman" w:hAnsi="Times New Roman" w:cs="Times New Roman"/>
          <w:sz w:val="24"/>
          <w:szCs w:val="24"/>
          <w:vertAlign w:val="superscript"/>
        </w:rPr>
        <w:t xml:space="preserve"> </w:t>
      </w:r>
    </w:p>
    <w:p w14:paraId="3A001798" w14:textId="77777777" w:rsidR="00DE23E3" w:rsidRPr="001C7753" w:rsidRDefault="00DE23E3" w:rsidP="00255F1F">
      <w:pPr>
        <w:spacing w:after="0"/>
        <w:rPr>
          <w:rFonts w:ascii="Times New Roman" w:hAnsi="Times New Roman" w:cs="Times New Roman"/>
          <w:sz w:val="24"/>
          <w:szCs w:val="24"/>
        </w:rPr>
      </w:pPr>
    </w:p>
    <w:p w14:paraId="3095FA09" w14:textId="77777777" w:rsidR="00955748" w:rsidRPr="001C7753" w:rsidRDefault="005D21CE" w:rsidP="00B071FF">
      <w:pPr>
        <w:tabs>
          <w:tab w:val="num" w:pos="720"/>
        </w:tabs>
        <w:spacing w:after="0"/>
        <w:rPr>
          <w:rFonts w:ascii="Times New Roman" w:eastAsia="Times New Roman" w:hAnsi="Times New Roman" w:cs="Times New Roman"/>
          <w:b/>
          <w:sz w:val="24"/>
          <w:szCs w:val="24"/>
        </w:rPr>
      </w:pPr>
      <w:r w:rsidRPr="005D21CE">
        <w:rPr>
          <w:rFonts w:ascii="Times New Roman" w:eastAsia="Times New Roman" w:hAnsi="Times New Roman" w:cs="Times New Roman"/>
          <w:sz w:val="24"/>
          <w:szCs w:val="24"/>
        </w:rPr>
        <w:t>In Order No. 693, the Commission approved 83 of 107 proposed Reliability Standards submitted by NERC, including approval of PRC-004-1 (Analysis and Mitigation of Transmission and Generation Protection System Misoperations).</w:t>
      </w:r>
      <w:r w:rsidRPr="005D21CE">
        <w:rPr>
          <w:rFonts w:ascii="Times New Roman" w:eastAsia="Times New Roman" w:hAnsi="Times New Roman" w:cs="Times New Roman"/>
          <w:b/>
          <w:sz w:val="24"/>
          <w:szCs w:val="24"/>
          <w:vertAlign w:val="superscript"/>
        </w:rPr>
        <w:footnoteReference w:id="5"/>
      </w:r>
      <w:r w:rsidRPr="005D21CE">
        <w:rPr>
          <w:rFonts w:ascii="Times New Roman" w:eastAsia="Times New Roman" w:hAnsi="Times New Roman" w:cs="Times New Roman"/>
          <w:sz w:val="24"/>
          <w:szCs w:val="24"/>
        </w:rPr>
        <w:t xml:space="preserve">  In addition, the Commission directed that NERC   (1) consider a commenter’s suggestion regarding whether PRC-004-1 should apply to load serving entities and transmission operators; and (2) clarify what entity should develop the procedures for corrective action plans.</w:t>
      </w:r>
      <w:r w:rsidRPr="005D21CE">
        <w:rPr>
          <w:rFonts w:ascii="Times New Roman" w:eastAsia="Times New Roman" w:hAnsi="Times New Roman" w:cs="Times New Roman"/>
          <w:b/>
          <w:sz w:val="24"/>
          <w:szCs w:val="24"/>
          <w:vertAlign w:val="superscript"/>
        </w:rPr>
        <w:footnoteReference w:id="6"/>
      </w:r>
      <w:r w:rsidR="00955748" w:rsidRPr="001C7753">
        <w:rPr>
          <w:rFonts w:ascii="Times New Roman" w:eastAsia="Times New Roman" w:hAnsi="Times New Roman" w:cs="Times New Roman"/>
          <w:sz w:val="24"/>
          <w:szCs w:val="24"/>
        </w:rPr>
        <w:t xml:space="preserve"> </w:t>
      </w:r>
      <w:r w:rsidRPr="005D21CE">
        <w:rPr>
          <w:rFonts w:ascii="Times New Roman" w:eastAsia="Times New Roman" w:hAnsi="Times New Roman" w:cs="Times New Roman"/>
          <w:sz w:val="24"/>
          <w:szCs w:val="24"/>
        </w:rPr>
        <w:t>4.</w:t>
      </w:r>
      <w:r w:rsidR="00971E62">
        <w:rPr>
          <w:rFonts w:ascii="Times New Roman" w:eastAsia="Times New Roman" w:hAnsi="Times New Roman" w:cs="Times New Roman"/>
          <w:sz w:val="24"/>
          <w:szCs w:val="24"/>
        </w:rPr>
        <w:t xml:space="preserve">  </w:t>
      </w:r>
      <w:r w:rsidRPr="005D21CE">
        <w:rPr>
          <w:rFonts w:ascii="Times New Roman" w:eastAsia="Times New Roman" w:hAnsi="Times New Roman" w:cs="Times New Roman"/>
          <w:sz w:val="24"/>
          <w:szCs w:val="24"/>
        </w:rPr>
        <w:t xml:space="preserve">Subsequently, NERC submitted, and the Commission approved, Reliability Standard PRC-004-2, which included modifications in response to the Commission’s directives in Order No. 693.  </w:t>
      </w:r>
    </w:p>
    <w:p w14:paraId="04A6009E" w14:textId="77777777" w:rsidR="00955748" w:rsidRPr="001C7753" w:rsidRDefault="00955748" w:rsidP="00255F1F">
      <w:pPr>
        <w:spacing w:after="0"/>
        <w:rPr>
          <w:rFonts w:ascii="Times New Roman" w:hAnsi="Times New Roman" w:cs="Times New Roman"/>
          <w:sz w:val="24"/>
          <w:szCs w:val="24"/>
        </w:rPr>
      </w:pPr>
    </w:p>
    <w:p w14:paraId="6F725C9A" w14:textId="77777777" w:rsidR="005D21CE" w:rsidRPr="005D21CE" w:rsidRDefault="005D21CE" w:rsidP="005D21CE">
      <w:pPr>
        <w:spacing w:after="0"/>
        <w:rPr>
          <w:rFonts w:ascii="Times New Roman" w:hAnsi="Times New Roman" w:cs="Times New Roman"/>
          <w:sz w:val="24"/>
          <w:szCs w:val="24"/>
        </w:rPr>
      </w:pPr>
      <w:r w:rsidRPr="005D21CE">
        <w:rPr>
          <w:rFonts w:ascii="Times New Roman" w:hAnsi="Times New Roman" w:cs="Times New Roman"/>
          <w:sz w:val="24"/>
          <w:szCs w:val="24"/>
        </w:rPr>
        <w:t>In Order No. 693, the Commission neither accepted nor remanded Reliability Standard PRC-003-1 (Regional Procedures for Analysis of Misoperations of Transmission and Generation Protection System).  The Commission identified the standard as a “fill-in-the-blank” standard and noted that the associated regional procedures had not been submitted.  Concluding that additional information was needed regarding the regional procedures, the Commission directed NERC to consider whether greater consistency can be achieved “on an Interconnection-wide basis” in Reliability Standard PRC-003-1.</w:t>
      </w:r>
      <w:r w:rsidRPr="005D21CE">
        <w:rPr>
          <w:rFonts w:ascii="Times New Roman" w:hAnsi="Times New Roman" w:cs="Times New Roman"/>
          <w:b/>
          <w:sz w:val="24"/>
          <w:szCs w:val="24"/>
          <w:vertAlign w:val="superscript"/>
        </w:rPr>
        <w:footnoteReference w:id="7"/>
      </w:r>
    </w:p>
    <w:p w14:paraId="11576A6C" w14:textId="77777777" w:rsidR="005D21CE" w:rsidRPr="00EB3E6F" w:rsidRDefault="005D21CE" w:rsidP="00EB3E6F">
      <w:pPr>
        <w:spacing w:after="0"/>
        <w:rPr>
          <w:rFonts w:ascii="Times New Roman" w:hAnsi="Times New Roman" w:cs="Times New Roman"/>
          <w:sz w:val="24"/>
          <w:szCs w:val="24"/>
        </w:rPr>
      </w:pPr>
    </w:p>
    <w:p w14:paraId="619A690E"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7BBD2449" w14:textId="77777777" w:rsidR="00EB3E6F" w:rsidRDefault="00EB3E6F" w:rsidP="00EB3E6F">
      <w:pPr>
        <w:spacing w:after="0"/>
        <w:rPr>
          <w:rFonts w:ascii="Times New Roman" w:hAnsi="Times New Roman" w:cs="Times New Roman"/>
          <w:sz w:val="24"/>
          <w:szCs w:val="24"/>
        </w:rPr>
      </w:pPr>
    </w:p>
    <w:p w14:paraId="2225FB6F" w14:textId="77777777" w:rsidR="003410FA" w:rsidRPr="001C7753" w:rsidRDefault="00971E62" w:rsidP="00AF7166">
      <w:pPr>
        <w:pStyle w:val="StyleFERCparanumberLinespacingDouble"/>
        <w:numPr>
          <w:ilvl w:val="0"/>
          <w:numId w:val="0"/>
        </w:numPr>
        <w:autoSpaceDE w:val="0"/>
        <w:autoSpaceDN w:val="0"/>
        <w:adjustRightInd w:val="0"/>
        <w:spacing w:line="276" w:lineRule="auto"/>
        <w:rPr>
          <w:sz w:val="24"/>
          <w:szCs w:val="24"/>
        </w:rPr>
      </w:pPr>
      <w:r>
        <w:rPr>
          <w:sz w:val="24"/>
          <w:szCs w:val="24"/>
        </w:rPr>
        <w:t>In the Order in Docket No. RD14-14-000, t</w:t>
      </w:r>
      <w:r w:rsidR="00885CD4" w:rsidRPr="001C7753">
        <w:rPr>
          <w:sz w:val="24"/>
          <w:szCs w:val="24"/>
        </w:rPr>
        <w:t>he Commission approv</w:t>
      </w:r>
      <w:r w:rsidR="00AF7166">
        <w:rPr>
          <w:sz w:val="24"/>
          <w:szCs w:val="24"/>
        </w:rPr>
        <w:t>e</w:t>
      </w:r>
      <w:r>
        <w:rPr>
          <w:sz w:val="24"/>
          <w:szCs w:val="24"/>
        </w:rPr>
        <w:t>s</w:t>
      </w:r>
      <w:r w:rsidR="00AF7166">
        <w:rPr>
          <w:sz w:val="24"/>
          <w:szCs w:val="24"/>
        </w:rPr>
        <w:t xml:space="preserve"> Reliability Standard PRC-004-3</w:t>
      </w:r>
      <w:r>
        <w:rPr>
          <w:sz w:val="24"/>
          <w:szCs w:val="24"/>
        </w:rPr>
        <w:t xml:space="preserve"> to</w:t>
      </w:r>
      <w:r w:rsidR="00885CD4" w:rsidRPr="001C7753">
        <w:rPr>
          <w:sz w:val="24"/>
          <w:szCs w:val="24"/>
        </w:rPr>
        <w:t xml:space="preserve"> replace </w:t>
      </w:r>
      <w:r w:rsidR="00AF7166" w:rsidRPr="00AF7166">
        <w:rPr>
          <w:sz w:val="24"/>
          <w:szCs w:val="24"/>
        </w:rPr>
        <w:t>Reliability Standards PRC-004-2.1a and PRC-003-1</w:t>
      </w:r>
      <w:r>
        <w:rPr>
          <w:sz w:val="24"/>
          <w:szCs w:val="24"/>
        </w:rPr>
        <w:t xml:space="preserve"> and </w:t>
      </w:r>
      <w:r w:rsidR="00AF7166" w:rsidRPr="00AF7166">
        <w:rPr>
          <w:sz w:val="24"/>
          <w:szCs w:val="24"/>
        </w:rPr>
        <w:t xml:space="preserve">require transmission owners, generator owners, and distribution providers to identify and correct causes of </w:t>
      </w:r>
      <w:r w:rsidR="00AF7166" w:rsidRPr="00AF7166">
        <w:rPr>
          <w:sz w:val="24"/>
          <w:szCs w:val="24"/>
        </w:rPr>
        <w:lastRenderedPageBreak/>
        <w:t xml:space="preserve">misoperations of certain protection systems.  </w:t>
      </w:r>
      <w:r w:rsidR="00037B07">
        <w:rPr>
          <w:sz w:val="24"/>
          <w:szCs w:val="24"/>
        </w:rPr>
        <w:t xml:space="preserve">The Commission </w:t>
      </w:r>
      <w:r w:rsidR="00037B07" w:rsidRPr="00037B07">
        <w:rPr>
          <w:sz w:val="24"/>
          <w:szCs w:val="24"/>
        </w:rPr>
        <w:t>find</w:t>
      </w:r>
      <w:r>
        <w:rPr>
          <w:sz w:val="24"/>
          <w:szCs w:val="24"/>
        </w:rPr>
        <w:t>s</w:t>
      </w:r>
      <w:r w:rsidR="00037B07" w:rsidRPr="00037B07">
        <w:rPr>
          <w:sz w:val="24"/>
          <w:szCs w:val="24"/>
        </w:rPr>
        <w:t xml:space="preserve"> that </w:t>
      </w:r>
      <w:r>
        <w:rPr>
          <w:sz w:val="24"/>
          <w:szCs w:val="24"/>
        </w:rPr>
        <w:t>proposed Reliability S</w:t>
      </w:r>
      <w:r w:rsidR="00037B07" w:rsidRPr="00037B07">
        <w:rPr>
          <w:sz w:val="24"/>
          <w:szCs w:val="24"/>
        </w:rPr>
        <w:t xml:space="preserve">tandard </w:t>
      </w:r>
      <w:r w:rsidR="00037B07">
        <w:rPr>
          <w:sz w:val="24"/>
          <w:szCs w:val="24"/>
        </w:rPr>
        <w:t xml:space="preserve">PRC-004-3 </w:t>
      </w:r>
      <w:r w:rsidR="00037B07" w:rsidRPr="00037B07">
        <w:rPr>
          <w:sz w:val="24"/>
          <w:szCs w:val="24"/>
        </w:rPr>
        <w:t>is just, reasonable, not unduly discriminatory or preferential, and in the public interest</w:t>
      </w:r>
      <w:r w:rsidR="00037B07">
        <w:rPr>
          <w:sz w:val="24"/>
          <w:szCs w:val="24"/>
        </w:rPr>
        <w:t xml:space="preserve">. </w:t>
      </w:r>
      <w:r w:rsidR="00037B07" w:rsidRPr="00037B07">
        <w:rPr>
          <w:sz w:val="24"/>
          <w:szCs w:val="24"/>
        </w:rPr>
        <w:t xml:space="preserve"> </w:t>
      </w:r>
      <w:r w:rsidR="00037B07">
        <w:rPr>
          <w:sz w:val="24"/>
          <w:szCs w:val="24"/>
        </w:rPr>
        <w:t>The Commission</w:t>
      </w:r>
      <w:r w:rsidR="00037B07" w:rsidRPr="00037B07">
        <w:rPr>
          <w:sz w:val="24"/>
          <w:szCs w:val="24"/>
        </w:rPr>
        <w:t xml:space="preserve"> agree</w:t>
      </w:r>
      <w:r>
        <w:rPr>
          <w:sz w:val="24"/>
          <w:szCs w:val="24"/>
        </w:rPr>
        <w:t>s</w:t>
      </w:r>
      <w:r w:rsidR="00037B07" w:rsidRPr="00037B07">
        <w:rPr>
          <w:sz w:val="24"/>
          <w:szCs w:val="24"/>
        </w:rPr>
        <w:t xml:space="preserve"> with NERC that the modified Reliability Standard clarifies the process and establishes timeframes that registered entities must follow in analyzing and correcting protection system misoperations.  In addition, the process in the revised Reliability Standard allows the entities to declare if the cause of the </w:t>
      </w:r>
      <w:proofErr w:type="spellStart"/>
      <w:r w:rsidR="00037B07" w:rsidRPr="00037B07">
        <w:rPr>
          <w:sz w:val="24"/>
          <w:szCs w:val="24"/>
        </w:rPr>
        <w:t>misoperation</w:t>
      </w:r>
      <w:proofErr w:type="spellEnd"/>
      <w:r w:rsidR="00037B07" w:rsidRPr="00037B07">
        <w:rPr>
          <w:sz w:val="24"/>
          <w:szCs w:val="24"/>
        </w:rPr>
        <w:t xml:space="preserve"> could not be identified, and the timeframes allow the entities to investigate and correct the causes of the misoperations within a reasonable period of time.  These improvements to the Reliability Standard should benefit reliability by providing clear expectations on how applicable entities should investigate, communicate about and mitigate specified misoperations.</w:t>
      </w:r>
      <w:r w:rsidR="00037B07">
        <w:rPr>
          <w:sz w:val="24"/>
          <w:szCs w:val="24"/>
        </w:rPr>
        <w:t xml:space="preserve">  </w:t>
      </w:r>
      <w:r w:rsidR="00AF7166" w:rsidRPr="00AF7166">
        <w:rPr>
          <w:sz w:val="24"/>
          <w:szCs w:val="24"/>
        </w:rPr>
        <w:t xml:space="preserve">NERC states that </w:t>
      </w:r>
      <w:r>
        <w:rPr>
          <w:sz w:val="24"/>
          <w:szCs w:val="24"/>
        </w:rPr>
        <w:t xml:space="preserve">Reliability Standard </w:t>
      </w:r>
      <w:r w:rsidR="00AF7166" w:rsidRPr="00AF7166">
        <w:rPr>
          <w:sz w:val="24"/>
          <w:szCs w:val="24"/>
        </w:rPr>
        <w:t xml:space="preserve">PRC-004-3, in concert with a Section 1600 Misoperations Data Request, provides the means to address protection system misoperations.  Specifically, NERC states “reducing the risk to reliability from Protection System misoperations will require consistent collection of </w:t>
      </w:r>
      <w:proofErr w:type="spellStart"/>
      <w:r w:rsidR="00AF7166" w:rsidRPr="00AF7166">
        <w:rPr>
          <w:sz w:val="24"/>
          <w:szCs w:val="24"/>
        </w:rPr>
        <w:t>Misoperation</w:t>
      </w:r>
      <w:proofErr w:type="spellEnd"/>
      <w:r w:rsidR="00AF7166" w:rsidRPr="00AF7166">
        <w:rPr>
          <w:sz w:val="24"/>
          <w:szCs w:val="24"/>
        </w:rPr>
        <w:t xml:space="preserve"> information along with systematic analysis and correction of the underlying causes of preventable Misoperations.  Proposed PRC-004-3, and the parallel Section 1600 Data Request provide means to accomplish this systematic analysis and correction.”</w:t>
      </w:r>
      <w:r w:rsidR="00AF7166" w:rsidRPr="00AF7166">
        <w:rPr>
          <w:b/>
          <w:sz w:val="24"/>
          <w:szCs w:val="24"/>
          <w:vertAlign w:val="superscript"/>
        </w:rPr>
        <w:footnoteReference w:id="8"/>
      </w:r>
    </w:p>
    <w:p w14:paraId="262B8EFE" w14:textId="77777777" w:rsidR="00DE23E3" w:rsidRPr="00EB3E6F" w:rsidRDefault="00DE23E3" w:rsidP="004276A5">
      <w:pPr>
        <w:spacing w:after="0"/>
        <w:rPr>
          <w:rFonts w:ascii="Times New Roman" w:hAnsi="Times New Roman" w:cs="Times New Roman"/>
          <w:sz w:val="24"/>
          <w:szCs w:val="24"/>
        </w:rPr>
      </w:pPr>
    </w:p>
    <w:p w14:paraId="70196C8E"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1A666BF7" w14:textId="77777777" w:rsidR="00EB3E6F" w:rsidRDefault="00EB3E6F" w:rsidP="00EB3E6F">
      <w:pPr>
        <w:spacing w:after="0"/>
        <w:rPr>
          <w:rFonts w:ascii="Times New Roman" w:hAnsi="Times New Roman" w:cs="Times New Roman"/>
          <w:sz w:val="24"/>
          <w:szCs w:val="24"/>
        </w:rPr>
      </w:pPr>
    </w:p>
    <w:p w14:paraId="66489741" w14:textId="77777777" w:rsidR="0045480C" w:rsidRDefault="0045480C" w:rsidP="0045480C">
      <w:pPr>
        <w:spacing w:after="0"/>
        <w:rPr>
          <w:rFonts w:ascii="Times New Roman" w:hAnsi="Times New Roman" w:cs="Times New Roman"/>
          <w:sz w:val="24"/>
          <w:szCs w:val="24"/>
        </w:rPr>
      </w:pPr>
      <w:r w:rsidRPr="00AD5F12">
        <w:rPr>
          <w:rFonts w:ascii="Times New Roman" w:hAnsi="Times New Roman" w:cs="Times New Roman"/>
          <w:sz w:val="24"/>
          <w:szCs w:val="24"/>
        </w:rPr>
        <w:t xml:space="preserve">The use of current or improved technology and the medium are not covered in Reliability Standards, and are therefore left to the discretion of each </w:t>
      </w:r>
      <w:r>
        <w:rPr>
          <w:rFonts w:ascii="Times New Roman" w:hAnsi="Times New Roman" w:cs="Times New Roman"/>
          <w:sz w:val="24"/>
          <w:szCs w:val="24"/>
        </w:rPr>
        <w:t>respondent</w:t>
      </w:r>
      <w:r w:rsidRPr="00AD5F12">
        <w:rPr>
          <w:rFonts w:ascii="Times New Roman" w:hAnsi="Times New Roman" w:cs="Times New Roman"/>
          <w:sz w:val="24"/>
          <w:szCs w:val="24"/>
        </w:rPr>
        <w:t>.</w:t>
      </w:r>
    </w:p>
    <w:p w14:paraId="09DF7F1E" w14:textId="77777777" w:rsidR="007A04A8" w:rsidRDefault="007A04A8" w:rsidP="0045480C">
      <w:pPr>
        <w:spacing w:after="0"/>
        <w:rPr>
          <w:rFonts w:ascii="Times New Roman" w:hAnsi="Times New Roman" w:cs="Times New Roman"/>
          <w:sz w:val="24"/>
          <w:szCs w:val="24"/>
        </w:rPr>
      </w:pPr>
    </w:p>
    <w:p w14:paraId="5E1C67F4" w14:textId="77777777" w:rsidR="007A04A8" w:rsidRDefault="007A04A8" w:rsidP="0045480C">
      <w:pPr>
        <w:spacing w:after="0"/>
        <w:rPr>
          <w:rFonts w:ascii="Times New Roman" w:hAnsi="Times New Roman" w:cs="Times New Roman"/>
          <w:sz w:val="24"/>
          <w:szCs w:val="24"/>
        </w:rPr>
      </w:pPr>
      <w:r>
        <w:rPr>
          <w:rFonts w:ascii="Times New Roman" w:hAnsi="Times New Roman" w:cs="Times New Roman"/>
          <w:sz w:val="24"/>
          <w:szCs w:val="24"/>
        </w:rPr>
        <w:t>In general, the Commission supports the use of information technology to reduce burden.</w:t>
      </w:r>
    </w:p>
    <w:p w14:paraId="02CCF57A" w14:textId="77777777" w:rsidR="00466C57" w:rsidRPr="00EB3E6F" w:rsidRDefault="00466C57" w:rsidP="00EB3E6F">
      <w:pPr>
        <w:spacing w:after="0"/>
        <w:rPr>
          <w:rFonts w:ascii="Times New Roman" w:hAnsi="Times New Roman" w:cs="Times New Roman"/>
          <w:sz w:val="24"/>
          <w:szCs w:val="24"/>
        </w:rPr>
      </w:pPr>
    </w:p>
    <w:p w14:paraId="0BF20A23"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5F7B98C3" w14:textId="77777777" w:rsidR="00EB3E6F" w:rsidRDefault="00EB3E6F" w:rsidP="00EB3E6F">
      <w:pPr>
        <w:spacing w:after="0"/>
        <w:rPr>
          <w:rFonts w:ascii="Times New Roman" w:hAnsi="Times New Roman" w:cs="Times New Roman"/>
          <w:sz w:val="24"/>
          <w:szCs w:val="24"/>
        </w:rPr>
      </w:pPr>
    </w:p>
    <w:p w14:paraId="23A05C94" w14:textId="77777777" w:rsidR="00EB3E6F" w:rsidRDefault="0045480C" w:rsidP="00EB3E6F">
      <w:pPr>
        <w:spacing w:after="0"/>
        <w:rPr>
          <w:rFonts w:ascii="Times New Roman" w:hAnsi="Times New Roman" w:cs="Times New Roman"/>
          <w:sz w:val="24"/>
          <w:szCs w:val="24"/>
        </w:rPr>
      </w:pPr>
      <w:r>
        <w:rPr>
          <w:rFonts w:ascii="Times New Roman" w:hAnsi="Times New Roman" w:cs="Times New Roman"/>
          <w:sz w:val="24"/>
          <w:szCs w:val="24"/>
        </w:rPr>
        <w:t xml:space="preserve">The Commission periodically reviews filing requirements concurrent with OMB review or as the Commission deems necessary to eliminate duplicative filing and to minimize the filing burden.  Under this proceeding, Reliability Standard </w:t>
      </w:r>
      <w:r w:rsidR="000621AE">
        <w:rPr>
          <w:rFonts w:ascii="Times New Roman" w:hAnsi="Times New Roman" w:cs="Times New Roman"/>
          <w:sz w:val="24"/>
          <w:szCs w:val="24"/>
        </w:rPr>
        <w:t xml:space="preserve">PRC-004-3 </w:t>
      </w:r>
      <w:r w:rsidR="00731C22">
        <w:rPr>
          <w:rFonts w:ascii="Times New Roman" w:hAnsi="Times New Roman" w:cs="Times New Roman"/>
          <w:sz w:val="24"/>
          <w:szCs w:val="24"/>
        </w:rPr>
        <w:t xml:space="preserve">does not duplicate any filing requirements since the </w:t>
      </w:r>
      <w:r w:rsidR="000621AE">
        <w:rPr>
          <w:rFonts w:ascii="Times New Roman" w:hAnsi="Times New Roman" w:cs="Times New Roman"/>
          <w:sz w:val="24"/>
          <w:szCs w:val="24"/>
        </w:rPr>
        <w:t>order</w:t>
      </w:r>
      <w:r w:rsidR="00731C22">
        <w:rPr>
          <w:rFonts w:ascii="Times New Roman" w:hAnsi="Times New Roman" w:cs="Times New Roman"/>
          <w:sz w:val="24"/>
          <w:szCs w:val="24"/>
        </w:rPr>
        <w:t xml:space="preserve"> </w:t>
      </w:r>
      <w:r w:rsidR="003410FA">
        <w:rPr>
          <w:rFonts w:ascii="Times New Roman" w:hAnsi="Times New Roman" w:cs="Times New Roman"/>
          <w:sz w:val="24"/>
          <w:szCs w:val="24"/>
        </w:rPr>
        <w:t xml:space="preserve">revises an existing standard </w:t>
      </w:r>
      <w:r w:rsidR="009A19ED">
        <w:rPr>
          <w:rFonts w:ascii="Times New Roman" w:hAnsi="Times New Roman" w:cs="Times New Roman"/>
          <w:sz w:val="24"/>
          <w:szCs w:val="24"/>
        </w:rPr>
        <w:t>to improve</w:t>
      </w:r>
      <w:r w:rsidR="003410FA">
        <w:rPr>
          <w:rFonts w:ascii="Times New Roman" w:hAnsi="Times New Roman" w:cs="Times New Roman"/>
          <w:sz w:val="24"/>
          <w:szCs w:val="24"/>
        </w:rPr>
        <w:t xml:space="preserve"> clarity and efficiency</w:t>
      </w:r>
      <w:r w:rsidR="00731C22">
        <w:rPr>
          <w:rFonts w:ascii="Times New Roman" w:hAnsi="Times New Roman" w:cs="Times New Roman"/>
          <w:sz w:val="24"/>
          <w:szCs w:val="24"/>
        </w:rPr>
        <w:t xml:space="preserve">.  </w:t>
      </w:r>
    </w:p>
    <w:p w14:paraId="5A0C6BF6" w14:textId="77777777" w:rsidR="00466C57" w:rsidRPr="00EB3E6F" w:rsidRDefault="00466C57" w:rsidP="00EB3E6F">
      <w:pPr>
        <w:spacing w:after="0"/>
        <w:rPr>
          <w:rFonts w:ascii="Times New Roman" w:hAnsi="Times New Roman" w:cs="Times New Roman"/>
          <w:sz w:val="24"/>
          <w:szCs w:val="24"/>
        </w:rPr>
      </w:pPr>
    </w:p>
    <w:p w14:paraId="2996A02C"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128B8FBA" w14:textId="77777777" w:rsidR="00EB3E6F" w:rsidRDefault="00EB3E6F" w:rsidP="00EB3E6F">
      <w:pPr>
        <w:spacing w:after="0"/>
        <w:rPr>
          <w:rFonts w:ascii="Times New Roman" w:hAnsi="Times New Roman" w:cs="Times New Roman"/>
          <w:sz w:val="24"/>
          <w:szCs w:val="24"/>
        </w:rPr>
      </w:pPr>
    </w:p>
    <w:p w14:paraId="0F15A0F3" w14:textId="77777777" w:rsidR="00EB3E6F" w:rsidRDefault="001348AC" w:rsidP="00EB3E6F">
      <w:pPr>
        <w:spacing w:after="0"/>
        <w:rPr>
          <w:rFonts w:ascii="Times New Roman" w:hAnsi="Times New Roman" w:cs="Times New Roman"/>
          <w:sz w:val="24"/>
          <w:szCs w:val="24"/>
        </w:rPr>
      </w:pPr>
      <w:r w:rsidRPr="001348AC">
        <w:rPr>
          <w:rFonts w:ascii="Times New Roman" w:hAnsi="Times New Roman" w:cs="Times New Roman"/>
          <w:sz w:val="24"/>
          <w:szCs w:val="24"/>
        </w:rPr>
        <w:lastRenderedPageBreak/>
        <w:t xml:space="preserve">FERC considers the impact of the rule to be very minimal.  </w:t>
      </w:r>
      <w:r w:rsidR="00736047">
        <w:rPr>
          <w:rFonts w:ascii="Times New Roman" w:hAnsi="Times New Roman" w:cs="Times New Roman"/>
          <w:sz w:val="24"/>
          <w:szCs w:val="24"/>
        </w:rPr>
        <w:t xml:space="preserve">In general, small entities may reduce their burden by taking part in a joint organization </w:t>
      </w:r>
      <w:r w:rsidR="00DE23E3">
        <w:rPr>
          <w:rFonts w:ascii="Times New Roman" w:hAnsi="Times New Roman" w:cs="Times New Roman"/>
          <w:sz w:val="24"/>
          <w:szCs w:val="24"/>
        </w:rPr>
        <w:t xml:space="preserve">registration </w:t>
      </w:r>
      <w:r w:rsidR="00736047">
        <w:rPr>
          <w:rFonts w:ascii="Times New Roman" w:hAnsi="Times New Roman" w:cs="Times New Roman"/>
          <w:sz w:val="24"/>
          <w:szCs w:val="24"/>
        </w:rPr>
        <w:t>or a coordinated functional registration.  These options allow a small entity to share the compliance burden with other entities and, thus, to minimize their own compliance burden.</w:t>
      </w:r>
      <w:r w:rsidR="0093102B">
        <w:rPr>
          <w:rFonts w:ascii="Times New Roman" w:hAnsi="Times New Roman" w:cs="Times New Roman"/>
          <w:sz w:val="24"/>
          <w:szCs w:val="24"/>
        </w:rPr>
        <w:t xml:space="preserve"> Detailed information regarding these options is available in NERC’s Rule of Procedure at Sections 507 and 508</w:t>
      </w:r>
      <w:r w:rsidR="0093102B" w:rsidRPr="00DD79FB">
        <w:rPr>
          <w:rStyle w:val="FootnoteReference"/>
          <w:rFonts w:ascii="Times New Roman" w:hAnsi="Times New Roman" w:cs="Times New Roman"/>
          <w:sz w:val="24"/>
          <w:szCs w:val="24"/>
          <w:vertAlign w:val="superscript"/>
        </w:rPr>
        <w:footnoteReference w:id="9"/>
      </w:r>
      <w:r w:rsidR="0093102B">
        <w:rPr>
          <w:rFonts w:ascii="Times New Roman" w:hAnsi="Times New Roman" w:cs="Times New Roman"/>
          <w:sz w:val="24"/>
          <w:szCs w:val="24"/>
        </w:rPr>
        <w:t>.</w:t>
      </w:r>
    </w:p>
    <w:p w14:paraId="4BCC3D9A" w14:textId="77777777" w:rsidR="007A04A8" w:rsidRDefault="007A04A8" w:rsidP="00EB3E6F">
      <w:pPr>
        <w:spacing w:after="0"/>
        <w:rPr>
          <w:rFonts w:ascii="Times New Roman" w:hAnsi="Times New Roman" w:cs="Times New Roman"/>
          <w:sz w:val="24"/>
          <w:szCs w:val="24"/>
        </w:rPr>
      </w:pPr>
    </w:p>
    <w:p w14:paraId="7564270A" w14:textId="77777777" w:rsidR="007A04A8" w:rsidRDefault="007A04A8" w:rsidP="00EB3E6F">
      <w:pPr>
        <w:spacing w:after="0"/>
        <w:rPr>
          <w:rFonts w:ascii="Times New Roman" w:hAnsi="Times New Roman" w:cs="Times New Roman"/>
          <w:sz w:val="24"/>
          <w:szCs w:val="24"/>
        </w:rPr>
      </w:pPr>
      <w:r>
        <w:rPr>
          <w:rFonts w:ascii="Times New Roman" w:hAnsi="Times New Roman" w:cs="Times New Roman"/>
          <w:sz w:val="24"/>
          <w:szCs w:val="24"/>
        </w:rPr>
        <w:t xml:space="preserve">In this </w:t>
      </w:r>
      <w:r w:rsidR="000621AE">
        <w:rPr>
          <w:rFonts w:ascii="Times New Roman" w:hAnsi="Times New Roman" w:cs="Times New Roman"/>
          <w:sz w:val="24"/>
          <w:szCs w:val="24"/>
        </w:rPr>
        <w:t>order</w:t>
      </w:r>
      <w:r>
        <w:rPr>
          <w:rFonts w:ascii="Times New Roman" w:hAnsi="Times New Roman" w:cs="Times New Roman"/>
          <w:sz w:val="24"/>
          <w:szCs w:val="24"/>
        </w:rPr>
        <w:t xml:space="preserve">, the approved changes are estimated to cost </w:t>
      </w:r>
      <w:r w:rsidR="00CB04FF">
        <w:rPr>
          <w:rFonts w:ascii="Times New Roman" w:hAnsi="Times New Roman" w:cs="Times New Roman"/>
          <w:sz w:val="24"/>
          <w:szCs w:val="24"/>
        </w:rPr>
        <w:t xml:space="preserve">small </w:t>
      </w:r>
      <w:r w:rsidR="009F4EEC">
        <w:rPr>
          <w:rFonts w:ascii="Times New Roman" w:hAnsi="Times New Roman" w:cs="Times New Roman"/>
          <w:sz w:val="24"/>
          <w:szCs w:val="24"/>
        </w:rPr>
        <w:t xml:space="preserve">(and large) </w:t>
      </w:r>
      <w:r w:rsidR="00CB04FF">
        <w:rPr>
          <w:rFonts w:ascii="Times New Roman" w:hAnsi="Times New Roman" w:cs="Times New Roman"/>
          <w:sz w:val="24"/>
          <w:szCs w:val="24"/>
        </w:rPr>
        <w:t xml:space="preserve">entities approximately </w:t>
      </w:r>
      <w:r w:rsidR="000621AE">
        <w:rPr>
          <w:rFonts w:ascii="Times New Roman" w:hAnsi="Times New Roman" w:cs="Times New Roman"/>
          <w:sz w:val="24"/>
          <w:szCs w:val="24"/>
        </w:rPr>
        <w:t>$1,114</w:t>
      </w:r>
      <w:r w:rsidR="007E6BD9">
        <w:rPr>
          <w:rFonts w:ascii="Times New Roman" w:hAnsi="Times New Roman" w:cs="Times New Roman"/>
          <w:sz w:val="24"/>
          <w:szCs w:val="24"/>
        </w:rPr>
        <w:t xml:space="preserve"> </w:t>
      </w:r>
      <w:r>
        <w:rPr>
          <w:rFonts w:ascii="Times New Roman" w:hAnsi="Times New Roman" w:cs="Times New Roman"/>
          <w:sz w:val="24"/>
          <w:szCs w:val="24"/>
        </w:rPr>
        <w:t>which Commission staff considers minimal.</w:t>
      </w:r>
    </w:p>
    <w:p w14:paraId="1E3AB2A1" w14:textId="77777777" w:rsidR="001348AC" w:rsidRDefault="001348AC" w:rsidP="00EB3E6F">
      <w:pPr>
        <w:spacing w:after="0"/>
        <w:rPr>
          <w:rFonts w:ascii="Times New Roman" w:hAnsi="Times New Roman" w:cs="Times New Roman"/>
          <w:sz w:val="24"/>
          <w:szCs w:val="24"/>
        </w:rPr>
      </w:pPr>
    </w:p>
    <w:p w14:paraId="4CE3980A"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524C9165" w14:textId="77777777" w:rsidR="00EB3E6F" w:rsidRDefault="00EB3E6F" w:rsidP="00EB3E6F">
      <w:pPr>
        <w:spacing w:after="0"/>
        <w:rPr>
          <w:rFonts w:ascii="Times New Roman" w:hAnsi="Times New Roman" w:cs="Times New Roman"/>
          <w:sz w:val="24"/>
          <w:szCs w:val="24"/>
        </w:rPr>
      </w:pPr>
    </w:p>
    <w:p w14:paraId="5E72C0C2" w14:textId="77777777" w:rsidR="00937A89" w:rsidRDefault="007A04A8" w:rsidP="00937A89">
      <w:pPr>
        <w:spacing w:after="0"/>
        <w:rPr>
          <w:rFonts w:ascii="Times New Roman" w:hAnsi="Times New Roman" w:cs="Times New Roman"/>
          <w:sz w:val="24"/>
          <w:szCs w:val="24"/>
        </w:rPr>
      </w:pPr>
      <w:r>
        <w:rPr>
          <w:rFonts w:ascii="Times New Roman" w:hAnsi="Times New Roman" w:cs="Times New Roman"/>
          <w:sz w:val="24"/>
          <w:szCs w:val="24"/>
        </w:rPr>
        <w:t>The ad</w:t>
      </w:r>
      <w:r w:rsidR="009F4EEC">
        <w:rPr>
          <w:rFonts w:ascii="Times New Roman" w:hAnsi="Times New Roman" w:cs="Times New Roman"/>
          <w:sz w:val="24"/>
          <w:szCs w:val="24"/>
        </w:rPr>
        <w:t>ditional burden imposed by this order</w:t>
      </w:r>
      <w:r>
        <w:rPr>
          <w:rFonts w:ascii="Times New Roman" w:hAnsi="Times New Roman" w:cs="Times New Roman"/>
          <w:sz w:val="24"/>
          <w:szCs w:val="24"/>
        </w:rPr>
        <w:t xml:space="preserve"> cannot be conduc</w:t>
      </w:r>
      <w:r w:rsidR="009F4EEC">
        <w:rPr>
          <w:rFonts w:ascii="Times New Roman" w:hAnsi="Times New Roman" w:cs="Times New Roman"/>
          <w:sz w:val="24"/>
          <w:szCs w:val="24"/>
        </w:rPr>
        <w:t>ted less frequently.  The evidence</w:t>
      </w:r>
      <w:r>
        <w:rPr>
          <w:rFonts w:ascii="Times New Roman" w:hAnsi="Times New Roman" w:cs="Times New Roman"/>
          <w:sz w:val="24"/>
          <w:szCs w:val="24"/>
        </w:rPr>
        <w:t xml:space="preserve"> retention requirements are either existing </w:t>
      </w:r>
      <w:r w:rsidR="009B43F8">
        <w:rPr>
          <w:rFonts w:ascii="Times New Roman" w:hAnsi="Times New Roman" w:cs="Times New Roman"/>
          <w:sz w:val="24"/>
          <w:szCs w:val="24"/>
        </w:rPr>
        <w:t>requirements or considered usua</w:t>
      </w:r>
      <w:r>
        <w:rPr>
          <w:rFonts w:ascii="Times New Roman" w:hAnsi="Times New Roman" w:cs="Times New Roman"/>
          <w:sz w:val="24"/>
          <w:szCs w:val="24"/>
        </w:rPr>
        <w:t xml:space="preserve">l business practice.  </w:t>
      </w:r>
    </w:p>
    <w:p w14:paraId="7359AFFC" w14:textId="77777777" w:rsidR="00297631" w:rsidRPr="00EB3E6F" w:rsidRDefault="00297631" w:rsidP="00EB3E6F">
      <w:pPr>
        <w:spacing w:after="0"/>
        <w:rPr>
          <w:rFonts w:ascii="Times New Roman" w:hAnsi="Times New Roman" w:cs="Times New Roman"/>
          <w:sz w:val="24"/>
          <w:szCs w:val="24"/>
        </w:rPr>
      </w:pPr>
    </w:p>
    <w:p w14:paraId="52C14AC3"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5C5DEA30" w14:textId="77777777" w:rsidR="00EB3E6F" w:rsidRDefault="00EB3E6F" w:rsidP="00EB3E6F">
      <w:pPr>
        <w:spacing w:after="0"/>
        <w:rPr>
          <w:rFonts w:ascii="Times New Roman" w:hAnsi="Times New Roman" w:cs="Times New Roman"/>
          <w:sz w:val="24"/>
          <w:szCs w:val="24"/>
        </w:rPr>
      </w:pPr>
    </w:p>
    <w:p w14:paraId="19EE1AFE" w14:textId="77777777" w:rsidR="00E954EE" w:rsidRPr="001C7753" w:rsidRDefault="00C87022" w:rsidP="00E954EE">
      <w:pPr>
        <w:spacing w:after="0" w:line="240" w:lineRule="auto"/>
        <w:rPr>
          <w:rFonts w:ascii="Times New Roman" w:hAnsi="Times New Roman"/>
          <w:sz w:val="24"/>
          <w:szCs w:val="24"/>
        </w:rPr>
      </w:pPr>
      <w:r>
        <w:rPr>
          <w:rFonts w:ascii="Times New Roman" w:hAnsi="Times New Roman"/>
          <w:sz w:val="24"/>
          <w:szCs w:val="24"/>
        </w:rPr>
        <w:t>There are no</w:t>
      </w:r>
      <w:r w:rsidR="00E954EE" w:rsidRPr="001C7753">
        <w:rPr>
          <w:rFonts w:ascii="Times New Roman" w:hAnsi="Times New Roman"/>
          <w:sz w:val="24"/>
          <w:szCs w:val="24"/>
        </w:rPr>
        <w:t xml:space="preserve"> special circumstances as described in 5 CFR 1320.5(d)(2) related</w:t>
      </w:r>
      <w:r>
        <w:rPr>
          <w:rFonts w:ascii="Times New Roman" w:hAnsi="Times New Roman"/>
          <w:sz w:val="24"/>
          <w:szCs w:val="24"/>
        </w:rPr>
        <w:t xml:space="preserve"> to this information collection.</w:t>
      </w:r>
    </w:p>
    <w:p w14:paraId="5E8E36CC" w14:textId="77777777" w:rsidR="00F15461" w:rsidRPr="001C7753" w:rsidRDefault="00F15461" w:rsidP="009B43F8">
      <w:pPr>
        <w:autoSpaceDE w:val="0"/>
        <w:autoSpaceDN w:val="0"/>
        <w:adjustRightInd w:val="0"/>
        <w:spacing w:after="0" w:line="240" w:lineRule="auto"/>
        <w:rPr>
          <w:rFonts w:ascii="Times New Roman" w:hAnsi="Times New Roman"/>
          <w:sz w:val="24"/>
          <w:szCs w:val="24"/>
        </w:rPr>
      </w:pPr>
    </w:p>
    <w:p w14:paraId="10D9169D"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73454B17" w14:textId="77777777" w:rsidR="00EB3E6F" w:rsidRDefault="00EB3E6F" w:rsidP="00EB3E6F">
      <w:pPr>
        <w:spacing w:after="0"/>
        <w:rPr>
          <w:rFonts w:ascii="Times New Roman" w:hAnsi="Times New Roman" w:cs="Times New Roman"/>
          <w:sz w:val="24"/>
          <w:szCs w:val="24"/>
        </w:rPr>
      </w:pPr>
    </w:p>
    <w:p w14:paraId="445EAB30" w14:textId="77777777" w:rsidR="001F1AD9" w:rsidRDefault="002C1BFB" w:rsidP="00EB3E6F">
      <w:pPr>
        <w:spacing w:after="0"/>
        <w:rPr>
          <w:rFonts w:ascii="Times New Roman" w:hAnsi="Times New Roman" w:cs="Times New Roman"/>
          <w:sz w:val="24"/>
          <w:szCs w:val="24"/>
        </w:rPr>
      </w:pPr>
      <w:r w:rsidRPr="002C1BFB">
        <w:rPr>
          <w:rFonts w:ascii="Times New Roman" w:hAnsi="Times New Roman" w:cs="Times New Roman"/>
          <w:sz w:val="24"/>
          <w:szCs w:val="24"/>
        </w:rPr>
        <w:t>The ERO process to establish Reliability Standards is a collaborative process with the ERO, Regional Entities</w:t>
      </w:r>
      <w:r>
        <w:rPr>
          <w:rFonts w:ascii="Times New Roman" w:hAnsi="Times New Roman" w:cs="Times New Roman"/>
          <w:sz w:val="24"/>
          <w:szCs w:val="24"/>
        </w:rPr>
        <w:t>,</w:t>
      </w:r>
      <w:r w:rsidRPr="002C1BFB">
        <w:rPr>
          <w:rFonts w:ascii="Times New Roman" w:hAnsi="Times New Roman" w:cs="Times New Roman"/>
          <w:sz w:val="24"/>
          <w:szCs w:val="24"/>
        </w:rPr>
        <w:t xml:space="preserve"> and other stakeholders </w:t>
      </w:r>
      <w:r>
        <w:rPr>
          <w:rFonts w:ascii="Times New Roman" w:hAnsi="Times New Roman" w:cs="Times New Roman"/>
          <w:sz w:val="24"/>
          <w:szCs w:val="24"/>
        </w:rPr>
        <w:t>developing and reviewing drafts</w:t>
      </w:r>
      <w:r w:rsidRPr="002C1BFB">
        <w:rPr>
          <w:rFonts w:ascii="Times New Roman" w:hAnsi="Times New Roman" w:cs="Times New Roman"/>
          <w:sz w:val="24"/>
          <w:szCs w:val="24"/>
        </w:rPr>
        <w:t xml:space="preserve"> and providing </w:t>
      </w:r>
      <w:r>
        <w:rPr>
          <w:rFonts w:ascii="Times New Roman" w:hAnsi="Times New Roman" w:cs="Times New Roman"/>
          <w:sz w:val="24"/>
          <w:szCs w:val="24"/>
        </w:rPr>
        <w:t>comments.  T</w:t>
      </w:r>
      <w:r w:rsidR="0045446A">
        <w:rPr>
          <w:rFonts w:ascii="Times New Roman" w:hAnsi="Times New Roman" w:cs="Times New Roman"/>
          <w:sz w:val="24"/>
          <w:szCs w:val="24"/>
        </w:rPr>
        <w:t>he</w:t>
      </w:r>
      <w:r w:rsidRPr="002C1BFB">
        <w:rPr>
          <w:rFonts w:ascii="Times New Roman" w:hAnsi="Times New Roman" w:cs="Times New Roman"/>
          <w:sz w:val="24"/>
          <w:szCs w:val="24"/>
        </w:rPr>
        <w:t xml:space="preserve"> </w:t>
      </w:r>
      <w:r w:rsidR="006C04ED">
        <w:rPr>
          <w:rFonts w:ascii="Times New Roman" w:hAnsi="Times New Roman" w:cs="Times New Roman"/>
          <w:sz w:val="24"/>
          <w:szCs w:val="24"/>
        </w:rPr>
        <w:t>R</w:t>
      </w:r>
      <w:r>
        <w:rPr>
          <w:rFonts w:ascii="Times New Roman" w:hAnsi="Times New Roman" w:cs="Times New Roman"/>
          <w:sz w:val="24"/>
          <w:szCs w:val="24"/>
        </w:rPr>
        <w:t xml:space="preserve">eliability </w:t>
      </w:r>
      <w:r w:rsidR="006C04ED">
        <w:rPr>
          <w:rFonts w:ascii="Times New Roman" w:hAnsi="Times New Roman" w:cs="Times New Roman"/>
          <w:sz w:val="24"/>
          <w:szCs w:val="24"/>
        </w:rPr>
        <w:t>S</w:t>
      </w:r>
      <w:r w:rsidRPr="002C1BFB">
        <w:rPr>
          <w:rFonts w:ascii="Times New Roman" w:hAnsi="Times New Roman" w:cs="Times New Roman"/>
          <w:sz w:val="24"/>
          <w:szCs w:val="24"/>
        </w:rPr>
        <w:t xml:space="preserve">tandard </w:t>
      </w:r>
      <w:r w:rsidR="007E3C37">
        <w:rPr>
          <w:rFonts w:ascii="Times New Roman" w:hAnsi="Times New Roman" w:cs="Times New Roman"/>
          <w:sz w:val="24"/>
          <w:szCs w:val="24"/>
        </w:rPr>
        <w:t xml:space="preserve">was </w:t>
      </w:r>
      <w:r w:rsidRPr="002C1BFB">
        <w:rPr>
          <w:rFonts w:ascii="Times New Roman" w:hAnsi="Times New Roman" w:cs="Times New Roman"/>
          <w:sz w:val="24"/>
          <w:szCs w:val="24"/>
        </w:rPr>
        <w:t>submitted to the FERC for review and approval.  In addition, each FERC rulemaking (both proposed and final rules) is pu</w:t>
      </w:r>
      <w:r>
        <w:rPr>
          <w:rFonts w:ascii="Times New Roman" w:hAnsi="Times New Roman" w:cs="Times New Roman"/>
          <w:sz w:val="24"/>
          <w:szCs w:val="24"/>
        </w:rPr>
        <w:t>blished in the Federal Register</w:t>
      </w:r>
      <w:r w:rsidRPr="002C1BFB">
        <w:rPr>
          <w:rFonts w:ascii="Times New Roman" w:hAnsi="Times New Roman" w:cs="Times New Roman"/>
          <w:sz w:val="24"/>
          <w:szCs w:val="24"/>
        </w:rPr>
        <w:t xml:space="preserve"> thereby providing public utilities and licensees, state commissions, Federal agencies, and other interested parties an opportunity to submit data, views, comments or sug</w:t>
      </w:r>
      <w:r w:rsidR="0045446A">
        <w:rPr>
          <w:rFonts w:ascii="Times New Roman" w:hAnsi="Times New Roman" w:cs="Times New Roman"/>
          <w:sz w:val="24"/>
          <w:szCs w:val="24"/>
        </w:rPr>
        <w:t>gestions concerning the approved</w:t>
      </w:r>
      <w:r w:rsidR="002E65AE">
        <w:rPr>
          <w:rFonts w:ascii="Times New Roman" w:hAnsi="Times New Roman" w:cs="Times New Roman"/>
          <w:sz w:val="24"/>
          <w:szCs w:val="24"/>
        </w:rPr>
        <w:t xml:space="preserve"> collection of data. </w:t>
      </w:r>
      <w:r w:rsidR="007C390B">
        <w:rPr>
          <w:rFonts w:ascii="Times New Roman" w:hAnsi="Times New Roman" w:cs="Times New Roman"/>
          <w:sz w:val="24"/>
          <w:szCs w:val="24"/>
        </w:rPr>
        <w:t xml:space="preserve"> </w:t>
      </w:r>
      <w:r w:rsidR="002E65AE">
        <w:rPr>
          <w:rFonts w:ascii="Times New Roman" w:hAnsi="Times New Roman" w:cs="Times New Roman"/>
          <w:sz w:val="24"/>
          <w:szCs w:val="24"/>
        </w:rPr>
        <w:t xml:space="preserve">The </w:t>
      </w:r>
      <w:r w:rsidR="0094129A">
        <w:rPr>
          <w:rFonts w:ascii="Times New Roman" w:hAnsi="Times New Roman" w:cs="Times New Roman"/>
          <w:sz w:val="24"/>
          <w:szCs w:val="24"/>
        </w:rPr>
        <w:t>Commission issued</w:t>
      </w:r>
      <w:r w:rsidR="002E65AE">
        <w:rPr>
          <w:rFonts w:ascii="Times New Roman" w:hAnsi="Times New Roman" w:cs="Times New Roman"/>
          <w:sz w:val="24"/>
          <w:szCs w:val="24"/>
        </w:rPr>
        <w:t xml:space="preserve"> a 60-day</w:t>
      </w:r>
      <w:r w:rsidR="0094129A">
        <w:rPr>
          <w:rFonts w:ascii="Times New Roman" w:hAnsi="Times New Roman" w:cs="Times New Roman"/>
          <w:sz w:val="24"/>
          <w:szCs w:val="24"/>
        </w:rPr>
        <w:t xml:space="preserve"> comment request within the order in Docket No. RD14-14-000</w:t>
      </w:r>
      <w:r w:rsidR="0094129A" w:rsidRPr="0094129A">
        <w:rPr>
          <w:rStyle w:val="FootnoteReference"/>
          <w:rFonts w:ascii="Times New Roman" w:hAnsi="Times New Roman" w:cs="Times New Roman"/>
          <w:sz w:val="24"/>
          <w:szCs w:val="24"/>
          <w:vertAlign w:val="superscript"/>
        </w:rPr>
        <w:footnoteReference w:id="10"/>
      </w:r>
      <w:r w:rsidR="002E65AE" w:rsidRPr="0094129A">
        <w:rPr>
          <w:rFonts w:ascii="Times New Roman" w:hAnsi="Times New Roman" w:cs="Times New Roman"/>
          <w:sz w:val="24"/>
          <w:szCs w:val="24"/>
          <w:vertAlign w:val="superscript"/>
        </w:rPr>
        <w:t xml:space="preserve"> </w:t>
      </w:r>
      <w:r w:rsidR="002E65AE">
        <w:rPr>
          <w:rFonts w:ascii="Times New Roman" w:hAnsi="Times New Roman" w:cs="Times New Roman"/>
          <w:sz w:val="24"/>
          <w:szCs w:val="24"/>
        </w:rPr>
        <w:t xml:space="preserve">and </w:t>
      </w:r>
      <w:r w:rsidR="00557AA3">
        <w:rPr>
          <w:rFonts w:ascii="Times New Roman" w:hAnsi="Times New Roman" w:cs="Times New Roman"/>
          <w:sz w:val="24"/>
          <w:szCs w:val="24"/>
        </w:rPr>
        <w:t xml:space="preserve">published </w:t>
      </w:r>
      <w:r w:rsidR="002E65AE">
        <w:rPr>
          <w:rFonts w:ascii="Times New Roman" w:hAnsi="Times New Roman" w:cs="Times New Roman"/>
          <w:sz w:val="24"/>
          <w:szCs w:val="24"/>
        </w:rPr>
        <w:t>a 30-day</w:t>
      </w:r>
      <w:r w:rsidR="002E65AE" w:rsidRPr="0094129A">
        <w:rPr>
          <w:rStyle w:val="FootnoteReference"/>
          <w:rFonts w:ascii="Times New Roman" w:hAnsi="Times New Roman" w:cs="Times New Roman"/>
          <w:sz w:val="24"/>
          <w:szCs w:val="24"/>
          <w:vertAlign w:val="superscript"/>
        </w:rPr>
        <w:footnoteReference w:id="11"/>
      </w:r>
      <w:r w:rsidR="002E65AE" w:rsidRPr="0094129A">
        <w:rPr>
          <w:rFonts w:ascii="Times New Roman" w:hAnsi="Times New Roman" w:cs="Times New Roman"/>
          <w:sz w:val="24"/>
          <w:szCs w:val="24"/>
          <w:vertAlign w:val="superscript"/>
        </w:rPr>
        <w:t xml:space="preserve"> </w:t>
      </w:r>
      <w:r w:rsidR="002E65AE">
        <w:rPr>
          <w:rFonts w:ascii="Times New Roman" w:hAnsi="Times New Roman" w:cs="Times New Roman"/>
          <w:sz w:val="24"/>
          <w:szCs w:val="24"/>
        </w:rPr>
        <w:t>public notice in the Federal Register requesting comment fr</w:t>
      </w:r>
      <w:r w:rsidR="00557AA3">
        <w:rPr>
          <w:rFonts w:ascii="Times New Roman" w:hAnsi="Times New Roman" w:cs="Times New Roman"/>
          <w:sz w:val="24"/>
          <w:szCs w:val="24"/>
        </w:rPr>
        <w:t>om the public.</w:t>
      </w:r>
    </w:p>
    <w:p w14:paraId="5CD64A05" w14:textId="76065F8E" w:rsidR="00AA0264" w:rsidRDefault="00AA0264" w:rsidP="00EB3E6F">
      <w:pPr>
        <w:spacing w:after="0"/>
        <w:rPr>
          <w:rFonts w:ascii="Times New Roman" w:hAnsi="Times New Roman" w:cs="Times New Roman"/>
          <w:sz w:val="24"/>
          <w:szCs w:val="24"/>
        </w:rPr>
      </w:pPr>
    </w:p>
    <w:p w14:paraId="31CF3A8F" w14:textId="1FE8FE55" w:rsidR="00AA0264" w:rsidRDefault="00AA0264" w:rsidP="00EB3E6F">
      <w:pPr>
        <w:spacing w:after="0"/>
        <w:rPr>
          <w:rFonts w:ascii="Times New Roman" w:hAnsi="Times New Roman" w:cs="Times New Roman"/>
          <w:sz w:val="24"/>
          <w:szCs w:val="24"/>
        </w:rPr>
      </w:pPr>
      <w:r>
        <w:rPr>
          <w:rFonts w:ascii="Times New Roman" w:hAnsi="Times New Roman" w:cs="Times New Roman"/>
          <w:sz w:val="24"/>
          <w:szCs w:val="24"/>
        </w:rPr>
        <w:lastRenderedPageBreak/>
        <w:t>NOTE: Within the ROCIS metadata, the 60-day notice citation is the same as the 30-day notice.  The FERC issuance citation is: 151 FERC 61129 (5/13/2015).</w:t>
      </w:r>
    </w:p>
    <w:p w14:paraId="7EDA37C3" w14:textId="77777777" w:rsidR="00D64890" w:rsidRPr="00D64890" w:rsidRDefault="00D64890" w:rsidP="00D64890">
      <w:pPr>
        <w:spacing w:after="0"/>
        <w:rPr>
          <w:rFonts w:ascii="Times New Roman" w:hAnsi="Times New Roman" w:cs="Times New Roman"/>
          <w:sz w:val="24"/>
          <w:szCs w:val="24"/>
        </w:rPr>
      </w:pPr>
    </w:p>
    <w:p w14:paraId="149A2030"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77D19E16" w14:textId="77777777" w:rsidR="00D80FBD" w:rsidRDefault="00D80FBD" w:rsidP="00D80FBD">
      <w:pPr>
        <w:spacing w:after="0"/>
        <w:rPr>
          <w:rFonts w:ascii="Times New Roman" w:hAnsi="Times New Roman" w:cs="Times New Roman"/>
          <w:sz w:val="24"/>
          <w:szCs w:val="24"/>
        </w:rPr>
      </w:pPr>
    </w:p>
    <w:p w14:paraId="3FAAAB3A" w14:textId="77777777"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B9413E">
        <w:rPr>
          <w:rFonts w:ascii="Times New Roman" w:hAnsi="Times New Roman" w:cs="Times New Roman"/>
          <w:sz w:val="24"/>
          <w:szCs w:val="24"/>
        </w:rPr>
        <w:t>is</w:t>
      </w:r>
      <w:r w:rsidRPr="008D310F">
        <w:rPr>
          <w:rFonts w:ascii="Times New Roman" w:hAnsi="Times New Roman" w:cs="Times New Roman"/>
          <w:sz w:val="24"/>
          <w:szCs w:val="24"/>
        </w:rPr>
        <w:t xml:space="preserve"> collection.</w:t>
      </w:r>
    </w:p>
    <w:p w14:paraId="1177A604" w14:textId="77777777" w:rsidR="008D310F" w:rsidRPr="00D80FBD" w:rsidRDefault="008D310F" w:rsidP="00D80FBD">
      <w:pPr>
        <w:spacing w:after="0"/>
        <w:rPr>
          <w:rFonts w:ascii="Times New Roman" w:hAnsi="Times New Roman" w:cs="Times New Roman"/>
          <w:sz w:val="24"/>
          <w:szCs w:val="24"/>
        </w:rPr>
      </w:pPr>
    </w:p>
    <w:p w14:paraId="3628A80B"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50C37780" w14:textId="77777777" w:rsidR="00D80FBD" w:rsidRDefault="00D80FBD" w:rsidP="00D80FBD">
      <w:pPr>
        <w:spacing w:after="0"/>
        <w:rPr>
          <w:rFonts w:ascii="Times New Roman" w:hAnsi="Times New Roman" w:cs="Times New Roman"/>
          <w:sz w:val="24"/>
          <w:szCs w:val="24"/>
        </w:rPr>
      </w:pPr>
    </w:p>
    <w:p w14:paraId="75CC4A9B" w14:textId="77777777"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w:t>
      </w:r>
      <w:r w:rsidR="001A4B2D">
        <w:rPr>
          <w:rFonts w:ascii="Times New Roman" w:hAnsi="Times New Roman" w:cs="Times New Roman"/>
          <w:sz w:val="24"/>
          <w:szCs w:val="24"/>
        </w:rPr>
        <w:t>s</w:t>
      </w:r>
      <w:r w:rsidRPr="00147F3A">
        <w:rPr>
          <w:rFonts w:ascii="Times New Roman" w:hAnsi="Times New Roman" w:cs="Times New Roman"/>
          <w:sz w:val="24"/>
          <w:szCs w:val="24"/>
        </w:rPr>
        <w:t xml:space="preserve"> of Procedure</w:t>
      </w:r>
      <w:r w:rsidR="0031788D">
        <w:rPr>
          <w:rFonts w:ascii="Times New Roman" w:hAnsi="Times New Roman" w:cs="Times New Roman"/>
          <w:sz w:val="24"/>
          <w:szCs w:val="24"/>
        </w:rPr>
        <w:t xml:space="preserve"> 1502,</w:t>
      </w:r>
      <w:r w:rsidRPr="001507E4">
        <w:rPr>
          <w:rStyle w:val="FootnoteReference"/>
          <w:rFonts w:ascii="Times New Roman" w:hAnsi="Times New Roman" w:cs="Times New Roman"/>
          <w:sz w:val="24"/>
          <w:szCs w:val="24"/>
          <w:vertAlign w:val="superscript"/>
        </w:rPr>
        <w:footnoteReference w:id="12"/>
      </w:r>
      <w:r w:rsidR="0061165E">
        <w:rPr>
          <w:rFonts w:ascii="Times New Roman" w:hAnsi="Times New Roman" w:cs="Times New Roman"/>
          <w:sz w:val="24"/>
          <w:szCs w:val="24"/>
        </w:rPr>
        <w:t xml:space="preserve"> </w:t>
      </w:r>
      <w:r w:rsidRPr="00147F3A">
        <w:rPr>
          <w:rFonts w:ascii="Times New Roman" w:hAnsi="Times New Roman" w:cs="Times New Roman"/>
          <w:sz w:val="24"/>
          <w:szCs w:val="24"/>
        </w:rPr>
        <w:t>“</w:t>
      </w:r>
      <w:r w:rsidR="001C7753">
        <w:rPr>
          <w:rFonts w:ascii="Times New Roman" w:hAnsi="Times New Roman" w:cs="Times New Roman"/>
          <w:sz w:val="24"/>
          <w:szCs w:val="24"/>
        </w:rPr>
        <w:t>….</w:t>
      </w:r>
      <w:r w:rsidRPr="00147F3A">
        <w:rPr>
          <w:rFonts w:ascii="Times New Roman" w:hAnsi="Times New Roman" w:cs="Times New Roman"/>
          <w:sz w:val="24"/>
          <w:szCs w:val="24"/>
        </w:rPr>
        <w:t>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14:paraId="395705BC" w14:textId="77777777" w:rsidR="002C1BFB" w:rsidRDefault="002C1BFB" w:rsidP="002C1BFB">
      <w:pPr>
        <w:spacing w:after="0"/>
        <w:rPr>
          <w:rFonts w:ascii="Times New Roman" w:hAnsi="Times New Roman" w:cs="Times New Roman"/>
          <w:sz w:val="24"/>
          <w:szCs w:val="24"/>
        </w:rPr>
      </w:pPr>
    </w:p>
    <w:p w14:paraId="5A83C6A6" w14:textId="77777777"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t>Responding entities do not submit the informat</w:t>
      </w:r>
      <w:r w:rsidR="009B43F8">
        <w:rPr>
          <w:rFonts w:ascii="Times New Roman" w:hAnsi="Times New Roman" w:cs="Times New Roman"/>
          <w:sz w:val="24"/>
          <w:szCs w:val="24"/>
        </w:rPr>
        <w:t>ion collected under the approved</w:t>
      </w:r>
      <w:r>
        <w:rPr>
          <w:rFonts w:ascii="Times New Roman" w:hAnsi="Times New Roman" w:cs="Times New Roman"/>
          <w:sz w:val="24"/>
          <w:szCs w:val="24"/>
        </w:rPr>
        <w:t xml:space="preserve"> Reliability Standard to FERC.  Rather, they maintain it internally.  Since there are no submissions made to FERC, FERC provides no specific provisions in order to protect confidentiality</w:t>
      </w:r>
      <w:r w:rsidR="0031788D">
        <w:rPr>
          <w:rFonts w:ascii="Times New Roman" w:hAnsi="Times New Roman" w:cs="Times New Roman"/>
          <w:sz w:val="24"/>
          <w:szCs w:val="24"/>
        </w:rPr>
        <w:t xml:space="preserve"> unless and until any such information is submitted to FERC as part of an enforcement action or other compliance process</w:t>
      </w:r>
      <w:r>
        <w:rPr>
          <w:rFonts w:ascii="Times New Roman" w:hAnsi="Times New Roman" w:cs="Times New Roman"/>
          <w:sz w:val="24"/>
          <w:szCs w:val="24"/>
        </w:rPr>
        <w:t xml:space="preserve">. </w:t>
      </w:r>
    </w:p>
    <w:p w14:paraId="0C68C7D8" w14:textId="77777777" w:rsidR="008D310F" w:rsidRPr="00D80FBD" w:rsidRDefault="008D310F" w:rsidP="00D80FBD">
      <w:pPr>
        <w:spacing w:after="0"/>
        <w:rPr>
          <w:rFonts w:ascii="Times New Roman" w:hAnsi="Times New Roman" w:cs="Times New Roman"/>
          <w:sz w:val="24"/>
          <w:szCs w:val="24"/>
        </w:rPr>
      </w:pPr>
    </w:p>
    <w:p w14:paraId="2AC74E69"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004C5E0E" w:rsidRP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3B17DAAD" w14:textId="77777777" w:rsidR="00D80FBD" w:rsidRDefault="00D80FBD" w:rsidP="00D80FBD">
      <w:pPr>
        <w:spacing w:after="0"/>
        <w:rPr>
          <w:rFonts w:ascii="Times New Roman" w:hAnsi="Times New Roman" w:cs="Times New Roman"/>
          <w:sz w:val="24"/>
          <w:szCs w:val="24"/>
        </w:rPr>
      </w:pPr>
    </w:p>
    <w:p w14:paraId="1D2CF218" w14:textId="77777777" w:rsidR="00D80FBD" w:rsidRDefault="0074195A"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14:paraId="605054FD" w14:textId="77777777" w:rsidR="0074195A" w:rsidRPr="00D80FBD" w:rsidRDefault="0074195A" w:rsidP="00D80FBD">
      <w:pPr>
        <w:spacing w:after="0"/>
        <w:rPr>
          <w:rFonts w:ascii="Times New Roman" w:hAnsi="Times New Roman" w:cs="Times New Roman"/>
          <w:sz w:val="24"/>
          <w:szCs w:val="24"/>
        </w:rPr>
      </w:pPr>
    </w:p>
    <w:p w14:paraId="04D958B0"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212C0532" w14:textId="77777777" w:rsidR="00D80FBD" w:rsidRDefault="00D80FBD" w:rsidP="00D80FBD">
      <w:pPr>
        <w:spacing w:after="0"/>
        <w:rPr>
          <w:rFonts w:ascii="Times New Roman" w:hAnsi="Times New Roman" w:cs="Times New Roman"/>
          <w:sz w:val="24"/>
          <w:szCs w:val="24"/>
        </w:rPr>
      </w:pPr>
    </w:p>
    <w:p w14:paraId="30D01DEA" w14:textId="77777777" w:rsidR="00247B75" w:rsidRDefault="00E954EE" w:rsidP="00E954EE">
      <w:pPr>
        <w:spacing w:after="0"/>
        <w:rPr>
          <w:rFonts w:ascii="Times New Roman" w:hAnsi="Times New Roman" w:cs="Times New Roman"/>
          <w:sz w:val="24"/>
          <w:szCs w:val="24"/>
        </w:rPr>
      </w:pPr>
      <w:r w:rsidRPr="00E954EE">
        <w:rPr>
          <w:rFonts w:ascii="Times New Roman" w:hAnsi="Times New Roman" w:cs="Times New Roman"/>
          <w:sz w:val="24"/>
          <w:szCs w:val="24"/>
        </w:rPr>
        <w:t>According to the NERC Compliance Registry</w:t>
      </w:r>
      <w:r w:rsidR="00417400">
        <w:rPr>
          <w:rFonts w:ascii="Times New Roman" w:hAnsi="Times New Roman" w:cs="Times New Roman"/>
          <w:sz w:val="24"/>
          <w:szCs w:val="24"/>
        </w:rPr>
        <w:t xml:space="preserve"> as of </w:t>
      </w:r>
      <w:r w:rsidR="005628A2">
        <w:rPr>
          <w:rFonts w:ascii="Times New Roman" w:hAnsi="Times New Roman" w:cs="Times New Roman"/>
          <w:sz w:val="24"/>
          <w:szCs w:val="24"/>
        </w:rPr>
        <w:t>1</w:t>
      </w:r>
      <w:r w:rsidR="00E45F58">
        <w:rPr>
          <w:rFonts w:ascii="Times New Roman" w:hAnsi="Times New Roman" w:cs="Times New Roman"/>
          <w:sz w:val="24"/>
          <w:szCs w:val="24"/>
        </w:rPr>
        <w:t>/</w:t>
      </w:r>
      <w:r w:rsidR="005628A2">
        <w:rPr>
          <w:rFonts w:ascii="Times New Roman" w:hAnsi="Times New Roman" w:cs="Times New Roman"/>
          <w:sz w:val="24"/>
          <w:szCs w:val="24"/>
        </w:rPr>
        <w:t>30</w:t>
      </w:r>
      <w:r w:rsidR="002E3C5B">
        <w:rPr>
          <w:rFonts w:ascii="Times New Roman" w:hAnsi="Times New Roman" w:cs="Times New Roman"/>
          <w:sz w:val="24"/>
          <w:szCs w:val="24"/>
        </w:rPr>
        <w:t>/201</w:t>
      </w:r>
      <w:r w:rsidR="00CF78E6">
        <w:rPr>
          <w:rFonts w:ascii="Times New Roman" w:hAnsi="Times New Roman" w:cs="Times New Roman"/>
          <w:sz w:val="24"/>
          <w:szCs w:val="24"/>
        </w:rPr>
        <w:t>5</w:t>
      </w:r>
      <w:r w:rsidR="00E45F58">
        <w:rPr>
          <w:rFonts w:ascii="Times New Roman" w:hAnsi="Times New Roman" w:cs="Times New Roman"/>
          <w:sz w:val="24"/>
          <w:szCs w:val="24"/>
        </w:rPr>
        <w:t xml:space="preserve">, there are </w:t>
      </w:r>
      <w:r w:rsidR="005628A2">
        <w:rPr>
          <w:rFonts w:ascii="Times New Roman" w:hAnsi="Times New Roman" w:cs="Times New Roman"/>
          <w:sz w:val="24"/>
          <w:szCs w:val="24"/>
        </w:rPr>
        <w:t>326 transmission owners, 914 generator owners, and 471 distribution providers that are</w:t>
      </w:r>
      <w:r w:rsidR="0031788D">
        <w:rPr>
          <w:rFonts w:ascii="Times New Roman" w:hAnsi="Times New Roman" w:cs="Times New Roman"/>
          <w:sz w:val="24"/>
          <w:szCs w:val="24"/>
        </w:rPr>
        <w:t xml:space="preserve"> </w:t>
      </w:r>
      <w:r w:rsidR="005A409F">
        <w:rPr>
          <w:rFonts w:ascii="Times New Roman" w:hAnsi="Times New Roman" w:cs="Times New Roman"/>
          <w:sz w:val="24"/>
          <w:szCs w:val="24"/>
        </w:rPr>
        <w:t xml:space="preserve">required to comply with this </w:t>
      </w:r>
      <w:r w:rsidR="006C04ED">
        <w:rPr>
          <w:rFonts w:ascii="Times New Roman" w:hAnsi="Times New Roman" w:cs="Times New Roman"/>
          <w:sz w:val="24"/>
          <w:szCs w:val="24"/>
        </w:rPr>
        <w:t>R</w:t>
      </w:r>
      <w:r w:rsidR="005A409F">
        <w:rPr>
          <w:rFonts w:ascii="Times New Roman" w:hAnsi="Times New Roman" w:cs="Times New Roman"/>
          <w:sz w:val="24"/>
          <w:szCs w:val="24"/>
        </w:rPr>
        <w:t xml:space="preserve">eliability </w:t>
      </w:r>
      <w:r w:rsidR="006C04ED">
        <w:rPr>
          <w:rFonts w:ascii="Times New Roman" w:hAnsi="Times New Roman" w:cs="Times New Roman"/>
          <w:sz w:val="24"/>
          <w:szCs w:val="24"/>
        </w:rPr>
        <w:t>S</w:t>
      </w:r>
      <w:r w:rsidR="005A409F">
        <w:rPr>
          <w:rFonts w:ascii="Times New Roman" w:hAnsi="Times New Roman" w:cs="Times New Roman"/>
          <w:sz w:val="24"/>
          <w:szCs w:val="24"/>
        </w:rPr>
        <w:t>tandard</w:t>
      </w:r>
      <w:r w:rsidR="005628A2">
        <w:rPr>
          <w:rFonts w:ascii="Times New Roman" w:hAnsi="Times New Roman" w:cs="Times New Roman"/>
          <w:sz w:val="24"/>
          <w:szCs w:val="24"/>
        </w:rPr>
        <w:t xml:space="preserve">.  Under NERC’s compliance registration program, entities may be registered for multiple functions, so these numbers may incorporate some double-counting. The total number of unique entities </w:t>
      </w:r>
      <w:r w:rsidR="00690EF1">
        <w:rPr>
          <w:rFonts w:ascii="Times New Roman" w:hAnsi="Times New Roman" w:cs="Times New Roman"/>
          <w:sz w:val="24"/>
          <w:szCs w:val="24"/>
        </w:rPr>
        <w:t>identified as a notification provider in accordance with Reliability Standard PRC-004-3 is approximately 659 entities registered as a transmission owner, generator owner, distribution provider, or a combination of these three roles.</w:t>
      </w:r>
    </w:p>
    <w:p w14:paraId="3B18702D" w14:textId="77777777" w:rsidR="00720C5A" w:rsidRDefault="00720C5A" w:rsidP="00E954EE">
      <w:pPr>
        <w:spacing w:after="0"/>
        <w:rPr>
          <w:rFonts w:ascii="Times New Roman" w:hAnsi="Times New Roman" w:cs="Times New Roman"/>
          <w:sz w:val="24"/>
          <w:szCs w:val="24"/>
        </w:rPr>
      </w:pPr>
    </w:p>
    <w:p w14:paraId="339443D8" w14:textId="77777777" w:rsidR="00EA5E3C" w:rsidRPr="001079EB" w:rsidRDefault="00F2786B" w:rsidP="00192362">
      <w:pPr>
        <w:spacing w:after="0"/>
        <w:rPr>
          <w:rFonts w:ascii="Times New Roman" w:hAnsi="Times New Roman" w:cs="Times New Roman"/>
          <w:b/>
          <w:sz w:val="24"/>
          <w:szCs w:val="24"/>
        </w:rPr>
      </w:pPr>
      <w:r>
        <w:rPr>
          <w:rFonts w:ascii="Times New Roman" w:hAnsi="Times New Roman" w:cs="Times New Roman"/>
          <w:sz w:val="24"/>
          <w:szCs w:val="24"/>
        </w:rPr>
        <w:lastRenderedPageBreak/>
        <w:t>There is no</w:t>
      </w:r>
      <w:r w:rsidR="00CF78E6">
        <w:rPr>
          <w:rFonts w:ascii="Times New Roman" w:hAnsi="Times New Roman" w:cs="Times New Roman"/>
          <w:sz w:val="24"/>
          <w:szCs w:val="24"/>
        </w:rPr>
        <w:t xml:space="preserve"> information collection </w:t>
      </w:r>
      <w:r>
        <w:rPr>
          <w:rFonts w:ascii="Times New Roman" w:hAnsi="Times New Roman" w:cs="Times New Roman"/>
          <w:sz w:val="24"/>
          <w:szCs w:val="24"/>
        </w:rPr>
        <w:t>burden</w:t>
      </w:r>
      <w:r w:rsidR="001C7753">
        <w:rPr>
          <w:rFonts w:ascii="Times New Roman" w:hAnsi="Times New Roman" w:cs="Times New Roman"/>
          <w:sz w:val="24"/>
          <w:szCs w:val="24"/>
        </w:rPr>
        <w:t xml:space="preserve"> currently</w:t>
      </w:r>
      <w:r>
        <w:rPr>
          <w:rFonts w:ascii="Times New Roman" w:hAnsi="Times New Roman" w:cs="Times New Roman"/>
          <w:sz w:val="24"/>
          <w:szCs w:val="24"/>
        </w:rPr>
        <w:t xml:space="preserve"> </w:t>
      </w:r>
      <w:r w:rsidR="00CF78E6">
        <w:rPr>
          <w:rFonts w:ascii="Times New Roman" w:hAnsi="Times New Roman" w:cs="Times New Roman"/>
          <w:sz w:val="24"/>
          <w:szCs w:val="24"/>
        </w:rPr>
        <w:t xml:space="preserve">associated with </w:t>
      </w:r>
      <w:r w:rsidR="001079EB">
        <w:rPr>
          <w:rFonts w:ascii="Times New Roman" w:hAnsi="Times New Roman" w:cs="Times New Roman"/>
          <w:sz w:val="24"/>
          <w:szCs w:val="24"/>
        </w:rPr>
        <w:t>FERC-725G</w:t>
      </w:r>
      <w:r>
        <w:rPr>
          <w:rFonts w:ascii="Times New Roman" w:hAnsi="Times New Roman" w:cs="Times New Roman"/>
          <w:sz w:val="24"/>
          <w:szCs w:val="24"/>
        </w:rPr>
        <w:t>1</w:t>
      </w:r>
      <w:r w:rsidR="001079EB">
        <w:rPr>
          <w:rFonts w:ascii="Times New Roman" w:hAnsi="Times New Roman" w:cs="Times New Roman"/>
          <w:sz w:val="24"/>
          <w:szCs w:val="24"/>
        </w:rPr>
        <w:t xml:space="preserve"> (before implementation of the order</w:t>
      </w:r>
      <w:r w:rsidR="004A2342">
        <w:rPr>
          <w:rFonts w:ascii="Times New Roman" w:hAnsi="Times New Roman" w:cs="Times New Roman"/>
          <w:sz w:val="24"/>
          <w:szCs w:val="24"/>
        </w:rPr>
        <w:t>)</w:t>
      </w:r>
      <w:r>
        <w:rPr>
          <w:rFonts w:ascii="Times New Roman" w:hAnsi="Times New Roman" w:cs="Times New Roman"/>
          <w:sz w:val="24"/>
          <w:szCs w:val="24"/>
        </w:rPr>
        <w:t xml:space="preserve">.  </w:t>
      </w:r>
      <w:r w:rsidR="001079EB">
        <w:rPr>
          <w:rFonts w:ascii="Times New Roman" w:hAnsi="Times New Roman" w:cs="Times New Roman"/>
          <w:sz w:val="24"/>
          <w:szCs w:val="24"/>
        </w:rPr>
        <w:t>FERC-725G</w:t>
      </w:r>
      <w:r w:rsidR="001E60F0">
        <w:rPr>
          <w:rFonts w:ascii="Times New Roman" w:hAnsi="Times New Roman" w:cs="Times New Roman"/>
          <w:sz w:val="24"/>
          <w:szCs w:val="24"/>
        </w:rPr>
        <w:t xml:space="preserve">1 </w:t>
      </w:r>
      <w:r>
        <w:rPr>
          <w:rFonts w:ascii="Times New Roman" w:hAnsi="Times New Roman" w:cs="Times New Roman"/>
          <w:sz w:val="24"/>
          <w:szCs w:val="24"/>
        </w:rPr>
        <w:t xml:space="preserve">is </w:t>
      </w:r>
      <w:r w:rsidRPr="00597D22">
        <w:rPr>
          <w:rFonts w:ascii="Times New Roman" w:hAnsi="Times New Roman" w:cs="Times New Roman"/>
          <w:sz w:val="24"/>
          <w:szCs w:val="24"/>
        </w:rPr>
        <w:t xml:space="preserve">a </w:t>
      </w:r>
      <w:r w:rsidRPr="001425BA">
        <w:rPr>
          <w:rFonts w:ascii="Times New Roman" w:hAnsi="Times New Roman" w:cs="Times New Roman"/>
          <w:sz w:val="24"/>
          <w:szCs w:val="24"/>
        </w:rPr>
        <w:t>temporary collection</w:t>
      </w:r>
      <w:r>
        <w:rPr>
          <w:rFonts w:ascii="Times New Roman" w:hAnsi="Times New Roman" w:cs="Times New Roman"/>
          <w:sz w:val="24"/>
          <w:szCs w:val="24"/>
        </w:rPr>
        <w:t xml:space="preserve"> </w:t>
      </w:r>
      <w:r w:rsidR="001E60F0">
        <w:rPr>
          <w:rFonts w:ascii="Times New Roman" w:hAnsi="Times New Roman" w:cs="Times New Roman"/>
          <w:sz w:val="24"/>
          <w:szCs w:val="24"/>
        </w:rPr>
        <w:t xml:space="preserve">number </w:t>
      </w:r>
      <w:r>
        <w:rPr>
          <w:rFonts w:ascii="Times New Roman" w:hAnsi="Times New Roman" w:cs="Times New Roman"/>
          <w:sz w:val="24"/>
          <w:szCs w:val="24"/>
        </w:rPr>
        <w:t xml:space="preserve">to </w:t>
      </w:r>
      <w:r w:rsidR="001E60F0">
        <w:rPr>
          <w:rFonts w:ascii="Times New Roman" w:hAnsi="Times New Roman" w:cs="Times New Roman"/>
          <w:sz w:val="24"/>
          <w:szCs w:val="24"/>
        </w:rPr>
        <w:t xml:space="preserve">enable </w:t>
      </w:r>
      <w:r>
        <w:rPr>
          <w:rFonts w:ascii="Times New Roman" w:hAnsi="Times New Roman" w:cs="Times New Roman"/>
          <w:sz w:val="24"/>
          <w:szCs w:val="24"/>
        </w:rPr>
        <w:t xml:space="preserve">FERC staff </w:t>
      </w:r>
      <w:r w:rsidR="001E60F0">
        <w:rPr>
          <w:rFonts w:ascii="Times New Roman" w:hAnsi="Times New Roman" w:cs="Times New Roman"/>
          <w:sz w:val="24"/>
          <w:szCs w:val="24"/>
        </w:rPr>
        <w:t xml:space="preserve">to submit </w:t>
      </w:r>
      <w:r>
        <w:rPr>
          <w:rFonts w:ascii="Times New Roman" w:hAnsi="Times New Roman" w:cs="Times New Roman"/>
          <w:sz w:val="24"/>
          <w:szCs w:val="24"/>
        </w:rPr>
        <w:t xml:space="preserve">timely </w:t>
      </w:r>
      <w:r w:rsidR="001E60F0">
        <w:rPr>
          <w:rFonts w:ascii="Times New Roman" w:hAnsi="Times New Roman" w:cs="Times New Roman"/>
          <w:sz w:val="24"/>
          <w:szCs w:val="24"/>
        </w:rPr>
        <w:t>t</w:t>
      </w:r>
      <w:r w:rsidR="001079EB">
        <w:rPr>
          <w:rFonts w:ascii="Times New Roman" w:hAnsi="Times New Roman" w:cs="Times New Roman"/>
          <w:sz w:val="24"/>
          <w:szCs w:val="24"/>
        </w:rPr>
        <w:t>o OMB, for PRA review, this order</w:t>
      </w:r>
      <w:r w:rsidR="001E60F0">
        <w:rPr>
          <w:rFonts w:ascii="Times New Roman" w:hAnsi="Times New Roman" w:cs="Times New Roman"/>
          <w:sz w:val="24"/>
          <w:szCs w:val="24"/>
        </w:rPr>
        <w:t xml:space="preserve"> </w:t>
      </w:r>
      <w:r w:rsidR="001079EB">
        <w:rPr>
          <w:rFonts w:ascii="Times New Roman" w:hAnsi="Times New Roman" w:cs="Times New Roman"/>
          <w:sz w:val="24"/>
          <w:szCs w:val="24"/>
        </w:rPr>
        <w:t>with</w:t>
      </w:r>
      <w:r w:rsidR="001E60F0">
        <w:rPr>
          <w:rFonts w:ascii="Times New Roman" w:hAnsi="Times New Roman" w:cs="Times New Roman"/>
          <w:sz w:val="24"/>
          <w:szCs w:val="24"/>
        </w:rPr>
        <w:t>in</w:t>
      </w:r>
      <w:r w:rsidR="006C04ED">
        <w:rPr>
          <w:rFonts w:ascii="Times New Roman" w:hAnsi="Times New Roman" w:cs="Times New Roman"/>
          <w:sz w:val="24"/>
          <w:szCs w:val="24"/>
        </w:rPr>
        <w:t xml:space="preserve"> Docket No.</w:t>
      </w:r>
      <w:r w:rsidR="001E60F0">
        <w:rPr>
          <w:rFonts w:ascii="Times New Roman" w:hAnsi="Times New Roman" w:cs="Times New Roman"/>
          <w:sz w:val="24"/>
          <w:szCs w:val="24"/>
        </w:rPr>
        <w:t xml:space="preserve"> </w:t>
      </w:r>
      <w:r w:rsidR="001079EB">
        <w:rPr>
          <w:rFonts w:ascii="Times New Roman" w:hAnsi="Times New Roman" w:cs="Times New Roman"/>
          <w:sz w:val="24"/>
          <w:szCs w:val="24"/>
        </w:rPr>
        <w:t>RD14-14-000</w:t>
      </w:r>
      <w:r w:rsidR="001E60F0">
        <w:rPr>
          <w:rFonts w:ascii="Times New Roman" w:hAnsi="Times New Roman" w:cs="Times New Roman"/>
          <w:sz w:val="24"/>
          <w:szCs w:val="24"/>
        </w:rPr>
        <w:t xml:space="preserve"> with its corresponding proposed information collection requirements</w:t>
      </w:r>
      <w:r>
        <w:rPr>
          <w:rFonts w:ascii="Times New Roman" w:hAnsi="Times New Roman" w:cs="Times New Roman"/>
          <w:sz w:val="24"/>
          <w:szCs w:val="24"/>
        </w:rPr>
        <w:t xml:space="preserve"> </w:t>
      </w:r>
      <w:r w:rsidR="00991169">
        <w:fldChar w:fldCharType="begin"/>
      </w:r>
      <w:r w:rsidR="00991169">
        <w:instrText xml:space="preserve"> NOTEREF _Ref425256919 \h  \* MERGEFORMAT </w:instrText>
      </w:r>
      <w:r w:rsidR="00991169">
        <w:fldChar w:fldCharType="separate"/>
      </w:r>
      <w:r w:rsidR="004A2342" w:rsidRPr="00636377">
        <w:t>3</w:t>
      </w:r>
      <w:r w:rsidR="00991169">
        <w:fldChar w:fldCharType="end"/>
      </w:r>
      <w:r>
        <w:rPr>
          <w:rFonts w:ascii="Times New Roman" w:hAnsi="Times New Roman" w:cs="Times New Roman"/>
          <w:sz w:val="24"/>
          <w:szCs w:val="24"/>
        </w:rPr>
        <w:t xml:space="preserve"> Currently, other FERC activities are </w:t>
      </w:r>
      <w:r w:rsidR="001E60F0">
        <w:rPr>
          <w:rFonts w:ascii="Times New Roman" w:hAnsi="Times New Roman" w:cs="Times New Roman"/>
          <w:sz w:val="24"/>
          <w:szCs w:val="24"/>
        </w:rPr>
        <w:t xml:space="preserve">pending OMB review of </w:t>
      </w:r>
      <w:r w:rsidR="001C7753">
        <w:rPr>
          <w:rFonts w:ascii="Times New Roman" w:hAnsi="Times New Roman" w:cs="Times New Roman"/>
          <w:sz w:val="24"/>
          <w:szCs w:val="24"/>
        </w:rPr>
        <w:t>the</w:t>
      </w:r>
      <w:r>
        <w:rPr>
          <w:rFonts w:ascii="Times New Roman" w:hAnsi="Times New Roman" w:cs="Times New Roman"/>
          <w:sz w:val="24"/>
          <w:szCs w:val="24"/>
        </w:rPr>
        <w:t xml:space="preserve"> FERC-725P</w:t>
      </w:r>
      <w:r w:rsidR="001C7753">
        <w:rPr>
          <w:rFonts w:ascii="Times New Roman" w:hAnsi="Times New Roman" w:cs="Times New Roman"/>
          <w:sz w:val="24"/>
          <w:szCs w:val="24"/>
        </w:rPr>
        <w:t xml:space="preserve"> information collection (OMB Control No. 1902-0269)</w:t>
      </w:r>
      <w:r w:rsidR="001E60F0">
        <w:rPr>
          <w:rFonts w:ascii="Times New Roman" w:hAnsi="Times New Roman" w:cs="Times New Roman"/>
          <w:sz w:val="24"/>
          <w:szCs w:val="24"/>
        </w:rPr>
        <w:t xml:space="preserve"> and FERC-725G information collection (OMB Control No. </w:t>
      </w:r>
      <w:r w:rsidR="001E60F0" w:rsidRPr="001E60F0">
        <w:rPr>
          <w:rFonts w:ascii="Times New Roman" w:hAnsi="Times New Roman" w:cs="Times New Roman"/>
          <w:sz w:val="24"/>
          <w:szCs w:val="24"/>
        </w:rPr>
        <w:t>1902-0252</w:t>
      </w:r>
      <w:r w:rsidR="001E60F0">
        <w:rPr>
          <w:rFonts w:ascii="Times New Roman" w:hAnsi="Times New Roman" w:cs="Times New Roman"/>
          <w:sz w:val="24"/>
          <w:szCs w:val="24"/>
        </w:rPr>
        <w:t>)</w:t>
      </w:r>
      <w:r w:rsidR="00B11A9F">
        <w:rPr>
          <w:rFonts w:ascii="Times New Roman" w:hAnsi="Times New Roman" w:cs="Times New Roman"/>
          <w:sz w:val="24"/>
          <w:szCs w:val="24"/>
        </w:rPr>
        <w:t>.</w:t>
      </w:r>
      <w:r w:rsidR="001E60F0">
        <w:rPr>
          <w:rFonts w:ascii="Times New Roman" w:hAnsi="Times New Roman" w:cs="Times New Roman"/>
          <w:sz w:val="24"/>
          <w:szCs w:val="24"/>
        </w:rPr>
        <w:t xml:space="preserve">  </w:t>
      </w:r>
    </w:p>
    <w:p w14:paraId="59FB729C" w14:textId="77777777" w:rsidR="00AF5630" w:rsidRPr="0074195A" w:rsidRDefault="00AF5630" w:rsidP="00AF5630">
      <w:pPr>
        <w:spacing w:after="0"/>
        <w:rPr>
          <w:rFonts w:ascii="Times New Roman" w:hAnsi="Times New Roman" w:cs="Times New Roman"/>
          <w:sz w:val="24"/>
          <w:szCs w:val="24"/>
        </w:rPr>
      </w:pPr>
    </w:p>
    <w:tbl>
      <w:tblPr>
        <w:tblW w:w="49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1"/>
        <w:gridCol w:w="1348"/>
        <w:gridCol w:w="1261"/>
        <w:gridCol w:w="1261"/>
        <w:gridCol w:w="1349"/>
        <w:gridCol w:w="1349"/>
        <w:gridCol w:w="1081"/>
      </w:tblGrid>
      <w:tr w:rsidR="00EA5E3C" w:rsidRPr="00EA5E3C" w14:paraId="30BDF8C7" w14:textId="77777777">
        <w:trPr>
          <w:cantSplit/>
        </w:trPr>
        <w:tc>
          <w:tcPr>
            <w:tcW w:w="5000" w:type="pct"/>
            <w:gridSpan w:val="7"/>
            <w:tcBorders>
              <w:bottom w:val="single" w:sz="4" w:space="0" w:color="auto"/>
            </w:tcBorders>
            <w:shd w:val="clear" w:color="auto" w:fill="D9D9D9"/>
          </w:tcPr>
          <w:p w14:paraId="1E68ACE8" w14:textId="77777777" w:rsidR="00EA5E3C" w:rsidRPr="00EA5E3C" w:rsidRDefault="00EA5E3C" w:rsidP="00EA5E3C">
            <w:pPr>
              <w:autoSpaceDE w:val="0"/>
              <w:autoSpaceDN w:val="0"/>
              <w:adjustRightInd w:val="0"/>
              <w:spacing w:after="0" w:line="240" w:lineRule="auto"/>
              <w:jc w:val="center"/>
              <w:rPr>
                <w:rFonts w:ascii="Times New Roman" w:eastAsia="Calibri" w:hAnsi="Times New Roman" w:cs="Times New Roman"/>
                <w:b/>
                <w:sz w:val="20"/>
                <w:szCs w:val="20"/>
                <w:vertAlign w:val="superscript"/>
              </w:rPr>
            </w:pPr>
            <w:r w:rsidRPr="00EA5E3C">
              <w:rPr>
                <w:rFonts w:ascii="Times New Roman" w:eastAsia="Calibri" w:hAnsi="Times New Roman" w:cs="Times New Roman"/>
                <w:b/>
                <w:sz w:val="20"/>
                <w:szCs w:val="20"/>
              </w:rPr>
              <w:t>FERC-725G1</w:t>
            </w:r>
            <w:r w:rsidRPr="00EA5E3C">
              <w:rPr>
                <w:rFonts w:ascii="Times New Roman" w:eastAsia="Calibri" w:hAnsi="Times New Roman" w:cs="Times New Roman"/>
                <w:b/>
                <w:sz w:val="20"/>
                <w:szCs w:val="20"/>
                <w:vertAlign w:val="superscript"/>
              </w:rPr>
              <w:footnoteReference w:id="13"/>
            </w:r>
          </w:p>
        </w:tc>
      </w:tr>
      <w:tr w:rsidR="00EA5E3C" w:rsidRPr="00EA5E3C" w14:paraId="35952E46" w14:textId="77777777">
        <w:trPr>
          <w:cantSplit/>
        </w:trPr>
        <w:tc>
          <w:tcPr>
            <w:tcW w:w="953" w:type="pct"/>
            <w:shd w:val="clear" w:color="auto" w:fill="D9D9D9"/>
          </w:tcPr>
          <w:p w14:paraId="02FDC27D" w14:textId="77777777" w:rsidR="00EA5E3C" w:rsidRPr="00EA5E3C" w:rsidRDefault="00EA5E3C" w:rsidP="00EA5E3C">
            <w:pPr>
              <w:spacing w:after="0" w:line="240" w:lineRule="auto"/>
              <w:jc w:val="center"/>
              <w:rPr>
                <w:rFonts w:ascii="Times New Roman" w:eastAsia="Calibri" w:hAnsi="Times New Roman" w:cs="Times New Roman"/>
                <w:b/>
                <w:sz w:val="20"/>
                <w:szCs w:val="20"/>
              </w:rPr>
            </w:pPr>
          </w:p>
        </w:tc>
        <w:tc>
          <w:tcPr>
            <w:tcW w:w="713" w:type="pct"/>
            <w:shd w:val="clear" w:color="auto" w:fill="D9D9D9"/>
            <w:vAlign w:val="bottom"/>
          </w:tcPr>
          <w:p w14:paraId="5C1AE0DE" w14:textId="77777777" w:rsidR="00EA5E3C" w:rsidRPr="00EA5E3C" w:rsidRDefault="00EA5E3C" w:rsidP="00EA5E3C">
            <w:pPr>
              <w:spacing w:after="0" w:line="240" w:lineRule="auto"/>
              <w:jc w:val="center"/>
              <w:rPr>
                <w:rFonts w:ascii="Times New Roman" w:eastAsia="Calibri" w:hAnsi="Times New Roman" w:cs="Times New Roman"/>
                <w:b/>
                <w:sz w:val="20"/>
                <w:szCs w:val="20"/>
              </w:rPr>
            </w:pPr>
            <w:r w:rsidRPr="00EA5E3C">
              <w:rPr>
                <w:rFonts w:ascii="Times New Roman" w:eastAsia="Calibri" w:hAnsi="Times New Roman" w:cs="Times New Roman"/>
                <w:b/>
                <w:sz w:val="20"/>
                <w:szCs w:val="20"/>
              </w:rPr>
              <w:t>Number of Respondents</w:t>
            </w:r>
            <w:r w:rsidRPr="00EA5E3C">
              <w:rPr>
                <w:rFonts w:ascii="Times New Roman" w:eastAsia="Calibri" w:hAnsi="Times New Roman" w:cs="Times New Roman"/>
                <w:b/>
                <w:sz w:val="20"/>
                <w:szCs w:val="20"/>
              </w:rPr>
              <w:br/>
              <w:t>(1)</w:t>
            </w:r>
          </w:p>
        </w:tc>
        <w:tc>
          <w:tcPr>
            <w:tcW w:w="667" w:type="pct"/>
            <w:shd w:val="clear" w:color="auto" w:fill="D9D9D9"/>
            <w:vAlign w:val="bottom"/>
          </w:tcPr>
          <w:p w14:paraId="0E318BFB" w14:textId="77777777" w:rsidR="00EA5E3C" w:rsidRPr="00EA5E3C" w:rsidRDefault="00EA5E3C" w:rsidP="00EA5E3C">
            <w:pPr>
              <w:spacing w:after="0" w:line="240" w:lineRule="auto"/>
              <w:jc w:val="center"/>
              <w:rPr>
                <w:rFonts w:ascii="Times New Roman" w:eastAsia="Calibri" w:hAnsi="Times New Roman" w:cs="Times New Roman"/>
                <w:b/>
                <w:sz w:val="20"/>
                <w:szCs w:val="20"/>
              </w:rPr>
            </w:pPr>
            <w:r w:rsidRPr="00EA5E3C">
              <w:rPr>
                <w:rFonts w:ascii="Times New Roman" w:eastAsia="Calibri" w:hAnsi="Times New Roman" w:cs="Times New Roman"/>
                <w:b/>
                <w:sz w:val="20"/>
                <w:szCs w:val="20"/>
              </w:rPr>
              <w:t>Annual Number of Responses per Respondent</w:t>
            </w:r>
          </w:p>
          <w:p w14:paraId="1DD3D2CF" w14:textId="77777777" w:rsidR="00EA5E3C" w:rsidRPr="00EA5E3C" w:rsidRDefault="00EA5E3C" w:rsidP="00EA5E3C">
            <w:pPr>
              <w:spacing w:after="0" w:line="240" w:lineRule="auto"/>
              <w:jc w:val="center"/>
              <w:rPr>
                <w:rFonts w:ascii="Times New Roman" w:eastAsia="Calibri" w:hAnsi="Times New Roman" w:cs="Times New Roman"/>
                <w:b/>
                <w:sz w:val="20"/>
                <w:szCs w:val="20"/>
              </w:rPr>
            </w:pPr>
            <w:r w:rsidRPr="00EA5E3C">
              <w:rPr>
                <w:rFonts w:ascii="Times New Roman" w:eastAsia="Calibri" w:hAnsi="Times New Roman" w:cs="Times New Roman"/>
                <w:b/>
                <w:sz w:val="20"/>
                <w:szCs w:val="20"/>
              </w:rPr>
              <w:t>(2)</w:t>
            </w:r>
          </w:p>
        </w:tc>
        <w:tc>
          <w:tcPr>
            <w:tcW w:w="667" w:type="pct"/>
            <w:shd w:val="clear" w:color="auto" w:fill="D9D9D9"/>
            <w:vAlign w:val="bottom"/>
          </w:tcPr>
          <w:p w14:paraId="624B12A2" w14:textId="77777777" w:rsidR="00EA5E3C" w:rsidRPr="00EA5E3C" w:rsidRDefault="00EA5E3C" w:rsidP="00EA5E3C">
            <w:pPr>
              <w:spacing w:after="0" w:line="240" w:lineRule="auto"/>
              <w:jc w:val="center"/>
              <w:rPr>
                <w:rFonts w:ascii="Times New Roman" w:eastAsia="Calibri" w:hAnsi="Times New Roman" w:cs="Times New Roman"/>
                <w:b/>
                <w:sz w:val="20"/>
                <w:szCs w:val="20"/>
              </w:rPr>
            </w:pPr>
            <w:r w:rsidRPr="00EA5E3C">
              <w:rPr>
                <w:rFonts w:ascii="Times New Roman" w:eastAsia="Calibri" w:hAnsi="Times New Roman" w:cs="Times New Roman"/>
                <w:b/>
                <w:sz w:val="20"/>
                <w:szCs w:val="20"/>
              </w:rPr>
              <w:t>Total Number of Responses (1)*(2)=(3)</w:t>
            </w:r>
          </w:p>
        </w:tc>
        <w:tc>
          <w:tcPr>
            <w:tcW w:w="714" w:type="pct"/>
            <w:shd w:val="clear" w:color="auto" w:fill="D9D9D9"/>
            <w:vAlign w:val="bottom"/>
          </w:tcPr>
          <w:p w14:paraId="7516BCF8" w14:textId="77777777" w:rsidR="00EA5E3C" w:rsidRPr="00EA5E3C" w:rsidRDefault="00EA5E3C" w:rsidP="00EA5E3C">
            <w:pPr>
              <w:spacing w:after="0" w:line="240" w:lineRule="auto"/>
              <w:jc w:val="center"/>
              <w:rPr>
                <w:rFonts w:ascii="Times New Roman" w:eastAsia="Calibri" w:hAnsi="Times New Roman" w:cs="Times New Roman"/>
                <w:b/>
                <w:sz w:val="20"/>
                <w:szCs w:val="20"/>
              </w:rPr>
            </w:pPr>
            <w:r w:rsidRPr="00EA5E3C">
              <w:rPr>
                <w:rFonts w:ascii="Times New Roman" w:eastAsia="Calibri" w:hAnsi="Times New Roman" w:cs="Times New Roman"/>
                <w:b/>
                <w:sz w:val="20"/>
                <w:szCs w:val="20"/>
              </w:rPr>
              <w:t>Average Burden &amp; Cost Per Response</w:t>
            </w:r>
            <w:r w:rsidRPr="00EA5E3C">
              <w:rPr>
                <w:rFonts w:ascii="Times New Roman" w:eastAsia="Calibri" w:hAnsi="Times New Roman" w:cs="Times New Roman"/>
                <w:b/>
                <w:sz w:val="20"/>
                <w:szCs w:val="20"/>
                <w:vertAlign w:val="superscript"/>
              </w:rPr>
              <w:footnoteReference w:id="14"/>
            </w:r>
          </w:p>
          <w:p w14:paraId="045C7A6C" w14:textId="77777777" w:rsidR="00EA5E3C" w:rsidRPr="00EA5E3C" w:rsidRDefault="00EA5E3C" w:rsidP="00EA5E3C">
            <w:pPr>
              <w:spacing w:after="0" w:line="240" w:lineRule="auto"/>
              <w:jc w:val="center"/>
              <w:rPr>
                <w:rFonts w:ascii="Times New Roman" w:eastAsia="Calibri" w:hAnsi="Times New Roman" w:cs="Times New Roman"/>
                <w:b/>
                <w:sz w:val="20"/>
                <w:szCs w:val="20"/>
              </w:rPr>
            </w:pPr>
            <w:r w:rsidRPr="00EA5E3C">
              <w:rPr>
                <w:rFonts w:ascii="Times New Roman" w:eastAsia="Calibri" w:hAnsi="Times New Roman" w:cs="Times New Roman"/>
                <w:b/>
                <w:sz w:val="20"/>
                <w:szCs w:val="20"/>
              </w:rPr>
              <w:t>(4)</w:t>
            </w:r>
          </w:p>
        </w:tc>
        <w:tc>
          <w:tcPr>
            <w:tcW w:w="714" w:type="pct"/>
            <w:shd w:val="clear" w:color="auto" w:fill="D9D9D9"/>
            <w:vAlign w:val="bottom"/>
          </w:tcPr>
          <w:p w14:paraId="6AD12C51" w14:textId="77777777" w:rsidR="00EA5E3C" w:rsidRPr="00EA5E3C" w:rsidRDefault="00EA5E3C" w:rsidP="00EA5E3C">
            <w:pPr>
              <w:spacing w:after="0" w:line="240" w:lineRule="auto"/>
              <w:jc w:val="center"/>
              <w:rPr>
                <w:rFonts w:ascii="Times New Roman" w:eastAsia="Calibri" w:hAnsi="Times New Roman" w:cs="Times New Roman"/>
                <w:b/>
                <w:sz w:val="20"/>
                <w:szCs w:val="20"/>
              </w:rPr>
            </w:pPr>
            <w:r w:rsidRPr="00EA5E3C">
              <w:rPr>
                <w:rFonts w:ascii="Times New Roman" w:eastAsia="Calibri" w:hAnsi="Times New Roman" w:cs="Times New Roman"/>
                <w:b/>
                <w:sz w:val="20"/>
                <w:szCs w:val="20"/>
              </w:rPr>
              <w:t>Total Annual Burden Hours &amp; Total Annual Cost</w:t>
            </w:r>
          </w:p>
          <w:p w14:paraId="759E0A45" w14:textId="77777777" w:rsidR="00EA5E3C" w:rsidRPr="00EA5E3C" w:rsidRDefault="00EA5E3C" w:rsidP="00EA5E3C">
            <w:pPr>
              <w:spacing w:after="0" w:line="240" w:lineRule="auto"/>
              <w:jc w:val="center"/>
              <w:rPr>
                <w:rFonts w:ascii="Times New Roman" w:eastAsia="Calibri" w:hAnsi="Times New Roman" w:cs="Times New Roman"/>
                <w:b/>
                <w:sz w:val="20"/>
                <w:szCs w:val="20"/>
              </w:rPr>
            </w:pPr>
            <w:r w:rsidRPr="00EA5E3C">
              <w:rPr>
                <w:rFonts w:ascii="Times New Roman" w:eastAsia="Calibri" w:hAnsi="Times New Roman" w:cs="Times New Roman"/>
                <w:b/>
                <w:sz w:val="20"/>
                <w:szCs w:val="20"/>
              </w:rPr>
              <w:t>(3)*(4)=(5)</w:t>
            </w:r>
          </w:p>
        </w:tc>
        <w:tc>
          <w:tcPr>
            <w:tcW w:w="572" w:type="pct"/>
            <w:shd w:val="clear" w:color="auto" w:fill="D9D9D9"/>
            <w:vAlign w:val="bottom"/>
          </w:tcPr>
          <w:p w14:paraId="4AFCFA2B" w14:textId="77777777" w:rsidR="00EA5E3C" w:rsidRPr="00EA5E3C" w:rsidRDefault="00EA5E3C" w:rsidP="00EA5E3C">
            <w:pPr>
              <w:spacing w:after="0" w:line="240" w:lineRule="auto"/>
              <w:jc w:val="center"/>
              <w:rPr>
                <w:rFonts w:ascii="Times New Roman" w:eastAsia="Calibri" w:hAnsi="Times New Roman" w:cs="Times New Roman"/>
                <w:b/>
                <w:sz w:val="20"/>
                <w:szCs w:val="20"/>
              </w:rPr>
            </w:pPr>
            <w:r w:rsidRPr="00EA5E3C">
              <w:rPr>
                <w:rFonts w:ascii="Times New Roman" w:eastAsia="Calibri" w:hAnsi="Times New Roman" w:cs="Times New Roman"/>
                <w:b/>
                <w:sz w:val="20"/>
                <w:szCs w:val="20"/>
              </w:rPr>
              <w:t>Cost per Respondent</w:t>
            </w:r>
          </w:p>
          <w:p w14:paraId="66161C42" w14:textId="77777777" w:rsidR="00EA5E3C" w:rsidRPr="00EA5E3C" w:rsidRDefault="00EA5E3C" w:rsidP="00EA5E3C">
            <w:pPr>
              <w:spacing w:after="0" w:line="240" w:lineRule="auto"/>
              <w:jc w:val="center"/>
              <w:rPr>
                <w:rFonts w:ascii="Times New Roman" w:eastAsia="Calibri" w:hAnsi="Times New Roman" w:cs="Times New Roman"/>
                <w:b/>
                <w:sz w:val="20"/>
                <w:szCs w:val="20"/>
              </w:rPr>
            </w:pPr>
            <w:r w:rsidRPr="00EA5E3C">
              <w:rPr>
                <w:rFonts w:ascii="Times New Roman" w:eastAsia="Calibri" w:hAnsi="Times New Roman" w:cs="Times New Roman"/>
                <w:b/>
                <w:sz w:val="20"/>
                <w:szCs w:val="20"/>
              </w:rPr>
              <w:t xml:space="preserve"> ($)</w:t>
            </w:r>
          </w:p>
          <w:p w14:paraId="79470B9B" w14:textId="77777777" w:rsidR="00EA5E3C" w:rsidRPr="00EA5E3C" w:rsidRDefault="00EA5E3C" w:rsidP="00EA5E3C">
            <w:pPr>
              <w:spacing w:after="0" w:line="240" w:lineRule="auto"/>
              <w:jc w:val="center"/>
              <w:rPr>
                <w:rFonts w:ascii="Times New Roman" w:eastAsia="Calibri" w:hAnsi="Times New Roman" w:cs="Times New Roman"/>
                <w:b/>
                <w:sz w:val="20"/>
                <w:szCs w:val="20"/>
              </w:rPr>
            </w:pPr>
            <w:r w:rsidRPr="00EA5E3C">
              <w:rPr>
                <w:rFonts w:ascii="Times New Roman" w:eastAsia="Calibri" w:hAnsi="Times New Roman" w:cs="Times New Roman"/>
                <w:b/>
                <w:sz w:val="20"/>
                <w:szCs w:val="20"/>
              </w:rPr>
              <w:t>(5)÷(1)</w:t>
            </w:r>
          </w:p>
        </w:tc>
      </w:tr>
      <w:tr w:rsidR="00EA5E3C" w:rsidRPr="00EA5E3C" w14:paraId="4B0C7683" w14:textId="77777777">
        <w:trPr>
          <w:cantSplit/>
        </w:trPr>
        <w:tc>
          <w:tcPr>
            <w:tcW w:w="953" w:type="pct"/>
          </w:tcPr>
          <w:p w14:paraId="371CFBBD" w14:textId="77777777" w:rsidR="00EA5E3C" w:rsidRPr="00EA5E3C" w:rsidRDefault="00EA5E3C" w:rsidP="00EA5E3C">
            <w:pPr>
              <w:spacing w:after="0" w:line="240" w:lineRule="auto"/>
              <w:rPr>
                <w:rFonts w:ascii="Times New Roman" w:eastAsia="Calibri" w:hAnsi="Times New Roman" w:cs="Times New Roman"/>
                <w:sz w:val="20"/>
                <w:szCs w:val="20"/>
              </w:rPr>
            </w:pPr>
            <w:r w:rsidRPr="00EA5E3C">
              <w:rPr>
                <w:rFonts w:ascii="Times New Roman" w:eastAsia="Calibri" w:hAnsi="Times New Roman" w:cs="Times New Roman"/>
                <w:sz w:val="20"/>
                <w:szCs w:val="20"/>
              </w:rPr>
              <w:t>Notifications to TO/GO/DP per Requirement R2</w:t>
            </w:r>
          </w:p>
        </w:tc>
        <w:tc>
          <w:tcPr>
            <w:tcW w:w="713" w:type="pct"/>
          </w:tcPr>
          <w:p w14:paraId="6DF23FFF"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659</w:t>
            </w:r>
          </w:p>
          <w:p w14:paraId="018E1EA3" w14:textId="77777777" w:rsidR="00EA5E3C" w:rsidRPr="00EA5E3C" w:rsidRDefault="00EA5E3C" w:rsidP="00EA5E3C">
            <w:pPr>
              <w:spacing w:after="0" w:line="240" w:lineRule="auto"/>
              <w:jc w:val="right"/>
              <w:rPr>
                <w:rFonts w:ascii="Times New Roman" w:eastAsia="Calibri" w:hAnsi="Times New Roman" w:cs="Times New Roman"/>
                <w:sz w:val="20"/>
                <w:szCs w:val="20"/>
              </w:rPr>
            </w:pPr>
          </w:p>
        </w:tc>
        <w:tc>
          <w:tcPr>
            <w:tcW w:w="667" w:type="pct"/>
          </w:tcPr>
          <w:p w14:paraId="443A1693"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1</w:t>
            </w:r>
          </w:p>
        </w:tc>
        <w:tc>
          <w:tcPr>
            <w:tcW w:w="667" w:type="pct"/>
          </w:tcPr>
          <w:p w14:paraId="0380EA90"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659</w:t>
            </w:r>
          </w:p>
        </w:tc>
        <w:tc>
          <w:tcPr>
            <w:tcW w:w="714" w:type="pct"/>
          </w:tcPr>
          <w:p w14:paraId="03B33723"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8</w:t>
            </w:r>
          </w:p>
          <w:p w14:paraId="0D56DC43"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$584</w:t>
            </w:r>
          </w:p>
        </w:tc>
        <w:tc>
          <w:tcPr>
            <w:tcW w:w="714" w:type="pct"/>
          </w:tcPr>
          <w:p w14:paraId="584C9FB3"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 xml:space="preserve"> 5,272</w:t>
            </w:r>
          </w:p>
          <w:p w14:paraId="0E977A0F"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 xml:space="preserve">$384,856 </w:t>
            </w:r>
          </w:p>
        </w:tc>
        <w:tc>
          <w:tcPr>
            <w:tcW w:w="572" w:type="pct"/>
          </w:tcPr>
          <w:p w14:paraId="643257BB"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 xml:space="preserve">$584 </w:t>
            </w:r>
          </w:p>
          <w:p w14:paraId="7A5C894E" w14:textId="77777777" w:rsidR="00EA5E3C" w:rsidRPr="00EA5E3C" w:rsidRDefault="00EA5E3C" w:rsidP="00EA5E3C">
            <w:pPr>
              <w:spacing w:after="0" w:line="240" w:lineRule="auto"/>
              <w:jc w:val="right"/>
              <w:rPr>
                <w:rFonts w:ascii="Times New Roman" w:eastAsia="Calibri" w:hAnsi="Times New Roman" w:cs="Times New Roman"/>
                <w:sz w:val="20"/>
                <w:szCs w:val="20"/>
              </w:rPr>
            </w:pPr>
          </w:p>
        </w:tc>
      </w:tr>
      <w:tr w:rsidR="00EA5E3C" w:rsidRPr="00EA5E3C" w14:paraId="60F1C3AC" w14:textId="77777777">
        <w:trPr>
          <w:cantSplit/>
        </w:trPr>
        <w:tc>
          <w:tcPr>
            <w:tcW w:w="953" w:type="pct"/>
          </w:tcPr>
          <w:p w14:paraId="382B5F20" w14:textId="77777777" w:rsidR="00EA5E3C" w:rsidRPr="00EA5E3C" w:rsidRDefault="00EA5E3C" w:rsidP="00EA5E3C">
            <w:pPr>
              <w:spacing w:after="0" w:line="240" w:lineRule="auto"/>
              <w:rPr>
                <w:rFonts w:ascii="Times New Roman" w:eastAsia="Calibri" w:hAnsi="Times New Roman" w:cs="Times New Roman"/>
                <w:sz w:val="20"/>
                <w:szCs w:val="20"/>
              </w:rPr>
            </w:pPr>
            <w:r w:rsidRPr="00EA5E3C">
              <w:rPr>
                <w:rFonts w:ascii="Times New Roman" w:eastAsia="Calibri" w:hAnsi="Times New Roman" w:cs="Times New Roman"/>
                <w:sz w:val="20"/>
                <w:szCs w:val="20"/>
              </w:rPr>
              <w:t>One-time review and adjustment of existing program</w:t>
            </w:r>
          </w:p>
        </w:tc>
        <w:tc>
          <w:tcPr>
            <w:tcW w:w="713" w:type="pct"/>
          </w:tcPr>
          <w:p w14:paraId="72ED18CD"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659</w:t>
            </w:r>
          </w:p>
        </w:tc>
        <w:tc>
          <w:tcPr>
            <w:tcW w:w="667" w:type="pct"/>
          </w:tcPr>
          <w:p w14:paraId="0CDD69EF"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1</w:t>
            </w:r>
          </w:p>
        </w:tc>
        <w:tc>
          <w:tcPr>
            <w:tcW w:w="667" w:type="pct"/>
          </w:tcPr>
          <w:p w14:paraId="2535BA3C"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659</w:t>
            </w:r>
          </w:p>
        </w:tc>
        <w:tc>
          <w:tcPr>
            <w:tcW w:w="714" w:type="pct"/>
          </w:tcPr>
          <w:p w14:paraId="1936636B"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2</w:t>
            </w:r>
          </w:p>
          <w:p w14:paraId="5690CE9F"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$146</w:t>
            </w:r>
          </w:p>
        </w:tc>
        <w:tc>
          <w:tcPr>
            <w:tcW w:w="714" w:type="pct"/>
          </w:tcPr>
          <w:p w14:paraId="0C537FEF"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1,318</w:t>
            </w:r>
          </w:p>
          <w:p w14:paraId="7A5FA2F3"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$96,214</w:t>
            </w:r>
          </w:p>
        </w:tc>
        <w:tc>
          <w:tcPr>
            <w:tcW w:w="572" w:type="pct"/>
          </w:tcPr>
          <w:p w14:paraId="41FB4E25"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$146</w:t>
            </w:r>
          </w:p>
        </w:tc>
      </w:tr>
      <w:tr w:rsidR="00EA5E3C" w:rsidRPr="00EA5E3C" w14:paraId="65C5640E" w14:textId="77777777">
        <w:trPr>
          <w:cantSplit/>
        </w:trPr>
        <w:tc>
          <w:tcPr>
            <w:tcW w:w="953" w:type="pct"/>
          </w:tcPr>
          <w:p w14:paraId="35EC7C58" w14:textId="77777777" w:rsidR="00EA5E3C" w:rsidRPr="00EA5E3C" w:rsidRDefault="00EA5E3C" w:rsidP="00EA5E3C">
            <w:pPr>
              <w:spacing w:after="0" w:line="240" w:lineRule="auto"/>
              <w:rPr>
                <w:rFonts w:ascii="Times New Roman" w:eastAsia="Calibri" w:hAnsi="Times New Roman" w:cs="Times New Roman"/>
                <w:sz w:val="20"/>
                <w:szCs w:val="20"/>
              </w:rPr>
            </w:pPr>
            <w:r w:rsidRPr="00EA5E3C">
              <w:rPr>
                <w:rFonts w:ascii="Times New Roman" w:eastAsia="Calibri" w:hAnsi="Times New Roman" w:cs="Times New Roman"/>
                <w:sz w:val="20"/>
                <w:szCs w:val="20"/>
              </w:rPr>
              <w:t>Evidence Retention</w:t>
            </w:r>
          </w:p>
        </w:tc>
        <w:tc>
          <w:tcPr>
            <w:tcW w:w="713" w:type="pct"/>
          </w:tcPr>
          <w:p w14:paraId="4C6B1429"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659</w:t>
            </w:r>
          </w:p>
        </w:tc>
        <w:tc>
          <w:tcPr>
            <w:tcW w:w="667" w:type="pct"/>
          </w:tcPr>
          <w:p w14:paraId="42F13AB7"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1</w:t>
            </w:r>
          </w:p>
        </w:tc>
        <w:tc>
          <w:tcPr>
            <w:tcW w:w="667" w:type="pct"/>
          </w:tcPr>
          <w:p w14:paraId="3B6665CF"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659</w:t>
            </w:r>
          </w:p>
        </w:tc>
        <w:tc>
          <w:tcPr>
            <w:tcW w:w="714" w:type="pct"/>
          </w:tcPr>
          <w:p w14:paraId="625C7C2E"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12</w:t>
            </w:r>
          </w:p>
          <w:p w14:paraId="1114E394"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$384</w:t>
            </w:r>
          </w:p>
        </w:tc>
        <w:tc>
          <w:tcPr>
            <w:tcW w:w="714" w:type="pct"/>
          </w:tcPr>
          <w:p w14:paraId="696B69B3"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7,908</w:t>
            </w:r>
          </w:p>
          <w:p w14:paraId="58C2D610"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$253,056</w:t>
            </w:r>
          </w:p>
        </w:tc>
        <w:tc>
          <w:tcPr>
            <w:tcW w:w="572" w:type="pct"/>
          </w:tcPr>
          <w:p w14:paraId="459AFC14"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$384</w:t>
            </w:r>
          </w:p>
        </w:tc>
      </w:tr>
      <w:tr w:rsidR="00EA5E3C" w:rsidRPr="00EA5E3C" w14:paraId="56D9B3C6" w14:textId="77777777">
        <w:trPr>
          <w:cantSplit/>
          <w:trHeight w:val="485"/>
        </w:trPr>
        <w:tc>
          <w:tcPr>
            <w:tcW w:w="953" w:type="pct"/>
            <w:tcBorders>
              <w:bottom w:val="single" w:sz="4" w:space="0" w:color="auto"/>
            </w:tcBorders>
          </w:tcPr>
          <w:p w14:paraId="609C504A" w14:textId="77777777" w:rsidR="00EA5E3C" w:rsidRPr="00EA5E3C" w:rsidRDefault="00EA5E3C" w:rsidP="00EA5E3C">
            <w:pPr>
              <w:spacing w:after="0" w:line="240" w:lineRule="auto"/>
              <w:rPr>
                <w:rFonts w:ascii="Times New Roman" w:eastAsia="Calibri" w:hAnsi="Times New Roman" w:cs="Times New Roman"/>
                <w:sz w:val="20"/>
                <w:szCs w:val="20"/>
              </w:rPr>
            </w:pPr>
            <w:r w:rsidRPr="00EA5E3C">
              <w:rPr>
                <w:rFonts w:ascii="Times New Roman" w:eastAsia="Calibri" w:hAnsi="Times New Roman" w:cs="Times New Roman"/>
                <w:b/>
                <w:sz w:val="20"/>
                <w:szCs w:val="20"/>
              </w:rPr>
              <w:t>TOTAL</w:t>
            </w:r>
          </w:p>
        </w:tc>
        <w:tc>
          <w:tcPr>
            <w:tcW w:w="713" w:type="pct"/>
            <w:tcBorders>
              <w:bottom w:val="single" w:sz="4" w:space="0" w:color="auto"/>
            </w:tcBorders>
            <w:shd w:val="clear" w:color="auto" w:fill="BFBFBF"/>
          </w:tcPr>
          <w:p w14:paraId="67C1139A" w14:textId="77777777" w:rsidR="00EA5E3C" w:rsidRPr="00EA5E3C" w:rsidRDefault="00EA5E3C" w:rsidP="00EA5E3C">
            <w:pPr>
              <w:spacing w:after="0" w:line="240" w:lineRule="auto"/>
              <w:jc w:val="right"/>
              <w:rPr>
                <w:rFonts w:ascii="Times New Roman" w:eastAsia="Calibri" w:hAnsi="Times New Roman" w:cs="Times New Roman"/>
                <w:sz w:val="20"/>
                <w:szCs w:val="20"/>
              </w:rPr>
            </w:pPr>
          </w:p>
        </w:tc>
        <w:tc>
          <w:tcPr>
            <w:tcW w:w="667" w:type="pct"/>
            <w:tcBorders>
              <w:bottom w:val="single" w:sz="4" w:space="0" w:color="auto"/>
            </w:tcBorders>
            <w:shd w:val="clear" w:color="auto" w:fill="BFBFBF"/>
          </w:tcPr>
          <w:p w14:paraId="7519EA49" w14:textId="77777777" w:rsidR="00EA5E3C" w:rsidRPr="00EA5E3C" w:rsidRDefault="00EA5E3C" w:rsidP="00EA5E3C">
            <w:pPr>
              <w:spacing w:after="0" w:line="240" w:lineRule="auto"/>
              <w:jc w:val="right"/>
              <w:rPr>
                <w:rFonts w:ascii="Times New Roman" w:eastAsia="Calibri" w:hAnsi="Times New Roman" w:cs="Times New Roman"/>
                <w:sz w:val="20"/>
                <w:szCs w:val="20"/>
              </w:rPr>
            </w:pPr>
          </w:p>
        </w:tc>
        <w:tc>
          <w:tcPr>
            <w:tcW w:w="667" w:type="pct"/>
            <w:tcBorders>
              <w:bottom w:val="single" w:sz="4" w:space="0" w:color="auto"/>
            </w:tcBorders>
            <w:shd w:val="clear" w:color="auto" w:fill="BFBFBF" w:themeFill="background1" w:themeFillShade="BF"/>
          </w:tcPr>
          <w:p w14:paraId="7E3DEF92" w14:textId="77777777" w:rsidR="00EA5E3C" w:rsidRPr="00EA5E3C" w:rsidRDefault="00EA5E3C" w:rsidP="00EA5E3C">
            <w:pPr>
              <w:spacing w:after="0" w:line="240" w:lineRule="auto"/>
              <w:jc w:val="right"/>
              <w:rPr>
                <w:rFonts w:ascii="Times New Roman" w:eastAsia="Calibri" w:hAnsi="Times New Roman" w:cs="Times New Roman"/>
                <w:sz w:val="20"/>
                <w:szCs w:val="20"/>
              </w:rPr>
            </w:pPr>
          </w:p>
        </w:tc>
        <w:tc>
          <w:tcPr>
            <w:tcW w:w="714" w:type="pct"/>
            <w:tcBorders>
              <w:bottom w:val="single" w:sz="4" w:space="0" w:color="auto"/>
            </w:tcBorders>
            <w:shd w:val="clear" w:color="auto" w:fill="BFBFBF" w:themeFill="background1" w:themeFillShade="BF"/>
          </w:tcPr>
          <w:p w14:paraId="291CBA63" w14:textId="77777777" w:rsidR="00EA5E3C" w:rsidRPr="00EA5E3C" w:rsidRDefault="00EA5E3C" w:rsidP="00EA5E3C">
            <w:pPr>
              <w:spacing w:after="0" w:line="240" w:lineRule="auto"/>
              <w:jc w:val="right"/>
              <w:rPr>
                <w:rFonts w:ascii="Times New Roman" w:eastAsia="Calibri" w:hAnsi="Times New Roman" w:cs="Times New Roman"/>
                <w:sz w:val="20"/>
                <w:szCs w:val="20"/>
              </w:rPr>
            </w:pPr>
          </w:p>
        </w:tc>
        <w:tc>
          <w:tcPr>
            <w:tcW w:w="714" w:type="pct"/>
            <w:tcBorders>
              <w:bottom w:val="single" w:sz="4" w:space="0" w:color="auto"/>
            </w:tcBorders>
            <w:shd w:val="clear" w:color="auto" w:fill="auto"/>
          </w:tcPr>
          <w:p w14:paraId="4E2735AA"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14,498</w:t>
            </w:r>
          </w:p>
          <w:p w14:paraId="5142A275"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$734,126</w:t>
            </w:r>
          </w:p>
        </w:tc>
        <w:tc>
          <w:tcPr>
            <w:tcW w:w="572" w:type="pct"/>
          </w:tcPr>
          <w:p w14:paraId="045F4B55" w14:textId="77777777" w:rsidR="00EA5E3C" w:rsidRPr="00EA5E3C" w:rsidRDefault="00EA5E3C" w:rsidP="00EA5E3C">
            <w:pPr>
              <w:spacing w:after="0" w:line="240" w:lineRule="auto"/>
              <w:jc w:val="right"/>
              <w:rPr>
                <w:rFonts w:ascii="Times New Roman" w:eastAsia="Calibri" w:hAnsi="Times New Roman" w:cs="Times New Roman"/>
                <w:sz w:val="20"/>
                <w:szCs w:val="20"/>
              </w:rPr>
            </w:pPr>
            <w:r w:rsidRPr="00EA5E3C">
              <w:rPr>
                <w:rFonts w:ascii="Times New Roman" w:eastAsia="Calibri" w:hAnsi="Times New Roman" w:cs="Times New Roman"/>
                <w:sz w:val="20"/>
                <w:szCs w:val="20"/>
              </w:rPr>
              <w:t>$1,114</w:t>
            </w:r>
          </w:p>
        </w:tc>
      </w:tr>
    </w:tbl>
    <w:p w14:paraId="78D2A019" w14:textId="77777777" w:rsidR="00AF5630" w:rsidRDefault="00AF5630" w:rsidP="008D310F">
      <w:pPr>
        <w:spacing w:after="0"/>
        <w:rPr>
          <w:rFonts w:ascii="Times New Roman" w:hAnsi="Times New Roman" w:cs="Times New Roman"/>
          <w:sz w:val="24"/>
          <w:szCs w:val="24"/>
        </w:rPr>
      </w:pPr>
    </w:p>
    <w:p w14:paraId="4354D1DF" w14:textId="77777777" w:rsidR="00AF5630" w:rsidRPr="00D80FBD" w:rsidRDefault="00AF5630" w:rsidP="008D310F">
      <w:pPr>
        <w:spacing w:after="0"/>
        <w:rPr>
          <w:rFonts w:ascii="Times New Roman" w:hAnsi="Times New Roman" w:cs="Times New Roman"/>
          <w:sz w:val="24"/>
          <w:szCs w:val="24"/>
        </w:rPr>
      </w:pPr>
    </w:p>
    <w:p w14:paraId="28043C58"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458BB7C3" w14:textId="77777777" w:rsidR="00E636D7" w:rsidRDefault="00E636D7" w:rsidP="00E636D7">
      <w:pPr>
        <w:spacing w:after="0"/>
        <w:rPr>
          <w:rFonts w:ascii="Times New Roman" w:hAnsi="Times New Roman" w:cs="Times New Roman"/>
          <w:sz w:val="24"/>
          <w:szCs w:val="24"/>
        </w:rPr>
      </w:pPr>
    </w:p>
    <w:p w14:paraId="1C158BBC" w14:textId="77777777" w:rsidR="00706840"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There are no non-labor costs currently associated with </w:t>
      </w:r>
      <w:r w:rsidR="00EA5E3C">
        <w:rPr>
          <w:rFonts w:ascii="Times New Roman" w:hAnsi="Times New Roman" w:cs="Times New Roman"/>
          <w:sz w:val="24"/>
          <w:szCs w:val="24"/>
        </w:rPr>
        <w:t>either FERC-725G</w:t>
      </w:r>
      <w:r w:rsidR="00F2786B">
        <w:rPr>
          <w:rFonts w:ascii="Times New Roman" w:hAnsi="Times New Roman" w:cs="Times New Roman"/>
          <w:sz w:val="24"/>
          <w:szCs w:val="24"/>
        </w:rPr>
        <w:t>1</w:t>
      </w:r>
      <w:r w:rsidR="00EA5E3C">
        <w:rPr>
          <w:rFonts w:ascii="Times New Roman" w:hAnsi="Times New Roman" w:cs="Times New Roman"/>
          <w:sz w:val="24"/>
          <w:szCs w:val="24"/>
        </w:rPr>
        <w:t xml:space="preserve"> or this order</w:t>
      </w:r>
      <w:r w:rsidR="00520617">
        <w:rPr>
          <w:rFonts w:ascii="Times New Roman" w:hAnsi="Times New Roman" w:cs="Times New Roman"/>
          <w:sz w:val="24"/>
          <w:szCs w:val="24"/>
        </w:rPr>
        <w:t xml:space="preserve">.  Commission staff assumes that the information collection </w:t>
      </w:r>
      <w:r w:rsidR="00706840">
        <w:rPr>
          <w:rFonts w:ascii="Times New Roman" w:hAnsi="Times New Roman" w:cs="Times New Roman"/>
          <w:sz w:val="24"/>
          <w:szCs w:val="24"/>
        </w:rPr>
        <w:t xml:space="preserve">requirement </w:t>
      </w:r>
      <w:r w:rsidR="00520617">
        <w:rPr>
          <w:rFonts w:ascii="Times New Roman" w:hAnsi="Times New Roman" w:cs="Times New Roman"/>
          <w:sz w:val="24"/>
          <w:szCs w:val="24"/>
        </w:rPr>
        <w:t xml:space="preserve">associated with this rulemaking </w:t>
      </w:r>
      <w:r w:rsidR="00706840">
        <w:rPr>
          <w:rFonts w:ascii="Times New Roman" w:hAnsi="Times New Roman" w:cs="Times New Roman"/>
          <w:sz w:val="24"/>
          <w:szCs w:val="24"/>
        </w:rPr>
        <w:t xml:space="preserve">is </w:t>
      </w:r>
      <w:r w:rsidR="00706840" w:rsidRPr="00706840">
        <w:rPr>
          <w:rFonts w:ascii="Times New Roman" w:hAnsi="Times New Roman" w:cs="Times New Roman"/>
          <w:sz w:val="24"/>
          <w:szCs w:val="24"/>
        </w:rPr>
        <w:t>consistent with estimates for similar tasks in other Commission-approved Reliability Standards</w:t>
      </w:r>
      <w:r w:rsidR="00706840">
        <w:rPr>
          <w:rFonts w:ascii="Times New Roman" w:hAnsi="Times New Roman" w:cs="Times New Roman"/>
          <w:sz w:val="24"/>
          <w:szCs w:val="24"/>
        </w:rPr>
        <w:t xml:space="preserve"> and </w:t>
      </w:r>
      <w:r w:rsidR="00520617">
        <w:rPr>
          <w:rFonts w:ascii="Times New Roman" w:hAnsi="Times New Roman" w:cs="Times New Roman"/>
          <w:sz w:val="24"/>
          <w:szCs w:val="24"/>
        </w:rPr>
        <w:t>can be completed by entities using existing hardware and/or software.</w:t>
      </w:r>
      <w:r w:rsidR="0005513A">
        <w:rPr>
          <w:rFonts w:ascii="Times New Roman" w:hAnsi="Times New Roman" w:cs="Times New Roman"/>
          <w:sz w:val="24"/>
          <w:szCs w:val="24"/>
        </w:rPr>
        <w:t xml:space="preserve"> </w:t>
      </w:r>
    </w:p>
    <w:p w14:paraId="019E6140" w14:textId="77777777" w:rsidR="0074195A" w:rsidRPr="0074195A" w:rsidRDefault="0074195A" w:rsidP="0074195A">
      <w:pPr>
        <w:spacing w:after="0"/>
        <w:rPr>
          <w:rFonts w:ascii="Times New Roman" w:hAnsi="Times New Roman" w:cs="Times New Roman"/>
          <w:sz w:val="24"/>
          <w:szCs w:val="24"/>
        </w:rPr>
      </w:pPr>
    </w:p>
    <w:p w14:paraId="34057F56" w14:textId="77777777" w:rsidR="00E636D7" w:rsidRPr="00B11A9F" w:rsidRDefault="0074195A" w:rsidP="0074195A">
      <w:pPr>
        <w:spacing w:after="0"/>
        <w:rPr>
          <w:rFonts w:ascii="Times New Roman" w:hAnsi="Times New Roman" w:cs="Times New Roman"/>
          <w:b/>
          <w:sz w:val="24"/>
          <w:szCs w:val="24"/>
        </w:rPr>
      </w:pPr>
      <w:r w:rsidRPr="0074195A">
        <w:rPr>
          <w:rFonts w:ascii="Times New Roman" w:hAnsi="Times New Roman" w:cs="Times New Roman"/>
          <w:sz w:val="24"/>
          <w:szCs w:val="24"/>
        </w:rPr>
        <w:t xml:space="preserve">All of the costs in the </w:t>
      </w:r>
      <w:r w:rsidR="00EA5E3C">
        <w:rPr>
          <w:rFonts w:ascii="Times New Roman" w:hAnsi="Times New Roman" w:cs="Times New Roman"/>
          <w:sz w:val="24"/>
          <w:szCs w:val="24"/>
        </w:rPr>
        <w:t>order (and the proposed Reliability Standard)</w:t>
      </w:r>
      <w:r w:rsidRPr="0074195A">
        <w:rPr>
          <w:rFonts w:ascii="Times New Roman" w:hAnsi="Times New Roman" w:cs="Times New Roman"/>
          <w:sz w:val="24"/>
          <w:szCs w:val="24"/>
        </w:rPr>
        <w:t xml:space="preserve">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described in #12 and 15.</w:t>
      </w:r>
      <w:r w:rsidR="00250EAE">
        <w:rPr>
          <w:rFonts w:ascii="Times New Roman" w:hAnsi="Times New Roman" w:cs="Times New Roman"/>
          <w:sz w:val="24"/>
          <w:szCs w:val="24"/>
        </w:rPr>
        <w:t xml:space="preserve"> </w:t>
      </w:r>
    </w:p>
    <w:p w14:paraId="51F2CABA" w14:textId="77777777" w:rsidR="0074195A" w:rsidRPr="00E636D7" w:rsidRDefault="0074195A" w:rsidP="0074195A">
      <w:pPr>
        <w:spacing w:after="0"/>
        <w:rPr>
          <w:rFonts w:ascii="Times New Roman" w:hAnsi="Times New Roman" w:cs="Times New Roman"/>
          <w:sz w:val="24"/>
          <w:szCs w:val="24"/>
        </w:rPr>
      </w:pPr>
    </w:p>
    <w:p w14:paraId="6A5827A8"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52F657B5" w14:textId="77777777" w:rsidR="00A276F5" w:rsidRDefault="00A276F5" w:rsidP="00A276F5">
      <w:pPr>
        <w:spacing w:after="0"/>
        <w:rPr>
          <w:rFonts w:ascii="Times New Roman" w:hAnsi="Times New Roman" w:cs="Times New Roman"/>
          <w:sz w:val="24"/>
          <w:szCs w:val="24"/>
        </w:rPr>
      </w:pPr>
    </w:p>
    <w:p w14:paraId="4F8FA860" w14:textId="77777777" w:rsidR="002A41B5" w:rsidRDefault="002A41B5" w:rsidP="00A276F5">
      <w:pPr>
        <w:spacing w:after="0"/>
        <w:rPr>
          <w:rFonts w:ascii="Times New Roman" w:hAnsi="Times New Roman" w:cs="Times New Roman"/>
          <w:sz w:val="24"/>
          <w:szCs w:val="24"/>
        </w:rPr>
      </w:pPr>
      <w:r w:rsidRPr="00077FB9">
        <w:rPr>
          <w:rFonts w:ascii="Times New Roman" w:hAnsi="Times New Roman"/>
          <w:sz w:val="24"/>
          <w:szCs w:val="24"/>
        </w:rPr>
        <w:lastRenderedPageBreak/>
        <w:t>The Regional Entities and NERC do most of the data processing, monitoring and compliance work for Reliability Standards.  Any involvement by the Commission is covered under the FERC-725 collection (</w:t>
      </w:r>
      <w:r>
        <w:rPr>
          <w:rFonts w:ascii="Times New Roman" w:hAnsi="Times New Roman"/>
          <w:sz w:val="24"/>
          <w:szCs w:val="24"/>
        </w:rPr>
        <w:t xml:space="preserve">OMB Control No. </w:t>
      </w:r>
      <w:r w:rsidRPr="00077FB9">
        <w:rPr>
          <w:rFonts w:ascii="Times New Roman" w:hAnsi="Times New Roman"/>
          <w:sz w:val="24"/>
          <w:szCs w:val="24"/>
        </w:rPr>
        <w:t>1902-0225) and is not part of this request or package</w:t>
      </w:r>
      <w:r>
        <w:rPr>
          <w:rFonts w:ascii="Times New Roman" w:hAnsi="Times New Roman"/>
          <w:sz w:val="24"/>
          <w:szCs w:val="24"/>
        </w:rPr>
        <w:t>.</w:t>
      </w:r>
    </w:p>
    <w:p w14:paraId="553B3ABF" w14:textId="77777777" w:rsidR="002A41B5" w:rsidRDefault="002A41B5" w:rsidP="00A276F5">
      <w:pPr>
        <w:spacing w:after="0"/>
        <w:rPr>
          <w:rFonts w:ascii="Times New Roman" w:hAnsi="Times New Roman" w:cs="Times New Roman"/>
          <w:sz w:val="24"/>
          <w:szCs w:val="24"/>
        </w:rPr>
      </w:pPr>
    </w:p>
    <w:p w14:paraId="5C49A35A" w14:textId="77777777" w:rsidR="00A276F5" w:rsidRDefault="00630A34" w:rsidP="00A276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AD16A3">
        <w:rPr>
          <w:rFonts w:ascii="Times New Roman" w:hAnsi="Times New Roman" w:cs="Times New Roman"/>
          <w:sz w:val="24"/>
          <w:szCs w:val="24"/>
        </w:rPr>
        <w:t>ment for FERC-725</w:t>
      </w:r>
      <w:r w:rsidR="00CA2BE9">
        <w:rPr>
          <w:rFonts w:ascii="Times New Roman" w:hAnsi="Times New Roman" w:cs="Times New Roman"/>
          <w:sz w:val="24"/>
          <w:szCs w:val="24"/>
        </w:rPr>
        <w:t>G</w:t>
      </w:r>
      <w:r w:rsidR="00F2786B">
        <w:rPr>
          <w:rFonts w:ascii="Times New Roman" w:hAnsi="Times New Roman" w:cs="Times New Roman"/>
          <w:sz w:val="24"/>
          <w:szCs w:val="24"/>
        </w:rPr>
        <w:t>1</w:t>
      </w:r>
      <w:r w:rsidRPr="00630A34">
        <w:rPr>
          <w:rFonts w:ascii="Times New Roman" w:hAnsi="Times New Roman" w:cs="Times New Roman"/>
          <w:sz w:val="24"/>
          <w:szCs w:val="24"/>
        </w:rPr>
        <w:t xml:space="preserve"> as rel</w:t>
      </w:r>
      <w:r w:rsidR="00CA2BE9">
        <w:rPr>
          <w:rFonts w:ascii="Times New Roman" w:hAnsi="Times New Roman" w:cs="Times New Roman"/>
          <w:sz w:val="24"/>
          <w:szCs w:val="24"/>
        </w:rPr>
        <w:t>ated to the requirements in the order</w:t>
      </w:r>
      <w:r w:rsidRPr="00630A34">
        <w:rPr>
          <w:rFonts w:ascii="Times New Roman" w:hAnsi="Times New Roman" w:cs="Times New Roman"/>
          <w:sz w:val="24"/>
          <w:szCs w:val="24"/>
        </w:rPr>
        <w:t xml:space="preserve"> in</w:t>
      </w:r>
      <w:r w:rsidR="006C04ED">
        <w:rPr>
          <w:rFonts w:ascii="Times New Roman" w:hAnsi="Times New Roman" w:cs="Times New Roman"/>
          <w:sz w:val="24"/>
          <w:szCs w:val="24"/>
        </w:rPr>
        <w:t xml:space="preserve"> Docket No.</w:t>
      </w:r>
      <w:r w:rsidRPr="00630A34">
        <w:rPr>
          <w:rFonts w:ascii="Times New Roman" w:hAnsi="Times New Roman" w:cs="Times New Roman"/>
          <w:sz w:val="24"/>
          <w:szCs w:val="24"/>
        </w:rPr>
        <w:t xml:space="preserve"> </w:t>
      </w:r>
      <w:r w:rsidR="00CA2BE9">
        <w:rPr>
          <w:rFonts w:ascii="Times New Roman" w:hAnsi="Times New Roman" w:cs="Times New Roman"/>
          <w:sz w:val="24"/>
          <w:szCs w:val="24"/>
        </w:rPr>
        <w:t>RD</w:t>
      </w:r>
      <w:r w:rsidR="00AD16A3">
        <w:rPr>
          <w:rFonts w:ascii="Times New Roman" w:hAnsi="Times New Roman" w:cs="Times New Roman"/>
          <w:sz w:val="24"/>
          <w:szCs w:val="24"/>
        </w:rPr>
        <w:t>1</w:t>
      </w:r>
      <w:r w:rsidR="00CA2BE9">
        <w:rPr>
          <w:rFonts w:ascii="Times New Roman" w:hAnsi="Times New Roman" w:cs="Times New Roman"/>
          <w:sz w:val="24"/>
          <w:szCs w:val="24"/>
        </w:rPr>
        <w:t>4</w:t>
      </w:r>
      <w:r w:rsidR="00AD16A3">
        <w:rPr>
          <w:rFonts w:ascii="Times New Roman" w:hAnsi="Times New Roman" w:cs="Times New Roman"/>
          <w:sz w:val="24"/>
          <w:szCs w:val="24"/>
        </w:rPr>
        <w:t>-</w:t>
      </w:r>
      <w:r w:rsidR="00CA2BE9">
        <w:rPr>
          <w:rFonts w:ascii="Times New Roman" w:hAnsi="Times New Roman" w:cs="Times New Roman"/>
          <w:sz w:val="24"/>
          <w:szCs w:val="24"/>
        </w:rPr>
        <w:t>14</w:t>
      </w:r>
      <w:r w:rsidR="00AD16A3">
        <w:rPr>
          <w:rFonts w:ascii="Times New Roman" w:hAnsi="Times New Roman" w:cs="Times New Roman"/>
          <w:sz w:val="24"/>
          <w:szCs w:val="24"/>
        </w:rPr>
        <w:t>-000</w:t>
      </w:r>
      <w:r w:rsidRPr="00630A34">
        <w:rPr>
          <w:rFonts w:ascii="Times New Roman" w:hAnsi="Times New Roman" w:cs="Times New Roman"/>
          <w:sz w:val="24"/>
          <w:szCs w:val="24"/>
        </w:rPr>
        <w:t xml:space="preserve"> follows:</w:t>
      </w:r>
    </w:p>
    <w:p w14:paraId="100C981A" w14:textId="77777777" w:rsidR="00630A34" w:rsidRDefault="00630A3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630A34" w14:paraId="3BBC9993" w14:textId="77777777">
        <w:tc>
          <w:tcPr>
            <w:tcW w:w="3182" w:type="dxa"/>
            <w:tcBorders>
              <w:top w:val="single" w:sz="4" w:space="0" w:color="auto"/>
              <w:left w:val="single" w:sz="4" w:space="0" w:color="auto"/>
              <w:bottom w:val="single" w:sz="4" w:space="0" w:color="auto"/>
              <w:right w:val="single" w:sz="4" w:space="0" w:color="auto"/>
            </w:tcBorders>
            <w:shd w:val="clear" w:color="auto" w:fill="CCCCCC"/>
          </w:tcPr>
          <w:p w14:paraId="4E33E035" w14:textId="77777777" w:rsidR="00630A34" w:rsidRPr="00630A34" w:rsidRDefault="00630A34" w:rsidP="00630A3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tcPr>
          <w:p w14:paraId="372D2506"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 xml:space="preserve">Number of </w:t>
            </w:r>
            <w:r w:rsidR="00706840">
              <w:rPr>
                <w:rFonts w:ascii="Times New Roman" w:hAnsi="Times New Roman" w:cs="Times New Roman"/>
                <w:b/>
                <w:sz w:val="24"/>
                <w:szCs w:val="24"/>
              </w:rPr>
              <w:t xml:space="preserve">Federal </w:t>
            </w:r>
            <w:r w:rsidRPr="00630A34">
              <w:rPr>
                <w:rFonts w:ascii="Times New Roman" w:hAnsi="Times New Roman" w:cs="Times New Roman"/>
                <w:b/>
                <w:sz w:val="24"/>
                <w:szCs w:val="24"/>
              </w:rPr>
              <w:t>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tcPr>
          <w:p w14:paraId="59F233DD"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630A34" w:rsidRPr="00630A34" w14:paraId="5426F127" w14:textId="77777777">
        <w:tc>
          <w:tcPr>
            <w:tcW w:w="3182" w:type="dxa"/>
            <w:tcBorders>
              <w:top w:val="single" w:sz="4" w:space="0" w:color="auto"/>
              <w:left w:val="single" w:sz="4" w:space="0" w:color="auto"/>
              <w:bottom w:val="single" w:sz="4" w:space="0" w:color="auto"/>
              <w:right w:val="single" w:sz="4" w:space="0" w:color="auto"/>
            </w:tcBorders>
          </w:tcPr>
          <w:p w14:paraId="4D5C72A5" w14:textId="77777777" w:rsidR="00630A34" w:rsidRPr="00630A34" w:rsidRDefault="00AD16A3" w:rsidP="007E220F">
            <w:pPr>
              <w:spacing w:after="0"/>
              <w:rPr>
                <w:rFonts w:ascii="Times New Roman" w:hAnsi="Times New Roman" w:cs="Times New Roman"/>
                <w:sz w:val="24"/>
                <w:szCs w:val="24"/>
              </w:rPr>
            </w:pPr>
            <w:r>
              <w:rPr>
                <w:rFonts w:ascii="Times New Roman" w:hAnsi="Times New Roman" w:cs="Times New Roman"/>
                <w:sz w:val="24"/>
                <w:szCs w:val="24"/>
              </w:rPr>
              <w:t>FERC-725</w:t>
            </w:r>
            <w:r w:rsidR="00CA2BE9">
              <w:rPr>
                <w:rFonts w:ascii="Times New Roman" w:hAnsi="Times New Roman" w:cs="Times New Roman"/>
                <w:sz w:val="24"/>
                <w:szCs w:val="24"/>
              </w:rPr>
              <w:t>G</w:t>
            </w:r>
            <w:r w:rsidR="00F2786B">
              <w:rPr>
                <w:rFonts w:ascii="Times New Roman" w:hAnsi="Times New Roman" w:cs="Times New Roman"/>
                <w:sz w:val="24"/>
                <w:szCs w:val="24"/>
              </w:rPr>
              <w:t>1</w:t>
            </w:r>
            <w:r w:rsidR="00630A34">
              <w:rPr>
                <w:rFonts w:ascii="Times New Roman" w:hAnsi="Times New Roman" w:cs="Times New Roman"/>
                <w:sz w:val="24"/>
                <w:szCs w:val="24"/>
              </w:rPr>
              <w:t xml:space="preserve"> </w:t>
            </w:r>
            <w:r w:rsidR="00630A34" w:rsidRPr="00630A34">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tcPr>
          <w:p w14:paraId="6EA70067" w14:textId="77777777" w:rsidR="00630A34" w:rsidRPr="00630A34" w:rsidRDefault="007B193F" w:rsidP="00630A34">
            <w:pPr>
              <w:spacing w:after="0"/>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tcPr>
          <w:p w14:paraId="17C74ECE" w14:textId="77777777" w:rsidR="00630A34" w:rsidRPr="00630A34" w:rsidRDefault="00630A34"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0</w:t>
            </w:r>
          </w:p>
        </w:tc>
      </w:tr>
      <w:tr w:rsidR="00AD16A3" w:rsidRPr="00630A34" w14:paraId="3BB64D6C" w14:textId="77777777">
        <w:tc>
          <w:tcPr>
            <w:tcW w:w="3182" w:type="dxa"/>
            <w:tcBorders>
              <w:top w:val="single" w:sz="4" w:space="0" w:color="auto"/>
              <w:left w:val="single" w:sz="4" w:space="0" w:color="auto"/>
              <w:bottom w:val="single" w:sz="4" w:space="0" w:color="auto"/>
              <w:right w:val="single" w:sz="4" w:space="0" w:color="auto"/>
            </w:tcBorders>
          </w:tcPr>
          <w:p w14:paraId="74FE4779" w14:textId="77777777" w:rsidR="00AD16A3"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t>PRA</w:t>
            </w:r>
            <w:r w:rsidRPr="00630A34">
              <w:rPr>
                <w:rFonts w:ascii="Times New Roman" w:hAnsi="Times New Roman" w:cs="Times New Roman"/>
                <w:sz w:val="24"/>
                <w:szCs w:val="24"/>
                <w:vertAlign w:val="superscript"/>
              </w:rPr>
              <w:footnoteReference w:id="15"/>
            </w:r>
            <w:r w:rsidRPr="00630A34">
              <w:rPr>
                <w:rFonts w:ascii="Times New Roman" w:hAnsi="Times New Roman" w:cs="Times New Roman"/>
                <w:sz w:val="24"/>
                <w:szCs w:val="24"/>
              </w:rPr>
              <w:t xml:space="preserve"> Administrative Cost</w:t>
            </w:r>
            <w:r w:rsidR="00247B75" w:rsidRPr="00896F4D">
              <w:rPr>
                <w:rStyle w:val="FootnoteReference"/>
                <w:rFonts w:ascii="Times New Roman" w:hAnsi="Times New Roman" w:cs="Times New Roman"/>
                <w:sz w:val="24"/>
                <w:szCs w:val="24"/>
                <w:vertAlign w:val="superscript"/>
              </w:rPr>
              <w:footnoteReference w:id="16"/>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5A08D2C9"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1F8B3D2B" w14:textId="77777777"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t>$5</w:t>
            </w:r>
            <w:r w:rsidR="00B11A9F">
              <w:rPr>
                <w:rFonts w:ascii="Times New Roman" w:hAnsi="Times New Roman" w:cs="Times New Roman"/>
                <w:sz w:val="24"/>
                <w:szCs w:val="24"/>
              </w:rPr>
              <w:t>,193</w:t>
            </w:r>
          </w:p>
        </w:tc>
      </w:tr>
      <w:tr w:rsidR="00AD16A3" w:rsidRPr="00630A34" w14:paraId="258E8DCA" w14:textId="77777777">
        <w:tc>
          <w:tcPr>
            <w:tcW w:w="3182" w:type="dxa"/>
            <w:tcBorders>
              <w:top w:val="single" w:sz="4" w:space="0" w:color="auto"/>
              <w:left w:val="single" w:sz="4" w:space="0" w:color="auto"/>
              <w:bottom w:val="single" w:sz="4" w:space="0" w:color="auto"/>
              <w:right w:val="single" w:sz="4" w:space="0" w:color="auto"/>
            </w:tcBorders>
          </w:tcPr>
          <w:p w14:paraId="5BC507EB" w14:textId="77777777"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30CD9A7D"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5AAC7843" w14:textId="77777777"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5,</w:t>
            </w:r>
            <w:r w:rsidR="00B11A9F">
              <w:rPr>
                <w:rFonts w:ascii="Times New Roman" w:hAnsi="Times New Roman" w:cs="Times New Roman"/>
                <w:sz w:val="24"/>
                <w:szCs w:val="24"/>
              </w:rPr>
              <w:t>193</w:t>
            </w:r>
          </w:p>
        </w:tc>
      </w:tr>
    </w:tbl>
    <w:p w14:paraId="68E243FD" w14:textId="77777777" w:rsidR="006B437C" w:rsidRDefault="006B437C" w:rsidP="006B437C">
      <w:pPr>
        <w:spacing w:after="0"/>
        <w:rPr>
          <w:rFonts w:ascii="Times New Roman" w:hAnsi="Times New Roman" w:cs="Times New Roman"/>
          <w:sz w:val="24"/>
          <w:szCs w:val="24"/>
        </w:rPr>
      </w:pPr>
    </w:p>
    <w:p w14:paraId="4B57374C"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6BF13825" w14:textId="77777777" w:rsidR="00CB04FF" w:rsidRDefault="00CB04FF" w:rsidP="00CE1CCD">
      <w:pPr>
        <w:spacing w:after="0"/>
        <w:rPr>
          <w:rFonts w:ascii="Times New Roman" w:hAnsi="Times New Roman" w:cs="Times New Roman"/>
          <w:sz w:val="24"/>
          <w:szCs w:val="24"/>
        </w:rPr>
      </w:pPr>
    </w:p>
    <w:p w14:paraId="2003E5F8" w14:textId="77777777" w:rsidR="002573FC" w:rsidRDefault="00CA2BE9" w:rsidP="00CE1CCD">
      <w:pPr>
        <w:spacing w:after="0"/>
        <w:rPr>
          <w:rFonts w:ascii="Times New Roman" w:hAnsi="Times New Roman" w:cs="Times New Roman"/>
          <w:sz w:val="24"/>
          <w:szCs w:val="24"/>
        </w:rPr>
      </w:pPr>
      <w:r>
        <w:rPr>
          <w:rFonts w:ascii="Times New Roman" w:hAnsi="Times New Roman" w:cs="Times New Roman"/>
          <w:sz w:val="24"/>
          <w:szCs w:val="24"/>
        </w:rPr>
        <w:t>FERC-725G</w:t>
      </w:r>
      <w:r w:rsidR="00B072DD">
        <w:rPr>
          <w:rFonts w:ascii="Times New Roman" w:hAnsi="Times New Roman" w:cs="Times New Roman"/>
          <w:sz w:val="24"/>
          <w:szCs w:val="24"/>
        </w:rPr>
        <w:t>1</w:t>
      </w:r>
      <w:r w:rsidR="002573FC">
        <w:rPr>
          <w:rFonts w:ascii="Times New Roman" w:hAnsi="Times New Roman" w:cs="Times New Roman"/>
          <w:sz w:val="24"/>
          <w:szCs w:val="24"/>
        </w:rPr>
        <w:t xml:space="preserve"> is a new collection</w:t>
      </w:r>
      <w:r w:rsidR="001E5E6C">
        <w:rPr>
          <w:rFonts w:ascii="Times New Roman" w:hAnsi="Times New Roman" w:cs="Times New Roman"/>
          <w:sz w:val="24"/>
          <w:szCs w:val="24"/>
        </w:rPr>
        <w:t xml:space="preserve"> number</w:t>
      </w:r>
      <w:r w:rsidR="00B072DD">
        <w:rPr>
          <w:rFonts w:ascii="Times New Roman" w:hAnsi="Times New Roman" w:cs="Times New Roman"/>
          <w:sz w:val="24"/>
          <w:szCs w:val="24"/>
        </w:rPr>
        <w:t xml:space="preserve"> for the proposed revised Reliability Standard </w:t>
      </w:r>
      <w:r>
        <w:rPr>
          <w:rFonts w:ascii="Times New Roman" w:hAnsi="Times New Roman" w:cs="Times New Roman"/>
          <w:sz w:val="24"/>
          <w:szCs w:val="24"/>
        </w:rPr>
        <w:t>PRC-004-3</w:t>
      </w:r>
      <w:r w:rsidR="00B072DD" w:rsidRPr="00B072DD">
        <w:rPr>
          <w:rFonts w:ascii="Times New Roman" w:hAnsi="Times New Roman" w:cs="Times New Roman"/>
          <w:sz w:val="24"/>
          <w:szCs w:val="24"/>
        </w:rPr>
        <w:t xml:space="preserve"> (</w:t>
      </w:r>
      <w:r w:rsidR="00780ACB" w:rsidRPr="00780ACB">
        <w:rPr>
          <w:rFonts w:ascii="Times New Roman" w:hAnsi="Times New Roman" w:cs="Times New Roman"/>
          <w:sz w:val="24"/>
          <w:szCs w:val="24"/>
        </w:rPr>
        <w:t xml:space="preserve">Protection System </w:t>
      </w:r>
      <w:proofErr w:type="spellStart"/>
      <w:r w:rsidR="00780ACB" w:rsidRPr="00780ACB">
        <w:rPr>
          <w:rFonts w:ascii="Times New Roman" w:hAnsi="Times New Roman" w:cs="Times New Roman"/>
          <w:sz w:val="24"/>
          <w:szCs w:val="24"/>
        </w:rPr>
        <w:t>Misoperation</w:t>
      </w:r>
      <w:proofErr w:type="spellEnd"/>
      <w:r w:rsidR="00780ACB" w:rsidRPr="00780ACB">
        <w:rPr>
          <w:rFonts w:ascii="Times New Roman" w:hAnsi="Times New Roman" w:cs="Times New Roman"/>
          <w:sz w:val="24"/>
          <w:szCs w:val="24"/>
        </w:rPr>
        <w:t xml:space="preserve"> Identification and Correction</w:t>
      </w:r>
      <w:r w:rsidR="00B072DD">
        <w:rPr>
          <w:rFonts w:ascii="Times New Roman" w:hAnsi="Times New Roman" w:cs="Times New Roman"/>
          <w:sz w:val="24"/>
          <w:szCs w:val="24"/>
        </w:rPr>
        <w:t>)</w:t>
      </w:r>
      <w:r w:rsidR="002573FC">
        <w:rPr>
          <w:rFonts w:ascii="Times New Roman" w:hAnsi="Times New Roman" w:cs="Times New Roman"/>
          <w:sz w:val="24"/>
          <w:szCs w:val="24"/>
        </w:rPr>
        <w:t xml:space="preserve">. </w:t>
      </w:r>
    </w:p>
    <w:p w14:paraId="509A1EC1" w14:textId="77777777" w:rsidR="00B072DD" w:rsidRDefault="00B072DD" w:rsidP="00CE1CCD">
      <w:pPr>
        <w:spacing w:after="0"/>
        <w:rPr>
          <w:rFonts w:ascii="Times New Roman" w:hAnsi="Times New Roman" w:cs="Times New Roman"/>
          <w:sz w:val="24"/>
          <w:szCs w:val="24"/>
        </w:rPr>
      </w:pPr>
    </w:p>
    <w:p w14:paraId="439AACC7" w14:textId="65E5B9E8" w:rsidR="00B072DD" w:rsidRDefault="00FE576E" w:rsidP="00CE1CCD">
      <w:pPr>
        <w:spacing w:after="0"/>
        <w:rPr>
          <w:rFonts w:ascii="Times New Roman" w:hAnsi="Times New Roman" w:cs="Times New Roman"/>
          <w:sz w:val="24"/>
          <w:szCs w:val="24"/>
        </w:rPr>
      </w:pPr>
      <w:r>
        <w:rPr>
          <w:rFonts w:ascii="Times New Roman" w:hAnsi="Times New Roman" w:cs="Times New Roman"/>
          <w:sz w:val="24"/>
          <w:szCs w:val="24"/>
        </w:rPr>
        <w:t>Pursuant to S</w:t>
      </w:r>
      <w:r w:rsidR="00DF64B2" w:rsidRPr="00DF64B2">
        <w:rPr>
          <w:rFonts w:ascii="Times New Roman" w:hAnsi="Times New Roman" w:cs="Times New Roman"/>
          <w:sz w:val="24"/>
          <w:szCs w:val="24"/>
        </w:rPr>
        <w:t>ection 215 o</w:t>
      </w:r>
      <w:r w:rsidR="00CA2BE9">
        <w:rPr>
          <w:rFonts w:ascii="Times New Roman" w:hAnsi="Times New Roman" w:cs="Times New Roman"/>
          <w:sz w:val="24"/>
          <w:szCs w:val="24"/>
        </w:rPr>
        <w:t xml:space="preserve">f the Federal Power Act (FPA), </w:t>
      </w:r>
      <w:r w:rsidR="00B072DD">
        <w:rPr>
          <w:rFonts w:ascii="Times New Roman" w:hAnsi="Times New Roman" w:cs="Times New Roman"/>
          <w:sz w:val="24"/>
          <w:szCs w:val="24"/>
        </w:rPr>
        <w:t>FERC</w:t>
      </w:r>
      <w:r w:rsidR="00DF64B2" w:rsidRPr="00DF64B2">
        <w:rPr>
          <w:rFonts w:ascii="Times New Roman" w:hAnsi="Times New Roman" w:cs="Times New Roman"/>
          <w:sz w:val="24"/>
          <w:szCs w:val="24"/>
        </w:rPr>
        <w:t xml:space="preserve"> proposes to approve a revis</w:t>
      </w:r>
      <w:r w:rsidR="00CA2BE9">
        <w:rPr>
          <w:rFonts w:ascii="Times New Roman" w:hAnsi="Times New Roman" w:cs="Times New Roman"/>
          <w:sz w:val="24"/>
          <w:szCs w:val="24"/>
        </w:rPr>
        <w:t>ed Reliability Standard, PRC-004-3</w:t>
      </w:r>
      <w:r w:rsidR="00DF64B2" w:rsidRPr="00DF64B2">
        <w:rPr>
          <w:rFonts w:ascii="Times New Roman" w:hAnsi="Times New Roman" w:cs="Times New Roman"/>
          <w:sz w:val="24"/>
          <w:szCs w:val="24"/>
        </w:rPr>
        <w:t xml:space="preserve">, developed and submitted by the North American Electric Reliability Corporation (NERC), the Commission-certified Electric Reliability Organization (ERO).  </w:t>
      </w:r>
      <w:r w:rsidR="00780ACB" w:rsidRPr="00780ACB">
        <w:rPr>
          <w:rFonts w:ascii="Times New Roman" w:hAnsi="Times New Roman" w:cs="Times New Roman"/>
          <w:sz w:val="24"/>
          <w:szCs w:val="24"/>
        </w:rPr>
        <w:t>Reliability Standard PRC-004-3 provides improvements over the currently-effective PRC-004-2.1a, including clearer requirements that establish what is required of the applicable entities and timeframes for the reliability objectives to be completed.</w:t>
      </w:r>
      <w:r w:rsidR="00DF64B2" w:rsidRPr="00DF64B2">
        <w:rPr>
          <w:rFonts w:ascii="Times New Roman" w:hAnsi="Times New Roman" w:cs="Times New Roman"/>
          <w:sz w:val="24"/>
          <w:szCs w:val="24"/>
        </w:rPr>
        <w:t xml:space="preserve">  </w:t>
      </w:r>
    </w:p>
    <w:p w14:paraId="1FE31FE4" w14:textId="77777777" w:rsidR="005457EC" w:rsidRDefault="005457EC" w:rsidP="00CE1CCD">
      <w:pPr>
        <w:spacing w:after="0"/>
        <w:rPr>
          <w:rFonts w:ascii="Times New Roman" w:hAnsi="Times New Roman" w:cs="Times New Roman"/>
          <w:sz w:val="24"/>
          <w:szCs w:val="24"/>
        </w:rPr>
      </w:pPr>
    </w:p>
    <w:p w14:paraId="674B403F" w14:textId="77777777" w:rsidR="00D76508" w:rsidRDefault="00E85D85" w:rsidP="003316E0">
      <w:pPr>
        <w:spacing w:after="0"/>
        <w:rPr>
          <w:rFonts w:ascii="Times New Roman" w:hAnsi="Times New Roman" w:cs="Times New Roman"/>
          <w:sz w:val="24"/>
          <w:szCs w:val="24"/>
        </w:rPr>
      </w:pPr>
      <w:r>
        <w:rPr>
          <w:rFonts w:ascii="Times New Roman" w:hAnsi="Times New Roman" w:cs="Times New Roman"/>
          <w:sz w:val="24"/>
          <w:szCs w:val="24"/>
        </w:rPr>
        <w:t xml:space="preserve">The estimated revised totals after the one-time changes in </w:t>
      </w:r>
      <w:r w:rsidR="000A40BC">
        <w:rPr>
          <w:rFonts w:ascii="Times New Roman" w:hAnsi="Times New Roman" w:cs="Times New Roman"/>
          <w:sz w:val="24"/>
          <w:szCs w:val="24"/>
        </w:rPr>
        <w:t>FERC-725G</w:t>
      </w:r>
      <w:r w:rsidR="008B4E04">
        <w:rPr>
          <w:rFonts w:ascii="Times New Roman" w:hAnsi="Times New Roman" w:cs="Times New Roman"/>
          <w:sz w:val="24"/>
          <w:szCs w:val="24"/>
        </w:rPr>
        <w:t>1</w:t>
      </w:r>
      <w:r w:rsidR="00CB04FF">
        <w:rPr>
          <w:rFonts w:ascii="Times New Roman" w:hAnsi="Times New Roman" w:cs="Times New Roman"/>
          <w:sz w:val="24"/>
          <w:szCs w:val="24"/>
        </w:rPr>
        <w:t xml:space="preserve"> (</w:t>
      </w:r>
      <w:r w:rsidR="006C04ED">
        <w:rPr>
          <w:rFonts w:ascii="Times New Roman" w:hAnsi="Times New Roman" w:cs="Times New Roman"/>
          <w:sz w:val="24"/>
          <w:szCs w:val="24"/>
        </w:rPr>
        <w:t xml:space="preserve">Docket No. </w:t>
      </w:r>
      <w:r w:rsidR="000A40BC">
        <w:rPr>
          <w:rFonts w:ascii="Times New Roman" w:hAnsi="Times New Roman" w:cs="Times New Roman"/>
          <w:sz w:val="24"/>
          <w:szCs w:val="24"/>
        </w:rPr>
        <w:t>RD</w:t>
      </w:r>
      <w:r>
        <w:rPr>
          <w:rFonts w:ascii="Times New Roman" w:hAnsi="Times New Roman" w:cs="Times New Roman"/>
          <w:sz w:val="24"/>
          <w:szCs w:val="24"/>
        </w:rPr>
        <w:t>1</w:t>
      </w:r>
      <w:r w:rsidR="000A40BC">
        <w:rPr>
          <w:rFonts w:ascii="Times New Roman" w:hAnsi="Times New Roman" w:cs="Times New Roman"/>
          <w:sz w:val="24"/>
          <w:szCs w:val="24"/>
        </w:rPr>
        <w:t>4-14</w:t>
      </w:r>
      <w:r>
        <w:rPr>
          <w:rFonts w:ascii="Times New Roman" w:hAnsi="Times New Roman" w:cs="Times New Roman"/>
          <w:sz w:val="24"/>
          <w:szCs w:val="24"/>
        </w:rPr>
        <w:t>-000</w:t>
      </w:r>
      <w:r w:rsidR="00CB04FF">
        <w:rPr>
          <w:rFonts w:ascii="Times New Roman" w:hAnsi="Times New Roman" w:cs="Times New Roman"/>
          <w:sz w:val="24"/>
          <w:szCs w:val="24"/>
        </w:rPr>
        <w:t>)</w:t>
      </w:r>
      <w:r>
        <w:rPr>
          <w:rFonts w:ascii="Times New Roman" w:hAnsi="Times New Roman" w:cs="Times New Roman"/>
          <w:sz w:val="24"/>
          <w:szCs w:val="24"/>
        </w:rPr>
        <w:t xml:space="preserve"> follow:</w:t>
      </w:r>
    </w:p>
    <w:p w14:paraId="4CECA999" w14:textId="77777777" w:rsidR="00E85D85" w:rsidRDefault="00E85D85"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3316E0" w14:paraId="3FAAFF83" w14:textId="77777777">
        <w:trPr>
          <w:trHeight w:val="870"/>
        </w:trPr>
        <w:tc>
          <w:tcPr>
            <w:tcW w:w="2589" w:type="dxa"/>
            <w:shd w:val="clear" w:color="auto" w:fill="D9D9D9"/>
            <w:vAlign w:val="bottom"/>
          </w:tcPr>
          <w:p w14:paraId="2E331DF6" w14:textId="77777777" w:rsidR="003316E0" w:rsidRPr="003316E0" w:rsidRDefault="007B193F" w:rsidP="003316E0">
            <w:pPr>
              <w:spacing w:after="0"/>
              <w:rPr>
                <w:rFonts w:ascii="Times New Roman" w:hAnsi="Times New Roman" w:cs="Times New Roman"/>
                <w:b/>
                <w:sz w:val="24"/>
                <w:szCs w:val="24"/>
              </w:rPr>
            </w:pPr>
            <w:r>
              <w:rPr>
                <w:rFonts w:ascii="Times New Roman" w:hAnsi="Times New Roman" w:cs="Times New Roman"/>
                <w:b/>
                <w:sz w:val="24"/>
                <w:szCs w:val="24"/>
              </w:rPr>
              <w:t>FERC-725</w:t>
            </w:r>
            <w:r w:rsidR="00CA2BE9">
              <w:rPr>
                <w:rFonts w:ascii="Times New Roman" w:hAnsi="Times New Roman" w:cs="Times New Roman"/>
                <w:b/>
                <w:sz w:val="24"/>
                <w:szCs w:val="24"/>
              </w:rPr>
              <w:t>G</w:t>
            </w:r>
            <w:r w:rsidR="000A40BC">
              <w:rPr>
                <w:rFonts w:ascii="Times New Roman" w:hAnsi="Times New Roman" w:cs="Times New Roman"/>
                <w:b/>
                <w:sz w:val="24"/>
                <w:szCs w:val="24"/>
              </w:rPr>
              <w:t>1</w:t>
            </w:r>
          </w:p>
        </w:tc>
        <w:tc>
          <w:tcPr>
            <w:tcW w:w="1779" w:type="dxa"/>
            <w:shd w:val="clear" w:color="auto" w:fill="D9D9D9"/>
            <w:vAlign w:val="bottom"/>
          </w:tcPr>
          <w:p w14:paraId="7A1135DD"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014C54C7"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685D0293"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14:paraId="5338A8A7"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3316E0" w:rsidRPr="003316E0" w14:paraId="3DD9CC5C" w14:textId="77777777">
        <w:trPr>
          <w:trHeight w:val="591"/>
        </w:trPr>
        <w:tc>
          <w:tcPr>
            <w:tcW w:w="2589" w:type="dxa"/>
          </w:tcPr>
          <w:p w14:paraId="1E190D33"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14:paraId="421C1161" w14:textId="77777777" w:rsidR="003316E0" w:rsidRPr="003316E0" w:rsidRDefault="00CA2BE9" w:rsidP="003316E0">
            <w:pPr>
              <w:spacing w:after="0"/>
              <w:rPr>
                <w:rFonts w:ascii="Times New Roman" w:hAnsi="Times New Roman" w:cs="Times New Roman"/>
                <w:sz w:val="24"/>
                <w:szCs w:val="24"/>
              </w:rPr>
            </w:pPr>
            <w:r>
              <w:rPr>
                <w:rFonts w:ascii="Times New Roman" w:hAnsi="Times New Roman" w:cs="Times New Roman"/>
                <w:sz w:val="24"/>
                <w:szCs w:val="24"/>
              </w:rPr>
              <w:t>659</w:t>
            </w:r>
          </w:p>
        </w:tc>
        <w:tc>
          <w:tcPr>
            <w:tcW w:w="1959" w:type="dxa"/>
            <w:vAlign w:val="center"/>
          </w:tcPr>
          <w:p w14:paraId="49D38463" w14:textId="77777777" w:rsidR="003316E0" w:rsidRPr="003316E0" w:rsidRDefault="00C9414F" w:rsidP="003316E0">
            <w:pPr>
              <w:spacing w:after="0"/>
              <w:rPr>
                <w:rFonts w:ascii="Times New Roman" w:hAnsi="Times New Roman" w:cs="Times New Roman"/>
                <w:sz w:val="24"/>
                <w:szCs w:val="24"/>
              </w:rPr>
            </w:pPr>
            <w:r>
              <w:rPr>
                <w:rFonts w:ascii="Times New Roman" w:hAnsi="Times New Roman" w:cs="Times New Roman"/>
                <w:sz w:val="24"/>
                <w:szCs w:val="24"/>
              </w:rPr>
              <w:t>0</w:t>
            </w:r>
          </w:p>
        </w:tc>
        <w:tc>
          <w:tcPr>
            <w:tcW w:w="1683" w:type="dxa"/>
            <w:vAlign w:val="center"/>
          </w:tcPr>
          <w:p w14:paraId="528AB51D"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2E52E9A3" w14:textId="77777777" w:rsidR="003316E0" w:rsidRPr="003316E0" w:rsidRDefault="00CA2BE9" w:rsidP="003316E0">
            <w:pPr>
              <w:spacing w:after="0"/>
              <w:rPr>
                <w:rFonts w:ascii="Times New Roman" w:hAnsi="Times New Roman" w:cs="Times New Roman"/>
                <w:sz w:val="24"/>
                <w:szCs w:val="24"/>
              </w:rPr>
            </w:pPr>
            <w:r>
              <w:rPr>
                <w:rFonts w:ascii="Times New Roman" w:hAnsi="Times New Roman" w:cs="Times New Roman"/>
                <w:sz w:val="24"/>
                <w:szCs w:val="24"/>
              </w:rPr>
              <w:t>659</w:t>
            </w:r>
          </w:p>
        </w:tc>
      </w:tr>
      <w:tr w:rsidR="003316E0" w:rsidRPr="003316E0" w14:paraId="20295E2C" w14:textId="77777777">
        <w:trPr>
          <w:trHeight w:val="575"/>
        </w:trPr>
        <w:tc>
          <w:tcPr>
            <w:tcW w:w="2589" w:type="dxa"/>
          </w:tcPr>
          <w:p w14:paraId="6781BD76"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lastRenderedPageBreak/>
              <w:t>Annual Time Burden (Hr</w:t>
            </w:r>
            <w:r w:rsidR="00EF487F">
              <w:rPr>
                <w:rFonts w:ascii="Times New Roman" w:hAnsi="Times New Roman" w:cs="Times New Roman"/>
                <w:sz w:val="24"/>
                <w:szCs w:val="24"/>
              </w:rPr>
              <w:t>.</w:t>
            </w:r>
            <w:r w:rsidRPr="003316E0">
              <w:rPr>
                <w:rFonts w:ascii="Times New Roman" w:hAnsi="Times New Roman" w:cs="Times New Roman"/>
                <w:sz w:val="24"/>
                <w:szCs w:val="24"/>
              </w:rPr>
              <w:t>)</w:t>
            </w:r>
            <w:r w:rsidR="00125F57">
              <w:rPr>
                <w:rFonts w:ascii="Times New Roman" w:hAnsi="Times New Roman" w:cs="Times New Roman"/>
                <w:sz w:val="24"/>
                <w:szCs w:val="24"/>
              </w:rPr>
              <w:t xml:space="preserve"> </w:t>
            </w:r>
            <w:r w:rsidR="00125F57" w:rsidRPr="00932C2D">
              <w:rPr>
                <w:rStyle w:val="FootnoteReference"/>
                <w:rFonts w:ascii="Times New Roman" w:hAnsi="Times New Roman" w:cs="Times New Roman"/>
                <w:sz w:val="24"/>
                <w:szCs w:val="24"/>
                <w:vertAlign w:val="superscript"/>
              </w:rPr>
              <w:footnoteReference w:id="17"/>
            </w:r>
          </w:p>
        </w:tc>
        <w:tc>
          <w:tcPr>
            <w:tcW w:w="1779" w:type="dxa"/>
            <w:vAlign w:val="center"/>
          </w:tcPr>
          <w:p w14:paraId="774E421D" w14:textId="77777777" w:rsidR="003316E0" w:rsidRPr="003316E0" w:rsidRDefault="00CA2BE9" w:rsidP="003316E0">
            <w:pPr>
              <w:spacing w:after="0"/>
              <w:rPr>
                <w:rFonts w:ascii="Times New Roman" w:hAnsi="Times New Roman" w:cs="Times New Roman"/>
                <w:sz w:val="24"/>
                <w:szCs w:val="24"/>
              </w:rPr>
            </w:pPr>
            <w:r>
              <w:rPr>
                <w:rFonts w:ascii="Times New Roman" w:hAnsi="Times New Roman" w:cs="Times New Roman"/>
                <w:sz w:val="24"/>
                <w:szCs w:val="24"/>
              </w:rPr>
              <w:t>14,498</w:t>
            </w:r>
          </w:p>
        </w:tc>
        <w:tc>
          <w:tcPr>
            <w:tcW w:w="1959" w:type="dxa"/>
            <w:vAlign w:val="center"/>
          </w:tcPr>
          <w:p w14:paraId="104B421B" w14:textId="77777777" w:rsidR="003316E0" w:rsidRPr="003316E0" w:rsidRDefault="00C9414F" w:rsidP="003316E0">
            <w:pPr>
              <w:spacing w:after="0"/>
              <w:rPr>
                <w:rFonts w:ascii="Times New Roman" w:hAnsi="Times New Roman" w:cs="Times New Roman"/>
                <w:sz w:val="24"/>
                <w:szCs w:val="24"/>
              </w:rPr>
            </w:pPr>
            <w:r>
              <w:rPr>
                <w:rFonts w:ascii="Times New Roman" w:hAnsi="Times New Roman" w:cs="Times New Roman"/>
                <w:sz w:val="24"/>
                <w:szCs w:val="24"/>
              </w:rPr>
              <w:t>0</w:t>
            </w:r>
          </w:p>
        </w:tc>
        <w:tc>
          <w:tcPr>
            <w:tcW w:w="1683" w:type="dxa"/>
            <w:vAlign w:val="center"/>
          </w:tcPr>
          <w:p w14:paraId="3233CB1E"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0804186A" w14:textId="77777777" w:rsidR="003316E0" w:rsidRPr="003316E0" w:rsidRDefault="00CA2BE9" w:rsidP="003316E0">
            <w:pPr>
              <w:spacing w:after="0"/>
              <w:rPr>
                <w:rFonts w:ascii="Times New Roman" w:hAnsi="Times New Roman" w:cs="Times New Roman"/>
                <w:sz w:val="24"/>
                <w:szCs w:val="24"/>
              </w:rPr>
            </w:pPr>
            <w:r>
              <w:rPr>
                <w:rFonts w:ascii="Times New Roman" w:hAnsi="Times New Roman" w:cs="Times New Roman"/>
                <w:sz w:val="24"/>
                <w:szCs w:val="24"/>
              </w:rPr>
              <w:t>14,498</w:t>
            </w:r>
          </w:p>
        </w:tc>
      </w:tr>
      <w:tr w:rsidR="003316E0" w:rsidRPr="003316E0" w14:paraId="0FF2D780" w14:textId="77777777">
        <w:trPr>
          <w:trHeight w:val="295"/>
        </w:trPr>
        <w:tc>
          <w:tcPr>
            <w:tcW w:w="2589" w:type="dxa"/>
          </w:tcPr>
          <w:p w14:paraId="6E0E7248"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3B432C1E"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14:paraId="1B004D66"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14:paraId="75A5F501"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7AB514FB"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r>
    </w:tbl>
    <w:p w14:paraId="7241F5C8" w14:textId="77777777" w:rsidR="003316E0" w:rsidRDefault="003316E0" w:rsidP="003316E0">
      <w:pPr>
        <w:spacing w:after="0"/>
        <w:rPr>
          <w:rFonts w:ascii="Times New Roman" w:hAnsi="Times New Roman" w:cs="Times New Roman"/>
          <w:sz w:val="24"/>
          <w:szCs w:val="24"/>
        </w:rPr>
      </w:pPr>
    </w:p>
    <w:p w14:paraId="677EE0E8" w14:textId="77777777" w:rsidR="003316E0" w:rsidRPr="00A276F5" w:rsidRDefault="003316E0" w:rsidP="003316E0">
      <w:pPr>
        <w:spacing w:after="0"/>
        <w:rPr>
          <w:rFonts w:ascii="Times New Roman" w:hAnsi="Times New Roman" w:cs="Times New Roman"/>
          <w:sz w:val="24"/>
          <w:szCs w:val="24"/>
        </w:rPr>
      </w:pPr>
    </w:p>
    <w:p w14:paraId="098709D0"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1C9028C3" w14:textId="77777777" w:rsidR="00414F32" w:rsidRDefault="00414F32" w:rsidP="00414F32">
      <w:pPr>
        <w:spacing w:after="0"/>
        <w:rPr>
          <w:rFonts w:ascii="Times New Roman" w:hAnsi="Times New Roman" w:cs="Times New Roman"/>
          <w:sz w:val="24"/>
          <w:szCs w:val="24"/>
        </w:rPr>
      </w:pPr>
    </w:p>
    <w:p w14:paraId="61787D28" w14:textId="77777777" w:rsidR="00414F32" w:rsidRDefault="00197A36" w:rsidP="00414F32">
      <w:pPr>
        <w:spacing w:after="0"/>
        <w:rPr>
          <w:rFonts w:ascii="Times New Roman" w:hAnsi="Times New Roman" w:cs="Times New Roman"/>
          <w:sz w:val="24"/>
          <w:szCs w:val="24"/>
        </w:rPr>
      </w:pPr>
      <w:r>
        <w:rPr>
          <w:rFonts w:ascii="Times New Roman" w:hAnsi="Times New Roman" w:cs="Times New Roman"/>
          <w:sz w:val="24"/>
          <w:szCs w:val="24"/>
        </w:rPr>
        <w:t xml:space="preserve">FERC does not publish any data associated with </w:t>
      </w:r>
      <w:r w:rsidR="0039318D">
        <w:rPr>
          <w:rFonts w:ascii="Times New Roman" w:hAnsi="Times New Roman" w:cs="Times New Roman"/>
          <w:sz w:val="24"/>
          <w:szCs w:val="24"/>
        </w:rPr>
        <w:t xml:space="preserve">this </w:t>
      </w:r>
      <w:r>
        <w:rPr>
          <w:rFonts w:ascii="Times New Roman" w:hAnsi="Times New Roman" w:cs="Times New Roman"/>
          <w:sz w:val="24"/>
          <w:szCs w:val="24"/>
        </w:rPr>
        <w:t>collection.</w:t>
      </w:r>
    </w:p>
    <w:p w14:paraId="666649D6" w14:textId="77777777" w:rsidR="00197A36" w:rsidRPr="00414F32" w:rsidRDefault="00197A36" w:rsidP="00414F32">
      <w:pPr>
        <w:spacing w:after="0"/>
        <w:rPr>
          <w:rFonts w:ascii="Times New Roman" w:hAnsi="Times New Roman" w:cs="Times New Roman"/>
          <w:sz w:val="24"/>
          <w:szCs w:val="24"/>
        </w:rPr>
      </w:pPr>
    </w:p>
    <w:p w14:paraId="7D2B7C91" w14:textId="77777777" w:rsidR="00414F32" w:rsidRPr="00AD6C5B" w:rsidRDefault="00414F32" w:rsidP="00414F32">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0856C11D" w14:textId="77777777" w:rsidR="00414F32" w:rsidRDefault="00197A36" w:rsidP="00414F32">
      <w:pPr>
        <w:spacing w:after="0"/>
        <w:rPr>
          <w:rFonts w:ascii="Times New Roman" w:hAnsi="Times New Roman" w:cs="Times New Roman"/>
          <w:sz w:val="24"/>
          <w:szCs w:val="24"/>
        </w:rPr>
      </w:pPr>
      <w:r w:rsidRPr="00197A36">
        <w:rPr>
          <w:rFonts w:ascii="Times New Roman" w:hAnsi="Times New Roman" w:cs="Times New Roman"/>
          <w:sz w:val="24"/>
          <w:szCs w:val="24"/>
        </w:rPr>
        <w:t xml:space="preserve">It is not appropriate to display the expiration date for OMB approval of the information collected pursuant to this rulemaking </w:t>
      </w:r>
      <w:r w:rsidR="00DB55F4">
        <w:rPr>
          <w:rFonts w:ascii="Times New Roman" w:hAnsi="Times New Roman" w:cs="Times New Roman"/>
          <w:sz w:val="24"/>
          <w:szCs w:val="24"/>
        </w:rPr>
        <w:t>affecting FERC-725</w:t>
      </w:r>
      <w:r w:rsidR="00CA2BE9">
        <w:rPr>
          <w:rFonts w:ascii="Times New Roman" w:hAnsi="Times New Roman" w:cs="Times New Roman"/>
          <w:sz w:val="24"/>
          <w:szCs w:val="24"/>
        </w:rPr>
        <w:t>G</w:t>
      </w:r>
      <w:r w:rsidR="002A7C8C">
        <w:rPr>
          <w:rFonts w:ascii="Times New Roman" w:hAnsi="Times New Roman" w:cs="Times New Roman"/>
          <w:sz w:val="24"/>
          <w:szCs w:val="24"/>
        </w:rPr>
        <w:t>1</w:t>
      </w:r>
      <w:r w:rsidR="00674FD8">
        <w:rPr>
          <w:rFonts w:ascii="Times New Roman" w:hAnsi="Times New Roman" w:cs="Times New Roman"/>
          <w:sz w:val="24"/>
          <w:szCs w:val="24"/>
        </w:rPr>
        <w:t xml:space="preserve"> because there are no specific instruments used in the collection</w:t>
      </w:r>
      <w:r w:rsidRPr="00197A36">
        <w:rPr>
          <w:rFonts w:ascii="Times New Roman" w:hAnsi="Times New Roman" w:cs="Times New Roman"/>
          <w:sz w:val="24"/>
          <w:szCs w:val="24"/>
        </w:rPr>
        <w:t xml:space="preserve">. </w:t>
      </w:r>
    </w:p>
    <w:p w14:paraId="033B2186" w14:textId="77777777" w:rsidR="00C27D56" w:rsidRDefault="00C27D56" w:rsidP="00414F32">
      <w:pPr>
        <w:spacing w:after="0"/>
        <w:rPr>
          <w:rFonts w:ascii="Times New Roman" w:hAnsi="Times New Roman" w:cs="Times New Roman"/>
          <w:sz w:val="24"/>
          <w:szCs w:val="24"/>
        </w:rPr>
      </w:pPr>
    </w:p>
    <w:p w14:paraId="0E81B6B3" w14:textId="77777777" w:rsidR="00C27D56" w:rsidRDefault="00C27D56" w:rsidP="00414F32">
      <w:pPr>
        <w:spacing w:after="0"/>
        <w:rPr>
          <w:rFonts w:ascii="Times New Roman" w:hAnsi="Times New Roman" w:cs="Times New Roman"/>
          <w:sz w:val="24"/>
          <w:szCs w:val="24"/>
        </w:rPr>
      </w:pPr>
      <w:r w:rsidRPr="00F50384">
        <w:rPr>
          <w:rFonts w:ascii="Times New Roman" w:hAnsi="Times New Roman" w:cs="Times New Roman"/>
          <w:sz w:val="24"/>
          <w:szCs w:val="24"/>
        </w:rPr>
        <w:t xml:space="preserve">The </w:t>
      </w:r>
      <w:r>
        <w:rPr>
          <w:rFonts w:ascii="Times New Roman" w:hAnsi="Times New Roman" w:cs="Times New Roman"/>
          <w:sz w:val="24"/>
          <w:szCs w:val="24"/>
        </w:rPr>
        <w:t xml:space="preserve">expiration date </w:t>
      </w:r>
      <w:r w:rsidR="00674FD8">
        <w:rPr>
          <w:rFonts w:ascii="Times New Roman" w:hAnsi="Times New Roman" w:cs="Times New Roman"/>
          <w:sz w:val="24"/>
          <w:szCs w:val="24"/>
        </w:rPr>
        <w:t xml:space="preserve">is displayed </w:t>
      </w:r>
      <w:r w:rsidRPr="00F50384">
        <w:rPr>
          <w:rFonts w:ascii="Times New Roman" w:hAnsi="Times New Roman" w:cs="Times New Roman"/>
          <w:sz w:val="24"/>
          <w:szCs w:val="24"/>
        </w:rPr>
        <w:t xml:space="preserve">at </w:t>
      </w:r>
      <w:hyperlink r:id="rId12" w:history="1">
        <w:r w:rsidRPr="00F50384">
          <w:rPr>
            <w:rStyle w:val="Hyperlink"/>
            <w:rFonts w:ascii="Times New Roman" w:hAnsi="Times New Roman" w:cs="Times New Roman"/>
            <w:sz w:val="24"/>
            <w:szCs w:val="24"/>
          </w:rPr>
          <w:t>http://www.ferc.gov/docs-filing/info-collections.asp</w:t>
        </w:r>
      </w:hyperlink>
      <w:r w:rsidRPr="00F50384">
        <w:rPr>
          <w:rFonts w:ascii="Times New Roman" w:hAnsi="Times New Roman" w:cs="Times New Roman"/>
          <w:sz w:val="24"/>
          <w:szCs w:val="24"/>
        </w:rPr>
        <w:t xml:space="preserve">. </w:t>
      </w:r>
    </w:p>
    <w:p w14:paraId="214A9A2B" w14:textId="77777777" w:rsidR="00197A36" w:rsidRPr="00414F32" w:rsidRDefault="00197A36" w:rsidP="00414F32">
      <w:pPr>
        <w:spacing w:after="0"/>
        <w:rPr>
          <w:rFonts w:ascii="Times New Roman" w:hAnsi="Times New Roman" w:cs="Times New Roman"/>
          <w:sz w:val="24"/>
          <w:szCs w:val="24"/>
        </w:rPr>
      </w:pPr>
    </w:p>
    <w:p w14:paraId="46092363"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679F568B" w14:textId="77777777" w:rsidR="00970FE4" w:rsidRDefault="00EE52C5" w:rsidP="0057700F">
      <w:pPr>
        <w:spacing w:after="0"/>
        <w:rPr>
          <w:rFonts w:ascii="Times New Roman" w:hAnsi="Times New Roman" w:cs="Times New Roman"/>
          <w:sz w:val="24"/>
          <w:szCs w:val="24"/>
        </w:rPr>
      </w:pPr>
      <w:r>
        <w:rPr>
          <w:rFonts w:ascii="Times New Roman" w:hAnsi="Times New Roman" w:cs="Times New Roman"/>
          <w:sz w:val="24"/>
          <w:szCs w:val="24"/>
        </w:rPr>
        <w:t xml:space="preserve">There are no exceptions. </w:t>
      </w:r>
    </w:p>
    <w:p w14:paraId="66C7FA92" w14:textId="77777777" w:rsidR="00EE52C5" w:rsidRDefault="00EE52C5" w:rsidP="0057700F">
      <w:pPr>
        <w:spacing w:after="0"/>
        <w:rPr>
          <w:rFonts w:ascii="Times New Roman" w:hAnsi="Times New Roman" w:cs="Times New Roman"/>
          <w:sz w:val="24"/>
          <w:szCs w:val="24"/>
        </w:rPr>
      </w:pPr>
    </w:p>
    <w:p w14:paraId="20E49858" w14:textId="77777777" w:rsidR="004B45D2" w:rsidRDefault="004B45D2" w:rsidP="004B45D2">
      <w:pPr>
        <w:spacing w:after="0"/>
        <w:rPr>
          <w:rFonts w:ascii="Times New Roman" w:hAnsi="Times New Roman" w:cs="Aharoni"/>
          <w:sz w:val="24"/>
          <w:szCs w:val="24"/>
        </w:rPr>
      </w:pPr>
    </w:p>
    <w:p w14:paraId="7CB5319F" w14:textId="77777777" w:rsidR="004B45D2" w:rsidRDefault="004B45D2" w:rsidP="004B45D2">
      <w:pPr>
        <w:rPr>
          <w:rFonts w:ascii="Times New Roman" w:hAnsi="Times New Roman" w:cs="Aharoni"/>
          <w:sz w:val="24"/>
          <w:szCs w:val="24"/>
        </w:rPr>
      </w:pPr>
    </w:p>
    <w:sectPr w:rsidR="004B45D2" w:rsidSect="0078612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E6018" w14:textId="77777777" w:rsidR="00991169" w:rsidRDefault="00991169" w:rsidP="00FD66F1">
      <w:pPr>
        <w:spacing w:after="0" w:line="240" w:lineRule="auto"/>
      </w:pPr>
      <w:r>
        <w:separator/>
      </w:r>
    </w:p>
  </w:endnote>
  <w:endnote w:type="continuationSeparator" w:id="0">
    <w:p w14:paraId="1943F3E6" w14:textId="77777777" w:rsidR="00991169" w:rsidRDefault="00991169"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rFonts w:ascii="Times New Roman" w:hAnsi="Times New Roman" w:cs="Times New Roman"/>
        <w:noProof/>
      </w:rPr>
    </w:sdtEndPr>
    <w:sdtContent>
      <w:p w14:paraId="63278F37" w14:textId="77777777" w:rsidR="007C390B" w:rsidRPr="00DD79FB" w:rsidRDefault="00991169">
        <w:pPr>
          <w:pStyle w:val="Footer"/>
          <w:jc w:val="right"/>
          <w:rPr>
            <w:rFonts w:ascii="Times New Roman" w:hAnsi="Times New Roman" w:cs="Times New Roman"/>
          </w:rPr>
        </w:pPr>
        <w:r>
          <w:fldChar w:fldCharType="begin"/>
        </w:r>
        <w:r>
          <w:instrText xml:space="preserve"> PAGE   \* MERGEFORMAT </w:instrText>
        </w:r>
        <w:r>
          <w:fldChar w:fldCharType="separate"/>
        </w:r>
        <w:r w:rsidR="0038101B" w:rsidRPr="0038101B">
          <w:rPr>
            <w:rFonts w:ascii="Times New Roman" w:hAnsi="Times New Roman" w:cs="Times New Roman"/>
            <w:noProof/>
          </w:rPr>
          <w:t>8</w:t>
        </w:r>
        <w:r>
          <w:rPr>
            <w:rFonts w:ascii="Times New Roman" w:hAnsi="Times New Roman" w:cs="Times New Roman"/>
            <w:noProof/>
          </w:rPr>
          <w:fldChar w:fldCharType="end"/>
        </w:r>
      </w:p>
    </w:sdtContent>
  </w:sdt>
  <w:p w14:paraId="7FAE2664" w14:textId="77777777" w:rsidR="007C390B" w:rsidRDefault="007C39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012CF" w14:textId="77777777" w:rsidR="00991169" w:rsidRDefault="00991169" w:rsidP="00FD66F1">
      <w:pPr>
        <w:spacing w:after="0" w:line="240" w:lineRule="auto"/>
      </w:pPr>
      <w:r>
        <w:separator/>
      </w:r>
    </w:p>
  </w:footnote>
  <w:footnote w:type="continuationSeparator" w:id="0">
    <w:p w14:paraId="4C87F1A6" w14:textId="77777777" w:rsidR="00991169" w:rsidRDefault="00991169" w:rsidP="00FD66F1">
      <w:pPr>
        <w:spacing w:after="0" w:line="240" w:lineRule="auto"/>
      </w:pPr>
      <w:r>
        <w:continuationSeparator/>
      </w:r>
    </w:p>
  </w:footnote>
  <w:footnote w:id="1">
    <w:p w14:paraId="4DD68C10" w14:textId="77777777" w:rsidR="007C390B" w:rsidRPr="00EA5E3C" w:rsidRDefault="007C390B" w:rsidP="00E85D85">
      <w:pPr>
        <w:pStyle w:val="FootnoteText"/>
      </w:pPr>
      <w:r w:rsidRPr="00EA5E3C">
        <w:rPr>
          <w:rStyle w:val="FootnoteReference"/>
        </w:rPr>
        <w:footnoteRef/>
      </w:r>
      <w:r w:rsidRPr="00EA5E3C">
        <w:t xml:space="preserve"> PRC is not an acronym. Rather, it is a prefix that denotes reliability standards related to “Protection and Control”.</w:t>
      </w:r>
    </w:p>
  </w:footnote>
  <w:footnote w:id="2">
    <w:p w14:paraId="3AC80DB7" w14:textId="77777777" w:rsidR="007C390B" w:rsidRPr="00EA5E3C" w:rsidRDefault="007C390B" w:rsidP="00E85D85">
      <w:pPr>
        <w:pStyle w:val="FootnoteText"/>
      </w:pPr>
      <w:r w:rsidRPr="00EA5E3C">
        <w:rPr>
          <w:rStyle w:val="FootnoteReference"/>
        </w:rPr>
        <w:footnoteRef/>
      </w:r>
      <w:r w:rsidRPr="00EA5E3C">
        <w:t xml:space="preserve"> </w:t>
      </w:r>
      <w:r w:rsidRPr="00C90C98">
        <w:t xml:space="preserve">Protection System </w:t>
      </w:r>
      <w:proofErr w:type="spellStart"/>
      <w:r w:rsidRPr="00C90C98">
        <w:t>Misoperation</w:t>
      </w:r>
      <w:proofErr w:type="spellEnd"/>
      <w:r w:rsidRPr="00C90C98">
        <w:t xml:space="preserve"> Identification and Correction</w:t>
      </w:r>
    </w:p>
  </w:footnote>
  <w:footnote w:id="3">
    <w:p w14:paraId="27C2FF65" w14:textId="77777777" w:rsidR="007C390B" w:rsidRPr="00EA5E3C" w:rsidRDefault="007C390B">
      <w:pPr>
        <w:pStyle w:val="FootnoteText"/>
      </w:pPr>
      <w:r w:rsidRPr="00EA5E3C">
        <w:rPr>
          <w:rStyle w:val="FootnoteReference"/>
        </w:rPr>
        <w:footnoteRef/>
      </w:r>
      <w:r w:rsidRPr="00EA5E3C">
        <w:t xml:space="preserve"> The collection itself is not temporary; rather the collection number (FERC-725G1) is a temporary identifier.  The requirements would normally be included in FERC-725G.  However FERC-725G is currently pending OMB review, and only one item per OMB Control No. can be pending OMB review at a time.  Attachment A provides additional information on the four ICRs, affecting various components of the PRC family of Rel. Standards, which are pending OMB review at this time.</w:t>
      </w:r>
    </w:p>
  </w:footnote>
  <w:footnote w:id="4">
    <w:p w14:paraId="7ECC9E54" w14:textId="77777777" w:rsidR="007C390B" w:rsidRPr="00EA5E3C" w:rsidRDefault="007C390B" w:rsidP="00955748">
      <w:pPr>
        <w:pStyle w:val="FootnoteText"/>
      </w:pPr>
      <w:r w:rsidRPr="00EA5E3C">
        <w:rPr>
          <w:rStyle w:val="FootnoteReference"/>
        </w:rPr>
        <w:footnoteRef/>
      </w:r>
      <w:r w:rsidRPr="00EA5E3C">
        <w:t xml:space="preserve"> </w:t>
      </w:r>
      <w:r w:rsidRPr="00EA5E3C">
        <w:rPr>
          <w:i/>
          <w:iCs/>
        </w:rPr>
        <w:t>North American Electric Reliability Corp.</w:t>
      </w:r>
      <w:r w:rsidRPr="00EA5E3C">
        <w:t xml:space="preserve">, 116 FERC ¶ 61,062, </w:t>
      </w:r>
      <w:r w:rsidRPr="00EA5E3C">
        <w:rPr>
          <w:i/>
          <w:iCs/>
        </w:rPr>
        <w:t xml:space="preserve">order on </w:t>
      </w:r>
      <w:proofErr w:type="spellStart"/>
      <w:r w:rsidRPr="00EA5E3C">
        <w:rPr>
          <w:i/>
          <w:iCs/>
        </w:rPr>
        <w:t>reh’g</w:t>
      </w:r>
      <w:proofErr w:type="spellEnd"/>
      <w:r w:rsidRPr="00EA5E3C">
        <w:rPr>
          <w:i/>
          <w:iCs/>
        </w:rPr>
        <w:t xml:space="preserve"> &amp; compliance</w:t>
      </w:r>
      <w:r w:rsidRPr="00EA5E3C">
        <w:t xml:space="preserve">, 117 FERC ¶ 61,126 (2006), </w:t>
      </w:r>
      <w:r w:rsidRPr="00EA5E3C">
        <w:rPr>
          <w:i/>
        </w:rPr>
        <w:t xml:space="preserve">aff’d </w:t>
      </w:r>
      <w:r w:rsidRPr="00EA5E3C">
        <w:rPr>
          <w:i/>
          <w:iCs/>
        </w:rPr>
        <w:t>sub nom. Alcoa, Inc. v. FERC</w:t>
      </w:r>
      <w:r w:rsidRPr="00EA5E3C">
        <w:t xml:space="preserve">, 564 F.3d 1342 (D.C. Cir. 2009).  </w:t>
      </w:r>
    </w:p>
  </w:footnote>
  <w:footnote w:id="5">
    <w:p w14:paraId="0AE2F827" w14:textId="77777777" w:rsidR="007C390B" w:rsidRPr="00EA5E3C" w:rsidRDefault="007C390B" w:rsidP="005D21CE">
      <w:pPr>
        <w:pStyle w:val="FootnoteText"/>
      </w:pPr>
      <w:r w:rsidRPr="00EA5E3C">
        <w:rPr>
          <w:rStyle w:val="FootnoteReference"/>
        </w:rPr>
        <w:footnoteRef/>
      </w:r>
      <w:r w:rsidRPr="00EA5E3C">
        <w:t xml:space="preserve"> </w:t>
      </w:r>
      <w:r w:rsidRPr="00EA5E3C">
        <w:rPr>
          <w:i/>
        </w:rPr>
        <w:t xml:space="preserve">Mandatory Reliability Standards for the Bulk-Power System, </w:t>
      </w:r>
      <w:r w:rsidRPr="00EA5E3C">
        <w:t xml:space="preserve">Order No. 693, FERC Stats. &amp; </w:t>
      </w:r>
      <w:proofErr w:type="spellStart"/>
      <w:r w:rsidRPr="00EA5E3C">
        <w:t>Regs</w:t>
      </w:r>
      <w:proofErr w:type="spellEnd"/>
      <w:r w:rsidRPr="00EA5E3C">
        <w:t xml:space="preserve">. ¶ 31,242 at P 1467, </w:t>
      </w:r>
      <w:r w:rsidRPr="00EA5E3C">
        <w:rPr>
          <w:i/>
        </w:rPr>
        <w:t xml:space="preserve">order on </w:t>
      </w:r>
      <w:proofErr w:type="spellStart"/>
      <w:r w:rsidRPr="00EA5E3C">
        <w:rPr>
          <w:i/>
        </w:rPr>
        <w:t>reh’g</w:t>
      </w:r>
      <w:proofErr w:type="spellEnd"/>
      <w:r w:rsidRPr="00EA5E3C">
        <w:rPr>
          <w:i/>
        </w:rPr>
        <w:t xml:space="preserve">, </w:t>
      </w:r>
      <w:r w:rsidRPr="00EA5E3C">
        <w:t xml:space="preserve">Order No. 693-A, 120 FERC    ¶ 61,053 (2007).  </w:t>
      </w:r>
    </w:p>
  </w:footnote>
  <w:footnote w:id="6">
    <w:p w14:paraId="4056988E" w14:textId="77777777" w:rsidR="007C390B" w:rsidRPr="00EA5E3C" w:rsidRDefault="007C390B" w:rsidP="005D21CE">
      <w:pPr>
        <w:pStyle w:val="FootnoteText"/>
      </w:pPr>
      <w:r w:rsidRPr="00EA5E3C">
        <w:rPr>
          <w:rStyle w:val="FootnoteReference"/>
        </w:rPr>
        <w:footnoteRef/>
      </w:r>
      <w:r w:rsidRPr="00EA5E3C">
        <w:t xml:space="preserve"> Order No. 693, FERC Stats. &amp; </w:t>
      </w:r>
      <w:proofErr w:type="spellStart"/>
      <w:r w:rsidRPr="00EA5E3C">
        <w:t>Regs</w:t>
      </w:r>
      <w:proofErr w:type="spellEnd"/>
      <w:r w:rsidRPr="00EA5E3C">
        <w:t>. ¶ 31,242 at P 1469.</w:t>
      </w:r>
    </w:p>
  </w:footnote>
  <w:footnote w:id="7">
    <w:p w14:paraId="552755C1" w14:textId="77777777" w:rsidR="007C390B" w:rsidRPr="00EA5E3C" w:rsidRDefault="007C390B" w:rsidP="005D21CE">
      <w:pPr>
        <w:pStyle w:val="FootnoteText"/>
      </w:pPr>
      <w:r w:rsidRPr="00EA5E3C">
        <w:rPr>
          <w:rStyle w:val="FootnoteReference"/>
        </w:rPr>
        <w:footnoteRef/>
      </w:r>
      <w:r w:rsidRPr="00EA5E3C">
        <w:t xml:space="preserve"> Order No. 693, FERC Stats. &amp; </w:t>
      </w:r>
      <w:proofErr w:type="spellStart"/>
      <w:r w:rsidRPr="00EA5E3C">
        <w:t>Regs</w:t>
      </w:r>
      <w:proofErr w:type="spellEnd"/>
      <w:r w:rsidRPr="00EA5E3C">
        <w:t>. ¶ 31,242 at P 1461.</w:t>
      </w:r>
    </w:p>
  </w:footnote>
  <w:footnote w:id="8">
    <w:p w14:paraId="6111A29B" w14:textId="77777777" w:rsidR="007C390B" w:rsidRPr="00EA5E3C" w:rsidRDefault="007C390B" w:rsidP="00AF7166">
      <w:pPr>
        <w:pStyle w:val="FootnoteText"/>
      </w:pPr>
      <w:r w:rsidRPr="00EA5E3C">
        <w:rPr>
          <w:rStyle w:val="FootnoteReference"/>
        </w:rPr>
        <w:footnoteRef/>
      </w:r>
      <w:r w:rsidRPr="00EA5E3C">
        <w:t xml:space="preserve"> </w:t>
      </w:r>
      <w:r w:rsidRPr="00037B07">
        <w:t>NERC Petition at 9</w:t>
      </w:r>
      <w:r w:rsidRPr="00EA5E3C">
        <w:rPr>
          <w:i/>
        </w:rPr>
        <w:t>.</w:t>
      </w:r>
      <w:r w:rsidRPr="00EA5E3C">
        <w:t xml:space="preserve">  </w:t>
      </w:r>
    </w:p>
  </w:footnote>
  <w:footnote w:id="9">
    <w:p w14:paraId="7C97F7CF" w14:textId="77777777" w:rsidR="007C390B" w:rsidRPr="00EA5E3C" w:rsidRDefault="007C390B" w:rsidP="009F41FF">
      <w:pPr>
        <w:pStyle w:val="FootnoteText"/>
      </w:pPr>
      <w:r w:rsidRPr="00EA5E3C">
        <w:rPr>
          <w:rStyle w:val="FootnoteReference"/>
        </w:rPr>
        <w:footnoteRef/>
      </w:r>
      <w:r w:rsidRPr="00EA5E3C">
        <w:t xml:space="preserve"> These options are detailed in NERC’s Rules of Procedure (Section 507, Provisions Relating to Joint Registration Organizations (JRO) and Section 508. Provisions Relating to Coordinated Functional Registration (CFR) Entities) on NERC’s website at </w:t>
      </w:r>
      <w:hyperlink r:id="rId1" w:history="1">
        <w:r w:rsidRPr="00EA5E3C">
          <w:rPr>
            <w:rStyle w:val="Hyperlink"/>
          </w:rPr>
          <w:t>http://www.nerc.com/FilingsOrders/us/RuleOfProcedureDL/NERC_ROP_Effective_20140701_updated_20140602%20(updated).pdf</w:t>
        </w:r>
      </w:hyperlink>
      <w:r w:rsidRPr="00EA5E3C">
        <w:rPr>
          <w:rStyle w:val="Hyperlink"/>
        </w:rPr>
        <w:t>.</w:t>
      </w:r>
    </w:p>
  </w:footnote>
  <w:footnote w:id="10">
    <w:p w14:paraId="6D0AC8CB" w14:textId="77777777" w:rsidR="007C390B" w:rsidRPr="00EA5E3C" w:rsidRDefault="007C390B">
      <w:pPr>
        <w:pStyle w:val="FootnoteText"/>
      </w:pPr>
      <w:r w:rsidRPr="00EA5E3C">
        <w:rPr>
          <w:rStyle w:val="FootnoteReference"/>
        </w:rPr>
        <w:footnoteRef/>
      </w:r>
      <w:r w:rsidRPr="00EA5E3C">
        <w:t xml:space="preserve"> 151 FERC 61,129 (5/13/2015)</w:t>
      </w:r>
      <w:bookmarkStart w:id="1" w:name="_GoBack"/>
      <w:bookmarkEnd w:id="1"/>
    </w:p>
  </w:footnote>
  <w:footnote w:id="11">
    <w:p w14:paraId="51C5F2AE" w14:textId="4DF0FE9F" w:rsidR="007C390B" w:rsidRPr="00EA5E3C" w:rsidRDefault="007C390B">
      <w:pPr>
        <w:pStyle w:val="FootnoteText"/>
      </w:pPr>
      <w:r w:rsidRPr="00EA5E3C">
        <w:rPr>
          <w:rStyle w:val="FootnoteReference"/>
        </w:rPr>
        <w:footnoteRef/>
      </w:r>
      <w:r w:rsidRPr="00EA5E3C">
        <w:t xml:space="preserve"> 80 FR 47914</w:t>
      </w:r>
      <w:r w:rsidR="004E38B0">
        <w:t xml:space="preserve"> (8/10/2015)</w:t>
      </w:r>
    </w:p>
  </w:footnote>
  <w:footnote w:id="12">
    <w:p w14:paraId="31FBDC72" w14:textId="77777777" w:rsidR="007C390B" w:rsidRPr="00EA5E3C" w:rsidRDefault="007C390B" w:rsidP="00E85D85">
      <w:pPr>
        <w:pStyle w:val="FootnoteText"/>
      </w:pPr>
      <w:r w:rsidRPr="00EA5E3C">
        <w:rPr>
          <w:rStyle w:val="FootnoteReference"/>
        </w:rPr>
        <w:footnoteRef/>
      </w:r>
      <w:r w:rsidRPr="00EA5E3C">
        <w:t xml:space="preserve"> Section 1502, Paragraph 2, available at NERC’s website.</w:t>
      </w:r>
    </w:p>
  </w:footnote>
  <w:footnote w:id="13">
    <w:p w14:paraId="2644D616" w14:textId="77777777" w:rsidR="007C390B" w:rsidRPr="00EA5E3C" w:rsidRDefault="007C390B" w:rsidP="00EA5E3C">
      <w:pPr>
        <w:pStyle w:val="FootnoteText"/>
      </w:pPr>
      <w:r w:rsidRPr="00EA5E3C">
        <w:rPr>
          <w:rStyle w:val="FootnoteReference"/>
        </w:rPr>
        <w:footnoteRef/>
      </w:r>
      <w:r w:rsidRPr="00EA5E3C">
        <w:t xml:space="preserve"> FERC-725G is a currently pending request at OMB.  Only one submittal can be pending OMB review under each control number, therefore, FERC-725G1 will be used for timely submittal.  </w:t>
      </w:r>
    </w:p>
  </w:footnote>
  <w:footnote w:id="14">
    <w:p w14:paraId="39D5C736" w14:textId="77777777" w:rsidR="007C390B" w:rsidRPr="00EA5E3C" w:rsidRDefault="007C390B" w:rsidP="00EA5E3C">
      <w:pPr>
        <w:pStyle w:val="FootnoteText"/>
      </w:pPr>
      <w:r w:rsidRPr="00EA5E3C">
        <w:rPr>
          <w:rStyle w:val="FootnoteReference"/>
        </w:rPr>
        <w:footnoteRef/>
      </w:r>
      <w:r w:rsidRPr="00EA5E3C">
        <w:rPr>
          <w:b/>
          <w:vertAlign w:val="superscript"/>
        </w:rPr>
        <w:t xml:space="preserve"> </w:t>
      </w:r>
      <w:r w:rsidRPr="00EA5E3C">
        <w:t xml:space="preserve">The estimates for cost per response are derived using the following formula: Average Burden Hours per Response * $n per Hour = Average Cost per Response. The $73 hourly cost figure is the average of the salary plus benefits for a manager and an engineer (rounded to the nearest dollar); $32/hour is the salary plus benefits for information and record clerks.  The figures are taken from the Bureau of Labor Statistics at </w:t>
      </w:r>
      <w:hyperlink r:id="rId2" w:history="1">
        <w:r w:rsidRPr="00EA5E3C">
          <w:rPr>
            <w:rStyle w:val="Hyperlink"/>
          </w:rPr>
          <w:t>http://bls.gov/oes/current/naics3_221000.htm</w:t>
        </w:r>
      </w:hyperlink>
      <w:r w:rsidRPr="00EA5E3C">
        <w:t>.</w:t>
      </w:r>
    </w:p>
  </w:footnote>
  <w:footnote w:id="15">
    <w:p w14:paraId="59482574" w14:textId="77777777" w:rsidR="007C390B" w:rsidRPr="00EA5E3C" w:rsidRDefault="007C390B" w:rsidP="00E85D85">
      <w:pPr>
        <w:pStyle w:val="FootnoteText"/>
      </w:pPr>
      <w:r w:rsidRPr="00EA5E3C">
        <w:rPr>
          <w:rStyle w:val="FootnoteReference"/>
          <w:vertAlign w:val="superscript"/>
        </w:rPr>
        <w:footnoteRef/>
      </w:r>
      <w:r w:rsidRPr="00EA5E3C">
        <w:rPr>
          <w:vertAlign w:val="superscript"/>
        </w:rPr>
        <w:t xml:space="preserve"> </w:t>
      </w:r>
      <w:r w:rsidRPr="00EA5E3C">
        <w:t>Paperwork Reduction Act of 1995 (PRA)</w:t>
      </w:r>
    </w:p>
  </w:footnote>
  <w:footnote w:id="16">
    <w:p w14:paraId="3FD1ADE1" w14:textId="77777777" w:rsidR="007C390B" w:rsidRPr="00EA5E3C" w:rsidRDefault="007C390B" w:rsidP="00E85D85">
      <w:pPr>
        <w:pStyle w:val="FootnoteText"/>
      </w:pPr>
      <w:r w:rsidRPr="00EA5E3C">
        <w:rPr>
          <w:rStyle w:val="FootnoteReference"/>
          <w:vertAlign w:val="superscript"/>
        </w:rPr>
        <w:footnoteRef/>
      </w:r>
      <w:r w:rsidRPr="00EA5E3C">
        <w:rPr>
          <w:vertAlign w:val="superscript"/>
        </w:rPr>
        <w:t xml:space="preserve"> </w:t>
      </w:r>
      <w:r w:rsidRPr="00EA5E3C">
        <w:t>The PRA Administrative Cost is a Federal Cost associated with preparing, issuing, and submitting materials necessary to comply with the PRA for rulemakings, orders, or any other vehicle used to create, modify, extend, or discontinue an information collection.   </w:t>
      </w:r>
    </w:p>
  </w:footnote>
  <w:footnote w:id="17">
    <w:p w14:paraId="6A08694D" w14:textId="77777777" w:rsidR="007C390B" w:rsidRPr="00EA5E3C" w:rsidRDefault="007C390B">
      <w:pPr>
        <w:pStyle w:val="FootnoteText"/>
      </w:pPr>
      <w:r w:rsidRPr="00EA5E3C">
        <w:rPr>
          <w:rStyle w:val="FootnoteReference"/>
          <w:vertAlign w:val="superscript"/>
        </w:rPr>
        <w:footnoteRef/>
      </w:r>
      <w:r w:rsidRPr="00EA5E3C">
        <w:rPr>
          <w:vertAlign w:val="superscript"/>
        </w:rPr>
        <w:t xml:space="preserve"> </w:t>
      </w:r>
      <w:r w:rsidRPr="00EA5E3C">
        <w:t xml:space="preserve">The new, additional, one-time burden discussed in this supporting statement and imposed by Reliability Standard PRC-005-4 (in Docket No. RM15-9-000) is 10,296 hours.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D3275" w14:textId="77777777" w:rsidR="007C390B" w:rsidRDefault="007C390B" w:rsidP="00963609">
    <w:pPr>
      <w:pStyle w:val="Header"/>
      <w:rPr>
        <w:rFonts w:ascii="Times New Roman" w:hAnsi="Times New Roman" w:cs="Times New Roman"/>
        <w:sz w:val="24"/>
        <w:szCs w:val="24"/>
      </w:rPr>
    </w:pPr>
    <w:r>
      <w:rPr>
        <w:rFonts w:ascii="Times New Roman" w:hAnsi="Times New Roman" w:cs="Times New Roman"/>
        <w:sz w:val="24"/>
        <w:szCs w:val="24"/>
      </w:rPr>
      <w:t>OMB Control Number: TBD (FERC-725G1)</w:t>
    </w:r>
  </w:p>
  <w:p w14:paraId="34859470" w14:textId="77777777" w:rsidR="007C390B" w:rsidRDefault="007C390B" w:rsidP="00AD3DE5">
    <w:pPr>
      <w:pStyle w:val="Header"/>
      <w:rPr>
        <w:rFonts w:ascii="Times New Roman" w:hAnsi="Times New Roman" w:cs="Times New Roman"/>
        <w:sz w:val="24"/>
        <w:szCs w:val="24"/>
      </w:rPr>
    </w:pPr>
    <w:r>
      <w:rPr>
        <w:rFonts w:ascii="Times New Roman" w:hAnsi="Times New Roman" w:cs="Times New Roman"/>
        <w:sz w:val="24"/>
        <w:szCs w:val="24"/>
      </w:rPr>
      <w:t>Order in Docket RD14-14-000</w:t>
    </w:r>
  </w:p>
  <w:p w14:paraId="039C4FAD" w14:textId="77777777" w:rsidR="007C390B" w:rsidRDefault="007C39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C7705"/>
    <w:multiLevelType w:val="hybridMultilevel"/>
    <w:tmpl w:val="7FB2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6110F"/>
    <w:multiLevelType w:val="hybridMultilevel"/>
    <w:tmpl w:val="647446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E07376D"/>
    <w:multiLevelType w:val="hybridMultilevel"/>
    <w:tmpl w:val="1EE0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 w15:restartNumberingAfterBreak="0">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6D4C53"/>
    <w:multiLevelType w:val="hybridMultilevel"/>
    <w:tmpl w:val="C0C859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4E4DD3"/>
    <w:multiLevelType w:val="hybridMultilevel"/>
    <w:tmpl w:val="D1BA6EBA"/>
    <w:lvl w:ilvl="0" w:tplc="6EAEAA46">
      <w:start w:val="1"/>
      <w:numFmt w:val="decimal"/>
      <w:pStyle w:val="FERCparanumber"/>
      <w:lvlText w:val="%1."/>
      <w:lvlJc w:val="left"/>
      <w:pPr>
        <w:tabs>
          <w:tab w:val="num" w:pos="990"/>
        </w:tabs>
        <w:ind w:left="270" w:firstLine="0"/>
      </w:pPr>
      <w:rPr>
        <w:rFonts w:hint="default"/>
        <w:b w:val="0"/>
        <w:i w:val="0"/>
        <w:sz w:val="26"/>
        <w:szCs w:val="26"/>
      </w:rPr>
    </w:lvl>
    <w:lvl w:ilvl="1" w:tplc="04090019">
      <w:start w:val="3"/>
      <w:numFmt w:val="upperLetter"/>
      <w:lvlText w:val="%2."/>
      <w:lvlJc w:val="left"/>
      <w:pPr>
        <w:tabs>
          <w:tab w:val="num" w:pos="830"/>
        </w:tabs>
        <w:ind w:left="830" w:hanging="660"/>
      </w:pPr>
      <w:rPr>
        <w:rFonts w:hint="default"/>
        <w:b w:val="0"/>
        <w:color w:val="auto"/>
        <w:u w:val="none"/>
      </w:rPr>
    </w:lvl>
    <w:lvl w:ilvl="2" w:tplc="0409001B">
      <w:start w:val="1"/>
      <w:numFmt w:val="lowerRoman"/>
      <w:lvlText w:val="%3."/>
      <w:lvlJc w:val="right"/>
      <w:pPr>
        <w:tabs>
          <w:tab w:val="num" w:pos="1250"/>
        </w:tabs>
        <w:ind w:left="1250" w:hanging="180"/>
      </w:pPr>
      <w:rPr>
        <w:rFonts w:hint="default"/>
      </w:rPr>
    </w:lvl>
    <w:lvl w:ilvl="3" w:tplc="0409000F">
      <w:start w:val="1"/>
      <w:numFmt w:val="decimal"/>
      <w:lvlText w:val="%4."/>
      <w:lvlJc w:val="left"/>
      <w:pPr>
        <w:tabs>
          <w:tab w:val="num" w:pos="1970"/>
        </w:tabs>
        <w:ind w:left="1970" w:hanging="360"/>
      </w:pPr>
    </w:lvl>
    <w:lvl w:ilvl="4" w:tplc="04090019" w:tentative="1">
      <w:start w:val="1"/>
      <w:numFmt w:val="lowerLetter"/>
      <w:lvlText w:val="%5."/>
      <w:lvlJc w:val="left"/>
      <w:pPr>
        <w:tabs>
          <w:tab w:val="num" w:pos="2690"/>
        </w:tabs>
        <w:ind w:left="2690" w:hanging="360"/>
      </w:pPr>
    </w:lvl>
    <w:lvl w:ilvl="5" w:tplc="0409001B" w:tentative="1">
      <w:start w:val="1"/>
      <w:numFmt w:val="lowerRoman"/>
      <w:lvlText w:val="%6."/>
      <w:lvlJc w:val="right"/>
      <w:pPr>
        <w:tabs>
          <w:tab w:val="num" w:pos="3410"/>
        </w:tabs>
        <w:ind w:left="3410" w:hanging="180"/>
      </w:pPr>
    </w:lvl>
    <w:lvl w:ilvl="6" w:tplc="0409000F" w:tentative="1">
      <w:start w:val="1"/>
      <w:numFmt w:val="decimal"/>
      <w:lvlText w:val="%7."/>
      <w:lvlJc w:val="left"/>
      <w:pPr>
        <w:tabs>
          <w:tab w:val="num" w:pos="4130"/>
        </w:tabs>
        <w:ind w:left="4130" w:hanging="360"/>
      </w:pPr>
    </w:lvl>
    <w:lvl w:ilvl="7" w:tplc="04090019" w:tentative="1">
      <w:start w:val="1"/>
      <w:numFmt w:val="lowerLetter"/>
      <w:lvlText w:val="%8."/>
      <w:lvlJc w:val="left"/>
      <w:pPr>
        <w:tabs>
          <w:tab w:val="num" w:pos="4850"/>
        </w:tabs>
        <w:ind w:left="4850" w:hanging="360"/>
      </w:pPr>
    </w:lvl>
    <w:lvl w:ilvl="8" w:tplc="0409001B" w:tentative="1">
      <w:start w:val="1"/>
      <w:numFmt w:val="lowerRoman"/>
      <w:lvlText w:val="%9."/>
      <w:lvlJc w:val="right"/>
      <w:pPr>
        <w:tabs>
          <w:tab w:val="num" w:pos="5570"/>
        </w:tabs>
        <w:ind w:left="5570" w:hanging="180"/>
      </w:pPr>
    </w:lvl>
  </w:abstractNum>
  <w:num w:numId="1">
    <w:abstractNumId w:val="6"/>
  </w:num>
  <w:num w:numId="2">
    <w:abstractNumId w:val="4"/>
  </w:num>
  <w:num w:numId="3">
    <w:abstractNumId w:val="9"/>
  </w:num>
  <w:num w:numId="4">
    <w:abstractNumId w:val="10"/>
  </w:num>
  <w:num w:numId="5">
    <w:abstractNumId w:val="7"/>
  </w:num>
  <w:num w:numId="6">
    <w:abstractNumId w:val="0"/>
  </w:num>
  <w:num w:numId="7">
    <w:abstractNumId w:val="3"/>
  </w:num>
  <w:num w:numId="8">
    <w:abstractNumId w:val="5"/>
  </w:num>
  <w:num w:numId="9">
    <w:abstractNumId w:val="2"/>
  </w:num>
  <w:num w:numId="10">
    <w:abstractNumId w:val="1"/>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D66F1"/>
    <w:rsid w:val="00002DA4"/>
    <w:rsid w:val="00004742"/>
    <w:rsid w:val="0002242D"/>
    <w:rsid w:val="0002567F"/>
    <w:rsid w:val="000259B7"/>
    <w:rsid w:val="00035845"/>
    <w:rsid w:val="000361A7"/>
    <w:rsid w:val="00037B07"/>
    <w:rsid w:val="00041041"/>
    <w:rsid w:val="000431EF"/>
    <w:rsid w:val="00047471"/>
    <w:rsid w:val="00052114"/>
    <w:rsid w:val="00053BD8"/>
    <w:rsid w:val="0005513A"/>
    <w:rsid w:val="000603A1"/>
    <w:rsid w:val="000621AE"/>
    <w:rsid w:val="00074DC8"/>
    <w:rsid w:val="0007636B"/>
    <w:rsid w:val="0008710E"/>
    <w:rsid w:val="000872A7"/>
    <w:rsid w:val="000A40BC"/>
    <w:rsid w:val="000B0C37"/>
    <w:rsid w:val="000C4988"/>
    <w:rsid w:val="000D2315"/>
    <w:rsid w:val="000D58F6"/>
    <w:rsid w:val="000E25B2"/>
    <w:rsid w:val="000E5772"/>
    <w:rsid w:val="000E5F6B"/>
    <w:rsid w:val="000F24CD"/>
    <w:rsid w:val="000F34E5"/>
    <w:rsid w:val="000F4112"/>
    <w:rsid w:val="000F41C9"/>
    <w:rsid w:val="00101C17"/>
    <w:rsid w:val="001063A3"/>
    <w:rsid w:val="00107705"/>
    <w:rsid w:val="001079EB"/>
    <w:rsid w:val="00125F57"/>
    <w:rsid w:val="00133334"/>
    <w:rsid w:val="001348AC"/>
    <w:rsid w:val="00137DB4"/>
    <w:rsid w:val="00140903"/>
    <w:rsid w:val="001425BA"/>
    <w:rsid w:val="00143103"/>
    <w:rsid w:val="0015129F"/>
    <w:rsid w:val="001700DE"/>
    <w:rsid w:val="00172386"/>
    <w:rsid w:val="0017533A"/>
    <w:rsid w:val="00176AA0"/>
    <w:rsid w:val="00177B9B"/>
    <w:rsid w:val="00177BBE"/>
    <w:rsid w:val="001800C1"/>
    <w:rsid w:val="00181727"/>
    <w:rsid w:val="00185730"/>
    <w:rsid w:val="00192362"/>
    <w:rsid w:val="00193ADB"/>
    <w:rsid w:val="00197A36"/>
    <w:rsid w:val="001A05A0"/>
    <w:rsid w:val="001A4B2D"/>
    <w:rsid w:val="001A4FC2"/>
    <w:rsid w:val="001B3BF0"/>
    <w:rsid w:val="001C1170"/>
    <w:rsid w:val="001C1E51"/>
    <w:rsid w:val="001C5284"/>
    <w:rsid w:val="001C7753"/>
    <w:rsid w:val="001E5E6C"/>
    <w:rsid w:val="001E60F0"/>
    <w:rsid w:val="001F0066"/>
    <w:rsid w:val="001F1AD9"/>
    <w:rsid w:val="001F7BC2"/>
    <w:rsid w:val="00215F2D"/>
    <w:rsid w:val="00221269"/>
    <w:rsid w:val="00235E83"/>
    <w:rsid w:val="00236674"/>
    <w:rsid w:val="00243F92"/>
    <w:rsid w:val="00247B75"/>
    <w:rsid w:val="00250EAE"/>
    <w:rsid w:val="00251D43"/>
    <w:rsid w:val="00255F1F"/>
    <w:rsid w:val="00256836"/>
    <w:rsid w:val="002573FC"/>
    <w:rsid w:val="0026674D"/>
    <w:rsid w:val="00271304"/>
    <w:rsid w:val="00272108"/>
    <w:rsid w:val="00274A75"/>
    <w:rsid w:val="002779D9"/>
    <w:rsid w:val="00283F78"/>
    <w:rsid w:val="00296233"/>
    <w:rsid w:val="00297631"/>
    <w:rsid w:val="002A0D26"/>
    <w:rsid w:val="002A1294"/>
    <w:rsid w:val="002A40A7"/>
    <w:rsid w:val="002A41B5"/>
    <w:rsid w:val="002A7C8C"/>
    <w:rsid w:val="002B13E2"/>
    <w:rsid w:val="002C1BFB"/>
    <w:rsid w:val="002C5F61"/>
    <w:rsid w:val="002C63E1"/>
    <w:rsid w:val="002E1085"/>
    <w:rsid w:val="002E1B73"/>
    <w:rsid w:val="002E3B48"/>
    <w:rsid w:val="002E3C5B"/>
    <w:rsid w:val="002E3DCD"/>
    <w:rsid w:val="002E65AE"/>
    <w:rsid w:val="002F0FBF"/>
    <w:rsid w:val="002F22E2"/>
    <w:rsid w:val="003014A7"/>
    <w:rsid w:val="00316C42"/>
    <w:rsid w:val="0031788D"/>
    <w:rsid w:val="003312EE"/>
    <w:rsid w:val="003316E0"/>
    <w:rsid w:val="00331EB7"/>
    <w:rsid w:val="003410FA"/>
    <w:rsid w:val="00362710"/>
    <w:rsid w:val="00363B01"/>
    <w:rsid w:val="00364674"/>
    <w:rsid w:val="00367D87"/>
    <w:rsid w:val="003800E6"/>
    <w:rsid w:val="0038101B"/>
    <w:rsid w:val="0039318D"/>
    <w:rsid w:val="003967A4"/>
    <w:rsid w:val="003A17AE"/>
    <w:rsid w:val="003B0249"/>
    <w:rsid w:val="003B3B61"/>
    <w:rsid w:val="003D05E0"/>
    <w:rsid w:val="003D5A4D"/>
    <w:rsid w:val="003E465C"/>
    <w:rsid w:val="00406C7A"/>
    <w:rsid w:val="00414670"/>
    <w:rsid w:val="00414F32"/>
    <w:rsid w:val="00417400"/>
    <w:rsid w:val="00423651"/>
    <w:rsid w:val="004276A5"/>
    <w:rsid w:val="0044163A"/>
    <w:rsid w:val="00443588"/>
    <w:rsid w:val="00447718"/>
    <w:rsid w:val="0045446A"/>
    <w:rsid w:val="0045480C"/>
    <w:rsid w:val="0045680D"/>
    <w:rsid w:val="00461AD2"/>
    <w:rsid w:val="00466C57"/>
    <w:rsid w:val="004A2342"/>
    <w:rsid w:val="004A3AE2"/>
    <w:rsid w:val="004B1C0F"/>
    <w:rsid w:val="004B286D"/>
    <w:rsid w:val="004B45D2"/>
    <w:rsid w:val="004C4C89"/>
    <w:rsid w:val="004C5E0E"/>
    <w:rsid w:val="004D061F"/>
    <w:rsid w:val="004D19E1"/>
    <w:rsid w:val="004D31AA"/>
    <w:rsid w:val="004E38B0"/>
    <w:rsid w:val="004E651C"/>
    <w:rsid w:val="004F459B"/>
    <w:rsid w:val="004F6977"/>
    <w:rsid w:val="00514D81"/>
    <w:rsid w:val="00520617"/>
    <w:rsid w:val="00522F69"/>
    <w:rsid w:val="005253CD"/>
    <w:rsid w:val="0053287C"/>
    <w:rsid w:val="00535D48"/>
    <w:rsid w:val="00540572"/>
    <w:rsid w:val="00541B4E"/>
    <w:rsid w:val="00541FBD"/>
    <w:rsid w:val="005457EC"/>
    <w:rsid w:val="005462B6"/>
    <w:rsid w:val="00546959"/>
    <w:rsid w:val="00557AA3"/>
    <w:rsid w:val="005628A2"/>
    <w:rsid w:val="00565307"/>
    <w:rsid w:val="00565CB1"/>
    <w:rsid w:val="00566CB0"/>
    <w:rsid w:val="0057031F"/>
    <w:rsid w:val="00570861"/>
    <w:rsid w:val="00571C5E"/>
    <w:rsid w:val="00576FDE"/>
    <w:rsid w:val="0057700F"/>
    <w:rsid w:val="00582E7E"/>
    <w:rsid w:val="00591BAD"/>
    <w:rsid w:val="00594634"/>
    <w:rsid w:val="00597D22"/>
    <w:rsid w:val="005A2792"/>
    <w:rsid w:val="005A29F9"/>
    <w:rsid w:val="005A409F"/>
    <w:rsid w:val="005A649D"/>
    <w:rsid w:val="005B4CDD"/>
    <w:rsid w:val="005B77CE"/>
    <w:rsid w:val="005C18F6"/>
    <w:rsid w:val="005C6509"/>
    <w:rsid w:val="005D21CE"/>
    <w:rsid w:val="005E2146"/>
    <w:rsid w:val="005F0306"/>
    <w:rsid w:val="005F1C3C"/>
    <w:rsid w:val="0061165E"/>
    <w:rsid w:val="006132D8"/>
    <w:rsid w:val="006166FA"/>
    <w:rsid w:val="006234A1"/>
    <w:rsid w:val="00630A34"/>
    <w:rsid w:val="00634566"/>
    <w:rsid w:val="00636377"/>
    <w:rsid w:val="00637CE1"/>
    <w:rsid w:val="00650212"/>
    <w:rsid w:val="00653001"/>
    <w:rsid w:val="00654786"/>
    <w:rsid w:val="00657790"/>
    <w:rsid w:val="00657A47"/>
    <w:rsid w:val="00664BC0"/>
    <w:rsid w:val="00674FD8"/>
    <w:rsid w:val="00684049"/>
    <w:rsid w:val="0068619C"/>
    <w:rsid w:val="0068681F"/>
    <w:rsid w:val="00690136"/>
    <w:rsid w:val="00690EF1"/>
    <w:rsid w:val="0069237F"/>
    <w:rsid w:val="0069693D"/>
    <w:rsid w:val="006A199A"/>
    <w:rsid w:val="006B437C"/>
    <w:rsid w:val="006B6D60"/>
    <w:rsid w:val="006C04ED"/>
    <w:rsid w:val="006C10F1"/>
    <w:rsid w:val="006C1F91"/>
    <w:rsid w:val="006C3598"/>
    <w:rsid w:val="006C5826"/>
    <w:rsid w:val="006C66D3"/>
    <w:rsid w:val="006D5BA6"/>
    <w:rsid w:val="006E2F34"/>
    <w:rsid w:val="006E3CFD"/>
    <w:rsid w:val="006E54CC"/>
    <w:rsid w:val="006F750C"/>
    <w:rsid w:val="00706840"/>
    <w:rsid w:val="00707ECD"/>
    <w:rsid w:val="00711903"/>
    <w:rsid w:val="00716469"/>
    <w:rsid w:val="007175D4"/>
    <w:rsid w:val="00720C5A"/>
    <w:rsid w:val="00731C22"/>
    <w:rsid w:val="00733F7E"/>
    <w:rsid w:val="007353C5"/>
    <w:rsid w:val="00736047"/>
    <w:rsid w:val="0074195A"/>
    <w:rsid w:val="007439F7"/>
    <w:rsid w:val="0075612A"/>
    <w:rsid w:val="00761A02"/>
    <w:rsid w:val="007658E1"/>
    <w:rsid w:val="00773AEB"/>
    <w:rsid w:val="00780ACB"/>
    <w:rsid w:val="007849C5"/>
    <w:rsid w:val="0078612A"/>
    <w:rsid w:val="00787670"/>
    <w:rsid w:val="00797054"/>
    <w:rsid w:val="007A04A8"/>
    <w:rsid w:val="007A2F92"/>
    <w:rsid w:val="007A6142"/>
    <w:rsid w:val="007B193F"/>
    <w:rsid w:val="007C390B"/>
    <w:rsid w:val="007D2A3B"/>
    <w:rsid w:val="007E1F0A"/>
    <w:rsid w:val="007E220F"/>
    <w:rsid w:val="007E3C37"/>
    <w:rsid w:val="007E6BD9"/>
    <w:rsid w:val="007E7C0F"/>
    <w:rsid w:val="007F1A06"/>
    <w:rsid w:val="007F6A0F"/>
    <w:rsid w:val="00815A84"/>
    <w:rsid w:val="00834C7F"/>
    <w:rsid w:val="008361D9"/>
    <w:rsid w:val="00855EC8"/>
    <w:rsid w:val="00856C0A"/>
    <w:rsid w:val="008619E1"/>
    <w:rsid w:val="00876F75"/>
    <w:rsid w:val="00885CD4"/>
    <w:rsid w:val="008874F5"/>
    <w:rsid w:val="00896C01"/>
    <w:rsid w:val="008A21A4"/>
    <w:rsid w:val="008A2EF6"/>
    <w:rsid w:val="008A52E9"/>
    <w:rsid w:val="008A6B3F"/>
    <w:rsid w:val="008A7624"/>
    <w:rsid w:val="008B1419"/>
    <w:rsid w:val="008B4E04"/>
    <w:rsid w:val="008B5B66"/>
    <w:rsid w:val="008B703B"/>
    <w:rsid w:val="008B7610"/>
    <w:rsid w:val="008C1600"/>
    <w:rsid w:val="008C238C"/>
    <w:rsid w:val="008C288D"/>
    <w:rsid w:val="008C2F02"/>
    <w:rsid w:val="008D310F"/>
    <w:rsid w:val="008D54F0"/>
    <w:rsid w:val="008D6E39"/>
    <w:rsid w:val="008E62C3"/>
    <w:rsid w:val="008E70CD"/>
    <w:rsid w:val="008E7BD0"/>
    <w:rsid w:val="00911FF4"/>
    <w:rsid w:val="00913A8B"/>
    <w:rsid w:val="00916C2F"/>
    <w:rsid w:val="00925502"/>
    <w:rsid w:val="00926EC5"/>
    <w:rsid w:val="0093102B"/>
    <w:rsid w:val="00932C2D"/>
    <w:rsid w:val="00935C6E"/>
    <w:rsid w:val="00937A89"/>
    <w:rsid w:val="0094129A"/>
    <w:rsid w:val="009430EF"/>
    <w:rsid w:val="00943B95"/>
    <w:rsid w:val="00950ECA"/>
    <w:rsid w:val="00955748"/>
    <w:rsid w:val="00956A0B"/>
    <w:rsid w:val="00963609"/>
    <w:rsid w:val="00967D28"/>
    <w:rsid w:val="00970FE4"/>
    <w:rsid w:val="00971AB3"/>
    <w:rsid w:val="00971E62"/>
    <w:rsid w:val="009771DA"/>
    <w:rsid w:val="00987269"/>
    <w:rsid w:val="00991169"/>
    <w:rsid w:val="009917DB"/>
    <w:rsid w:val="0099336E"/>
    <w:rsid w:val="009942F8"/>
    <w:rsid w:val="009944BE"/>
    <w:rsid w:val="009947BB"/>
    <w:rsid w:val="00995C70"/>
    <w:rsid w:val="009A19ED"/>
    <w:rsid w:val="009B43F8"/>
    <w:rsid w:val="009D1251"/>
    <w:rsid w:val="009D205F"/>
    <w:rsid w:val="009D6BD3"/>
    <w:rsid w:val="009E1190"/>
    <w:rsid w:val="009E5E4D"/>
    <w:rsid w:val="009F3297"/>
    <w:rsid w:val="009F41FF"/>
    <w:rsid w:val="009F4EEC"/>
    <w:rsid w:val="009F7934"/>
    <w:rsid w:val="00A1360C"/>
    <w:rsid w:val="00A276F5"/>
    <w:rsid w:val="00A27EBA"/>
    <w:rsid w:val="00A35926"/>
    <w:rsid w:val="00A5648B"/>
    <w:rsid w:val="00A61802"/>
    <w:rsid w:val="00A62953"/>
    <w:rsid w:val="00A72E7B"/>
    <w:rsid w:val="00A9186C"/>
    <w:rsid w:val="00A93DBC"/>
    <w:rsid w:val="00A93F1B"/>
    <w:rsid w:val="00A96B65"/>
    <w:rsid w:val="00AA0264"/>
    <w:rsid w:val="00AB02E0"/>
    <w:rsid w:val="00AB791E"/>
    <w:rsid w:val="00AC274E"/>
    <w:rsid w:val="00AC4C0B"/>
    <w:rsid w:val="00AD1544"/>
    <w:rsid w:val="00AD16A3"/>
    <w:rsid w:val="00AD3DE5"/>
    <w:rsid w:val="00AD50EA"/>
    <w:rsid w:val="00AD6C5B"/>
    <w:rsid w:val="00AF19D9"/>
    <w:rsid w:val="00AF5630"/>
    <w:rsid w:val="00AF5F21"/>
    <w:rsid w:val="00AF7166"/>
    <w:rsid w:val="00B01AC9"/>
    <w:rsid w:val="00B071FF"/>
    <w:rsid w:val="00B072DD"/>
    <w:rsid w:val="00B11A9F"/>
    <w:rsid w:val="00B169FF"/>
    <w:rsid w:val="00B27783"/>
    <w:rsid w:val="00B6684D"/>
    <w:rsid w:val="00B67D38"/>
    <w:rsid w:val="00B7200D"/>
    <w:rsid w:val="00B81CD0"/>
    <w:rsid w:val="00B837BA"/>
    <w:rsid w:val="00B9413E"/>
    <w:rsid w:val="00BA05FB"/>
    <w:rsid w:val="00BA1C7D"/>
    <w:rsid w:val="00BA7C56"/>
    <w:rsid w:val="00BB1263"/>
    <w:rsid w:val="00BB3B2C"/>
    <w:rsid w:val="00BC31A2"/>
    <w:rsid w:val="00BD7446"/>
    <w:rsid w:val="00BE2C9F"/>
    <w:rsid w:val="00BF2779"/>
    <w:rsid w:val="00BF2816"/>
    <w:rsid w:val="00C01698"/>
    <w:rsid w:val="00C15DF2"/>
    <w:rsid w:val="00C17BDC"/>
    <w:rsid w:val="00C233E7"/>
    <w:rsid w:val="00C2559A"/>
    <w:rsid w:val="00C27D56"/>
    <w:rsid w:val="00C35DFC"/>
    <w:rsid w:val="00C40D9E"/>
    <w:rsid w:val="00C47527"/>
    <w:rsid w:val="00C50ED1"/>
    <w:rsid w:val="00C510DD"/>
    <w:rsid w:val="00C61E8F"/>
    <w:rsid w:val="00C62B0C"/>
    <w:rsid w:val="00C86724"/>
    <w:rsid w:val="00C87022"/>
    <w:rsid w:val="00C90C98"/>
    <w:rsid w:val="00C9414F"/>
    <w:rsid w:val="00C96C91"/>
    <w:rsid w:val="00CA2BE9"/>
    <w:rsid w:val="00CA495F"/>
    <w:rsid w:val="00CA59C3"/>
    <w:rsid w:val="00CB04FF"/>
    <w:rsid w:val="00CB26E8"/>
    <w:rsid w:val="00CB6CC6"/>
    <w:rsid w:val="00CC0D08"/>
    <w:rsid w:val="00CC3078"/>
    <w:rsid w:val="00CC680A"/>
    <w:rsid w:val="00CD2BD0"/>
    <w:rsid w:val="00CE1CCD"/>
    <w:rsid w:val="00CE2CDA"/>
    <w:rsid w:val="00CF1BFB"/>
    <w:rsid w:val="00CF759C"/>
    <w:rsid w:val="00CF78E6"/>
    <w:rsid w:val="00D023D4"/>
    <w:rsid w:val="00D039DA"/>
    <w:rsid w:val="00D04F87"/>
    <w:rsid w:val="00D075A0"/>
    <w:rsid w:val="00D077EC"/>
    <w:rsid w:val="00D21D86"/>
    <w:rsid w:val="00D24BF7"/>
    <w:rsid w:val="00D269B1"/>
    <w:rsid w:val="00D26CCF"/>
    <w:rsid w:val="00D27336"/>
    <w:rsid w:val="00D27373"/>
    <w:rsid w:val="00D31413"/>
    <w:rsid w:val="00D3179E"/>
    <w:rsid w:val="00D32964"/>
    <w:rsid w:val="00D60147"/>
    <w:rsid w:val="00D63739"/>
    <w:rsid w:val="00D64890"/>
    <w:rsid w:val="00D750E8"/>
    <w:rsid w:val="00D76508"/>
    <w:rsid w:val="00D80FBD"/>
    <w:rsid w:val="00D83445"/>
    <w:rsid w:val="00D83746"/>
    <w:rsid w:val="00D86DD2"/>
    <w:rsid w:val="00D87A60"/>
    <w:rsid w:val="00D87A76"/>
    <w:rsid w:val="00D9209B"/>
    <w:rsid w:val="00DA06F4"/>
    <w:rsid w:val="00DB55F4"/>
    <w:rsid w:val="00DB58D2"/>
    <w:rsid w:val="00DB6DC8"/>
    <w:rsid w:val="00DB7311"/>
    <w:rsid w:val="00DC4E36"/>
    <w:rsid w:val="00DD1771"/>
    <w:rsid w:val="00DD54DC"/>
    <w:rsid w:val="00DD79FB"/>
    <w:rsid w:val="00DE23E3"/>
    <w:rsid w:val="00DF64B2"/>
    <w:rsid w:val="00E1127D"/>
    <w:rsid w:val="00E113EA"/>
    <w:rsid w:val="00E11CA6"/>
    <w:rsid w:val="00E12A4B"/>
    <w:rsid w:val="00E13D58"/>
    <w:rsid w:val="00E14565"/>
    <w:rsid w:val="00E20612"/>
    <w:rsid w:val="00E23E64"/>
    <w:rsid w:val="00E25243"/>
    <w:rsid w:val="00E36246"/>
    <w:rsid w:val="00E423CF"/>
    <w:rsid w:val="00E45F58"/>
    <w:rsid w:val="00E5251E"/>
    <w:rsid w:val="00E52D63"/>
    <w:rsid w:val="00E636D7"/>
    <w:rsid w:val="00E71223"/>
    <w:rsid w:val="00E807E4"/>
    <w:rsid w:val="00E817F8"/>
    <w:rsid w:val="00E85D85"/>
    <w:rsid w:val="00E864B3"/>
    <w:rsid w:val="00E87A4F"/>
    <w:rsid w:val="00E90D10"/>
    <w:rsid w:val="00E954EE"/>
    <w:rsid w:val="00EA5C58"/>
    <w:rsid w:val="00EA5E3C"/>
    <w:rsid w:val="00EB3E6F"/>
    <w:rsid w:val="00EB7966"/>
    <w:rsid w:val="00EC0DF4"/>
    <w:rsid w:val="00ED5560"/>
    <w:rsid w:val="00ED711C"/>
    <w:rsid w:val="00EE1B97"/>
    <w:rsid w:val="00EE52C5"/>
    <w:rsid w:val="00EF2D36"/>
    <w:rsid w:val="00EF2DF0"/>
    <w:rsid w:val="00EF32DF"/>
    <w:rsid w:val="00EF3400"/>
    <w:rsid w:val="00EF487F"/>
    <w:rsid w:val="00F055D8"/>
    <w:rsid w:val="00F05A6A"/>
    <w:rsid w:val="00F075B6"/>
    <w:rsid w:val="00F12DC2"/>
    <w:rsid w:val="00F13461"/>
    <w:rsid w:val="00F14038"/>
    <w:rsid w:val="00F152DF"/>
    <w:rsid w:val="00F15461"/>
    <w:rsid w:val="00F2786B"/>
    <w:rsid w:val="00F50B1B"/>
    <w:rsid w:val="00F55699"/>
    <w:rsid w:val="00F62674"/>
    <w:rsid w:val="00F707CA"/>
    <w:rsid w:val="00F76B02"/>
    <w:rsid w:val="00F77257"/>
    <w:rsid w:val="00F81142"/>
    <w:rsid w:val="00F8440A"/>
    <w:rsid w:val="00F85870"/>
    <w:rsid w:val="00FA64E4"/>
    <w:rsid w:val="00FA7389"/>
    <w:rsid w:val="00FB1032"/>
    <w:rsid w:val="00FB3764"/>
    <w:rsid w:val="00FD66F1"/>
    <w:rsid w:val="00FE070F"/>
    <w:rsid w:val="00FE576E"/>
    <w:rsid w:val="00FE7ADF"/>
    <w:rsid w:val="00FF73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85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1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193CFE"/>
    <w:rPr>
      <w:rFonts w:ascii="Lucida Grande" w:hAnsi="Lucida Grande"/>
      <w:sz w:val="18"/>
      <w:szCs w:val="18"/>
    </w:rPr>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character" w:customStyle="1" w:styleId="BalloonTextChar1">
    <w:name w:val="Balloon Text Char1"/>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E817F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ERCparanumber">
    <w:name w:val="FERC paranumber"/>
    <w:basedOn w:val="Normal"/>
    <w:qFormat/>
    <w:rsid w:val="00885CD4"/>
    <w:pPr>
      <w:numPr>
        <w:numId w:val="11"/>
      </w:numPr>
      <w:tabs>
        <w:tab w:val="clear" w:pos="990"/>
        <w:tab w:val="num" w:pos="720"/>
      </w:tabs>
      <w:spacing w:after="0" w:line="480" w:lineRule="auto"/>
      <w:ind w:left="0"/>
    </w:pPr>
    <w:rPr>
      <w:rFonts w:ascii="Times New Roman" w:eastAsia="Times New Roman" w:hAnsi="Times New Roman" w:cs="Times New Roman"/>
      <w:sz w:val="26"/>
      <w:szCs w:val="24"/>
    </w:rPr>
  </w:style>
  <w:style w:type="paragraph" w:customStyle="1" w:styleId="StyleFERCparanumberLinespacingDouble">
    <w:name w:val="Style FERC paranumber + Line spacing:  Double"/>
    <w:basedOn w:val="FERCparanumber"/>
    <w:rsid w:val="00885CD4"/>
    <w:rPr>
      <w:szCs w:val="20"/>
    </w:rPr>
  </w:style>
  <w:style w:type="paragraph" w:styleId="Revision">
    <w:name w:val="Revision"/>
    <w:hidden/>
    <w:uiPriority w:val="99"/>
    <w:semiHidden/>
    <w:rsid w:val="00250EAE"/>
    <w:pPr>
      <w:spacing w:after="0" w:line="240" w:lineRule="auto"/>
    </w:pPr>
  </w:style>
  <w:style w:type="character" w:customStyle="1" w:styleId="apple-converted-space">
    <w:name w:val="apple-converted-space"/>
    <w:basedOn w:val="DefaultParagraphFont"/>
    <w:rsid w:val="002E3B48"/>
  </w:style>
  <w:style w:type="character" w:customStyle="1" w:styleId="e-04">
    <w:name w:val="e-04"/>
    <w:basedOn w:val="DefaultParagraphFont"/>
    <w:rsid w:val="002E3B48"/>
  </w:style>
  <w:style w:type="table" w:styleId="TableGrid">
    <w:name w:val="Table Grid"/>
    <w:basedOn w:val="TableNormal"/>
    <w:uiPriority w:val="59"/>
    <w:rsid w:val="005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31430">
      <w:bodyDiv w:val="1"/>
      <w:marLeft w:val="0"/>
      <w:marRight w:val="0"/>
      <w:marTop w:val="0"/>
      <w:marBottom w:val="0"/>
      <w:divBdr>
        <w:top w:val="none" w:sz="0" w:space="0" w:color="auto"/>
        <w:left w:val="none" w:sz="0" w:space="0" w:color="auto"/>
        <w:bottom w:val="none" w:sz="0" w:space="0" w:color="auto"/>
        <w:right w:val="none" w:sz="0" w:space="0" w:color="auto"/>
      </w:divBdr>
    </w:div>
    <w:div w:id="54067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bls.gov/oes/current/naics3_221000.htm" TargetMode="External"/><Relationship Id="rId1" Type="http://schemas.openxmlformats.org/officeDocument/2006/relationships/hyperlink" Target="http://www.nerc.com/FilingsOrders/us/RuleOfProcedureDL/NERC_ROP_Effective_20140701_updated_20140602%20(upd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725G1</_x0031__x002e__x0020_Collection_x0020_Number>
    <Date xmlns="d6eefc7d-9817-4fa6-84d5-3bc009be21b8">2015-08-25T00:00:00-04:00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RD14-14</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B551B-1AA0-4E18-A4CD-6B1955ACDC61}">
  <ds:schemaRefs>
    <ds:schemaRef ds:uri="http://schemas.openxmlformats.org/package/2006/metadata/core-properties"/>
    <ds:schemaRef ds:uri="d6eefc7d-9817-4fa6-84d5-3bc009be21b8"/>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purl.org/dc/dcmitype/"/>
    <ds:schemaRef ds:uri="http://www.w3.org/XML/1998/namespace"/>
  </ds:schemaRefs>
</ds:datastoreItem>
</file>

<file path=customXml/itemProps2.xml><?xml version="1.0" encoding="utf-8"?>
<ds:datastoreItem xmlns:ds="http://schemas.openxmlformats.org/officeDocument/2006/customXml" ds:itemID="{9C2F7EED-B50C-4080-90C8-C270FA536EBA}">
  <ds:schemaRefs>
    <ds:schemaRef ds:uri="http://schemas.microsoft.com/sharepoint/v3/contenttype/forms"/>
  </ds:schemaRefs>
</ds:datastoreItem>
</file>

<file path=customXml/itemProps3.xml><?xml version="1.0" encoding="utf-8"?>
<ds:datastoreItem xmlns:ds="http://schemas.openxmlformats.org/officeDocument/2006/customXml" ds:itemID="{8048FF69-821D-494B-8872-51BBD8E08DC4}">
  <ds:schemaRefs>
    <ds:schemaRef ds:uri="http://schemas.microsoft.com/office/2006/metadata/customXsn"/>
  </ds:schemaRefs>
</ds:datastoreItem>
</file>

<file path=customXml/itemProps4.xml><?xml version="1.0" encoding="utf-8"?>
<ds:datastoreItem xmlns:ds="http://schemas.openxmlformats.org/officeDocument/2006/customXml" ds:itemID="{D8015591-C0C5-4107-BB17-3E8948BCE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7C064F-6DB9-4063-A128-3042A9382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2222</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RD14-14-000 Supporting Statement</vt:lpstr>
    </vt:vector>
  </TitlesOfParts>
  <LinksUpToDate>false</LinksUpToDate>
  <CharactersWithSpaces>14865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RD14-14-000 Supporting Statement</dc:title>
  <dc:creator/>
  <cp:lastModifiedBy/>
  <cp:revision>1</cp:revision>
  <dcterms:created xsi:type="dcterms:W3CDTF">2015-08-25T14:35:00Z</dcterms:created>
  <dcterms:modified xsi:type="dcterms:W3CDTF">2015-08-25T17:43:00Z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