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B99" w:rsidRPr="006D6EEA" w:rsidRDefault="00CA3B99" w:rsidP="00A341C1">
      <w:pPr>
        <w:widowControl/>
        <w:tabs>
          <w:tab w:val="center" w:pos="4680"/>
        </w:tabs>
        <w:jc w:val="center"/>
        <w:rPr>
          <w:bCs/>
          <w:sz w:val="26"/>
          <w:szCs w:val="26"/>
        </w:rPr>
      </w:pPr>
      <w:r w:rsidRPr="006D6EEA">
        <w:rPr>
          <w:bCs/>
          <w:sz w:val="26"/>
          <w:szCs w:val="26"/>
        </w:rPr>
        <w:t>Supporting Statement for</w:t>
      </w:r>
    </w:p>
    <w:p w:rsidR="00CA3B99" w:rsidRDefault="00CA3B99" w:rsidP="00A3065F">
      <w:pPr>
        <w:widowControl/>
        <w:tabs>
          <w:tab w:val="center" w:pos="5040"/>
        </w:tabs>
        <w:jc w:val="center"/>
        <w:rPr>
          <w:b/>
          <w:bCs/>
          <w:sz w:val="26"/>
          <w:szCs w:val="26"/>
        </w:rPr>
      </w:pPr>
      <w:r w:rsidRPr="006D6EEA">
        <w:rPr>
          <w:b/>
          <w:bCs/>
          <w:sz w:val="26"/>
          <w:szCs w:val="26"/>
        </w:rPr>
        <w:t>FERC-545</w:t>
      </w:r>
      <w:r w:rsidR="00462CD9">
        <w:rPr>
          <w:b/>
          <w:bCs/>
          <w:sz w:val="26"/>
          <w:szCs w:val="26"/>
        </w:rPr>
        <w:t>A</w:t>
      </w:r>
      <w:r w:rsidRPr="006D6EEA">
        <w:rPr>
          <w:b/>
          <w:bCs/>
          <w:sz w:val="26"/>
          <w:szCs w:val="26"/>
        </w:rPr>
        <w:t xml:space="preserve"> (Gas Pipeline </w:t>
      </w:r>
      <w:r w:rsidR="00A72889">
        <w:rPr>
          <w:b/>
          <w:bCs/>
          <w:sz w:val="26"/>
          <w:szCs w:val="26"/>
        </w:rPr>
        <w:t>Rates: Rate Change Non-Formal</w:t>
      </w:r>
      <w:r w:rsidR="00462CD9">
        <w:rPr>
          <w:b/>
          <w:bCs/>
          <w:sz w:val="26"/>
          <w:szCs w:val="26"/>
        </w:rPr>
        <w:t>, in RM96-1-038</w:t>
      </w:r>
      <w:r w:rsidR="00A72889">
        <w:rPr>
          <w:b/>
          <w:bCs/>
          <w:sz w:val="26"/>
          <w:szCs w:val="26"/>
        </w:rPr>
        <w:t>)</w:t>
      </w:r>
      <w:bookmarkStart w:id="0" w:name="_Ref426037619"/>
      <w:r w:rsidR="00067442">
        <w:rPr>
          <w:rStyle w:val="FootnoteReference"/>
          <w:b/>
          <w:bCs/>
          <w:sz w:val="26"/>
          <w:szCs w:val="26"/>
        </w:rPr>
        <w:footnoteReference w:id="1"/>
      </w:r>
      <w:bookmarkEnd w:id="0"/>
      <w:r w:rsidR="00A72889">
        <w:rPr>
          <w:b/>
          <w:bCs/>
          <w:sz w:val="26"/>
          <w:szCs w:val="26"/>
        </w:rPr>
        <w:t xml:space="preserve"> and </w:t>
      </w:r>
    </w:p>
    <w:p w:rsidR="00B57842" w:rsidRDefault="00A72889" w:rsidP="00A3065F">
      <w:pPr>
        <w:widowControl/>
        <w:tabs>
          <w:tab w:val="center" w:pos="5040"/>
        </w:tabs>
        <w:jc w:val="center"/>
        <w:rPr>
          <w:b/>
          <w:bCs/>
          <w:sz w:val="26"/>
          <w:szCs w:val="26"/>
        </w:rPr>
      </w:pPr>
      <w:r w:rsidRPr="00A72889">
        <w:rPr>
          <w:b/>
          <w:bCs/>
          <w:sz w:val="26"/>
          <w:szCs w:val="26"/>
        </w:rPr>
        <w:t xml:space="preserve">FERC-549C </w:t>
      </w:r>
      <w:r w:rsidR="00C674AD">
        <w:rPr>
          <w:b/>
          <w:bCs/>
          <w:sz w:val="26"/>
          <w:szCs w:val="26"/>
        </w:rPr>
        <w:t>(</w:t>
      </w:r>
      <w:r w:rsidRPr="00A72889">
        <w:rPr>
          <w:b/>
          <w:bCs/>
          <w:sz w:val="26"/>
          <w:szCs w:val="26"/>
        </w:rPr>
        <w:t>Standards for Business Practices of Interstate Natural Gas Pipelines</w:t>
      </w:r>
      <w:r w:rsidR="00C674AD">
        <w:rPr>
          <w:b/>
          <w:bCs/>
          <w:sz w:val="26"/>
          <w:szCs w:val="26"/>
        </w:rPr>
        <w:t>)</w:t>
      </w:r>
      <w:r>
        <w:rPr>
          <w:b/>
          <w:bCs/>
          <w:sz w:val="26"/>
          <w:szCs w:val="26"/>
        </w:rPr>
        <w:t xml:space="preserve">, </w:t>
      </w:r>
    </w:p>
    <w:p w:rsidR="00A72889" w:rsidRPr="006D6EEA" w:rsidRDefault="00A72889" w:rsidP="00A3065F">
      <w:pPr>
        <w:widowControl/>
        <w:tabs>
          <w:tab w:val="center" w:pos="5040"/>
        </w:tabs>
        <w:jc w:val="center"/>
        <w:rPr>
          <w:b/>
          <w:bCs/>
          <w:sz w:val="26"/>
          <w:szCs w:val="26"/>
        </w:rPr>
      </w:pPr>
      <w:proofErr w:type="gramStart"/>
      <w:r>
        <w:rPr>
          <w:b/>
          <w:bCs/>
          <w:sz w:val="26"/>
          <w:szCs w:val="26"/>
        </w:rPr>
        <w:t>as</w:t>
      </w:r>
      <w:proofErr w:type="gramEnd"/>
      <w:r>
        <w:rPr>
          <w:b/>
          <w:bCs/>
          <w:sz w:val="26"/>
          <w:szCs w:val="26"/>
        </w:rPr>
        <w:t xml:space="preserve"> revised by </w:t>
      </w:r>
      <w:r w:rsidR="00462CD9">
        <w:rPr>
          <w:b/>
          <w:bCs/>
          <w:sz w:val="26"/>
          <w:szCs w:val="26"/>
        </w:rPr>
        <w:t>NOPR</w:t>
      </w:r>
      <w:r>
        <w:rPr>
          <w:b/>
          <w:bCs/>
          <w:sz w:val="26"/>
          <w:szCs w:val="26"/>
        </w:rPr>
        <w:t xml:space="preserve"> in Docket No. </w:t>
      </w:r>
      <w:r w:rsidR="00462CD9">
        <w:rPr>
          <w:b/>
          <w:bCs/>
          <w:sz w:val="26"/>
          <w:szCs w:val="26"/>
        </w:rPr>
        <w:t>RM96-1-038</w:t>
      </w:r>
    </w:p>
    <w:p w:rsidR="00CA3B99" w:rsidRPr="006D6EEA" w:rsidRDefault="00CA3B99" w:rsidP="00A3065F">
      <w:pPr>
        <w:widowControl/>
        <w:tabs>
          <w:tab w:val="center" w:pos="4680"/>
        </w:tabs>
        <w:jc w:val="center"/>
        <w:rPr>
          <w:b/>
          <w:bCs/>
          <w:sz w:val="26"/>
          <w:szCs w:val="26"/>
        </w:rPr>
      </w:pPr>
      <w:r>
        <w:rPr>
          <w:b/>
          <w:bCs/>
          <w:sz w:val="26"/>
          <w:szCs w:val="26"/>
        </w:rPr>
        <w:t xml:space="preserve"> </w:t>
      </w:r>
    </w:p>
    <w:p w:rsidR="00CA3B99" w:rsidRPr="006D6EEA" w:rsidRDefault="00CA3B99">
      <w:pPr>
        <w:rPr>
          <w:sz w:val="26"/>
          <w:szCs w:val="26"/>
        </w:rPr>
      </w:pPr>
    </w:p>
    <w:p w:rsidR="0041210E" w:rsidRDefault="00CA3B99" w:rsidP="006D154A">
      <w:pPr>
        <w:rPr>
          <w:sz w:val="26"/>
          <w:szCs w:val="26"/>
        </w:rPr>
      </w:pPr>
      <w:r w:rsidRPr="006D6EEA">
        <w:rPr>
          <w:sz w:val="26"/>
          <w:szCs w:val="26"/>
        </w:rPr>
        <w:t>The Federal Energy Regulatory Commission (Commission or FERC) requests that the Office of Management and Budget (OMB) review and approve</w:t>
      </w:r>
      <w:r w:rsidR="006120E4">
        <w:rPr>
          <w:sz w:val="26"/>
          <w:szCs w:val="26"/>
        </w:rPr>
        <w:t xml:space="preserve"> </w:t>
      </w:r>
      <w:r w:rsidRPr="006D6EEA">
        <w:rPr>
          <w:sz w:val="26"/>
          <w:szCs w:val="26"/>
        </w:rPr>
        <w:t xml:space="preserve">changes </w:t>
      </w:r>
      <w:r w:rsidR="00C93D22">
        <w:rPr>
          <w:sz w:val="26"/>
          <w:szCs w:val="26"/>
        </w:rPr>
        <w:t xml:space="preserve">to </w:t>
      </w:r>
      <w:r w:rsidR="00C93D22" w:rsidRPr="00AE141B">
        <w:rPr>
          <w:sz w:val="26"/>
          <w:szCs w:val="26"/>
        </w:rPr>
        <w:t>FERC-549C (Standards for Business Practices of Interstate Natural Gas Pipelines)</w:t>
      </w:r>
      <w:r w:rsidR="00C93D22">
        <w:rPr>
          <w:sz w:val="26"/>
          <w:szCs w:val="26"/>
        </w:rPr>
        <w:t xml:space="preserve"> and</w:t>
      </w:r>
      <w:r w:rsidR="00AE141B">
        <w:rPr>
          <w:sz w:val="26"/>
          <w:szCs w:val="26"/>
        </w:rPr>
        <w:t xml:space="preserve"> </w:t>
      </w:r>
      <w:r w:rsidR="003E1875">
        <w:rPr>
          <w:sz w:val="26"/>
          <w:szCs w:val="26"/>
        </w:rPr>
        <w:t xml:space="preserve">(new, temporary collection number) </w:t>
      </w:r>
      <w:r w:rsidR="00AE141B">
        <w:rPr>
          <w:sz w:val="26"/>
          <w:szCs w:val="26"/>
        </w:rPr>
        <w:t>FERC-545</w:t>
      </w:r>
      <w:r w:rsidR="00462CD9">
        <w:rPr>
          <w:sz w:val="26"/>
          <w:szCs w:val="26"/>
        </w:rPr>
        <w:t>A</w:t>
      </w:r>
      <w:r w:rsidR="00AE141B">
        <w:rPr>
          <w:sz w:val="26"/>
          <w:szCs w:val="26"/>
        </w:rPr>
        <w:t xml:space="preserve"> (</w:t>
      </w:r>
      <w:r w:rsidR="00AE141B" w:rsidRPr="00AE141B">
        <w:rPr>
          <w:sz w:val="26"/>
          <w:szCs w:val="26"/>
        </w:rPr>
        <w:t>Gas Pipeline Rates: Rate Change Non-Formal</w:t>
      </w:r>
      <w:r w:rsidR="00462CD9">
        <w:rPr>
          <w:sz w:val="26"/>
          <w:szCs w:val="26"/>
        </w:rPr>
        <w:t>, in RM96-1-038</w:t>
      </w:r>
      <w:r w:rsidR="00AE141B" w:rsidRPr="00AE141B">
        <w:rPr>
          <w:sz w:val="26"/>
          <w:szCs w:val="26"/>
        </w:rPr>
        <w:t>)</w:t>
      </w:r>
      <w:r w:rsidR="00C93D22">
        <w:rPr>
          <w:sz w:val="26"/>
          <w:szCs w:val="26"/>
        </w:rPr>
        <w:t>,</w:t>
      </w:r>
      <w:r w:rsidR="00071859" w:rsidRPr="00B20053">
        <w:rPr>
          <w:sz w:val="26"/>
          <w:szCs w:val="26"/>
          <w:vertAlign w:val="superscript"/>
        </w:rPr>
        <w:fldChar w:fldCharType="begin"/>
      </w:r>
      <w:r w:rsidR="00071859" w:rsidRPr="00B20053">
        <w:rPr>
          <w:sz w:val="26"/>
          <w:szCs w:val="26"/>
          <w:vertAlign w:val="superscript"/>
        </w:rPr>
        <w:instrText xml:space="preserve"> NOTEREF _Ref426037619 \h </w:instrText>
      </w:r>
      <w:r w:rsidR="00071859">
        <w:rPr>
          <w:sz w:val="26"/>
          <w:szCs w:val="26"/>
          <w:vertAlign w:val="superscript"/>
        </w:rPr>
        <w:instrText xml:space="preserve"> \* MERGEFORMAT </w:instrText>
      </w:r>
      <w:r w:rsidR="00071859" w:rsidRPr="00B20053">
        <w:rPr>
          <w:sz w:val="26"/>
          <w:szCs w:val="26"/>
          <w:vertAlign w:val="superscript"/>
        </w:rPr>
      </w:r>
      <w:r w:rsidR="00071859" w:rsidRPr="00B20053">
        <w:rPr>
          <w:sz w:val="26"/>
          <w:szCs w:val="26"/>
          <w:vertAlign w:val="superscript"/>
        </w:rPr>
        <w:fldChar w:fldCharType="separate"/>
      </w:r>
      <w:r w:rsidR="00071859" w:rsidRPr="00B20053">
        <w:rPr>
          <w:sz w:val="26"/>
          <w:szCs w:val="26"/>
          <w:vertAlign w:val="superscript"/>
        </w:rPr>
        <w:t>1</w:t>
      </w:r>
      <w:r w:rsidR="00071859" w:rsidRPr="00B20053">
        <w:rPr>
          <w:sz w:val="26"/>
          <w:szCs w:val="26"/>
          <w:vertAlign w:val="superscript"/>
        </w:rPr>
        <w:fldChar w:fldCharType="end"/>
      </w:r>
      <w:r w:rsidR="00AE141B" w:rsidRPr="00B20053">
        <w:rPr>
          <w:sz w:val="26"/>
          <w:szCs w:val="26"/>
          <w:vertAlign w:val="superscript"/>
        </w:rPr>
        <w:t xml:space="preserve"> </w:t>
      </w:r>
      <w:r w:rsidR="00C7343D">
        <w:rPr>
          <w:sz w:val="26"/>
          <w:szCs w:val="26"/>
        </w:rPr>
        <w:t xml:space="preserve">as stated in the </w:t>
      </w:r>
      <w:r w:rsidR="00462CD9">
        <w:rPr>
          <w:sz w:val="26"/>
          <w:szCs w:val="26"/>
        </w:rPr>
        <w:t>NOPR (Notice of Proposed Rulemaking)</w:t>
      </w:r>
      <w:r w:rsidR="00C7343D">
        <w:rPr>
          <w:sz w:val="26"/>
          <w:szCs w:val="26"/>
        </w:rPr>
        <w:t xml:space="preserve"> </w:t>
      </w:r>
      <w:r>
        <w:rPr>
          <w:sz w:val="26"/>
          <w:szCs w:val="26"/>
        </w:rPr>
        <w:t>in Docket</w:t>
      </w:r>
      <w:r w:rsidRPr="009B7756">
        <w:rPr>
          <w:sz w:val="26"/>
          <w:szCs w:val="26"/>
        </w:rPr>
        <w:t xml:space="preserve"> </w:t>
      </w:r>
      <w:r w:rsidR="00C674AD">
        <w:rPr>
          <w:sz w:val="26"/>
          <w:szCs w:val="26"/>
        </w:rPr>
        <w:t xml:space="preserve">No. </w:t>
      </w:r>
      <w:proofErr w:type="gramStart"/>
      <w:r w:rsidRPr="009B7756">
        <w:rPr>
          <w:sz w:val="26"/>
          <w:szCs w:val="26"/>
        </w:rPr>
        <w:t>RM</w:t>
      </w:r>
      <w:r w:rsidR="00462CD9">
        <w:rPr>
          <w:sz w:val="26"/>
          <w:szCs w:val="26"/>
        </w:rPr>
        <w:t>96-1-038.</w:t>
      </w:r>
      <w:proofErr w:type="gramEnd"/>
      <w:r w:rsidR="00521B76" w:rsidDel="00521B76">
        <w:rPr>
          <w:sz w:val="26"/>
          <w:szCs w:val="26"/>
        </w:rPr>
        <w:t xml:space="preserve"> </w:t>
      </w:r>
    </w:p>
    <w:p w:rsidR="00C7343D" w:rsidRDefault="00C7343D" w:rsidP="006D154A">
      <w:pPr>
        <w:rPr>
          <w:sz w:val="26"/>
          <w:szCs w:val="26"/>
        </w:rPr>
      </w:pPr>
    </w:p>
    <w:p w:rsidR="00C7343D" w:rsidRDefault="00C7343D" w:rsidP="006D154A">
      <w:pPr>
        <w:rPr>
          <w:sz w:val="26"/>
          <w:szCs w:val="26"/>
        </w:rPr>
      </w:pPr>
      <w:r>
        <w:rPr>
          <w:sz w:val="26"/>
          <w:szCs w:val="26"/>
        </w:rPr>
        <w:t xml:space="preserve">Please note that this </w:t>
      </w:r>
      <w:r w:rsidR="00C825D5">
        <w:rPr>
          <w:sz w:val="26"/>
          <w:szCs w:val="26"/>
        </w:rPr>
        <w:t>NOPR</w:t>
      </w:r>
      <w:r>
        <w:rPr>
          <w:sz w:val="26"/>
          <w:szCs w:val="26"/>
        </w:rPr>
        <w:t xml:space="preserve"> in </w:t>
      </w:r>
      <w:r w:rsidR="003E1875">
        <w:rPr>
          <w:sz w:val="26"/>
          <w:szCs w:val="26"/>
        </w:rPr>
        <w:t xml:space="preserve">Docket No. </w:t>
      </w:r>
      <w:r>
        <w:rPr>
          <w:sz w:val="26"/>
          <w:szCs w:val="26"/>
        </w:rPr>
        <w:t>RM</w:t>
      </w:r>
      <w:r w:rsidR="00C825D5">
        <w:rPr>
          <w:sz w:val="26"/>
          <w:szCs w:val="26"/>
        </w:rPr>
        <w:t>96-1-038</w:t>
      </w:r>
      <w:r>
        <w:rPr>
          <w:sz w:val="26"/>
          <w:szCs w:val="26"/>
        </w:rPr>
        <w:t xml:space="preserve"> affects two separate OMB Control Numbers:</w:t>
      </w:r>
    </w:p>
    <w:p w:rsidR="006120E4" w:rsidRDefault="00CA3B99" w:rsidP="006D6EEA">
      <w:pPr>
        <w:pStyle w:val="ListParagraph"/>
        <w:numPr>
          <w:ilvl w:val="0"/>
          <w:numId w:val="1"/>
        </w:numPr>
        <w:rPr>
          <w:sz w:val="26"/>
          <w:szCs w:val="26"/>
        </w:rPr>
      </w:pPr>
      <w:r w:rsidRPr="006120E4">
        <w:rPr>
          <w:sz w:val="26"/>
          <w:szCs w:val="26"/>
        </w:rPr>
        <w:t>FERC-545</w:t>
      </w:r>
      <w:r w:rsidR="00C825D5">
        <w:rPr>
          <w:sz w:val="26"/>
          <w:szCs w:val="26"/>
        </w:rPr>
        <w:t>A</w:t>
      </w:r>
      <w:r w:rsidRPr="006120E4">
        <w:rPr>
          <w:sz w:val="26"/>
          <w:szCs w:val="26"/>
        </w:rPr>
        <w:t xml:space="preserve"> (Gas Pipeline Rates: Rate Change Non-Formal</w:t>
      </w:r>
      <w:r w:rsidR="00C825D5">
        <w:rPr>
          <w:sz w:val="26"/>
          <w:szCs w:val="26"/>
        </w:rPr>
        <w:t>, in RM96-1-038</w:t>
      </w:r>
      <w:r w:rsidRPr="006120E4">
        <w:rPr>
          <w:sz w:val="26"/>
          <w:szCs w:val="26"/>
        </w:rPr>
        <w:t>)</w:t>
      </w:r>
      <w:r w:rsidR="00561278">
        <w:rPr>
          <w:sz w:val="26"/>
          <w:szCs w:val="26"/>
        </w:rPr>
        <w:t>,</w:t>
      </w:r>
      <w:r w:rsidR="00C825D5" w:rsidRPr="00B20053">
        <w:rPr>
          <w:sz w:val="26"/>
          <w:szCs w:val="26"/>
          <w:vertAlign w:val="superscript"/>
        </w:rPr>
        <w:fldChar w:fldCharType="begin"/>
      </w:r>
      <w:r w:rsidR="00C825D5" w:rsidRPr="00B20053">
        <w:rPr>
          <w:sz w:val="26"/>
          <w:szCs w:val="26"/>
          <w:vertAlign w:val="superscript"/>
        </w:rPr>
        <w:instrText xml:space="preserve"> NOTEREF _Ref426037619 \h </w:instrText>
      </w:r>
      <w:r w:rsidR="00C825D5">
        <w:rPr>
          <w:sz w:val="26"/>
          <w:szCs w:val="26"/>
          <w:vertAlign w:val="superscript"/>
        </w:rPr>
        <w:instrText xml:space="preserve"> \* MERGEFORMAT </w:instrText>
      </w:r>
      <w:r w:rsidR="00C825D5" w:rsidRPr="00B20053">
        <w:rPr>
          <w:sz w:val="26"/>
          <w:szCs w:val="26"/>
          <w:vertAlign w:val="superscript"/>
        </w:rPr>
      </w:r>
      <w:r w:rsidR="00C825D5" w:rsidRPr="00B20053">
        <w:rPr>
          <w:sz w:val="26"/>
          <w:szCs w:val="26"/>
          <w:vertAlign w:val="superscript"/>
        </w:rPr>
        <w:fldChar w:fldCharType="separate"/>
      </w:r>
      <w:r w:rsidR="00C825D5" w:rsidRPr="00B20053">
        <w:rPr>
          <w:sz w:val="26"/>
          <w:szCs w:val="26"/>
          <w:vertAlign w:val="superscript"/>
        </w:rPr>
        <w:t>1</w:t>
      </w:r>
      <w:r w:rsidR="00C825D5" w:rsidRPr="00B20053">
        <w:rPr>
          <w:sz w:val="26"/>
          <w:szCs w:val="26"/>
          <w:vertAlign w:val="superscript"/>
        </w:rPr>
        <w:fldChar w:fldCharType="end"/>
      </w:r>
      <w:r w:rsidRPr="006120E4">
        <w:rPr>
          <w:sz w:val="26"/>
          <w:szCs w:val="26"/>
        </w:rPr>
        <w:t xml:space="preserve"> OMB Control No. 1902-</w:t>
      </w:r>
      <w:r w:rsidR="00C825D5">
        <w:rPr>
          <w:sz w:val="26"/>
          <w:szCs w:val="26"/>
        </w:rPr>
        <w:t>TBD</w:t>
      </w:r>
      <w:r w:rsidR="00A9255A">
        <w:rPr>
          <w:sz w:val="26"/>
          <w:szCs w:val="26"/>
        </w:rPr>
        <w:t>;</w:t>
      </w:r>
      <w:r w:rsidR="006120E4" w:rsidRPr="006120E4">
        <w:rPr>
          <w:sz w:val="26"/>
          <w:szCs w:val="26"/>
        </w:rPr>
        <w:t xml:space="preserve"> and </w:t>
      </w:r>
    </w:p>
    <w:p w:rsidR="006120E4" w:rsidRDefault="006120E4" w:rsidP="006120E4">
      <w:pPr>
        <w:pStyle w:val="ListParagraph"/>
        <w:numPr>
          <w:ilvl w:val="0"/>
          <w:numId w:val="1"/>
        </w:numPr>
        <w:rPr>
          <w:sz w:val="26"/>
          <w:szCs w:val="26"/>
        </w:rPr>
      </w:pPr>
      <w:r>
        <w:rPr>
          <w:sz w:val="26"/>
          <w:szCs w:val="26"/>
        </w:rPr>
        <w:t>F</w:t>
      </w:r>
      <w:r w:rsidRPr="006120E4">
        <w:rPr>
          <w:sz w:val="26"/>
          <w:szCs w:val="26"/>
        </w:rPr>
        <w:t xml:space="preserve">ERC-549C </w:t>
      </w:r>
      <w:r w:rsidR="0041210E">
        <w:rPr>
          <w:sz w:val="26"/>
          <w:szCs w:val="26"/>
        </w:rPr>
        <w:t>(</w:t>
      </w:r>
      <w:r w:rsidRPr="006120E4">
        <w:rPr>
          <w:sz w:val="26"/>
          <w:szCs w:val="26"/>
        </w:rPr>
        <w:t>Standards for Business Practices of Interstate Natural Gas Pipelines</w:t>
      </w:r>
      <w:r w:rsidR="0041210E">
        <w:rPr>
          <w:sz w:val="26"/>
          <w:szCs w:val="26"/>
        </w:rPr>
        <w:t>),</w:t>
      </w:r>
      <w:r w:rsidRPr="006252AA">
        <w:rPr>
          <w:sz w:val="26"/>
          <w:szCs w:val="26"/>
        </w:rPr>
        <w:t xml:space="preserve"> </w:t>
      </w:r>
      <w:r>
        <w:rPr>
          <w:sz w:val="26"/>
          <w:szCs w:val="26"/>
        </w:rPr>
        <w:t>OMB Control No. 1902-0174.</w:t>
      </w:r>
    </w:p>
    <w:p w:rsidR="005F3BFB" w:rsidRDefault="005F3BFB" w:rsidP="006D154A">
      <w:pPr>
        <w:rPr>
          <w:sz w:val="26"/>
          <w:szCs w:val="26"/>
        </w:rPr>
      </w:pPr>
      <w:r>
        <w:rPr>
          <w:sz w:val="26"/>
          <w:szCs w:val="26"/>
        </w:rPr>
        <w:t>The Commission</w:t>
      </w:r>
      <w:r w:rsidR="00F336E5" w:rsidRPr="00F336E5">
        <w:rPr>
          <w:sz w:val="26"/>
          <w:szCs w:val="26"/>
        </w:rPr>
        <w:t xml:space="preserve"> is submitting this consolidated supporting statement to OMB with one ICR for each of the 2 separate OMB Control Numbers.</w:t>
      </w:r>
      <w:r>
        <w:rPr>
          <w:sz w:val="26"/>
          <w:szCs w:val="26"/>
        </w:rPr>
        <w:t xml:space="preserve">  </w:t>
      </w:r>
      <w:r w:rsidR="00F336E5" w:rsidRPr="00F336E5">
        <w:rPr>
          <w:sz w:val="26"/>
          <w:szCs w:val="26"/>
        </w:rPr>
        <w:t xml:space="preserve">The FERC-549C is affected because the </w:t>
      </w:r>
      <w:r w:rsidR="0057347B">
        <w:rPr>
          <w:sz w:val="26"/>
          <w:szCs w:val="26"/>
        </w:rPr>
        <w:t>NOPR</w:t>
      </w:r>
      <w:r w:rsidR="00F336E5" w:rsidRPr="00F336E5">
        <w:rPr>
          <w:sz w:val="26"/>
          <w:szCs w:val="26"/>
        </w:rPr>
        <w:t xml:space="preserve"> </w:t>
      </w:r>
      <w:r w:rsidR="00E50B28">
        <w:rPr>
          <w:sz w:val="26"/>
          <w:szCs w:val="26"/>
        </w:rPr>
        <w:t xml:space="preserve">proposes to </w:t>
      </w:r>
      <w:r w:rsidR="00E50B28" w:rsidRPr="00E50B28">
        <w:rPr>
          <w:sz w:val="26"/>
          <w:szCs w:val="26"/>
        </w:rPr>
        <w:t xml:space="preserve">amend </w:t>
      </w:r>
      <w:r w:rsidR="00E50B28">
        <w:rPr>
          <w:sz w:val="26"/>
          <w:szCs w:val="26"/>
        </w:rPr>
        <w:t>FERC’s</w:t>
      </w:r>
      <w:r w:rsidR="00E50B28" w:rsidRPr="00E50B28">
        <w:rPr>
          <w:sz w:val="26"/>
          <w:szCs w:val="26"/>
        </w:rPr>
        <w:t xml:space="preserve"> regulations to incorporate by reference, with certain enumerated exceptions, the latest version (Version 3.0) of business practice standards adopted by the Wholesale Gas Quadrant </w:t>
      </w:r>
      <w:r w:rsidR="00E50B28">
        <w:rPr>
          <w:sz w:val="26"/>
          <w:szCs w:val="26"/>
        </w:rPr>
        <w:t xml:space="preserve">(WGQ) </w:t>
      </w:r>
      <w:r w:rsidR="00E50B28" w:rsidRPr="00E50B28">
        <w:rPr>
          <w:sz w:val="26"/>
          <w:szCs w:val="26"/>
        </w:rPr>
        <w:t xml:space="preserve">of the North American Energy Standards Board (NAESB) </w:t>
      </w:r>
      <w:r w:rsidR="00EE29C0">
        <w:rPr>
          <w:sz w:val="26"/>
          <w:szCs w:val="26"/>
        </w:rPr>
        <w:t xml:space="preserve">and </w:t>
      </w:r>
      <w:r w:rsidR="00E50B28" w:rsidRPr="00E50B28">
        <w:rPr>
          <w:sz w:val="26"/>
          <w:szCs w:val="26"/>
        </w:rPr>
        <w:t xml:space="preserve">applicable to natural gas </w:t>
      </w:r>
      <w:proofErr w:type="spellStart"/>
      <w:r w:rsidR="00E50B28" w:rsidRPr="00E50B28">
        <w:rPr>
          <w:sz w:val="26"/>
          <w:szCs w:val="26"/>
        </w:rPr>
        <w:t>pipelines</w:t>
      </w:r>
      <w:r w:rsidR="00EE29C0">
        <w:rPr>
          <w:sz w:val="26"/>
          <w:szCs w:val="26"/>
        </w:rPr>
        <w:t>.</w:t>
      </w:r>
      <w:r w:rsidR="003E1875" w:rsidRPr="00BD7C50">
        <w:rPr>
          <w:sz w:val="26"/>
          <w:szCs w:val="26"/>
        </w:rPr>
        <w:t>The</w:t>
      </w:r>
      <w:proofErr w:type="spellEnd"/>
      <w:r w:rsidR="003E1875" w:rsidRPr="00BD7C50">
        <w:rPr>
          <w:sz w:val="26"/>
          <w:szCs w:val="26"/>
        </w:rPr>
        <w:t xml:space="preserve"> FERC-545</w:t>
      </w:r>
      <w:r w:rsidR="003E1875">
        <w:rPr>
          <w:sz w:val="26"/>
          <w:szCs w:val="26"/>
        </w:rPr>
        <w:t>A</w:t>
      </w:r>
      <w:r w:rsidR="003E1875" w:rsidRPr="00BD7C50">
        <w:rPr>
          <w:sz w:val="26"/>
          <w:szCs w:val="26"/>
        </w:rPr>
        <w:t xml:space="preserve"> accounts for the required tariff revision each </w:t>
      </w:r>
      <w:r w:rsidR="003E1875">
        <w:rPr>
          <w:sz w:val="26"/>
          <w:szCs w:val="26"/>
        </w:rPr>
        <w:t xml:space="preserve">interstate </w:t>
      </w:r>
      <w:r w:rsidR="003E1875" w:rsidRPr="00BD7C50">
        <w:rPr>
          <w:sz w:val="26"/>
          <w:szCs w:val="26"/>
        </w:rPr>
        <w:t>pipeline company will file with the Commission.</w:t>
      </w:r>
      <w:r w:rsidR="003E1875" w:rsidRPr="00522EA0">
        <w:rPr>
          <w:sz w:val="26"/>
          <w:szCs w:val="26"/>
        </w:rPr>
        <w:t xml:space="preserve"> </w:t>
      </w:r>
      <w:r w:rsidR="003E1875">
        <w:rPr>
          <w:sz w:val="26"/>
          <w:szCs w:val="26"/>
        </w:rPr>
        <w:t xml:space="preserve">  </w:t>
      </w:r>
    </w:p>
    <w:p w:rsidR="00B168E2" w:rsidRDefault="00B168E2" w:rsidP="006D154A">
      <w:pPr>
        <w:rPr>
          <w:sz w:val="26"/>
          <w:szCs w:val="26"/>
        </w:rPr>
      </w:pPr>
    </w:p>
    <w:p w:rsidR="009D0E8A" w:rsidRDefault="009D0E8A" w:rsidP="006D154A">
      <w:pPr>
        <w:rPr>
          <w:sz w:val="26"/>
          <w:szCs w:val="26"/>
        </w:rPr>
      </w:pPr>
      <w:r w:rsidRPr="00CC0D00">
        <w:rPr>
          <w:sz w:val="26"/>
          <w:szCs w:val="26"/>
        </w:rPr>
        <w:t>NAESB is a consensus standards organization composed of representatives of all segments of the natural gas industry and the electric power industry.  Since 1996, these standards have established nationwide timelines that the industry and the Commission have determined are necessary to establish a more efficient and integrated pipeline grid.</w:t>
      </w:r>
    </w:p>
    <w:p w:rsidR="009D0E8A" w:rsidRDefault="009D0E8A" w:rsidP="009D0E8A">
      <w:pPr>
        <w:ind w:firstLine="360"/>
        <w:rPr>
          <w:sz w:val="26"/>
          <w:szCs w:val="26"/>
        </w:rPr>
      </w:pPr>
    </w:p>
    <w:p w:rsidR="005A36C7" w:rsidRDefault="005A36C7" w:rsidP="006D154A">
      <w:pPr>
        <w:rPr>
          <w:sz w:val="26"/>
          <w:szCs w:val="26"/>
        </w:rPr>
      </w:pPr>
    </w:p>
    <w:p w:rsidR="007258EF" w:rsidRPr="006D154A" w:rsidRDefault="007258EF" w:rsidP="006D154A">
      <w:pPr>
        <w:rPr>
          <w:b/>
          <w:sz w:val="26"/>
          <w:szCs w:val="26"/>
          <w:u w:val="single"/>
        </w:rPr>
      </w:pPr>
      <w:r w:rsidRPr="006D154A">
        <w:rPr>
          <w:b/>
          <w:sz w:val="26"/>
          <w:szCs w:val="26"/>
          <w:u w:val="single"/>
        </w:rPr>
        <w:t>Background</w:t>
      </w:r>
    </w:p>
    <w:p w:rsidR="007258EF" w:rsidRPr="006D154A" w:rsidRDefault="007258EF" w:rsidP="006D154A">
      <w:pPr>
        <w:rPr>
          <w:sz w:val="26"/>
          <w:szCs w:val="26"/>
        </w:rPr>
      </w:pPr>
    </w:p>
    <w:p w:rsidR="00CA3B99" w:rsidRPr="006C749F" w:rsidRDefault="00CA3B99" w:rsidP="00950A39">
      <w:pPr>
        <w:ind w:left="360" w:hanging="360"/>
        <w:rPr>
          <w:b/>
          <w:sz w:val="26"/>
          <w:szCs w:val="26"/>
        </w:rPr>
      </w:pPr>
      <w:r w:rsidRPr="006C749F">
        <w:rPr>
          <w:b/>
          <w:sz w:val="26"/>
          <w:szCs w:val="26"/>
        </w:rPr>
        <w:lastRenderedPageBreak/>
        <w:t>A.</w:t>
      </w:r>
      <w:r w:rsidR="004727F9">
        <w:rPr>
          <w:b/>
          <w:sz w:val="26"/>
          <w:szCs w:val="26"/>
        </w:rPr>
        <w:t xml:space="preserve">  </w:t>
      </w:r>
      <w:r w:rsidRPr="006C749F">
        <w:rPr>
          <w:b/>
          <w:sz w:val="26"/>
          <w:szCs w:val="26"/>
        </w:rPr>
        <w:t>Justification</w:t>
      </w:r>
    </w:p>
    <w:p w:rsidR="00CA3B99" w:rsidRPr="006C749F" w:rsidRDefault="00CA3B99" w:rsidP="00636AAB">
      <w:pPr>
        <w:rPr>
          <w:b/>
          <w:sz w:val="26"/>
          <w:szCs w:val="26"/>
        </w:rPr>
      </w:pPr>
    </w:p>
    <w:p w:rsidR="00CA3B99" w:rsidRPr="007202AB" w:rsidRDefault="00CA3B99" w:rsidP="00636AAB">
      <w:pPr>
        <w:pStyle w:val="ListParagraph"/>
        <w:numPr>
          <w:ilvl w:val="0"/>
          <w:numId w:val="2"/>
        </w:numPr>
        <w:rPr>
          <w:b/>
          <w:sz w:val="26"/>
          <w:szCs w:val="26"/>
        </w:rPr>
      </w:pPr>
      <w:r w:rsidRPr="006C749F">
        <w:rPr>
          <w:b/>
          <w:sz w:val="26"/>
          <w:szCs w:val="26"/>
        </w:rPr>
        <w:t xml:space="preserve">CIRCUMSTANCES THAT MAKE THE COLLECTION OF INFORMATION NECESSARY </w:t>
      </w:r>
    </w:p>
    <w:p w:rsidR="00CA3B99" w:rsidRDefault="00CA3B99" w:rsidP="006C749F">
      <w:pPr>
        <w:rPr>
          <w:sz w:val="26"/>
          <w:szCs w:val="26"/>
        </w:rPr>
      </w:pPr>
    </w:p>
    <w:p w:rsidR="002801B6" w:rsidRDefault="00A8708F" w:rsidP="00D43CBA">
      <w:pPr>
        <w:rPr>
          <w:sz w:val="26"/>
          <w:szCs w:val="26"/>
        </w:rPr>
      </w:pPr>
      <w:r w:rsidRPr="001A3773">
        <w:rPr>
          <w:b/>
          <w:i/>
          <w:sz w:val="26"/>
          <w:szCs w:val="26"/>
        </w:rPr>
        <w:t xml:space="preserve">Docket </w:t>
      </w:r>
      <w:r w:rsidR="0057347B">
        <w:rPr>
          <w:b/>
          <w:i/>
          <w:sz w:val="26"/>
          <w:szCs w:val="26"/>
        </w:rPr>
        <w:t>RM96-1-038</w:t>
      </w:r>
      <w:r w:rsidRPr="001A3773">
        <w:rPr>
          <w:b/>
          <w:i/>
          <w:sz w:val="26"/>
          <w:szCs w:val="26"/>
        </w:rPr>
        <w:t>.</w:t>
      </w:r>
      <w:r>
        <w:rPr>
          <w:sz w:val="26"/>
          <w:szCs w:val="26"/>
        </w:rPr>
        <w:t xml:space="preserve">  </w:t>
      </w:r>
      <w:r w:rsidR="002801B6">
        <w:rPr>
          <w:sz w:val="26"/>
          <w:szCs w:val="26"/>
        </w:rPr>
        <w:t>The NOPR says in part [footnotes omitted]:</w:t>
      </w:r>
    </w:p>
    <w:p w:rsidR="002801B6" w:rsidRPr="002801B6" w:rsidRDefault="002801B6" w:rsidP="00D37E56">
      <w:pPr>
        <w:ind w:left="720"/>
        <w:rPr>
          <w:sz w:val="26"/>
          <w:szCs w:val="26"/>
        </w:rPr>
      </w:pPr>
      <w:r w:rsidRPr="002801B6">
        <w:rPr>
          <w:sz w:val="26"/>
          <w:szCs w:val="26"/>
        </w:rPr>
        <w:tab/>
      </w:r>
      <w:r>
        <w:rPr>
          <w:sz w:val="26"/>
          <w:szCs w:val="26"/>
        </w:rPr>
        <w:t>“</w:t>
      </w:r>
      <w:r w:rsidRPr="002801B6">
        <w:rPr>
          <w:sz w:val="26"/>
          <w:szCs w:val="26"/>
        </w:rPr>
        <w:t>On November 14, 2014, NAESB filed a report informing the Commission that it had adopted and ratified Version 3.0 of its business practice standards applicable to natural gas pipelines</w:t>
      </w:r>
      <w:r>
        <w:rPr>
          <w:sz w:val="26"/>
          <w:szCs w:val="26"/>
        </w:rPr>
        <w:t xml:space="preserve">….  </w:t>
      </w:r>
      <w:r w:rsidRPr="002801B6">
        <w:rPr>
          <w:sz w:val="26"/>
          <w:szCs w:val="26"/>
        </w:rPr>
        <w:t xml:space="preserve">The Version 3.0 Standards added the modifications to support efforts to harmonize gas-electric scheduling coordination that NAESB had separately filed and that the Commission incorporated by reference in Order No. 809.  In addition, the Version 3.0 Standards contain revisions to the capacity release standards regarding posting requirements for offers to purchase released capacity that were the subject of the Commission’s order to show cause in Docket No. </w:t>
      </w:r>
      <w:proofErr w:type="gramStart"/>
      <w:r w:rsidRPr="002801B6">
        <w:rPr>
          <w:sz w:val="26"/>
          <w:szCs w:val="26"/>
        </w:rPr>
        <w:t>RP14-442-000.</w:t>
      </w:r>
      <w:proofErr w:type="gramEnd"/>
      <w:r w:rsidRPr="002801B6">
        <w:rPr>
          <w:sz w:val="26"/>
          <w:szCs w:val="26"/>
        </w:rPr>
        <w:t xml:space="preserve">  Other revisions in the Version 3.0 Standards are:  (1) revisions to the standards to define “Operating Capacity” and “Design Capacity” in response to the Commission request in Order No. 587-V;  (2) elimination of the WGQ Interpretations, which the Commission declined to incorporate by reference; (3) modifications to standards to reflect the interpretations; (4) modifications for maintenance purposes, which includes changes to eliminate the appearance of the electronic data interchange in the imbalance trading process; (5) modifications to reflect new data elements; and (6) edits for clarity and to increase user-friendliness.  The Version 3.0 standards have also been revised to include 29 minor corrections. </w:t>
      </w:r>
    </w:p>
    <w:p w:rsidR="00001C6D" w:rsidRDefault="002801B6" w:rsidP="00D37E56">
      <w:pPr>
        <w:ind w:left="720" w:firstLine="720"/>
        <w:rPr>
          <w:sz w:val="26"/>
          <w:szCs w:val="26"/>
        </w:rPr>
      </w:pPr>
      <w:r w:rsidRPr="002801B6">
        <w:rPr>
          <w:sz w:val="26"/>
          <w:szCs w:val="26"/>
        </w:rPr>
        <w:t>On July 7, 2015, NAESB filed a report informing the Commission that it has made errata corrections to the WGQ Version 3.0 Business Practice Standards.  These corrections incorporate a 9:00 AM Central Clock Time (CCT) start to the gas operating day, consistent with the Commission’s findings in Order No. 809 and also correct other minor errors.</w:t>
      </w:r>
    </w:p>
    <w:p w:rsidR="00001C6D" w:rsidRDefault="00001C6D" w:rsidP="00D37E56">
      <w:pPr>
        <w:ind w:left="720" w:firstLine="720"/>
        <w:rPr>
          <w:sz w:val="26"/>
          <w:szCs w:val="26"/>
        </w:rPr>
      </w:pPr>
      <w:r w:rsidRPr="00001C6D">
        <w:rPr>
          <w:sz w:val="26"/>
          <w:szCs w:val="26"/>
        </w:rPr>
        <w:t>In this NOPR, the Commission proposes to incorporate by reference, in its regulations, Version 3.0 of the NAESB WGQ's consensus business practice standards</w:t>
      </w:r>
      <w:proofErr w:type="gramStart"/>
      <w:r w:rsidRPr="00001C6D">
        <w:rPr>
          <w:sz w:val="26"/>
          <w:szCs w:val="26"/>
        </w:rPr>
        <w:t>,  with</w:t>
      </w:r>
      <w:proofErr w:type="gramEnd"/>
      <w:r w:rsidRPr="00001C6D">
        <w:rPr>
          <w:sz w:val="26"/>
          <w:szCs w:val="26"/>
        </w:rPr>
        <w:t xml:space="preserve"> certain exceptions.  </w:t>
      </w:r>
      <w:r w:rsidR="00BE2C7C">
        <w:rPr>
          <w:sz w:val="26"/>
          <w:szCs w:val="26"/>
        </w:rPr>
        <w:t xml:space="preserve">The Commission </w:t>
      </w:r>
      <w:r w:rsidRPr="00001C6D">
        <w:rPr>
          <w:sz w:val="26"/>
          <w:szCs w:val="26"/>
        </w:rPr>
        <w:t>propose</w:t>
      </w:r>
      <w:r w:rsidR="00BE2C7C">
        <w:rPr>
          <w:sz w:val="26"/>
          <w:szCs w:val="26"/>
        </w:rPr>
        <w:t>s</w:t>
      </w:r>
      <w:r w:rsidRPr="00001C6D">
        <w:rPr>
          <w:sz w:val="26"/>
          <w:szCs w:val="26"/>
        </w:rPr>
        <w:t xml:space="preserve"> that the implementation date for these standards coincide with the implementation of the Gas-Electric Coordination standards on April 1, 2016.</w:t>
      </w:r>
    </w:p>
    <w:p w:rsidR="00001C6D" w:rsidRDefault="00001C6D" w:rsidP="00D37E56">
      <w:pPr>
        <w:ind w:left="720" w:firstLine="720"/>
        <w:rPr>
          <w:sz w:val="26"/>
          <w:szCs w:val="26"/>
        </w:rPr>
      </w:pPr>
      <w:r w:rsidRPr="00001C6D">
        <w:rPr>
          <w:sz w:val="26"/>
          <w:szCs w:val="26"/>
        </w:rPr>
        <w:t>Adoption of the Version 3.0 Standards will continue the process of updating and improving NAESB’s business practice standards for the benefit of the entire wholesale natural gas market.</w:t>
      </w:r>
    </w:p>
    <w:p w:rsidR="002801B6" w:rsidRDefault="00001C6D" w:rsidP="00D37E56">
      <w:pPr>
        <w:ind w:left="720" w:firstLine="720"/>
        <w:rPr>
          <w:sz w:val="26"/>
          <w:szCs w:val="26"/>
        </w:rPr>
      </w:pPr>
      <w:r w:rsidRPr="00001C6D">
        <w:rPr>
          <w:sz w:val="26"/>
          <w:szCs w:val="26"/>
        </w:rPr>
        <w:t xml:space="preserve">As the Commission found in Order No. 587, adoption of consensus standards is appropriate because the consensus process helps ensure the reasonableness of the standards by requiring that the standards draw support from a broad spectrum of industry participants representing all segments of the industry.  Moreover, because the industry has to conduct business under these standards, the Commission's regulations should reflect those standards that have the widest possible support.  In section 12(d) of the </w:t>
      </w:r>
      <w:r w:rsidRPr="00001C6D">
        <w:rPr>
          <w:sz w:val="26"/>
          <w:szCs w:val="26"/>
        </w:rPr>
        <w:lastRenderedPageBreak/>
        <w:t>National Technology Transfer and Advancement Act of 1995 (NTT&amp;AA), Congress affirmatively requires federal agencies to use technical standards developed by voluntary consensus standards organizations, like NAESB, as a means to carry out policy objectives or activities.</w:t>
      </w:r>
      <w:r w:rsidR="002801B6">
        <w:rPr>
          <w:sz w:val="26"/>
          <w:szCs w:val="26"/>
        </w:rPr>
        <w:t>”</w:t>
      </w:r>
    </w:p>
    <w:p w:rsidR="00A8708F" w:rsidRDefault="00A8708F" w:rsidP="00D43CBA">
      <w:pPr>
        <w:rPr>
          <w:sz w:val="26"/>
          <w:szCs w:val="26"/>
        </w:rPr>
      </w:pPr>
    </w:p>
    <w:p w:rsidR="00A02247" w:rsidRDefault="00A02247" w:rsidP="006C749F">
      <w:pPr>
        <w:rPr>
          <w:b/>
          <w:i/>
          <w:sz w:val="26"/>
          <w:szCs w:val="26"/>
        </w:rPr>
      </w:pPr>
      <w:proofErr w:type="gramStart"/>
      <w:r>
        <w:rPr>
          <w:b/>
          <w:i/>
          <w:sz w:val="26"/>
          <w:szCs w:val="26"/>
        </w:rPr>
        <w:t xml:space="preserve">General Background on the Collections (including </w:t>
      </w:r>
      <w:r w:rsidR="00A408C1">
        <w:rPr>
          <w:b/>
          <w:i/>
          <w:sz w:val="26"/>
          <w:szCs w:val="26"/>
        </w:rPr>
        <w:t>items</w:t>
      </w:r>
      <w:r>
        <w:rPr>
          <w:b/>
          <w:i/>
          <w:sz w:val="26"/>
          <w:szCs w:val="26"/>
        </w:rPr>
        <w:t xml:space="preserve"> not affected by the </w:t>
      </w:r>
      <w:r w:rsidR="0057347B">
        <w:rPr>
          <w:b/>
          <w:i/>
          <w:sz w:val="26"/>
          <w:szCs w:val="26"/>
        </w:rPr>
        <w:t>NOPR</w:t>
      </w:r>
      <w:r>
        <w:rPr>
          <w:b/>
          <w:i/>
          <w:sz w:val="26"/>
          <w:szCs w:val="26"/>
        </w:rPr>
        <w:t xml:space="preserve"> in Docket </w:t>
      </w:r>
      <w:r w:rsidR="0057347B">
        <w:rPr>
          <w:b/>
          <w:i/>
          <w:sz w:val="26"/>
          <w:szCs w:val="26"/>
        </w:rPr>
        <w:t>RM96-1-038</w:t>
      </w:r>
      <w:r>
        <w:rPr>
          <w:b/>
          <w:i/>
          <w:sz w:val="26"/>
          <w:szCs w:val="26"/>
        </w:rPr>
        <w:t>).</w:t>
      </w:r>
      <w:proofErr w:type="gramEnd"/>
    </w:p>
    <w:p w:rsidR="00362AD4" w:rsidRPr="00A02247" w:rsidRDefault="00362AD4" w:rsidP="006C749F">
      <w:pPr>
        <w:rPr>
          <w:b/>
          <w:i/>
          <w:sz w:val="26"/>
          <w:szCs w:val="26"/>
        </w:rPr>
      </w:pPr>
    </w:p>
    <w:p w:rsidR="00B3424E" w:rsidRDefault="00CA3B99" w:rsidP="006C749F">
      <w:pPr>
        <w:rPr>
          <w:sz w:val="26"/>
          <w:szCs w:val="26"/>
        </w:rPr>
      </w:pPr>
      <w:proofErr w:type="gramStart"/>
      <w:r w:rsidRPr="006C749F">
        <w:rPr>
          <w:b/>
          <w:sz w:val="26"/>
          <w:szCs w:val="26"/>
        </w:rPr>
        <w:t>FERC-545</w:t>
      </w:r>
      <w:r w:rsidR="00EE29C0">
        <w:rPr>
          <w:b/>
          <w:sz w:val="26"/>
          <w:szCs w:val="26"/>
        </w:rPr>
        <w:t>A</w:t>
      </w:r>
      <w:r w:rsidR="002B17DE">
        <w:rPr>
          <w:b/>
          <w:sz w:val="26"/>
          <w:szCs w:val="26"/>
        </w:rPr>
        <w:t xml:space="preserve"> (and FERC-545)</w:t>
      </w:r>
      <w:r>
        <w:rPr>
          <w:sz w:val="26"/>
          <w:szCs w:val="26"/>
        </w:rPr>
        <w:t>.</w:t>
      </w:r>
      <w:proofErr w:type="gramEnd"/>
      <w:r>
        <w:rPr>
          <w:sz w:val="26"/>
          <w:szCs w:val="26"/>
        </w:rPr>
        <w:t xml:space="preserve">  </w:t>
      </w:r>
    </w:p>
    <w:p w:rsidR="00EE29C0" w:rsidRPr="00D37E56" w:rsidRDefault="00EE29C0" w:rsidP="0063326A">
      <w:pPr>
        <w:ind w:left="720"/>
        <w:rPr>
          <w:i/>
          <w:sz w:val="26"/>
          <w:szCs w:val="26"/>
        </w:rPr>
      </w:pPr>
      <w:r w:rsidRPr="00D37E56">
        <w:rPr>
          <w:i/>
          <w:sz w:val="26"/>
          <w:szCs w:val="26"/>
        </w:rPr>
        <w:t xml:space="preserve">Please note that FERC-545A is a new and temporary collection number </w:t>
      </w:r>
      <w:r w:rsidR="00C77480">
        <w:rPr>
          <w:i/>
          <w:sz w:val="26"/>
          <w:szCs w:val="26"/>
        </w:rPr>
        <w:t xml:space="preserve">(and placeholder) </w:t>
      </w:r>
      <w:r w:rsidRPr="00D37E56">
        <w:rPr>
          <w:i/>
          <w:sz w:val="26"/>
          <w:szCs w:val="26"/>
        </w:rPr>
        <w:t xml:space="preserve">being used </w:t>
      </w:r>
      <w:r w:rsidR="00B3424E">
        <w:rPr>
          <w:i/>
          <w:sz w:val="26"/>
          <w:szCs w:val="26"/>
        </w:rPr>
        <w:t xml:space="preserve">for this NOPR </w:t>
      </w:r>
      <w:r w:rsidRPr="00D37E56">
        <w:rPr>
          <w:i/>
          <w:sz w:val="26"/>
          <w:szCs w:val="26"/>
        </w:rPr>
        <w:t xml:space="preserve">only because another </w:t>
      </w:r>
      <w:r w:rsidR="00B3424E">
        <w:rPr>
          <w:i/>
          <w:sz w:val="26"/>
          <w:szCs w:val="26"/>
        </w:rPr>
        <w:t xml:space="preserve">unrelated </w:t>
      </w:r>
      <w:r w:rsidRPr="00D37E56">
        <w:rPr>
          <w:i/>
          <w:sz w:val="26"/>
          <w:szCs w:val="26"/>
        </w:rPr>
        <w:t xml:space="preserve">item is currently pending OMB review under FERC-545. </w:t>
      </w:r>
      <w:r w:rsidRPr="00D37E56">
        <w:rPr>
          <w:i/>
          <w:sz w:val="26"/>
          <w:szCs w:val="26"/>
          <w:vertAlign w:val="superscript"/>
        </w:rPr>
        <w:fldChar w:fldCharType="begin"/>
      </w:r>
      <w:r w:rsidRPr="00D37E56">
        <w:rPr>
          <w:i/>
          <w:sz w:val="26"/>
          <w:szCs w:val="26"/>
          <w:vertAlign w:val="superscript"/>
        </w:rPr>
        <w:instrText xml:space="preserve"> NOTEREF _Ref426037619 \h  \* MERGEFORMAT </w:instrText>
      </w:r>
      <w:r w:rsidRPr="00D37E56">
        <w:rPr>
          <w:i/>
          <w:sz w:val="26"/>
          <w:szCs w:val="26"/>
          <w:vertAlign w:val="superscript"/>
        </w:rPr>
      </w:r>
      <w:r w:rsidRPr="00D37E56">
        <w:rPr>
          <w:i/>
          <w:sz w:val="26"/>
          <w:szCs w:val="26"/>
          <w:vertAlign w:val="superscript"/>
        </w:rPr>
        <w:fldChar w:fldCharType="separate"/>
      </w:r>
      <w:r w:rsidRPr="00D37E56">
        <w:rPr>
          <w:i/>
          <w:sz w:val="26"/>
          <w:szCs w:val="26"/>
          <w:vertAlign w:val="superscript"/>
        </w:rPr>
        <w:t>1</w:t>
      </w:r>
      <w:r w:rsidRPr="00D37E56">
        <w:rPr>
          <w:i/>
          <w:sz w:val="26"/>
          <w:szCs w:val="26"/>
          <w:vertAlign w:val="superscript"/>
        </w:rPr>
        <w:fldChar w:fldCharType="end"/>
      </w:r>
      <w:r w:rsidRPr="00D37E56">
        <w:rPr>
          <w:i/>
          <w:sz w:val="26"/>
          <w:szCs w:val="26"/>
          <w:vertAlign w:val="superscript"/>
        </w:rPr>
        <w:t xml:space="preserve"> </w:t>
      </w:r>
      <w:r w:rsidRPr="00D37E56">
        <w:rPr>
          <w:i/>
          <w:sz w:val="26"/>
          <w:szCs w:val="26"/>
        </w:rPr>
        <w:t xml:space="preserve">The following background applies to the FERC-545A temporary collection number and to the FERC-545, to which </w:t>
      </w:r>
      <w:r w:rsidR="00D37E56">
        <w:rPr>
          <w:i/>
          <w:sz w:val="26"/>
          <w:szCs w:val="26"/>
        </w:rPr>
        <w:t>the requirements identified as FERC-545A here,</w:t>
      </w:r>
      <w:r w:rsidRPr="00D37E56">
        <w:rPr>
          <w:i/>
          <w:sz w:val="26"/>
          <w:szCs w:val="26"/>
        </w:rPr>
        <w:t xml:space="preserve"> </w:t>
      </w:r>
      <w:r w:rsidR="00053830">
        <w:rPr>
          <w:i/>
          <w:sz w:val="26"/>
          <w:szCs w:val="26"/>
        </w:rPr>
        <w:t>should</w:t>
      </w:r>
      <w:r w:rsidR="00053830" w:rsidRPr="00D37E56">
        <w:rPr>
          <w:i/>
          <w:sz w:val="26"/>
          <w:szCs w:val="26"/>
        </w:rPr>
        <w:t xml:space="preserve"> </w:t>
      </w:r>
      <w:r w:rsidRPr="00D37E56">
        <w:rPr>
          <w:i/>
          <w:sz w:val="26"/>
          <w:szCs w:val="26"/>
        </w:rPr>
        <w:t>go long-term.</w:t>
      </w:r>
    </w:p>
    <w:p w:rsidR="00EE29C0" w:rsidRDefault="00EE29C0" w:rsidP="006C749F">
      <w:pPr>
        <w:rPr>
          <w:sz w:val="26"/>
          <w:szCs w:val="26"/>
        </w:rPr>
      </w:pPr>
    </w:p>
    <w:p w:rsidR="00877A89" w:rsidRDefault="00CA3B99" w:rsidP="006C749F">
      <w:pPr>
        <w:rPr>
          <w:sz w:val="26"/>
          <w:szCs w:val="26"/>
        </w:rPr>
      </w:pPr>
      <w:r>
        <w:rPr>
          <w:sz w:val="26"/>
          <w:szCs w:val="26"/>
        </w:rPr>
        <w:t>FERC-545</w:t>
      </w:r>
      <w:r w:rsidR="00053830">
        <w:rPr>
          <w:sz w:val="26"/>
          <w:szCs w:val="26"/>
        </w:rPr>
        <w:t>A</w:t>
      </w:r>
      <w:r>
        <w:rPr>
          <w:sz w:val="26"/>
          <w:szCs w:val="26"/>
        </w:rPr>
        <w:t xml:space="preserve"> </w:t>
      </w:r>
      <w:r w:rsidRPr="006C749F">
        <w:rPr>
          <w:sz w:val="26"/>
          <w:szCs w:val="26"/>
        </w:rPr>
        <w:t>is required to implement sections 4, 5, and 16 of the Natural Gas Act (NGA), (15 USC 717c</w:t>
      </w:r>
      <w:r w:rsidR="008C7AA3">
        <w:rPr>
          <w:sz w:val="26"/>
          <w:szCs w:val="26"/>
        </w:rPr>
        <w:t xml:space="preserve">, 717d and </w:t>
      </w:r>
      <w:r w:rsidR="00BE2C7C">
        <w:rPr>
          <w:sz w:val="26"/>
          <w:szCs w:val="26"/>
        </w:rPr>
        <w:t>-</w:t>
      </w:r>
      <w:r w:rsidRPr="006C749F">
        <w:rPr>
          <w:sz w:val="26"/>
          <w:szCs w:val="26"/>
        </w:rPr>
        <w:t xml:space="preserve">717o, PL 75 688, 52 Stat. 822 and 830).  NGA Sections 4, 5, and 6 authorize the Commission to inquire into rate structures and methodologies and to set rates at a just and reasonable level.  Specifically, a natural gas company must obtain Commission authorization for all rates and charges made, demanded, or received in connection with the transportation or sale of natural gas in interstate commerce.  </w:t>
      </w:r>
    </w:p>
    <w:p w:rsidR="00877A89" w:rsidRDefault="00877A89" w:rsidP="006C749F">
      <w:pPr>
        <w:rPr>
          <w:sz w:val="26"/>
          <w:szCs w:val="26"/>
        </w:rPr>
      </w:pPr>
    </w:p>
    <w:p w:rsidR="00CA3B99" w:rsidRPr="006C749F" w:rsidRDefault="00CA3B99" w:rsidP="006C749F">
      <w:pPr>
        <w:rPr>
          <w:sz w:val="26"/>
          <w:szCs w:val="26"/>
        </w:rPr>
      </w:pPr>
      <w:r w:rsidRPr="006C749F">
        <w:rPr>
          <w:sz w:val="26"/>
          <w:szCs w:val="26"/>
        </w:rPr>
        <w:t xml:space="preserve">Under the NGA, a natural gas company’s rates must be just and reasonable and not unduly discriminatory or preferential.  The Commission may act under different sections of the NGA to effect a change in a natural gas company’s rates.  When the Commission reviews rate increases that a natural gas company has proposed, it is subject to the requirement of section 4(e) of the NGA.  Under section 4(e), the natural gas company bears the burden of proving that its proposed rates are just and reasonable.  On the other hand, when the Commission seeks to impose its own rate determination, it must do so in compliance with section 5(a) of the NGA.  Under section 5, the Commission must first establish that its alternative rate proposal is both just and reasonable.  </w:t>
      </w:r>
    </w:p>
    <w:p w:rsidR="00CA3B99" w:rsidRPr="006C749F" w:rsidRDefault="00CA3B99" w:rsidP="006C749F">
      <w:pPr>
        <w:rPr>
          <w:sz w:val="26"/>
          <w:szCs w:val="26"/>
        </w:rPr>
      </w:pPr>
    </w:p>
    <w:p w:rsidR="00CA3B99" w:rsidRPr="006C749F" w:rsidRDefault="00CA3B99" w:rsidP="006D154A">
      <w:pPr>
        <w:rPr>
          <w:sz w:val="26"/>
          <w:szCs w:val="26"/>
        </w:rPr>
      </w:pPr>
      <w:r w:rsidRPr="006C749F">
        <w:rPr>
          <w:sz w:val="26"/>
          <w:szCs w:val="26"/>
        </w:rPr>
        <w:t>Section 16 of the NGA states that the Commission “shall have the power to perform any and all acts, and to prescribe, issue, make, amend, and rescind such orders, rules, and regulations as it may find necessary or appropriate to carry out provisions of [the NGA].”  In other words, section 16 of the NGA grants the Commission the power to define accounting, technical and trade terms, prescribe forms, statements, declarations or reports and to prescribe rules and regulations.</w:t>
      </w:r>
    </w:p>
    <w:p w:rsidR="00CA3B99" w:rsidRPr="006C749F" w:rsidRDefault="00CA3B99" w:rsidP="006C749F">
      <w:pPr>
        <w:rPr>
          <w:sz w:val="26"/>
          <w:szCs w:val="26"/>
        </w:rPr>
      </w:pPr>
    </w:p>
    <w:p w:rsidR="00CA3B99" w:rsidRDefault="00CA3B99" w:rsidP="006D154A">
      <w:pPr>
        <w:rPr>
          <w:sz w:val="26"/>
          <w:szCs w:val="26"/>
        </w:rPr>
      </w:pPr>
      <w:r w:rsidRPr="006C749F">
        <w:rPr>
          <w:sz w:val="26"/>
          <w:szCs w:val="26"/>
        </w:rPr>
        <w:t xml:space="preserve">Pipelines adjust their tariffs to meet market and customer needs.  Commission review of these proposed changes is required to ensure rates remain just and reasonable and that services are not provided in an unduly or preferential manner.  The Commission’s regulation in 18 C.F.R. Part 154 </w:t>
      </w:r>
      <w:r w:rsidR="008606EE" w:rsidRPr="006C749F">
        <w:rPr>
          <w:sz w:val="26"/>
          <w:szCs w:val="26"/>
        </w:rPr>
        <w:t>specifies</w:t>
      </w:r>
      <w:r w:rsidRPr="006C749F">
        <w:rPr>
          <w:sz w:val="26"/>
          <w:szCs w:val="26"/>
        </w:rPr>
        <w:t xml:space="preserve"> what changes are allowed and the procedures for requesting Commission approval.  </w:t>
      </w:r>
    </w:p>
    <w:p w:rsidR="00051566" w:rsidRDefault="00051566" w:rsidP="00091565">
      <w:pPr>
        <w:ind w:firstLine="360"/>
        <w:rPr>
          <w:sz w:val="26"/>
          <w:szCs w:val="26"/>
        </w:rPr>
      </w:pPr>
    </w:p>
    <w:p w:rsidR="00051566" w:rsidRPr="00051566" w:rsidRDefault="00051566" w:rsidP="006D154A">
      <w:pPr>
        <w:rPr>
          <w:sz w:val="26"/>
          <w:szCs w:val="26"/>
        </w:rPr>
      </w:pPr>
      <w:r w:rsidRPr="00051566">
        <w:rPr>
          <w:sz w:val="26"/>
          <w:szCs w:val="26"/>
        </w:rPr>
        <w:t xml:space="preserve">The Commission sets rates for interstate pipeline services in a number of proceedings.  For example, when a pipeline files to increase its rates, it makes a filing with the Commission under section 4 of the NGA.  These types of filings are referred to as general section 4 rate cases.  In the proceedings, the Commission reviews all of a pipeline’s rates and services.  A pipeline can file a general section 4 rate case anytime it wishes, provided the pipeline did not agree otherwise in a settlement.  A pipeline must demonstrate that the new rates it proposes to charge are just and reasonable.  When a rate increase filing is made pursuant to section 4, the application is typically suspended and set for hearing by a Commission Order.  </w:t>
      </w:r>
    </w:p>
    <w:p w:rsidR="00051566" w:rsidRPr="00051566" w:rsidRDefault="00051566" w:rsidP="00051566">
      <w:pPr>
        <w:ind w:firstLine="360"/>
        <w:rPr>
          <w:sz w:val="26"/>
          <w:szCs w:val="26"/>
        </w:rPr>
      </w:pPr>
    </w:p>
    <w:p w:rsidR="003240E7" w:rsidRDefault="0027062E" w:rsidP="0027062E">
      <w:pPr>
        <w:tabs>
          <w:tab w:val="num" w:pos="0"/>
        </w:tabs>
        <w:rPr>
          <w:sz w:val="26"/>
          <w:szCs w:val="26"/>
        </w:rPr>
      </w:pPr>
      <w:r>
        <w:rPr>
          <w:b/>
          <w:sz w:val="26"/>
          <w:szCs w:val="26"/>
        </w:rPr>
        <w:t xml:space="preserve">FERC-549C.  </w:t>
      </w:r>
      <w:r>
        <w:rPr>
          <w:sz w:val="26"/>
          <w:szCs w:val="26"/>
        </w:rPr>
        <w:t xml:space="preserve">The business practice standards under FERC-549C are required to carry out the Commission’s policies in accordance with the general authority in Sections 4, 5, 7, 8, 10, 14, 16, and 20 of the Natural Gas Act (NGA) (15 U.S.C. 717c-717w), and sections 311, 501, and 504 of the Natural Gas Policy Act of 1978 (NGPA) (15 U.S.C. 3301-3432).  The Commission adopted these business practice standards in order to update and standardize the natural gas industry’s business practices and procedures as well as to improve the efficiency of the gas market and the means by which the gas industry conducts business across the interstate pipeline grid.   </w:t>
      </w:r>
    </w:p>
    <w:p w:rsidR="00877A89" w:rsidRDefault="00877A89" w:rsidP="006D154A">
      <w:pPr>
        <w:tabs>
          <w:tab w:val="num" w:pos="0"/>
        </w:tabs>
        <w:rPr>
          <w:sz w:val="26"/>
          <w:szCs w:val="26"/>
        </w:rPr>
      </w:pPr>
    </w:p>
    <w:p w:rsidR="00127317" w:rsidRPr="0027062E" w:rsidRDefault="00127317" w:rsidP="006D154A">
      <w:pPr>
        <w:tabs>
          <w:tab w:val="num" w:pos="0"/>
        </w:tabs>
        <w:rPr>
          <w:sz w:val="26"/>
          <w:szCs w:val="26"/>
        </w:rPr>
      </w:pPr>
      <w:r>
        <w:rPr>
          <w:sz w:val="26"/>
          <w:szCs w:val="26"/>
        </w:rPr>
        <w:t>In various orders</w:t>
      </w:r>
      <w:r w:rsidRPr="00FD2199">
        <w:rPr>
          <w:sz w:val="26"/>
          <w:szCs w:val="26"/>
        </w:rPr>
        <w:t xml:space="preserve"> </w:t>
      </w:r>
      <w:r>
        <w:rPr>
          <w:sz w:val="26"/>
          <w:szCs w:val="26"/>
        </w:rPr>
        <w:t>s</w:t>
      </w:r>
      <w:r w:rsidRPr="0027062E">
        <w:rPr>
          <w:sz w:val="26"/>
          <w:szCs w:val="26"/>
        </w:rPr>
        <w:t>ince 1996</w:t>
      </w:r>
      <w:r>
        <w:rPr>
          <w:rStyle w:val="FootnoteReference"/>
          <w:sz w:val="26"/>
          <w:szCs w:val="26"/>
        </w:rPr>
        <w:footnoteReference w:id="2"/>
      </w:r>
      <w:r>
        <w:rPr>
          <w:sz w:val="26"/>
          <w:szCs w:val="26"/>
        </w:rPr>
        <w:t>, FERC</w:t>
      </w:r>
      <w:r w:rsidRPr="0027062E">
        <w:rPr>
          <w:sz w:val="26"/>
          <w:szCs w:val="26"/>
        </w:rPr>
        <w:t xml:space="preserve"> has adopted regulations to standardize the business practices and communication methodologies of interstate </w:t>
      </w:r>
      <w:r w:rsidR="00A8708F">
        <w:rPr>
          <w:sz w:val="26"/>
          <w:szCs w:val="26"/>
        </w:rPr>
        <w:t xml:space="preserve">natural gas </w:t>
      </w:r>
      <w:r w:rsidRPr="0027062E">
        <w:rPr>
          <w:sz w:val="26"/>
          <w:szCs w:val="26"/>
        </w:rPr>
        <w:t>pipelines to create a more integrated and efficient pipeline</w:t>
      </w:r>
      <w:r>
        <w:rPr>
          <w:sz w:val="26"/>
          <w:szCs w:val="26"/>
        </w:rPr>
        <w:t xml:space="preserve"> </w:t>
      </w:r>
      <w:r w:rsidRPr="004F7E93">
        <w:rPr>
          <w:sz w:val="26"/>
          <w:szCs w:val="26"/>
        </w:rPr>
        <w:t>industry.  In general, when and if NAESB</w:t>
      </w:r>
      <w:r w:rsidR="00652FA7">
        <w:rPr>
          <w:sz w:val="26"/>
          <w:szCs w:val="26"/>
        </w:rPr>
        <w:t xml:space="preserve"> develops </w:t>
      </w:r>
      <w:r w:rsidR="00851969">
        <w:rPr>
          <w:sz w:val="26"/>
          <w:szCs w:val="26"/>
        </w:rPr>
        <w:t xml:space="preserve">new </w:t>
      </w:r>
      <w:r w:rsidR="00652FA7">
        <w:rPr>
          <w:sz w:val="26"/>
          <w:szCs w:val="26"/>
        </w:rPr>
        <w:t>or revises</w:t>
      </w:r>
      <w:r w:rsidR="00851969">
        <w:rPr>
          <w:sz w:val="26"/>
          <w:szCs w:val="26"/>
        </w:rPr>
        <w:t xml:space="preserve"> </w:t>
      </w:r>
      <w:proofErr w:type="gramStart"/>
      <w:r w:rsidR="00851969">
        <w:rPr>
          <w:sz w:val="26"/>
          <w:szCs w:val="26"/>
        </w:rPr>
        <w:t xml:space="preserve">existing </w:t>
      </w:r>
      <w:r w:rsidRPr="004F7E93">
        <w:rPr>
          <w:sz w:val="26"/>
          <w:szCs w:val="26"/>
        </w:rPr>
        <w:t xml:space="preserve"> </w:t>
      </w:r>
      <w:r w:rsidR="00652FA7">
        <w:rPr>
          <w:sz w:val="26"/>
          <w:szCs w:val="26"/>
        </w:rPr>
        <w:t>business</w:t>
      </w:r>
      <w:proofErr w:type="gramEnd"/>
      <w:r w:rsidR="00652FA7">
        <w:rPr>
          <w:sz w:val="26"/>
          <w:szCs w:val="26"/>
        </w:rPr>
        <w:t xml:space="preserve"> practice </w:t>
      </w:r>
      <w:r w:rsidRPr="004F7E93">
        <w:rPr>
          <w:sz w:val="26"/>
          <w:szCs w:val="26"/>
        </w:rPr>
        <w:t xml:space="preserve">standards </w:t>
      </w:r>
      <w:r w:rsidR="00652FA7">
        <w:rPr>
          <w:sz w:val="26"/>
          <w:szCs w:val="26"/>
        </w:rPr>
        <w:t xml:space="preserve">for the wholesale natural gas industry </w:t>
      </w:r>
      <w:r w:rsidRPr="004F7E93">
        <w:rPr>
          <w:sz w:val="26"/>
          <w:szCs w:val="26"/>
        </w:rPr>
        <w:t xml:space="preserve">(e.g., consensus standards developed by the </w:t>
      </w:r>
      <w:r w:rsidR="00C66C32" w:rsidRPr="00C66C32">
        <w:rPr>
          <w:sz w:val="26"/>
          <w:szCs w:val="26"/>
        </w:rPr>
        <w:t xml:space="preserve">Wholesale Gas Quadrant </w:t>
      </w:r>
      <w:r w:rsidR="00C66C32">
        <w:rPr>
          <w:sz w:val="26"/>
          <w:szCs w:val="26"/>
        </w:rPr>
        <w:t>(</w:t>
      </w:r>
      <w:r w:rsidRPr="004F7E93">
        <w:rPr>
          <w:sz w:val="26"/>
          <w:szCs w:val="26"/>
        </w:rPr>
        <w:t>WGQ</w:t>
      </w:r>
      <w:r w:rsidR="00C66C32">
        <w:rPr>
          <w:sz w:val="26"/>
          <w:szCs w:val="26"/>
        </w:rPr>
        <w:t>)</w:t>
      </w:r>
      <w:r w:rsidRPr="004F7E93">
        <w:rPr>
          <w:sz w:val="26"/>
          <w:szCs w:val="26"/>
        </w:rPr>
        <w:t xml:space="preserve">, an accredited standards organization under the auspices of the American </w:t>
      </w:r>
      <w:r w:rsidR="00A8708F">
        <w:rPr>
          <w:sz w:val="26"/>
          <w:szCs w:val="26"/>
        </w:rPr>
        <w:t xml:space="preserve">National </w:t>
      </w:r>
      <w:r w:rsidRPr="004F7E93">
        <w:rPr>
          <w:sz w:val="26"/>
          <w:szCs w:val="26"/>
        </w:rPr>
        <w:t xml:space="preserve">Standards Institute (ANSI)), </w:t>
      </w:r>
      <w:r w:rsidR="00851969">
        <w:rPr>
          <w:sz w:val="26"/>
          <w:szCs w:val="26"/>
        </w:rPr>
        <w:t xml:space="preserve">if </w:t>
      </w:r>
      <w:r w:rsidRPr="004F7E93">
        <w:rPr>
          <w:sz w:val="26"/>
          <w:szCs w:val="26"/>
        </w:rPr>
        <w:t xml:space="preserve">the Commission </w:t>
      </w:r>
      <w:r w:rsidR="00851969">
        <w:rPr>
          <w:sz w:val="26"/>
          <w:szCs w:val="26"/>
        </w:rPr>
        <w:t xml:space="preserve">finds the standards appropriate it </w:t>
      </w:r>
      <w:r w:rsidRPr="004F7E93">
        <w:rPr>
          <w:sz w:val="26"/>
          <w:szCs w:val="26"/>
        </w:rPr>
        <w:t xml:space="preserve">incorporates them by reference into its </w:t>
      </w:r>
      <w:r w:rsidR="00652FA7">
        <w:rPr>
          <w:sz w:val="26"/>
          <w:szCs w:val="26"/>
        </w:rPr>
        <w:t>regulations as mandatory FERC requirements</w:t>
      </w:r>
      <w:r w:rsidRPr="004F7E93">
        <w:rPr>
          <w:sz w:val="26"/>
          <w:szCs w:val="26"/>
        </w:rPr>
        <w:t>.</w:t>
      </w:r>
      <w:r>
        <w:rPr>
          <w:sz w:val="26"/>
          <w:szCs w:val="26"/>
        </w:rPr>
        <w:t xml:space="preserve">  </w:t>
      </w:r>
      <w:r w:rsidRPr="0027062E">
        <w:rPr>
          <w:sz w:val="26"/>
          <w:szCs w:val="26"/>
        </w:rPr>
        <w:t>The process of standardizing business practices in the natural gas industry began with a Commission initiative to standardize electronic communication of capacity release transactions.  The outgrowth of the initial Commission standardization efforts produced working groups composed of all segments of the gas industry and ultimately, the Gas Industry Standards Board (GISB), a consensus organization open to all members of the gas industry was created.  GISB was succeeded by the North American Energy Standards Board (NAESB)</w:t>
      </w:r>
      <w:r w:rsidR="00851969">
        <w:rPr>
          <w:sz w:val="26"/>
          <w:szCs w:val="26"/>
        </w:rPr>
        <w:t>, which is composed of four quadrants, including a wholesale natural gas quadrant and a wholesale electric quadrant</w:t>
      </w:r>
      <w:r w:rsidRPr="0027062E">
        <w:rPr>
          <w:sz w:val="26"/>
          <w:szCs w:val="26"/>
        </w:rPr>
        <w:t>.</w:t>
      </w:r>
      <w:r w:rsidR="00851969">
        <w:rPr>
          <w:rStyle w:val="FootnoteReference"/>
          <w:sz w:val="26"/>
          <w:szCs w:val="26"/>
        </w:rPr>
        <w:footnoteReference w:id="3"/>
      </w:r>
    </w:p>
    <w:p w:rsidR="00877A89" w:rsidRPr="0027062E" w:rsidRDefault="00877A89">
      <w:pPr>
        <w:tabs>
          <w:tab w:val="num" w:pos="0"/>
        </w:tabs>
        <w:rPr>
          <w:sz w:val="26"/>
          <w:szCs w:val="26"/>
        </w:rPr>
      </w:pPr>
    </w:p>
    <w:p w:rsidR="0027062E" w:rsidRPr="0027062E" w:rsidRDefault="0027062E" w:rsidP="006D154A">
      <w:pPr>
        <w:tabs>
          <w:tab w:val="num" w:pos="0"/>
        </w:tabs>
        <w:rPr>
          <w:sz w:val="26"/>
          <w:szCs w:val="26"/>
        </w:rPr>
      </w:pPr>
      <w:r w:rsidRPr="0027062E">
        <w:rPr>
          <w:sz w:val="26"/>
          <w:szCs w:val="26"/>
        </w:rPr>
        <w:lastRenderedPageBreak/>
        <w:t>NAESB</w:t>
      </w:r>
      <w:r w:rsidR="00A27A38">
        <w:rPr>
          <w:rStyle w:val="FootnoteReference"/>
          <w:sz w:val="26"/>
          <w:szCs w:val="26"/>
        </w:rPr>
        <w:footnoteReference w:id="4"/>
      </w:r>
      <w:r w:rsidRPr="0027062E">
        <w:rPr>
          <w:sz w:val="26"/>
          <w:szCs w:val="26"/>
        </w:rPr>
        <w:t xml:space="preserve"> is a voluntary non-profit organization comprised of members from the retail and wholesale natural gas and electric industries.  NAESB’s mission is to take the lead in developing standards across these industries to simplify and expand electronic communication and to streamline business practices.  </w:t>
      </w:r>
      <w:r w:rsidR="00851969">
        <w:rPr>
          <w:sz w:val="26"/>
          <w:szCs w:val="26"/>
        </w:rPr>
        <w:t>Its c</w:t>
      </w:r>
      <w:r w:rsidRPr="0027062E">
        <w:rPr>
          <w:sz w:val="26"/>
          <w:szCs w:val="26"/>
        </w:rPr>
        <w:t xml:space="preserve">ore objective is to </w:t>
      </w:r>
      <w:r w:rsidR="00263752">
        <w:rPr>
          <w:sz w:val="26"/>
          <w:szCs w:val="26"/>
        </w:rPr>
        <w:t>promote</w:t>
      </w:r>
      <w:r w:rsidRPr="0027062E">
        <w:rPr>
          <w:sz w:val="26"/>
          <w:szCs w:val="26"/>
        </w:rPr>
        <w:t xml:space="preserve"> a seamless North American marketplace for natural gas, as recognized by its customers, the business community, industry participants and regulatory bodies</w:t>
      </w:r>
      <w:r w:rsidRPr="00A27A38">
        <w:rPr>
          <w:sz w:val="26"/>
          <w:szCs w:val="26"/>
        </w:rPr>
        <w:t>.  NAESB</w:t>
      </w:r>
      <w:r w:rsidR="00263752">
        <w:rPr>
          <w:sz w:val="26"/>
          <w:szCs w:val="26"/>
        </w:rPr>
        <w:t>’s</w:t>
      </w:r>
      <w:r w:rsidRPr="00A27A38">
        <w:rPr>
          <w:sz w:val="26"/>
          <w:szCs w:val="26"/>
        </w:rPr>
        <w:t xml:space="preserve"> WGQ </w:t>
      </w:r>
      <w:r w:rsidR="00263752">
        <w:rPr>
          <w:sz w:val="26"/>
          <w:szCs w:val="26"/>
        </w:rPr>
        <w:t xml:space="preserve">business practice </w:t>
      </w:r>
      <w:r w:rsidRPr="00A27A38">
        <w:rPr>
          <w:sz w:val="26"/>
          <w:szCs w:val="26"/>
        </w:rPr>
        <w:t>standard</w:t>
      </w:r>
      <w:r w:rsidR="00127317">
        <w:rPr>
          <w:sz w:val="26"/>
          <w:szCs w:val="26"/>
        </w:rPr>
        <w:t>s are a product of this effort.  I</w:t>
      </w:r>
      <w:r w:rsidRPr="0027062E">
        <w:rPr>
          <w:sz w:val="26"/>
          <w:szCs w:val="26"/>
        </w:rPr>
        <w:t>n</w:t>
      </w:r>
      <w:r w:rsidR="00263752">
        <w:rPr>
          <w:sz w:val="26"/>
          <w:szCs w:val="26"/>
        </w:rPr>
        <w:t xml:space="preserve"> this process, in</w:t>
      </w:r>
      <w:r w:rsidRPr="0027062E">
        <w:rPr>
          <w:sz w:val="26"/>
          <w:szCs w:val="26"/>
        </w:rPr>
        <w:t>dustry participant</w:t>
      </w:r>
      <w:r w:rsidR="00127317">
        <w:rPr>
          <w:sz w:val="26"/>
          <w:szCs w:val="26"/>
        </w:rPr>
        <w:t>s</w:t>
      </w:r>
      <w:r w:rsidRPr="0027062E">
        <w:rPr>
          <w:sz w:val="26"/>
          <w:szCs w:val="26"/>
        </w:rPr>
        <w:t xml:space="preserve"> seeking additional or amended standards (including principles, definitions, standards, data elements, process descriptions, technical implementation instructions) submit a request to the NAESB office, detailing the change, so that </w:t>
      </w:r>
      <w:r w:rsidR="00263752">
        <w:rPr>
          <w:sz w:val="26"/>
          <w:szCs w:val="26"/>
        </w:rPr>
        <w:t>consideration can be given</w:t>
      </w:r>
      <w:r w:rsidRPr="0027062E">
        <w:rPr>
          <w:sz w:val="26"/>
          <w:szCs w:val="26"/>
        </w:rPr>
        <w:t xml:space="preserve"> to amend</w:t>
      </w:r>
      <w:r w:rsidR="00263752">
        <w:rPr>
          <w:sz w:val="26"/>
          <w:szCs w:val="26"/>
        </w:rPr>
        <w:t xml:space="preserve">ing </w:t>
      </w:r>
      <w:r w:rsidRPr="0027062E">
        <w:rPr>
          <w:sz w:val="26"/>
          <w:szCs w:val="26"/>
        </w:rPr>
        <w:t>the standards.</w:t>
      </w:r>
    </w:p>
    <w:p w:rsidR="00877A89" w:rsidRPr="0027062E" w:rsidRDefault="00877A89" w:rsidP="0027062E">
      <w:pPr>
        <w:tabs>
          <w:tab w:val="num" w:pos="0"/>
        </w:tabs>
        <w:rPr>
          <w:sz w:val="26"/>
          <w:szCs w:val="26"/>
        </w:rPr>
      </w:pPr>
    </w:p>
    <w:p w:rsidR="00CA3B99" w:rsidRPr="00226A35" w:rsidRDefault="00CA3B99" w:rsidP="00226A35">
      <w:pPr>
        <w:pStyle w:val="ListParagraph"/>
        <w:numPr>
          <w:ilvl w:val="0"/>
          <w:numId w:val="8"/>
        </w:numPr>
        <w:rPr>
          <w:b/>
          <w:sz w:val="26"/>
          <w:szCs w:val="26"/>
        </w:rPr>
      </w:pPr>
      <w:r w:rsidRPr="00226A35">
        <w:rPr>
          <w:b/>
          <w:sz w:val="26"/>
          <w:szCs w:val="26"/>
        </w:rPr>
        <w:t>HOW, BY WHOM, AND FOR WHAT PURPOSE THE INFORMATION IS TO BE USED AND THE CONSEQUENCES OF NOT COLLECTING THE INFORMATION</w:t>
      </w:r>
    </w:p>
    <w:p w:rsidR="00CA3B99" w:rsidRPr="00226A35" w:rsidRDefault="00CA3B99" w:rsidP="00226A35">
      <w:pPr>
        <w:rPr>
          <w:sz w:val="26"/>
          <w:szCs w:val="26"/>
        </w:rPr>
      </w:pPr>
    </w:p>
    <w:p w:rsidR="00635E25" w:rsidRDefault="00CA3B99" w:rsidP="00950A39">
      <w:pPr>
        <w:widowControl/>
        <w:rPr>
          <w:sz w:val="26"/>
          <w:szCs w:val="26"/>
        </w:rPr>
      </w:pPr>
      <w:r>
        <w:rPr>
          <w:b/>
          <w:sz w:val="26"/>
          <w:szCs w:val="26"/>
        </w:rPr>
        <w:t>FERC-545</w:t>
      </w:r>
      <w:r w:rsidR="00264A5A">
        <w:rPr>
          <w:b/>
          <w:sz w:val="26"/>
          <w:szCs w:val="26"/>
        </w:rPr>
        <w:t>A</w:t>
      </w:r>
      <w:r w:rsidR="002B17DE">
        <w:rPr>
          <w:sz w:val="26"/>
          <w:szCs w:val="26"/>
        </w:rPr>
        <w:t xml:space="preserve"> (and FERC-545)</w:t>
      </w:r>
      <w:r w:rsidR="002B17DE" w:rsidRPr="006B7AF3">
        <w:rPr>
          <w:sz w:val="26"/>
          <w:szCs w:val="26"/>
        </w:rPr>
        <w:t xml:space="preserve">:  </w:t>
      </w:r>
      <w:r w:rsidR="00C66C32" w:rsidRPr="00950A39">
        <w:rPr>
          <w:sz w:val="26"/>
          <w:szCs w:val="26"/>
        </w:rPr>
        <w:t>The</w:t>
      </w:r>
      <w:r w:rsidR="00C66C32">
        <w:rPr>
          <w:b/>
          <w:sz w:val="26"/>
          <w:szCs w:val="26"/>
        </w:rPr>
        <w:t xml:space="preserve"> </w:t>
      </w:r>
      <w:r w:rsidR="0057347B">
        <w:rPr>
          <w:sz w:val="26"/>
          <w:szCs w:val="26"/>
        </w:rPr>
        <w:t>NOPR</w:t>
      </w:r>
      <w:r w:rsidR="00C66C32">
        <w:rPr>
          <w:sz w:val="26"/>
          <w:szCs w:val="26"/>
        </w:rPr>
        <w:t xml:space="preserve"> in </w:t>
      </w:r>
      <w:r w:rsidR="0057347B">
        <w:rPr>
          <w:sz w:val="26"/>
          <w:szCs w:val="26"/>
        </w:rPr>
        <w:t>RM96-1-038</w:t>
      </w:r>
      <w:r w:rsidR="00C66C32">
        <w:rPr>
          <w:sz w:val="26"/>
          <w:szCs w:val="26"/>
        </w:rPr>
        <w:t xml:space="preserve"> </w:t>
      </w:r>
      <w:r w:rsidR="00263752">
        <w:rPr>
          <w:sz w:val="26"/>
          <w:szCs w:val="26"/>
        </w:rPr>
        <w:t xml:space="preserve">would </w:t>
      </w:r>
      <w:r w:rsidR="00C66C32">
        <w:rPr>
          <w:sz w:val="26"/>
          <w:szCs w:val="26"/>
        </w:rPr>
        <w:t>require</w:t>
      </w:r>
      <w:r w:rsidR="00877A89">
        <w:rPr>
          <w:sz w:val="26"/>
          <w:szCs w:val="26"/>
        </w:rPr>
        <w:t xml:space="preserve"> interstate gas </w:t>
      </w:r>
      <w:r w:rsidR="00C66C32">
        <w:rPr>
          <w:sz w:val="26"/>
          <w:szCs w:val="26"/>
        </w:rPr>
        <w:t xml:space="preserve">pipelines to make a one-time tariff filing to </w:t>
      </w:r>
      <w:r w:rsidR="00635E25">
        <w:rPr>
          <w:sz w:val="26"/>
          <w:szCs w:val="26"/>
        </w:rPr>
        <w:t>reflect the changes</w:t>
      </w:r>
      <w:r w:rsidR="00264A5A">
        <w:rPr>
          <w:sz w:val="26"/>
          <w:szCs w:val="26"/>
        </w:rPr>
        <w:t xml:space="preserve"> in the updated NAESB standards</w:t>
      </w:r>
      <w:r w:rsidR="00877A89">
        <w:rPr>
          <w:sz w:val="26"/>
          <w:szCs w:val="26"/>
        </w:rPr>
        <w:t>.</w:t>
      </w:r>
      <w:r w:rsidR="00635E25">
        <w:rPr>
          <w:sz w:val="26"/>
          <w:szCs w:val="26"/>
        </w:rPr>
        <w:t xml:space="preserve"> </w:t>
      </w:r>
      <w:r w:rsidR="00C66C32">
        <w:rPr>
          <w:sz w:val="26"/>
          <w:szCs w:val="26"/>
        </w:rPr>
        <w:t xml:space="preserve"> </w:t>
      </w:r>
    </w:p>
    <w:p w:rsidR="006B7AF3" w:rsidRDefault="006B7AF3" w:rsidP="00950A39">
      <w:pPr>
        <w:widowControl/>
        <w:rPr>
          <w:sz w:val="26"/>
          <w:szCs w:val="26"/>
        </w:rPr>
      </w:pPr>
    </w:p>
    <w:p w:rsidR="006B7AF3" w:rsidRDefault="006B7AF3" w:rsidP="006D154A">
      <w:pPr>
        <w:widowControl/>
        <w:rPr>
          <w:sz w:val="26"/>
          <w:szCs w:val="26"/>
        </w:rPr>
      </w:pPr>
      <w:r w:rsidRPr="006B7AF3">
        <w:rPr>
          <w:sz w:val="26"/>
          <w:szCs w:val="26"/>
        </w:rPr>
        <w:t>The following information is the subject of the FERC-545</w:t>
      </w:r>
      <w:r w:rsidR="00264A5A">
        <w:rPr>
          <w:sz w:val="26"/>
          <w:szCs w:val="26"/>
        </w:rPr>
        <w:t>A</w:t>
      </w:r>
      <w:r w:rsidR="002B17DE">
        <w:rPr>
          <w:sz w:val="26"/>
          <w:szCs w:val="26"/>
        </w:rPr>
        <w:t>:</w:t>
      </w:r>
      <w:r w:rsidRPr="006B7AF3">
        <w:rPr>
          <w:sz w:val="26"/>
          <w:szCs w:val="26"/>
        </w:rPr>
        <w:t xml:space="preserve"> </w:t>
      </w:r>
      <w:r w:rsidR="00561278">
        <w:rPr>
          <w:sz w:val="26"/>
          <w:szCs w:val="26"/>
        </w:rPr>
        <w:t xml:space="preserve"> </w:t>
      </w:r>
      <w:r w:rsidRPr="006B7AF3">
        <w:rPr>
          <w:sz w:val="26"/>
          <w:szCs w:val="26"/>
        </w:rPr>
        <w:t>(1) tariff filings and any related compliance filings; (2) rate case filings and any related compliance filings; (3) informational reports; (4) negotiated rates; (5) non-conforming agreement filings; and (6) NAESB Activity (tariff portion only).  In summary, the Commission uses the FERC-545</w:t>
      </w:r>
      <w:r w:rsidR="00264A5A">
        <w:rPr>
          <w:sz w:val="26"/>
          <w:szCs w:val="26"/>
        </w:rPr>
        <w:t>A (and FERC-545)</w:t>
      </w:r>
      <w:r w:rsidRPr="006B7AF3">
        <w:rPr>
          <w:sz w:val="26"/>
          <w:szCs w:val="26"/>
        </w:rPr>
        <w:t xml:space="preserve"> information to (1) ensure </w:t>
      </w:r>
      <w:r w:rsidR="00F47494">
        <w:rPr>
          <w:sz w:val="26"/>
          <w:szCs w:val="26"/>
        </w:rPr>
        <w:t xml:space="preserve">there are </w:t>
      </w:r>
      <w:r w:rsidRPr="006B7AF3">
        <w:rPr>
          <w:sz w:val="26"/>
          <w:szCs w:val="26"/>
        </w:rPr>
        <w:t>adequate customer protections under section 4 of the NGA; (2) review rates and terms and conditions of service changes by natural gas companies for the transportation and storage of natural gas; (3) provide general industry oversight; and (4) supplement documentation during FERC’s audits process.</w:t>
      </w:r>
    </w:p>
    <w:p w:rsidR="006B7AF3" w:rsidRDefault="006B7AF3" w:rsidP="000143D2">
      <w:pPr>
        <w:widowControl/>
        <w:ind w:firstLine="360"/>
        <w:rPr>
          <w:sz w:val="26"/>
          <w:szCs w:val="26"/>
        </w:rPr>
      </w:pPr>
    </w:p>
    <w:p w:rsidR="006B7AF3" w:rsidRDefault="00CA3B99" w:rsidP="006D154A">
      <w:pPr>
        <w:widowControl/>
        <w:rPr>
          <w:sz w:val="26"/>
          <w:szCs w:val="26"/>
        </w:rPr>
      </w:pPr>
      <w:r>
        <w:rPr>
          <w:sz w:val="26"/>
          <w:szCs w:val="26"/>
        </w:rPr>
        <w:t>The Commission reviews the FERC-545</w:t>
      </w:r>
      <w:r w:rsidR="00264A5A">
        <w:rPr>
          <w:sz w:val="26"/>
          <w:szCs w:val="26"/>
        </w:rPr>
        <w:t>A</w:t>
      </w:r>
      <w:r>
        <w:rPr>
          <w:sz w:val="26"/>
          <w:szCs w:val="26"/>
        </w:rPr>
        <w:t xml:space="preserve"> </w:t>
      </w:r>
      <w:r w:rsidR="002B17DE">
        <w:rPr>
          <w:sz w:val="26"/>
          <w:szCs w:val="26"/>
        </w:rPr>
        <w:t xml:space="preserve">(and FERC-545) </w:t>
      </w:r>
      <w:r>
        <w:rPr>
          <w:sz w:val="26"/>
          <w:szCs w:val="26"/>
        </w:rPr>
        <w:t xml:space="preserve">materials to determine whether proposed transportation and sales rates and terms and conditions of service are just and reasonable.  The Commission uses the information to monitor rates and terms and conditions of service related to jurisdictional transportation, natural gas storage, and unbundled sales activities of jurisdictional companies.  In addition to fulfilling the Commission’s obligations under the NGA, the </w:t>
      </w:r>
      <w:r w:rsidR="002B17DE">
        <w:rPr>
          <w:sz w:val="26"/>
          <w:szCs w:val="26"/>
        </w:rPr>
        <w:t>information</w:t>
      </w:r>
      <w:r>
        <w:rPr>
          <w:sz w:val="26"/>
          <w:szCs w:val="26"/>
        </w:rPr>
        <w:t xml:space="preserve"> enables the Commission to monitor the activities and evaluate transactions of the natural gas industry to ensure competitiveness and improved efficiency of the industry’s operations.  </w:t>
      </w:r>
      <w:r w:rsidR="006B7AF3">
        <w:rPr>
          <w:sz w:val="26"/>
          <w:szCs w:val="26"/>
        </w:rPr>
        <w:t xml:space="preserve"> </w:t>
      </w:r>
    </w:p>
    <w:p w:rsidR="006B7AF3" w:rsidRDefault="006B7AF3" w:rsidP="00210F7B">
      <w:pPr>
        <w:widowControl/>
        <w:rPr>
          <w:sz w:val="26"/>
          <w:szCs w:val="26"/>
        </w:rPr>
      </w:pPr>
    </w:p>
    <w:p w:rsidR="00091565" w:rsidRPr="00091565" w:rsidRDefault="00740DAF" w:rsidP="00210F7B">
      <w:pPr>
        <w:widowControl/>
        <w:rPr>
          <w:sz w:val="26"/>
          <w:szCs w:val="26"/>
        </w:rPr>
      </w:pPr>
      <w:r>
        <w:rPr>
          <w:b/>
          <w:sz w:val="26"/>
          <w:szCs w:val="26"/>
        </w:rPr>
        <w:t xml:space="preserve">FERC-549C.  </w:t>
      </w:r>
      <w:r w:rsidR="00091565">
        <w:rPr>
          <w:sz w:val="26"/>
          <w:szCs w:val="26"/>
        </w:rPr>
        <w:t>The Commission requires the FERC-549C</w:t>
      </w:r>
      <w:r w:rsidR="00877A89">
        <w:rPr>
          <w:sz w:val="26"/>
          <w:szCs w:val="26"/>
        </w:rPr>
        <w:t xml:space="preserve"> </w:t>
      </w:r>
      <w:r w:rsidR="00091565">
        <w:rPr>
          <w:sz w:val="26"/>
          <w:szCs w:val="26"/>
        </w:rPr>
        <w:t xml:space="preserve">because the </w:t>
      </w:r>
      <w:r w:rsidR="0057347B">
        <w:rPr>
          <w:sz w:val="26"/>
          <w:szCs w:val="26"/>
        </w:rPr>
        <w:t>NOPR</w:t>
      </w:r>
      <w:r w:rsidR="00091565">
        <w:rPr>
          <w:sz w:val="26"/>
          <w:szCs w:val="26"/>
        </w:rPr>
        <w:t xml:space="preserve"> </w:t>
      </w:r>
      <w:r w:rsidR="00F47494">
        <w:rPr>
          <w:sz w:val="26"/>
          <w:szCs w:val="26"/>
        </w:rPr>
        <w:t xml:space="preserve">in Docket </w:t>
      </w:r>
      <w:r w:rsidR="0057347B">
        <w:rPr>
          <w:sz w:val="26"/>
          <w:szCs w:val="26"/>
        </w:rPr>
        <w:t>RM96-1-038</w:t>
      </w:r>
      <w:r w:rsidR="00F47494">
        <w:rPr>
          <w:sz w:val="26"/>
          <w:szCs w:val="26"/>
        </w:rPr>
        <w:t xml:space="preserve"> </w:t>
      </w:r>
      <w:r w:rsidR="00B51F34" w:rsidRPr="00B51F34">
        <w:rPr>
          <w:sz w:val="26"/>
          <w:szCs w:val="26"/>
        </w:rPr>
        <w:t xml:space="preserve">proposes to amend its regulations at 18 CFR 284.12 to incorporate by reference, with </w:t>
      </w:r>
      <w:r w:rsidR="00B51F34" w:rsidRPr="00B51F34">
        <w:rPr>
          <w:sz w:val="26"/>
          <w:szCs w:val="26"/>
        </w:rPr>
        <w:lastRenderedPageBreak/>
        <w:t xml:space="preserve">certain exceptions, Version 3.0 of business practice standards adopted by NAESB applicable to natural gas pipelines.  The Version 3.0 standards also revise the codes used to identify receipt and delivery locations in the Index of Customers. </w:t>
      </w:r>
    </w:p>
    <w:p w:rsidR="00204CCA" w:rsidRPr="00740DAF" w:rsidRDefault="00204CCA" w:rsidP="00210F7B">
      <w:pPr>
        <w:widowControl/>
        <w:rPr>
          <w:sz w:val="26"/>
          <w:szCs w:val="26"/>
        </w:rPr>
      </w:pPr>
    </w:p>
    <w:p w:rsidR="00CA3B99" w:rsidRPr="00FF32D1" w:rsidRDefault="00FD2199" w:rsidP="00950A39">
      <w:pPr>
        <w:widowControl/>
        <w:rPr>
          <w:sz w:val="26"/>
          <w:szCs w:val="26"/>
        </w:rPr>
      </w:pPr>
      <w:proofErr w:type="gramStart"/>
      <w:r>
        <w:rPr>
          <w:b/>
          <w:sz w:val="26"/>
          <w:szCs w:val="26"/>
        </w:rPr>
        <w:t>FERC-545 and -549C.</w:t>
      </w:r>
      <w:proofErr w:type="gramEnd"/>
      <w:r>
        <w:rPr>
          <w:b/>
          <w:sz w:val="26"/>
          <w:szCs w:val="26"/>
        </w:rPr>
        <w:t xml:space="preserve">  </w:t>
      </w:r>
      <w:r w:rsidR="00CA3B99" w:rsidRPr="00FF32D1">
        <w:rPr>
          <w:sz w:val="26"/>
          <w:szCs w:val="26"/>
        </w:rPr>
        <w:t xml:space="preserve">Failure to collect this information would prohibit the Commission from monitoring and properly evaluating pipeline transactions and meeting statutory obligations under both the NGPA and the NGA. </w:t>
      </w:r>
    </w:p>
    <w:p w:rsidR="00733AEB" w:rsidRDefault="00733AEB" w:rsidP="00733AEB">
      <w:pPr>
        <w:tabs>
          <w:tab w:val="num" w:pos="0"/>
        </w:tabs>
        <w:spacing w:before="100" w:beforeAutospacing="1" w:after="240"/>
        <w:rPr>
          <w:sz w:val="26"/>
          <w:szCs w:val="26"/>
        </w:rPr>
      </w:pPr>
      <w:r w:rsidRPr="00466398">
        <w:rPr>
          <w:sz w:val="26"/>
          <w:szCs w:val="26"/>
        </w:rPr>
        <w:t xml:space="preserve">Additionally, the incorporation by reference of consensus standards helps ensure the reasonableness of these standards </w:t>
      </w:r>
      <w:r w:rsidR="00263752">
        <w:rPr>
          <w:sz w:val="26"/>
          <w:szCs w:val="26"/>
        </w:rPr>
        <w:t xml:space="preserve">proposed </w:t>
      </w:r>
      <w:r w:rsidRPr="00466398">
        <w:rPr>
          <w:sz w:val="26"/>
          <w:szCs w:val="26"/>
        </w:rPr>
        <w:t xml:space="preserve">in this </w:t>
      </w:r>
      <w:r w:rsidR="0057347B">
        <w:rPr>
          <w:sz w:val="26"/>
          <w:szCs w:val="26"/>
        </w:rPr>
        <w:t>NOPR</w:t>
      </w:r>
      <w:r w:rsidRPr="00466398">
        <w:rPr>
          <w:sz w:val="26"/>
          <w:szCs w:val="26"/>
        </w:rPr>
        <w:t xml:space="preserve"> by demonstrating a broad support from industry participants representing all segments of the industry.  </w:t>
      </w:r>
      <w:r w:rsidR="00332BEF">
        <w:rPr>
          <w:sz w:val="26"/>
          <w:szCs w:val="26"/>
        </w:rPr>
        <w:t>Natural gas p</w:t>
      </w:r>
      <w:r w:rsidRPr="00466398">
        <w:rPr>
          <w:sz w:val="26"/>
          <w:szCs w:val="26"/>
        </w:rPr>
        <w:t>ipelines will need to file new tariffs with the Commission only if a) they do not currently offer multi-party transportation contracts and b) shippers request that the pipeline offer such contracts.</w:t>
      </w:r>
    </w:p>
    <w:p w:rsidR="00733AEB" w:rsidRPr="00007AD7" w:rsidRDefault="00733AEB" w:rsidP="00210F7B">
      <w:pPr>
        <w:widowControl/>
        <w:rPr>
          <w:sz w:val="26"/>
          <w:szCs w:val="26"/>
        </w:rPr>
      </w:pPr>
    </w:p>
    <w:p w:rsidR="00CA3B99" w:rsidRPr="00FF32D1" w:rsidRDefault="00CA3B99" w:rsidP="00950A39">
      <w:pPr>
        <w:widowControl/>
        <w:tabs>
          <w:tab w:val="left" w:pos="-1440"/>
        </w:tabs>
        <w:ind w:left="360" w:hanging="360"/>
        <w:rPr>
          <w:b/>
          <w:bCs/>
          <w:sz w:val="26"/>
          <w:szCs w:val="26"/>
        </w:rPr>
      </w:pPr>
      <w:proofErr w:type="gramStart"/>
      <w:r w:rsidRPr="00FF32D1">
        <w:rPr>
          <w:sz w:val="26"/>
          <w:szCs w:val="26"/>
        </w:rPr>
        <w:t>3.</w:t>
      </w:r>
      <w:r w:rsidRPr="00FF32D1">
        <w:rPr>
          <w:b/>
          <w:bCs/>
          <w:sz w:val="26"/>
          <w:szCs w:val="26"/>
        </w:rPr>
        <w:t>DESCRIBE</w:t>
      </w:r>
      <w:proofErr w:type="gramEnd"/>
      <w:r w:rsidRPr="00FF32D1">
        <w:rPr>
          <w:b/>
          <w:bCs/>
          <w:sz w:val="26"/>
          <w:szCs w:val="26"/>
        </w:rPr>
        <w:t xml:space="preserve"> ANY CONSIDERATION OF THE USE OF IMPROVED TECHNOLOGY TO REDUCE BURDEN AND TECHNICAL OR LEGAL OBSTACLES TO REDUCING BURDEN.</w:t>
      </w:r>
    </w:p>
    <w:p w:rsidR="00CA3B99" w:rsidRPr="00FF32D1" w:rsidRDefault="00CA3B99" w:rsidP="00FF32D1">
      <w:pPr>
        <w:widowControl/>
        <w:rPr>
          <w:b/>
          <w:bCs/>
          <w:sz w:val="26"/>
          <w:szCs w:val="26"/>
        </w:rPr>
      </w:pPr>
    </w:p>
    <w:p w:rsidR="00CA3B99" w:rsidRDefault="00CA3B99" w:rsidP="005530B7">
      <w:pPr>
        <w:widowControl/>
        <w:rPr>
          <w:sz w:val="26"/>
          <w:szCs w:val="26"/>
        </w:rPr>
      </w:pPr>
      <w:proofErr w:type="gramStart"/>
      <w:r>
        <w:rPr>
          <w:b/>
          <w:sz w:val="26"/>
          <w:szCs w:val="26"/>
        </w:rPr>
        <w:t>FERC-545</w:t>
      </w:r>
      <w:r w:rsidR="00611052">
        <w:rPr>
          <w:b/>
          <w:sz w:val="26"/>
          <w:szCs w:val="26"/>
        </w:rPr>
        <w:t>A (and FERC-545)</w:t>
      </w:r>
      <w:r>
        <w:rPr>
          <w:b/>
          <w:sz w:val="26"/>
          <w:szCs w:val="26"/>
        </w:rPr>
        <w:t>.</w:t>
      </w:r>
      <w:proofErr w:type="gramEnd"/>
      <w:r>
        <w:rPr>
          <w:b/>
          <w:sz w:val="26"/>
          <w:szCs w:val="26"/>
        </w:rPr>
        <w:t xml:space="preserve">  </w:t>
      </w:r>
      <w:r w:rsidR="004F7E93" w:rsidRPr="004F7E93">
        <w:rPr>
          <w:sz w:val="26"/>
          <w:szCs w:val="26"/>
        </w:rPr>
        <w:t>In previous rulemakings,</w:t>
      </w:r>
      <w:r w:rsidR="001C3337" w:rsidRPr="001C3337">
        <w:rPr>
          <w:sz w:val="26"/>
          <w:szCs w:val="26"/>
          <w:vertAlign w:val="superscript"/>
        </w:rPr>
        <w:t xml:space="preserve"> </w:t>
      </w:r>
      <w:r w:rsidR="001C3337" w:rsidRPr="001C3337">
        <w:rPr>
          <w:sz w:val="26"/>
          <w:szCs w:val="26"/>
          <w:vertAlign w:val="superscript"/>
        </w:rPr>
        <w:footnoteReference w:id="5"/>
      </w:r>
      <w:r w:rsidR="004F7E93" w:rsidRPr="004F7E93">
        <w:rPr>
          <w:sz w:val="26"/>
          <w:szCs w:val="26"/>
        </w:rPr>
        <w:t xml:space="preserve"> the Commission implemented the capability </w:t>
      </w:r>
      <w:r w:rsidR="001C3337">
        <w:rPr>
          <w:sz w:val="26"/>
          <w:szCs w:val="26"/>
        </w:rPr>
        <w:t xml:space="preserve">and requirement </w:t>
      </w:r>
      <w:r w:rsidR="004F7E93" w:rsidRPr="004F7E93">
        <w:rPr>
          <w:sz w:val="26"/>
          <w:szCs w:val="26"/>
        </w:rPr>
        <w:t>for electronic filing of all tariff submissions</w:t>
      </w:r>
      <w:r w:rsidR="001C3337">
        <w:rPr>
          <w:sz w:val="26"/>
          <w:szCs w:val="26"/>
        </w:rPr>
        <w:t>.  FERC also</w:t>
      </w:r>
      <w:r w:rsidR="004F7E93">
        <w:rPr>
          <w:sz w:val="26"/>
          <w:szCs w:val="26"/>
        </w:rPr>
        <w:t xml:space="preserve"> </w:t>
      </w:r>
      <w:r w:rsidR="004F7E93" w:rsidRPr="004F7E93">
        <w:rPr>
          <w:sz w:val="26"/>
          <w:szCs w:val="26"/>
        </w:rPr>
        <w:t>improve</w:t>
      </w:r>
      <w:r w:rsidR="004F7E93">
        <w:rPr>
          <w:sz w:val="26"/>
          <w:szCs w:val="26"/>
        </w:rPr>
        <w:t>d</w:t>
      </w:r>
      <w:r w:rsidR="004F7E93" w:rsidRPr="004F7E93">
        <w:rPr>
          <w:sz w:val="26"/>
          <w:szCs w:val="26"/>
        </w:rPr>
        <w:t xml:space="preserve"> the security of submitting those electronic filings and the pipelines’ </w:t>
      </w:r>
      <w:r w:rsidR="005530B7">
        <w:rPr>
          <w:sz w:val="26"/>
          <w:szCs w:val="26"/>
        </w:rPr>
        <w:t xml:space="preserve">on-line </w:t>
      </w:r>
      <w:r w:rsidR="004F7E93" w:rsidRPr="004F7E93">
        <w:rPr>
          <w:sz w:val="26"/>
          <w:szCs w:val="26"/>
        </w:rPr>
        <w:t xml:space="preserve">process of appointing and modifying agents with the authority to make a filing on the pipeline’s behalf </w:t>
      </w:r>
      <w:r w:rsidR="001C3337">
        <w:rPr>
          <w:sz w:val="26"/>
          <w:szCs w:val="26"/>
        </w:rPr>
        <w:t>(</w:t>
      </w:r>
      <w:r w:rsidR="004F7E93" w:rsidRPr="004F7E93">
        <w:rPr>
          <w:sz w:val="26"/>
          <w:szCs w:val="26"/>
        </w:rPr>
        <w:t>provid</w:t>
      </w:r>
      <w:r w:rsidR="001C3337">
        <w:rPr>
          <w:sz w:val="26"/>
          <w:szCs w:val="26"/>
        </w:rPr>
        <w:t>ing</w:t>
      </w:r>
      <w:r w:rsidR="004F7E93" w:rsidRPr="004F7E93">
        <w:rPr>
          <w:sz w:val="26"/>
          <w:szCs w:val="26"/>
        </w:rPr>
        <w:t xml:space="preserve"> filing companies with greater control over the agents eligible to make specific types of filings on their </w:t>
      </w:r>
      <w:r w:rsidR="005530B7">
        <w:rPr>
          <w:sz w:val="26"/>
          <w:szCs w:val="26"/>
        </w:rPr>
        <w:t>behalf).</w:t>
      </w:r>
    </w:p>
    <w:p w:rsidR="009C1EF6" w:rsidRDefault="00996DF4" w:rsidP="009C1EF6">
      <w:pPr>
        <w:tabs>
          <w:tab w:val="num" w:pos="0"/>
        </w:tabs>
        <w:spacing w:before="100" w:beforeAutospacing="1" w:after="240"/>
        <w:rPr>
          <w:sz w:val="26"/>
          <w:szCs w:val="26"/>
        </w:rPr>
      </w:pPr>
      <w:r>
        <w:rPr>
          <w:b/>
          <w:sz w:val="26"/>
          <w:szCs w:val="26"/>
        </w:rPr>
        <w:t>FERC-549C.</w:t>
      </w:r>
      <w:r>
        <w:rPr>
          <w:sz w:val="26"/>
          <w:szCs w:val="26"/>
        </w:rPr>
        <w:t xml:space="preserve">  </w:t>
      </w:r>
      <w:r w:rsidR="009C1EF6">
        <w:rPr>
          <w:sz w:val="26"/>
          <w:szCs w:val="26"/>
        </w:rPr>
        <w:t>The information resulting from the FERC-549C data requirements will not be filed at FERC.  Instead it will be posted on the pipelines’ Internet sites, provided to third parties or retained.  The Internet and current software allow easy access and use of data on the pipelines’ Internet sites and for transmittal of information.</w:t>
      </w:r>
    </w:p>
    <w:p w:rsidR="00CA3B99" w:rsidRPr="00544199" w:rsidRDefault="00CA3B99" w:rsidP="00950A39">
      <w:pPr>
        <w:widowControl/>
        <w:tabs>
          <w:tab w:val="left" w:pos="360"/>
        </w:tabs>
        <w:ind w:left="360" w:hanging="360"/>
        <w:rPr>
          <w:b/>
          <w:sz w:val="26"/>
          <w:szCs w:val="26"/>
        </w:rPr>
      </w:pPr>
      <w:proofErr w:type="gramStart"/>
      <w:r w:rsidRPr="00544199">
        <w:rPr>
          <w:b/>
          <w:sz w:val="26"/>
          <w:szCs w:val="26"/>
        </w:rPr>
        <w:t>4.DESCRIBE</w:t>
      </w:r>
      <w:proofErr w:type="gramEnd"/>
      <w:r w:rsidRPr="00544199">
        <w:rPr>
          <w:b/>
          <w:sz w:val="26"/>
          <w:szCs w:val="26"/>
        </w:rPr>
        <w:t xml:space="preserve"> EFFORTS TO IDENTIFY DUPLICATION AND SHOW SPECIFICALLY WHY ANY SIMILAR INFORMATION ALREADY AVAILABLE CANNOT BE USED OR MODIFIED FOR USE FOR THE PURPOSE(S) DESCRIBED IN INSTRUCTION NO. 2</w:t>
      </w:r>
    </w:p>
    <w:p w:rsidR="009C1EF6" w:rsidRDefault="00CA3B99" w:rsidP="009C1EF6">
      <w:pPr>
        <w:tabs>
          <w:tab w:val="num" w:pos="0"/>
        </w:tabs>
        <w:spacing w:before="100" w:beforeAutospacing="1" w:after="240"/>
        <w:rPr>
          <w:sz w:val="26"/>
          <w:szCs w:val="26"/>
        </w:rPr>
      </w:pPr>
      <w:proofErr w:type="gramStart"/>
      <w:r>
        <w:rPr>
          <w:b/>
          <w:sz w:val="26"/>
          <w:szCs w:val="26"/>
        </w:rPr>
        <w:t>FERC-545</w:t>
      </w:r>
      <w:r w:rsidR="00611052">
        <w:rPr>
          <w:b/>
          <w:sz w:val="26"/>
          <w:szCs w:val="26"/>
        </w:rPr>
        <w:t>A</w:t>
      </w:r>
      <w:r w:rsidR="00996DF4">
        <w:rPr>
          <w:b/>
          <w:sz w:val="26"/>
          <w:szCs w:val="26"/>
        </w:rPr>
        <w:t xml:space="preserve"> and FERC-549C.</w:t>
      </w:r>
      <w:proofErr w:type="gramEnd"/>
      <w:r w:rsidR="00996DF4" w:rsidRPr="00996DF4">
        <w:rPr>
          <w:sz w:val="26"/>
          <w:szCs w:val="26"/>
        </w:rPr>
        <w:t xml:space="preserve"> </w:t>
      </w:r>
      <w:r w:rsidR="009C1EF6">
        <w:rPr>
          <w:sz w:val="26"/>
          <w:szCs w:val="26"/>
        </w:rPr>
        <w:t xml:space="preserve">Commission filings and data requirements are periodically reviewed in conjunction with OMB clearance expiration dates.  This includes a review of the Commission’s regulations and data requirements to identify duplication.  No duplication of the information collection requirements has been found.  </w:t>
      </w:r>
    </w:p>
    <w:p w:rsidR="00CA3B99" w:rsidRDefault="00CA3B99" w:rsidP="00950A39">
      <w:pPr>
        <w:widowControl/>
        <w:tabs>
          <w:tab w:val="left" w:pos="360"/>
          <w:tab w:val="left" w:pos="4050"/>
        </w:tabs>
        <w:ind w:left="360" w:hanging="360"/>
        <w:rPr>
          <w:sz w:val="26"/>
          <w:szCs w:val="26"/>
        </w:rPr>
      </w:pPr>
      <w:r w:rsidRPr="00544199">
        <w:rPr>
          <w:b/>
          <w:sz w:val="26"/>
          <w:szCs w:val="26"/>
        </w:rPr>
        <w:lastRenderedPageBreak/>
        <w:t>5.</w:t>
      </w:r>
      <w:r w:rsidRPr="00544199">
        <w:rPr>
          <w:sz w:val="26"/>
          <w:szCs w:val="26"/>
        </w:rPr>
        <w:t xml:space="preserve"> </w:t>
      </w:r>
      <w:r w:rsidRPr="00544199">
        <w:rPr>
          <w:b/>
          <w:sz w:val="26"/>
          <w:szCs w:val="26"/>
        </w:rPr>
        <w:t>METHODS USED TO MINIMIZE BURDEN IN COLLECTION OF INFORMATION INVOLVING SMALL ENTITIES</w:t>
      </w:r>
      <w:r w:rsidRPr="00544199">
        <w:rPr>
          <w:sz w:val="26"/>
          <w:szCs w:val="26"/>
        </w:rPr>
        <w:t xml:space="preserve"> </w:t>
      </w:r>
    </w:p>
    <w:p w:rsidR="00332BEF" w:rsidRPr="00544199" w:rsidRDefault="00332BEF" w:rsidP="00950A39">
      <w:pPr>
        <w:widowControl/>
        <w:tabs>
          <w:tab w:val="left" w:pos="360"/>
          <w:tab w:val="left" w:pos="4050"/>
        </w:tabs>
        <w:ind w:left="360" w:hanging="360"/>
        <w:rPr>
          <w:sz w:val="26"/>
          <w:szCs w:val="26"/>
        </w:rPr>
      </w:pPr>
    </w:p>
    <w:p w:rsidR="00CA3B99" w:rsidRDefault="00332BEF" w:rsidP="00611052">
      <w:pPr>
        <w:widowControl/>
        <w:rPr>
          <w:sz w:val="26"/>
          <w:szCs w:val="26"/>
        </w:rPr>
      </w:pPr>
      <w:r w:rsidRPr="00332BEF">
        <w:rPr>
          <w:sz w:val="26"/>
          <w:szCs w:val="26"/>
        </w:rPr>
        <w:t xml:space="preserve">The Small Business Administration's (SBA) Office of Size Standards develops the numerical definition of a small business as matched to North American Industry Classification System Codes (NAICS).  The SBA </w:t>
      </w:r>
      <w:r w:rsidR="001A3773">
        <w:rPr>
          <w:sz w:val="26"/>
          <w:szCs w:val="26"/>
        </w:rPr>
        <w:t xml:space="preserve">(in </w:t>
      </w:r>
      <w:r w:rsidR="001A3773" w:rsidRPr="001A3773">
        <w:rPr>
          <w:sz w:val="26"/>
          <w:szCs w:val="26"/>
        </w:rPr>
        <w:t>13 CFR 121.101</w:t>
      </w:r>
      <w:r w:rsidR="001A3773">
        <w:rPr>
          <w:sz w:val="26"/>
          <w:szCs w:val="26"/>
        </w:rPr>
        <w:t>)</w:t>
      </w:r>
      <w:r w:rsidR="001A3773" w:rsidRPr="001A3773">
        <w:rPr>
          <w:sz w:val="26"/>
          <w:szCs w:val="26"/>
        </w:rPr>
        <w:t xml:space="preserve"> </w:t>
      </w:r>
      <w:r w:rsidRPr="00332BEF">
        <w:rPr>
          <w:sz w:val="26"/>
          <w:szCs w:val="26"/>
        </w:rPr>
        <w:t>has established a size standard for pipelines transporting natural gas, stating that a firm is a small entity if its annual receipts (including those of its affiliates) are $27.5 million or less.</w:t>
      </w:r>
      <w:r w:rsidR="001A3773">
        <w:rPr>
          <w:rStyle w:val="FootnoteReference"/>
          <w:sz w:val="26"/>
          <w:szCs w:val="26"/>
        </w:rPr>
        <w:footnoteReference w:id="6"/>
      </w:r>
    </w:p>
    <w:p w:rsidR="00332BEF" w:rsidRPr="00544199" w:rsidRDefault="00332BEF" w:rsidP="00544199">
      <w:pPr>
        <w:widowControl/>
        <w:ind w:firstLine="720"/>
        <w:rPr>
          <w:sz w:val="26"/>
          <w:szCs w:val="26"/>
        </w:rPr>
      </w:pPr>
    </w:p>
    <w:p w:rsidR="001C3404" w:rsidRDefault="00051566" w:rsidP="001C3404">
      <w:pPr>
        <w:widowControl/>
        <w:rPr>
          <w:sz w:val="26"/>
          <w:szCs w:val="26"/>
        </w:rPr>
      </w:pPr>
      <w:proofErr w:type="gramStart"/>
      <w:r>
        <w:rPr>
          <w:b/>
          <w:sz w:val="26"/>
          <w:szCs w:val="26"/>
        </w:rPr>
        <w:t>FERC-545</w:t>
      </w:r>
      <w:r w:rsidR="00611052">
        <w:rPr>
          <w:b/>
          <w:sz w:val="26"/>
          <w:szCs w:val="26"/>
        </w:rPr>
        <w:t>A</w:t>
      </w:r>
      <w:r>
        <w:rPr>
          <w:b/>
          <w:sz w:val="26"/>
          <w:szCs w:val="26"/>
        </w:rPr>
        <w:t>.</w:t>
      </w:r>
      <w:proofErr w:type="gramEnd"/>
      <w:r>
        <w:rPr>
          <w:b/>
          <w:sz w:val="26"/>
          <w:szCs w:val="26"/>
        </w:rPr>
        <w:t xml:space="preserve">  </w:t>
      </w:r>
      <w:r w:rsidR="001C3404">
        <w:rPr>
          <w:sz w:val="26"/>
          <w:szCs w:val="26"/>
        </w:rPr>
        <w:t>The FERC-545</w:t>
      </w:r>
      <w:r w:rsidR="00611052">
        <w:rPr>
          <w:sz w:val="26"/>
          <w:szCs w:val="26"/>
        </w:rPr>
        <w:t>A</w:t>
      </w:r>
      <w:r w:rsidR="001C3404">
        <w:rPr>
          <w:sz w:val="26"/>
          <w:szCs w:val="26"/>
        </w:rPr>
        <w:t xml:space="preserve"> is a filing requirement related to pipeline rate filing obligations for the transportation and storage of natural gas.  The filing collects data from both large and small respondent companies.  The data required impose the least possible burden for companies, while collecting the information required for processing the filings.  Use of the Internet to file documents electronically is the primary method the Commission uses to minimize the FERC-545</w:t>
      </w:r>
      <w:r w:rsidR="00611052">
        <w:rPr>
          <w:sz w:val="26"/>
          <w:szCs w:val="26"/>
        </w:rPr>
        <w:t>A</w:t>
      </w:r>
      <w:r w:rsidR="001C3404">
        <w:rPr>
          <w:sz w:val="26"/>
          <w:szCs w:val="26"/>
        </w:rPr>
        <w:t xml:space="preserve"> burden.</w:t>
      </w:r>
    </w:p>
    <w:p w:rsidR="001C3404" w:rsidRDefault="001C3404" w:rsidP="001C3404">
      <w:pPr>
        <w:widowControl/>
        <w:rPr>
          <w:sz w:val="26"/>
          <w:szCs w:val="26"/>
        </w:rPr>
      </w:pPr>
    </w:p>
    <w:p w:rsidR="001C3404" w:rsidRDefault="001C3404" w:rsidP="006D154A">
      <w:pPr>
        <w:widowControl/>
        <w:rPr>
          <w:b/>
          <w:sz w:val="26"/>
          <w:szCs w:val="26"/>
        </w:rPr>
      </w:pPr>
      <w:r>
        <w:rPr>
          <w:sz w:val="26"/>
          <w:szCs w:val="26"/>
        </w:rPr>
        <w:t xml:space="preserve">The </w:t>
      </w:r>
      <w:r w:rsidR="006B7AF3">
        <w:rPr>
          <w:sz w:val="26"/>
          <w:szCs w:val="26"/>
        </w:rPr>
        <w:t xml:space="preserve">one-time compliance filings </w:t>
      </w:r>
      <w:r w:rsidR="00263752">
        <w:rPr>
          <w:sz w:val="26"/>
          <w:szCs w:val="26"/>
        </w:rPr>
        <w:t xml:space="preserve">proposed </w:t>
      </w:r>
      <w:r w:rsidR="003A4E6D">
        <w:rPr>
          <w:sz w:val="26"/>
          <w:szCs w:val="26"/>
        </w:rPr>
        <w:t xml:space="preserve">in the </w:t>
      </w:r>
      <w:r w:rsidR="0057347B">
        <w:rPr>
          <w:sz w:val="26"/>
          <w:szCs w:val="26"/>
        </w:rPr>
        <w:t>NOPR</w:t>
      </w:r>
      <w:r>
        <w:rPr>
          <w:sz w:val="26"/>
          <w:szCs w:val="26"/>
        </w:rPr>
        <w:t xml:space="preserve"> must be filed electronically.</w:t>
      </w:r>
    </w:p>
    <w:p w:rsidR="001C3404" w:rsidRDefault="00051566" w:rsidP="001C3404">
      <w:pPr>
        <w:tabs>
          <w:tab w:val="num" w:pos="0"/>
        </w:tabs>
        <w:spacing w:before="100" w:beforeAutospacing="1" w:after="240"/>
        <w:rPr>
          <w:sz w:val="26"/>
          <w:szCs w:val="26"/>
        </w:rPr>
      </w:pPr>
      <w:r>
        <w:rPr>
          <w:b/>
          <w:sz w:val="26"/>
          <w:szCs w:val="26"/>
        </w:rPr>
        <w:t xml:space="preserve">FERC-549C.  </w:t>
      </w:r>
      <w:r w:rsidR="001C3404">
        <w:rPr>
          <w:sz w:val="26"/>
          <w:szCs w:val="26"/>
        </w:rPr>
        <w:t>The FE</w:t>
      </w:r>
      <w:r w:rsidR="000143D2">
        <w:rPr>
          <w:sz w:val="26"/>
          <w:szCs w:val="26"/>
        </w:rPr>
        <w:t>RC-549C information collection will impact t</w:t>
      </w:r>
      <w:r w:rsidR="001C3404" w:rsidRPr="00E0344D">
        <w:rPr>
          <w:sz w:val="26"/>
          <w:szCs w:val="26"/>
        </w:rPr>
        <w:t xml:space="preserve">he proposed business standards, practices and procedures </w:t>
      </w:r>
      <w:r w:rsidR="000143D2">
        <w:rPr>
          <w:sz w:val="26"/>
          <w:szCs w:val="26"/>
        </w:rPr>
        <w:t xml:space="preserve">for the </w:t>
      </w:r>
      <w:r w:rsidR="001C3404" w:rsidRPr="00E0344D">
        <w:rPr>
          <w:sz w:val="26"/>
          <w:szCs w:val="26"/>
        </w:rPr>
        <w:t xml:space="preserve">day-to-day operations of major and a few non-major natural gas companies.  The business practice standards are designed to benefit all customers, including small businesses.  </w:t>
      </w:r>
      <w:r w:rsidR="003A4E6D">
        <w:rPr>
          <w:sz w:val="26"/>
          <w:szCs w:val="26"/>
        </w:rPr>
        <w:t>T</w:t>
      </w:r>
      <w:r w:rsidR="001C3404" w:rsidRPr="00E0344D">
        <w:rPr>
          <w:sz w:val="26"/>
          <w:szCs w:val="26"/>
        </w:rPr>
        <w:t>he Commission allows for extensions of time and for waivers of the business practice standards.  Such extensions or waivers are based upon a pipeline’s individual circumstances, including the size of the pipeline.  For smaller pipelines</w:t>
      </w:r>
      <w:r w:rsidR="001A3773">
        <w:rPr>
          <w:sz w:val="26"/>
          <w:szCs w:val="26"/>
        </w:rPr>
        <w:t>,</w:t>
      </w:r>
      <w:r w:rsidR="001C3404" w:rsidRPr="00E0344D">
        <w:rPr>
          <w:sz w:val="26"/>
          <w:szCs w:val="26"/>
        </w:rPr>
        <w:t xml:space="preserve"> the Commission </w:t>
      </w:r>
      <w:r w:rsidR="001C3404">
        <w:rPr>
          <w:sz w:val="26"/>
          <w:szCs w:val="26"/>
        </w:rPr>
        <w:t>has granted waivers of some of the standards w</w:t>
      </w:r>
      <w:r w:rsidR="001C3404" w:rsidRPr="00E0344D">
        <w:rPr>
          <w:sz w:val="26"/>
          <w:szCs w:val="26"/>
        </w:rPr>
        <w:t>hen such pipelines have shown that complying with such standards would prove unduly burdensome.</w:t>
      </w:r>
    </w:p>
    <w:p w:rsidR="00CA3B99" w:rsidRPr="00544199" w:rsidRDefault="00CA3B99" w:rsidP="00544199">
      <w:pPr>
        <w:pStyle w:val="ListParagraph"/>
        <w:widowControl/>
        <w:numPr>
          <w:ilvl w:val="0"/>
          <w:numId w:val="11"/>
        </w:numPr>
        <w:ind w:left="360"/>
        <w:rPr>
          <w:b/>
          <w:sz w:val="26"/>
          <w:szCs w:val="26"/>
        </w:rPr>
      </w:pPr>
      <w:r w:rsidRPr="00544199">
        <w:rPr>
          <w:b/>
          <w:sz w:val="26"/>
          <w:szCs w:val="26"/>
        </w:rPr>
        <w:t>CONSEQUENCE TO FEDERAL PROGRAM IF COLLECTION WERE CONDUCTED LESS FREQUENTLY</w:t>
      </w:r>
    </w:p>
    <w:p w:rsidR="00CA3B99" w:rsidRPr="00544199" w:rsidRDefault="00CA3B99" w:rsidP="00544199">
      <w:pPr>
        <w:widowControl/>
        <w:rPr>
          <w:b/>
          <w:sz w:val="26"/>
          <w:szCs w:val="26"/>
        </w:rPr>
      </w:pPr>
    </w:p>
    <w:p w:rsidR="001C3404" w:rsidRPr="004739F8" w:rsidRDefault="00870D92" w:rsidP="001C3404">
      <w:pPr>
        <w:widowControl/>
        <w:tabs>
          <w:tab w:val="left" w:pos="0"/>
        </w:tabs>
        <w:rPr>
          <w:sz w:val="26"/>
          <w:szCs w:val="26"/>
        </w:rPr>
      </w:pPr>
      <w:r w:rsidRPr="00443AA1">
        <w:rPr>
          <w:sz w:val="26"/>
          <w:szCs w:val="26"/>
        </w:rPr>
        <w:t>FERC-545</w:t>
      </w:r>
      <w:r w:rsidR="00611052">
        <w:rPr>
          <w:sz w:val="26"/>
          <w:szCs w:val="26"/>
        </w:rPr>
        <w:t>A</w:t>
      </w:r>
      <w:r w:rsidR="004739F8" w:rsidRPr="004739F8">
        <w:rPr>
          <w:sz w:val="26"/>
          <w:szCs w:val="26"/>
        </w:rPr>
        <w:t xml:space="preserve"> is a one-time compliance filing</w:t>
      </w:r>
      <w:r w:rsidR="00443AA1">
        <w:rPr>
          <w:sz w:val="26"/>
          <w:szCs w:val="26"/>
        </w:rPr>
        <w:t>, and FERC-549C is a one-time implementation plus ongoing operations</w:t>
      </w:r>
      <w:r w:rsidR="004739F8" w:rsidRPr="004739F8">
        <w:rPr>
          <w:sz w:val="26"/>
          <w:szCs w:val="26"/>
        </w:rPr>
        <w:t>.</w:t>
      </w:r>
      <w:r w:rsidR="00F55AC8">
        <w:rPr>
          <w:sz w:val="26"/>
          <w:szCs w:val="26"/>
        </w:rPr>
        <w:t xml:space="preserve">  Failure to collect the information would prohibit FERC </w:t>
      </w:r>
      <w:r w:rsidR="00443AA1">
        <w:rPr>
          <w:sz w:val="26"/>
          <w:szCs w:val="26"/>
        </w:rPr>
        <w:t xml:space="preserve">from properly monitoring and </w:t>
      </w:r>
      <w:proofErr w:type="gramStart"/>
      <w:r w:rsidR="00443AA1">
        <w:rPr>
          <w:sz w:val="26"/>
          <w:szCs w:val="26"/>
        </w:rPr>
        <w:t>evaluating  pipeline</w:t>
      </w:r>
      <w:proofErr w:type="gramEnd"/>
      <w:r w:rsidR="00443AA1">
        <w:rPr>
          <w:sz w:val="26"/>
          <w:szCs w:val="26"/>
        </w:rPr>
        <w:t xml:space="preserve"> transactions and meeting statutory obligations under NGPA and NGA.</w:t>
      </w:r>
    </w:p>
    <w:p w:rsidR="00CA3B99" w:rsidRPr="00544199" w:rsidRDefault="00CA3B99" w:rsidP="00544199">
      <w:pPr>
        <w:widowControl/>
        <w:rPr>
          <w:sz w:val="26"/>
          <w:szCs w:val="26"/>
        </w:rPr>
      </w:pPr>
    </w:p>
    <w:p w:rsidR="00CA3B99" w:rsidRPr="00544199" w:rsidRDefault="00CA3B99" w:rsidP="00950A39">
      <w:pPr>
        <w:widowControl/>
        <w:tabs>
          <w:tab w:val="left" w:pos="360"/>
        </w:tabs>
        <w:ind w:left="360" w:hanging="360"/>
        <w:rPr>
          <w:b/>
          <w:sz w:val="26"/>
          <w:szCs w:val="26"/>
        </w:rPr>
      </w:pPr>
      <w:r w:rsidRPr="00544199">
        <w:rPr>
          <w:b/>
          <w:sz w:val="26"/>
          <w:szCs w:val="26"/>
        </w:rPr>
        <w:lastRenderedPageBreak/>
        <w:t>7</w:t>
      </w:r>
      <w:r w:rsidRPr="00544199">
        <w:rPr>
          <w:sz w:val="26"/>
          <w:szCs w:val="26"/>
        </w:rPr>
        <w:t>.</w:t>
      </w:r>
      <w:r w:rsidRPr="00544199">
        <w:rPr>
          <w:sz w:val="26"/>
          <w:szCs w:val="26"/>
        </w:rPr>
        <w:tab/>
      </w:r>
      <w:r w:rsidRPr="00544199">
        <w:rPr>
          <w:b/>
          <w:sz w:val="26"/>
          <w:szCs w:val="26"/>
        </w:rPr>
        <w:t>EXPLAIN ANY SPECIAL CIRCUMSTANCES RELATING TO THE INFORMATION COLLECTION</w:t>
      </w:r>
    </w:p>
    <w:p w:rsidR="00CA3B99" w:rsidRPr="00544199" w:rsidRDefault="00CA3B99" w:rsidP="00544199">
      <w:pPr>
        <w:widowControl/>
        <w:tabs>
          <w:tab w:val="left" w:pos="0"/>
        </w:tabs>
        <w:rPr>
          <w:sz w:val="26"/>
          <w:szCs w:val="26"/>
        </w:rPr>
      </w:pPr>
    </w:p>
    <w:p w:rsidR="00CA3B99" w:rsidRDefault="00CA3B99" w:rsidP="006D154A">
      <w:pPr>
        <w:widowControl/>
        <w:tabs>
          <w:tab w:val="left" w:pos="0"/>
        </w:tabs>
        <w:rPr>
          <w:sz w:val="26"/>
          <w:szCs w:val="26"/>
        </w:rPr>
      </w:pPr>
      <w:r w:rsidRPr="001A3773">
        <w:rPr>
          <w:sz w:val="26"/>
          <w:szCs w:val="26"/>
        </w:rPr>
        <w:t xml:space="preserve">The </w:t>
      </w:r>
      <w:r w:rsidRPr="0064408F">
        <w:rPr>
          <w:sz w:val="26"/>
          <w:szCs w:val="26"/>
        </w:rPr>
        <w:t>FERC-545</w:t>
      </w:r>
      <w:r w:rsidR="00611052">
        <w:rPr>
          <w:sz w:val="26"/>
          <w:szCs w:val="26"/>
        </w:rPr>
        <w:t>A</w:t>
      </w:r>
      <w:r w:rsidR="006120E4" w:rsidRPr="0064408F">
        <w:rPr>
          <w:sz w:val="26"/>
          <w:szCs w:val="26"/>
        </w:rPr>
        <w:t xml:space="preserve"> and FERC-549C </w:t>
      </w:r>
      <w:r w:rsidRPr="001A3773">
        <w:rPr>
          <w:sz w:val="26"/>
          <w:szCs w:val="26"/>
        </w:rPr>
        <w:t>present</w:t>
      </w:r>
      <w:r w:rsidRPr="00544199">
        <w:rPr>
          <w:sz w:val="26"/>
          <w:szCs w:val="26"/>
        </w:rPr>
        <w:t xml:space="preserve"> no special circumstances.</w:t>
      </w:r>
    </w:p>
    <w:p w:rsidR="00CA3B99" w:rsidRPr="00544199" w:rsidRDefault="00CA3B99" w:rsidP="00544199">
      <w:pPr>
        <w:widowControl/>
        <w:rPr>
          <w:sz w:val="26"/>
          <w:szCs w:val="26"/>
        </w:rPr>
      </w:pPr>
    </w:p>
    <w:p w:rsidR="00CA3B99" w:rsidRPr="003A636B" w:rsidRDefault="00CA3B99" w:rsidP="00950A39">
      <w:pPr>
        <w:widowControl/>
        <w:ind w:left="360" w:hanging="360"/>
        <w:rPr>
          <w:b/>
          <w:sz w:val="26"/>
          <w:szCs w:val="26"/>
        </w:rPr>
      </w:pPr>
      <w:proofErr w:type="gramStart"/>
      <w:r w:rsidRPr="003A636B">
        <w:rPr>
          <w:b/>
          <w:sz w:val="26"/>
          <w:szCs w:val="26"/>
        </w:rPr>
        <w:t>8.DESCRIBE</w:t>
      </w:r>
      <w:proofErr w:type="gramEnd"/>
      <w:r w:rsidRPr="003A636B">
        <w:rPr>
          <w:b/>
          <w:sz w:val="26"/>
          <w:szCs w:val="26"/>
        </w:rPr>
        <w:t xml:space="preserve"> EFFORTS TO CONSULT OUTSIDE THE AGENCY:  SUMMARIZE PUBLIC COMMENTS AND THE AGENCY’S RESPONSE TO THESE COMMENTS</w:t>
      </w:r>
    </w:p>
    <w:p w:rsidR="00AF3989" w:rsidRDefault="00AF3989" w:rsidP="00AF3989">
      <w:pPr>
        <w:widowControl/>
        <w:tabs>
          <w:tab w:val="left" w:pos="-1440"/>
        </w:tabs>
        <w:ind w:left="720" w:hanging="720"/>
        <w:rPr>
          <w:sz w:val="26"/>
          <w:szCs w:val="26"/>
        </w:rPr>
      </w:pPr>
    </w:p>
    <w:p w:rsidR="007D1BDE" w:rsidRDefault="007D1BDE" w:rsidP="00AF3989">
      <w:pPr>
        <w:widowControl/>
        <w:tabs>
          <w:tab w:val="left" w:pos="-1440"/>
        </w:tabs>
        <w:ind w:left="720" w:hanging="720"/>
        <w:rPr>
          <w:sz w:val="26"/>
          <w:szCs w:val="26"/>
        </w:rPr>
      </w:pPr>
      <w:r>
        <w:rPr>
          <w:sz w:val="26"/>
          <w:szCs w:val="26"/>
        </w:rPr>
        <w:t>As stated by NAESB in its submittal to FERC on 11/14/2014</w:t>
      </w:r>
      <w:r w:rsidR="001E3EFC">
        <w:rPr>
          <w:sz w:val="26"/>
          <w:szCs w:val="26"/>
        </w:rPr>
        <w:t>:</w:t>
      </w:r>
      <w:r w:rsidR="001E3EFC">
        <w:rPr>
          <w:rStyle w:val="FootnoteReference"/>
          <w:sz w:val="26"/>
          <w:szCs w:val="26"/>
        </w:rPr>
        <w:footnoteReference w:id="7"/>
      </w:r>
    </w:p>
    <w:p w:rsidR="001E3EFC" w:rsidRDefault="001E3EFC" w:rsidP="001E3EFC">
      <w:pPr>
        <w:widowControl/>
        <w:tabs>
          <w:tab w:val="left" w:pos="-1440"/>
        </w:tabs>
        <w:ind w:left="720"/>
        <w:rPr>
          <w:sz w:val="26"/>
          <w:szCs w:val="26"/>
        </w:rPr>
      </w:pPr>
      <w:r>
        <w:rPr>
          <w:sz w:val="26"/>
          <w:szCs w:val="26"/>
        </w:rPr>
        <w:t>“</w:t>
      </w:r>
      <w:r w:rsidRPr="001E3EFC">
        <w:rPr>
          <w:sz w:val="26"/>
          <w:szCs w:val="26"/>
        </w:rPr>
        <w:t xml:space="preserve">These standards build upon and supplement NAESB WGQ Version 2.1 Standards submitted to the Commission on July 23, 2013 and have not been the subject of Commission action. </w:t>
      </w:r>
      <w:r w:rsidR="00561278">
        <w:rPr>
          <w:sz w:val="26"/>
          <w:szCs w:val="26"/>
        </w:rPr>
        <w:t xml:space="preserve"> </w:t>
      </w:r>
      <w:r w:rsidRPr="001E3EFC">
        <w:rPr>
          <w:sz w:val="26"/>
          <w:szCs w:val="26"/>
        </w:rPr>
        <w:t xml:space="preserve">The development efforts in NAESB reflect the work of multiple market interests and some of the standards development activities that produced Version 3.0 had considerable industry debate before consensus was reached on the level of standardization and the text of the standards included. </w:t>
      </w:r>
      <w:r w:rsidR="00561278">
        <w:rPr>
          <w:sz w:val="26"/>
          <w:szCs w:val="26"/>
        </w:rPr>
        <w:t xml:space="preserve"> </w:t>
      </w:r>
      <w:r w:rsidRPr="001E3EFC">
        <w:rPr>
          <w:sz w:val="26"/>
          <w:szCs w:val="26"/>
        </w:rPr>
        <w:t xml:space="preserve">As stated in previous reports, NAESB supports a wide range of perspectives through a public process permitting all segments of the marketplace, regardless of membership status in NAESB, to equally voice their positions. </w:t>
      </w:r>
      <w:r w:rsidR="00561278">
        <w:rPr>
          <w:sz w:val="26"/>
          <w:szCs w:val="26"/>
        </w:rPr>
        <w:t xml:space="preserve"> </w:t>
      </w:r>
      <w:r w:rsidRPr="001E3EFC">
        <w:rPr>
          <w:sz w:val="26"/>
          <w:szCs w:val="26"/>
        </w:rPr>
        <w:t>As part of that process, balanced voting allows a disparate group to move towards consensus.</w:t>
      </w:r>
      <w:r>
        <w:rPr>
          <w:sz w:val="26"/>
          <w:szCs w:val="26"/>
        </w:rPr>
        <w:t>”</w:t>
      </w:r>
    </w:p>
    <w:p w:rsidR="001E3EFC" w:rsidRDefault="001E3EFC" w:rsidP="001E3EFC">
      <w:pPr>
        <w:widowControl/>
        <w:tabs>
          <w:tab w:val="left" w:pos="-1440"/>
        </w:tabs>
        <w:ind w:left="720"/>
        <w:rPr>
          <w:sz w:val="26"/>
          <w:szCs w:val="26"/>
        </w:rPr>
      </w:pPr>
    </w:p>
    <w:p w:rsidR="001E3EFC" w:rsidRDefault="001E3EFC" w:rsidP="001E3EFC">
      <w:pPr>
        <w:widowControl/>
        <w:tabs>
          <w:tab w:val="left" w:pos="-1440"/>
        </w:tabs>
        <w:rPr>
          <w:sz w:val="26"/>
          <w:szCs w:val="26"/>
        </w:rPr>
      </w:pPr>
      <w:r>
        <w:rPr>
          <w:sz w:val="26"/>
          <w:szCs w:val="26"/>
        </w:rPr>
        <w:t>In addition, FERC is providing an opportunity for public comment through this NOPR.</w:t>
      </w:r>
    </w:p>
    <w:p w:rsidR="007D1BDE" w:rsidRDefault="007D1BDE" w:rsidP="00AF3989">
      <w:pPr>
        <w:widowControl/>
        <w:tabs>
          <w:tab w:val="left" w:pos="-1440"/>
        </w:tabs>
        <w:ind w:left="720" w:hanging="720"/>
        <w:rPr>
          <w:sz w:val="26"/>
          <w:szCs w:val="26"/>
        </w:rPr>
      </w:pPr>
    </w:p>
    <w:p w:rsidR="00CA3B99" w:rsidRPr="003A636B" w:rsidRDefault="00CA3B99" w:rsidP="00950A39">
      <w:pPr>
        <w:widowControl/>
        <w:ind w:left="360" w:hanging="360"/>
        <w:rPr>
          <w:b/>
          <w:sz w:val="26"/>
          <w:szCs w:val="26"/>
        </w:rPr>
      </w:pPr>
      <w:r w:rsidRPr="003A636B">
        <w:rPr>
          <w:b/>
          <w:sz w:val="26"/>
          <w:szCs w:val="26"/>
        </w:rPr>
        <w:t>9.</w:t>
      </w:r>
      <w:r w:rsidRPr="003A636B">
        <w:rPr>
          <w:sz w:val="26"/>
          <w:szCs w:val="26"/>
        </w:rPr>
        <w:t xml:space="preserve"> </w:t>
      </w:r>
      <w:r w:rsidRPr="003A636B">
        <w:rPr>
          <w:b/>
          <w:sz w:val="26"/>
          <w:szCs w:val="26"/>
        </w:rPr>
        <w:t>EXPLAIN ANY PAYMENT OR GIFTS TO RESPONDENTS</w:t>
      </w:r>
    </w:p>
    <w:p w:rsidR="00CA3B99" w:rsidRPr="003A636B" w:rsidRDefault="00CA3B99" w:rsidP="003A636B">
      <w:pPr>
        <w:widowControl/>
        <w:ind w:firstLine="720"/>
        <w:rPr>
          <w:sz w:val="26"/>
          <w:szCs w:val="26"/>
        </w:rPr>
      </w:pPr>
    </w:p>
    <w:p w:rsidR="00CA3B99" w:rsidRPr="003A636B" w:rsidRDefault="00CA3B99" w:rsidP="003A636B">
      <w:pPr>
        <w:widowControl/>
        <w:rPr>
          <w:sz w:val="26"/>
          <w:szCs w:val="26"/>
        </w:rPr>
      </w:pPr>
      <w:proofErr w:type="gramStart"/>
      <w:r>
        <w:rPr>
          <w:b/>
          <w:sz w:val="26"/>
          <w:szCs w:val="26"/>
        </w:rPr>
        <w:t>FERC-545</w:t>
      </w:r>
      <w:r w:rsidR="00603004">
        <w:rPr>
          <w:b/>
          <w:sz w:val="26"/>
          <w:szCs w:val="26"/>
        </w:rPr>
        <w:t>A</w:t>
      </w:r>
      <w:r>
        <w:rPr>
          <w:b/>
          <w:sz w:val="26"/>
          <w:szCs w:val="26"/>
        </w:rPr>
        <w:t xml:space="preserve"> and FERC-549</w:t>
      </w:r>
      <w:r w:rsidR="003C00C5">
        <w:rPr>
          <w:b/>
          <w:sz w:val="26"/>
          <w:szCs w:val="26"/>
        </w:rPr>
        <w:t>C</w:t>
      </w:r>
      <w:r>
        <w:rPr>
          <w:b/>
          <w:sz w:val="26"/>
          <w:szCs w:val="26"/>
        </w:rPr>
        <w:t>.</w:t>
      </w:r>
      <w:proofErr w:type="gramEnd"/>
      <w:r>
        <w:rPr>
          <w:b/>
          <w:sz w:val="26"/>
          <w:szCs w:val="26"/>
        </w:rPr>
        <w:t xml:space="preserve">  </w:t>
      </w:r>
      <w:r w:rsidRPr="003A636B">
        <w:rPr>
          <w:sz w:val="26"/>
          <w:szCs w:val="26"/>
        </w:rPr>
        <w:t>There are no payments or gifts to respondents.</w:t>
      </w:r>
    </w:p>
    <w:p w:rsidR="00CA3B99" w:rsidRPr="003A636B" w:rsidRDefault="00CA3B99" w:rsidP="003A636B">
      <w:pPr>
        <w:widowControl/>
        <w:ind w:firstLine="720"/>
        <w:rPr>
          <w:sz w:val="26"/>
          <w:szCs w:val="26"/>
        </w:rPr>
      </w:pPr>
    </w:p>
    <w:p w:rsidR="00CA3B99" w:rsidRPr="003A636B" w:rsidRDefault="00CA3B99" w:rsidP="00950A39">
      <w:pPr>
        <w:widowControl/>
        <w:ind w:left="360" w:hanging="360"/>
        <w:rPr>
          <w:b/>
          <w:sz w:val="26"/>
          <w:szCs w:val="26"/>
        </w:rPr>
      </w:pPr>
      <w:r w:rsidRPr="003A636B">
        <w:rPr>
          <w:b/>
          <w:sz w:val="26"/>
          <w:szCs w:val="26"/>
        </w:rPr>
        <w:t>10</w:t>
      </w:r>
      <w:proofErr w:type="gramStart"/>
      <w:r w:rsidRPr="003A636B">
        <w:rPr>
          <w:b/>
          <w:sz w:val="26"/>
          <w:szCs w:val="26"/>
        </w:rPr>
        <w:t>.DESCRIBE</w:t>
      </w:r>
      <w:proofErr w:type="gramEnd"/>
      <w:r w:rsidRPr="003A636B">
        <w:rPr>
          <w:b/>
          <w:sz w:val="26"/>
          <w:szCs w:val="26"/>
        </w:rPr>
        <w:t xml:space="preserve"> ANY ASSURANCE OF CONFIDENTIALITY PROVIDED TO RESPONDENTS</w:t>
      </w:r>
    </w:p>
    <w:p w:rsidR="00CA3B99" w:rsidRPr="003A636B" w:rsidRDefault="00CA3B99" w:rsidP="003A636B">
      <w:pPr>
        <w:widowControl/>
        <w:rPr>
          <w:sz w:val="26"/>
          <w:szCs w:val="26"/>
        </w:rPr>
      </w:pPr>
    </w:p>
    <w:p w:rsidR="00CA3B99" w:rsidRPr="003A636B" w:rsidRDefault="00CA3B99" w:rsidP="00C60F8F">
      <w:pPr>
        <w:widowControl/>
        <w:rPr>
          <w:sz w:val="26"/>
          <w:szCs w:val="26"/>
        </w:rPr>
      </w:pPr>
      <w:proofErr w:type="gramStart"/>
      <w:r>
        <w:rPr>
          <w:b/>
          <w:sz w:val="26"/>
          <w:szCs w:val="26"/>
        </w:rPr>
        <w:t>FERC-545</w:t>
      </w:r>
      <w:r w:rsidR="00603004">
        <w:rPr>
          <w:b/>
          <w:sz w:val="26"/>
          <w:szCs w:val="26"/>
        </w:rPr>
        <w:t>A</w:t>
      </w:r>
      <w:r>
        <w:rPr>
          <w:b/>
          <w:sz w:val="26"/>
          <w:szCs w:val="26"/>
        </w:rPr>
        <w:t xml:space="preserve"> and FERC-549</w:t>
      </w:r>
      <w:r w:rsidR="00492622">
        <w:rPr>
          <w:b/>
          <w:sz w:val="26"/>
          <w:szCs w:val="26"/>
        </w:rPr>
        <w:t>C</w:t>
      </w:r>
      <w:r>
        <w:rPr>
          <w:b/>
          <w:sz w:val="26"/>
          <w:szCs w:val="26"/>
        </w:rPr>
        <w:t>.</w:t>
      </w:r>
      <w:proofErr w:type="gramEnd"/>
      <w:r>
        <w:rPr>
          <w:b/>
          <w:sz w:val="26"/>
          <w:szCs w:val="26"/>
        </w:rPr>
        <w:t xml:space="preserve">  </w:t>
      </w:r>
      <w:r w:rsidRPr="003A636B">
        <w:rPr>
          <w:sz w:val="26"/>
          <w:szCs w:val="26"/>
        </w:rPr>
        <w:t xml:space="preserve">The data </w:t>
      </w:r>
      <w:r>
        <w:rPr>
          <w:sz w:val="26"/>
          <w:szCs w:val="26"/>
        </w:rPr>
        <w:t>are public.</w:t>
      </w:r>
      <w:r w:rsidRPr="003A636B">
        <w:rPr>
          <w:sz w:val="26"/>
          <w:szCs w:val="26"/>
        </w:rPr>
        <w:t xml:space="preserve">  </w:t>
      </w:r>
      <w:r>
        <w:rPr>
          <w:sz w:val="26"/>
          <w:szCs w:val="26"/>
        </w:rPr>
        <w:t>In general, for all submittals to the Commission, filers may submit</w:t>
      </w:r>
      <w:r w:rsidRPr="003A636B">
        <w:rPr>
          <w:sz w:val="26"/>
          <w:szCs w:val="26"/>
        </w:rPr>
        <w:t xml:space="preserve"> specific requests for confidential treatment to the extent permitted by law</w:t>
      </w:r>
      <w:r>
        <w:rPr>
          <w:sz w:val="26"/>
          <w:szCs w:val="26"/>
        </w:rPr>
        <w:t xml:space="preserve">; details are available in </w:t>
      </w:r>
      <w:r w:rsidRPr="003A636B">
        <w:rPr>
          <w:sz w:val="26"/>
          <w:szCs w:val="26"/>
        </w:rPr>
        <w:t>18 C.F.R. Section 388.112.</w:t>
      </w:r>
    </w:p>
    <w:p w:rsidR="00CA3B99" w:rsidRPr="003A636B" w:rsidRDefault="00CA3B99" w:rsidP="003A636B">
      <w:pPr>
        <w:widowControl/>
        <w:ind w:firstLine="720"/>
        <w:rPr>
          <w:sz w:val="26"/>
          <w:szCs w:val="26"/>
        </w:rPr>
      </w:pPr>
    </w:p>
    <w:p w:rsidR="00020486" w:rsidRPr="00020486" w:rsidRDefault="00CA3B99" w:rsidP="00020486">
      <w:pPr>
        <w:widowControl/>
        <w:tabs>
          <w:tab w:val="left" w:pos="360"/>
        </w:tabs>
        <w:ind w:left="360" w:hanging="360"/>
        <w:rPr>
          <w:b/>
          <w:sz w:val="26"/>
          <w:szCs w:val="26"/>
        </w:rPr>
      </w:pPr>
      <w:r w:rsidRPr="003A636B">
        <w:rPr>
          <w:b/>
          <w:sz w:val="26"/>
          <w:szCs w:val="26"/>
        </w:rPr>
        <w:t>11</w:t>
      </w:r>
      <w:proofErr w:type="gramStart"/>
      <w:r w:rsidRPr="003A636B">
        <w:rPr>
          <w:b/>
          <w:sz w:val="26"/>
          <w:szCs w:val="26"/>
        </w:rPr>
        <w:t>.</w:t>
      </w:r>
      <w:r w:rsidR="00020486" w:rsidRPr="00020486">
        <w:rPr>
          <w:b/>
          <w:sz w:val="26"/>
          <w:szCs w:val="26"/>
        </w:rPr>
        <w:t>PROVIDE</w:t>
      </w:r>
      <w:proofErr w:type="gramEnd"/>
      <w:r w:rsidR="00020486" w:rsidRPr="00020486">
        <w:rPr>
          <w:b/>
          <w:sz w:val="26"/>
          <w:szCs w:val="26"/>
        </w:rPr>
        <w:t xml:space="preserve"> ADDITIONAL JUSTIFICATION FOR ANY QUESTIONS OF A SENSITIVE NATURE, SUCH AS SEXUAL BEHAVIOR AND ATTITUDES, RELIGIOUS BELIEFS, AND OTHER MATTERS THAT ARE COMMONLY CONSIDERED PRIVATE.</w:t>
      </w:r>
    </w:p>
    <w:p w:rsidR="00020486" w:rsidRPr="00020486" w:rsidRDefault="00020486" w:rsidP="00020486">
      <w:pPr>
        <w:widowControl/>
        <w:tabs>
          <w:tab w:val="left" w:pos="360"/>
        </w:tabs>
        <w:ind w:left="360" w:hanging="360"/>
        <w:rPr>
          <w:b/>
          <w:sz w:val="26"/>
          <w:szCs w:val="26"/>
        </w:rPr>
      </w:pPr>
    </w:p>
    <w:p w:rsidR="00CA3B99" w:rsidRDefault="00020486" w:rsidP="00381025">
      <w:pPr>
        <w:widowControl/>
        <w:rPr>
          <w:sz w:val="26"/>
          <w:szCs w:val="26"/>
        </w:rPr>
      </w:pPr>
      <w:r w:rsidRPr="0012752D">
        <w:rPr>
          <w:sz w:val="26"/>
          <w:szCs w:val="26"/>
        </w:rPr>
        <w:t xml:space="preserve">There are no questions of a sensitive nature in the </w:t>
      </w:r>
      <w:r w:rsidR="00561278">
        <w:rPr>
          <w:sz w:val="26"/>
          <w:szCs w:val="26"/>
        </w:rPr>
        <w:t xml:space="preserve">proposed </w:t>
      </w:r>
      <w:r w:rsidRPr="0012752D">
        <w:rPr>
          <w:sz w:val="26"/>
          <w:szCs w:val="26"/>
        </w:rPr>
        <w:t>reporting requirements.</w:t>
      </w:r>
    </w:p>
    <w:p w:rsidR="0012752D" w:rsidRPr="003A636B" w:rsidRDefault="0012752D" w:rsidP="00381025">
      <w:pPr>
        <w:widowControl/>
        <w:rPr>
          <w:sz w:val="26"/>
          <w:szCs w:val="26"/>
        </w:rPr>
      </w:pPr>
    </w:p>
    <w:p w:rsidR="00CA3B99" w:rsidRDefault="00CA3B99" w:rsidP="00950A39">
      <w:pPr>
        <w:widowControl/>
        <w:tabs>
          <w:tab w:val="left" w:pos="360"/>
        </w:tabs>
        <w:ind w:left="360" w:hanging="360"/>
        <w:rPr>
          <w:b/>
          <w:sz w:val="26"/>
          <w:szCs w:val="26"/>
        </w:rPr>
      </w:pPr>
      <w:r w:rsidRPr="003A636B">
        <w:rPr>
          <w:b/>
          <w:sz w:val="26"/>
          <w:szCs w:val="26"/>
        </w:rPr>
        <w:t>12</w:t>
      </w:r>
      <w:proofErr w:type="gramStart"/>
      <w:r w:rsidRPr="003A636B">
        <w:rPr>
          <w:b/>
          <w:sz w:val="26"/>
          <w:szCs w:val="26"/>
        </w:rPr>
        <w:t>.ESTIMATED</w:t>
      </w:r>
      <w:proofErr w:type="gramEnd"/>
      <w:r w:rsidRPr="003A636B">
        <w:rPr>
          <w:b/>
          <w:sz w:val="26"/>
          <w:szCs w:val="26"/>
        </w:rPr>
        <w:t xml:space="preserve"> BURDEN OF COLLECTION OF INFORMATION</w:t>
      </w:r>
    </w:p>
    <w:p w:rsidR="00FC26AD" w:rsidRDefault="00FC26AD" w:rsidP="00950A39">
      <w:pPr>
        <w:widowControl/>
        <w:tabs>
          <w:tab w:val="left" w:pos="360"/>
        </w:tabs>
        <w:ind w:left="360" w:hanging="360"/>
        <w:rPr>
          <w:b/>
          <w:sz w:val="26"/>
          <w:szCs w:val="26"/>
        </w:rPr>
      </w:pPr>
    </w:p>
    <w:p w:rsidR="00FC26AD" w:rsidRPr="00FC26AD" w:rsidRDefault="00CB41CE" w:rsidP="00FC26AD">
      <w:pPr>
        <w:pStyle w:val="FERCparanumber"/>
        <w:numPr>
          <w:ilvl w:val="0"/>
          <w:numId w:val="0"/>
        </w:numPr>
        <w:spacing w:line="240" w:lineRule="auto"/>
      </w:pPr>
      <w:proofErr w:type="gramStart"/>
      <w:r>
        <w:rPr>
          <w:b/>
          <w:szCs w:val="26"/>
        </w:rPr>
        <w:t xml:space="preserve">Changes due to the </w:t>
      </w:r>
      <w:r w:rsidR="0057347B">
        <w:rPr>
          <w:b/>
          <w:szCs w:val="26"/>
        </w:rPr>
        <w:t>NOPR</w:t>
      </w:r>
      <w:r>
        <w:rPr>
          <w:b/>
          <w:szCs w:val="26"/>
        </w:rPr>
        <w:t xml:space="preserve"> in </w:t>
      </w:r>
      <w:r w:rsidR="0057347B">
        <w:rPr>
          <w:b/>
          <w:szCs w:val="26"/>
        </w:rPr>
        <w:t>RM96-1-038</w:t>
      </w:r>
      <w:r>
        <w:rPr>
          <w:b/>
          <w:szCs w:val="26"/>
        </w:rPr>
        <w:t>.</w:t>
      </w:r>
      <w:proofErr w:type="gramEnd"/>
      <w:r>
        <w:rPr>
          <w:b/>
          <w:szCs w:val="26"/>
        </w:rPr>
        <w:t xml:space="preserve">  </w:t>
      </w:r>
      <w:r w:rsidR="00FC26AD" w:rsidRPr="00FC26AD">
        <w:t xml:space="preserve">The following estimates of reporting burden are related only to this NOPR </w:t>
      </w:r>
      <w:r w:rsidR="00FC26AD">
        <w:t xml:space="preserve">in RM96-1-038 </w:t>
      </w:r>
      <w:r w:rsidR="00FC26AD" w:rsidRPr="00FC26AD">
        <w:t>and anticipate the costs to pipelines for compliance with the Commission’s proposals in this NOPR.</w:t>
      </w:r>
      <w:r w:rsidR="00FC26AD" w:rsidRPr="00FC26AD">
        <w:rPr>
          <w:b/>
          <w:szCs w:val="26"/>
          <w:vertAlign w:val="superscript"/>
        </w:rPr>
        <w:footnoteReference w:id="8"/>
      </w:r>
      <w:r w:rsidR="00FC26AD" w:rsidRPr="00FC26AD">
        <w:t xml:space="preserve">  The burden estimates are primarily related to start-up to implement these standards and regulations and will not result in ongoing costs.</w:t>
      </w:r>
    </w:p>
    <w:tbl>
      <w:tblPr>
        <w:tblW w:w="5357"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
        <w:gridCol w:w="1840"/>
        <w:gridCol w:w="1840"/>
        <w:gridCol w:w="1741"/>
        <w:gridCol w:w="1355"/>
        <w:gridCol w:w="1547"/>
        <w:gridCol w:w="1646"/>
      </w:tblGrid>
      <w:tr w:rsidR="00FC26AD" w:rsidRPr="00FC26AD" w:rsidTr="00173CD5">
        <w:trPr>
          <w:cantSplit/>
        </w:trPr>
        <w:tc>
          <w:tcPr>
            <w:tcW w:w="5000" w:type="pct"/>
            <w:gridSpan w:val="7"/>
            <w:tcBorders>
              <w:bottom w:val="single" w:sz="4" w:space="0" w:color="auto"/>
            </w:tcBorders>
            <w:shd w:val="clear" w:color="auto" w:fill="D9D9D9"/>
          </w:tcPr>
          <w:p w:rsidR="00FC26AD" w:rsidRPr="00FC26AD" w:rsidRDefault="00FC26AD" w:rsidP="00FC26AD">
            <w:pPr>
              <w:jc w:val="center"/>
              <w:rPr>
                <w:sz w:val="26"/>
              </w:rPr>
            </w:pPr>
            <w:r>
              <w:rPr>
                <w:rFonts w:eastAsia="Calibri"/>
                <w:sz w:val="26"/>
              </w:rPr>
              <w:t xml:space="preserve">One-Time Effects of NOPR in Docket </w:t>
            </w:r>
            <w:r w:rsidRPr="00FC26AD">
              <w:rPr>
                <w:rFonts w:eastAsia="Calibri"/>
                <w:sz w:val="26"/>
              </w:rPr>
              <w:t>RM96-1-038</w:t>
            </w:r>
            <w:r w:rsidR="009D36BD">
              <w:rPr>
                <w:rFonts w:eastAsia="Calibri"/>
                <w:sz w:val="26"/>
              </w:rPr>
              <w:t xml:space="preserve"> (rounded)</w:t>
            </w:r>
          </w:p>
          <w:p w:rsidR="00FC26AD" w:rsidRPr="00FC26AD" w:rsidRDefault="00FC26AD" w:rsidP="00FC26AD">
            <w:pPr>
              <w:rPr>
                <w:rFonts w:eastAsia="Calibri"/>
                <w:sz w:val="26"/>
              </w:rPr>
            </w:pPr>
          </w:p>
        </w:tc>
      </w:tr>
      <w:tr w:rsidR="00FC26AD" w:rsidRPr="00FC26AD" w:rsidTr="00173CD5">
        <w:trPr>
          <w:cantSplit/>
        </w:trPr>
        <w:tc>
          <w:tcPr>
            <w:tcW w:w="482" w:type="pct"/>
            <w:shd w:val="clear" w:color="auto" w:fill="D9D9D9"/>
          </w:tcPr>
          <w:p w:rsidR="00FC26AD" w:rsidRPr="00FC26AD" w:rsidRDefault="00FC26AD" w:rsidP="00FC26AD">
            <w:pPr>
              <w:jc w:val="center"/>
              <w:rPr>
                <w:rFonts w:eastAsia="Calibri"/>
                <w:b/>
                <w:sz w:val="26"/>
                <w:szCs w:val="20"/>
              </w:rPr>
            </w:pPr>
          </w:p>
        </w:tc>
        <w:tc>
          <w:tcPr>
            <w:tcW w:w="834" w:type="pct"/>
            <w:shd w:val="clear" w:color="auto" w:fill="D9D9D9"/>
            <w:vAlign w:val="bottom"/>
          </w:tcPr>
          <w:p w:rsidR="00FC26AD" w:rsidRPr="00FC26AD" w:rsidRDefault="00FC26AD" w:rsidP="00FC26AD">
            <w:pPr>
              <w:jc w:val="center"/>
              <w:rPr>
                <w:rFonts w:eastAsia="Calibri"/>
                <w:b/>
                <w:sz w:val="26"/>
                <w:szCs w:val="20"/>
              </w:rPr>
            </w:pPr>
            <w:r w:rsidRPr="00FC26AD">
              <w:rPr>
                <w:rFonts w:eastAsia="Calibri"/>
                <w:b/>
                <w:sz w:val="26"/>
                <w:szCs w:val="20"/>
              </w:rPr>
              <w:t>Number of Respondents</w:t>
            </w:r>
            <w:r w:rsidRPr="00FC26AD">
              <w:rPr>
                <w:rFonts w:eastAsia="Calibri"/>
                <w:b/>
                <w:sz w:val="26"/>
                <w:szCs w:val="26"/>
                <w:vertAlign w:val="superscript"/>
              </w:rPr>
              <w:footnoteReference w:id="9"/>
            </w:r>
          </w:p>
          <w:p w:rsidR="00FC26AD" w:rsidRPr="00FC26AD" w:rsidRDefault="00FC26AD" w:rsidP="00FC26AD">
            <w:pPr>
              <w:jc w:val="center"/>
              <w:rPr>
                <w:rFonts w:eastAsia="Calibri"/>
                <w:b/>
                <w:sz w:val="26"/>
                <w:szCs w:val="20"/>
              </w:rPr>
            </w:pPr>
            <w:r w:rsidRPr="00FC26AD">
              <w:rPr>
                <w:rFonts w:eastAsia="Calibri"/>
                <w:b/>
                <w:sz w:val="26"/>
                <w:szCs w:val="20"/>
              </w:rPr>
              <w:t>(1)</w:t>
            </w:r>
          </w:p>
        </w:tc>
        <w:tc>
          <w:tcPr>
            <w:tcW w:w="834" w:type="pct"/>
            <w:shd w:val="clear" w:color="auto" w:fill="D9D9D9"/>
            <w:vAlign w:val="bottom"/>
          </w:tcPr>
          <w:p w:rsidR="00FC26AD" w:rsidRPr="00FC26AD" w:rsidRDefault="00FC26AD" w:rsidP="00FC26AD">
            <w:pPr>
              <w:jc w:val="center"/>
              <w:rPr>
                <w:rFonts w:eastAsia="Calibri"/>
                <w:b/>
                <w:sz w:val="26"/>
                <w:szCs w:val="20"/>
              </w:rPr>
            </w:pPr>
            <w:r w:rsidRPr="00FC26AD">
              <w:rPr>
                <w:rFonts w:eastAsia="Calibri"/>
                <w:b/>
                <w:sz w:val="26"/>
                <w:szCs w:val="20"/>
              </w:rPr>
              <w:t>Annual Number of Responses per Respondent</w:t>
            </w:r>
          </w:p>
          <w:p w:rsidR="00FC26AD" w:rsidRPr="00FC26AD" w:rsidRDefault="00FC26AD" w:rsidP="00FC26AD">
            <w:pPr>
              <w:jc w:val="center"/>
              <w:rPr>
                <w:rFonts w:eastAsia="Calibri"/>
                <w:b/>
                <w:sz w:val="26"/>
                <w:szCs w:val="20"/>
              </w:rPr>
            </w:pPr>
            <w:r w:rsidRPr="00FC26AD">
              <w:rPr>
                <w:rFonts w:eastAsia="Calibri"/>
                <w:b/>
                <w:sz w:val="26"/>
                <w:szCs w:val="20"/>
              </w:rPr>
              <w:t>(2)</w:t>
            </w:r>
          </w:p>
        </w:tc>
        <w:tc>
          <w:tcPr>
            <w:tcW w:w="789" w:type="pct"/>
            <w:shd w:val="clear" w:color="auto" w:fill="D9D9D9"/>
            <w:vAlign w:val="bottom"/>
          </w:tcPr>
          <w:p w:rsidR="00FC26AD" w:rsidRPr="00FC26AD" w:rsidRDefault="00FC26AD" w:rsidP="00FC26AD">
            <w:pPr>
              <w:jc w:val="center"/>
              <w:rPr>
                <w:rFonts w:eastAsia="Calibri"/>
                <w:b/>
                <w:sz w:val="26"/>
                <w:szCs w:val="20"/>
              </w:rPr>
            </w:pPr>
            <w:r w:rsidRPr="00FC26AD">
              <w:rPr>
                <w:rFonts w:eastAsia="Calibri"/>
                <w:b/>
                <w:sz w:val="26"/>
                <w:szCs w:val="20"/>
              </w:rPr>
              <w:t>Total Number of Responses (1)*(2)=</w:t>
            </w:r>
          </w:p>
          <w:p w:rsidR="00FC26AD" w:rsidRPr="00FC26AD" w:rsidRDefault="00FC26AD" w:rsidP="00FC26AD">
            <w:pPr>
              <w:jc w:val="center"/>
              <w:rPr>
                <w:rFonts w:eastAsia="Calibri"/>
                <w:b/>
                <w:sz w:val="26"/>
                <w:szCs w:val="20"/>
              </w:rPr>
            </w:pPr>
            <w:r w:rsidRPr="00FC26AD">
              <w:rPr>
                <w:rFonts w:eastAsia="Calibri"/>
                <w:b/>
                <w:sz w:val="26"/>
                <w:szCs w:val="20"/>
              </w:rPr>
              <w:t>(3)</w:t>
            </w:r>
          </w:p>
        </w:tc>
        <w:tc>
          <w:tcPr>
            <w:tcW w:w="614" w:type="pct"/>
            <w:shd w:val="clear" w:color="auto" w:fill="D9D9D9"/>
            <w:vAlign w:val="bottom"/>
          </w:tcPr>
          <w:p w:rsidR="00FC26AD" w:rsidRPr="00FC26AD" w:rsidRDefault="00FC26AD" w:rsidP="00FC26AD">
            <w:pPr>
              <w:jc w:val="center"/>
              <w:rPr>
                <w:rFonts w:eastAsia="Calibri"/>
                <w:b/>
                <w:sz w:val="26"/>
                <w:szCs w:val="20"/>
              </w:rPr>
            </w:pPr>
            <w:r w:rsidRPr="00FC26AD">
              <w:rPr>
                <w:rFonts w:eastAsia="Calibri"/>
                <w:b/>
                <w:sz w:val="26"/>
                <w:szCs w:val="20"/>
              </w:rPr>
              <w:t>Average Burden &amp; Cost Per Response</w:t>
            </w:r>
          </w:p>
          <w:p w:rsidR="00FC26AD" w:rsidRPr="00FC26AD" w:rsidRDefault="00FC26AD" w:rsidP="00FC26AD">
            <w:pPr>
              <w:jc w:val="center"/>
              <w:rPr>
                <w:rFonts w:eastAsia="Calibri"/>
                <w:b/>
                <w:sz w:val="26"/>
                <w:szCs w:val="20"/>
              </w:rPr>
            </w:pPr>
            <w:r w:rsidRPr="00FC26AD">
              <w:rPr>
                <w:rFonts w:eastAsia="Calibri"/>
                <w:b/>
                <w:sz w:val="26"/>
                <w:szCs w:val="20"/>
              </w:rPr>
              <w:t>(4)</w:t>
            </w:r>
          </w:p>
        </w:tc>
        <w:tc>
          <w:tcPr>
            <w:tcW w:w="701" w:type="pct"/>
            <w:shd w:val="clear" w:color="auto" w:fill="D9D9D9"/>
            <w:vAlign w:val="bottom"/>
          </w:tcPr>
          <w:p w:rsidR="00FC26AD" w:rsidRPr="00FC26AD" w:rsidRDefault="00FC26AD" w:rsidP="00FC26AD">
            <w:pPr>
              <w:jc w:val="center"/>
              <w:rPr>
                <w:rFonts w:eastAsia="Calibri"/>
                <w:b/>
                <w:sz w:val="26"/>
                <w:szCs w:val="20"/>
              </w:rPr>
            </w:pPr>
            <w:r w:rsidRPr="00FC26AD">
              <w:rPr>
                <w:rFonts w:eastAsia="Calibri"/>
                <w:b/>
                <w:sz w:val="26"/>
                <w:szCs w:val="20"/>
              </w:rPr>
              <w:t>Total Annual Burden Hours &amp; Total Annual Cost</w:t>
            </w:r>
          </w:p>
          <w:p w:rsidR="00FC26AD" w:rsidRPr="00FC26AD" w:rsidRDefault="00FC26AD" w:rsidP="00FC26AD">
            <w:pPr>
              <w:jc w:val="center"/>
              <w:rPr>
                <w:rFonts w:eastAsia="Calibri"/>
                <w:b/>
                <w:sz w:val="26"/>
                <w:szCs w:val="20"/>
              </w:rPr>
            </w:pPr>
            <w:r w:rsidRPr="00FC26AD">
              <w:rPr>
                <w:rFonts w:eastAsia="Calibri"/>
                <w:b/>
                <w:sz w:val="26"/>
                <w:szCs w:val="20"/>
              </w:rPr>
              <w:t>(3)*(4)=(5)</w:t>
            </w:r>
          </w:p>
        </w:tc>
        <w:tc>
          <w:tcPr>
            <w:tcW w:w="746" w:type="pct"/>
            <w:shd w:val="clear" w:color="auto" w:fill="D9D9D9"/>
            <w:vAlign w:val="bottom"/>
          </w:tcPr>
          <w:p w:rsidR="00FC26AD" w:rsidRPr="00FC26AD" w:rsidRDefault="00FC26AD" w:rsidP="00FC26AD">
            <w:pPr>
              <w:jc w:val="center"/>
              <w:rPr>
                <w:rFonts w:eastAsia="Calibri"/>
                <w:b/>
                <w:sz w:val="26"/>
                <w:szCs w:val="20"/>
              </w:rPr>
            </w:pPr>
            <w:r w:rsidRPr="00FC26AD">
              <w:rPr>
                <w:rFonts w:eastAsia="Calibri"/>
                <w:b/>
                <w:sz w:val="26"/>
                <w:szCs w:val="20"/>
              </w:rPr>
              <w:t>Cost per Respondent</w:t>
            </w:r>
          </w:p>
          <w:p w:rsidR="00FC26AD" w:rsidRPr="00FC26AD" w:rsidRDefault="00FC26AD" w:rsidP="00FC26AD">
            <w:pPr>
              <w:jc w:val="center"/>
              <w:rPr>
                <w:rFonts w:eastAsia="Calibri"/>
                <w:b/>
                <w:sz w:val="26"/>
                <w:szCs w:val="20"/>
              </w:rPr>
            </w:pPr>
            <w:r w:rsidRPr="00FC26AD">
              <w:rPr>
                <w:b/>
                <w:sz w:val="26"/>
                <w:szCs w:val="26"/>
                <w:vertAlign w:val="superscript"/>
              </w:rPr>
              <w:footnoteReference w:id="10"/>
            </w:r>
          </w:p>
          <w:p w:rsidR="00FC26AD" w:rsidRPr="00FC26AD" w:rsidRDefault="00FC26AD" w:rsidP="00FC26AD">
            <w:pPr>
              <w:jc w:val="center"/>
              <w:rPr>
                <w:rFonts w:eastAsia="Calibri"/>
                <w:b/>
                <w:sz w:val="26"/>
                <w:szCs w:val="20"/>
              </w:rPr>
            </w:pPr>
            <w:r w:rsidRPr="00FC26AD">
              <w:rPr>
                <w:rFonts w:eastAsia="Calibri"/>
                <w:b/>
                <w:sz w:val="26"/>
                <w:szCs w:val="20"/>
              </w:rPr>
              <w:t>($)</w:t>
            </w:r>
          </w:p>
          <w:p w:rsidR="00FC26AD" w:rsidRPr="00FC26AD" w:rsidRDefault="00FC26AD" w:rsidP="00FC26AD">
            <w:pPr>
              <w:jc w:val="center"/>
              <w:rPr>
                <w:rFonts w:eastAsia="Calibri"/>
                <w:b/>
                <w:sz w:val="26"/>
                <w:szCs w:val="20"/>
              </w:rPr>
            </w:pPr>
            <w:r w:rsidRPr="00FC26AD">
              <w:rPr>
                <w:rFonts w:eastAsia="Calibri"/>
                <w:b/>
                <w:sz w:val="26"/>
                <w:szCs w:val="20"/>
              </w:rPr>
              <w:t>(5)÷(1)</w:t>
            </w:r>
          </w:p>
        </w:tc>
      </w:tr>
      <w:tr w:rsidR="00FC26AD" w:rsidRPr="00FC26AD" w:rsidTr="00173CD5">
        <w:trPr>
          <w:cantSplit/>
        </w:trPr>
        <w:tc>
          <w:tcPr>
            <w:tcW w:w="482" w:type="pct"/>
          </w:tcPr>
          <w:p w:rsidR="00FC26AD" w:rsidRPr="00FC26AD" w:rsidRDefault="00FC26AD" w:rsidP="00FC26AD">
            <w:pPr>
              <w:rPr>
                <w:rFonts w:eastAsia="Calibri"/>
                <w:sz w:val="26"/>
                <w:szCs w:val="20"/>
              </w:rPr>
            </w:pPr>
            <w:r w:rsidRPr="00FC26AD">
              <w:rPr>
                <w:rFonts w:eastAsia="Calibri"/>
                <w:sz w:val="26"/>
                <w:szCs w:val="20"/>
              </w:rPr>
              <w:t>FERC-545</w:t>
            </w:r>
            <w:r>
              <w:rPr>
                <w:rFonts w:eastAsia="Calibri"/>
                <w:sz w:val="26"/>
                <w:szCs w:val="20"/>
              </w:rPr>
              <w:t>A</w:t>
            </w:r>
            <w:r w:rsidRPr="00FC26AD">
              <w:rPr>
                <w:b/>
                <w:sz w:val="26"/>
                <w:szCs w:val="26"/>
                <w:vertAlign w:val="superscript"/>
              </w:rPr>
              <w:footnoteReference w:id="11"/>
            </w:r>
          </w:p>
        </w:tc>
        <w:tc>
          <w:tcPr>
            <w:tcW w:w="834" w:type="pct"/>
          </w:tcPr>
          <w:p w:rsidR="00FC26AD" w:rsidRPr="00FC26AD" w:rsidRDefault="00FC26AD" w:rsidP="00FC26AD">
            <w:pPr>
              <w:jc w:val="right"/>
              <w:rPr>
                <w:rFonts w:eastAsia="Calibri"/>
                <w:sz w:val="26"/>
                <w:szCs w:val="20"/>
              </w:rPr>
            </w:pPr>
            <w:r w:rsidRPr="00FC26AD">
              <w:rPr>
                <w:rFonts w:eastAsia="Calibri"/>
                <w:sz w:val="26"/>
                <w:szCs w:val="20"/>
              </w:rPr>
              <w:t>165</w:t>
            </w:r>
          </w:p>
        </w:tc>
        <w:tc>
          <w:tcPr>
            <w:tcW w:w="834" w:type="pct"/>
          </w:tcPr>
          <w:p w:rsidR="00FC26AD" w:rsidRPr="00FC26AD" w:rsidRDefault="00FC26AD" w:rsidP="00FC26AD">
            <w:pPr>
              <w:jc w:val="right"/>
              <w:rPr>
                <w:rFonts w:eastAsia="Calibri"/>
                <w:sz w:val="26"/>
                <w:szCs w:val="20"/>
              </w:rPr>
            </w:pPr>
            <w:r w:rsidRPr="00FC26AD">
              <w:rPr>
                <w:rFonts w:eastAsia="Calibri"/>
                <w:sz w:val="26"/>
                <w:szCs w:val="20"/>
              </w:rPr>
              <w:t>1</w:t>
            </w:r>
          </w:p>
        </w:tc>
        <w:tc>
          <w:tcPr>
            <w:tcW w:w="789" w:type="pct"/>
          </w:tcPr>
          <w:p w:rsidR="00FC26AD" w:rsidRPr="00FC26AD" w:rsidRDefault="00FC26AD" w:rsidP="00FC26AD">
            <w:pPr>
              <w:jc w:val="right"/>
              <w:rPr>
                <w:rFonts w:eastAsia="Calibri"/>
                <w:sz w:val="26"/>
                <w:szCs w:val="20"/>
              </w:rPr>
            </w:pPr>
            <w:r w:rsidRPr="00FC26AD">
              <w:rPr>
                <w:rFonts w:eastAsia="Calibri"/>
                <w:sz w:val="26"/>
                <w:szCs w:val="20"/>
              </w:rPr>
              <w:t>165</w:t>
            </w:r>
          </w:p>
        </w:tc>
        <w:tc>
          <w:tcPr>
            <w:tcW w:w="614" w:type="pct"/>
          </w:tcPr>
          <w:p w:rsidR="00FC26AD" w:rsidRPr="00FC26AD" w:rsidRDefault="00FC26AD" w:rsidP="00E05912">
            <w:pPr>
              <w:jc w:val="right"/>
              <w:rPr>
                <w:rFonts w:eastAsia="Calibri"/>
                <w:sz w:val="26"/>
                <w:szCs w:val="20"/>
              </w:rPr>
            </w:pPr>
            <w:r w:rsidRPr="00FC26AD">
              <w:rPr>
                <w:rFonts w:eastAsia="Calibri"/>
                <w:sz w:val="26"/>
                <w:szCs w:val="20"/>
              </w:rPr>
              <w:t>10</w:t>
            </w:r>
            <w:r>
              <w:rPr>
                <w:rFonts w:eastAsia="Calibri"/>
                <w:sz w:val="26"/>
                <w:szCs w:val="20"/>
              </w:rPr>
              <w:t xml:space="preserve"> hrs.</w:t>
            </w:r>
            <w:r w:rsidR="009D36BD">
              <w:rPr>
                <w:rFonts w:eastAsia="Calibri"/>
                <w:sz w:val="26"/>
                <w:szCs w:val="20"/>
              </w:rPr>
              <w:t>; $837</w:t>
            </w:r>
          </w:p>
        </w:tc>
        <w:tc>
          <w:tcPr>
            <w:tcW w:w="701" w:type="pct"/>
          </w:tcPr>
          <w:p w:rsidR="00FC26AD" w:rsidRPr="00FC26AD" w:rsidRDefault="00FC26AD" w:rsidP="001E6692">
            <w:pPr>
              <w:jc w:val="right"/>
              <w:rPr>
                <w:rFonts w:eastAsia="Calibri"/>
                <w:sz w:val="26"/>
                <w:szCs w:val="20"/>
              </w:rPr>
            </w:pPr>
            <w:r w:rsidRPr="00FC26AD">
              <w:rPr>
                <w:rFonts w:eastAsia="Calibri"/>
                <w:sz w:val="26"/>
                <w:szCs w:val="20"/>
              </w:rPr>
              <w:t>1,650</w:t>
            </w:r>
            <w:r>
              <w:rPr>
                <w:rFonts w:eastAsia="Calibri"/>
                <w:sz w:val="26"/>
                <w:szCs w:val="20"/>
              </w:rPr>
              <w:t xml:space="preserve"> hrs.</w:t>
            </w:r>
            <w:r w:rsidR="009D36BD">
              <w:rPr>
                <w:rFonts w:eastAsia="Calibri"/>
                <w:sz w:val="26"/>
                <w:szCs w:val="20"/>
              </w:rPr>
              <w:t>;</w:t>
            </w:r>
            <w:r w:rsidR="009D36BD" w:rsidRPr="00FC26AD">
              <w:rPr>
                <w:rFonts w:eastAsia="Calibri"/>
                <w:sz w:val="26"/>
                <w:szCs w:val="20"/>
              </w:rPr>
              <w:t xml:space="preserve"> $138,056</w:t>
            </w:r>
          </w:p>
        </w:tc>
        <w:tc>
          <w:tcPr>
            <w:tcW w:w="746" w:type="pct"/>
          </w:tcPr>
          <w:p w:rsidR="00FC26AD" w:rsidRPr="00FC26AD" w:rsidRDefault="009D36BD" w:rsidP="00E05912">
            <w:pPr>
              <w:jc w:val="right"/>
              <w:rPr>
                <w:rFonts w:eastAsia="Calibri"/>
                <w:sz w:val="26"/>
                <w:szCs w:val="20"/>
              </w:rPr>
            </w:pPr>
            <w:r w:rsidRPr="009D36BD">
              <w:rPr>
                <w:rFonts w:eastAsia="Calibri"/>
                <w:sz w:val="26"/>
                <w:szCs w:val="20"/>
              </w:rPr>
              <w:t>$837</w:t>
            </w:r>
          </w:p>
        </w:tc>
      </w:tr>
      <w:tr w:rsidR="00FC26AD" w:rsidRPr="00FC26AD" w:rsidTr="00173CD5">
        <w:trPr>
          <w:cantSplit/>
        </w:trPr>
        <w:tc>
          <w:tcPr>
            <w:tcW w:w="482" w:type="pct"/>
          </w:tcPr>
          <w:p w:rsidR="00FC26AD" w:rsidRPr="00FC26AD" w:rsidRDefault="00FC26AD" w:rsidP="00FC26AD">
            <w:pPr>
              <w:rPr>
                <w:rFonts w:eastAsia="Calibri"/>
                <w:sz w:val="26"/>
                <w:szCs w:val="20"/>
              </w:rPr>
            </w:pPr>
            <w:r w:rsidRPr="00FC26AD">
              <w:rPr>
                <w:rFonts w:eastAsia="Calibri"/>
                <w:sz w:val="26"/>
                <w:szCs w:val="20"/>
              </w:rPr>
              <w:lastRenderedPageBreak/>
              <w:t>FERC-549C</w:t>
            </w:r>
            <w:r w:rsidR="00051C9E">
              <w:rPr>
                <w:rStyle w:val="FootnoteReference"/>
                <w:rFonts w:eastAsia="Calibri"/>
                <w:sz w:val="26"/>
                <w:szCs w:val="20"/>
              </w:rPr>
              <w:footnoteReference w:id="12"/>
            </w:r>
          </w:p>
        </w:tc>
        <w:tc>
          <w:tcPr>
            <w:tcW w:w="834" w:type="pct"/>
          </w:tcPr>
          <w:p w:rsidR="00FC26AD" w:rsidRPr="00FC26AD" w:rsidRDefault="00FC26AD" w:rsidP="00FC26AD">
            <w:pPr>
              <w:jc w:val="right"/>
              <w:rPr>
                <w:rFonts w:eastAsia="Calibri"/>
                <w:sz w:val="26"/>
                <w:szCs w:val="20"/>
              </w:rPr>
            </w:pPr>
            <w:r w:rsidRPr="00FC26AD">
              <w:rPr>
                <w:rFonts w:eastAsia="Calibri"/>
                <w:sz w:val="26"/>
                <w:szCs w:val="20"/>
              </w:rPr>
              <w:t>165</w:t>
            </w:r>
          </w:p>
        </w:tc>
        <w:tc>
          <w:tcPr>
            <w:tcW w:w="834" w:type="pct"/>
          </w:tcPr>
          <w:p w:rsidR="00FC26AD" w:rsidRPr="00FC26AD" w:rsidRDefault="00FC26AD" w:rsidP="00FC26AD">
            <w:pPr>
              <w:jc w:val="right"/>
              <w:rPr>
                <w:rFonts w:eastAsia="Calibri"/>
                <w:sz w:val="26"/>
                <w:szCs w:val="20"/>
              </w:rPr>
            </w:pPr>
            <w:r w:rsidRPr="00FC26AD">
              <w:rPr>
                <w:rFonts w:eastAsia="Calibri"/>
                <w:sz w:val="26"/>
                <w:szCs w:val="20"/>
              </w:rPr>
              <w:t>1</w:t>
            </w:r>
          </w:p>
        </w:tc>
        <w:tc>
          <w:tcPr>
            <w:tcW w:w="789" w:type="pct"/>
          </w:tcPr>
          <w:p w:rsidR="00FC26AD" w:rsidRPr="00FC26AD" w:rsidRDefault="00FC26AD" w:rsidP="00FC26AD">
            <w:pPr>
              <w:jc w:val="right"/>
              <w:rPr>
                <w:rFonts w:eastAsia="Calibri"/>
                <w:sz w:val="26"/>
                <w:szCs w:val="20"/>
              </w:rPr>
            </w:pPr>
            <w:r w:rsidRPr="00FC26AD">
              <w:rPr>
                <w:rFonts w:eastAsia="Calibri"/>
                <w:sz w:val="26"/>
                <w:szCs w:val="20"/>
              </w:rPr>
              <w:t>165</w:t>
            </w:r>
          </w:p>
        </w:tc>
        <w:tc>
          <w:tcPr>
            <w:tcW w:w="614" w:type="pct"/>
          </w:tcPr>
          <w:p w:rsidR="00FC26AD" w:rsidRPr="00FC26AD" w:rsidRDefault="00FC26AD" w:rsidP="00E05912">
            <w:pPr>
              <w:jc w:val="right"/>
              <w:rPr>
                <w:rFonts w:eastAsia="Calibri"/>
                <w:sz w:val="26"/>
                <w:szCs w:val="20"/>
              </w:rPr>
            </w:pPr>
            <w:r w:rsidRPr="00FC26AD">
              <w:rPr>
                <w:rFonts w:eastAsia="Calibri"/>
                <w:sz w:val="26"/>
                <w:szCs w:val="20"/>
              </w:rPr>
              <w:t>22</w:t>
            </w:r>
            <w:r>
              <w:rPr>
                <w:rFonts w:eastAsia="Calibri"/>
                <w:sz w:val="26"/>
                <w:szCs w:val="20"/>
              </w:rPr>
              <w:t xml:space="preserve"> hrs.</w:t>
            </w:r>
            <w:r w:rsidR="00E05912">
              <w:rPr>
                <w:rFonts w:eastAsia="Calibri"/>
                <w:sz w:val="26"/>
                <w:szCs w:val="20"/>
              </w:rPr>
              <w:t>; $1,841</w:t>
            </w:r>
          </w:p>
        </w:tc>
        <w:tc>
          <w:tcPr>
            <w:tcW w:w="701" w:type="pct"/>
          </w:tcPr>
          <w:p w:rsidR="00E05912" w:rsidRDefault="00FC26AD" w:rsidP="00FC26AD">
            <w:pPr>
              <w:jc w:val="right"/>
              <w:rPr>
                <w:rFonts w:eastAsia="Calibri"/>
                <w:sz w:val="26"/>
                <w:szCs w:val="20"/>
              </w:rPr>
            </w:pPr>
            <w:r w:rsidRPr="00FC26AD">
              <w:rPr>
                <w:rFonts w:eastAsia="Calibri"/>
                <w:sz w:val="26"/>
                <w:szCs w:val="20"/>
              </w:rPr>
              <w:t>3,630</w:t>
            </w:r>
            <w:r>
              <w:rPr>
                <w:rFonts w:eastAsia="Calibri"/>
                <w:sz w:val="26"/>
                <w:szCs w:val="20"/>
              </w:rPr>
              <w:t xml:space="preserve"> hrs</w:t>
            </w:r>
            <w:proofErr w:type="gramStart"/>
            <w:r>
              <w:rPr>
                <w:rFonts w:eastAsia="Calibri"/>
                <w:sz w:val="26"/>
                <w:szCs w:val="20"/>
              </w:rPr>
              <w:t>.</w:t>
            </w:r>
            <w:r w:rsidR="00E05912">
              <w:rPr>
                <w:rFonts w:eastAsia="Calibri"/>
                <w:sz w:val="26"/>
                <w:szCs w:val="20"/>
              </w:rPr>
              <w:t>;</w:t>
            </w:r>
            <w:proofErr w:type="gramEnd"/>
            <w:r w:rsidR="00E05912">
              <w:rPr>
                <w:rFonts w:eastAsia="Calibri"/>
                <w:sz w:val="26"/>
                <w:szCs w:val="20"/>
              </w:rPr>
              <w:t xml:space="preserve"> </w:t>
            </w:r>
          </w:p>
          <w:p w:rsidR="00FC26AD" w:rsidRPr="00FC26AD" w:rsidRDefault="00E05912" w:rsidP="00FC26AD">
            <w:pPr>
              <w:jc w:val="right"/>
              <w:rPr>
                <w:rFonts w:eastAsia="Calibri"/>
                <w:sz w:val="26"/>
                <w:szCs w:val="20"/>
              </w:rPr>
            </w:pPr>
            <w:r w:rsidRPr="00FC26AD">
              <w:rPr>
                <w:rFonts w:eastAsia="Calibri"/>
                <w:sz w:val="26"/>
                <w:szCs w:val="20"/>
              </w:rPr>
              <w:t>$303,722</w:t>
            </w:r>
          </w:p>
        </w:tc>
        <w:tc>
          <w:tcPr>
            <w:tcW w:w="746" w:type="pct"/>
          </w:tcPr>
          <w:p w:rsidR="00FC26AD" w:rsidRPr="00FC26AD" w:rsidRDefault="00E05912" w:rsidP="00FC26AD">
            <w:pPr>
              <w:jc w:val="right"/>
              <w:rPr>
                <w:rFonts w:eastAsia="Calibri"/>
                <w:sz w:val="26"/>
                <w:szCs w:val="20"/>
              </w:rPr>
            </w:pPr>
            <w:r w:rsidRPr="00E05912">
              <w:rPr>
                <w:rFonts w:eastAsia="Calibri"/>
                <w:sz w:val="26"/>
                <w:szCs w:val="20"/>
              </w:rPr>
              <w:t>$1,841</w:t>
            </w:r>
          </w:p>
        </w:tc>
      </w:tr>
      <w:tr w:rsidR="00FC26AD" w:rsidRPr="00FC26AD" w:rsidTr="00173CD5">
        <w:trPr>
          <w:cantSplit/>
        </w:trPr>
        <w:tc>
          <w:tcPr>
            <w:tcW w:w="482" w:type="pct"/>
          </w:tcPr>
          <w:p w:rsidR="00FC26AD" w:rsidRPr="0065517A" w:rsidRDefault="00FC26AD" w:rsidP="00FC26AD">
            <w:pPr>
              <w:rPr>
                <w:rFonts w:eastAsia="Calibri"/>
                <w:b/>
                <w:sz w:val="26"/>
                <w:szCs w:val="20"/>
              </w:rPr>
            </w:pPr>
            <w:r w:rsidRPr="0065517A">
              <w:rPr>
                <w:rFonts w:eastAsia="Calibri"/>
                <w:b/>
                <w:sz w:val="26"/>
                <w:szCs w:val="20"/>
              </w:rPr>
              <w:t>Totals</w:t>
            </w:r>
          </w:p>
        </w:tc>
        <w:tc>
          <w:tcPr>
            <w:tcW w:w="834" w:type="pct"/>
          </w:tcPr>
          <w:p w:rsidR="00FC26AD" w:rsidRPr="00FC26AD" w:rsidRDefault="00FC26AD" w:rsidP="00FC26AD">
            <w:pPr>
              <w:jc w:val="right"/>
              <w:rPr>
                <w:rFonts w:eastAsia="Calibri"/>
                <w:sz w:val="26"/>
                <w:szCs w:val="20"/>
              </w:rPr>
            </w:pPr>
          </w:p>
        </w:tc>
        <w:tc>
          <w:tcPr>
            <w:tcW w:w="834" w:type="pct"/>
          </w:tcPr>
          <w:p w:rsidR="00FC26AD" w:rsidRPr="00FC26AD" w:rsidRDefault="00FC26AD" w:rsidP="00FC26AD">
            <w:pPr>
              <w:jc w:val="right"/>
              <w:rPr>
                <w:rFonts w:eastAsia="Calibri"/>
                <w:sz w:val="26"/>
                <w:szCs w:val="20"/>
              </w:rPr>
            </w:pPr>
          </w:p>
        </w:tc>
        <w:tc>
          <w:tcPr>
            <w:tcW w:w="789" w:type="pct"/>
          </w:tcPr>
          <w:p w:rsidR="00FC26AD" w:rsidRPr="00FC26AD" w:rsidRDefault="00FC26AD" w:rsidP="00FC26AD">
            <w:pPr>
              <w:jc w:val="right"/>
              <w:rPr>
                <w:rFonts w:eastAsia="Calibri"/>
                <w:sz w:val="26"/>
                <w:szCs w:val="20"/>
              </w:rPr>
            </w:pPr>
          </w:p>
        </w:tc>
        <w:tc>
          <w:tcPr>
            <w:tcW w:w="614" w:type="pct"/>
          </w:tcPr>
          <w:p w:rsidR="00FC26AD" w:rsidRPr="00FC26AD" w:rsidRDefault="00FC26AD" w:rsidP="00FC26AD">
            <w:pPr>
              <w:jc w:val="right"/>
              <w:rPr>
                <w:rFonts w:eastAsia="Calibri"/>
                <w:sz w:val="26"/>
                <w:szCs w:val="20"/>
              </w:rPr>
            </w:pPr>
          </w:p>
        </w:tc>
        <w:tc>
          <w:tcPr>
            <w:tcW w:w="701" w:type="pct"/>
          </w:tcPr>
          <w:p w:rsidR="00FC26AD" w:rsidRPr="00FC26AD" w:rsidRDefault="00FC26AD" w:rsidP="00FC26AD">
            <w:pPr>
              <w:jc w:val="right"/>
              <w:rPr>
                <w:rFonts w:eastAsia="Calibri"/>
                <w:sz w:val="26"/>
                <w:szCs w:val="20"/>
              </w:rPr>
            </w:pPr>
            <w:r w:rsidRPr="00FC26AD">
              <w:rPr>
                <w:rFonts w:eastAsia="Calibri"/>
                <w:sz w:val="26"/>
                <w:szCs w:val="20"/>
              </w:rPr>
              <w:t>5,280</w:t>
            </w:r>
            <w:r>
              <w:rPr>
                <w:rFonts w:eastAsia="Calibri"/>
                <w:sz w:val="26"/>
                <w:szCs w:val="20"/>
              </w:rPr>
              <w:t xml:space="preserve"> hrs.</w:t>
            </w:r>
            <w:r w:rsidR="00E05912">
              <w:rPr>
                <w:rFonts w:eastAsia="Calibri"/>
                <w:sz w:val="26"/>
                <w:szCs w:val="20"/>
              </w:rPr>
              <w:t xml:space="preserve">; </w:t>
            </w:r>
            <w:r w:rsidR="00E05912" w:rsidRPr="00FC26AD">
              <w:rPr>
                <w:rFonts w:eastAsia="Calibri"/>
                <w:sz w:val="26"/>
                <w:szCs w:val="20"/>
              </w:rPr>
              <w:t>$441,778</w:t>
            </w:r>
          </w:p>
        </w:tc>
        <w:tc>
          <w:tcPr>
            <w:tcW w:w="746" w:type="pct"/>
          </w:tcPr>
          <w:p w:rsidR="00FC26AD" w:rsidRPr="00FC26AD" w:rsidRDefault="00FC26AD" w:rsidP="00FC26AD">
            <w:pPr>
              <w:jc w:val="right"/>
              <w:rPr>
                <w:rFonts w:eastAsia="Calibri"/>
                <w:sz w:val="26"/>
                <w:szCs w:val="20"/>
              </w:rPr>
            </w:pPr>
          </w:p>
        </w:tc>
      </w:tr>
    </w:tbl>
    <w:p w:rsidR="00CB41CE" w:rsidRDefault="00CB41CE" w:rsidP="00CB41CE">
      <w:pPr>
        <w:rPr>
          <w:sz w:val="26"/>
          <w:szCs w:val="26"/>
        </w:rPr>
      </w:pPr>
    </w:p>
    <w:p w:rsidR="00871CA7" w:rsidRDefault="00871CA7" w:rsidP="0065517A">
      <w:pPr>
        <w:rPr>
          <w:sz w:val="26"/>
          <w:szCs w:val="26"/>
        </w:rPr>
      </w:pPr>
      <w:proofErr w:type="gramStart"/>
      <w:r w:rsidRPr="0014601E">
        <w:rPr>
          <w:b/>
          <w:sz w:val="26"/>
          <w:szCs w:val="26"/>
        </w:rPr>
        <w:t>FERC-54</w:t>
      </w:r>
      <w:r>
        <w:rPr>
          <w:b/>
          <w:sz w:val="26"/>
          <w:szCs w:val="26"/>
        </w:rPr>
        <w:t>5</w:t>
      </w:r>
      <w:r w:rsidR="00FC26AD">
        <w:rPr>
          <w:b/>
          <w:sz w:val="26"/>
          <w:szCs w:val="26"/>
        </w:rPr>
        <w:t>A</w:t>
      </w:r>
      <w:r w:rsidRPr="0014601E">
        <w:rPr>
          <w:b/>
          <w:sz w:val="26"/>
          <w:szCs w:val="26"/>
        </w:rPr>
        <w:t>.</w:t>
      </w:r>
      <w:proofErr w:type="gramEnd"/>
      <w:r w:rsidRPr="0014601E">
        <w:rPr>
          <w:b/>
          <w:sz w:val="26"/>
          <w:szCs w:val="26"/>
        </w:rPr>
        <w:t xml:space="preserve">  </w:t>
      </w:r>
      <w:r w:rsidRPr="00B00965">
        <w:rPr>
          <w:sz w:val="26"/>
          <w:szCs w:val="26"/>
        </w:rPr>
        <w:t>For this submittal</w:t>
      </w:r>
      <w:r w:rsidRPr="009C5F46">
        <w:rPr>
          <w:sz w:val="26"/>
          <w:szCs w:val="26"/>
        </w:rPr>
        <w:t xml:space="preserve">, we are averaging the one-time implementation burden over Years 1-3.  </w:t>
      </w:r>
      <w:r w:rsidRPr="00B00965">
        <w:rPr>
          <w:sz w:val="26"/>
          <w:szCs w:val="26"/>
        </w:rPr>
        <w:t>Using that approach, each of Years 1-3 would impose</w:t>
      </w:r>
      <w:r w:rsidR="0065517A">
        <w:rPr>
          <w:sz w:val="26"/>
          <w:szCs w:val="26"/>
        </w:rPr>
        <w:t xml:space="preserve"> a total of</w:t>
      </w:r>
      <w:r w:rsidRPr="00B00965">
        <w:rPr>
          <w:sz w:val="26"/>
          <w:szCs w:val="26"/>
        </w:rPr>
        <w:t xml:space="preserve">:  </w:t>
      </w:r>
    </w:p>
    <w:p w:rsidR="0065517A" w:rsidRDefault="0065517A" w:rsidP="002C70C1">
      <w:pPr>
        <w:pStyle w:val="ListParagraph"/>
        <w:numPr>
          <w:ilvl w:val="0"/>
          <w:numId w:val="33"/>
        </w:numPr>
        <w:rPr>
          <w:sz w:val="26"/>
          <w:szCs w:val="26"/>
        </w:rPr>
      </w:pPr>
      <w:r>
        <w:rPr>
          <w:sz w:val="26"/>
          <w:szCs w:val="26"/>
        </w:rPr>
        <w:t>550 hours</w:t>
      </w:r>
      <w:r w:rsidR="002C70C1">
        <w:rPr>
          <w:sz w:val="26"/>
          <w:szCs w:val="26"/>
        </w:rPr>
        <w:t>/yr.</w:t>
      </w:r>
      <w:r>
        <w:rPr>
          <w:sz w:val="26"/>
          <w:szCs w:val="26"/>
        </w:rPr>
        <w:t xml:space="preserve"> (</w:t>
      </w:r>
      <w:r w:rsidR="002C70C1">
        <w:rPr>
          <w:sz w:val="26"/>
          <w:szCs w:val="26"/>
        </w:rPr>
        <w:t xml:space="preserve">or </w:t>
      </w:r>
      <w:r>
        <w:rPr>
          <w:sz w:val="26"/>
          <w:szCs w:val="26"/>
        </w:rPr>
        <w:t>1,650</w:t>
      </w:r>
      <w:r w:rsidR="002C70C1">
        <w:rPr>
          <w:sz w:val="26"/>
          <w:szCs w:val="26"/>
        </w:rPr>
        <w:t xml:space="preserve"> hrs</w:t>
      </w:r>
      <w:proofErr w:type="gramStart"/>
      <w:r w:rsidR="002C70C1">
        <w:rPr>
          <w:sz w:val="26"/>
          <w:szCs w:val="26"/>
        </w:rPr>
        <w:t>.</w:t>
      </w:r>
      <w:r>
        <w:rPr>
          <w:sz w:val="26"/>
          <w:szCs w:val="26"/>
        </w:rPr>
        <w:t>/</w:t>
      </w:r>
      <w:proofErr w:type="gramEnd"/>
      <w:r>
        <w:rPr>
          <w:sz w:val="26"/>
          <w:szCs w:val="26"/>
        </w:rPr>
        <w:t>3</w:t>
      </w:r>
      <w:r w:rsidR="002C70C1">
        <w:rPr>
          <w:sz w:val="26"/>
          <w:szCs w:val="26"/>
        </w:rPr>
        <w:t xml:space="preserve"> yrs.</w:t>
      </w:r>
      <w:r>
        <w:rPr>
          <w:sz w:val="26"/>
          <w:szCs w:val="26"/>
        </w:rPr>
        <w:t>)</w:t>
      </w:r>
    </w:p>
    <w:p w:rsidR="002C70C1" w:rsidRPr="002C70C1" w:rsidRDefault="002C70C1" w:rsidP="002C70C1">
      <w:pPr>
        <w:pStyle w:val="ListParagraph"/>
        <w:numPr>
          <w:ilvl w:val="0"/>
          <w:numId w:val="33"/>
        </w:numPr>
        <w:rPr>
          <w:sz w:val="26"/>
          <w:szCs w:val="26"/>
        </w:rPr>
      </w:pPr>
      <w:r>
        <w:rPr>
          <w:sz w:val="26"/>
          <w:szCs w:val="26"/>
        </w:rPr>
        <w:t>$46,019/yr. (or $138,056/3 yrs.)</w:t>
      </w:r>
    </w:p>
    <w:p w:rsidR="00871CA7" w:rsidRPr="00027B22" w:rsidRDefault="00871CA7" w:rsidP="00871CA7">
      <w:pPr>
        <w:rPr>
          <w:sz w:val="26"/>
          <w:szCs w:val="26"/>
        </w:rPr>
      </w:pPr>
      <w:r w:rsidRPr="00B00965">
        <w:rPr>
          <w:sz w:val="26"/>
          <w:szCs w:val="26"/>
        </w:rPr>
        <w:t>Then after Year 3, the FERC-54</w:t>
      </w:r>
      <w:r>
        <w:rPr>
          <w:sz w:val="26"/>
          <w:szCs w:val="26"/>
        </w:rPr>
        <w:t>5</w:t>
      </w:r>
      <w:r w:rsidR="00DB0AA1">
        <w:rPr>
          <w:sz w:val="26"/>
          <w:szCs w:val="26"/>
        </w:rPr>
        <w:t>A</w:t>
      </w:r>
      <w:r w:rsidRPr="00B00965">
        <w:rPr>
          <w:sz w:val="26"/>
          <w:szCs w:val="26"/>
        </w:rPr>
        <w:t xml:space="preserve"> burden associated with the averaged implementation burden would be removed from the inventory.</w:t>
      </w:r>
    </w:p>
    <w:p w:rsidR="00871CA7" w:rsidRDefault="00871CA7" w:rsidP="00CB41CE">
      <w:pPr>
        <w:rPr>
          <w:sz w:val="26"/>
          <w:szCs w:val="26"/>
        </w:rPr>
      </w:pPr>
    </w:p>
    <w:p w:rsidR="000C7503" w:rsidRDefault="00CB41CE" w:rsidP="002C70C1">
      <w:pPr>
        <w:rPr>
          <w:sz w:val="26"/>
          <w:szCs w:val="26"/>
        </w:rPr>
      </w:pPr>
      <w:r w:rsidRPr="0014601E">
        <w:rPr>
          <w:b/>
          <w:sz w:val="26"/>
          <w:szCs w:val="26"/>
        </w:rPr>
        <w:t xml:space="preserve">FERC-549C.  </w:t>
      </w:r>
      <w:r w:rsidRPr="00B00965">
        <w:rPr>
          <w:sz w:val="26"/>
          <w:szCs w:val="26"/>
        </w:rPr>
        <w:t>For this submittal</w:t>
      </w:r>
      <w:r w:rsidRPr="009C5F46">
        <w:rPr>
          <w:sz w:val="26"/>
          <w:szCs w:val="26"/>
        </w:rPr>
        <w:t>, we are averaging the one-time implementation burden</w:t>
      </w:r>
      <w:r w:rsidR="002C70C1">
        <w:rPr>
          <w:sz w:val="26"/>
          <w:szCs w:val="26"/>
        </w:rPr>
        <w:t xml:space="preserve"> </w:t>
      </w:r>
      <w:r w:rsidRPr="00B00965">
        <w:rPr>
          <w:sz w:val="26"/>
          <w:szCs w:val="26"/>
        </w:rPr>
        <w:t>and cost</w:t>
      </w:r>
      <w:r w:rsidR="002C70C1">
        <w:rPr>
          <w:sz w:val="26"/>
          <w:szCs w:val="26"/>
        </w:rPr>
        <w:t xml:space="preserve"> </w:t>
      </w:r>
      <w:r w:rsidRPr="009C5F46">
        <w:rPr>
          <w:sz w:val="26"/>
          <w:szCs w:val="26"/>
        </w:rPr>
        <w:t xml:space="preserve">over Years 1-3. </w:t>
      </w:r>
      <w:r w:rsidRPr="00B00965">
        <w:rPr>
          <w:sz w:val="26"/>
          <w:szCs w:val="26"/>
        </w:rPr>
        <w:t xml:space="preserve">Using that approach, each of Years 1-3 would impose:  </w:t>
      </w:r>
    </w:p>
    <w:p w:rsidR="000C7503" w:rsidRPr="000C7503" w:rsidRDefault="000C7503" w:rsidP="000C7503">
      <w:pPr>
        <w:pStyle w:val="ListParagraph"/>
        <w:numPr>
          <w:ilvl w:val="0"/>
          <w:numId w:val="34"/>
        </w:numPr>
        <w:rPr>
          <w:sz w:val="26"/>
          <w:szCs w:val="26"/>
        </w:rPr>
      </w:pPr>
      <w:r>
        <w:rPr>
          <w:sz w:val="26"/>
          <w:szCs w:val="26"/>
        </w:rPr>
        <w:t>1,210 hrs</w:t>
      </w:r>
      <w:proofErr w:type="gramStart"/>
      <w:r>
        <w:rPr>
          <w:sz w:val="26"/>
          <w:szCs w:val="26"/>
        </w:rPr>
        <w:t>./</w:t>
      </w:r>
      <w:proofErr w:type="gramEnd"/>
      <w:r>
        <w:rPr>
          <w:sz w:val="26"/>
          <w:szCs w:val="26"/>
        </w:rPr>
        <w:t xml:space="preserve">yr. (or </w:t>
      </w:r>
      <w:r w:rsidRPr="000C7503">
        <w:rPr>
          <w:sz w:val="26"/>
          <w:szCs w:val="26"/>
        </w:rPr>
        <w:t>3,630 hrs.</w:t>
      </w:r>
      <w:r>
        <w:rPr>
          <w:sz w:val="26"/>
          <w:szCs w:val="26"/>
        </w:rPr>
        <w:t>/3 yrs.)</w:t>
      </w:r>
      <w:r w:rsidRPr="000C7503">
        <w:rPr>
          <w:sz w:val="26"/>
          <w:szCs w:val="26"/>
        </w:rPr>
        <w:t xml:space="preserve"> </w:t>
      </w:r>
    </w:p>
    <w:p w:rsidR="00CB41CE" w:rsidRPr="000C7503" w:rsidRDefault="000C7503" w:rsidP="000C7503">
      <w:pPr>
        <w:pStyle w:val="ListParagraph"/>
        <w:numPr>
          <w:ilvl w:val="0"/>
          <w:numId w:val="34"/>
        </w:numPr>
        <w:rPr>
          <w:sz w:val="26"/>
          <w:szCs w:val="26"/>
        </w:rPr>
      </w:pPr>
      <w:r>
        <w:rPr>
          <w:sz w:val="26"/>
          <w:szCs w:val="26"/>
        </w:rPr>
        <w:t>$101,241/yr. (</w:t>
      </w:r>
      <w:r w:rsidRPr="000C7503">
        <w:rPr>
          <w:sz w:val="26"/>
          <w:szCs w:val="26"/>
        </w:rPr>
        <w:t>$303,722</w:t>
      </w:r>
      <w:r>
        <w:rPr>
          <w:sz w:val="26"/>
          <w:szCs w:val="26"/>
        </w:rPr>
        <w:t>/3 yrs.)</w:t>
      </w:r>
    </w:p>
    <w:p w:rsidR="00CB41CE" w:rsidRPr="00027B22" w:rsidRDefault="00CB41CE" w:rsidP="00CB41CE">
      <w:pPr>
        <w:rPr>
          <w:sz w:val="26"/>
          <w:szCs w:val="26"/>
        </w:rPr>
      </w:pPr>
      <w:r w:rsidRPr="00B00965">
        <w:rPr>
          <w:sz w:val="26"/>
          <w:szCs w:val="26"/>
        </w:rPr>
        <w:t>Then after Year 3, the FERC-549C burden associated with the averaged implementation burden would be removed from the inventory.</w:t>
      </w:r>
    </w:p>
    <w:p w:rsidR="00507B6D" w:rsidRDefault="00507B6D" w:rsidP="00507B6D">
      <w:pPr>
        <w:rPr>
          <w:b/>
          <w:sz w:val="26"/>
          <w:szCs w:val="26"/>
        </w:rPr>
      </w:pPr>
    </w:p>
    <w:p w:rsidR="00914CAA" w:rsidRPr="00914CAA" w:rsidRDefault="00914CAA" w:rsidP="006D154A">
      <w:pPr>
        <w:rPr>
          <w:sz w:val="26"/>
          <w:szCs w:val="26"/>
        </w:rPr>
      </w:pPr>
      <w:r w:rsidRPr="00914CAA">
        <w:rPr>
          <w:sz w:val="26"/>
          <w:szCs w:val="26"/>
        </w:rPr>
        <w:t>See #15</w:t>
      </w:r>
      <w:r>
        <w:rPr>
          <w:sz w:val="26"/>
          <w:szCs w:val="26"/>
        </w:rPr>
        <w:t>, below,</w:t>
      </w:r>
      <w:r w:rsidRPr="00914CAA">
        <w:rPr>
          <w:sz w:val="26"/>
          <w:szCs w:val="26"/>
        </w:rPr>
        <w:t xml:space="preserve"> for </w:t>
      </w:r>
      <w:r w:rsidR="00CB41CE">
        <w:rPr>
          <w:sz w:val="26"/>
          <w:szCs w:val="26"/>
        </w:rPr>
        <w:t>an explanation of</w:t>
      </w:r>
      <w:r w:rsidRPr="00914CAA">
        <w:rPr>
          <w:sz w:val="26"/>
          <w:szCs w:val="26"/>
        </w:rPr>
        <w:t xml:space="preserve"> the estimated changes to burden </w:t>
      </w:r>
      <w:r w:rsidR="004A7160">
        <w:rPr>
          <w:sz w:val="26"/>
          <w:szCs w:val="26"/>
        </w:rPr>
        <w:t>as implemented</w:t>
      </w:r>
      <w:r w:rsidR="004A7160" w:rsidRPr="00914CAA">
        <w:rPr>
          <w:sz w:val="26"/>
          <w:szCs w:val="26"/>
        </w:rPr>
        <w:t xml:space="preserve"> </w:t>
      </w:r>
      <w:r w:rsidRPr="00914CAA">
        <w:rPr>
          <w:sz w:val="26"/>
          <w:szCs w:val="26"/>
        </w:rPr>
        <w:t xml:space="preserve">in the </w:t>
      </w:r>
      <w:r w:rsidR="0057347B">
        <w:rPr>
          <w:sz w:val="26"/>
          <w:szCs w:val="26"/>
        </w:rPr>
        <w:t>NOPR</w:t>
      </w:r>
      <w:r w:rsidRPr="00914CAA">
        <w:rPr>
          <w:sz w:val="26"/>
          <w:szCs w:val="26"/>
        </w:rPr>
        <w:t xml:space="preserve"> in </w:t>
      </w:r>
      <w:r w:rsidR="0057347B">
        <w:rPr>
          <w:sz w:val="26"/>
          <w:szCs w:val="26"/>
        </w:rPr>
        <w:t>RM96-1-038</w:t>
      </w:r>
      <w:r w:rsidRPr="00914CAA">
        <w:rPr>
          <w:sz w:val="26"/>
          <w:szCs w:val="26"/>
        </w:rPr>
        <w:t xml:space="preserve"> and for the proposed new </w:t>
      </w:r>
      <w:r>
        <w:rPr>
          <w:sz w:val="26"/>
          <w:szCs w:val="26"/>
        </w:rPr>
        <w:t>inventory figure</w:t>
      </w:r>
      <w:r w:rsidRPr="00914CAA">
        <w:rPr>
          <w:sz w:val="26"/>
          <w:szCs w:val="26"/>
        </w:rPr>
        <w:t>s.</w:t>
      </w:r>
    </w:p>
    <w:p w:rsidR="00914CAA" w:rsidRDefault="00914CAA" w:rsidP="00507B6D">
      <w:pPr>
        <w:rPr>
          <w:b/>
          <w:sz w:val="26"/>
          <w:szCs w:val="26"/>
        </w:rPr>
      </w:pPr>
    </w:p>
    <w:p w:rsidR="00CA3B99" w:rsidRPr="00231159" w:rsidRDefault="00CA3B99" w:rsidP="00950A39">
      <w:pPr>
        <w:ind w:left="360" w:hanging="360"/>
        <w:rPr>
          <w:b/>
          <w:sz w:val="26"/>
          <w:szCs w:val="26"/>
        </w:rPr>
      </w:pPr>
      <w:r>
        <w:rPr>
          <w:b/>
          <w:sz w:val="26"/>
          <w:szCs w:val="26"/>
        </w:rPr>
        <w:t>13</w:t>
      </w:r>
      <w:proofErr w:type="gramStart"/>
      <w:r>
        <w:rPr>
          <w:b/>
          <w:sz w:val="26"/>
          <w:szCs w:val="26"/>
        </w:rPr>
        <w:t>.</w:t>
      </w:r>
      <w:r w:rsidRPr="00231159">
        <w:rPr>
          <w:b/>
          <w:sz w:val="26"/>
          <w:szCs w:val="26"/>
        </w:rPr>
        <w:t>ESTIMATE</w:t>
      </w:r>
      <w:proofErr w:type="gramEnd"/>
      <w:r w:rsidRPr="00231159">
        <w:rPr>
          <w:b/>
          <w:sz w:val="26"/>
          <w:szCs w:val="26"/>
        </w:rPr>
        <w:t xml:space="preserve"> OF TOTAL ANNUAL COST OF BURDEN TO RESPONDENTS</w:t>
      </w:r>
    </w:p>
    <w:p w:rsidR="00CA3B99" w:rsidRPr="00231159" w:rsidRDefault="00CA3B99" w:rsidP="00231159">
      <w:pPr>
        <w:rPr>
          <w:b/>
          <w:sz w:val="26"/>
          <w:szCs w:val="26"/>
        </w:rPr>
      </w:pPr>
      <w:r w:rsidRPr="00231159">
        <w:rPr>
          <w:b/>
          <w:sz w:val="26"/>
          <w:szCs w:val="26"/>
        </w:rPr>
        <w:t xml:space="preserve"> </w:t>
      </w:r>
    </w:p>
    <w:p w:rsidR="00CA3B99" w:rsidRPr="00231159" w:rsidRDefault="00CA3B99" w:rsidP="00231159">
      <w:pPr>
        <w:rPr>
          <w:sz w:val="26"/>
          <w:szCs w:val="26"/>
        </w:rPr>
      </w:pPr>
      <w:proofErr w:type="gramStart"/>
      <w:r>
        <w:rPr>
          <w:b/>
          <w:sz w:val="26"/>
          <w:szCs w:val="26"/>
        </w:rPr>
        <w:t>FERC-545</w:t>
      </w:r>
      <w:r w:rsidR="00BF4CC2">
        <w:rPr>
          <w:b/>
          <w:sz w:val="26"/>
          <w:szCs w:val="26"/>
        </w:rPr>
        <w:t>A</w:t>
      </w:r>
      <w:r>
        <w:rPr>
          <w:b/>
          <w:sz w:val="26"/>
          <w:szCs w:val="26"/>
        </w:rPr>
        <w:t xml:space="preserve"> and FERC-549</w:t>
      </w:r>
      <w:r w:rsidR="00492622">
        <w:rPr>
          <w:b/>
          <w:sz w:val="26"/>
          <w:szCs w:val="26"/>
        </w:rPr>
        <w:t>C</w:t>
      </w:r>
      <w:r>
        <w:rPr>
          <w:b/>
          <w:sz w:val="26"/>
          <w:szCs w:val="26"/>
        </w:rPr>
        <w:t>.</w:t>
      </w:r>
      <w:proofErr w:type="gramEnd"/>
      <w:r>
        <w:rPr>
          <w:b/>
          <w:sz w:val="26"/>
          <w:szCs w:val="26"/>
        </w:rPr>
        <w:t xml:space="preserve">  </w:t>
      </w:r>
      <w:r w:rsidRPr="00231159">
        <w:rPr>
          <w:sz w:val="26"/>
          <w:szCs w:val="26"/>
        </w:rPr>
        <w:t xml:space="preserve">There are no capital or start-up costs </w:t>
      </w:r>
      <w:r>
        <w:rPr>
          <w:sz w:val="26"/>
          <w:szCs w:val="26"/>
        </w:rPr>
        <w:t xml:space="preserve">for the </w:t>
      </w:r>
      <w:r w:rsidR="00037BDD">
        <w:rPr>
          <w:sz w:val="26"/>
          <w:szCs w:val="26"/>
        </w:rPr>
        <w:t xml:space="preserve">requirements in the </w:t>
      </w:r>
      <w:r w:rsidR="0057347B">
        <w:rPr>
          <w:sz w:val="26"/>
          <w:szCs w:val="26"/>
        </w:rPr>
        <w:t>NOPR</w:t>
      </w:r>
      <w:r w:rsidR="00037BDD">
        <w:rPr>
          <w:sz w:val="26"/>
          <w:szCs w:val="26"/>
        </w:rPr>
        <w:t xml:space="preserve"> in </w:t>
      </w:r>
      <w:r w:rsidR="0057347B">
        <w:rPr>
          <w:sz w:val="26"/>
          <w:szCs w:val="26"/>
        </w:rPr>
        <w:t>RM96-1-038</w:t>
      </w:r>
      <w:r>
        <w:rPr>
          <w:sz w:val="26"/>
          <w:szCs w:val="26"/>
        </w:rPr>
        <w:t xml:space="preserve"> that are </w:t>
      </w:r>
      <w:r w:rsidRPr="00231159">
        <w:rPr>
          <w:sz w:val="26"/>
          <w:szCs w:val="26"/>
        </w:rPr>
        <w:t>not associated with the burden hours.</w:t>
      </w:r>
      <w:r>
        <w:rPr>
          <w:sz w:val="26"/>
          <w:szCs w:val="26"/>
        </w:rPr>
        <w:t xml:space="preserve">  All of the costs are related to burden hours and are detailed in #12</w:t>
      </w:r>
      <w:r w:rsidR="00914CAA">
        <w:rPr>
          <w:sz w:val="26"/>
          <w:szCs w:val="26"/>
        </w:rPr>
        <w:t xml:space="preserve"> and #15</w:t>
      </w:r>
      <w:r>
        <w:rPr>
          <w:sz w:val="26"/>
          <w:szCs w:val="26"/>
        </w:rPr>
        <w:t>.</w:t>
      </w:r>
    </w:p>
    <w:p w:rsidR="00CA3B99" w:rsidRPr="00231159" w:rsidRDefault="00CA3B99" w:rsidP="00231159">
      <w:pPr>
        <w:widowControl/>
        <w:tabs>
          <w:tab w:val="left" w:pos="-1440"/>
        </w:tabs>
        <w:rPr>
          <w:sz w:val="26"/>
          <w:szCs w:val="26"/>
        </w:rPr>
      </w:pPr>
    </w:p>
    <w:p w:rsidR="00CA3B99" w:rsidRPr="005518EB" w:rsidRDefault="00CA3B99" w:rsidP="00950A39">
      <w:pPr>
        <w:widowControl/>
        <w:tabs>
          <w:tab w:val="num" w:pos="360"/>
        </w:tabs>
        <w:ind w:left="360" w:hanging="360"/>
        <w:rPr>
          <w:sz w:val="26"/>
          <w:szCs w:val="26"/>
        </w:rPr>
      </w:pPr>
      <w:r w:rsidRPr="005518EB">
        <w:rPr>
          <w:b/>
          <w:sz w:val="26"/>
          <w:szCs w:val="26"/>
        </w:rPr>
        <w:t>14</w:t>
      </w:r>
      <w:proofErr w:type="gramStart"/>
      <w:r w:rsidRPr="005518EB">
        <w:rPr>
          <w:b/>
          <w:sz w:val="26"/>
          <w:szCs w:val="26"/>
        </w:rPr>
        <w:t>.ESTIMATED</w:t>
      </w:r>
      <w:proofErr w:type="gramEnd"/>
      <w:r w:rsidRPr="005518EB">
        <w:rPr>
          <w:b/>
          <w:sz w:val="26"/>
          <w:szCs w:val="26"/>
        </w:rPr>
        <w:t xml:space="preserve"> ANNUALIZED COST TO FEDERAL GOVERNMENT</w:t>
      </w:r>
    </w:p>
    <w:p w:rsidR="00CA3B99" w:rsidRPr="005518EB" w:rsidRDefault="00CA3B99" w:rsidP="00231159">
      <w:pPr>
        <w:widowControl/>
        <w:ind w:left="360" w:firstLine="720"/>
        <w:rPr>
          <w:sz w:val="26"/>
          <w:szCs w:val="26"/>
        </w:rPr>
      </w:pPr>
    </w:p>
    <w:p w:rsidR="00686720" w:rsidRDefault="00CA3B99" w:rsidP="00482097">
      <w:pPr>
        <w:widowControl/>
        <w:rPr>
          <w:vertAlign w:val="superscript"/>
        </w:rPr>
      </w:pPr>
      <w:proofErr w:type="gramStart"/>
      <w:r w:rsidRPr="005518EB">
        <w:rPr>
          <w:b/>
          <w:sz w:val="26"/>
          <w:szCs w:val="26"/>
        </w:rPr>
        <w:t>FERC-545</w:t>
      </w:r>
      <w:r w:rsidR="00BF4CC2">
        <w:rPr>
          <w:b/>
          <w:sz w:val="26"/>
          <w:szCs w:val="26"/>
        </w:rPr>
        <w:t>A</w:t>
      </w:r>
      <w:r w:rsidRPr="005518EB">
        <w:rPr>
          <w:b/>
          <w:sz w:val="26"/>
          <w:szCs w:val="26"/>
        </w:rPr>
        <w:t xml:space="preserve"> and FERC-549</w:t>
      </w:r>
      <w:r w:rsidR="00492622">
        <w:rPr>
          <w:b/>
          <w:sz w:val="26"/>
          <w:szCs w:val="26"/>
        </w:rPr>
        <w:t>C</w:t>
      </w:r>
      <w:r w:rsidRPr="005518EB">
        <w:rPr>
          <w:b/>
          <w:sz w:val="26"/>
          <w:szCs w:val="26"/>
        </w:rPr>
        <w:t>.</w:t>
      </w:r>
      <w:proofErr w:type="gramEnd"/>
      <w:r w:rsidRPr="005518EB">
        <w:rPr>
          <w:b/>
          <w:sz w:val="26"/>
          <w:szCs w:val="26"/>
        </w:rPr>
        <w:t xml:space="preserve">  </w:t>
      </w:r>
      <w:r w:rsidRPr="005518EB">
        <w:rPr>
          <w:sz w:val="26"/>
          <w:szCs w:val="26"/>
        </w:rPr>
        <w:t>The following federal cost</w:t>
      </w:r>
      <w:r w:rsidR="00543973">
        <w:rPr>
          <w:sz w:val="26"/>
          <w:szCs w:val="26"/>
        </w:rPr>
        <w:t>s</w:t>
      </w:r>
      <w:r w:rsidRPr="005518EB">
        <w:rPr>
          <w:sz w:val="26"/>
          <w:szCs w:val="26"/>
        </w:rPr>
        <w:t xml:space="preserve"> relate only to the new requirements </w:t>
      </w:r>
      <w:r w:rsidR="00E62894">
        <w:rPr>
          <w:sz w:val="26"/>
          <w:szCs w:val="26"/>
        </w:rPr>
        <w:t>pro</w:t>
      </w:r>
      <w:r w:rsidRPr="005518EB">
        <w:rPr>
          <w:sz w:val="26"/>
          <w:szCs w:val="26"/>
        </w:rPr>
        <w:t xml:space="preserve">posed by the </w:t>
      </w:r>
      <w:r w:rsidR="0057347B">
        <w:rPr>
          <w:sz w:val="26"/>
          <w:szCs w:val="26"/>
        </w:rPr>
        <w:t>NOPR</w:t>
      </w:r>
      <w:r w:rsidRPr="005518EB">
        <w:rPr>
          <w:sz w:val="26"/>
          <w:szCs w:val="26"/>
        </w:rPr>
        <w:t>.</w:t>
      </w:r>
      <w:r w:rsidR="00807E75" w:rsidRPr="005518EB" w:rsidDel="00807E75">
        <w:rPr>
          <w:vertAlign w:val="superscript"/>
        </w:rPr>
        <w:t xml:space="preserve"> </w:t>
      </w:r>
    </w:p>
    <w:p w:rsidR="00B803A3" w:rsidRPr="005518EB" w:rsidRDefault="00B803A3" w:rsidP="00482097">
      <w:pPr>
        <w:widowControl/>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192"/>
        <w:gridCol w:w="3184"/>
      </w:tblGrid>
      <w:tr w:rsidR="00CA3B99" w:rsidRPr="005518EB" w:rsidTr="005518EB">
        <w:tc>
          <w:tcPr>
            <w:tcW w:w="3200" w:type="dxa"/>
            <w:shd w:val="clear" w:color="auto" w:fill="CCCCCC"/>
          </w:tcPr>
          <w:p w:rsidR="00CA3B99" w:rsidRPr="005518EB" w:rsidRDefault="00CA3B99" w:rsidP="00231159">
            <w:pPr>
              <w:widowControl/>
              <w:rPr>
                <w:sz w:val="26"/>
                <w:szCs w:val="26"/>
              </w:rPr>
            </w:pPr>
          </w:p>
        </w:tc>
        <w:tc>
          <w:tcPr>
            <w:tcW w:w="3192" w:type="dxa"/>
            <w:shd w:val="clear" w:color="auto" w:fill="CCCCCC"/>
            <w:vAlign w:val="bottom"/>
          </w:tcPr>
          <w:p w:rsidR="00CA3B99" w:rsidRPr="005518EB" w:rsidRDefault="00CA3B99" w:rsidP="007556AE">
            <w:pPr>
              <w:widowControl/>
              <w:jc w:val="center"/>
              <w:rPr>
                <w:b/>
                <w:sz w:val="26"/>
                <w:szCs w:val="26"/>
              </w:rPr>
            </w:pPr>
            <w:r w:rsidRPr="005518EB">
              <w:rPr>
                <w:b/>
                <w:sz w:val="26"/>
                <w:szCs w:val="26"/>
              </w:rPr>
              <w:t xml:space="preserve">Number of </w:t>
            </w:r>
            <w:r w:rsidR="007556AE">
              <w:rPr>
                <w:b/>
                <w:sz w:val="26"/>
                <w:szCs w:val="26"/>
              </w:rPr>
              <w:t>Hours</w:t>
            </w:r>
            <w:r w:rsidR="00193F96">
              <w:rPr>
                <w:b/>
                <w:sz w:val="26"/>
                <w:szCs w:val="26"/>
              </w:rPr>
              <w:t xml:space="preserve"> or FTE’s</w:t>
            </w:r>
          </w:p>
        </w:tc>
        <w:tc>
          <w:tcPr>
            <w:tcW w:w="3184" w:type="dxa"/>
            <w:shd w:val="clear" w:color="auto" w:fill="CCCCCC"/>
            <w:vAlign w:val="bottom"/>
          </w:tcPr>
          <w:p w:rsidR="00CA3B99" w:rsidRPr="005518EB" w:rsidRDefault="00CA3B99" w:rsidP="00037BDD">
            <w:pPr>
              <w:widowControl/>
              <w:jc w:val="center"/>
              <w:rPr>
                <w:b/>
                <w:sz w:val="26"/>
                <w:szCs w:val="26"/>
              </w:rPr>
            </w:pPr>
            <w:r w:rsidRPr="005518EB">
              <w:rPr>
                <w:b/>
                <w:sz w:val="26"/>
                <w:szCs w:val="26"/>
              </w:rPr>
              <w:t>Estimated Annual Federal Cost ($)</w:t>
            </w:r>
            <w:r w:rsidRPr="005518EB">
              <w:rPr>
                <w:sz w:val="26"/>
                <w:szCs w:val="26"/>
                <w:vertAlign w:val="superscript"/>
              </w:rPr>
              <w:footnoteReference w:id="13"/>
            </w:r>
            <w:r w:rsidR="00C304F7">
              <w:rPr>
                <w:b/>
                <w:sz w:val="26"/>
                <w:szCs w:val="26"/>
              </w:rPr>
              <w:t xml:space="preserve"> </w:t>
            </w:r>
          </w:p>
        </w:tc>
      </w:tr>
      <w:tr w:rsidR="00CA3B99" w:rsidRPr="0014601E" w:rsidTr="00BF4CC2">
        <w:tc>
          <w:tcPr>
            <w:tcW w:w="3200" w:type="dxa"/>
          </w:tcPr>
          <w:p w:rsidR="00CA3B99" w:rsidRPr="007F1297" w:rsidRDefault="00B32011" w:rsidP="00231159">
            <w:pPr>
              <w:widowControl/>
              <w:rPr>
                <w:sz w:val="26"/>
                <w:szCs w:val="26"/>
              </w:rPr>
            </w:pPr>
            <w:r w:rsidRPr="007F1297">
              <w:rPr>
                <w:sz w:val="26"/>
                <w:szCs w:val="26"/>
              </w:rPr>
              <w:t>PRA</w:t>
            </w:r>
            <w:r w:rsidR="00F52E54" w:rsidRPr="007F1297">
              <w:rPr>
                <w:rStyle w:val="FootnoteReference"/>
                <w:sz w:val="26"/>
                <w:szCs w:val="26"/>
              </w:rPr>
              <w:footnoteReference w:id="14"/>
            </w:r>
            <w:r w:rsidRPr="007F1297">
              <w:rPr>
                <w:sz w:val="26"/>
                <w:szCs w:val="26"/>
              </w:rPr>
              <w:t xml:space="preserve"> Administration Cost</w:t>
            </w:r>
            <w:r w:rsidRPr="007F1297" w:rsidDel="00B32011">
              <w:rPr>
                <w:sz w:val="26"/>
                <w:szCs w:val="26"/>
              </w:rPr>
              <w:t xml:space="preserve"> </w:t>
            </w:r>
            <w:r w:rsidR="00CA3B99" w:rsidRPr="00443AA1">
              <w:rPr>
                <w:sz w:val="26"/>
                <w:szCs w:val="26"/>
                <w:vertAlign w:val="superscript"/>
              </w:rPr>
              <w:footnoteReference w:id="15"/>
            </w:r>
          </w:p>
        </w:tc>
        <w:tc>
          <w:tcPr>
            <w:tcW w:w="3192" w:type="dxa"/>
            <w:shd w:val="clear" w:color="auto" w:fill="FFFFFF"/>
            <w:vAlign w:val="bottom"/>
          </w:tcPr>
          <w:p w:rsidR="00CA3B99" w:rsidRPr="009C5F46" w:rsidRDefault="00CA3B99" w:rsidP="00BF4CC2">
            <w:pPr>
              <w:widowControl/>
              <w:jc w:val="right"/>
              <w:rPr>
                <w:sz w:val="26"/>
                <w:szCs w:val="26"/>
              </w:rPr>
            </w:pPr>
            <w:r w:rsidRPr="009C5F46">
              <w:rPr>
                <w:sz w:val="26"/>
                <w:szCs w:val="26"/>
              </w:rPr>
              <w:t>-</w:t>
            </w:r>
          </w:p>
        </w:tc>
        <w:tc>
          <w:tcPr>
            <w:tcW w:w="3184" w:type="dxa"/>
            <w:vAlign w:val="bottom"/>
          </w:tcPr>
          <w:p w:rsidR="00CA3B99" w:rsidRPr="007D241B" w:rsidRDefault="00037BDD" w:rsidP="00BF4CC2">
            <w:pPr>
              <w:widowControl/>
              <w:jc w:val="right"/>
              <w:rPr>
                <w:sz w:val="26"/>
                <w:szCs w:val="26"/>
              </w:rPr>
            </w:pPr>
            <w:r w:rsidRPr="009C5F46">
              <w:rPr>
                <w:sz w:val="26"/>
                <w:szCs w:val="26"/>
              </w:rPr>
              <w:t>$</w:t>
            </w:r>
            <w:r w:rsidR="008759E2" w:rsidRPr="00824E72">
              <w:t xml:space="preserve"> </w:t>
            </w:r>
            <w:r w:rsidR="008759E2" w:rsidRPr="007D241B">
              <w:rPr>
                <w:sz w:val="26"/>
                <w:szCs w:val="26"/>
              </w:rPr>
              <w:t>5,193.</w:t>
            </w:r>
          </w:p>
        </w:tc>
      </w:tr>
      <w:tr w:rsidR="00423194" w:rsidRPr="0014601E" w:rsidTr="00423194">
        <w:tc>
          <w:tcPr>
            <w:tcW w:w="3200" w:type="dxa"/>
            <w:vAlign w:val="bottom"/>
          </w:tcPr>
          <w:p w:rsidR="00423194" w:rsidRPr="0014601E" w:rsidRDefault="00423194" w:rsidP="001B7C2A">
            <w:pPr>
              <w:widowControl/>
              <w:ind w:left="720"/>
              <w:jc w:val="right"/>
              <w:rPr>
                <w:i/>
                <w:sz w:val="26"/>
                <w:szCs w:val="26"/>
              </w:rPr>
            </w:pPr>
            <w:r w:rsidRPr="0014601E">
              <w:rPr>
                <w:sz w:val="26"/>
                <w:szCs w:val="26"/>
              </w:rPr>
              <w:lastRenderedPageBreak/>
              <w:t>Data Processing and Analysis, Sub-Total</w:t>
            </w:r>
            <w:r>
              <w:rPr>
                <w:rStyle w:val="FootnoteReference"/>
                <w:sz w:val="26"/>
                <w:szCs w:val="26"/>
              </w:rPr>
              <w:footnoteReference w:id="16"/>
            </w:r>
          </w:p>
        </w:tc>
        <w:tc>
          <w:tcPr>
            <w:tcW w:w="3192" w:type="dxa"/>
            <w:shd w:val="clear" w:color="auto" w:fill="FFFFFF" w:themeFill="background1"/>
            <w:vAlign w:val="bottom"/>
          </w:tcPr>
          <w:p w:rsidR="00423194" w:rsidRDefault="00423194" w:rsidP="00BF4CC2">
            <w:pPr>
              <w:widowControl/>
              <w:jc w:val="right"/>
            </w:pPr>
            <w:r>
              <w:t>1</w:t>
            </w:r>
            <w:r w:rsidR="00975EE0">
              <w:rPr>
                <w:rStyle w:val="FootnoteReference"/>
              </w:rPr>
              <w:footnoteReference w:id="17"/>
            </w:r>
          </w:p>
        </w:tc>
        <w:tc>
          <w:tcPr>
            <w:tcW w:w="3184" w:type="dxa"/>
            <w:vAlign w:val="bottom"/>
          </w:tcPr>
          <w:p w:rsidR="00423194" w:rsidRPr="00E25CB2" w:rsidDel="00423194" w:rsidRDefault="00423194" w:rsidP="00423194">
            <w:pPr>
              <w:widowControl/>
              <w:jc w:val="right"/>
            </w:pPr>
            <w:r>
              <w:t>$149,489</w:t>
            </w:r>
          </w:p>
        </w:tc>
      </w:tr>
      <w:tr w:rsidR="00BF4CC2" w:rsidRPr="0014601E" w:rsidTr="00423194">
        <w:tc>
          <w:tcPr>
            <w:tcW w:w="3200" w:type="dxa"/>
            <w:vAlign w:val="bottom"/>
          </w:tcPr>
          <w:p w:rsidR="00BF4CC2" w:rsidRPr="0014601E" w:rsidRDefault="00BF4CC2" w:rsidP="001B7C2A">
            <w:pPr>
              <w:widowControl/>
              <w:ind w:left="720"/>
              <w:jc w:val="right"/>
              <w:rPr>
                <w:i/>
                <w:sz w:val="26"/>
                <w:szCs w:val="26"/>
              </w:rPr>
            </w:pPr>
            <w:r w:rsidRPr="0014601E">
              <w:rPr>
                <w:i/>
                <w:sz w:val="26"/>
                <w:szCs w:val="26"/>
              </w:rPr>
              <w:t>FERC-545</w:t>
            </w:r>
            <w:r w:rsidR="00DA671E">
              <w:rPr>
                <w:i/>
                <w:sz w:val="26"/>
                <w:szCs w:val="26"/>
              </w:rPr>
              <w:t>A</w:t>
            </w:r>
          </w:p>
        </w:tc>
        <w:tc>
          <w:tcPr>
            <w:tcW w:w="3192" w:type="dxa"/>
            <w:shd w:val="clear" w:color="auto" w:fill="FFFFFF" w:themeFill="background1"/>
            <w:vAlign w:val="bottom"/>
          </w:tcPr>
          <w:p w:rsidR="00BF4CC2" w:rsidRPr="0014601E" w:rsidRDefault="003541E1" w:rsidP="00BF4CC2">
            <w:pPr>
              <w:widowControl/>
              <w:jc w:val="right"/>
              <w:rPr>
                <w:i/>
                <w:sz w:val="26"/>
                <w:szCs w:val="26"/>
              </w:rPr>
            </w:pPr>
            <w:r>
              <w:t>0.25</w:t>
            </w:r>
          </w:p>
        </w:tc>
        <w:tc>
          <w:tcPr>
            <w:tcW w:w="3184" w:type="dxa"/>
            <w:vAlign w:val="bottom"/>
          </w:tcPr>
          <w:p w:rsidR="00BF4CC2" w:rsidRPr="007F1297" w:rsidRDefault="00423194" w:rsidP="00BF4CC2">
            <w:pPr>
              <w:widowControl/>
              <w:jc w:val="right"/>
              <w:rPr>
                <w:i/>
                <w:sz w:val="26"/>
                <w:szCs w:val="26"/>
              </w:rPr>
            </w:pPr>
            <w:r>
              <w:t>$37,372.25</w:t>
            </w:r>
          </w:p>
        </w:tc>
      </w:tr>
      <w:tr w:rsidR="00BF4CC2" w:rsidRPr="0014601E" w:rsidTr="00423194">
        <w:tc>
          <w:tcPr>
            <w:tcW w:w="3200" w:type="dxa"/>
            <w:vAlign w:val="bottom"/>
          </w:tcPr>
          <w:p w:rsidR="00BF4CC2" w:rsidRPr="0014601E" w:rsidRDefault="00BF4CC2" w:rsidP="001B7C2A">
            <w:pPr>
              <w:widowControl/>
              <w:ind w:left="720"/>
              <w:jc w:val="right"/>
              <w:rPr>
                <w:i/>
                <w:sz w:val="26"/>
                <w:szCs w:val="26"/>
              </w:rPr>
            </w:pPr>
            <w:r w:rsidRPr="0014601E">
              <w:rPr>
                <w:i/>
                <w:sz w:val="26"/>
                <w:szCs w:val="26"/>
              </w:rPr>
              <w:t>FERC-549C</w:t>
            </w:r>
          </w:p>
        </w:tc>
        <w:tc>
          <w:tcPr>
            <w:tcW w:w="3192" w:type="dxa"/>
            <w:shd w:val="clear" w:color="auto" w:fill="FFFFFF" w:themeFill="background1"/>
            <w:vAlign w:val="bottom"/>
          </w:tcPr>
          <w:p w:rsidR="00BF4CC2" w:rsidRPr="0014601E" w:rsidRDefault="003541E1" w:rsidP="00BF4CC2">
            <w:pPr>
              <w:widowControl/>
              <w:jc w:val="right"/>
              <w:rPr>
                <w:i/>
                <w:sz w:val="26"/>
                <w:szCs w:val="26"/>
              </w:rPr>
            </w:pPr>
            <w:r>
              <w:t>0.75</w:t>
            </w:r>
          </w:p>
        </w:tc>
        <w:tc>
          <w:tcPr>
            <w:tcW w:w="3184" w:type="dxa"/>
            <w:vAlign w:val="bottom"/>
          </w:tcPr>
          <w:p w:rsidR="00BF4CC2" w:rsidRPr="007F1297" w:rsidRDefault="00423194" w:rsidP="00BF4CC2">
            <w:pPr>
              <w:widowControl/>
              <w:jc w:val="right"/>
              <w:rPr>
                <w:i/>
                <w:sz w:val="26"/>
                <w:szCs w:val="26"/>
              </w:rPr>
            </w:pPr>
            <w:r>
              <w:t>$112,116.75</w:t>
            </w:r>
          </w:p>
        </w:tc>
      </w:tr>
      <w:tr w:rsidR="00BF4CC2" w:rsidRPr="0014601E" w:rsidTr="00BF4CC2">
        <w:tc>
          <w:tcPr>
            <w:tcW w:w="3200" w:type="dxa"/>
          </w:tcPr>
          <w:p w:rsidR="00BF4CC2" w:rsidRPr="0014601E" w:rsidRDefault="00BF4CC2" w:rsidP="00C942CB">
            <w:pPr>
              <w:widowControl/>
              <w:rPr>
                <w:b/>
                <w:sz w:val="26"/>
                <w:szCs w:val="26"/>
              </w:rPr>
            </w:pPr>
            <w:r w:rsidRPr="0014601E">
              <w:rPr>
                <w:b/>
                <w:sz w:val="26"/>
                <w:szCs w:val="26"/>
              </w:rPr>
              <w:t>FERC Total</w:t>
            </w:r>
          </w:p>
        </w:tc>
        <w:tc>
          <w:tcPr>
            <w:tcW w:w="3192" w:type="dxa"/>
            <w:vAlign w:val="bottom"/>
          </w:tcPr>
          <w:p w:rsidR="00BF4CC2" w:rsidRPr="0014601E" w:rsidRDefault="00DA671E" w:rsidP="00BF4CC2">
            <w:pPr>
              <w:widowControl/>
              <w:jc w:val="right"/>
              <w:rPr>
                <w:sz w:val="26"/>
                <w:szCs w:val="26"/>
              </w:rPr>
            </w:pPr>
            <w:r>
              <w:t>1</w:t>
            </w:r>
          </w:p>
        </w:tc>
        <w:tc>
          <w:tcPr>
            <w:tcW w:w="3184" w:type="dxa"/>
            <w:vAlign w:val="bottom"/>
          </w:tcPr>
          <w:p w:rsidR="00BF4CC2" w:rsidRPr="0014601E" w:rsidRDefault="00423194" w:rsidP="00BF4CC2">
            <w:pPr>
              <w:widowControl/>
              <w:jc w:val="right"/>
              <w:rPr>
                <w:sz w:val="26"/>
                <w:szCs w:val="26"/>
              </w:rPr>
            </w:pPr>
            <w:r>
              <w:t>$154,682</w:t>
            </w:r>
          </w:p>
        </w:tc>
      </w:tr>
    </w:tbl>
    <w:p w:rsidR="00063ED0" w:rsidRPr="00A55F2D" w:rsidRDefault="00063ED0" w:rsidP="00A55F2D">
      <w:pPr>
        <w:rPr>
          <w:sz w:val="26"/>
          <w:szCs w:val="26"/>
        </w:rPr>
      </w:pPr>
    </w:p>
    <w:p w:rsidR="00CA3B99" w:rsidRDefault="00CA3B99" w:rsidP="00950A39">
      <w:pPr>
        <w:widowControl/>
        <w:tabs>
          <w:tab w:val="left" w:pos="360"/>
        </w:tabs>
        <w:ind w:left="360" w:hanging="360"/>
        <w:rPr>
          <w:b/>
          <w:sz w:val="26"/>
          <w:szCs w:val="26"/>
        </w:rPr>
      </w:pPr>
      <w:r w:rsidRPr="005518EB">
        <w:rPr>
          <w:b/>
          <w:sz w:val="26"/>
          <w:szCs w:val="26"/>
        </w:rPr>
        <w:t>15</w:t>
      </w:r>
      <w:proofErr w:type="gramStart"/>
      <w:r w:rsidRPr="005518EB">
        <w:rPr>
          <w:b/>
          <w:sz w:val="26"/>
          <w:szCs w:val="26"/>
        </w:rPr>
        <w:t>.REASONS</w:t>
      </w:r>
      <w:proofErr w:type="gramEnd"/>
      <w:r w:rsidRPr="005518EB">
        <w:rPr>
          <w:b/>
          <w:sz w:val="26"/>
          <w:szCs w:val="26"/>
        </w:rPr>
        <w:t xml:space="preserve"> FOR CHANGES IN BURDEN INCLUDING THE NEED FOR ANY INCREASE</w:t>
      </w:r>
      <w:r w:rsidR="00743A2D">
        <w:rPr>
          <w:b/>
          <w:sz w:val="26"/>
          <w:szCs w:val="26"/>
        </w:rPr>
        <w:t xml:space="preserve"> </w:t>
      </w:r>
    </w:p>
    <w:p w:rsidR="00CD346D" w:rsidRDefault="00CD346D" w:rsidP="00950A39">
      <w:pPr>
        <w:widowControl/>
        <w:tabs>
          <w:tab w:val="left" w:pos="360"/>
        </w:tabs>
        <w:ind w:left="360" w:hanging="360"/>
        <w:rPr>
          <w:b/>
          <w:sz w:val="26"/>
          <w:szCs w:val="26"/>
        </w:rPr>
      </w:pPr>
    </w:p>
    <w:p w:rsidR="00CD346D" w:rsidRPr="00507B6D" w:rsidRDefault="00CD346D" w:rsidP="00CD346D">
      <w:pPr>
        <w:rPr>
          <w:sz w:val="26"/>
          <w:szCs w:val="26"/>
        </w:rPr>
      </w:pPr>
      <w:proofErr w:type="gramStart"/>
      <w:r w:rsidRPr="00A67C3C">
        <w:rPr>
          <w:b/>
          <w:sz w:val="26"/>
          <w:szCs w:val="26"/>
        </w:rPr>
        <w:t>FERC-545</w:t>
      </w:r>
      <w:r w:rsidR="00FB6375">
        <w:rPr>
          <w:b/>
          <w:sz w:val="26"/>
          <w:szCs w:val="26"/>
        </w:rPr>
        <w:t>A</w:t>
      </w:r>
      <w:r w:rsidRPr="00A67C3C">
        <w:rPr>
          <w:b/>
          <w:sz w:val="26"/>
          <w:szCs w:val="26"/>
        </w:rPr>
        <w:t xml:space="preserve"> and FERC-549</w:t>
      </w:r>
      <w:r>
        <w:rPr>
          <w:b/>
          <w:sz w:val="26"/>
          <w:szCs w:val="26"/>
        </w:rPr>
        <w:t>C</w:t>
      </w:r>
      <w:r w:rsidRPr="00A67C3C">
        <w:rPr>
          <w:b/>
          <w:sz w:val="26"/>
          <w:szCs w:val="26"/>
        </w:rPr>
        <w:t>.</w:t>
      </w:r>
      <w:proofErr w:type="gramEnd"/>
      <w:r w:rsidRPr="00A67C3C">
        <w:rPr>
          <w:b/>
          <w:sz w:val="26"/>
          <w:szCs w:val="26"/>
        </w:rPr>
        <w:t xml:space="preserve">  </w:t>
      </w:r>
      <w:r w:rsidRPr="00A67C3C">
        <w:rPr>
          <w:sz w:val="26"/>
          <w:szCs w:val="26"/>
        </w:rPr>
        <w:t xml:space="preserve">The current </w:t>
      </w:r>
      <w:r>
        <w:rPr>
          <w:sz w:val="26"/>
          <w:szCs w:val="26"/>
        </w:rPr>
        <w:t>OMB-approved annual estimates</w:t>
      </w:r>
      <w:r w:rsidRPr="00A67C3C">
        <w:rPr>
          <w:sz w:val="26"/>
          <w:szCs w:val="26"/>
        </w:rPr>
        <w:t xml:space="preserve"> </w:t>
      </w:r>
      <w:r>
        <w:rPr>
          <w:sz w:val="26"/>
          <w:szCs w:val="26"/>
        </w:rPr>
        <w:t xml:space="preserve">in ROCIS and reginfo.gov </w:t>
      </w:r>
      <w:r w:rsidRPr="00A67C3C">
        <w:rPr>
          <w:sz w:val="26"/>
          <w:szCs w:val="26"/>
        </w:rPr>
        <w:t>follow.</w:t>
      </w:r>
    </w:p>
    <w:tbl>
      <w:tblPr>
        <w:tblW w:w="816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0"/>
        <w:gridCol w:w="1770"/>
        <w:gridCol w:w="1920"/>
        <w:gridCol w:w="1920"/>
      </w:tblGrid>
      <w:tr w:rsidR="00CD346D" w:rsidRPr="00507B6D" w:rsidTr="008C3BF9">
        <w:trPr>
          <w:trHeight w:val="499"/>
          <w:tblHeader/>
        </w:trPr>
        <w:tc>
          <w:tcPr>
            <w:tcW w:w="2550" w:type="dxa"/>
            <w:vAlign w:val="bottom"/>
          </w:tcPr>
          <w:p w:rsidR="00CD346D" w:rsidRPr="00507B6D" w:rsidRDefault="00CD346D" w:rsidP="008C3BF9">
            <w:pPr>
              <w:keepNext/>
              <w:rPr>
                <w:b/>
                <w:color w:val="000000"/>
                <w:sz w:val="26"/>
                <w:szCs w:val="20"/>
              </w:rPr>
            </w:pPr>
            <w:r w:rsidRPr="00507B6D">
              <w:rPr>
                <w:b/>
                <w:color w:val="000000"/>
                <w:sz w:val="26"/>
                <w:szCs w:val="20"/>
              </w:rPr>
              <w:t>Data Collection</w:t>
            </w:r>
          </w:p>
        </w:tc>
        <w:tc>
          <w:tcPr>
            <w:tcW w:w="1770" w:type="dxa"/>
            <w:vAlign w:val="bottom"/>
          </w:tcPr>
          <w:p w:rsidR="00CD346D" w:rsidRPr="00507B6D" w:rsidRDefault="00CD346D" w:rsidP="008C3BF9">
            <w:pPr>
              <w:keepNext/>
              <w:rPr>
                <w:b/>
                <w:color w:val="000000"/>
                <w:sz w:val="26"/>
                <w:szCs w:val="20"/>
              </w:rPr>
            </w:pPr>
            <w:r>
              <w:rPr>
                <w:b/>
                <w:color w:val="000000"/>
                <w:sz w:val="26"/>
                <w:szCs w:val="20"/>
              </w:rPr>
              <w:t xml:space="preserve">Annual </w:t>
            </w:r>
            <w:r w:rsidRPr="00507B6D">
              <w:rPr>
                <w:b/>
                <w:color w:val="000000"/>
                <w:sz w:val="26"/>
                <w:szCs w:val="20"/>
              </w:rPr>
              <w:t>Number of Respon</w:t>
            </w:r>
            <w:r>
              <w:rPr>
                <w:b/>
                <w:color w:val="000000"/>
                <w:sz w:val="26"/>
                <w:szCs w:val="20"/>
              </w:rPr>
              <w:t>ses</w:t>
            </w:r>
          </w:p>
        </w:tc>
        <w:tc>
          <w:tcPr>
            <w:tcW w:w="1920" w:type="dxa"/>
            <w:vAlign w:val="bottom"/>
          </w:tcPr>
          <w:p w:rsidR="00CD346D" w:rsidRPr="00507B6D" w:rsidRDefault="00CD346D" w:rsidP="008C3BF9">
            <w:pPr>
              <w:keepNext/>
              <w:rPr>
                <w:b/>
                <w:color w:val="000000"/>
                <w:sz w:val="26"/>
                <w:szCs w:val="20"/>
              </w:rPr>
            </w:pPr>
            <w:r>
              <w:rPr>
                <w:b/>
                <w:color w:val="000000"/>
                <w:sz w:val="26"/>
                <w:szCs w:val="20"/>
              </w:rPr>
              <w:t xml:space="preserve">Annual </w:t>
            </w:r>
            <w:r w:rsidRPr="00507B6D">
              <w:rPr>
                <w:b/>
                <w:color w:val="000000"/>
                <w:sz w:val="26"/>
                <w:szCs w:val="20"/>
              </w:rPr>
              <w:t xml:space="preserve">Total </w:t>
            </w:r>
            <w:r>
              <w:rPr>
                <w:b/>
                <w:color w:val="000000"/>
                <w:sz w:val="26"/>
                <w:szCs w:val="20"/>
              </w:rPr>
              <w:t xml:space="preserve">Burden </w:t>
            </w:r>
            <w:r w:rsidRPr="00507B6D">
              <w:rPr>
                <w:b/>
                <w:color w:val="000000"/>
                <w:sz w:val="26"/>
                <w:szCs w:val="20"/>
              </w:rPr>
              <w:t>Hours</w:t>
            </w:r>
          </w:p>
        </w:tc>
        <w:tc>
          <w:tcPr>
            <w:tcW w:w="1920" w:type="dxa"/>
            <w:vAlign w:val="bottom"/>
          </w:tcPr>
          <w:p w:rsidR="00CD346D" w:rsidRDefault="00CD346D" w:rsidP="008C3BF9">
            <w:pPr>
              <w:keepNext/>
              <w:jc w:val="center"/>
              <w:rPr>
                <w:b/>
                <w:color w:val="000000"/>
                <w:sz w:val="26"/>
                <w:szCs w:val="20"/>
              </w:rPr>
            </w:pPr>
            <w:r>
              <w:rPr>
                <w:b/>
                <w:color w:val="000000"/>
                <w:sz w:val="26"/>
                <w:szCs w:val="20"/>
              </w:rPr>
              <w:t>Cost Burden ($)</w:t>
            </w:r>
          </w:p>
        </w:tc>
      </w:tr>
      <w:tr w:rsidR="00CD346D" w:rsidRPr="00507B6D" w:rsidTr="008C3BF9">
        <w:trPr>
          <w:trHeight w:val="250"/>
        </w:trPr>
        <w:tc>
          <w:tcPr>
            <w:tcW w:w="2550" w:type="dxa"/>
          </w:tcPr>
          <w:p w:rsidR="00CD346D" w:rsidRPr="00507B6D" w:rsidRDefault="00CD346D" w:rsidP="00DF5CE0">
            <w:pPr>
              <w:rPr>
                <w:color w:val="000000"/>
                <w:sz w:val="26"/>
                <w:szCs w:val="20"/>
              </w:rPr>
            </w:pPr>
            <w:r w:rsidRPr="00507B6D">
              <w:rPr>
                <w:color w:val="000000"/>
                <w:sz w:val="26"/>
                <w:szCs w:val="20"/>
              </w:rPr>
              <w:t>FERC -545</w:t>
            </w:r>
            <w:r w:rsidR="00DF5CE0">
              <w:rPr>
                <w:color w:val="000000"/>
                <w:sz w:val="26"/>
                <w:szCs w:val="20"/>
              </w:rPr>
              <w:t>A</w:t>
            </w:r>
          </w:p>
        </w:tc>
        <w:tc>
          <w:tcPr>
            <w:tcW w:w="1770" w:type="dxa"/>
            <w:vAlign w:val="bottom"/>
          </w:tcPr>
          <w:p w:rsidR="00CD346D" w:rsidRPr="00507B6D" w:rsidRDefault="00DF5CE0" w:rsidP="008C3BF9">
            <w:pPr>
              <w:jc w:val="right"/>
              <w:rPr>
                <w:color w:val="000000"/>
                <w:sz w:val="26"/>
                <w:szCs w:val="20"/>
              </w:rPr>
            </w:pPr>
            <w:r>
              <w:rPr>
                <w:color w:val="000000"/>
                <w:sz w:val="26"/>
                <w:szCs w:val="20"/>
              </w:rPr>
              <w:t>0</w:t>
            </w:r>
          </w:p>
        </w:tc>
        <w:tc>
          <w:tcPr>
            <w:tcW w:w="1920" w:type="dxa"/>
            <w:vAlign w:val="bottom"/>
          </w:tcPr>
          <w:p w:rsidR="00CD346D" w:rsidRPr="00507B6D" w:rsidRDefault="00DF5CE0" w:rsidP="008C3BF9">
            <w:pPr>
              <w:jc w:val="right"/>
              <w:rPr>
                <w:color w:val="000000"/>
                <w:sz w:val="26"/>
                <w:szCs w:val="20"/>
              </w:rPr>
            </w:pPr>
            <w:r>
              <w:rPr>
                <w:color w:val="000000"/>
                <w:sz w:val="26"/>
                <w:szCs w:val="20"/>
              </w:rPr>
              <w:t>0</w:t>
            </w:r>
          </w:p>
        </w:tc>
        <w:tc>
          <w:tcPr>
            <w:tcW w:w="1920" w:type="dxa"/>
          </w:tcPr>
          <w:p w:rsidR="00CD346D" w:rsidDel="00381025" w:rsidRDefault="00CD346D" w:rsidP="008C3BF9">
            <w:pPr>
              <w:jc w:val="right"/>
              <w:rPr>
                <w:color w:val="000000"/>
                <w:sz w:val="26"/>
                <w:szCs w:val="20"/>
              </w:rPr>
            </w:pPr>
            <w:r>
              <w:rPr>
                <w:color w:val="000000"/>
                <w:sz w:val="26"/>
                <w:szCs w:val="20"/>
              </w:rPr>
              <w:t>0</w:t>
            </w:r>
          </w:p>
        </w:tc>
      </w:tr>
      <w:tr w:rsidR="00CD346D" w:rsidRPr="00425731" w:rsidTr="008C3BF9">
        <w:trPr>
          <w:trHeight w:val="250"/>
        </w:trPr>
        <w:tc>
          <w:tcPr>
            <w:tcW w:w="2550" w:type="dxa"/>
          </w:tcPr>
          <w:p w:rsidR="00CD346D" w:rsidRPr="00425731" w:rsidRDefault="00CD346D" w:rsidP="008C3BF9">
            <w:pPr>
              <w:rPr>
                <w:color w:val="000000"/>
                <w:sz w:val="26"/>
                <w:szCs w:val="20"/>
              </w:rPr>
            </w:pPr>
            <w:r w:rsidRPr="00425731">
              <w:rPr>
                <w:color w:val="000000"/>
                <w:sz w:val="26"/>
                <w:szCs w:val="20"/>
              </w:rPr>
              <w:t xml:space="preserve">FERC-549C </w:t>
            </w:r>
          </w:p>
        </w:tc>
        <w:tc>
          <w:tcPr>
            <w:tcW w:w="1770" w:type="dxa"/>
            <w:vAlign w:val="bottom"/>
          </w:tcPr>
          <w:p w:rsidR="00CD346D" w:rsidRPr="00425731" w:rsidRDefault="00DF5CE0" w:rsidP="008C3BF9">
            <w:pPr>
              <w:jc w:val="right"/>
              <w:rPr>
                <w:color w:val="000000"/>
                <w:sz w:val="26"/>
                <w:szCs w:val="20"/>
              </w:rPr>
            </w:pPr>
            <w:r>
              <w:rPr>
                <w:color w:val="000000"/>
                <w:sz w:val="26"/>
                <w:szCs w:val="20"/>
              </w:rPr>
              <w:t>491</w:t>
            </w:r>
          </w:p>
        </w:tc>
        <w:tc>
          <w:tcPr>
            <w:tcW w:w="1920" w:type="dxa"/>
            <w:vAlign w:val="bottom"/>
          </w:tcPr>
          <w:p w:rsidR="00CD346D" w:rsidRPr="00425731" w:rsidRDefault="00DF5CE0" w:rsidP="008C3BF9">
            <w:pPr>
              <w:jc w:val="right"/>
              <w:rPr>
                <w:color w:val="000000"/>
                <w:sz w:val="26"/>
                <w:szCs w:val="20"/>
              </w:rPr>
            </w:pPr>
            <w:r w:rsidRPr="00DF5CE0">
              <w:rPr>
                <w:color w:val="000000"/>
                <w:sz w:val="26"/>
                <w:szCs w:val="20"/>
              </w:rPr>
              <w:t xml:space="preserve">57,803  </w:t>
            </w:r>
          </w:p>
        </w:tc>
        <w:tc>
          <w:tcPr>
            <w:tcW w:w="1920" w:type="dxa"/>
          </w:tcPr>
          <w:p w:rsidR="00CD346D" w:rsidRPr="00425731" w:rsidDel="004A7160" w:rsidRDefault="00CD346D" w:rsidP="008C3BF9">
            <w:pPr>
              <w:jc w:val="right"/>
              <w:rPr>
                <w:color w:val="000000"/>
                <w:sz w:val="26"/>
                <w:szCs w:val="20"/>
              </w:rPr>
            </w:pPr>
            <w:r w:rsidRPr="00425731">
              <w:rPr>
                <w:color w:val="000000"/>
                <w:sz w:val="26"/>
                <w:szCs w:val="20"/>
              </w:rPr>
              <w:t>0</w:t>
            </w:r>
          </w:p>
        </w:tc>
      </w:tr>
    </w:tbl>
    <w:p w:rsidR="009D6A25" w:rsidRDefault="009D6A25">
      <w:pPr>
        <w:rPr>
          <w:sz w:val="26"/>
          <w:szCs w:val="26"/>
        </w:rPr>
      </w:pPr>
    </w:p>
    <w:p w:rsidR="00CB41CE" w:rsidRDefault="00CB41CE" w:rsidP="00CB41CE">
      <w:pPr>
        <w:widowControl/>
        <w:rPr>
          <w:b/>
          <w:sz w:val="26"/>
          <w:szCs w:val="26"/>
        </w:rPr>
      </w:pPr>
      <w:proofErr w:type="gramStart"/>
      <w:r>
        <w:rPr>
          <w:b/>
          <w:sz w:val="26"/>
          <w:szCs w:val="26"/>
        </w:rPr>
        <w:t xml:space="preserve">The </w:t>
      </w:r>
      <w:r w:rsidR="0057347B">
        <w:rPr>
          <w:b/>
          <w:sz w:val="26"/>
          <w:szCs w:val="26"/>
        </w:rPr>
        <w:t>NOPR</w:t>
      </w:r>
      <w:r>
        <w:rPr>
          <w:b/>
          <w:sz w:val="26"/>
          <w:szCs w:val="26"/>
        </w:rPr>
        <w:t xml:space="preserve"> in </w:t>
      </w:r>
      <w:r w:rsidR="0057347B">
        <w:rPr>
          <w:b/>
          <w:sz w:val="26"/>
          <w:szCs w:val="26"/>
        </w:rPr>
        <w:t>RM96-1-038</w:t>
      </w:r>
      <w:r>
        <w:rPr>
          <w:b/>
          <w:sz w:val="26"/>
          <w:szCs w:val="26"/>
        </w:rPr>
        <w:t xml:space="preserve"> and this supporting statement.</w:t>
      </w:r>
      <w:proofErr w:type="gramEnd"/>
    </w:p>
    <w:p w:rsidR="00CB41CE" w:rsidRDefault="00CB41CE" w:rsidP="00C550B4">
      <w:pPr>
        <w:widowControl/>
        <w:rPr>
          <w:sz w:val="26"/>
          <w:szCs w:val="26"/>
        </w:rPr>
      </w:pPr>
      <w:proofErr w:type="gramStart"/>
      <w:r>
        <w:rPr>
          <w:b/>
          <w:sz w:val="26"/>
          <w:szCs w:val="26"/>
        </w:rPr>
        <w:t>FERC-545</w:t>
      </w:r>
      <w:r w:rsidRPr="00950A39">
        <w:rPr>
          <w:sz w:val="26"/>
          <w:szCs w:val="26"/>
        </w:rPr>
        <w:t>.</w:t>
      </w:r>
      <w:proofErr w:type="gramEnd"/>
      <w:r w:rsidRPr="00950A39">
        <w:rPr>
          <w:sz w:val="26"/>
          <w:szCs w:val="26"/>
        </w:rPr>
        <w:t xml:space="preserve">  The</w:t>
      </w:r>
      <w:r>
        <w:rPr>
          <w:b/>
          <w:sz w:val="26"/>
          <w:szCs w:val="26"/>
        </w:rPr>
        <w:t xml:space="preserve"> </w:t>
      </w:r>
      <w:r w:rsidR="0057347B">
        <w:rPr>
          <w:sz w:val="26"/>
          <w:szCs w:val="26"/>
        </w:rPr>
        <w:t>NOPR</w:t>
      </w:r>
      <w:r>
        <w:rPr>
          <w:sz w:val="26"/>
          <w:szCs w:val="26"/>
        </w:rPr>
        <w:t xml:space="preserve"> in </w:t>
      </w:r>
      <w:r w:rsidR="0057347B">
        <w:rPr>
          <w:sz w:val="26"/>
          <w:szCs w:val="26"/>
        </w:rPr>
        <w:t>RM96-1-038</w:t>
      </w:r>
      <w:r>
        <w:rPr>
          <w:sz w:val="26"/>
          <w:szCs w:val="26"/>
        </w:rPr>
        <w:t xml:space="preserve"> </w:t>
      </w:r>
      <w:r w:rsidR="008B0EA5">
        <w:rPr>
          <w:sz w:val="26"/>
          <w:szCs w:val="26"/>
        </w:rPr>
        <w:t xml:space="preserve">would </w:t>
      </w:r>
      <w:r>
        <w:rPr>
          <w:sz w:val="26"/>
          <w:szCs w:val="26"/>
        </w:rPr>
        <w:t>require interstate gas pipelines to make a one-time tariff filing to reflect the changes</w:t>
      </w:r>
      <w:r w:rsidR="000373E4">
        <w:rPr>
          <w:sz w:val="26"/>
          <w:szCs w:val="26"/>
        </w:rPr>
        <w:t>.</w:t>
      </w:r>
    </w:p>
    <w:p w:rsidR="00CB41CE" w:rsidRDefault="00CB41CE" w:rsidP="00CB41CE">
      <w:pPr>
        <w:widowControl/>
        <w:ind w:left="720"/>
        <w:rPr>
          <w:sz w:val="26"/>
          <w:szCs w:val="26"/>
        </w:rPr>
      </w:pPr>
    </w:p>
    <w:p w:rsidR="00E20863" w:rsidRDefault="00CB41CE">
      <w:pPr>
        <w:rPr>
          <w:sz w:val="26"/>
          <w:szCs w:val="26"/>
        </w:rPr>
      </w:pPr>
      <w:r w:rsidRPr="00644125">
        <w:rPr>
          <w:b/>
          <w:sz w:val="26"/>
          <w:szCs w:val="26"/>
        </w:rPr>
        <w:t xml:space="preserve">FERC-549C.  </w:t>
      </w:r>
      <w:r>
        <w:rPr>
          <w:sz w:val="26"/>
          <w:szCs w:val="26"/>
        </w:rPr>
        <w:t>In the</w:t>
      </w:r>
      <w:r w:rsidRPr="00BE70AC">
        <w:rPr>
          <w:sz w:val="26"/>
          <w:szCs w:val="26"/>
        </w:rPr>
        <w:t xml:space="preserve"> </w:t>
      </w:r>
      <w:r w:rsidR="0057347B">
        <w:rPr>
          <w:sz w:val="26"/>
          <w:szCs w:val="26"/>
        </w:rPr>
        <w:t>NOPR</w:t>
      </w:r>
      <w:r>
        <w:rPr>
          <w:sz w:val="26"/>
          <w:szCs w:val="26"/>
        </w:rPr>
        <w:t xml:space="preserve"> in </w:t>
      </w:r>
      <w:r w:rsidR="0057347B">
        <w:rPr>
          <w:sz w:val="26"/>
          <w:szCs w:val="26"/>
        </w:rPr>
        <w:t>RM96-1-038</w:t>
      </w:r>
      <w:r w:rsidRPr="00BE70AC">
        <w:rPr>
          <w:sz w:val="26"/>
          <w:szCs w:val="26"/>
        </w:rPr>
        <w:t xml:space="preserve">, the Commission is </w:t>
      </w:r>
      <w:r w:rsidR="003F0D2A">
        <w:rPr>
          <w:sz w:val="26"/>
          <w:szCs w:val="26"/>
        </w:rPr>
        <w:t>proposing to approve changes to the NAESB standard</w:t>
      </w:r>
      <w:r w:rsidR="008B0EA5">
        <w:rPr>
          <w:sz w:val="26"/>
          <w:szCs w:val="26"/>
        </w:rPr>
        <w:t>s</w:t>
      </w:r>
      <w:r w:rsidR="003F0D2A">
        <w:rPr>
          <w:sz w:val="26"/>
          <w:szCs w:val="26"/>
        </w:rPr>
        <w:t>.  The resulting burden change is</w:t>
      </w:r>
      <w:r w:rsidRPr="00BE70AC">
        <w:rPr>
          <w:sz w:val="26"/>
          <w:szCs w:val="26"/>
        </w:rPr>
        <w:t xml:space="preserve"> </w:t>
      </w:r>
      <w:r w:rsidR="003F0D2A">
        <w:rPr>
          <w:sz w:val="26"/>
          <w:szCs w:val="26"/>
        </w:rPr>
        <w:t>primarily</w:t>
      </w:r>
      <w:r w:rsidR="001B4C5E">
        <w:rPr>
          <w:sz w:val="26"/>
          <w:szCs w:val="26"/>
        </w:rPr>
        <w:t xml:space="preserve"> </w:t>
      </w:r>
      <w:r w:rsidR="003F0D2A" w:rsidRPr="003F0D2A">
        <w:rPr>
          <w:sz w:val="26"/>
          <w:szCs w:val="26"/>
        </w:rPr>
        <w:t>related to start-up to implement these standards and regulations.</w:t>
      </w:r>
      <w:r w:rsidR="005E5702">
        <w:rPr>
          <w:sz w:val="26"/>
          <w:szCs w:val="26"/>
        </w:rPr>
        <w:t xml:space="preserve">  The proposed changes include:</w:t>
      </w:r>
    </w:p>
    <w:p w:rsidR="005E5702" w:rsidRDefault="005E5702" w:rsidP="0080741B">
      <w:pPr>
        <w:pStyle w:val="ListParagraph"/>
        <w:numPr>
          <w:ilvl w:val="0"/>
          <w:numId w:val="36"/>
        </w:numPr>
        <w:rPr>
          <w:sz w:val="26"/>
          <w:szCs w:val="26"/>
        </w:rPr>
      </w:pPr>
      <w:r w:rsidRPr="0080741B">
        <w:rPr>
          <w:sz w:val="26"/>
          <w:szCs w:val="26"/>
        </w:rPr>
        <w:t>modify</w:t>
      </w:r>
      <w:r>
        <w:rPr>
          <w:sz w:val="26"/>
          <w:szCs w:val="26"/>
        </w:rPr>
        <w:t>ing</w:t>
      </w:r>
      <w:r w:rsidRPr="0080741B">
        <w:rPr>
          <w:sz w:val="26"/>
          <w:szCs w:val="26"/>
        </w:rPr>
        <w:t xml:space="preserve"> WGQ Standard 4.3.23 to add “Request to Purchase Releasable Capacity” as a subcategory of information contained in a transportation service provider’s information posting website</w:t>
      </w:r>
    </w:p>
    <w:p w:rsidR="005E5702" w:rsidRDefault="005E5702" w:rsidP="0080741B">
      <w:pPr>
        <w:pStyle w:val="ListParagraph"/>
        <w:numPr>
          <w:ilvl w:val="0"/>
          <w:numId w:val="36"/>
        </w:numPr>
        <w:rPr>
          <w:sz w:val="26"/>
          <w:szCs w:val="26"/>
        </w:rPr>
      </w:pPr>
      <w:r w:rsidRPr="0080741B">
        <w:rPr>
          <w:sz w:val="26"/>
          <w:szCs w:val="26"/>
        </w:rPr>
        <w:t>add</w:t>
      </w:r>
      <w:r>
        <w:rPr>
          <w:sz w:val="26"/>
          <w:szCs w:val="26"/>
        </w:rPr>
        <w:t>ing</w:t>
      </w:r>
      <w:r w:rsidRPr="0080741B">
        <w:rPr>
          <w:sz w:val="26"/>
          <w:szCs w:val="26"/>
        </w:rPr>
        <w:t xml:space="preserve"> new WGQ Standard 5.3.73, containing requirements regarding requests to purchase capacity that is releasable</w:t>
      </w:r>
    </w:p>
    <w:p w:rsidR="005E5702" w:rsidRPr="0080741B" w:rsidRDefault="005E5702" w:rsidP="0080741B">
      <w:pPr>
        <w:pStyle w:val="ListParagraph"/>
        <w:numPr>
          <w:ilvl w:val="0"/>
          <w:numId w:val="36"/>
        </w:numPr>
        <w:rPr>
          <w:sz w:val="26"/>
          <w:szCs w:val="26"/>
        </w:rPr>
      </w:pPr>
      <w:r>
        <w:rPr>
          <w:sz w:val="26"/>
          <w:szCs w:val="26"/>
        </w:rPr>
        <w:t>using</w:t>
      </w:r>
      <w:r w:rsidRPr="005E5702">
        <w:rPr>
          <w:sz w:val="26"/>
          <w:szCs w:val="26"/>
        </w:rPr>
        <w:t xml:space="preserve"> proprietary codes to identify the location of points of receipt and delivery</w:t>
      </w:r>
      <w:r>
        <w:rPr>
          <w:sz w:val="26"/>
          <w:szCs w:val="26"/>
        </w:rPr>
        <w:t xml:space="preserve"> and</w:t>
      </w:r>
      <w:r w:rsidRPr="005E5702">
        <w:rPr>
          <w:sz w:val="26"/>
          <w:szCs w:val="26"/>
        </w:rPr>
        <w:t xml:space="preserve"> requir</w:t>
      </w:r>
      <w:r>
        <w:rPr>
          <w:sz w:val="26"/>
          <w:szCs w:val="26"/>
        </w:rPr>
        <w:t>ing</w:t>
      </w:r>
      <w:r w:rsidRPr="005E5702">
        <w:rPr>
          <w:sz w:val="26"/>
          <w:szCs w:val="26"/>
        </w:rPr>
        <w:t xml:space="preserve"> pipelines to post on their websites information on each of the proprietary points </w:t>
      </w:r>
      <w:r>
        <w:rPr>
          <w:sz w:val="26"/>
          <w:szCs w:val="26"/>
        </w:rPr>
        <w:t>(</w:t>
      </w:r>
      <w:r w:rsidR="00C56389">
        <w:rPr>
          <w:sz w:val="26"/>
          <w:szCs w:val="26"/>
        </w:rPr>
        <w:t xml:space="preserve">and no longer </w:t>
      </w:r>
      <w:proofErr w:type="spellStart"/>
      <w:r w:rsidR="00C56389">
        <w:rPr>
          <w:sz w:val="26"/>
          <w:szCs w:val="26"/>
        </w:rPr>
        <w:t>using</w:t>
      </w:r>
      <w:r>
        <w:rPr>
          <w:sz w:val="26"/>
          <w:szCs w:val="26"/>
        </w:rPr>
        <w:t>the</w:t>
      </w:r>
      <w:proofErr w:type="spellEnd"/>
      <w:r>
        <w:rPr>
          <w:sz w:val="26"/>
          <w:szCs w:val="26"/>
        </w:rPr>
        <w:t xml:space="preserve"> current common code database which </w:t>
      </w:r>
      <w:r w:rsidR="00C56389">
        <w:rPr>
          <w:sz w:val="26"/>
          <w:szCs w:val="26"/>
        </w:rPr>
        <w:t xml:space="preserve">industry decided </w:t>
      </w:r>
      <w:r>
        <w:rPr>
          <w:sz w:val="26"/>
          <w:szCs w:val="26"/>
        </w:rPr>
        <w:t xml:space="preserve">is not </w:t>
      </w:r>
      <w:r>
        <w:rPr>
          <w:sz w:val="26"/>
          <w:szCs w:val="26"/>
        </w:rPr>
        <w:lastRenderedPageBreak/>
        <w:t xml:space="preserve">worth the expense and effort) </w:t>
      </w:r>
      <w:r w:rsidRPr="005E5702">
        <w:rPr>
          <w:sz w:val="26"/>
          <w:szCs w:val="26"/>
        </w:rPr>
        <w:t xml:space="preserve">that can be used to determine which points are interconnecting points between pipelines </w:t>
      </w:r>
    </w:p>
    <w:p w:rsidR="005E5702" w:rsidRPr="0080741B" w:rsidRDefault="001B4C5E" w:rsidP="0080741B">
      <w:pPr>
        <w:pStyle w:val="ListParagraph"/>
        <w:numPr>
          <w:ilvl w:val="0"/>
          <w:numId w:val="35"/>
        </w:numPr>
        <w:rPr>
          <w:sz w:val="26"/>
          <w:szCs w:val="26"/>
        </w:rPr>
      </w:pPr>
      <w:proofErr w:type="gramStart"/>
      <w:r>
        <w:rPr>
          <w:sz w:val="26"/>
          <w:szCs w:val="26"/>
        </w:rPr>
        <w:t>approving</w:t>
      </w:r>
      <w:proofErr w:type="gramEnd"/>
      <w:r>
        <w:rPr>
          <w:sz w:val="26"/>
          <w:szCs w:val="26"/>
        </w:rPr>
        <w:t xml:space="preserve"> </w:t>
      </w:r>
      <w:r w:rsidRPr="001B4C5E">
        <w:rPr>
          <w:sz w:val="26"/>
          <w:szCs w:val="26"/>
        </w:rPr>
        <w:t>NAESB’s approach of separately reporting both “Design Capacity” and “Operating Capacity” as part of the reporting data set</w:t>
      </w:r>
      <w:r w:rsidR="00265D19">
        <w:rPr>
          <w:sz w:val="26"/>
          <w:szCs w:val="26"/>
        </w:rPr>
        <w:t>,</w:t>
      </w:r>
      <w:r w:rsidRPr="001B4C5E">
        <w:rPr>
          <w:sz w:val="26"/>
          <w:szCs w:val="26"/>
        </w:rPr>
        <w:t xml:space="preserve"> </w:t>
      </w:r>
      <w:r w:rsidR="00265D19">
        <w:rPr>
          <w:sz w:val="26"/>
          <w:szCs w:val="26"/>
        </w:rPr>
        <w:t>because they are not synonymous and</w:t>
      </w:r>
      <w:r w:rsidRPr="001B4C5E">
        <w:rPr>
          <w:sz w:val="26"/>
          <w:szCs w:val="26"/>
        </w:rPr>
        <w:t xml:space="preserve"> this will provide shippers and the Commission with added information.  Accordingly, the Commission proposes to incorporate by reference revised WGQ Standards 0.3.18, 0.3.20, and 0.3.21, and Dataset 0.4.2, as the revised standards and dataset meet the Commission’s past concerns and no longer conflict with section 284.13(d) of the Commission’s regulations.</w:t>
      </w:r>
    </w:p>
    <w:p w:rsidR="00E20863" w:rsidRPr="00425731" w:rsidRDefault="00E20863">
      <w:pPr>
        <w:rPr>
          <w:b/>
          <w:sz w:val="26"/>
          <w:szCs w:val="26"/>
        </w:rPr>
      </w:pPr>
    </w:p>
    <w:p w:rsidR="003F0D2A" w:rsidRDefault="003F0D2A">
      <w:pPr>
        <w:widowControl/>
        <w:autoSpaceDE/>
        <w:autoSpaceDN/>
        <w:adjustRightInd/>
        <w:rPr>
          <w:b/>
          <w:bCs/>
          <w:sz w:val="26"/>
          <w:szCs w:val="26"/>
        </w:rPr>
      </w:pPr>
    </w:p>
    <w:p w:rsidR="009D6A25" w:rsidRPr="009D6A25" w:rsidRDefault="009D6A25" w:rsidP="00875400">
      <w:pPr>
        <w:rPr>
          <w:b/>
          <w:sz w:val="26"/>
          <w:szCs w:val="26"/>
        </w:rPr>
      </w:pPr>
      <w:r w:rsidRPr="00425731">
        <w:rPr>
          <w:b/>
          <w:bCs/>
          <w:sz w:val="26"/>
          <w:szCs w:val="26"/>
        </w:rPr>
        <w:t>Summary table</w:t>
      </w:r>
      <w:r w:rsidRPr="009D6A25">
        <w:rPr>
          <w:bCs/>
          <w:sz w:val="26"/>
          <w:szCs w:val="26"/>
        </w:rPr>
        <w:t xml:space="preserve"> of changes to burden hours, with current approved inventory, as listed in ROCIS and reginfo.gov</w:t>
      </w:r>
      <w:r w:rsidR="00807E75">
        <w:rPr>
          <w:bCs/>
          <w:sz w:val="26"/>
          <w:szCs w:val="26"/>
        </w:rPr>
        <w:t xml:space="preserve"> </w:t>
      </w:r>
      <w:r w:rsidR="006367D1">
        <w:rPr>
          <w:bCs/>
          <w:sz w:val="26"/>
          <w:szCs w:val="26"/>
        </w:rPr>
        <w:t xml:space="preserve">follow.  (The additional implementation burden due to the NOPR in RM96-1-038 is being </w:t>
      </w:r>
      <w:r w:rsidR="00DA4F8A">
        <w:rPr>
          <w:bCs/>
          <w:sz w:val="26"/>
          <w:szCs w:val="26"/>
        </w:rPr>
        <w:t>averaged over Years 1-3</w:t>
      </w:r>
      <w:r w:rsidR="00006B58">
        <w:rPr>
          <w:bCs/>
          <w:sz w:val="26"/>
          <w:szCs w:val="26"/>
        </w:rPr>
        <w:t>, as discussed in #12 above</w:t>
      </w:r>
      <w:r w:rsidR="00DA4F8A">
        <w:rPr>
          <w:bCs/>
          <w:sz w:val="26"/>
          <w:szCs w:val="26"/>
        </w:rPr>
        <w:t>.)</w:t>
      </w:r>
    </w:p>
    <w:p w:rsidR="009D6A25" w:rsidRPr="009D6A25" w:rsidRDefault="009D6A25" w:rsidP="009D6A25">
      <w:pPr>
        <w:rPr>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0B6AAE" w:rsidRPr="00254D55" w:rsidTr="00C75C08">
        <w:trPr>
          <w:trHeight w:val="870"/>
        </w:trPr>
        <w:tc>
          <w:tcPr>
            <w:tcW w:w="2679" w:type="dxa"/>
            <w:tcBorders>
              <w:bottom w:val="single" w:sz="4" w:space="0" w:color="auto"/>
            </w:tcBorders>
            <w:shd w:val="clear" w:color="auto" w:fill="D9D9D9"/>
            <w:vAlign w:val="bottom"/>
          </w:tcPr>
          <w:p w:rsidR="000B6AAE" w:rsidRPr="00254D55" w:rsidRDefault="000B6AAE" w:rsidP="005A36C7">
            <w:pPr>
              <w:widowControl/>
              <w:autoSpaceDE/>
              <w:autoSpaceDN/>
              <w:adjustRightInd/>
              <w:jc w:val="center"/>
              <w:rPr>
                <w:rFonts w:eastAsia="Calibri"/>
                <w:b/>
                <w:sz w:val="26"/>
                <w:szCs w:val="26"/>
              </w:rPr>
            </w:pPr>
          </w:p>
        </w:tc>
        <w:tc>
          <w:tcPr>
            <w:tcW w:w="1461" w:type="dxa"/>
            <w:tcBorders>
              <w:bottom w:val="single" w:sz="4" w:space="0" w:color="auto"/>
            </w:tcBorders>
            <w:shd w:val="clear" w:color="auto" w:fill="D9D9D9"/>
            <w:vAlign w:val="bottom"/>
          </w:tcPr>
          <w:p w:rsidR="000B6AAE" w:rsidRPr="00254D55" w:rsidRDefault="000B6AAE" w:rsidP="005A36C7">
            <w:pPr>
              <w:widowControl/>
              <w:autoSpaceDE/>
              <w:autoSpaceDN/>
              <w:adjustRightInd/>
              <w:jc w:val="center"/>
              <w:rPr>
                <w:rFonts w:eastAsia="Calibri"/>
                <w:b/>
                <w:sz w:val="26"/>
                <w:szCs w:val="26"/>
              </w:rPr>
            </w:pPr>
            <w:r w:rsidRPr="00254D55">
              <w:rPr>
                <w:rFonts w:eastAsia="Calibri"/>
                <w:b/>
                <w:sz w:val="26"/>
                <w:szCs w:val="26"/>
              </w:rPr>
              <w:t>Total Request</w:t>
            </w:r>
          </w:p>
        </w:tc>
        <w:tc>
          <w:tcPr>
            <w:tcW w:w="1620" w:type="dxa"/>
            <w:tcBorders>
              <w:bottom w:val="single" w:sz="4" w:space="0" w:color="auto"/>
            </w:tcBorders>
            <w:shd w:val="clear" w:color="auto" w:fill="D9D9D9"/>
            <w:vAlign w:val="bottom"/>
          </w:tcPr>
          <w:p w:rsidR="000B6AAE" w:rsidRPr="00254D55" w:rsidRDefault="000B6AAE" w:rsidP="005A36C7">
            <w:pPr>
              <w:widowControl/>
              <w:autoSpaceDE/>
              <w:autoSpaceDN/>
              <w:adjustRightInd/>
              <w:jc w:val="center"/>
              <w:rPr>
                <w:rFonts w:eastAsia="Calibri"/>
                <w:b/>
                <w:sz w:val="26"/>
                <w:szCs w:val="26"/>
              </w:rPr>
            </w:pPr>
            <w:r w:rsidRPr="00254D55">
              <w:rPr>
                <w:rFonts w:eastAsia="Calibri"/>
                <w:b/>
                <w:sz w:val="26"/>
                <w:szCs w:val="26"/>
              </w:rPr>
              <w:t>Previously Approved</w:t>
            </w:r>
          </w:p>
        </w:tc>
        <w:tc>
          <w:tcPr>
            <w:tcW w:w="1800" w:type="dxa"/>
            <w:tcBorders>
              <w:bottom w:val="single" w:sz="4" w:space="0" w:color="auto"/>
            </w:tcBorders>
            <w:shd w:val="clear" w:color="auto" w:fill="D9D9D9"/>
            <w:vAlign w:val="bottom"/>
          </w:tcPr>
          <w:p w:rsidR="000B6AAE" w:rsidRPr="00254D55" w:rsidRDefault="000B6AAE" w:rsidP="005A36C7">
            <w:pPr>
              <w:widowControl/>
              <w:autoSpaceDE/>
              <w:autoSpaceDN/>
              <w:adjustRightInd/>
              <w:jc w:val="center"/>
              <w:rPr>
                <w:rFonts w:eastAsia="Calibri"/>
                <w:b/>
                <w:sz w:val="26"/>
                <w:szCs w:val="26"/>
              </w:rPr>
            </w:pPr>
            <w:r w:rsidRPr="00254D55">
              <w:rPr>
                <w:rFonts w:eastAsia="Calibri"/>
                <w:b/>
                <w:sz w:val="26"/>
                <w:szCs w:val="26"/>
              </w:rPr>
              <w:t>Change due to Adjustment in Estimate</w:t>
            </w:r>
          </w:p>
        </w:tc>
        <w:tc>
          <w:tcPr>
            <w:tcW w:w="1800" w:type="dxa"/>
            <w:tcBorders>
              <w:bottom w:val="single" w:sz="4" w:space="0" w:color="auto"/>
            </w:tcBorders>
            <w:shd w:val="clear" w:color="auto" w:fill="D9D9D9"/>
            <w:vAlign w:val="bottom"/>
          </w:tcPr>
          <w:p w:rsidR="000B6AAE" w:rsidRPr="00254D55" w:rsidRDefault="000B6AAE" w:rsidP="005A36C7">
            <w:pPr>
              <w:widowControl/>
              <w:autoSpaceDE/>
              <w:autoSpaceDN/>
              <w:adjustRightInd/>
              <w:jc w:val="center"/>
              <w:rPr>
                <w:rFonts w:eastAsia="Calibri"/>
                <w:b/>
                <w:sz w:val="26"/>
                <w:szCs w:val="26"/>
              </w:rPr>
            </w:pPr>
            <w:r w:rsidRPr="00254D55">
              <w:rPr>
                <w:rFonts w:eastAsia="Calibri"/>
                <w:b/>
                <w:sz w:val="26"/>
                <w:szCs w:val="26"/>
              </w:rPr>
              <w:t>Change Due to Agency Discretion</w:t>
            </w:r>
          </w:p>
        </w:tc>
      </w:tr>
      <w:tr w:rsidR="00A50333" w:rsidRPr="00254D55" w:rsidTr="00027B22">
        <w:trPr>
          <w:trHeight w:val="431"/>
        </w:trPr>
        <w:tc>
          <w:tcPr>
            <w:tcW w:w="9360" w:type="dxa"/>
            <w:gridSpan w:val="5"/>
            <w:shd w:val="clear" w:color="auto" w:fill="C6D9F1" w:themeFill="text2" w:themeFillTint="33"/>
            <w:vAlign w:val="bottom"/>
          </w:tcPr>
          <w:p w:rsidR="00A50333" w:rsidRPr="00C75C08" w:rsidRDefault="00A50333" w:rsidP="00027B22">
            <w:pPr>
              <w:widowControl/>
              <w:autoSpaceDE/>
              <w:autoSpaceDN/>
              <w:adjustRightInd/>
              <w:jc w:val="center"/>
              <w:rPr>
                <w:b/>
                <w:bCs/>
                <w:sz w:val="26"/>
                <w:szCs w:val="26"/>
              </w:rPr>
            </w:pPr>
            <w:r>
              <w:rPr>
                <w:b/>
                <w:bCs/>
                <w:sz w:val="26"/>
                <w:szCs w:val="26"/>
              </w:rPr>
              <w:t>FERC-545</w:t>
            </w:r>
            <w:r w:rsidR="003F0D2A">
              <w:rPr>
                <w:b/>
                <w:bCs/>
                <w:sz w:val="26"/>
                <w:szCs w:val="26"/>
              </w:rPr>
              <w:t>A</w:t>
            </w:r>
          </w:p>
        </w:tc>
      </w:tr>
      <w:tr w:rsidR="000B6AAE" w:rsidRPr="00254D55" w:rsidTr="00027B22">
        <w:trPr>
          <w:trHeight w:val="591"/>
        </w:trPr>
        <w:tc>
          <w:tcPr>
            <w:tcW w:w="2679" w:type="dxa"/>
            <w:shd w:val="clear" w:color="auto" w:fill="auto"/>
          </w:tcPr>
          <w:p w:rsidR="000B6AAE" w:rsidRPr="00254D55" w:rsidRDefault="000B6AAE" w:rsidP="0046219B">
            <w:pPr>
              <w:widowControl/>
              <w:autoSpaceDE/>
              <w:autoSpaceDN/>
              <w:adjustRightInd/>
              <w:jc w:val="center"/>
              <w:rPr>
                <w:rFonts w:eastAsia="Calibri"/>
                <w:sz w:val="26"/>
                <w:szCs w:val="26"/>
              </w:rPr>
            </w:pPr>
            <w:r w:rsidRPr="00254D55">
              <w:rPr>
                <w:rFonts w:eastAsia="Calibri"/>
                <w:sz w:val="26"/>
                <w:szCs w:val="26"/>
              </w:rPr>
              <w:t>Annual Number of Responses</w:t>
            </w:r>
          </w:p>
        </w:tc>
        <w:tc>
          <w:tcPr>
            <w:tcW w:w="1461" w:type="dxa"/>
            <w:shd w:val="clear" w:color="auto" w:fill="auto"/>
            <w:vAlign w:val="bottom"/>
          </w:tcPr>
          <w:p w:rsidR="000B6AAE" w:rsidRPr="006923C8" w:rsidRDefault="00755904" w:rsidP="00755904">
            <w:pPr>
              <w:widowControl/>
              <w:autoSpaceDE/>
              <w:autoSpaceDN/>
              <w:adjustRightInd/>
              <w:jc w:val="right"/>
              <w:rPr>
                <w:rFonts w:eastAsia="Calibri"/>
                <w:sz w:val="26"/>
                <w:szCs w:val="26"/>
              </w:rPr>
            </w:pPr>
            <w:r w:rsidRPr="006923C8">
              <w:rPr>
                <w:rFonts w:eastAsia="Calibri"/>
                <w:sz w:val="26"/>
                <w:szCs w:val="26"/>
              </w:rPr>
              <w:t>165</w:t>
            </w:r>
          </w:p>
        </w:tc>
        <w:tc>
          <w:tcPr>
            <w:tcW w:w="1620" w:type="dxa"/>
            <w:shd w:val="clear" w:color="auto" w:fill="auto"/>
            <w:vAlign w:val="bottom"/>
          </w:tcPr>
          <w:p w:rsidR="000B6AAE" w:rsidRPr="006923C8" w:rsidRDefault="00265D19" w:rsidP="00027B22">
            <w:pPr>
              <w:widowControl/>
              <w:autoSpaceDE/>
              <w:autoSpaceDN/>
              <w:adjustRightInd/>
              <w:jc w:val="right"/>
              <w:rPr>
                <w:rFonts w:eastAsia="Calibri"/>
                <w:sz w:val="26"/>
                <w:szCs w:val="26"/>
              </w:rPr>
            </w:pPr>
            <w:r w:rsidRPr="006923C8">
              <w:rPr>
                <w:rFonts w:eastAsia="Calibri"/>
                <w:sz w:val="26"/>
                <w:szCs w:val="26"/>
              </w:rPr>
              <w:t>0</w:t>
            </w:r>
          </w:p>
        </w:tc>
        <w:tc>
          <w:tcPr>
            <w:tcW w:w="1800" w:type="dxa"/>
            <w:shd w:val="clear" w:color="auto" w:fill="auto"/>
            <w:vAlign w:val="bottom"/>
          </w:tcPr>
          <w:p w:rsidR="000B6AAE" w:rsidRPr="006923C8" w:rsidRDefault="00BE7376" w:rsidP="00027B22">
            <w:pPr>
              <w:widowControl/>
              <w:autoSpaceDE/>
              <w:autoSpaceDN/>
              <w:adjustRightInd/>
              <w:jc w:val="right"/>
              <w:rPr>
                <w:rFonts w:eastAsia="Calibri"/>
                <w:sz w:val="26"/>
                <w:szCs w:val="26"/>
              </w:rPr>
            </w:pPr>
            <w:r w:rsidRPr="006923C8">
              <w:rPr>
                <w:rFonts w:eastAsia="Calibri"/>
                <w:sz w:val="26"/>
                <w:szCs w:val="26"/>
              </w:rPr>
              <w:t>0</w:t>
            </w:r>
          </w:p>
        </w:tc>
        <w:tc>
          <w:tcPr>
            <w:tcW w:w="1800" w:type="dxa"/>
            <w:shd w:val="clear" w:color="auto" w:fill="auto"/>
            <w:vAlign w:val="bottom"/>
          </w:tcPr>
          <w:p w:rsidR="000B6AAE" w:rsidRPr="006923C8" w:rsidRDefault="00C75C08" w:rsidP="00265D19">
            <w:pPr>
              <w:widowControl/>
              <w:autoSpaceDE/>
              <w:autoSpaceDN/>
              <w:adjustRightInd/>
              <w:jc w:val="right"/>
              <w:rPr>
                <w:rFonts w:eastAsia="Calibri"/>
                <w:sz w:val="26"/>
                <w:szCs w:val="26"/>
              </w:rPr>
            </w:pPr>
            <w:r w:rsidRPr="006923C8">
              <w:rPr>
                <w:rFonts w:eastAsia="Calibri"/>
                <w:sz w:val="26"/>
                <w:szCs w:val="26"/>
              </w:rPr>
              <w:t>+</w:t>
            </w:r>
            <w:r w:rsidR="00755904" w:rsidRPr="006923C8">
              <w:rPr>
                <w:rFonts w:eastAsia="Calibri"/>
                <w:sz w:val="26"/>
                <w:szCs w:val="26"/>
              </w:rPr>
              <w:t>165</w:t>
            </w:r>
          </w:p>
        </w:tc>
      </w:tr>
      <w:tr w:rsidR="000B6AAE" w:rsidRPr="00254D55" w:rsidTr="00027B22">
        <w:trPr>
          <w:trHeight w:val="575"/>
        </w:trPr>
        <w:tc>
          <w:tcPr>
            <w:tcW w:w="2679" w:type="dxa"/>
            <w:shd w:val="clear" w:color="auto" w:fill="auto"/>
          </w:tcPr>
          <w:p w:rsidR="000B6AAE" w:rsidRPr="00254D55" w:rsidRDefault="000B6AAE" w:rsidP="0046219B">
            <w:pPr>
              <w:widowControl/>
              <w:autoSpaceDE/>
              <w:autoSpaceDN/>
              <w:adjustRightInd/>
              <w:jc w:val="center"/>
              <w:rPr>
                <w:rFonts w:eastAsia="Calibri"/>
                <w:sz w:val="26"/>
                <w:szCs w:val="26"/>
              </w:rPr>
            </w:pPr>
            <w:r w:rsidRPr="00254D55">
              <w:rPr>
                <w:rFonts w:eastAsia="Calibri"/>
                <w:sz w:val="26"/>
                <w:szCs w:val="26"/>
              </w:rPr>
              <w:t>Annual Time Burden (Hr.)</w:t>
            </w:r>
          </w:p>
        </w:tc>
        <w:tc>
          <w:tcPr>
            <w:tcW w:w="1461" w:type="dxa"/>
            <w:shd w:val="clear" w:color="auto" w:fill="auto"/>
            <w:vAlign w:val="bottom"/>
          </w:tcPr>
          <w:p w:rsidR="000B6AAE" w:rsidRPr="006923C8" w:rsidRDefault="00A06F35" w:rsidP="00265D19">
            <w:pPr>
              <w:widowControl/>
              <w:autoSpaceDE/>
              <w:autoSpaceDN/>
              <w:adjustRightInd/>
              <w:jc w:val="right"/>
              <w:rPr>
                <w:rFonts w:eastAsia="Calibri"/>
                <w:sz w:val="26"/>
                <w:szCs w:val="26"/>
              </w:rPr>
            </w:pPr>
            <w:r w:rsidRPr="006923C8">
              <w:rPr>
                <w:rFonts w:eastAsia="Calibri"/>
                <w:sz w:val="26"/>
                <w:szCs w:val="26"/>
              </w:rPr>
              <w:t>550</w:t>
            </w:r>
          </w:p>
        </w:tc>
        <w:tc>
          <w:tcPr>
            <w:tcW w:w="1620" w:type="dxa"/>
            <w:shd w:val="clear" w:color="auto" w:fill="auto"/>
            <w:vAlign w:val="bottom"/>
          </w:tcPr>
          <w:p w:rsidR="000B6AAE" w:rsidRPr="006923C8" w:rsidRDefault="00265D19" w:rsidP="00027B22">
            <w:pPr>
              <w:widowControl/>
              <w:autoSpaceDE/>
              <w:autoSpaceDN/>
              <w:adjustRightInd/>
              <w:jc w:val="right"/>
              <w:rPr>
                <w:rFonts w:eastAsia="Calibri"/>
                <w:sz w:val="26"/>
                <w:szCs w:val="26"/>
              </w:rPr>
            </w:pPr>
            <w:r w:rsidRPr="006923C8">
              <w:rPr>
                <w:rFonts w:eastAsia="Calibri"/>
                <w:sz w:val="26"/>
                <w:szCs w:val="26"/>
              </w:rPr>
              <w:t>0</w:t>
            </w:r>
          </w:p>
        </w:tc>
        <w:tc>
          <w:tcPr>
            <w:tcW w:w="1800" w:type="dxa"/>
            <w:shd w:val="clear" w:color="auto" w:fill="auto"/>
            <w:vAlign w:val="bottom"/>
          </w:tcPr>
          <w:p w:rsidR="000B6AAE" w:rsidRPr="006923C8" w:rsidRDefault="00BE7376" w:rsidP="00027B22">
            <w:pPr>
              <w:widowControl/>
              <w:autoSpaceDE/>
              <w:autoSpaceDN/>
              <w:adjustRightInd/>
              <w:jc w:val="right"/>
              <w:rPr>
                <w:rFonts w:eastAsia="Calibri"/>
                <w:sz w:val="26"/>
                <w:szCs w:val="26"/>
              </w:rPr>
            </w:pPr>
            <w:r w:rsidRPr="006923C8">
              <w:rPr>
                <w:rFonts w:eastAsia="Calibri"/>
                <w:sz w:val="26"/>
                <w:szCs w:val="26"/>
              </w:rPr>
              <w:t>0</w:t>
            </w:r>
          </w:p>
        </w:tc>
        <w:tc>
          <w:tcPr>
            <w:tcW w:w="1800" w:type="dxa"/>
            <w:shd w:val="clear" w:color="auto" w:fill="auto"/>
            <w:vAlign w:val="bottom"/>
          </w:tcPr>
          <w:p w:rsidR="000B6AAE" w:rsidRPr="006923C8" w:rsidRDefault="00C75C08" w:rsidP="00A06F35">
            <w:pPr>
              <w:widowControl/>
              <w:autoSpaceDE/>
              <w:autoSpaceDN/>
              <w:adjustRightInd/>
              <w:jc w:val="right"/>
              <w:rPr>
                <w:rFonts w:eastAsia="Calibri"/>
                <w:sz w:val="26"/>
                <w:szCs w:val="26"/>
              </w:rPr>
            </w:pPr>
            <w:r w:rsidRPr="006923C8">
              <w:rPr>
                <w:rFonts w:eastAsia="Calibri"/>
                <w:sz w:val="26"/>
                <w:szCs w:val="26"/>
              </w:rPr>
              <w:t>+</w:t>
            </w:r>
            <w:r w:rsidR="00A06F35" w:rsidRPr="006923C8">
              <w:rPr>
                <w:rFonts w:eastAsia="Calibri"/>
                <w:sz w:val="26"/>
                <w:szCs w:val="26"/>
              </w:rPr>
              <w:t>550</w:t>
            </w:r>
          </w:p>
        </w:tc>
      </w:tr>
      <w:tr w:rsidR="000B6AAE" w:rsidRPr="00254D55" w:rsidTr="00027B22">
        <w:trPr>
          <w:trHeight w:val="295"/>
        </w:trPr>
        <w:tc>
          <w:tcPr>
            <w:tcW w:w="2679" w:type="dxa"/>
            <w:tcBorders>
              <w:bottom w:val="single" w:sz="4" w:space="0" w:color="auto"/>
            </w:tcBorders>
            <w:shd w:val="clear" w:color="auto" w:fill="auto"/>
          </w:tcPr>
          <w:p w:rsidR="000B6AAE" w:rsidRPr="00254D55" w:rsidRDefault="000B6AAE" w:rsidP="005A36C7">
            <w:pPr>
              <w:widowControl/>
              <w:autoSpaceDE/>
              <w:autoSpaceDN/>
              <w:adjustRightInd/>
              <w:jc w:val="center"/>
              <w:rPr>
                <w:rFonts w:eastAsia="Calibri"/>
                <w:sz w:val="26"/>
                <w:szCs w:val="26"/>
              </w:rPr>
            </w:pPr>
            <w:r w:rsidRPr="00254D55">
              <w:rPr>
                <w:rFonts w:eastAsia="Calibri"/>
                <w:sz w:val="26"/>
                <w:szCs w:val="26"/>
              </w:rPr>
              <w:t>Annual Cost Burden ($)</w:t>
            </w:r>
          </w:p>
        </w:tc>
        <w:tc>
          <w:tcPr>
            <w:tcW w:w="1461" w:type="dxa"/>
            <w:tcBorders>
              <w:bottom w:val="single" w:sz="4" w:space="0" w:color="auto"/>
            </w:tcBorders>
            <w:shd w:val="clear" w:color="auto" w:fill="auto"/>
            <w:vAlign w:val="bottom"/>
          </w:tcPr>
          <w:p w:rsidR="000B6AAE" w:rsidRPr="00254D55" w:rsidRDefault="00A55F2D" w:rsidP="00027B22">
            <w:pPr>
              <w:widowControl/>
              <w:autoSpaceDE/>
              <w:autoSpaceDN/>
              <w:adjustRightInd/>
              <w:jc w:val="right"/>
              <w:rPr>
                <w:rFonts w:eastAsia="Calibri"/>
                <w:sz w:val="26"/>
                <w:szCs w:val="26"/>
                <w:highlight w:val="yellow"/>
              </w:rPr>
            </w:pPr>
            <w:r w:rsidRPr="00A55F2D">
              <w:rPr>
                <w:rFonts w:eastAsia="Calibri"/>
                <w:sz w:val="26"/>
                <w:szCs w:val="26"/>
              </w:rPr>
              <w:t>$0</w:t>
            </w:r>
          </w:p>
        </w:tc>
        <w:tc>
          <w:tcPr>
            <w:tcW w:w="1620" w:type="dxa"/>
            <w:tcBorders>
              <w:bottom w:val="single" w:sz="4" w:space="0" w:color="auto"/>
            </w:tcBorders>
            <w:shd w:val="clear" w:color="auto" w:fill="auto"/>
            <w:vAlign w:val="bottom"/>
          </w:tcPr>
          <w:p w:rsidR="000B6AAE" w:rsidRPr="00254D55" w:rsidRDefault="0046219B" w:rsidP="00027B22">
            <w:pPr>
              <w:widowControl/>
              <w:autoSpaceDE/>
              <w:autoSpaceDN/>
              <w:adjustRightInd/>
              <w:jc w:val="right"/>
              <w:rPr>
                <w:rFonts w:eastAsia="Calibri"/>
                <w:sz w:val="26"/>
                <w:szCs w:val="26"/>
              </w:rPr>
            </w:pPr>
            <w:r>
              <w:rPr>
                <w:rFonts w:eastAsia="Calibri"/>
                <w:sz w:val="26"/>
                <w:szCs w:val="26"/>
              </w:rPr>
              <w:t>$</w:t>
            </w:r>
            <w:r w:rsidR="00A55F2D">
              <w:rPr>
                <w:rFonts w:eastAsia="Calibri"/>
                <w:sz w:val="26"/>
                <w:szCs w:val="26"/>
              </w:rPr>
              <w:t>0</w:t>
            </w:r>
          </w:p>
        </w:tc>
        <w:tc>
          <w:tcPr>
            <w:tcW w:w="1800" w:type="dxa"/>
            <w:tcBorders>
              <w:bottom w:val="single" w:sz="4" w:space="0" w:color="auto"/>
            </w:tcBorders>
            <w:shd w:val="clear" w:color="auto" w:fill="auto"/>
            <w:vAlign w:val="bottom"/>
          </w:tcPr>
          <w:p w:rsidR="000B6AAE" w:rsidRPr="00254D55" w:rsidRDefault="00A55F2D" w:rsidP="00027B22">
            <w:pPr>
              <w:widowControl/>
              <w:autoSpaceDE/>
              <w:autoSpaceDN/>
              <w:adjustRightInd/>
              <w:jc w:val="right"/>
              <w:rPr>
                <w:rFonts w:eastAsia="Calibri"/>
                <w:sz w:val="26"/>
                <w:szCs w:val="26"/>
              </w:rPr>
            </w:pPr>
            <w:r w:rsidRPr="00A55F2D">
              <w:rPr>
                <w:rFonts w:eastAsia="Calibri"/>
                <w:sz w:val="26"/>
                <w:szCs w:val="26"/>
              </w:rPr>
              <w:t>$0</w:t>
            </w:r>
          </w:p>
        </w:tc>
        <w:tc>
          <w:tcPr>
            <w:tcW w:w="1800" w:type="dxa"/>
            <w:tcBorders>
              <w:bottom w:val="single" w:sz="4" w:space="0" w:color="auto"/>
            </w:tcBorders>
            <w:shd w:val="clear" w:color="auto" w:fill="auto"/>
            <w:vAlign w:val="bottom"/>
          </w:tcPr>
          <w:p w:rsidR="000B6AAE" w:rsidRPr="00254D55" w:rsidRDefault="00A55F2D" w:rsidP="00027B22">
            <w:pPr>
              <w:widowControl/>
              <w:autoSpaceDE/>
              <w:autoSpaceDN/>
              <w:adjustRightInd/>
              <w:jc w:val="right"/>
              <w:rPr>
                <w:rFonts w:eastAsia="Calibri"/>
                <w:sz w:val="26"/>
                <w:szCs w:val="26"/>
              </w:rPr>
            </w:pPr>
            <w:r w:rsidRPr="00A55F2D">
              <w:rPr>
                <w:rFonts w:eastAsia="Calibri"/>
                <w:sz w:val="26"/>
                <w:szCs w:val="26"/>
              </w:rPr>
              <w:t>$0</w:t>
            </w:r>
          </w:p>
        </w:tc>
      </w:tr>
      <w:tr w:rsidR="00A50333" w:rsidRPr="00254D55" w:rsidTr="00027B22">
        <w:trPr>
          <w:trHeight w:val="295"/>
        </w:trPr>
        <w:tc>
          <w:tcPr>
            <w:tcW w:w="9360" w:type="dxa"/>
            <w:gridSpan w:val="5"/>
            <w:tcBorders>
              <w:bottom w:val="single" w:sz="4" w:space="0" w:color="auto"/>
            </w:tcBorders>
            <w:shd w:val="clear" w:color="auto" w:fill="C6D9F1" w:themeFill="text2" w:themeFillTint="33"/>
            <w:vAlign w:val="bottom"/>
          </w:tcPr>
          <w:p w:rsidR="00A50333" w:rsidRPr="00C75C08" w:rsidRDefault="00A50333" w:rsidP="00027B22">
            <w:pPr>
              <w:widowControl/>
              <w:autoSpaceDE/>
              <w:autoSpaceDN/>
              <w:adjustRightInd/>
              <w:jc w:val="center"/>
              <w:rPr>
                <w:rFonts w:eastAsia="Calibri"/>
                <w:b/>
                <w:sz w:val="26"/>
                <w:szCs w:val="26"/>
              </w:rPr>
            </w:pPr>
            <w:r>
              <w:rPr>
                <w:rFonts w:eastAsia="Calibri"/>
                <w:b/>
                <w:sz w:val="26"/>
                <w:szCs w:val="26"/>
              </w:rPr>
              <w:t>FERC-549C</w:t>
            </w:r>
          </w:p>
        </w:tc>
      </w:tr>
      <w:tr w:rsidR="00A50333" w:rsidRPr="00254D55" w:rsidTr="00DB4391">
        <w:trPr>
          <w:trHeight w:val="295"/>
        </w:trPr>
        <w:tc>
          <w:tcPr>
            <w:tcW w:w="2679" w:type="dxa"/>
            <w:tcBorders>
              <w:bottom w:val="single" w:sz="4" w:space="0" w:color="auto"/>
            </w:tcBorders>
            <w:shd w:val="clear" w:color="auto" w:fill="auto"/>
          </w:tcPr>
          <w:p w:rsidR="00A50333" w:rsidRPr="00117A4E" w:rsidRDefault="00A50333" w:rsidP="00DD0699">
            <w:pPr>
              <w:widowControl/>
              <w:autoSpaceDE/>
              <w:autoSpaceDN/>
              <w:adjustRightInd/>
              <w:jc w:val="center"/>
              <w:rPr>
                <w:rFonts w:eastAsia="Calibri"/>
                <w:sz w:val="26"/>
                <w:szCs w:val="26"/>
              </w:rPr>
            </w:pPr>
            <w:r w:rsidRPr="00117A4E">
              <w:rPr>
                <w:rFonts w:eastAsia="Calibri"/>
                <w:sz w:val="26"/>
                <w:szCs w:val="26"/>
              </w:rPr>
              <w:t>Annual Number of Responses</w:t>
            </w:r>
          </w:p>
        </w:tc>
        <w:tc>
          <w:tcPr>
            <w:tcW w:w="1461" w:type="dxa"/>
            <w:tcBorders>
              <w:bottom w:val="single" w:sz="4" w:space="0" w:color="auto"/>
            </w:tcBorders>
            <w:shd w:val="clear" w:color="auto" w:fill="auto"/>
            <w:vAlign w:val="bottom"/>
          </w:tcPr>
          <w:p w:rsidR="00A50333" w:rsidRPr="00425731" w:rsidRDefault="00755904" w:rsidP="006615DB">
            <w:pPr>
              <w:widowControl/>
              <w:autoSpaceDE/>
              <w:autoSpaceDN/>
              <w:adjustRightInd/>
              <w:jc w:val="right"/>
              <w:rPr>
                <w:rFonts w:eastAsia="Calibri"/>
                <w:sz w:val="26"/>
                <w:szCs w:val="26"/>
              </w:rPr>
            </w:pPr>
            <w:r>
              <w:rPr>
                <w:rFonts w:eastAsia="Calibri"/>
                <w:sz w:val="26"/>
                <w:szCs w:val="26"/>
              </w:rPr>
              <w:t>656</w:t>
            </w:r>
          </w:p>
        </w:tc>
        <w:tc>
          <w:tcPr>
            <w:tcW w:w="1620" w:type="dxa"/>
            <w:tcBorders>
              <w:bottom w:val="single" w:sz="4" w:space="0" w:color="auto"/>
            </w:tcBorders>
            <w:shd w:val="clear" w:color="auto" w:fill="auto"/>
            <w:vAlign w:val="bottom"/>
          </w:tcPr>
          <w:p w:rsidR="00A50333" w:rsidRPr="00425731" w:rsidRDefault="00755904" w:rsidP="007A12A8">
            <w:pPr>
              <w:widowControl/>
              <w:autoSpaceDE/>
              <w:autoSpaceDN/>
              <w:adjustRightInd/>
              <w:jc w:val="right"/>
              <w:rPr>
                <w:rFonts w:eastAsia="Calibri"/>
                <w:sz w:val="26"/>
                <w:szCs w:val="26"/>
              </w:rPr>
            </w:pPr>
            <w:r w:rsidRPr="00755904">
              <w:rPr>
                <w:rFonts w:eastAsia="Calibri"/>
                <w:sz w:val="26"/>
                <w:szCs w:val="26"/>
              </w:rPr>
              <w:t>491</w:t>
            </w:r>
          </w:p>
        </w:tc>
        <w:tc>
          <w:tcPr>
            <w:tcW w:w="1800" w:type="dxa"/>
            <w:tcBorders>
              <w:bottom w:val="single" w:sz="4" w:space="0" w:color="auto"/>
            </w:tcBorders>
            <w:shd w:val="clear" w:color="auto" w:fill="auto"/>
            <w:vAlign w:val="bottom"/>
          </w:tcPr>
          <w:p w:rsidR="00A50333" w:rsidRPr="00425731" w:rsidRDefault="00117A4E" w:rsidP="00DB4391">
            <w:pPr>
              <w:widowControl/>
              <w:autoSpaceDE/>
              <w:autoSpaceDN/>
              <w:adjustRightInd/>
              <w:jc w:val="right"/>
              <w:rPr>
                <w:rFonts w:eastAsia="Calibri"/>
                <w:sz w:val="26"/>
                <w:szCs w:val="26"/>
              </w:rPr>
            </w:pPr>
            <w:r w:rsidRPr="00425731">
              <w:rPr>
                <w:rFonts w:eastAsia="Calibri"/>
                <w:sz w:val="26"/>
                <w:szCs w:val="26"/>
              </w:rPr>
              <w:t>0</w:t>
            </w:r>
          </w:p>
        </w:tc>
        <w:tc>
          <w:tcPr>
            <w:tcW w:w="1800" w:type="dxa"/>
            <w:tcBorders>
              <w:bottom w:val="single" w:sz="4" w:space="0" w:color="auto"/>
            </w:tcBorders>
            <w:shd w:val="clear" w:color="auto" w:fill="auto"/>
            <w:vAlign w:val="bottom"/>
          </w:tcPr>
          <w:p w:rsidR="00A50333" w:rsidRPr="00425731" w:rsidRDefault="00BE7376" w:rsidP="00755904">
            <w:pPr>
              <w:widowControl/>
              <w:autoSpaceDE/>
              <w:autoSpaceDN/>
              <w:adjustRightInd/>
              <w:jc w:val="right"/>
              <w:rPr>
                <w:rFonts w:eastAsia="Calibri"/>
                <w:sz w:val="26"/>
                <w:szCs w:val="26"/>
              </w:rPr>
            </w:pPr>
            <w:r w:rsidRPr="00425731">
              <w:rPr>
                <w:rFonts w:eastAsia="Calibri"/>
                <w:sz w:val="26"/>
                <w:szCs w:val="26"/>
              </w:rPr>
              <w:t>+</w:t>
            </w:r>
            <w:r w:rsidR="00755904">
              <w:rPr>
                <w:rFonts w:eastAsia="Calibri"/>
                <w:sz w:val="26"/>
                <w:szCs w:val="26"/>
              </w:rPr>
              <w:t>165</w:t>
            </w:r>
          </w:p>
        </w:tc>
      </w:tr>
      <w:tr w:rsidR="00A50333" w:rsidRPr="006923C8" w:rsidTr="00DB4391">
        <w:trPr>
          <w:trHeight w:val="295"/>
        </w:trPr>
        <w:tc>
          <w:tcPr>
            <w:tcW w:w="2679" w:type="dxa"/>
            <w:tcBorders>
              <w:bottom w:val="single" w:sz="4" w:space="0" w:color="auto"/>
            </w:tcBorders>
            <w:shd w:val="clear" w:color="auto" w:fill="auto"/>
          </w:tcPr>
          <w:p w:rsidR="00A50333" w:rsidRPr="00254D55" w:rsidRDefault="00A50333" w:rsidP="005A36C7">
            <w:pPr>
              <w:widowControl/>
              <w:autoSpaceDE/>
              <w:autoSpaceDN/>
              <w:adjustRightInd/>
              <w:jc w:val="center"/>
              <w:rPr>
                <w:rFonts w:eastAsia="Calibri"/>
                <w:sz w:val="26"/>
                <w:szCs w:val="26"/>
              </w:rPr>
            </w:pPr>
            <w:r w:rsidRPr="00254D55">
              <w:rPr>
                <w:rFonts w:eastAsia="Calibri"/>
                <w:sz w:val="26"/>
                <w:szCs w:val="26"/>
              </w:rPr>
              <w:t>Annual Time Burden (Hr.)</w:t>
            </w:r>
            <w:r w:rsidRPr="00254D55">
              <w:rPr>
                <w:rStyle w:val="FootnoteReference"/>
                <w:rFonts w:eastAsia="Calibri"/>
                <w:sz w:val="26"/>
                <w:szCs w:val="26"/>
              </w:rPr>
              <w:footnoteReference w:id="18"/>
            </w:r>
          </w:p>
        </w:tc>
        <w:tc>
          <w:tcPr>
            <w:tcW w:w="1461" w:type="dxa"/>
            <w:tcBorders>
              <w:bottom w:val="single" w:sz="4" w:space="0" w:color="auto"/>
            </w:tcBorders>
            <w:shd w:val="clear" w:color="auto" w:fill="auto"/>
            <w:vAlign w:val="bottom"/>
          </w:tcPr>
          <w:p w:rsidR="00A50333" w:rsidRPr="001F374E" w:rsidRDefault="00A06F35" w:rsidP="001902E6">
            <w:pPr>
              <w:widowControl/>
              <w:autoSpaceDE/>
              <w:autoSpaceDN/>
              <w:adjustRightInd/>
              <w:jc w:val="right"/>
              <w:rPr>
                <w:bCs/>
                <w:sz w:val="26"/>
                <w:szCs w:val="26"/>
              </w:rPr>
            </w:pPr>
            <w:r>
              <w:rPr>
                <w:sz w:val="26"/>
                <w:szCs w:val="26"/>
              </w:rPr>
              <w:t>59,013</w:t>
            </w:r>
          </w:p>
        </w:tc>
        <w:tc>
          <w:tcPr>
            <w:tcW w:w="1620" w:type="dxa"/>
            <w:tcBorders>
              <w:bottom w:val="single" w:sz="4" w:space="0" w:color="auto"/>
            </w:tcBorders>
            <w:shd w:val="clear" w:color="auto" w:fill="auto"/>
            <w:vAlign w:val="bottom"/>
          </w:tcPr>
          <w:p w:rsidR="00A50333" w:rsidRPr="00254D55" w:rsidRDefault="00755904" w:rsidP="00DB4391">
            <w:pPr>
              <w:widowControl/>
              <w:autoSpaceDE/>
              <w:autoSpaceDN/>
              <w:adjustRightInd/>
              <w:jc w:val="right"/>
              <w:rPr>
                <w:rFonts w:eastAsia="Calibri"/>
                <w:sz w:val="26"/>
                <w:szCs w:val="26"/>
              </w:rPr>
            </w:pPr>
            <w:r w:rsidRPr="00755904">
              <w:rPr>
                <w:rFonts w:eastAsia="Calibri"/>
                <w:sz w:val="26"/>
                <w:szCs w:val="26"/>
              </w:rPr>
              <w:t>57,803</w:t>
            </w:r>
          </w:p>
        </w:tc>
        <w:tc>
          <w:tcPr>
            <w:tcW w:w="1800" w:type="dxa"/>
            <w:tcBorders>
              <w:bottom w:val="single" w:sz="4" w:space="0" w:color="auto"/>
            </w:tcBorders>
            <w:shd w:val="clear" w:color="auto" w:fill="auto"/>
            <w:vAlign w:val="bottom"/>
          </w:tcPr>
          <w:p w:rsidR="00A50333" w:rsidRPr="00254D55" w:rsidRDefault="00117A4E" w:rsidP="00DB4391">
            <w:pPr>
              <w:widowControl/>
              <w:autoSpaceDE/>
              <w:autoSpaceDN/>
              <w:adjustRightInd/>
              <w:jc w:val="right"/>
              <w:rPr>
                <w:rFonts w:eastAsia="Calibri"/>
                <w:sz w:val="26"/>
                <w:szCs w:val="26"/>
              </w:rPr>
            </w:pPr>
            <w:r>
              <w:rPr>
                <w:rFonts w:eastAsia="Calibri"/>
                <w:sz w:val="26"/>
                <w:szCs w:val="26"/>
              </w:rPr>
              <w:t>0</w:t>
            </w:r>
          </w:p>
        </w:tc>
        <w:tc>
          <w:tcPr>
            <w:tcW w:w="1800" w:type="dxa"/>
            <w:tcBorders>
              <w:bottom w:val="single" w:sz="4" w:space="0" w:color="auto"/>
            </w:tcBorders>
            <w:shd w:val="clear" w:color="auto" w:fill="auto"/>
            <w:vAlign w:val="bottom"/>
          </w:tcPr>
          <w:p w:rsidR="00A50333" w:rsidRPr="006923C8" w:rsidRDefault="000B1D13" w:rsidP="00A06F35">
            <w:pPr>
              <w:widowControl/>
              <w:autoSpaceDE/>
              <w:autoSpaceDN/>
              <w:adjustRightInd/>
              <w:jc w:val="right"/>
              <w:rPr>
                <w:bCs/>
                <w:sz w:val="26"/>
                <w:szCs w:val="26"/>
              </w:rPr>
            </w:pPr>
            <w:r w:rsidRPr="006923C8">
              <w:rPr>
                <w:bCs/>
                <w:sz w:val="26"/>
                <w:szCs w:val="26"/>
              </w:rPr>
              <w:t>+</w:t>
            </w:r>
            <w:r w:rsidR="00A06F35" w:rsidRPr="006923C8">
              <w:rPr>
                <w:bCs/>
                <w:sz w:val="26"/>
                <w:szCs w:val="26"/>
              </w:rPr>
              <w:t>1,210</w:t>
            </w:r>
          </w:p>
        </w:tc>
      </w:tr>
      <w:tr w:rsidR="00A55F2D" w:rsidRPr="00254D55" w:rsidTr="00DB4391">
        <w:trPr>
          <w:trHeight w:val="295"/>
        </w:trPr>
        <w:tc>
          <w:tcPr>
            <w:tcW w:w="2679" w:type="dxa"/>
            <w:tcBorders>
              <w:bottom w:val="single" w:sz="4" w:space="0" w:color="auto"/>
            </w:tcBorders>
            <w:shd w:val="clear" w:color="auto" w:fill="auto"/>
          </w:tcPr>
          <w:p w:rsidR="00A55F2D" w:rsidRPr="00254D55" w:rsidRDefault="00A55F2D" w:rsidP="005A36C7">
            <w:pPr>
              <w:widowControl/>
              <w:autoSpaceDE/>
              <w:autoSpaceDN/>
              <w:adjustRightInd/>
              <w:jc w:val="center"/>
              <w:rPr>
                <w:rFonts w:eastAsia="Calibri"/>
                <w:sz w:val="26"/>
                <w:szCs w:val="26"/>
              </w:rPr>
            </w:pPr>
            <w:r w:rsidRPr="00254D55">
              <w:rPr>
                <w:rFonts w:eastAsia="Calibri"/>
                <w:sz w:val="26"/>
                <w:szCs w:val="26"/>
              </w:rPr>
              <w:t>Annual Cost Burden ($)</w:t>
            </w:r>
          </w:p>
        </w:tc>
        <w:tc>
          <w:tcPr>
            <w:tcW w:w="1461" w:type="dxa"/>
            <w:tcBorders>
              <w:bottom w:val="single" w:sz="4" w:space="0" w:color="auto"/>
            </w:tcBorders>
            <w:shd w:val="clear" w:color="auto" w:fill="auto"/>
            <w:vAlign w:val="bottom"/>
          </w:tcPr>
          <w:p w:rsidR="00A55F2D" w:rsidRPr="00254D55" w:rsidRDefault="00A55F2D" w:rsidP="00DB4391">
            <w:pPr>
              <w:widowControl/>
              <w:autoSpaceDE/>
              <w:autoSpaceDN/>
              <w:adjustRightInd/>
              <w:jc w:val="right"/>
              <w:rPr>
                <w:rFonts w:eastAsia="Calibri"/>
                <w:sz w:val="26"/>
                <w:szCs w:val="26"/>
              </w:rPr>
            </w:pPr>
            <w:r w:rsidRPr="00B325A1">
              <w:t>$0</w:t>
            </w:r>
          </w:p>
        </w:tc>
        <w:tc>
          <w:tcPr>
            <w:tcW w:w="1620" w:type="dxa"/>
            <w:tcBorders>
              <w:bottom w:val="single" w:sz="4" w:space="0" w:color="auto"/>
            </w:tcBorders>
            <w:shd w:val="clear" w:color="auto" w:fill="auto"/>
            <w:vAlign w:val="bottom"/>
          </w:tcPr>
          <w:p w:rsidR="00A55F2D" w:rsidRPr="00254D55" w:rsidRDefault="00A55F2D" w:rsidP="00DB4391">
            <w:pPr>
              <w:widowControl/>
              <w:autoSpaceDE/>
              <w:autoSpaceDN/>
              <w:adjustRightInd/>
              <w:jc w:val="right"/>
              <w:rPr>
                <w:rFonts w:eastAsia="Calibri"/>
                <w:sz w:val="26"/>
                <w:szCs w:val="26"/>
              </w:rPr>
            </w:pPr>
            <w:r w:rsidRPr="00B325A1">
              <w:t>$0</w:t>
            </w:r>
          </w:p>
        </w:tc>
        <w:tc>
          <w:tcPr>
            <w:tcW w:w="1800" w:type="dxa"/>
            <w:tcBorders>
              <w:bottom w:val="single" w:sz="4" w:space="0" w:color="auto"/>
            </w:tcBorders>
            <w:shd w:val="clear" w:color="auto" w:fill="auto"/>
            <w:vAlign w:val="bottom"/>
          </w:tcPr>
          <w:p w:rsidR="00A55F2D" w:rsidRPr="00254D55" w:rsidRDefault="00A55F2D" w:rsidP="00DB4391">
            <w:pPr>
              <w:widowControl/>
              <w:autoSpaceDE/>
              <w:autoSpaceDN/>
              <w:adjustRightInd/>
              <w:jc w:val="right"/>
              <w:rPr>
                <w:rFonts w:eastAsia="Calibri"/>
                <w:sz w:val="26"/>
                <w:szCs w:val="26"/>
              </w:rPr>
            </w:pPr>
            <w:r w:rsidRPr="00B325A1">
              <w:t>$0</w:t>
            </w:r>
          </w:p>
        </w:tc>
        <w:tc>
          <w:tcPr>
            <w:tcW w:w="1800" w:type="dxa"/>
            <w:tcBorders>
              <w:bottom w:val="single" w:sz="4" w:space="0" w:color="auto"/>
            </w:tcBorders>
            <w:shd w:val="clear" w:color="auto" w:fill="auto"/>
            <w:vAlign w:val="bottom"/>
          </w:tcPr>
          <w:p w:rsidR="00A55F2D" w:rsidRPr="00254D55" w:rsidRDefault="00A55F2D" w:rsidP="00DB4391">
            <w:pPr>
              <w:widowControl/>
              <w:autoSpaceDE/>
              <w:autoSpaceDN/>
              <w:adjustRightInd/>
              <w:jc w:val="right"/>
              <w:rPr>
                <w:rFonts w:eastAsia="Calibri"/>
                <w:sz w:val="26"/>
                <w:szCs w:val="26"/>
              </w:rPr>
            </w:pPr>
            <w:r w:rsidRPr="00B325A1">
              <w:t>$0</w:t>
            </w:r>
          </w:p>
        </w:tc>
      </w:tr>
    </w:tbl>
    <w:p w:rsidR="000B6AAE" w:rsidRDefault="000B6AAE">
      <w:pPr>
        <w:rPr>
          <w:sz w:val="26"/>
          <w:szCs w:val="26"/>
        </w:rPr>
      </w:pPr>
    </w:p>
    <w:p w:rsidR="00CA3B99" w:rsidRPr="00DA6CEC" w:rsidRDefault="00CA3B99" w:rsidP="00950A39">
      <w:pPr>
        <w:widowControl/>
        <w:numPr>
          <w:ilvl w:val="0"/>
          <w:numId w:val="12"/>
        </w:numPr>
        <w:tabs>
          <w:tab w:val="clear" w:pos="1080"/>
          <w:tab w:val="num" w:pos="360"/>
        </w:tabs>
        <w:ind w:left="360"/>
        <w:rPr>
          <w:b/>
          <w:sz w:val="26"/>
          <w:szCs w:val="26"/>
        </w:rPr>
      </w:pPr>
      <w:r w:rsidRPr="00DA6CEC">
        <w:rPr>
          <w:b/>
          <w:sz w:val="26"/>
          <w:szCs w:val="26"/>
        </w:rPr>
        <w:t>TIME SCHEDULE FOR PUBLICATION OF DATA</w:t>
      </w:r>
    </w:p>
    <w:p w:rsidR="00CA3B99" w:rsidRPr="00DA6CEC" w:rsidRDefault="00CA3B99" w:rsidP="00541D01">
      <w:pPr>
        <w:widowControl/>
        <w:ind w:left="720"/>
        <w:rPr>
          <w:b/>
          <w:sz w:val="26"/>
          <w:szCs w:val="26"/>
        </w:rPr>
      </w:pPr>
    </w:p>
    <w:p w:rsidR="00CA3B99" w:rsidRPr="00DA6CEC" w:rsidRDefault="00CA3B99" w:rsidP="00541D01">
      <w:pPr>
        <w:widowControl/>
        <w:rPr>
          <w:sz w:val="26"/>
          <w:szCs w:val="26"/>
        </w:rPr>
      </w:pPr>
      <w:proofErr w:type="gramStart"/>
      <w:r>
        <w:rPr>
          <w:b/>
          <w:sz w:val="26"/>
          <w:szCs w:val="26"/>
        </w:rPr>
        <w:t>FERC-545</w:t>
      </w:r>
      <w:r w:rsidR="00CA74CA">
        <w:rPr>
          <w:b/>
          <w:sz w:val="26"/>
          <w:szCs w:val="26"/>
        </w:rPr>
        <w:t xml:space="preserve"> and</w:t>
      </w:r>
      <w:r>
        <w:rPr>
          <w:b/>
          <w:sz w:val="26"/>
          <w:szCs w:val="26"/>
        </w:rPr>
        <w:t xml:space="preserve"> FERC-549</w:t>
      </w:r>
      <w:r w:rsidR="0074677E">
        <w:rPr>
          <w:b/>
          <w:sz w:val="26"/>
          <w:szCs w:val="26"/>
        </w:rPr>
        <w:t>C</w:t>
      </w:r>
      <w:r>
        <w:rPr>
          <w:b/>
          <w:sz w:val="26"/>
          <w:szCs w:val="26"/>
        </w:rPr>
        <w:t>.</w:t>
      </w:r>
      <w:proofErr w:type="gramEnd"/>
      <w:r>
        <w:rPr>
          <w:b/>
          <w:sz w:val="26"/>
          <w:szCs w:val="26"/>
        </w:rPr>
        <w:t xml:space="preserve">  </w:t>
      </w:r>
      <w:r w:rsidRPr="00DA6CEC">
        <w:rPr>
          <w:sz w:val="26"/>
          <w:szCs w:val="26"/>
        </w:rPr>
        <w:t>There are no publications of the information.</w:t>
      </w:r>
    </w:p>
    <w:p w:rsidR="00CA3B99" w:rsidRPr="00DA6CEC" w:rsidRDefault="00CA3B99" w:rsidP="00541D01">
      <w:pPr>
        <w:widowControl/>
        <w:ind w:firstLine="720"/>
        <w:rPr>
          <w:sz w:val="26"/>
          <w:szCs w:val="26"/>
        </w:rPr>
      </w:pPr>
    </w:p>
    <w:p w:rsidR="00CA3B99" w:rsidRPr="00DA6CEC" w:rsidRDefault="00CA3B99" w:rsidP="00950A39">
      <w:pPr>
        <w:widowControl/>
        <w:tabs>
          <w:tab w:val="left" w:pos="360"/>
        </w:tabs>
        <w:ind w:left="360" w:hanging="360"/>
        <w:rPr>
          <w:b/>
          <w:sz w:val="26"/>
          <w:szCs w:val="26"/>
        </w:rPr>
      </w:pPr>
      <w:r w:rsidRPr="00DA6CEC">
        <w:rPr>
          <w:b/>
          <w:sz w:val="26"/>
          <w:szCs w:val="26"/>
        </w:rPr>
        <w:t>17.</w:t>
      </w:r>
      <w:r w:rsidRPr="00DA6CEC">
        <w:rPr>
          <w:sz w:val="26"/>
          <w:szCs w:val="26"/>
        </w:rPr>
        <w:tab/>
      </w:r>
      <w:r w:rsidRPr="00DA6CEC">
        <w:rPr>
          <w:b/>
          <w:sz w:val="26"/>
          <w:szCs w:val="26"/>
        </w:rPr>
        <w:t>DISPLAY OF EXPIRATION DATE</w:t>
      </w:r>
    </w:p>
    <w:p w:rsidR="00CA3B99" w:rsidRPr="00DA6CEC" w:rsidRDefault="00CA3B99" w:rsidP="00541D01">
      <w:pPr>
        <w:widowControl/>
        <w:rPr>
          <w:sz w:val="26"/>
          <w:szCs w:val="26"/>
        </w:rPr>
      </w:pPr>
    </w:p>
    <w:p w:rsidR="00C74A22" w:rsidRPr="00F969B0" w:rsidRDefault="00CA3B99" w:rsidP="00CA74CA">
      <w:pPr>
        <w:widowControl/>
        <w:rPr>
          <w:rFonts w:eastAsia="Calibri"/>
          <w:sz w:val="26"/>
          <w:szCs w:val="26"/>
        </w:rPr>
      </w:pPr>
      <w:proofErr w:type="gramStart"/>
      <w:r w:rsidRPr="0074677E">
        <w:rPr>
          <w:b/>
          <w:sz w:val="26"/>
          <w:szCs w:val="26"/>
        </w:rPr>
        <w:t>FERC-545</w:t>
      </w:r>
      <w:r w:rsidR="00DD0699">
        <w:rPr>
          <w:b/>
          <w:sz w:val="26"/>
          <w:szCs w:val="26"/>
        </w:rPr>
        <w:t>A</w:t>
      </w:r>
      <w:r w:rsidR="00CA74CA" w:rsidRPr="0074677E">
        <w:rPr>
          <w:b/>
          <w:sz w:val="26"/>
          <w:szCs w:val="26"/>
        </w:rPr>
        <w:t xml:space="preserve"> and</w:t>
      </w:r>
      <w:r w:rsidRPr="0074677E">
        <w:rPr>
          <w:b/>
          <w:sz w:val="26"/>
          <w:szCs w:val="26"/>
        </w:rPr>
        <w:t xml:space="preserve"> FERC-549</w:t>
      </w:r>
      <w:r w:rsidR="0074677E">
        <w:rPr>
          <w:b/>
          <w:sz w:val="26"/>
          <w:szCs w:val="26"/>
        </w:rPr>
        <w:t>C</w:t>
      </w:r>
      <w:r w:rsidRPr="0074677E">
        <w:rPr>
          <w:b/>
          <w:sz w:val="26"/>
          <w:szCs w:val="26"/>
        </w:rPr>
        <w:t>.</w:t>
      </w:r>
      <w:proofErr w:type="gramEnd"/>
      <w:r w:rsidRPr="0074677E">
        <w:rPr>
          <w:b/>
          <w:sz w:val="26"/>
          <w:szCs w:val="26"/>
        </w:rPr>
        <w:t xml:space="preserve">  </w:t>
      </w:r>
      <w:r w:rsidRPr="0074677E">
        <w:rPr>
          <w:sz w:val="26"/>
          <w:szCs w:val="26"/>
        </w:rPr>
        <w:t xml:space="preserve">The expiration dates are displayed on </w:t>
      </w:r>
      <w:r w:rsidR="009400A1" w:rsidRPr="0074677E">
        <w:rPr>
          <w:sz w:val="26"/>
          <w:szCs w:val="26"/>
        </w:rPr>
        <w:t xml:space="preserve">ferc.gov </w:t>
      </w:r>
      <w:r w:rsidR="0074677E" w:rsidRPr="0074677E">
        <w:rPr>
          <w:sz w:val="26"/>
          <w:szCs w:val="26"/>
        </w:rPr>
        <w:t>with links to the updated table from</w:t>
      </w:r>
      <w:r w:rsidR="009400A1" w:rsidRPr="0074677E">
        <w:rPr>
          <w:sz w:val="26"/>
          <w:szCs w:val="26"/>
        </w:rPr>
        <w:t xml:space="preserve"> </w:t>
      </w:r>
      <w:hyperlink r:id="rId13" w:history="1">
        <w:r w:rsidR="0074677E" w:rsidRPr="0074677E">
          <w:rPr>
            <w:rStyle w:val="Hyperlink"/>
            <w:sz w:val="26"/>
            <w:szCs w:val="26"/>
          </w:rPr>
          <w:t>http://www.ferc.gov/docs-filing/info-collections.asp</w:t>
        </w:r>
      </w:hyperlink>
      <w:r w:rsidR="0074677E" w:rsidRPr="0074677E">
        <w:rPr>
          <w:sz w:val="26"/>
          <w:szCs w:val="26"/>
        </w:rPr>
        <w:t xml:space="preserve"> .</w:t>
      </w:r>
    </w:p>
    <w:p w:rsidR="00CA3B99" w:rsidRPr="00DA6CEC" w:rsidRDefault="00CA3B99" w:rsidP="00541D01">
      <w:pPr>
        <w:widowControl/>
        <w:rPr>
          <w:sz w:val="26"/>
          <w:szCs w:val="26"/>
        </w:rPr>
      </w:pPr>
    </w:p>
    <w:p w:rsidR="00CA3B99" w:rsidRPr="00DA6CEC" w:rsidRDefault="00CA3B99" w:rsidP="00950A39">
      <w:pPr>
        <w:widowControl/>
        <w:numPr>
          <w:ilvl w:val="0"/>
          <w:numId w:val="13"/>
        </w:numPr>
        <w:tabs>
          <w:tab w:val="clear" w:pos="1080"/>
          <w:tab w:val="num" w:pos="360"/>
        </w:tabs>
        <w:ind w:left="360"/>
        <w:rPr>
          <w:b/>
          <w:sz w:val="26"/>
          <w:szCs w:val="26"/>
        </w:rPr>
      </w:pPr>
      <w:r w:rsidRPr="00DA6CEC">
        <w:rPr>
          <w:b/>
          <w:sz w:val="26"/>
          <w:szCs w:val="26"/>
        </w:rPr>
        <w:t>EXCEPTIONS TO THE CERTIFICATION STATEMENT</w:t>
      </w:r>
    </w:p>
    <w:p w:rsidR="00CA3B99" w:rsidRPr="00231159" w:rsidRDefault="0078188C" w:rsidP="00DD0699">
      <w:pPr>
        <w:widowControl/>
        <w:rPr>
          <w:sz w:val="26"/>
          <w:szCs w:val="26"/>
        </w:rPr>
      </w:pPr>
      <w:r>
        <w:rPr>
          <w:sz w:val="26"/>
          <w:szCs w:val="26"/>
        </w:rPr>
        <w:t>There are no exceptions in this collection.</w:t>
      </w:r>
    </w:p>
    <w:sectPr w:rsidR="00CA3B99" w:rsidRPr="00231159" w:rsidSect="00763EDA">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95AD92" w15:done="0"/>
  <w15:commentEx w15:paraId="17646778" w15:done="0"/>
  <w15:commentEx w15:paraId="4C0247A8" w15:done="0"/>
  <w15:commentEx w15:paraId="45C2D5D4" w15:done="0"/>
  <w15:commentEx w15:paraId="6D8C1A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914" w:rsidRDefault="00C72914" w:rsidP="00A3065F">
      <w:r>
        <w:separator/>
      </w:r>
    </w:p>
  </w:endnote>
  <w:endnote w:type="continuationSeparator" w:id="0">
    <w:p w:rsidR="00C72914" w:rsidRDefault="00C72914" w:rsidP="00A3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248" w:rsidRDefault="00293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187283"/>
      <w:docPartObj>
        <w:docPartGallery w:val="Page Numbers (Bottom of Page)"/>
        <w:docPartUnique/>
      </w:docPartObj>
    </w:sdtPr>
    <w:sdtEndPr>
      <w:rPr>
        <w:noProof/>
      </w:rPr>
    </w:sdtEndPr>
    <w:sdtContent>
      <w:p w:rsidR="00173CD5" w:rsidRDefault="00173CD5">
        <w:pPr>
          <w:pStyle w:val="Footer"/>
          <w:jc w:val="right"/>
        </w:pPr>
        <w:r>
          <w:fldChar w:fldCharType="begin"/>
        </w:r>
        <w:r>
          <w:instrText xml:space="preserve"> PAGE   \* MERGEFORMAT </w:instrText>
        </w:r>
        <w:r>
          <w:fldChar w:fldCharType="separate"/>
        </w:r>
        <w:r w:rsidR="00293248">
          <w:rPr>
            <w:noProof/>
          </w:rPr>
          <w:t>1</w:t>
        </w:r>
        <w:r>
          <w:rPr>
            <w:noProof/>
          </w:rPr>
          <w:fldChar w:fldCharType="end"/>
        </w:r>
      </w:p>
    </w:sdtContent>
  </w:sdt>
  <w:p w:rsidR="00173CD5" w:rsidRDefault="00173C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248" w:rsidRDefault="002932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914" w:rsidRDefault="00C72914" w:rsidP="00A3065F">
      <w:r>
        <w:separator/>
      </w:r>
    </w:p>
  </w:footnote>
  <w:footnote w:type="continuationSeparator" w:id="0">
    <w:p w:rsidR="00C72914" w:rsidRDefault="00C72914" w:rsidP="00A3065F">
      <w:r>
        <w:continuationSeparator/>
      </w:r>
    </w:p>
  </w:footnote>
  <w:footnote w:id="1">
    <w:p w:rsidR="00173CD5" w:rsidRPr="00053830" w:rsidRDefault="00173CD5">
      <w:pPr>
        <w:pStyle w:val="FootnoteText"/>
        <w:rPr>
          <w:sz w:val="24"/>
          <w:szCs w:val="24"/>
        </w:rPr>
      </w:pPr>
      <w:r w:rsidRPr="00053830">
        <w:rPr>
          <w:rStyle w:val="FootnoteReference"/>
          <w:sz w:val="24"/>
          <w:szCs w:val="24"/>
        </w:rPr>
        <w:footnoteRef/>
      </w:r>
      <w:r w:rsidRPr="00053830">
        <w:rPr>
          <w:sz w:val="24"/>
          <w:szCs w:val="24"/>
        </w:rPr>
        <w:t xml:space="preserve"> The information collection requirements </w:t>
      </w:r>
      <w:r w:rsidR="00BE2C7C">
        <w:rPr>
          <w:sz w:val="24"/>
          <w:szCs w:val="24"/>
        </w:rPr>
        <w:t xml:space="preserve">(ICR) </w:t>
      </w:r>
      <w:r w:rsidRPr="00053830">
        <w:rPr>
          <w:sz w:val="24"/>
          <w:szCs w:val="24"/>
        </w:rPr>
        <w:t>would normally be included in FERC-545 (OMB Control No.: 1902-0154).  The Commission used FERC-545 in the NOPR in Docket RM96-1-038.  However, another unrelated item (in Docket PL15-1) is currently pending OMB review under FERC-545, and only one item per OMB Control Number can be pending OMB review at a time.  This submittal to OMB for the NOPR in RM96-1-038 will be made under a temporary collection number</w:t>
      </w:r>
      <w:r>
        <w:rPr>
          <w:sz w:val="24"/>
          <w:szCs w:val="24"/>
        </w:rPr>
        <w:t xml:space="preserve"> (and temporary placeholder)</w:t>
      </w:r>
      <w:r w:rsidRPr="00053830">
        <w:rPr>
          <w:sz w:val="24"/>
          <w:szCs w:val="24"/>
        </w:rPr>
        <w:t xml:space="preserve">, FERC-545A (OMB </w:t>
      </w:r>
      <w:proofErr w:type="gramStart"/>
      <w:r w:rsidRPr="00053830">
        <w:rPr>
          <w:sz w:val="24"/>
          <w:szCs w:val="24"/>
        </w:rPr>
        <w:t>Control  No</w:t>
      </w:r>
      <w:proofErr w:type="gramEnd"/>
      <w:r w:rsidRPr="00053830">
        <w:rPr>
          <w:sz w:val="24"/>
          <w:szCs w:val="24"/>
        </w:rPr>
        <w:t>. 1902-TBD), to enable FERC to submit this package timely to OMB for review under the Paperwork Reduction Act.  Long-term, the FERC-545A reporting and recordkeeping requirements will be included in FERC-545.</w:t>
      </w:r>
    </w:p>
  </w:footnote>
  <w:footnote w:id="2">
    <w:p w:rsidR="00173CD5" w:rsidRPr="006D154A" w:rsidRDefault="00173CD5" w:rsidP="00127317">
      <w:r>
        <w:rPr>
          <w:rStyle w:val="FootnoteReference"/>
        </w:rPr>
        <w:footnoteRef/>
      </w:r>
      <w:r>
        <w:t xml:space="preserve"> </w:t>
      </w:r>
      <w:r w:rsidRPr="0019793D">
        <w:t xml:space="preserve">FERC-549C was created in Order No. 587 (July 26, 1996, 61 FR 39053) because interstate pipelines were required to adopt certain standards for business practices that required changes in the day-to-day operations.  In addition, these standards required pipelines to adopt certain mechanisms for electronic </w:t>
      </w:r>
      <w:r w:rsidRPr="005B1BAC">
        <w:t>communication between the pipelines and those doing business with the pipelines.</w:t>
      </w:r>
    </w:p>
    <w:p w:rsidR="00173CD5" w:rsidRPr="006D154A" w:rsidRDefault="00173CD5" w:rsidP="00127317">
      <w:pPr>
        <w:pStyle w:val="FootnoteText"/>
        <w:rPr>
          <w:sz w:val="24"/>
          <w:szCs w:val="24"/>
        </w:rPr>
      </w:pPr>
    </w:p>
  </w:footnote>
  <w:footnote w:id="3">
    <w:p w:rsidR="00851969" w:rsidRDefault="00851969">
      <w:pPr>
        <w:pStyle w:val="FootnoteText"/>
      </w:pPr>
      <w:r>
        <w:rPr>
          <w:rStyle w:val="FootnoteReference"/>
        </w:rPr>
        <w:footnoteRef/>
      </w:r>
      <w:r>
        <w:t xml:space="preserve"> The other two quadrants address retail natural gas and electric issues, respectively.</w:t>
      </w:r>
    </w:p>
    <w:p w:rsidR="00851969" w:rsidRDefault="00851969">
      <w:pPr>
        <w:pStyle w:val="FootnoteText"/>
      </w:pPr>
    </w:p>
  </w:footnote>
  <w:footnote w:id="4">
    <w:p w:rsidR="00173CD5" w:rsidRPr="00A27A38" w:rsidRDefault="00173CD5">
      <w:pPr>
        <w:pStyle w:val="FootnoteText"/>
        <w:rPr>
          <w:sz w:val="24"/>
          <w:szCs w:val="24"/>
        </w:rPr>
      </w:pPr>
      <w:r w:rsidRPr="005B1BAC">
        <w:rPr>
          <w:rStyle w:val="FootnoteReference"/>
          <w:sz w:val="24"/>
          <w:szCs w:val="24"/>
        </w:rPr>
        <w:footnoteRef/>
      </w:r>
      <w:r w:rsidRPr="005B1BAC">
        <w:rPr>
          <w:sz w:val="24"/>
          <w:szCs w:val="24"/>
        </w:rPr>
        <w:t xml:space="preserve"> Additional information is available on NAESB’s website at </w:t>
      </w:r>
      <w:hyperlink r:id="rId1" w:history="1">
        <w:r w:rsidRPr="005B1BAC">
          <w:rPr>
            <w:rStyle w:val="Hyperlink"/>
            <w:sz w:val="24"/>
            <w:szCs w:val="24"/>
          </w:rPr>
          <w:t>http://www.naesb.org/</w:t>
        </w:r>
      </w:hyperlink>
      <w:r w:rsidRPr="005B1BAC">
        <w:rPr>
          <w:sz w:val="24"/>
          <w:szCs w:val="24"/>
        </w:rPr>
        <w:t xml:space="preserve"> .  NAESB described its standards development process as of 1/29/2013 in “Submittal of Modifications to the NAESB Public Key Infrastructure Standards and Other Standards to support the Public Key Infrastructure (Docket Nos. RM05-5-000 and RM05-5-022),” Appendix E, posted on ferc.gov at </w:t>
      </w:r>
      <w:hyperlink r:id="rId2" w:history="1">
        <w:r w:rsidRPr="005B1BAC">
          <w:rPr>
            <w:rStyle w:val="Hyperlink"/>
            <w:sz w:val="24"/>
            <w:szCs w:val="24"/>
          </w:rPr>
          <w:t>http://elibrary.ferc.gov/idmws/common/opennat.asp?fileID=13165589</w:t>
        </w:r>
      </w:hyperlink>
      <w:r w:rsidRPr="005B1BAC">
        <w:rPr>
          <w:sz w:val="24"/>
          <w:szCs w:val="24"/>
        </w:rPr>
        <w:t xml:space="preserve"> .</w:t>
      </w:r>
    </w:p>
  </w:footnote>
  <w:footnote w:id="5">
    <w:p w:rsidR="00173CD5" w:rsidRPr="001B7C2A" w:rsidRDefault="00173CD5" w:rsidP="001C3337">
      <w:pPr>
        <w:pStyle w:val="FootnoteText"/>
        <w:rPr>
          <w:sz w:val="24"/>
          <w:szCs w:val="24"/>
        </w:rPr>
      </w:pPr>
      <w:r w:rsidRPr="001B7C2A">
        <w:rPr>
          <w:rStyle w:val="FootnoteReference"/>
          <w:sz w:val="24"/>
          <w:szCs w:val="24"/>
        </w:rPr>
        <w:footnoteRef/>
      </w:r>
      <w:r w:rsidRPr="001B7C2A">
        <w:rPr>
          <w:sz w:val="24"/>
          <w:szCs w:val="24"/>
        </w:rPr>
        <w:t xml:space="preserve"> More information is available on FERC’s </w:t>
      </w:r>
      <w:proofErr w:type="spellStart"/>
      <w:r w:rsidRPr="001B7C2A">
        <w:rPr>
          <w:sz w:val="24"/>
          <w:szCs w:val="24"/>
        </w:rPr>
        <w:t>eTariff</w:t>
      </w:r>
      <w:proofErr w:type="spellEnd"/>
      <w:r w:rsidRPr="001B7C2A">
        <w:rPr>
          <w:sz w:val="24"/>
          <w:szCs w:val="24"/>
        </w:rPr>
        <w:t xml:space="preserve"> page at </w:t>
      </w:r>
      <w:hyperlink r:id="rId3" w:history="1">
        <w:r w:rsidRPr="001B7C2A">
          <w:rPr>
            <w:rStyle w:val="Hyperlink"/>
            <w:sz w:val="24"/>
            <w:szCs w:val="24"/>
          </w:rPr>
          <w:t>http://www.ferc.gov/docs-filing/etariff.asp</w:t>
        </w:r>
      </w:hyperlink>
      <w:r w:rsidRPr="001B7C2A">
        <w:rPr>
          <w:sz w:val="24"/>
          <w:szCs w:val="24"/>
        </w:rPr>
        <w:t xml:space="preserve"> .</w:t>
      </w:r>
    </w:p>
  </w:footnote>
  <w:footnote w:id="6">
    <w:p w:rsidR="00173CD5" w:rsidRPr="00611052" w:rsidRDefault="00173CD5" w:rsidP="001A3773">
      <w:pPr>
        <w:pStyle w:val="FootnoteText"/>
        <w:rPr>
          <w:sz w:val="24"/>
          <w:szCs w:val="24"/>
        </w:rPr>
      </w:pPr>
      <w:r w:rsidRPr="00611052">
        <w:rPr>
          <w:rStyle w:val="FootnoteReference"/>
          <w:sz w:val="24"/>
          <w:szCs w:val="24"/>
        </w:rPr>
        <w:footnoteRef/>
      </w:r>
      <w:r w:rsidRPr="00611052">
        <w:rPr>
          <w:sz w:val="24"/>
          <w:szCs w:val="24"/>
        </w:rPr>
        <w:t xml:space="preserve"> U.S. Small Business Administration, Table of Small Business Size Standards for  Pipeline Transportation of Natural Gas, NAICS Code 486210,  available at https://www.sba.gov/sites/default/files/files/Size_Standards_Table.pdf, Subsector 486. </w:t>
      </w:r>
    </w:p>
    <w:p w:rsidR="00173CD5" w:rsidRDefault="00173CD5" w:rsidP="001A3773">
      <w:pPr>
        <w:pStyle w:val="FootnoteText"/>
      </w:pPr>
      <w:r w:rsidRPr="00D613DE">
        <w:rPr>
          <w:sz w:val="24"/>
          <w:szCs w:val="24"/>
        </w:rPr>
        <w:t>Matched to North American Industry Classification System Codes, Natural Gas Pipeline Transportation, NAICS Code 486210</w:t>
      </w:r>
      <w:proofErr w:type="gramStart"/>
      <w:r w:rsidRPr="00D613DE">
        <w:rPr>
          <w:sz w:val="24"/>
          <w:szCs w:val="24"/>
        </w:rPr>
        <w:t>,  page</w:t>
      </w:r>
      <w:proofErr w:type="gramEnd"/>
      <w:r w:rsidRPr="00D613DE">
        <w:rPr>
          <w:sz w:val="24"/>
          <w:szCs w:val="24"/>
        </w:rPr>
        <w:t xml:space="preserve"> 27, July 14, 2014, available at https://www.sba.gov/sites/default/files/files/Size_Standards_Table.pdf, Subsector 486.</w:t>
      </w:r>
    </w:p>
  </w:footnote>
  <w:footnote w:id="7">
    <w:p w:rsidR="00173CD5" w:rsidRPr="001E3EFC" w:rsidRDefault="00173CD5">
      <w:pPr>
        <w:pStyle w:val="FootnoteText"/>
        <w:rPr>
          <w:sz w:val="24"/>
          <w:szCs w:val="24"/>
        </w:rPr>
      </w:pPr>
      <w:r w:rsidRPr="001E3EFC">
        <w:rPr>
          <w:rStyle w:val="FootnoteReference"/>
          <w:sz w:val="24"/>
          <w:szCs w:val="24"/>
        </w:rPr>
        <w:footnoteRef/>
      </w:r>
      <w:r w:rsidRPr="001E3EFC">
        <w:rPr>
          <w:sz w:val="24"/>
          <w:szCs w:val="24"/>
        </w:rPr>
        <w:t xml:space="preserve"> The NAESB submittal is posted on FERC’s </w:t>
      </w:r>
      <w:proofErr w:type="spellStart"/>
      <w:r w:rsidRPr="001E3EFC">
        <w:rPr>
          <w:sz w:val="24"/>
          <w:szCs w:val="24"/>
        </w:rPr>
        <w:t>eLibrary</w:t>
      </w:r>
      <w:proofErr w:type="spellEnd"/>
      <w:r w:rsidRPr="001E3EFC">
        <w:rPr>
          <w:sz w:val="24"/>
          <w:szCs w:val="24"/>
        </w:rPr>
        <w:t xml:space="preserve"> at </w:t>
      </w:r>
      <w:hyperlink r:id="rId4" w:history="1">
        <w:r w:rsidRPr="00E934F2">
          <w:rPr>
            <w:rStyle w:val="Hyperlink"/>
            <w:sz w:val="24"/>
            <w:szCs w:val="24"/>
          </w:rPr>
          <w:t>http://elibrary.ferc.gov/idmws/common/opennat.asp?fileID=13685851</w:t>
        </w:r>
      </w:hyperlink>
      <w:r w:rsidRPr="001E3EFC">
        <w:rPr>
          <w:sz w:val="24"/>
          <w:szCs w:val="24"/>
        </w:rPr>
        <w:t>.</w:t>
      </w:r>
      <w:r>
        <w:rPr>
          <w:sz w:val="24"/>
          <w:szCs w:val="24"/>
        </w:rPr>
        <w:t xml:space="preserve">  NAESB also submitted an errata filing on 7/6/2015, posted at </w:t>
      </w:r>
      <w:hyperlink r:id="rId5" w:history="1">
        <w:r w:rsidRPr="00E934F2">
          <w:rPr>
            <w:rStyle w:val="Hyperlink"/>
            <w:sz w:val="24"/>
            <w:szCs w:val="24"/>
          </w:rPr>
          <w:t>http://elibrary.ferc.gov/idmws/common/opennat.asp?fileID=13924934</w:t>
        </w:r>
      </w:hyperlink>
      <w:r>
        <w:rPr>
          <w:sz w:val="24"/>
          <w:szCs w:val="24"/>
        </w:rPr>
        <w:t xml:space="preserve"> </w:t>
      </w:r>
    </w:p>
  </w:footnote>
  <w:footnote w:id="8">
    <w:p w:rsidR="00173CD5" w:rsidRPr="00FC26AD" w:rsidRDefault="00173CD5" w:rsidP="00FC26AD">
      <w:pPr>
        <w:pStyle w:val="FootnoteText"/>
        <w:rPr>
          <w:sz w:val="24"/>
          <w:szCs w:val="24"/>
        </w:rPr>
      </w:pPr>
      <w:r w:rsidRPr="00FC26AD">
        <w:rPr>
          <w:rStyle w:val="FootnoteReference"/>
          <w:sz w:val="24"/>
          <w:szCs w:val="24"/>
        </w:rPr>
        <w:footnoteRef/>
      </w:r>
      <w:r w:rsidRPr="00FC26AD">
        <w:rPr>
          <w:sz w:val="24"/>
          <w:szCs w:val="24"/>
        </w:rPr>
        <w:t xml:space="preserve"> We note that although this NOPR proposes a minor revision to </w:t>
      </w:r>
      <w:r>
        <w:rPr>
          <w:sz w:val="24"/>
          <w:szCs w:val="24"/>
        </w:rPr>
        <w:t xml:space="preserve">18 CFR </w:t>
      </w:r>
      <w:r w:rsidRPr="00FC26AD">
        <w:rPr>
          <w:sz w:val="24"/>
          <w:szCs w:val="24"/>
        </w:rPr>
        <w:t xml:space="preserve">section 260.8, </w:t>
      </w:r>
      <w:r w:rsidR="00561278">
        <w:rPr>
          <w:sz w:val="24"/>
          <w:szCs w:val="24"/>
        </w:rPr>
        <w:t>the NOPR states that the Commission is</w:t>
      </w:r>
      <w:r w:rsidRPr="00FC26AD">
        <w:rPr>
          <w:sz w:val="24"/>
          <w:szCs w:val="24"/>
        </w:rPr>
        <w:t xml:space="preserve"> not including Form No. 567 (OMB No. 1902-005) as part of </w:t>
      </w:r>
      <w:r w:rsidR="00561278">
        <w:rPr>
          <w:sz w:val="24"/>
          <w:szCs w:val="24"/>
        </w:rPr>
        <w:t>its</w:t>
      </w:r>
      <w:r w:rsidRPr="00FC26AD">
        <w:rPr>
          <w:sz w:val="24"/>
          <w:szCs w:val="24"/>
        </w:rPr>
        <w:t xml:space="preserve"> burden estimate because </w:t>
      </w:r>
      <w:r w:rsidR="00561278">
        <w:rPr>
          <w:sz w:val="24"/>
          <w:szCs w:val="24"/>
        </w:rPr>
        <w:t>it</w:t>
      </w:r>
      <w:r w:rsidRPr="00FC26AD">
        <w:rPr>
          <w:sz w:val="24"/>
          <w:szCs w:val="24"/>
        </w:rPr>
        <w:t xml:space="preserve"> estimate</w:t>
      </w:r>
      <w:r w:rsidR="00561278">
        <w:rPr>
          <w:sz w:val="24"/>
          <w:szCs w:val="24"/>
        </w:rPr>
        <w:t>s</w:t>
      </w:r>
      <w:r w:rsidRPr="00FC26AD">
        <w:rPr>
          <w:sz w:val="24"/>
          <w:szCs w:val="24"/>
        </w:rPr>
        <w:t xml:space="preserve"> that the substitution of proprietary codes for common codes in the system flow diagrams submitted under section 260.8 will not increase the burden of filing that form.  The same is true with regard to the identical revisions </w:t>
      </w:r>
      <w:r w:rsidR="00561278">
        <w:rPr>
          <w:sz w:val="24"/>
          <w:szCs w:val="24"/>
        </w:rPr>
        <w:t>the Commission is</w:t>
      </w:r>
      <w:r w:rsidRPr="00FC26AD">
        <w:rPr>
          <w:sz w:val="24"/>
          <w:szCs w:val="24"/>
        </w:rPr>
        <w:t xml:space="preserve"> proposing to sections 157.14 and 157.18, Form No. 537 (OMB No. 1902-0060).  Likewise, </w:t>
      </w:r>
      <w:r w:rsidR="00561278">
        <w:rPr>
          <w:sz w:val="24"/>
          <w:szCs w:val="24"/>
        </w:rPr>
        <w:t>the Commission</w:t>
      </w:r>
      <w:r w:rsidRPr="00FC26AD">
        <w:rPr>
          <w:sz w:val="24"/>
          <w:szCs w:val="24"/>
        </w:rPr>
        <w:t xml:space="preserve"> estimate</w:t>
      </w:r>
      <w:r w:rsidR="00561278">
        <w:rPr>
          <w:sz w:val="24"/>
          <w:szCs w:val="24"/>
        </w:rPr>
        <w:t>s</w:t>
      </w:r>
      <w:r w:rsidRPr="00FC26AD">
        <w:rPr>
          <w:sz w:val="24"/>
          <w:szCs w:val="24"/>
        </w:rPr>
        <w:t xml:space="preserve"> that </w:t>
      </w:r>
      <w:r w:rsidR="00561278">
        <w:rPr>
          <w:sz w:val="24"/>
          <w:szCs w:val="24"/>
        </w:rPr>
        <w:t>its</w:t>
      </w:r>
      <w:r w:rsidRPr="00FC26AD">
        <w:rPr>
          <w:sz w:val="24"/>
          <w:szCs w:val="24"/>
        </w:rPr>
        <w:t xml:space="preserve"> proposed revision to Form 549B (OMB No. 1902-0169), </w:t>
      </w:r>
      <w:r w:rsidRPr="00FC26AD">
        <w:rPr>
          <w:i/>
          <w:sz w:val="24"/>
          <w:szCs w:val="24"/>
        </w:rPr>
        <w:t xml:space="preserve">see </w:t>
      </w:r>
      <w:hyperlink r:id="rId6" w:history="1">
        <w:r w:rsidRPr="00FC26AD">
          <w:rPr>
            <w:rStyle w:val="Hyperlink"/>
            <w:sz w:val="24"/>
            <w:szCs w:val="24"/>
          </w:rPr>
          <w:t>http://www.ferc.gov/docs-filing/forms.asp</w:t>
        </w:r>
      </w:hyperlink>
      <w:r w:rsidRPr="00FC26AD">
        <w:rPr>
          <w:sz w:val="24"/>
          <w:szCs w:val="24"/>
        </w:rPr>
        <w:t xml:space="preserve">, which changes the point record for Point identification Code Qualifier (Item ID </w:t>
      </w:r>
      <w:proofErr w:type="spellStart"/>
      <w:r w:rsidRPr="00FC26AD">
        <w:rPr>
          <w:sz w:val="24"/>
          <w:szCs w:val="24"/>
        </w:rPr>
        <w:t>yj</w:t>
      </w:r>
      <w:proofErr w:type="spellEnd"/>
      <w:r w:rsidRPr="00FC26AD">
        <w:rPr>
          <w:sz w:val="24"/>
          <w:szCs w:val="24"/>
        </w:rPr>
        <w:t xml:space="preserve">) and Point Identification Code (Item ID </w:t>
      </w:r>
      <w:proofErr w:type="spellStart"/>
      <w:r w:rsidRPr="00FC26AD">
        <w:rPr>
          <w:sz w:val="24"/>
          <w:szCs w:val="24"/>
        </w:rPr>
        <w:t>yk</w:t>
      </w:r>
      <w:proofErr w:type="spellEnd"/>
      <w:r w:rsidRPr="00FC26AD">
        <w:rPr>
          <w:sz w:val="24"/>
          <w:szCs w:val="24"/>
        </w:rPr>
        <w:t>) will not increase the burden of filing that form.</w:t>
      </w:r>
    </w:p>
  </w:footnote>
  <w:footnote w:id="9">
    <w:p w:rsidR="00173CD5" w:rsidRPr="006031E8" w:rsidRDefault="00173CD5" w:rsidP="00FC26AD">
      <w:pPr>
        <w:pStyle w:val="FootnoteText"/>
        <w:rPr>
          <w:sz w:val="24"/>
          <w:szCs w:val="24"/>
        </w:rPr>
      </w:pPr>
      <w:r w:rsidRPr="006031E8">
        <w:rPr>
          <w:rStyle w:val="FootnoteReference"/>
          <w:sz w:val="24"/>
          <w:szCs w:val="24"/>
        </w:rPr>
        <w:footnoteRef/>
      </w:r>
      <w:r w:rsidRPr="006031E8">
        <w:rPr>
          <w:sz w:val="24"/>
          <w:szCs w:val="24"/>
        </w:rPr>
        <w:t xml:space="preserve"> The number of respondents is the number of entities in which a change in burden from the current standards to the proposed exists, not the total number of entities from the current or proposed standards that are applicable.</w:t>
      </w:r>
    </w:p>
  </w:footnote>
  <w:footnote w:id="10">
    <w:p w:rsidR="00173CD5" w:rsidRPr="00745B0A" w:rsidRDefault="00173CD5" w:rsidP="00FC26AD">
      <w:pPr>
        <w:pStyle w:val="FootnoteText"/>
        <w:rPr>
          <w:sz w:val="24"/>
          <w:szCs w:val="24"/>
        </w:rPr>
      </w:pPr>
      <w:r w:rsidRPr="006031E8">
        <w:rPr>
          <w:rStyle w:val="FootnoteReference"/>
          <w:sz w:val="24"/>
          <w:szCs w:val="24"/>
        </w:rPr>
        <w:footnoteRef/>
      </w:r>
      <w:r w:rsidRPr="006031E8">
        <w:rPr>
          <w:sz w:val="24"/>
          <w:szCs w:val="24"/>
        </w:rPr>
        <w:t xml:space="preserve"> Wage data is based on the Bureau of Labor Statistics data for 2012 </w:t>
      </w:r>
      <w:r w:rsidRPr="006031E8">
        <w:rPr>
          <w:sz w:val="24"/>
          <w:szCs w:val="24"/>
        </w:rPr>
        <w:br/>
      </w:r>
      <w:r w:rsidRPr="00745B0A">
        <w:rPr>
          <w:sz w:val="24"/>
          <w:szCs w:val="24"/>
        </w:rPr>
        <w:t xml:space="preserve">(“May 2012 National Industry-Specific Occupational Employment and Wage </w:t>
      </w:r>
      <w:r w:rsidRPr="00745B0A">
        <w:rPr>
          <w:sz w:val="24"/>
          <w:szCs w:val="24"/>
        </w:rPr>
        <w:br/>
        <w:t xml:space="preserve">Estimates, [for] Sector 22 - Utilities” at </w:t>
      </w:r>
      <w:hyperlink r:id="rId7" w:history="1">
        <w:r w:rsidRPr="00745B0A">
          <w:rPr>
            <w:rStyle w:val="Hyperlink"/>
            <w:sz w:val="24"/>
            <w:szCs w:val="24"/>
          </w:rPr>
          <w:t>http://bls.gov/oes/current/naics2_22.htm</w:t>
        </w:r>
      </w:hyperlink>
      <w:r w:rsidRPr="00745B0A">
        <w:rPr>
          <w:sz w:val="24"/>
          <w:szCs w:val="24"/>
        </w:rPr>
        <w:t xml:space="preserve">) and is compiled for the top 10 percent earned.  For the estimate of the benefits component, </w:t>
      </w:r>
      <w:r w:rsidRPr="00745B0A">
        <w:rPr>
          <w:i/>
          <w:sz w:val="24"/>
          <w:szCs w:val="24"/>
        </w:rPr>
        <w:t>see</w:t>
      </w:r>
      <w:r w:rsidRPr="00745B0A">
        <w:rPr>
          <w:sz w:val="24"/>
          <w:szCs w:val="24"/>
        </w:rPr>
        <w:t xml:space="preserve"> http://www.bls.gov/news.release/ecec.nr0.htm.</w:t>
      </w:r>
    </w:p>
  </w:footnote>
  <w:footnote w:id="11">
    <w:p w:rsidR="00173CD5" w:rsidRPr="00745B0A" w:rsidRDefault="00173CD5" w:rsidP="00FC26AD">
      <w:pPr>
        <w:pStyle w:val="FootnoteText"/>
        <w:rPr>
          <w:sz w:val="24"/>
          <w:szCs w:val="24"/>
        </w:rPr>
      </w:pPr>
      <w:r w:rsidRPr="00745B0A">
        <w:rPr>
          <w:rStyle w:val="FootnoteReference"/>
          <w:sz w:val="24"/>
          <w:szCs w:val="24"/>
        </w:rPr>
        <w:footnoteRef/>
      </w:r>
      <w:r w:rsidRPr="00745B0A">
        <w:rPr>
          <w:sz w:val="24"/>
          <w:szCs w:val="24"/>
        </w:rPr>
        <w:t xml:space="preserve"> The mean hourly cost of tariff filings and implementation for interstate natural gas pipelines is $83.67.  This represents the average wage (salary and benefits for 2,080 annual work-hours) of the following occupational categories:  “Legal” ($128.02 per hour), “Computer Analyst” ($83.50 per hour), and “Office and Administrative” ($39.49 per hour).  Wage data is available from the Bureau of Labor Statistics at http://bls.gov/oes/current/naics2_22.htm and is compiled for the top </w:t>
      </w:r>
    </w:p>
    <w:p w:rsidR="00173CD5" w:rsidRPr="00745B0A" w:rsidRDefault="00173CD5" w:rsidP="00FC26AD">
      <w:pPr>
        <w:pStyle w:val="FootnoteText"/>
      </w:pPr>
      <w:r w:rsidRPr="00745B0A">
        <w:rPr>
          <w:sz w:val="24"/>
          <w:szCs w:val="24"/>
        </w:rPr>
        <w:t xml:space="preserve">10 percent earned.  For the estimate of the benefits component, </w:t>
      </w:r>
      <w:r w:rsidRPr="00745B0A">
        <w:rPr>
          <w:i/>
          <w:sz w:val="24"/>
          <w:szCs w:val="24"/>
        </w:rPr>
        <w:t>see</w:t>
      </w:r>
      <w:r w:rsidRPr="00745B0A">
        <w:rPr>
          <w:sz w:val="24"/>
          <w:szCs w:val="24"/>
        </w:rPr>
        <w:t xml:space="preserve"> http://www.bls.gov/news.release/ecec.nr0.htm.</w:t>
      </w:r>
    </w:p>
  </w:footnote>
  <w:footnote w:id="12">
    <w:p w:rsidR="00173CD5" w:rsidRDefault="00173CD5">
      <w:pPr>
        <w:pStyle w:val="FootnoteText"/>
      </w:pPr>
      <w:r w:rsidRPr="00745B0A">
        <w:rPr>
          <w:rStyle w:val="FootnoteReference"/>
        </w:rPr>
        <w:footnoteRef/>
      </w:r>
      <w:r w:rsidRPr="00745B0A">
        <w:t xml:space="preserve"> </w:t>
      </w:r>
      <w:r w:rsidRPr="00745B0A">
        <w:rPr>
          <w:sz w:val="24"/>
          <w:szCs w:val="24"/>
        </w:rPr>
        <w:t>The mean hourly cost of tariff filings and implementation for interstate natural</w:t>
      </w:r>
      <w:r w:rsidRPr="006031E8">
        <w:rPr>
          <w:sz w:val="24"/>
          <w:szCs w:val="24"/>
        </w:rPr>
        <w:t xml:space="preserve"> gas pipelines is $83.67.  </w:t>
      </w:r>
      <w:r>
        <w:rPr>
          <w:sz w:val="24"/>
          <w:szCs w:val="24"/>
        </w:rPr>
        <w:t>It is composed of the skill sets and related hourly costs described above.</w:t>
      </w:r>
    </w:p>
  </w:footnote>
  <w:footnote w:id="13">
    <w:p w:rsidR="00173CD5" w:rsidRPr="00E70325" w:rsidRDefault="00173CD5" w:rsidP="00231159">
      <w:pPr>
        <w:pStyle w:val="FootnoteText"/>
        <w:rPr>
          <w:sz w:val="24"/>
          <w:szCs w:val="24"/>
        </w:rPr>
      </w:pPr>
      <w:r w:rsidRPr="00E70325">
        <w:rPr>
          <w:rStyle w:val="FootnoteReference"/>
          <w:sz w:val="24"/>
          <w:szCs w:val="24"/>
        </w:rPr>
        <w:footnoteRef/>
      </w:r>
      <w:r w:rsidRPr="00E70325">
        <w:rPr>
          <w:sz w:val="24"/>
          <w:szCs w:val="24"/>
        </w:rPr>
        <w:t xml:space="preserve"> Based on </w:t>
      </w:r>
      <w:r>
        <w:rPr>
          <w:sz w:val="24"/>
          <w:szCs w:val="24"/>
        </w:rPr>
        <w:t xml:space="preserve">FERC’s Fiscal Year </w:t>
      </w:r>
      <w:r w:rsidRPr="00E70325">
        <w:rPr>
          <w:sz w:val="24"/>
          <w:szCs w:val="24"/>
        </w:rPr>
        <w:t>201</w:t>
      </w:r>
      <w:r>
        <w:rPr>
          <w:sz w:val="24"/>
          <w:szCs w:val="24"/>
        </w:rPr>
        <w:t>5</w:t>
      </w:r>
      <w:r w:rsidRPr="00E70325">
        <w:rPr>
          <w:sz w:val="24"/>
          <w:szCs w:val="24"/>
        </w:rPr>
        <w:t xml:space="preserve"> </w:t>
      </w:r>
      <w:r>
        <w:rPr>
          <w:sz w:val="24"/>
          <w:szCs w:val="24"/>
        </w:rPr>
        <w:t xml:space="preserve">average </w:t>
      </w:r>
      <w:r w:rsidRPr="00E70325">
        <w:rPr>
          <w:sz w:val="24"/>
          <w:szCs w:val="24"/>
        </w:rPr>
        <w:t xml:space="preserve">cost per FTE (salary plus benefits) of </w:t>
      </w:r>
      <w:r w:rsidRPr="008759E2">
        <w:rPr>
          <w:sz w:val="24"/>
          <w:szCs w:val="24"/>
        </w:rPr>
        <w:t>$149,489</w:t>
      </w:r>
      <w:r w:rsidRPr="00E70325">
        <w:rPr>
          <w:sz w:val="24"/>
          <w:szCs w:val="24"/>
        </w:rPr>
        <w:t xml:space="preserve"> </w:t>
      </w:r>
      <w:r>
        <w:rPr>
          <w:sz w:val="24"/>
          <w:szCs w:val="24"/>
        </w:rPr>
        <w:t xml:space="preserve">per </w:t>
      </w:r>
      <w:r w:rsidRPr="00E70325">
        <w:rPr>
          <w:sz w:val="24"/>
          <w:szCs w:val="24"/>
        </w:rPr>
        <w:t xml:space="preserve">year (or 2,080 </w:t>
      </w:r>
      <w:r>
        <w:rPr>
          <w:sz w:val="24"/>
          <w:szCs w:val="24"/>
        </w:rPr>
        <w:t xml:space="preserve">work </w:t>
      </w:r>
      <w:r w:rsidRPr="00E70325">
        <w:rPr>
          <w:sz w:val="24"/>
          <w:szCs w:val="24"/>
        </w:rPr>
        <w:t>hours), rounded to $</w:t>
      </w:r>
      <w:r>
        <w:rPr>
          <w:sz w:val="24"/>
          <w:szCs w:val="24"/>
        </w:rPr>
        <w:t>72.00</w:t>
      </w:r>
      <w:r w:rsidRPr="00E70325">
        <w:rPr>
          <w:sz w:val="24"/>
          <w:szCs w:val="24"/>
        </w:rPr>
        <w:t xml:space="preserve"> per hour.</w:t>
      </w:r>
      <w:r>
        <w:rPr>
          <w:sz w:val="24"/>
          <w:szCs w:val="24"/>
        </w:rPr>
        <w:t xml:space="preserve"> </w:t>
      </w:r>
    </w:p>
  </w:footnote>
  <w:footnote w:id="14">
    <w:p w:rsidR="00173CD5" w:rsidRPr="00817519" w:rsidRDefault="00173CD5">
      <w:pPr>
        <w:pStyle w:val="FootnoteText"/>
        <w:rPr>
          <w:sz w:val="24"/>
          <w:szCs w:val="24"/>
        </w:rPr>
      </w:pPr>
      <w:r w:rsidRPr="00E70325">
        <w:rPr>
          <w:rStyle w:val="FootnoteReference"/>
          <w:sz w:val="24"/>
          <w:szCs w:val="24"/>
        </w:rPr>
        <w:footnoteRef/>
      </w:r>
      <w:r w:rsidRPr="00E70325">
        <w:rPr>
          <w:sz w:val="24"/>
          <w:szCs w:val="24"/>
        </w:rPr>
        <w:t xml:space="preserve"> Paperwork Reduction Act of </w:t>
      </w:r>
      <w:r w:rsidRPr="007F1297">
        <w:rPr>
          <w:sz w:val="24"/>
          <w:szCs w:val="24"/>
        </w:rPr>
        <w:t>1995 (PRA)</w:t>
      </w:r>
    </w:p>
  </w:footnote>
  <w:footnote w:id="15">
    <w:p w:rsidR="00173CD5" w:rsidRPr="0014601E" w:rsidRDefault="00173CD5" w:rsidP="00231159">
      <w:pPr>
        <w:pStyle w:val="FootnoteText"/>
        <w:rPr>
          <w:sz w:val="24"/>
          <w:szCs w:val="24"/>
        </w:rPr>
      </w:pPr>
      <w:r w:rsidRPr="009C5F46">
        <w:rPr>
          <w:rStyle w:val="FootnoteReference"/>
          <w:sz w:val="24"/>
          <w:szCs w:val="24"/>
        </w:rPr>
        <w:footnoteRef/>
      </w:r>
      <w:r w:rsidRPr="009C5F46">
        <w:rPr>
          <w:sz w:val="24"/>
          <w:szCs w:val="24"/>
        </w:rPr>
        <w:t xml:space="preserve"> The PRA Administration Cost is $</w:t>
      </w:r>
      <w:r w:rsidRPr="00824E72">
        <w:t xml:space="preserve"> </w:t>
      </w:r>
      <w:r w:rsidRPr="007D241B">
        <w:rPr>
          <w:sz w:val="24"/>
          <w:szCs w:val="24"/>
        </w:rPr>
        <w:t>5,193, and includes preparing supporting statements, notices, and other activities associated with Pa</w:t>
      </w:r>
      <w:r w:rsidRPr="0014601E">
        <w:rPr>
          <w:sz w:val="24"/>
          <w:szCs w:val="24"/>
        </w:rPr>
        <w:t>perwork Reduction Act compliance.</w:t>
      </w:r>
    </w:p>
  </w:footnote>
  <w:footnote w:id="16">
    <w:p w:rsidR="00423194" w:rsidRPr="00443AA1" w:rsidRDefault="00423194" w:rsidP="00745B0A">
      <w:pPr>
        <w:pStyle w:val="FootnoteText"/>
        <w:rPr>
          <w:sz w:val="24"/>
          <w:szCs w:val="24"/>
        </w:rPr>
      </w:pPr>
      <w:r w:rsidRPr="00443AA1">
        <w:rPr>
          <w:rStyle w:val="FootnoteReference"/>
          <w:sz w:val="24"/>
          <w:szCs w:val="24"/>
        </w:rPr>
        <w:footnoteRef/>
      </w:r>
      <w:r w:rsidRPr="00443AA1">
        <w:rPr>
          <w:sz w:val="24"/>
          <w:szCs w:val="24"/>
        </w:rPr>
        <w:t xml:space="preserve"> The estimate of federal FTE’s </w:t>
      </w:r>
      <w:r>
        <w:rPr>
          <w:sz w:val="24"/>
          <w:szCs w:val="24"/>
        </w:rPr>
        <w:t xml:space="preserve">and the indicated </w:t>
      </w:r>
      <w:r w:rsidRPr="00443AA1">
        <w:rPr>
          <w:sz w:val="24"/>
          <w:szCs w:val="24"/>
        </w:rPr>
        <w:t>split between FERC-545</w:t>
      </w:r>
      <w:r>
        <w:rPr>
          <w:sz w:val="24"/>
          <w:szCs w:val="24"/>
        </w:rPr>
        <w:t>A</w:t>
      </w:r>
      <w:r w:rsidRPr="00443AA1">
        <w:rPr>
          <w:sz w:val="24"/>
          <w:szCs w:val="24"/>
        </w:rPr>
        <w:t xml:space="preserve"> and FERC549C is based on staff’s experience and the fact that </w:t>
      </w:r>
      <w:r w:rsidRPr="00423194">
        <w:rPr>
          <w:sz w:val="24"/>
          <w:szCs w:val="24"/>
        </w:rPr>
        <w:t>the FERC-545A filings are one-time filings, with the FERC-549C requirements both one-time and on-going.</w:t>
      </w:r>
    </w:p>
  </w:footnote>
  <w:footnote w:id="17">
    <w:p w:rsidR="00975EE0" w:rsidRPr="00975EE0" w:rsidRDefault="00975EE0">
      <w:pPr>
        <w:pStyle w:val="FootnoteText"/>
      </w:pPr>
      <w:r>
        <w:rPr>
          <w:rStyle w:val="FootnoteReference"/>
        </w:rPr>
        <w:footnoteRef/>
      </w:r>
      <w:r w:rsidRPr="00975EE0">
        <w:t xml:space="preserve"> </w:t>
      </w:r>
      <w:r w:rsidRPr="00975EE0">
        <w:rPr>
          <w:sz w:val="22"/>
          <w:szCs w:val="22"/>
          <w:shd w:val="clear" w:color="auto" w:fill="FFFFFF"/>
        </w:rPr>
        <w:t xml:space="preserve">The 1 FTE we are estimating here in connection with the issuance of </w:t>
      </w:r>
      <w:r w:rsidRPr="00975EE0">
        <w:rPr>
          <w:bCs/>
          <w:sz w:val="22"/>
          <w:szCs w:val="22"/>
          <w:shd w:val="clear" w:color="auto" w:fill="FFFFFF"/>
        </w:rPr>
        <w:t xml:space="preserve">a </w:t>
      </w:r>
      <w:r w:rsidRPr="00975EE0">
        <w:rPr>
          <w:sz w:val="22"/>
          <w:szCs w:val="22"/>
          <w:shd w:val="clear" w:color="auto" w:fill="FFFFFF"/>
        </w:rPr>
        <w:t>notice of proposed rulemaking</w:t>
      </w:r>
      <w:r>
        <w:rPr>
          <w:sz w:val="22"/>
          <w:szCs w:val="22"/>
          <w:shd w:val="clear" w:color="auto" w:fill="FFFFFF"/>
        </w:rPr>
        <w:t xml:space="preserve"> </w:t>
      </w:r>
      <w:r w:rsidRPr="00975EE0">
        <w:rPr>
          <w:sz w:val="22"/>
          <w:szCs w:val="22"/>
          <w:shd w:val="clear" w:color="auto" w:fill="FFFFFF"/>
        </w:rPr>
        <w:t xml:space="preserve">in Docket No. </w:t>
      </w:r>
      <w:r w:rsidRPr="00975EE0">
        <w:rPr>
          <w:bCs/>
          <w:sz w:val="22"/>
          <w:szCs w:val="22"/>
          <w:shd w:val="clear" w:color="auto" w:fill="FFFFFF"/>
        </w:rPr>
        <w:t>RM96-1-038</w:t>
      </w:r>
      <w:r w:rsidRPr="00975EE0">
        <w:rPr>
          <w:sz w:val="22"/>
          <w:szCs w:val="22"/>
          <w:shd w:val="clear" w:color="auto" w:fill="FFFFFF"/>
        </w:rPr>
        <w:t xml:space="preserve"> if adopted as a final rule would replace the 1 FTE previously estimated in connection with the issuance of Order No. 809 and does not represent an additional FTE.  Compliance with this rule will eliminate the need to separately comply with Order No. 809.</w:t>
      </w:r>
    </w:p>
  </w:footnote>
  <w:footnote w:id="18">
    <w:p w:rsidR="00173CD5" w:rsidRDefault="00173CD5" w:rsidP="000B6AAE">
      <w:pPr>
        <w:pStyle w:val="FootnoteText"/>
      </w:pPr>
      <w:r w:rsidRPr="001B7C2A">
        <w:rPr>
          <w:rStyle w:val="FootnoteReference"/>
          <w:sz w:val="24"/>
          <w:szCs w:val="24"/>
        </w:rPr>
        <w:footnoteRef/>
      </w:r>
      <w:r w:rsidRPr="001B7C2A">
        <w:rPr>
          <w:sz w:val="24"/>
          <w:szCs w:val="24"/>
        </w:rPr>
        <w:t xml:space="preserve"> Averaging the one-time burden and cost over Years 1-3 for the purposes of this PRA-related supporting statement (for the total </w:t>
      </w:r>
      <w:r>
        <w:rPr>
          <w:sz w:val="24"/>
          <w:szCs w:val="24"/>
        </w:rPr>
        <w:t xml:space="preserve">number </w:t>
      </w:r>
      <w:r w:rsidRPr="001B7C2A">
        <w:rPr>
          <w:sz w:val="24"/>
          <w:szCs w:val="24"/>
        </w:rPr>
        <w:t>of entities)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248" w:rsidRDefault="002932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D5" w:rsidRDefault="00173CD5" w:rsidP="00A72889">
    <w:pPr>
      <w:pStyle w:val="Header"/>
    </w:pPr>
    <w:r>
      <w:t xml:space="preserve">FERC-545A (OMB Control No. 1902-TBD) and </w:t>
    </w:r>
    <w:r w:rsidRPr="00A72889">
      <w:t>FERC-549C (OMB Control No. 1902-0174)</w:t>
    </w:r>
  </w:p>
  <w:p w:rsidR="00173CD5" w:rsidRDefault="00173CD5" w:rsidP="00A72889">
    <w:pPr>
      <w:pStyle w:val="Header"/>
    </w:pPr>
    <w:r>
      <w:t>Docket No. RM96-1-038-000 (NOPR,</w:t>
    </w:r>
    <w:r w:rsidRPr="000E3D96">
      <w:t xml:space="preserve"> Issued </w:t>
    </w:r>
    <w:r>
      <w:t>7</w:t>
    </w:r>
    <w:r w:rsidRPr="00A55F2D">
      <w:t>/</w:t>
    </w:r>
    <w:r>
      <w:t>16</w:t>
    </w:r>
    <w:r w:rsidRPr="00A55F2D">
      <w:t>/201</w:t>
    </w:r>
    <w:r>
      <w:t>5)</w:t>
    </w:r>
    <w:r w:rsidRPr="000E3D96">
      <w:t>; RIN</w:t>
    </w:r>
    <w:r w:rsidRPr="000002B9">
      <w:t xml:space="preserve"> 1902-</w:t>
    </w:r>
    <w:r w:rsidRPr="00F1297D">
      <w:t>A</w:t>
    </w:r>
    <w:r w:rsidR="00F1297D">
      <w:t>F08</w:t>
    </w:r>
  </w:p>
  <w:p w:rsidR="00293248" w:rsidRDefault="00293248" w:rsidP="00A72889">
    <w:pPr>
      <w:pStyle w:val="Header"/>
    </w:pPr>
    <w:r>
      <w:t>Updated 8/</w:t>
    </w:r>
    <w:bookmarkStart w:id="1" w:name="_GoBack"/>
    <w:bookmarkEnd w:id="1"/>
    <w:r>
      <w:t>11/2015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248" w:rsidRDefault="002932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2F6"/>
    <w:multiLevelType w:val="hybridMultilevel"/>
    <w:tmpl w:val="45CAD20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nsid w:val="05525558"/>
    <w:multiLevelType w:val="hybridMultilevel"/>
    <w:tmpl w:val="01B282E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ACC77E8"/>
    <w:multiLevelType w:val="hybridMultilevel"/>
    <w:tmpl w:val="9F1C93B0"/>
    <w:lvl w:ilvl="0" w:tplc="8FE84B46">
      <w:start w:val="2"/>
      <w:numFmt w:val="decimal"/>
      <w:lvlText w:val="%1."/>
      <w:lvlJc w:val="left"/>
      <w:pPr>
        <w:ind w:left="360"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
    <w:nsid w:val="0C747DB0"/>
    <w:multiLevelType w:val="hybridMultilevel"/>
    <w:tmpl w:val="5C348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0412F"/>
    <w:multiLevelType w:val="hybridMultilevel"/>
    <w:tmpl w:val="CEAAD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F00A24"/>
    <w:multiLevelType w:val="hybridMultilevel"/>
    <w:tmpl w:val="74289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097D9F"/>
    <w:multiLevelType w:val="hybridMultilevel"/>
    <w:tmpl w:val="2374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2E00FE"/>
    <w:multiLevelType w:val="hybridMultilevel"/>
    <w:tmpl w:val="8B442898"/>
    <w:lvl w:ilvl="0" w:tplc="1C8C7F74">
      <w:start w:val="6"/>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7E677A6"/>
    <w:multiLevelType w:val="multilevel"/>
    <w:tmpl w:val="5F18A60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7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18D601BA"/>
    <w:multiLevelType w:val="hybridMultilevel"/>
    <w:tmpl w:val="6F6CE4EA"/>
    <w:lvl w:ilvl="0" w:tplc="F594DBE4">
      <w:start w:val="1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1A8F1AFA"/>
    <w:multiLevelType w:val="hybridMultilevel"/>
    <w:tmpl w:val="A51CB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24364F"/>
    <w:multiLevelType w:val="hybridMultilevel"/>
    <w:tmpl w:val="8B4E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BB4E83"/>
    <w:multiLevelType w:val="hybridMultilevel"/>
    <w:tmpl w:val="BFBAE6CA"/>
    <w:lvl w:ilvl="0" w:tplc="F4E6BEB6">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9F5C04"/>
    <w:multiLevelType w:val="hybridMultilevel"/>
    <w:tmpl w:val="AA32CC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204DF4"/>
    <w:multiLevelType w:val="hybridMultilevel"/>
    <w:tmpl w:val="8794AC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FA87F85"/>
    <w:multiLevelType w:val="hybridMultilevel"/>
    <w:tmpl w:val="A814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6B484D"/>
    <w:multiLevelType w:val="hybridMultilevel"/>
    <w:tmpl w:val="A51CB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71095E"/>
    <w:multiLevelType w:val="hybridMultilevel"/>
    <w:tmpl w:val="20D03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5F65A9"/>
    <w:multiLevelType w:val="hybridMultilevel"/>
    <w:tmpl w:val="22207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1F5155"/>
    <w:multiLevelType w:val="hybridMultilevel"/>
    <w:tmpl w:val="D88279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75956E2"/>
    <w:multiLevelType w:val="hybridMultilevel"/>
    <w:tmpl w:val="E09ECAD4"/>
    <w:lvl w:ilvl="0" w:tplc="0409000F">
      <w:start w:val="1"/>
      <w:numFmt w:val="decimal"/>
      <w:lvlText w:val="%1."/>
      <w:lvlJc w:val="left"/>
      <w:pPr>
        <w:ind w:left="780" w:hanging="360"/>
      </w:pPr>
      <w:rPr>
        <w:rFonts w:cs="Times New Roman"/>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1">
    <w:nsid w:val="48F803E2"/>
    <w:multiLevelType w:val="hybridMultilevel"/>
    <w:tmpl w:val="0BE239CA"/>
    <w:lvl w:ilvl="0" w:tplc="D3700D42">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49D42070"/>
    <w:multiLevelType w:val="hybridMultilevel"/>
    <w:tmpl w:val="4010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D6583F"/>
    <w:multiLevelType w:val="hybridMultilevel"/>
    <w:tmpl w:val="6110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1562D7"/>
    <w:multiLevelType w:val="hybridMultilevel"/>
    <w:tmpl w:val="57F2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2503D0"/>
    <w:multiLevelType w:val="hybridMultilevel"/>
    <w:tmpl w:val="CBD66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9E7312B"/>
    <w:multiLevelType w:val="hybridMultilevel"/>
    <w:tmpl w:val="2C68D9A6"/>
    <w:lvl w:ilvl="0" w:tplc="042ECDC8">
      <w:start w:val="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5E3616E5"/>
    <w:multiLevelType w:val="hybridMultilevel"/>
    <w:tmpl w:val="EE864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405595"/>
    <w:multiLevelType w:val="hybridMultilevel"/>
    <w:tmpl w:val="E438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AC1F6C"/>
    <w:multiLevelType w:val="hybridMultilevel"/>
    <w:tmpl w:val="4F8A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2E4280"/>
    <w:multiLevelType w:val="hybridMultilevel"/>
    <w:tmpl w:val="53DC877E"/>
    <w:lvl w:ilvl="0" w:tplc="7C6EF6CA">
      <w:start w:val="1"/>
      <w:numFmt w:val="decimal"/>
      <w:lvlText w:val="Issue %1."/>
      <w:lvlJc w:val="left"/>
      <w:pPr>
        <w:tabs>
          <w:tab w:val="num" w:pos="360"/>
        </w:tabs>
        <w:ind w:left="144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6DE52BE2"/>
    <w:multiLevelType w:val="hybridMultilevel"/>
    <w:tmpl w:val="84F64D8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748155AE"/>
    <w:multiLevelType w:val="hybridMultilevel"/>
    <w:tmpl w:val="A51CB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75272E"/>
    <w:multiLevelType w:val="hybridMultilevel"/>
    <w:tmpl w:val="93DC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4E4DD3"/>
    <w:multiLevelType w:val="hybridMultilevel"/>
    <w:tmpl w:val="C6FC6362"/>
    <w:lvl w:ilvl="0" w:tplc="03DC8F60">
      <w:start w:val="1"/>
      <w:numFmt w:val="decimal"/>
      <w:pStyle w:val="FERCparanumber"/>
      <w:lvlText w:val="%1."/>
      <w:lvlJc w:val="left"/>
      <w:pPr>
        <w:tabs>
          <w:tab w:val="num" w:pos="720"/>
        </w:tabs>
        <w:ind w:left="0" w:firstLine="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EEF6CCD"/>
    <w:multiLevelType w:val="hybridMultilevel"/>
    <w:tmpl w:val="7AF8DA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4"/>
  </w:num>
  <w:num w:numId="2">
    <w:abstractNumId w:val="8"/>
  </w:num>
  <w:num w:numId="3">
    <w:abstractNumId w:val="22"/>
  </w:num>
  <w:num w:numId="4">
    <w:abstractNumId w:val="12"/>
  </w:num>
  <w:num w:numId="5">
    <w:abstractNumId w:val="35"/>
  </w:num>
  <w:num w:numId="6">
    <w:abstractNumId w:val="1"/>
  </w:num>
  <w:num w:numId="7">
    <w:abstractNumId w:val="31"/>
  </w:num>
  <w:num w:numId="8">
    <w:abstractNumId w:val="2"/>
  </w:num>
  <w:num w:numId="9">
    <w:abstractNumId w:val="26"/>
  </w:num>
  <w:num w:numId="10">
    <w:abstractNumId w:val="20"/>
  </w:num>
  <w:num w:numId="11">
    <w:abstractNumId w:val="7"/>
  </w:num>
  <w:num w:numId="12">
    <w:abstractNumId w:val="9"/>
  </w:num>
  <w:num w:numId="13">
    <w:abstractNumId w:val="21"/>
  </w:num>
  <w:num w:numId="14">
    <w:abstractNumId w:val="28"/>
  </w:num>
  <w:num w:numId="15">
    <w:abstractNumId w:val="5"/>
  </w:num>
  <w:num w:numId="16">
    <w:abstractNumId w:val="23"/>
  </w:num>
  <w:num w:numId="17">
    <w:abstractNumId w:val="4"/>
  </w:num>
  <w:num w:numId="18">
    <w:abstractNumId w:val="17"/>
  </w:num>
  <w:num w:numId="19">
    <w:abstractNumId w:val="6"/>
  </w:num>
  <w:num w:numId="20">
    <w:abstractNumId w:val="25"/>
  </w:num>
  <w:num w:numId="21">
    <w:abstractNumId w:val="27"/>
  </w:num>
  <w:num w:numId="22">
    <w:abstractNumId w:val="33"/>
  </w:num>
  <w:num w:numId="23">
    <w:abstractNumId w:val="13"/>
  </w:num>
  <w:num w:numId="24">
    <w:abstractNumId w:val="32"/>
  </w:num>
  <w:num w:numId="25">
    <w:abstractNumId w:val="18"/>
  </w:num>
  <w:num w:numId="26">
    <w:abstractNumId w:val="30"/>
  </w:num>
  <w:num w:numId="27">
    <w:abstractNumId w:val="19"/>
  </w:num>
  <w:num w:numId="28">
    <w:abstractNumId w:val="16"/>
  </w:num>
  <w:num w:numId="29">
    <w:abstractNumId w:val="15"/>
  </w:num>
  <w:num w:numId="30">
    <w:abstractNumId w:val="3"/>
  </w:num>
  <w:num w:numId="31">
    <w:abstractNumId w:val="10"/>
  </w:num>
  <w:num w:numId="32">
    <w:abstractNumId w:val="34"/>
  </w:num>
  <w:num w:numId="33">
    <w:abstractNumId w:val="11"/>
  </w:num>
  <w:num w:numId="34">
    <w:abstractNumId w:val="0"/>
  </w:num>
  <w:num w:numId="35">
    <w:abstractNumId w:val="24"/>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65F"/>
    <w:rsid w:val="000002B9"/>
    <w:rsid w:val="00000B06"/>
    <w:rsid w:val="00001C6D"/>
    <w:rsid w:val="00006B58"/>
    <w:rsid w:val="00007AD7"/>
    <w:rsid w:val="000143D2"/>
    <w:rsid w:val="00020486"/>
    <w:rsid w:val="0002222F"/>
    <w:rsid w:val="00027B22"/>
    <w:rsid w:val="000312D1"/>
    <w:rsid w:val="0003164C"/>
    <w:rsid w:val="00035823"/>
    <w:rsid w:val="000373E4"/>
    <w:rsid w:val="00037BDD"/>
    <w:rsid w:val="00041522"/>
    <w:rsid w:val="00042050"/>
    <w:rsid w:val="00044D8D"/>
    <w:rsid w:val="000478BB"/>
    <w:rsid w:val="00051475"/>
    <w:rsid w:val="00051566"/>
    <w:rsid w:val="00051C9E"/>
    <w:rsid w:val="00053830"/>
    <w:rsid w:val="000542CD"/>
    <w:rsid w:val="00060B6D"/>
    <w:rsid w:val="00063ED0"/>
    <w:rsid w:val="00065358"/>
    <w:rsid w:val="000657B0"/>
    <w:rsid w:val="00067442"/>
    <w:rsid w:val="00071859"/>
    <w:rsid w:val="00073BF9"/>
    <w:rsid w:val="0008013E"/>
    <w:rsid w:val="00085322"/>
    <w:rsid w:val="00087929"/>
    <w:rsid w:val="00091565"/>
    <w:rsid w:val="000A1400"/>
    <w:rsid w:val="000B1D13"/>
    <w:rsid w:val="000B5B3F"/>
    <w:rsid w:val="000B6AAE"/>
    <w:rsid w:val="000B714E"/>
    <w:rsid w:val="000C7409"/>
    <w:rsid w:val="000C7503"/>
    <w:rsid w:val="000D57B7"/>
    <w:rsid w:val="000D60C6"/>
    <w:rsid w:val="000D6238"/>
    <w:rsid w:val="000E0A76"/>
    <w:rsid w:val="000E3D96"/>
    <w:rsid w:val="0010590F"/>
    <w:rsid w:val="0011355E"/>
    <w:rsid w:val="001146C0"/>
    <w:rsid w:val="00117A4E"/>
    <w:rsid w:val="0012093C"/>
    <w:rsid w:val="00127317"/>
    <w:rsid w:val="0012752D"/>
    <w:rsid w:val="00127E9E"/>
    <w:rsid w:val="00134976"/>
    <w:rsid w:val="00135CDD"/>
    <w:rsid w:val="0014601E"/>
    <w:rsid w:val="00151340"/>
    <w:rsid w:val="00152C62"/>
    <w:rsid w:val="001541A4"/>
    <w:rsid w:val="001634F6"/>
    <w:rsid w:val="00173CD5"/>
    <w:rsid w:val="00176A68"/>
    <w:rsid w:val="00181FB4"/>
    <w:rsid w:val="001837BB"/>
    <w:rsid w:val="001862C8"/>
    <w:rsid w:val="001902E6"/>
    <w:rsid w:val="00190CFA"/>
    <w:rsid w:val="00193F96"/>
    <w:rsid w:val="0019793D"/>
    <w:rsid w:val="001A3773"/>
    <w:rsid w:val="001A463B"/>
    <w:rsid w:val="001A4C1F"/>
    <w:rsid w:val="001B4C5E"/>
    <w:rsid w:val="001B7C2A"/>
    <w:rsid w:val="001C1257"/>
    <w:rsid w:val="001C3337"/>
    <w:rsid w:val="001C3404"/>
    <w:rsid w:val="001C44AB"/>
    <w:rsid w:val="001C4F47"/>
    <w:rsid w:val="001C6BCB"/>
    <w:rsid w:val="001D38E9"/>
    <w:rsid w:val="001E0DEF"/>
    <w:rsid w:val="001E3EFC"/>
    <w:rsid w:val="001E6692"/>
    <w:rsid w:val="001F112B"/>
    <w:rsid w:val="001F6CBF"/>
    <w:rsid w:val="00202E81"/>
    <w:rsid w:val="00203C2B"/>
    <w:rsid w:val="00204CCA"/>
    <w:rsid w:val="00210F7B"/>
    <w:rsid w:val="00212B42"/>
    <w:rsid w:val="00216EB9"/>
    <w:rsid w:val="00221A61"/>
    <w:rsid w:val="002238E9"/>
    <w:rsid w:val="0022416B"/>
    <w:rsid w:val="0022603F"/>
    <w:rsid w:val="00226A35"/>
    <w:rsid w:val="00231159"/>
    <w:rsid w:val="00231637"/>
    <w:rsid w:val="00232C41"/>
    <w:rsid w:val="002331D2"/>
    <w:rsid w:val="00233220"/>
    <w:rsid w:val="00234939"/>
    <w:rsid w:val="002353A1"/>
    <w:rsid w:val="00240BE8"/>
    <w:rsid w:val="002427F7"/>
    <w:rsid w:val="00244BCF"/>
    <w:rsid w:val="002471A5"/>
    <w:rsid w:val="002474D0"/>
    <w:rsid w:val="002476EC"/>
    <w:rsid w:val="00250789"/>
    <w:rsid w:val="002516ED"/>
    <w:rsid w:val="00252D3B"/>
    <w:rsid w:val="00255086"/>
    <w:rsid w:val="002633A6"/>
    <w:rsid w:val="00263752"/>
    <w:rsid w:val="00264A5A"/>
    <w:rsid w:val="00265D19"/>
    <w:rsid w:val="00267F6E"/>
    <w:rsid w:val="0027062E"/>
    <w:rsid w:val="002707FA"/>
    <w:rsid w:val="002801B6"/>
    <w:rsid w:val="002846C9"/>
    <w:rsid w:val="0029066C"/>
    <w:rsid w:val="00293248"/>
    <w:rsid w:val="0029327F"/>
    <w:rsid w:val="00295007"/>
    <w:rsid w:val="002A1575"/>
    <w:rsid w:val="002A49B6"/>
    <w:rsid w:val="002B17DE"/>
    <w:rsid w:val="002B4453"/>
    <w:rsid w:val="002C70C1"/>
    <w:rsid w:val="002D477E"/>
    <w:rsid w:val="002E3598"/>
    <w:rsid w:val="002E6F17"/>
    <w:rsid w:val="002F6152"/>
    <w:rsid w:val="002F6207"/>
    <w:rsid w:val="0030191C"/>
    <w:rsid w:val="00304D4D"/>
    <w:rsid w:val="00317EFA"/>
    <w:rsid w:val="003240E7"/>
    <w:rsid w:val="003327A4"/>
    <w:rsid w:val="00332BEF"/>
    <w:rsid w:val="0034344F"/>
    <w:rsid w:val="00353A87"/>
    <w:rsid w:val="003541E1"/>
    <w:rsid w:val="003567C1"/>
    <w:rsid w:val="003575E9"/>
    <w:rsid w:val="00362AD4"/>
    <w:rsid w:val="003663E0"/>
    <w:rsid w:val="00381025"/>
    <w:rsid w:val="00382578"/>
    <w:rsid w:val="00383B03"/>
    <w:rsid w:val="00391433"/>
    <w:rsid w:val="0039378E"/>
    <w:rsid w:val="003960B0"/>
    <w:rsid w:val="003A1465"/>
    <w:rsid w:val="003A3B53"/>
    <w:rsid w:val="003A4E6D"/>
    <w:rsid w:val="003A636B"/>
    <w:rsid w:val="003B1D79"/>
    <w:rsid w:val="003B5F3F"/>
    <w:rsid w:val="003C00C5"/>
    <w:rsid w:val="003D2376"/>
    <w:rsid w:val="003D4FFA"/>
    <w:rsid w:val="003D6D32"/>
    <w:rsid w:val="003E0CE7"/>
    <w:rsid w:val="003E1875"/>
    <w:rsid w:val="003F0D2A"/>
    <w:rsid w:val="00402F1C"/>
    <w:rsid w:val="0041210E"/>
    <w:rsid w:val="00414E21"/>
    <w:rsid w:val="0041662C"/>
    <w:rsid w:val="0042127D"/>
    <w:rsid w:val="00423194"/>
    <w:rsid w:val="00423736"/>
    <w:rsid w:val="00425731"/>
    <w:rsid w:val="0042602B"/>
    <w:rsid w:val="0043202E"/>
    <w:rsid w:val="004340AA"/>
    <w:rsid w:val="00435FEF"/>
    <w:rsid w:val="00443AA1"/>
    <w:rsid w:val="004469A2"/>
    <w:rsid w:val="00460B6C"/>
    <w:rsid w:val="0046219B"/>
    <w:rsid w:val="0046224D"/>
    <w:rsid w:val="0046295C"/>
    <w:rsid w:val="00462CD9"/>
    <w:rsid w:val="00462D1B"/>
    <w:rsid w:val="00466398"/>
    <w:rsid w:val="004727F9"/>
    <w:rsid w:val="004735BF"/>
    <w:rsid w:val="004739F8"/>
    <w:rsid w:val="00482097"/>
    <w:rsid w:val="00487F02"/>
    <w:rsid w:val="00490E01"/>
    <w:rsid w:val="00492622"/>
    <w:rsid w:val="00494AA3"/>
    <w:rsid w:val="00494B73"/>
    <w:rsid w:val="00496ED3"/>
    <w:rsid w:val="004A231D"/>
    <w:rsid w:val="004A7160"/>
    <w:rsid w:val="004C5F48"/>
    <w:rsid w:val="004C6A8D"/>
    <w:rsid w:val="004C7DF8"/>
    <w:rsid w:val="004D3635"/>
    <w:rsid w:val="004D6EFC"/>
    <w:rsid w:val="004D6FBA"/>
    <w:rsid w:val="004E26EE"/>
    <w:rsid w:val="004E54CC"/>
    <w:rsid w:val="004E7545"/>
    <w:rsid w:val="004F2340"/>
    <w:rsid w:val="004F7E93"/>
    <w:rsid w:val="00507B6D"/>
    <w:rsid w:val="00510A94"/>
    <w:rsid w:val="005128B1"/>
    <w:rsid w:val="00521B76"/>
    <w:rsid w:val="00522EA0"/>
    <w:rsid w:val="0052302A"/>
    <w:rsid w:val="00524421"/>
    <w:rsid w:val="00525A18"/>
    <w:rsid w:val="0053295A"/>
    <w:rsid w:val="0053444A"/>
    <w:rsid w:val="00541D01"/>
    <w:rsid w:val="0054248A"/>
    <w:rsid w:val="00543973"/>
    <w:rsid w:val="00544199"/>
    <w:rsid w:val="00546516"/>
    <w:rsid w:val="005518EB"/>
    <w:rsid w:val="005530B7"/>
    <w:rsid w:val="00561278"/>
    <w:rsid w:val="00562427"/>
    <w:rsid w:val="0057347B"/>
    <w:rsid w:val="0057353F"/>
    <w:rsid w:val="00576BF0"/>
    <w:rsid w:val="00577C8D"/>
    <w:rsid w:val="00582D01"/>
    <w:rsid w:val="00586B3D"/>
    <w:rsid w:val="00592524"/>
    <w:rsid w:val="00594AA1"/>
    <w:rsid w:val="005976F5"/>
    <w:rsid w:val="005A11F9"/>
    <w:rsid w:val="005A36C7"/>
    <w:rsid w:val="005B0DA6"/>
    <w:rsid w:val="005B1BAC"/>
    <w:rsid w:val="005B589B"/>
    <w:rsid w:val="005B5B8E"/>
    <w:rsid w:val="005B708B"/>
    <w:rsid w:val="005C023B"/>
    <w:rsid w:val="005C05EF"/>
    <w:rsid w:val="005C294E"/>
    <w:rsid w:val="005C48FF"/>
    <w:rsid w:val="005D3223"/>
    <w:rsid w:val="005D620C"/>
    <w:rsid w:val="005E5702"/>
    <w:rsid w:val="005F17A9"/>
    <w:rsid w:val="005F34A7"/>
    <w:rsid w:val="005F3BFB"/>
    <w:rsid w:val="00603004"/>
    <w:rsid w:val="006031E8"/>
    <w:rsid w:val="006035D4"/>
    <w:rsid w:val="0060371A"/>
    <w:rsid w:val="00604912"/>
    <w:rsid w:val="00611052"/>
    <w:rsid w:val="00611E51"/>
    <w:rsid w:val="006120E4"/>
    <w:rsid w:val="00612555"/>
    <w:rsid w:val="0061357D"/>
    <w:rsid w:val="00617C5A"/>
    <w:rsid w:val="00622F18"/>
    <w:rsid w:val="006252AA"/>
    <w:rsid w:val="0063070B"/>
    <w:rsid w:val="0063326A"/>
    <w:rsid w:val="00633998"/>
    <w:rsid w:val="00633B4A"/>
    <w:rsid w:val="00635E25"/>
    <w:rsid w:val="006367D1"/>
    <w:rsid w:val="00636AAB"/>
    <w:rsid w:val="0064408F"/>
    <w:rsid w:val="00644F14"/>
    <w:rsid w:val="006471A0"/>
    <w:rsid w:val="00652FA7"/>
    <w:rsid w:val="00654C33"/>
    <w:rsid w:val="0065517A"/>
    <w:rsid w:val="006613F1"/>
    <w:rsid w:val="006615DB"/>
    <w:rsid w:val="00662292"/>
    <w:rsid w:val="0067702E"/>
    <w:rsid w:val="0068670E"/>
    <w:rsid w:val="00686720"/>
    <w:rsid w:val="00691D53"/>
    <w:rsid w:val="006923C8"/>
    <w:rsid w:val="006979FB"/>
    <w:rsid w:val="006A51AB"/>
    <w:rsid w:val="006B66ED"/>
    <w:rsid w:val="006B6CE4"/>
    <w:rsid w:val="006B7AF3"/>
    <w:rsid w:val="006C22C7"/>
    <w:rsid w:val="006C3BEE"/>
    <w:rsid w:val="006C749F"/>
    <w:rsid w:val="006D154A"/>
    <w:rsid w:val="006D6EEA"/>
    <w:rsid w:val="006D76F7"/>
    <w:rsid w:val="006E1C2A"/>
    <w:rsid w:val="006E1F99"/>
    <w:rsid w:val="006E5463"/>
    <w:rsid w:val="006E6B36"/>
    <w:rsid w:val="006E764F"/>
    <w:rsid w:val="006E7A4A"/>
    <w:rsid w:val="006F65C8"/>
    <w:rsid w:val="006F6B5C"/>
    <w:rsid w:val="00706A3B"/>
    <w:rsid w:val="007072C2"/>
    <w:rsid w:val="007202AB"/>
    <w:rsid w:val="007258EF"/>
    <w:rsid w:val="00725D6D"/>
    <w:rsid w:val="00732901"/>
    <w:rsid w:val="00733830"/>
    <w:rsid w:val="00733AEB"/>
    <w:rsid w:val="007350DD"/>
    <w:rsid w:val="00736B4D"/>
    <w:rsid w:val="00740DAF"/>
    <w:rsid w:val="00743A2D"/>
    <w:rsid w:val="00743F69"/>
    <w:rsid w:val="00745B0A"/>
    <w:rsid w:val="0074677E"/>
    <w:rsid w:val="00750015"/>
    <w:rsid w:val="00750796"/>
    <w:rsid w:val="00750AB1"/>
    <w:rsid w:val="007556AE"/>
    <w:rsid w:val="00755904"/>
    <w:rsid w:val="00762F4E"/>
    <w:rsid w:val="00763EDA"/>
    <w:rsid w:val="00767D14"/>
    <w:rsid w:val="007717C2"/>
    <w:rsid w:val="00772F44"/>
    <w:rsid w:val="0078188C"/>
    <w:rsid w:val="007841D9"/>
    <w:rsid w:val="0078496C"/>
    <w:rsid w:val="00784BDA"/>
    <w:rsid w:val="00787361"/>
    <w:rsid w:val="0079129C"/>
    <w:rsid w:val="00792A79"/>
    <w:rsid w:val="007A0D04"/>
    <w:rsid w:val="007A12A8"/>
    <w:rsid w:val="007B1F7B"/>
    <w:rsid w:val="007B2C32"/>
    <w:rsid w:val="007B3C95"/>
    <w:rsid w:val="007B4357"/>
    <w:rsid w:val="007B6728"/>
    <w:rsid w:val="007C3E5D"/>
    <w:rsid w:val="007D1BDE"/>
    <w:rsid w:val="007D2221"/>
    <w:rsid w:val="007D241B"/>
    <w:rsid w:val="007D6309"/>
    <w:rsid w:val="007E393F"/>
    <w:rsid w:val="007F1294"/>
    <w:rsid w:val="007F1297"/>
    <w:rsid w:val="007F2B78"/>
    <w:rsid w:val="00805DCC"/>
    <w:rsid w:val="0080741B"/>
    <w:rsid w:val="00807E75"/>
    <w:rsid w:val="0081242C"/>
    <w:rsid w:val="00817519"/>
    <w:rsid w:val="00822150"/>
    <w:rsid w:val="00822736"/>
    <w:rsid w:val="00824E72"/>
    <w:rsid w:val="008258CC"/>
    <w:rsid w:val="00826E34"/>
    <w:rsid w:val="00827479"/>
    <w:rsid w:val="0083109D"/>
    <w:rsid w:val="008327D4"/>
    <w:rsid w:val="008342D1"/>
    <w:rsid w:val="00842BD4"/>
    <w:rsid w:val="00844D5B"/>
    <w:rsid w:val="00846FA5"/>
    <w:rsid w:val="00847625"/>
    <w:rsid w:val="00847F01"/>
    <w:rsid w:val="00851969"/>
    <w:rsid w:val="008606EE"/>
    <w:rsid w:val="008633DD"/>
    <w:rsid w:val="00870D92"/>
    <w:rsid w:val="00871CA7"/>
    <w:rsid w:val="00874151"/>
    <w:rsid w:val="00875400"/>
    <w:rsid w:val="008759E2"/>
    <w:rsid w:val="00877A89"/>
    <w:rsid w:val="0089034E"/>
    <w:rsid w:val="008906D7"/>
    <w:rsid w:val="00892D44"/>
    <w:rsid w:val="008930BF"/>
    <w:rsid w:val="00893E14"/>
    <w:rsid w:val="00896D4F"/>
    <w:rsid w:val="008A0CFE"/>
    <w:rsid w:val="008A56FE"/>
    <w:rsid w:val="008A5BBB"/>
    <w:rsid w:val="008A5C98"/>
    <w:rsid w:val="008A6B94"/>
    <w:rsid w:val="008B0A82"/>
    <w:rsid w:val="008B0EA5"/>
    <w:rsid w:val="008B11B2"/>
    <w:rsid w:val="008B1776"/>
    <w:rsid w:val="008B2B78"/>
    <w:rsid w:val="008B44B7"/>
    <w:rsid w:val="008B5831"/>
    <w:rsid w:val="008C3BF9"/>
    <w:rsid w:val="008C6A53"/>
    <w:rsid w:val="008C7AA3"/>
    <w:rsid w:val="008F60F9"/>
    <w:rsid w:val="008F6CC8"/>
    <w:rsid w:val="00901B01"/>
    <w:rsid w:val="009027BE"/>
    <w:rsid w:val="00902B9C"/>
    <w:rsid w:val="00914CAA"/>
    <w:rsid w:val="00930896"/>
    <w:rsid w:val="00933179"/>
    <w:rsid w:val="009400A1"/>
    <w:rsid w:val="00940B52"/>
    <w:rsid w:val="00950698"/>
    <w:rsid w:val="00950A39"/>
    <w:rsid w:val="00951D8B"/>
    <w:rsid w:val="00955689"/>
    <w:rsid w:val="009563F2"/>
    <w:rsid w:val="0096442B"/>
    <w:rsid w:val="00970939"/>
    <w:rsid w:val="00970CD5"/>
    <w:rsid w:val="00972A82"/>
    <w:rsid w:val="00974B84"/>
    <w:rsid w:val="00975EE0"/>
    <w:rsid w:val="009834C2"/>
    <w:rsid w:val="009920FE"/>
    <w:rsid w:val="00996DF4"/>
    <w:rsid w:val="009A0848"/>
    <w:rsid w:val="009A2B90"/>
    <w:rsid w:val="009A699F"/>
    <w:rsid w:val="009B7756"/>
    <w:rsid w:val="009C1EF6"/>
    <w:rsid w:val="009C3D8F"/>
    <w:rsid w:val="009C5F46"/>
    <w:rsid w:val="009C6E13"/>
    <w:rsid w:val="009C75D6"/>
    <w:rsid w:val="009D0E8A"/>
    <w:rsid w:val="009D36BD"/>
    <w:rsid w:val="009D6A25"/>
    <w:rsid w:val="009D6B1E"/>
    <w:rsid w:val="009E1EA4"/>
    <w:rsid w:val="009E206A"/>
    <w:rsid w:val="009F522B"/>
    <w:rsid w:val="009F5E7F"/>
    <w:rsid w:val="00A02247"/>
    <w:rsid w:val="00A0252A"/>
    <w:rsid w:val="00A03B9E"/>
    <w:rsid w:val="00A05092"/>
    <w:rsid w:val="00A06F35"/>
    <w:rsid w:val="00A0780E"/>
    <w:rsid w:val="00A07CEB"/>
    <w:rsid w:val="00A14408"/>
    <w:rsid w:val="00A231F3"/>
    <w:rsid w:val="00A25DEF"/>
    <w:rsid w:val="00A27A38"/>
    <w:rsid w:val="00A3027B"/>
    <w:rsid w:val="00A3065F"/>
    <w:rsid w:val="00A341C1"/>
    <w:rsid w:val="00A34632"/>
    <w:rsid w:val="00A34E65"/>
    <w:rsid w:val="00A408C1"/>
    <w:rsid w:val="00A427B9"/>
    <w:rsid w:val="00A44DFA"/>
    <w:rsid w:val="00A44E8C"/>
    <w:rsid w:val="00A50333"/>
    <w:rsid w:val="00A50586"/>
    <w:rsid w:val="00A50725"/>
    <w:rsid w:val="00A50A6D"/>
    <w:rsid w:val="00A54BF1"/>
    <w:rsid w:val="00A554F5"/>
    <w:rsid w:val="00A55690"/>
    <w:rsid w:val="00A55F2D"/>
    <w:rsid w:val="00A71BDD"/>
    <w:rsid w:val="00A72889"/>
    <w:rsid w:val="00A72BD0"/>
    <w:rsid w:val="00A82529"/>
    <w:rsid w:val="00A8708F"/>
    <w:rsid w:val="00A9255A"/>
    <w:rsid w:val="00AA0329"/>
    <w:rsid w:val="00AA0337"/>
    <w:rsid w:val="00AA47AB"/>
    <w:rsid w:val="00AA6893"/>
    <w:rsid w:val="00AA7A39"/>
    <w:rsid w:val="00AC0CB9"/>
    <w:rsid w:val="00AC100E"/>
    <w:rsid w:val="00AC64A6"/>
    <w:rsid w:val="00AC6561"/>
    <w:rsid w:val="00AC6C63"/>
    <w:rsid w:val="00AC77C0"/>
    <w:rsid w:val="00AD1905"/>
    <w:rsid w:val="00AD59DF"/>
    <w:rsid w:val="00AD7BAD"/>
    <w:rsid w:val="00AE141B"/>
    <w:rsid w:val="00AE4E05"/>
    <w:rsid w:val="00AF3989"/>
    <w:rsid w:val="00AF454D"/>
    <w:rsid w:val="00AF7EC3"/>
    <w:rsid w:val="00B0079A"/>
    <w:rsid w:val="00B00965"/>
    <w:rsid w:val="00B04134"/>
    <w:rsid w:val="00B04D6E"/>
    <w:rsid w:val="00B10C32"/>
    <w:rsid w:val="00B168E2"/>
    <w:rsid w:val="00B17318"/>
    <w:rsid w:val="00B20053"/>
    <w:rsid w:val="00B32011"/>
    <w:rsid w:val="00B339BE"/>
    <w:rsid w:val="00B3424E"/>
    <w:rsid w:val="00B34E5A"/>
    <w:rsid w:val="00B35BD3"/>
    <w:rsid w:val="00B51F34"/>
    <w:rsid w:val="00B52642"/>
    <w:rsid w:val="00B534F6"/>
    <w:rsid w:val="00B5649A"/>
    <w:rsid w:val="00B57842"/>
    <w:rsid w:val="00B7269C"/>
    <w:rsid w:val="00B756C6"/>
    <w:rsid w:val="00B803A3"/>
    <w:rsid w:val="00B9400D"/>
    <w:rsid w:val="00BA100E"/>
    <w:rsid w:val="00BA5BD0"/>
    <w:rsid w:val="00BB5E8B"/>
    <w:rsid w:val="00BB6A47"/>
    <w:rsid w:val="00BC48DA"/>
    <w:rsid w:val="00BC74C3"/>
    <w:rsid w:val="00BC7CA2"/>
    <w:rsid w:val="00BD0BA9"/>
    <w:rsid w:val="00BD6DCF"/>
    <w:rsid w:val="00BD7C50"/>
    <w:rsid w:val="00BE2C7C"/>
    <w:rsid w:val="00BE69E3"/>
    <w:rsid w:val="00BE7376"/>
    <w:rsid w:val="00BF272B"/>
    <w:rsid w:val="00BF4CC2"/>
    <w:rsid w:val="00C0048B"/>
    <w:rsid w:val="00C00981"/>
    <w:rsid w:val="00C065F0"/>
    <w:rsid w:val="00C11C42"/>
    <w:rsid w:val="00C13CF6"/>
    <w:rsid w:val="00C1495C"/>
    <w:rsid w:val="00C22BE5"/>
    <w:rsid w:val="00C304F7"/>
    <w:rsid w:val="00C3087A"/>
    <w:rsid w:val="00C346F8"/>
    <w:rsid w:val="00C37EFF"/>
    <w:rsid w:val="00C421B2"/>
    <w:rsid w:val="00C5017B"/>
    <w:rsid w:val="00C550B4"/>
    <w:rsid w:val="00C56389"/>
    <w:rsid w:val="00C60F8F"/>
    <w:rsid w:val="00C64132"/>
    <w:rsid w:val="00C64138"/>
    <w:rsid w:val="00C66775"/>
    <w:rsid w:val="00C66C32"/>
    <w:rsid w:val="00C674AD"/>
    <w:rsid w:val="00C72914"/>
    <w:rsid w:val="00C732B7"/>
    <w:rsid w:val="00C7343D"/>
    <w:rsid w:val="00C738ED"/>
    <w:rsid w:val="00C74A22"/>
    <w:rsid w:val="00C75046"/>
    <w:rsid w:val="00C75C08"/>
    <w:rsid w:val="00C77480"/>
    <w:rsid w:val="00C825D5"/>
    <w:rsid w:val="00C849BE"/>
    <w:rsid w:val="00C905F0"/>
    <w:rsid w:val="00C93D22"/>
    <w:rsid w:val="00C942CB"/>
    <w:rsid w:val="00CA2D3D"/>
    <w:rsid w:val="00CA3B99"/>
    <w:rsid w:val="00CA411F"/>
    <w:rsid w:val="00CA74CA"/>
    <w:rsid w:val="00CB2533"/>
    <w:rsid w:val="00CB3BD9"/>
    <w:rsid w:val="00CB41CE"/>
    <w:rsid w:val="00CB77B1"/>
    <w:rsid w:val="00CC5DBC"/>
    <w:rsid w:val="00CC6599"/>
    <w:rsid w:val="00CC6BF0"/>
    <w:rsid w:val="00CD2A0C"/>
    <w:rsid w:val="00CD346D"/>
    <w:rsid w:val="00CD4249"/>
    <w:rsid w:val="00CD4DF3"/>
    <w:rsid w:val="00CD55E1"/>
    <w:rsid w:val="00CD5764"/>
    <w:rsid w:val="00CD6DB6"/>
    <w:rsid w:val="00CE1591"/>
    <w:rsid w:val="00CE3AAC"/>
    <w:rsid w:val="00CE4844"/>
    <w:rsid w:val="00CE65A8"/>
    <w:rsid w:val="00CF1035"/>
    <w:rsid w:val="00CF2FD2"/>
    <w:rsid w:val="00CF47D3"/>
    <w:rsid w:val="00D0317D"/>
    <w:rsid w:val="00D06571"/>
    <w:rsid w:val="00D07730"/>
    <w:rsid w:val="00D1054F"/>
    <w:rsid w:val="00D13B16"/>
    <w:rsid w:val="00D14756"/>
    <w:rsid w:val="00D1788B"/>
    <w:rsid w:val="00D2082F"/>
    <w:rsid w:val="00D23663"/>
    <w:rsid w:val="00D263E1"/>
    <w:rsid w:val="00D26B45"/>
    <w:rsid w:val="00D27378"/>
    <w:rsid w:val="00D31617"/>
    <w:rsid w:val="00D3620D"/>
    <w:rsid w:val="00D37E56"/>
    <w:rsid w:val="00D43CBA"/>
    <w:rsid w:val="00D51040"/>
    <w:rsid w:val="00D5381D"/>
    <w:rsid w:val="00D543FF"/>
    <w:rsid w:val="00D613DE"/>
    <w:rsid w:val="00D6282F"/>
    <w:rsid w:val="00D635AC"/>
    <w:rsid w:val="00D63AF6"/>
    <w:rsid w:val="00D71387"/>
    <w:rsid w:val="00D74F1A"/>
    <w:rsid w:val="00D777BB"/>
    <w:rsid w:val="00D83F2B"/>
    <w:rsid w:val="00D920CB"/>
    <w:rsid w:val="00DA1D64"/>
    <w:rsid w:val="00DA3B4A"/>
    <w:rsid w:val="00DA4F8A"/>
    <w:rsid w:val="00DA671E"/>
    <w:rsid w:val="00DA6CEC"/>
    <w:rsid w:val="00DB0AA1"/>
    <w:rsid w:val="00DB29CB"/>
    <w:rsid w:val="00DB3695"/>
    <w:rsid w:val="00DB4391"/>
    <w:rsid w:val="00DB5585"/>
    <w:rsid w:val="00DC221C"/>
    <w:rsid w:val="00DC2818"/>
    <w:rsid w:val="00DC726E"/>
    <w:rsid w:val="00DD0699"/>
    <w:rsid w:val="00DD278C"/>
    <w:rsid w:val="00DD4BE1"/>
    <w:rsid w:val="00DD5413"/>
    <w:rsid w:val="00DD7E58"/>
    <w:rsid w:val="00DE0195"/>
    <w:rsid w:val="00DE1F52"/>
    <w:rsid w:val="00DE6212"/>
    <w:rsid w:val="00DF2EBE"/>
    <w:rsid w:val="00DF562B"/>
    <w:rsid w:val="00DF5CE0"/>
    <w:rsid w:val="00E05912"/>
    <w:rsid w:val="00E155D6"/>
    <w:rsid w:val="00E20863"/>
    <w:rsid w:val="00E21F05"/>
    <w:rsid w:val="00E23559"/>
    <w:rsid w:val="00E325F8"/>
    <w:rsid w:val="00E32A47"/>
    <w:rsid w:val="00E42BD2"/>
    <w:rsid w:val="00E50B28"/>
    <w:rsid w:val="00E5579A"/>
    <w:rsid w:val="00E575C0"/>
    <w:rsid w:val="00E576A6"/>
    <w:rsid w:val="00E62894"/>
    <w:rsid w:val="00E70325"/>
    <w:rsid w:val="00E70D60"/>
    <w:rsid w:val="00E73619"/>
    <w:rsid w:val="00E75AC7"/>
    <w:rsid w:val="00E7736E"/>
    <w:rsid w:val="00E775B9"/>
    <w:rsid w:val="00E77648"/>
    <w:rsid w:val="00E83778"/>
    <w:rsid w:val="00EA7378"/>
    <w:rsid w:val="00EB3A79"/>
    <w:rsid w:val="00EB7838"/>
    <w:rsid w:val="00EC4664"/>
    <w:rsid w:val="00ED071D"/>
    <w:rsid w:val="00ED0C05"/>
    <w:rsid w:val="00ED3D95"/>
    <w:rsid w:val="00ED7F81"/>
    <w:rsid w:val="00EE29A4"/>
    <w:rsid w:val="00EE29C0"/>
    <w:rsid w:val="00EE460D"/>
    <w:rsid w:val="00EE50BE"/>
    <w:rsid w:val="00EF3AD3"/>
    <w:rsid w:val="00F10451"/>
    <w:rsid w:val="00F12338"/>
    <w:rsid w:val="00F1297D"/>
    <w:rsid w:val="00F142AD"/>
    <w:rsid w:val="00F169F0"/>
    <w:rsid w:val="00F21D43"/>
    <w:rsid w:val="00F21DD4"/>
    <w:rsid w:val="00F24759"/>
    <w:rsid w:val="00F32345"/>
    <w:rsid w:val="00F336E5"/>
    <w:rsid w:val="00F3635F"/>
    <w:rsid w:val="00F45909"/>
    <w:rsid w:val="00F47494"/>
    <w:rsid w:val="00F47848"/>
    <w:rsid w:val="00F52E54"/>
    <w:rsid w:val="00F55AC8"/>
    <w:rsid w:val="00F5713B"/>
    <w:rsid w:val="00F7769D"/>
    <w:rsid w:val="00F86C63"/>
    <w:rsid w:val="00F90220"/>
    <w:rsid w:val="00F969B0"/>
    <w:rsid w:val="00FA119F"/>
    <w:rsid w:val="00FA193E"/>
    <w:rsid w:val="00FA4A7B"/>
    <w:rsid w:val="00FA578E"/>
    <w:rsid w:val="00FB39E0"/>
    <w:rsid w:val="00FB5622"/>
    <w:rsid w:val="00FB6375"/>
    <w:rsid w:val="00FB7EA8"/>
    <w:rsid w:val="00FB7F5F"/>
    <w:rsid w:val="00FC1724"/>
    <w:rsid w:val="00FC26AD"/>
    <w:rsid w:val="00FC39FD"/>
    <w:rsid w:val="00FC5470"/>
    <w:rsid w:val="00FD2199"/>
    <w:rsid w:val="00FD3D6A"/>
    <w:rsid w:val="00FE1E7C"/>
    <w:rsid w:val="00FE31AB"/>
    <w:rsid w:val="00FF32D1"/>
    <w:rsid w:val="00FF3935"/>
    <w:rsid w:val="00FF40CD"/>
    <w:rsid w:val="00FF5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844"/>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65F"/>
    <w:pPr>
      <w:tabs>
        <w:tab w:val="center" w:pos="4680"/>
        <w:tab w:val="right" w:pos="9360"/>
      </w:tabs>
    </w:pPr>
  </w:style>
  <w:style w:type="character" w:customStyle="1" w:styleId="HeaderChar">
    <w:name w:val="Header Char"/>
    <w:basedOn w:val="DefaultParagraphFont"/>
    <w:link w:val="Header"/>
    <w:uiPriority w:val="99"/>
    <w:locked/>
    <w:rsid w:val="00A3065F"/>
    <w:rPr>
      <w:rFonts w:ascii="Times New Roman" w:hAnsi="Times New Roman" w:cs="Times New Roman"/>
      <w:sz w:val="24"/>
      <w:szCs w:val="24"/>
    </w:rPr>
  </w:style>
  <w:style w:type="paragraph" w:styleId="Footer">
    <w:name w:val="footer"/>
    <w:basedOn w:val="Normal"/>
    <w:link w:val="FooterChar"/>
    <w:uiPriority w:val="99"/>
    <w:rsid w:val="00A3065F"/>
    <w:pPr>
      <w:tabs>
        <w:tab w:val="center" w:pos="4680"/>
        <w:tab w:val="right" w:pos="9360"/>
      </w:tabs>
    </w:pPr>
  </w:style>
  <w:style w:type="character" w:customStyle="1" w:styleId="FooterChar">
    <w:name w:val="Footer Char"/>
    <w:basedOn w:val="DefaultParagraphFont"/>
    <w:link w:val="Footer"/>
    <w:uiPriority w:val="99"/>
    <w:locked/>
    <w:rsid w:val="00A3065F"/>
    <w:rPr>
      <w:rFonts w:ascii="Times New Roman" w:hAnsi="Times New Roman" w:cs="Times New Roman"/>
      <w:sz w:val="24"/>
      <w:szCs w:val="24"/>
    </w:rPr>
  </w:style>
  <w:style w:type="paragraph" w:styleId="BalloonText">
    <w:name w:val="Balloon Text"/>
    <w:basedOn w:val="Normal"/>
    <w:link w:val="BalloonTextChar"/>
    <w:uiPriority w:val="99"/>
    <w:semiHidden/>
    <w:rsid w:val="00A306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065F"/>
    <w:rPr>
      <w:rFonts w:ascii="Tahoma" w:hAnsi="Tahoma" w:cs="Tahoma"/>
      <w:sz w:val="16"/>
      <w:szCs w:val="16"/>
    </w:rPr>
  </w:style>
  <w:style w:type="paragraph" w:styleId="ListParagraph">
    <w:name w:val="List Paragraph"/>
    <w:basedOn w:val="Normal"/>
    <w:uiPriority w:val="99"/>
    <w:qFormat/>
    <w:rsid w:val="000478BB"/>
    <w:pPr>
      <w:ind w:left="720"/>
      <w:contextualSpacing/>
    </w:pPr>
  </w:style>
  <w:style w:type="paragraph" w:styleId="FootnoteText">
    <w:name w:val="footnote text"/>
    <w:aliases w:val="Footnote Text Char1,Footnote Text Char Char,Footnote Text Char Char1,Footnote Text Char2,Footnote Text Char1 Char1 Char,Footnote Text Char2 Char Char Char,Footnote Text Char Char1 Char Char Char,Footnote Text Char1 Char Char Char Char Char"/>
    <w:basedOn w:val="Normal"/>
    <w:link w:val="FootnoteTextChar"/>
    <w:rsid w:val="006D6EEA"/>
    <w:rPr>
      <w:sz w:val="20"/>
      <w:szCs w:val="20"/>
    </w:rPr>
  </w:style>
  <w:style w:type="character" w:customStyle="1" w:styleId="FootnoteTextChar">
    <w:name w:val="Footnote Text Char"/>
    <w:aliases w:val="Footnote Text Char1 Char,Footnote Text Char Char Char,Footnote Text Char Char1 Char,Footnote Text Char2 Char,Footnote Text Char1 Char1 Char Char,Footnote Text Char2 Char Char Char Char,Footnote Text Char Char1 Char Char Char Char"/>
    <w:basedOn w:val="DefaultParagraphFont"/>
    <w:link w:val="FootnoteText"/>
    <w:locked/>
    <w:rsid w:val="006D6EEA"/>
    <w:rPr>
      <w:rFonts w:ascii="Times New Roman" w:hAnsi="Times New Roman" w:cs="Times New Roman"/>
      <w:sz w:val="20"/>
      <w:szCs w:val="20"/>
    </w:rPr>
  </w:style>
  <w:style w:type="character" w:styleId="FootnoteReference">
    <w:name w:val="footnote reference"/>
    <w:aliases w:val="o,fr,o1,fr1,o2,fr2,o3,fr3,Style 13,Style 12,Style 15,Style 17,Style 9,Style 18,(NECG) Footnote Reference,Style 20,Style 7,Styl,Style 8,Style 19,Style 28,Style 16,Style 11,Footnote Reference (EIS),fnr,Footnote reference (EA),Style 30"/>
    <w:basedOn w:val="DefaultParagraphFont"/>
    <w:rsid w:val="006D6EEA"/>
    <w:rPr>
      <w:rFonts w:cs="Times New Roman"/>
      <w:vertAlign w:val="superscript"/>
    </w:rPr>
  </w:style>
  <w:style w:type="character" w:styleId="Hyperlink">
    <w:name w:val="Hyperlink"/>
    <w:basedOn w:val="DefaultParagraphFont"/>
    <w:uiPriority w:val="99"/>
    <w:rsid w:val="0063070B"/>
    <w:rPr>
      <w:rFonts w:cs="Times New Roman"/>
      <w:color w:val="0000FF"/>
      <w:u w:val="single"/>
    </w:rPr>
  </w:style>
  <w:style w:type="character" w:styleId="CommentReference">
    <w:name w:val="annotation reference"/>
    <w:basedOn w:val="DefaultParagraphFont"/>
    <w:uiPriority w:val="99"/>
    <w:semiHidden/>
    <w:rsid w:val="00544199"/>
    <w:rPr>
      <w:rFonts w:cs="Times New Roman"/>
      <w:sz w:val="16"/>
      <w:szCs w:val="16"/>
    </w:rPr>
  </w:style>
  <w:style w:type="paragraph" w:styleId="CommentText">
    <w:name w:val="annotation text"/>
    <w:basedOn w:val="Normal"/>
    <w:link w:val="CommentTextChar"/>
    <w:uiPriority w:val="99"/>
    <w:semiHidden/>
    <w:rsid w:val="00544199"/>
    <w:rPr>
      <w:sz w:val="20"/>
      <w:szCs w:val="20"/>
    </w:rPr>
  </w:style>
  <w:style w:type="character" w:customStyle="1" w:styleId="CommentTextChar">
    <w:name w:val="Comment Text Char"/>
    <w:basedOn w:val="DefaultParagraphFont"/>
    <w:link w:val="CommentText"/>
    <w:uiPriority w:val="99"/>
    <w:semiHidden/>
    <w:locked/>
    <w:rsid w:val="005441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44199"/>
    <w:rPr>
      <w:b/>
      <w:bCs/>
    </w:rPr>
  </w:style>
  <w:style w:type="character" w:customStyle="1" w:styleId="CommentSubjectChar">
    <w:name w:val="Comment Subject Char"/>
    <w:basedOn w:val="CommentTextChar"/>
    <w:link w:val="CommentSubject"/>
    <w:uiPriority w:val="99"/>
    <w:semiHidden/>
    <w:locked/>
    <w:rsid w:val="00544199"/>
    <w:rPr>
      <w:rFonts w:ascii="Times New Roman" w:hAnsi="Times New Roman" w:cs="Times New Roman"/>
      <w:b/>
      <w:bCs/>
      <w:sz w:val="20"/>
      <w:szCs w:val="20"/>
    </w:rPr>
  </w:style>
  <w:style w:type="character" w:styleId="FollowedHyperlink">
    <w:name w:val="FollowedHyperlink"/>
    <w:basedOn w:val="DefaultParagraphFont"/>
    <w:uiPriority w:val="99"/>
    <w:semiHidden/>
    <w:rsid w:val="005128B1"/>
    <w:rPr>
      <w:rFonts w:cs="Times New Roman"/>
      <w:color w:val="800080"/>
      <w:u w:val="single"/>
    </w:rPr>
  </w:style>
  <w:style w:type="table" w:styleId="TableGrid">
    <w:name w:val="Table Grid"/>
    <w:basedOn w:val="TableNormal"/>
    <w:locked/>
    <w:rsid w:val="00063E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Char">
    <w:name w:val="fn Char"/>
    <w:aliases w:val="Footnote Text Char1 Char2,Footnote Text Char Char Char1,Footnote Text Char1 Char Char1,Footnote Text Char Char Char Char,Footnote Text MRP Char,Footnote Text Char1 Char Char Char"/>
    <w:semiHidden/>
    <w:rsid w:val="000B6AAE"/>
  </w:style>
  <w:style w:type="character" w:customStyle="1" w:styleId="apple-converted-space">
    <w:name w:val="apple-converted-space"/>
    <w:rsid w:val="001C44AB"/>
    <w:rPr>
      <w:rFonts w:cs="Times New Roman"/>
    </w:rPr>
  </w:style>
  <w:style w:type="paragraph" w:customStyle="1" w:styleId="FERCparanumber">
    <w:name w:val="FERC paranumber"/>
    <w:basedOn w:val="Normal"/>
    <w:link w:val="FERCparanumberChar1"/>
    <w:qFormat/>
    <w:rsid w:val="00FC26AD"/>
    <w:pPr>
      <w:widowControl/>
      <w:numPr>
        <w:numId w:val="32"/>
      </w:numPr>
      <w:spacing w:line="480" w:lineRule="auto"/>
    </w:pPr>
    <w:rPr>
      <w:sz w:val="26"/>
    </w:rPr>
  </w:style>
  <w:style w:type="character" w:customStyle="1" w:styleId="FERCparanumberChar1">
    <w:name w:val="FERC paranumber Char1"/>
    <w:link w:val="FERCparanumber"/>
    <w:rsid w:val="00FC26AD"/>
    <w:rPr>
      <w:rFonts w:ascii="Times New Roman" w:eastAsia="Times New Roman" w:hAnsi="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844"/>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65F"/>
    <w:pPr>
      <w:tabs>
        <w:tab w:val="center" w:pos="4680"/>
        <w:tab w:val="right" w:pos="9360"/>
      </w:tabs>
    </w:pPr>
  </w:style>
  <w:style w:type="character" w:customStyle="1" w:styleId="HeaderChar">
    <w:name w:val="Header Char"/>
    <w:basedOn w:val="DefaultParagraphFont"/>
    <w:link w:val="Header"/>
    <w:uiPriority w:val="99"/>
    <w:locked/>
    <w:rsid w:val="00A3065F"/>
    <w:rPr>
      <w:rFonts w:ascii="Times New Roman" w:hAnsi="Times New Roman" w:cs="Times New Roman"/>
      <w:sz w:val="24"/>
      <w:szCs w:val="24"/>
    </w:rPr>
  </w:style>
  <w:style w:type="paragraph" w:styleId="Footer">
    <w:name w:val="footer"/>
    <w:basedOn w:val="Normal"/>
    <w:link w:val="FooterChar"/>
    <w:uiPriority w:val="99"/>
    <w:rsid w:val="00A3065F"/>
    <w:pPr>
      <w:tabs>
        <w:tab w:val="center" w:pos="4680"/>
        <w:tab w:val="right" w:pos="9360"/>
      </w:tabs>
    </w:pPr>
  </w:style>
  <w:style w:type="character" w:customStyle="1" w:styleId="FooterChar">
    <w:name w:val="Footer Char"/>
    <w:basedOn w:val="DefaultParagraphFont"/>
    <w:link w:val="Footer"/>
    <w:uiPriority w:val="99"/>
    <w:locked/>
    <w:rsid w:val="00A3065F"/>
    <w:rPr>
      <w:rFonts w:ascii="Times New Roman" w:hAnsi="Times New Roman" w:cs="Times New Roman"/>
      <w:sz w:val="24"/>
      <w:szCs w:val="24"/>
    </w:rPr>
  </w:style>
  <w:style w:type="paragraph" w:styleId="BalloonText">
    <w:name w:val="Balloon Text"/>
    <w:basedOn w:val="Normal"/>
    <w:link w:val="BalloonTextChar"/>
    <w:uiPriority w:val="99"/>
    <w:semiHidden/>
    <w:rsid w:val="00A306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065F"/>
    <w:rPr>
      <w:rFonts w:ascii="Tahoma" w:hAnsi="Tahoma" w:cs="Tahoma"/>
      <w:sz w:val="16"/>
      <w:szCs w:val="16"/>
    </w:rPr>
  </w:style>
  <w:style w:type="paragraph" w:styleId="ListParagraph">
    <w:name w:val="List Paragraph"/>
    <w:basedOn w:val="Normal"/>
    <w:uiPriority w:val="99"/>
    <w:qFormat/>
    <w:rsid w:val="000478BB"/>
    <w:pPr>
      <w:ind w:left="720"/>
      <w:contextualSpacing/>
    </w:pPr>
  </w:style>
  <w:style w:type="paragraph" w:styleId="FootnoteText">
    <w:name w:val="footnote text"/>
    <w:aliases w:val="Footnote Text Char1,Footnote Text Char Char,Footnote Text Char Char1,Footnote Text Char2,Footnote Text Char1 Char1 Char,Footnote Text Char2 Char Char Char,Footnote Text Char Char1 Char Char Char,Footnote Text Char1 Char Char Char Char Char"/>
    <w:basedOn w:val="Normal"/>
    <w:link w:val="FootnoteTextChar"/>
    <w:rsid w:val="006D6EEA"/>
    <w:rPr>
      <w:sz w:val="20"/>
      <w:szCs w:val="20"/>
    </w:rPr>
  </w:style>
  <w:style w:type="character" w:customStyle="1" w:styleId="FootnoteTextChar">
    <w:name w:val="Footnote Text Char"/>
    <w:aliases w:val="Footnote Text Char1 Char,Footnote Text Char Char Char,Footnote Text Char Char1 Char,Footnote Text Char2 Char,Footnote Text Char1 Char1 Char Char,Footnote Text Char2 Char Char Char Char,Footnote Text Char Char1 Char Char Char Char"/>
    <w:basedOn w:val="DefaultParagraphFont"/>
    <w:link w:val="FootnoteText"/>
    <w:locked/>
    <w:rsid w:val="006D6EEA"/>
    <w:rPr>
      <w:rFonts w:ascii="Times New Roman" w:hAnsi="Times New Roman" w:cs="Times New Roman"/>
      <w:sz w:val="20"/>
      <w:szCs w:val="20"/>
    </w:rPr>
  </w:style>
  <w:style w:type="character" w:styleId="FootnoteReference">
    <w:name w:val="footnote reference"/>
    <w:aliases w:val="o,fr,o1,fr1,o2,fr2,o3,fr3,Style 13,Style 12,Style 15,Style 17,Style 9,Style 18,(NECG) Footnote Reference,Style 20,Style 7,Styl,Style 8,Style 19,Style 28,Style 16,Style 11,Footnote Reference (EIS),fnr,Footnote reference (EA),Style 30"/>
    <w:basedOn w:val="DefaultParagraphFont"/>
    <w:rsid w:val="006D6EEA"/>
    <w:rPr>
      <w:rFonts w:cs="Times New Roman"/>
      <w:vertAlign w:val="superscript"/>
    </w:rPr>
  </w:style>
  <w:style w:type="character" w:styleId="Hyperlink">
    <w:name w:val="Hyperlink"/>
    <w:basedOn w:val="DefaultParagraphFont"/>
    <w:uiPriority w:val="99"/>
    <w:rsid w:val="0063070B"/>
    <w:rPr>
      <w:rFonts w:cs="Times New Roman"/>
      <w:color w:val="0000FF"/>
      <w:u w:val="single"/>
    </w:rPr>
  </w:style>
  <w:style w:type="character" w:styleId="CommentReference">
    <w:name w:val="annotation reference"/>
    <w:basedOn w:val="DefaultParagraphFont"/>
    <w:uiPriority w:val="99"/>
    <w:semiHidden/>
    <w:rsid w:val="00544199"/>
    <w:rPr>
      <w:rFonts w:cs="Times New Roman"/>
      <w:sz w:val="16"/>
      <w:szCs w:val="16"/>
    </w:rPr>
  </w:style>
  <w:style w:type="paragraph" w:styleId="CommentText">
    <w:name w:val="annotation text"/>
    <w:basedOn w:val="Normal"/>
    <w:link w:val="CommentTextChar"/>
    <w:uiPriority w:val="99"/>
    <w:semiHidden/>
    <w:rsid w:val="00544199"/>
    <w:rPr>
      <w:sz w:val="20"/>
      <w:szCs w:val="20"/>
    </w:rPr>
  </w:style>
  <w:style w:type="character" w:customStyle="1" w:styleId="CommentTextChar">
    <w:name w:val="Comment Text Char"/>
    <w:basedOn w:val="DefaultParagraphFont"/>
    <w:link w:val="CommentText"/>
    <w:uiPriority w:val="99"/>
    <w:semiHidden/>
    <w:locked/>
    <w:rsid w:val="005441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44199"/>
    <w:rPr>
      <w:b/>
      <w:bCs/>
    </w:rPr>
  </w:style>
  <w:style w:type="character" w:customStyle="1" w:styleId="CommentSubjectChar">
    <w:name w:val="Comment Subject Char"/>
    <w:basedOn w:val="CommentTextChar"/>
    <w:link w:val="CommentSubject"/>
    <w:uiPriority w:val="99"/>
    <w:semiHidden/>
    <w:locked/>
    <w:rsid w:val="00544199"/>
    <w:rPr>
      <w:rFonts w:ascii="Times New Roman" w:hAnsi="Times New Roman" w:cs="Times New Roman"/>
      <w:b/>
      <w:bCs/>
      <w:sz w:val="20"/>
      <w:szCs w:val="20"/>
    </w:rPr>
  </w:style>
  <w:style w:type="character" w:styleId="FollowedHyperlink">
    <w:name w:val="FollowedHyperlink"/>
    <w:basedOn w:val="DefaultParagraphFont"/>
    <w:uiPriority w:val="99"/>
    <w:semiHidden/>
    <w:rsid w:val="005128B1"/>
    <w:rPr>
      <w:rFonts w:cs="Times New Roman"/>
      <w:color w:val="800080"/>
      <w:u w:val="single"/>
    </w:rPr>
  </w:style>
  <w:style w:type="table" w:styleId="TableGrid">
    <w:name w:val="Table Grid"/>
    <w:basedOn w:val="TableNormal"/>
    <w:locked/>
    <w:rsid w:val="00063E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Char">
    <w:name w:val="fn Char"/>
    <w:aliases w:val="Footnote Text Char1 Char2,Footnote Text Char Char Char1,Footnote Text Char1 Char Char1,Footnote Text Char Char Char Char,Footnote Text MRP Char,Footnote Text Char1 Char Char Char"/>
    <w:semiHidden/>
    <w:rsid w:val="000B6AAE"/>
  </w:style>
  <w:style w:type="character" w:customStyle="1" w:styleId="apple-converted-space">
    <w:name w:val="apple-converted-space"/>
    <w:rsid w:val="001C44AB"/>
    <w:rPr>
      <w:rFonts w:cs="Times New Roman"/>
    </w:rPr>
  </w:style>
  <w:style w:type="paragraph" w:customStyle="1" w:styleId="FERCparanumber">
    <w:name w:val="FERC paranumber"/>
    <w:basedOn w:val="Normal"/>
    <w:link w:val="FERCparanumberChar1"/>
    <w:qFormat/>
    <w:rsid w:val="00FC26AD"/>
    <w:pPr>
      <w:widowControl/>
      <w:numPr>
        <w:numId w:val="32"/>
      </w:numPr>
      <w:spacing w:line="480" w:lineRule="auto"/>
    </w:pPr>
    <w:rPr>
      <w:sz w:val="26"/>
    </w:rPr>
  </w:style>
  <w:style w:type="character" w:customStyle="1" w:styleId="FERCparanumberChar1">
    <w:name w:val="FERC paranumber Char1"/>
    <w:link w:val="FERCparanumber"/>
    <w:rsid w:val="00FC26AD"/>
    <w:rPr>
      <w:rFonts w:ascii="Times New Roman" w:eastAsia="Times New Roman" w:hAnsi="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63069">
      <w:bodyDiv w:val="1"/>
      <w:marLeft w:val="0"/>
      <w:marRight w:val="0"/>
      <w:marTop w:val="0"/>
      <w:marBottom w:val="0"/>
      <w:divBdr>
        <w:top w:val="none" w:sz="0" w:space="0" w:color="auto"/>
        <w:left w:val="none" w:sz="0" w:space="0" w:color="auto"/>
        <w:bottom w:val="none" w:sz="0" w:space="0" w:color="auto"/>
        <w:right w:val="none" w:sz="0" w:space="0" w:color="auto"/>
      </w:divBdr>
    </w:div>
    <w:div w:id="841314986">
      <w:marLeft w:val="0"/>
      <w:marRight w:val="0"/>
      <w:marTop w:val="0"/>
      <w:marBottom w:val="0"/>
      <w:divBdr>
        <w:top w:val="none" w:sz="0" w:space="0" w:color="auto"/>
        <w:left w:val="none" w:sz="0" w:space="0" w:color="auto"/>
        <w:bottom w:val="none" w:sz="0" w:space="0" w:color="auto"/>
        <w:right w:val="none" w:sz="0" w:space="0" w:color="auto"/>
      </w:divBdr>
    </w:div>
    <w:div w:id="841314987">
      <w:marLeft w:val="0"/>
      <w:marRight w:val="0"/>
      <w:marTop w:val="0"/>
      <w:marBottom w:val="0"/>
      <w:divBdr>
        <w:top w:val="none" w:sz="0" w:space="0" w:color="auto"/>
        <w:left w:val="none" w:sz="0" w:space="0" w:color="auto"/>
        <w:bottom w:val="none" w:sz="0" w:space="0" w:color="auto"/>
        <w:right w:val="none" w:sz="0" w:space="0" w:color="auto"/>
      </w:divBdr>
    </w:div>
    <w:div w:id="841314988">
      <w:marLeft w:val="0"/>
      <w:marRight w:val="0"/>
      <w:marTop w:val="0"/>
      <w:marBottom w:val="0"/>
      <w:divBdr>
        <w:top w:val="none" w:sz="0" w:space="0" w:color="auto"/>
        <w:left w:val="none" w:sz="0" w:space="0" w:color="auto"/>
        <w:bottom w:val="none" w:sz="0" w:space="0" w:color="auto"/>
        <w:right w:val="none" w:sz="0" w:space="0" w:color="auto"/>
      </w:divBdr>
    </w:div>
    <w:div w:id="977299876">
      <w:bodyDiv w:val="1"/>
      <w:marLeft w:val="0"/>
      <w:marRight w:val="0"/>
      <w:marTop w:val="0"/>
      <w:marBottom w:val="0"/>
      <w:divBdr>
        <w:top w:val="none" w:sz="0" w:space="0" w:color="auto"/>
        <w:left w:val="none" w:sz="0" w:space="0" w:color="auto"/>
        <w:bottom w:val="none" w:sz="0" w:space="0" w:color="auto"/>
        <w:right w:val="none" w:sz="0" w:space="0" w:color="auto"/>
      </w:divBdr>
    </w:div>
    <w:div w:id="1360744865">
      <w:bodyDiv w:val="1"/>
      <w:marLeft w:val="0"/>
      <w:marRight w:val="0"/>
      <w:marTop w:val="0"/>
      <w:marBottom w:val="0"/>
      <w:divBdr>
        <w:top w:val="none" w:sz="0" w:space="0" w:color="auto"/>
        <w:left w:val="none" w:sz="0" w:space="0" w:color="auto"/>
        <w:bottom w:val="none" w:sz="0" w:space="0" w:color="auto"/>
        <w:right w:val="none" w:sz="0" w:space="0" w:color="auto"/>
      </w:divBdr>
    </w:div>
    <w:div w:id="1404180886">
      <w:bodyDiv w:val="1"/>
      <w:marLeft w:val="0"/>
      <w:marRight w:val="0"/>
      <w:marTop w:val="0"/>
      <w:marBottom w:val="0"/>
      <w:divBdr>
        <w:top w:val="none" w:sz="0" w:space="0" w:color="auto"/>
        <w:left w:val="none" w:sz="0" w:space="0" w:color="auto"/>
        <w:bottom w:val="none" w:sz="0" w:space="0" w:color="auto"/>
        <w:right w:val="none" w:sz="0" w:space="0" w:color="auto"/>
      </w:divBdr>
    </w:div>
    <w:div w:id="1587425413">
      <w:bodyDiv w:val="1"/>
      <w:marLeft w:val="0"/>
      <w:marRight w:val="0"/>
      <w:marTop w:val="0"/>
      <w:marBottom w:val="0"/>
      <w:divBdr>
        <w:top w:val="none" w:sz="0" w:space="0" w:color="auto"/>
        <w:left w:val="none" w:sz="0" w:space="0" w:color="auto"/>
        <w:bottom w:val="none" w:sz="0" w:space="0" w:color="auto"/>
        <w:right w:val="none" w:sz="0" w:space="0" w:color="auto"/>
      </w:divBdr>
    </w:div>
    <w:div w:id="1949389760">
      <w:bodyDiv w:val="1"/>
      <w:marLeft w:val="0"/>
      <w:marRight w:val="0"/>
      <w:marTop w:val="0"/>
      <w:marBottom w:val="0"/>
      <w:divBdr>
        <w:top w:val="none" w:sz="0" w:space="0" w:color="auto"/>
        <w:left w:val="none" w:sz="0" w:space="0" w:color="auto"/>
        <w:bottom w:val="none" w:sz="0" w:space="0" w:color="auto"/>
        <w:right w:val="none" w:sz="0" w:space="0" w:color="auto"/>
      </w:divBdr>
    </w:div>
    <w:div w:id="2077320899">
      <w:bodyDiv w:val="1"/>
      <w:marLeft w:val="0"/>
      <w:marRight w:val="0"/>
      <w:marTop w:val="0"/>
      <w:marBottom w:val="0"/>
      <w:divBdr>
        <w:top w:val="none" w:sz="0" w:space="0" w:color="auto"/>
        <w:left w:val="none" w:sz="0" w:space="0" w:color="auto"/>
        <w:bottom w:val="none" w:sz="0" w:space="0" w:color="auto"/>
        <w:right w:val="none" w:sz="0" w:space="0" w:color="auto"/>
      </w:divBdr>
    </w:div>
    <w:div w:id="214362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ferc.gov/docs-filing/etariff.asp" TargetMode="External"/><Relationship Id="rId7" Type="http://schemas.openxmlformats.org/officeDocument/2006/relationships/hyperlink" Target="http://bls.gov/oes/current/naics2_22.htm" TargetMode="External"/><Relationship Id="rId2" Type="http://schemas.openxmlformats.org/officeDocument/2006/relationships/hyperlink" Target="http://elibrary.ferc.gov/idmws/common/opennat.asp?fileID=13165589" TargetMode="External"/><Relationship Id="rId1" Type="http://schemas.openxmlformats.org/officeDocument/2006/relationships/hyperlink" Target="http://www.naesb.org/" TargetMode="External"/><Relationship Id="rId6" Type="http://schemas.openxmlformats.org/officeDocument/2006/relationships/hyperlink" Target="http://www.ferc.gov/docs-filing/forms.asp" TargetMode="External"/><Relationship Id="rId5" Type="http://schemas.openxmlformats.org/officeDocument/2006/relationships/hyperlink" Target="http://elibrary.ferc.gov/idmws/common/opennat.asp?fileID=13924934" TargetMode="External"/><Relationship Id="rId4" Type="http://schemas.openxmlformats.org/officeDocument/2006/relationships/hyperlink" Target="http://elibrary.ferc.gov/idmws/common/opennat.asp?fileID=13685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545</_x0031__x002e__x0020_Collection_x0020_Number>
    <Date xmlns="d6eefc7d-9817-4fa6-84d5-3bc009be21b8">2015-07-31T00:00:00-04:00</Date>
    <Status xmlns="d6eefc7d-9817-4fa6-84d5-3bc009be21b8">Draft</Status>
    <_x0032__x002e__x0020_Docket_x0020_Number xmlns="d6eefc7d-9817-4fa6-84d5-3bc009be21b8" xsi:nil="true"/>
    <_x0032__x002e__x0020_Collection_x0020_Number xmlns="d6eefc7d-9817-4fa6-84d5-3bc009be21b8">549C</_x0032__x002e__x0020_Collection_x0020_Number>
    <_x0031__x002e__x0020_Docket_x0020_Number xmlns="d6eefc7d-9817-4fa6-84d5-3bc009be21b8">RM14-2</_x0031__x002e__x0020_Docket_x0020_Number>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CA8AE-8AB7-42A7-8564-AB9864711675}">
  <ds:schemaRefs>
    <ds:schemaRef ds:uri="http://schemas.microsoft.com/sharepoint/v3/contenttype/forms"/>
  </ds:schemaRefs>
</ds:datastoreItem>
</file>

<file path=customXml/itemProps2.xml><?xml version="1.0" encoding="utf-8"?>
<ds:datastoreItem xmlns:ds="http://schemas.openxmlformats.org/officeDocument/2006/customXml" ds:itemID="{41FFF336-CACA-4E32-A489-646AEBC58885}">
  <ds:schemaRefs>
    <ds:schemaRef ds:uri="http://schemas.microsoft.com/office/2006/metadata/customXsn"/>
  </ds:schemaRefs>
</ds:datastoreItem>
</file>

<file path=customXml/itemProps3.xml><?xml version="1.0" encoding="utf-8"?>
<ds:datastoreItem xmlns:ds="http://schemas.openxmlformats.org/officeDocument/2006/customXml" ds:itemID="{23F08AFD-B404-446A-9041-D607C9A5C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425350-8439-43F8-807E-1B7A78627C3F}">
  <ds:schemaRefs>
    <ds:schemaRef ds:uri="http://schemas.microsoft.com/office/2006/metadata/properties"/>
    <ds:schemaRef ds:uri="http://schemas.microsoft.com/office/infopath/2007/PartnerControls"/>
    <ds:schemaRef ds:uri="d6eefc7d-9817-4fa6-84d5-3bc009be21b8"/>
  </ds:schemaRefs>
</ds:datastoreItem>
</file>

<file path=customXml/itemProps5.xml><?xml version="1.0" encoding="utf-8"?>
<ds:datastoreItem xmlns:ds="http://schemas.openxmlformats.org/officeDocument/2006/customXml" ds:itemID="{3221A46F-2FB8-409D-8148-207060C5D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3778</Words>
  <Characters>21536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2015-08-11T13:54:00Z</dcterms:created>
  <dcterms:modified xsi:type="dcterms:W3CDTF">2015-08-11T14:15:00Z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