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0500D" w14:textId="77777777" w:rsidR="007B686B" w:rsidRDefault="003535DF" w:rsidP="007B686B">
      <w:pPr>
        <w:jc w:val="center"/>
        <w:rPr>
          <w:b/>
          <w:sz w:val="36"/>
          <w:szCs w:val="36"/>
        </w:rPr>
      </w:pPr>
      <w:r w:rsidRPr="00D158D2">
        <w:rPr>
          <w:b/>
          <w:sz w:val="36"/>
          <w:szCs w:val="36"/>
        </w:rPr>
        <w:t xml:space="preserve">    </w:t>
      </w:r>
    </w:p>
    <w:p w14:paraId="234BD1C6" w14:textId="77777777" w:rsidR="007B686B" w:rsidRDefault="007B686B" w:rsidP="007B686B">
      <w:pPr>
        <w:jc w:val="center"/>
        <w:rPr>
          <w:b/>
          <w:sz w:val="36"/>
          <w:szCs w:val="36"/>
        </w:rPr>
      </w:pPr>
      <w:r>
        <w:rPr>
          <w:b/>
          <w:sz w:val="36"/>
          <w:szCs w:val="36"/>
        </w:rPr>
        <w:t>Factors Influencing Children’s</w:t>
      </w:r>
    </w:p>
    <w:p w14:paraId="2EBB649C" w14:textId="77777777" w:rsidR="007B686B" w:rsidRDefault="007B686B" w:rsidP="007B686B">
      <w:pPr>
        <w:jc w:val="center"/>
        <w:rPr>
          <w:b/>
          <w:sz w:val="36"/>
          <w:szCs w:val="36"/>
        </w:rPr>
      </w:pPr>
      <w:r>
        <w:rPr>
          <w:b/>
          <w:sz w:val="36"/>
          <w:szCs w:val="36"/>
        </w:rPr>
        <w:t>Potential Exposures to Indoor Contaminants</w:t>
      </w:r>
    </w:p>
    <w:p w14:paraId="660F79AE" w14:textId="77777777" w:rsidR="003535DF" w:rsidRPr="00D158D2" w:rsidRDefault="003535DF" w:rsidP="003535DF">
      <w:pPr>
        <w:jc w:val="center"/>
        <w:rPr>
          <w:b/>
          <w:sz w:val="36"/>
          <w:szCs w:val="36"/>
        </w:rPr>
      </w:pPr>
    </w:p>
    <w:p w14:paraId="7ABBED36" w14:textId="77777777" w:rsidR="003535DF" w:rsidRPr="00D158D2" w:rsidRDefault="003535DF" w:rsidP="003535DF">
      <w:pPr>
        <w:jc w:val="center"/>
        <w:rPr>
          <w:b/>
          <w:sz w:val="28"/>
          <w:szCs w:val="28"/>
        </w:rPr>
      </w:pPr>
    </w:p>
    <w:p w14:paraId="16882B21" w14:textId="77777777" w:rsidR="003535DF" w:rsidRPr="00D158D2" w:rsidRDefault="003535DF" w:rsidP="003535DF">
      <w:pPr>
        <w:ind w:left="2880" w:firstLine="720"/>
        <w:rPr>
          <w:b/>
          <w:sz w:val="28"/>
          <w:szCs w:val="28"/>
        </w:rPr>
      </w:pPr>
      <w:r w:rsidRPr="00D158D2">
        <w:rPr>
          <w:b/>
          <w:sz w:val="28"/>
          <w:szCs w:val="28"/>
        </w:rPr>
        <w:t xml:space="preserve">        </w:t>
      </w:r>
    </w:p>
    <w:p w14:paraId="00EB43DE" w14:textId="77777777" w:rsidR="003535DF" w:rsidRPr="00D158D2" w:rsidRDefault="003535DF" w:rsidP="003535DF">
      <w:pPr>
        <w:jc w:val="center"/>
        <w:rPr>
          <w:b/>
          <w:sz w:val="28"/>
          <w:szCs w:val="28"/>
        </w:rPr>
      </w:pPr>
      <w:r w:rsidRPr="00D158D2">
        <w:rPr>
          <w:b/>
          <w:sz w:val="28"/>
          <w:szCs w:val="28"/>
        </w:rPr>
        <w:t xml:space="preserve">   </w:t>
      </w:r>
    </w:p>
    <w:p w14:paraId="5C975BEF" w14:textId="38C09983" w:rsidR="003535DF" w:rsidRPr="00D158D2" w:rsidRDefault="005B42E5" w:rsidP="00E53D5E">
      <w:pPr>
        <w:jc w:val="center"/>
        <w:rPr>
          <w:b/>
          <w:sz w:val="28"/>
          <w:szCs w:val="28"/>
        </w:rPr>
      </w:pPr>
      <w:r>
        <w:rPr>
          <w:b/>
          <w:sz w:val="28"/>
          <w:szCs w:val="28"/>
        </w:rPr>
        <w:t>March 3</w:t>
      </w:r>
      <w:r w:rsidR="005E107C">
        <w:rPr>
          <w:b/>
          <w:sz w:val="28"/>
          <w:szCs w:val="28"/>
        </w:rPr>
        <w:t>,</w:t>
      </w:r>
      <w:r w:rsidR="005E107C" w:rsidRPr="00D158D2">
        <w:rPr>
          <w:b/>
          <w:sz w:val="28"/>
          <w:szCs w:val="28"/>
        </w:rPr>
        <w:t xml:space="preserve"> 201</w:t>
      </w:r>
      <w:r w:rsidR="005E107C">
        <w:rPr>
          <w:b/>
          <w:sz w:val="28"/>
          <w:szCs w:val="28"/>
        </w:rPr>
        <w:t>6</w:t>
      </w:r>
    </w:p>
    <w:p w14:paraId="35AEDA2F" w14:textId="77777777" w:rsidR="003535DF" w:rsidRPr="00D158D2" w:rsidRDefault="003535DF" w:rsidP="003535DF">
      <w:pPr>
        <w:rPr>
          <w:sz w:val="24"/>
        </w:rPr>
      </w:pPr>
    </w:p>
    <w:p w14:paraId="0FF513C5" w14:textId="77777777" w:rsidR="00A965B8" w:rsidRPr="00D158D2" w:rsidRDefault="00622485" w:rsidP="00A965B8">
      <w:pPr>
        <w:jc w:val="center"/>
        <w:rPr>
          <w:sz w:val="28"/>
          <w:szCs w:val="28"/>
        </w:rPr>
      </w:pPr>
      <w:r>
        <w:rPr>
          <w:sz w:val="28"/>
          <w:szCs w:val="28"/>
        </w:rPr>
        <w:t>Supporting Statement B</w:t>
      </w:r>
    </w:p>
    <w:p w14:paraId="4804261C" w14:textId="77777777" w:rsidR="00A965B8" w:rsidRPr="00D158D2" w:rsidRDefault="00A965B8" w:rsidP="00A965B8">
      <w:pPr>
        <w:jc w:val="center"/>
        <w:rPr>
          <w:sz w:val="28"/>
          <w:szCs w:val="28"/>
        </w:rPr>
      </w:pPr>
    </w:p>
    <w:p w14:paraId="6236ED31" w14:textId="77777777" w:rsidR="00A965B8" w:rsidRDefault="00A965B8" w:rsidP="00A965B8">
      <w:pPr>
        <w:rPr>
          <w:sz w:val="24"/>
        </w:rPr>
      </w:pPr>
    </w:p>
    <w:p w14:paraId="703655A7" w14:textId="77777777" w:rsidR="007B686B" w:rsidRDefault="007B686B" w:rsidP="00A965B8">
      <w:pPr>
        <w:rPr>
          <w:sz w:val="24"/>
        </w:rPr>
      </w:pPr>
    </w:p>
    <w:p w14:paraId="6F80D43D" w14:textId="77777777" w:rsidR="007B686B" w:rsidRDefault="007B686B" w:rsidP="007B686B">
      <w:pPr>
        <w:jc w:val="center"/>
        <w:rPr>
          <w:b/>
          <w:sz w:val="28"/>
          <w:szCs w:val="28"/>
        </w:rPr>
      </w:pPr>
      <w:r>
        <w:rPr>
          <w:b/>
          <w:sz w:val="28"/>
          <w:szCs w:val="28"/>
        </w:rPr>
        <w:t>Collections of Information Using Statistical Methods</w:t>
      </w:r>
    </w:p>
    <w:p w14:paraId="3C5B09A4" w14:textId="77777777" w:rsidR="007B686B" w:rsidRDefault="007B686B" w:rsidP="007B686B">
      <w:pPr>
        <w:jc w:val="center"/>
        <w:rPr>
          <w:b/>
          <w:sz w:val="28"/>
          <w:szCs w:val="28"/>
        </w:rPr>
      </w:pPr>
    </w:p>
    <w:p w14:paraId="0B8DBE8F" w14:textId="77777777" w:rsidR="007B686B" w:rsidRPr="00AC2BF0" w:rsidRDefault="007B686B" w:rsidP="007B686B">
      <w:pPr>
        <w:jc w:val="center"/>
        <w:rPr>
          <w:b/>
          <w:sz w:val="28"/>
          <w:szCs w:val="28"/>
        </w:rPr>
      </w:pPr>
      <w:r>
        <w:rPr>
          <w:b/>
          <w:sz w:val="28"/>
          <w:szCs w:val="28"/>
        </w:rPr>
        <w:t>OMB Control No. 0920-NEW</w:t>
      </w:r>
    </w:p>
    <w:p w14:paraId="57D42F97" w14:textId="77777777" w:rsidR="007B686B" w:rsidRPr="00D158D2" w:rsidRDefault="007B686B" w:rsidP="00A965B8">
      <w:pPr>
        <w:rPr>
          <w:sz w:val="24"/>
        </w:rPr>
      </w:pPr>
    </w:p>
    <w:p w14:paraId="0232A42D" w14:textId="77777777" w:rsidR="00753276" w:rsidRPr="00D158D2" w:rsidRDefault="00753276" w:rsidP="00A965B8">
      <w:pPr>
        <w:rPr>
          <w:sz w:val="24"/>
        </w:rPr>
      </w:pPr>
    </w:p>
    <w:p w14:paraId="6BD11089" w14:textId="77777777" w:rsidR="00753276" w:rsidRPr="00D158D2" w:rsidRDefault="00753276" w:rsidP="00A965B8">
      <w:pPr>
        <w:rPr>
          <w:sz w:val="24"/>
        </w:rPr>
      </w:pPr>
    </w:p>
    <w:p w14:paraId="4E744ED5" w14:textId="77777777" w:rsidR="00753276" w:rsidRPr="00D158D2" w:rsidRDefault="00753276" w:rsidP="00A965B8">
      <w:pPr>
        <w:rPr>
          <w:sz w:val="24"/>
        </w:rPr>
      </w:pPr>
    </w:p>
    <w:p w14:paraId="5F0123E8" w14:textId="77777777" w:rsidR="00753276" w:rsidRPr="00D158D2" w:rsidRDefault="00753276" w:rsidP="00A965B8">
      <w:pPr>
        <w:rPr>
          <w:sz w:val="24"/>
        </w:rPr>
      </w:pPr>
    </w:p>
    <w:p w14:paraId="49CB7603" w14:textId="77777777" w:rsidR="00753276" w:rsidRPr="00D158D2" w:rsidRDefault="00753276" w:rsidP="00A965B8">
      <w:pPr>
        <w:rPr>
          <w:sz w:val="24"/>
        </w:rPr>
      </w:pPr>
    </w:p>
    <w:p w14:paraId="1D7B3F29" w14:textId="77777777" w:rsidR="00753276" w:rsidRPr="00D158D2" w:rsidRDefault="00753276" w:rsidP="00A965B8">
      <w:pPr>
        <w:rPr>
          <w:sz w:val="24"/>
        </w:rPr>
      </w:pPr>
    </w:p>
    <w:p w14:paraId="1C32DB38" w14:textId="77777777" w:rsidR="00753276" w:rsidRPr="00D158D2" w:rsidRDefault="00753276" w:rsidP="00A965B8">
      <w:pPr>
        <w:rPr>
          <w:sz w:val="24"/>
        </w:rPr>
      </w:pPr>
    </w:p>
    <w:p w14:paraId="6610A638" w14:textId="77777777" w:rsidR="00A965B8" w:rsidRPr="00D158D2" w:rsidRDefault="00A965B8" w:rsidP="00A965B8">
      <w:pPr>
        <w:rPr>
          <w:sz w:val="24"/>
        </w:rPr>
      </w:pPr>
    </w:p>
    <w:p w14:paraId="27C598FF" w14:textId="77777777" w:rsidR="00A965B8" w:rsidRPr="00D158D2" w:rsidRDefault="00A965B8" w:rsidP="00A965B8">
      <w:pPr>
        <w:rPr>
          <w:sz w:val="24"/>
        </w:rPr>
      </w:pPr>
    </w:p>
    <w:p w14:paraId="628B42A1" w14:textId="77777777" w:rsidR="009C3706" w:rsidRPr="00D158D2" w:rsidRDefault="009C3706" w:rsidP="00A965B8">
      <w:pPr>
        <w:rPr>
          <w:sz w:val="24"/>
        </w:rPr>
      </w:pPr>
    </w:p>
    <w:p w14:paraId="13880C15" w14:textId="77777777" w:rsidR="009C3706" w:rsidRPr="00D158D2" w:rsidRDefault="009C3706" w:rsidP="00A965B8">
      <w:pPr>
        <w:rPr>
          <w:sz w:val="24"/>
        </w:rPr>
      </w:pPr>
    </w:p>
    <w:p w14:paraId="65444330" w14:textId="77777777" w:rsidR="009C3706" w:rsidRPr="00D158D2" w:rsidRDefault="009C3706" w:rsidP="00A965B8">
      <w:pPr>
        <w:rPr>
          <w:sz w:val="24"/>
        </w:rPr>
      </w:pPr>
    </w:p>
    <w:p w14:paraId="06D2862C" w14:textId="77777777" w:rsidR="009C3706" w:rsidRPr="00D158D2" w:rsidRDefault="009C3706" w:rsidP="00A965B8">
      <w:pPr>
        <w:rPr>
          <w:sz w:val="24"/>
        </w:rPr>
      </w:pPr>
    </w:p>
    <w:p w14:paraId="5571F184" w14:textId="77777777" w:rsidR="009C3706" w:rsidRPr="00D158D2" w:rsidRDefault="009C3706" w:rsidP="00A965B8">
      <w:pPr>
        <w:rPr>
          <w:sz w:val="24"/>
        </w:rPr>
      </w:pPr>
    </w:p>
    <w:p w14:paraId="0F4B4340" w14:textId="77777777" w:rsidR="00A965B8" w:rsidRPr="00D158D2" w:rsidRDefault="00A965B8" w:rsidP="00A965B8">
      <w:pPr>
        <w:rPr>
          <w:sz w:val="24"/>
        </w:rPr>
      </w:pPr>
    </w:p>
    <w:p w14:paraId="555FB01C" w14:textId="77777777" w:rsidR="00A965B8" w:rsidRPr="00D158D2" w:rsidRDefault="00A965B8" w:rsidP="004770B9">
      <w:pPr>
        <w:jc w:val="center"/>
        <w:rPr>
          <w:sz w:val="24"/>
          <w:szCs w:val="24"/>
        </w:rPr>
      </w:pPr>
      <w:r w:rsidRPr="00D158D2">
        <w:rPr>
          <w:sz w:val="24"/>
          <w:szCs w:val="24"/>
        </w:rPr>
        <w:t>Project Official:</w:t>
      </w:r>
    </w:p>
    <w:p w14:paraId="52F41569" w14:textId="77777777" w:rsidR="00A965B8" w:rsidRPr="00D158D2" w:rsidRDefault="00A965B8" w:rsidP="004770B9">
      <w:pPr>
        <w:jc w:val="center"/>
        <w:rPr>
          <w:sz w:val="24"/>
          <w:szCs w:val="24"/>
        </w:rPr>
      </w:pPr>
      <w:r w:rsidRPr="00D158D2">
        <w:rPr>
          <w:sz w:val="24"/>
          <w:szCs w:val="24"/>
        </w:rPr>
        <w:t>Ginger L. Chew, ScD</w:t>
      </w:r>
    </w:p>
    <w:p w14:paraId="78E644EB" w14:textId="77777777" w:rsidR="00A965B8" w:rsidRPr="00D158D2" w:rsidRDefault="00A965B8" w:rsidP="004770B9">
      <w:pPr>
        <w:jc w:val="center"/>
        <w:rPr>
          <w:sz w:val="24"/>
          <w:szCs w:val="24"/>
        </w:rPr>
      </w:pPr>
      <w:r w:rsidRPr="00D158D2">
        <w:rPr>
          <w:sz w:val="24"/>
          <w:szCs w:val="24"/>
        </w:rPr>
        <w:t>Principal Investigator</w:t>
      </w:r>
    </w:p>
    <w:p w14:paraId="34EEDB2A" w14:textId="77777777" w:rsidR="00A965B8" w:rsidRPr="00D158D2" w:rsidRDefault="00A965B8" w:rsidP="004770B9">
      <w:pPr>
        <w:jc w:val="center"/>
        <w:rPr>
          <w:sz w:val="24"/>
          <w:szCs w:val="24"/>
        </w:rPr>
      </w:pPr>
      <w:r w:rsidRPr="00D158D2">
        <w:rPr>
          <w:sz w:val="24"/>
          <w:szCs w:val="24"/>
        </w:rPr>
        <w:t>National Center for Environmental Health</w:t>
      </w:r>
    </w:p>
    <w:p w14:paraId="4A5AB465" w14:textId="77777777" w:rsidR="00A965B8" w:rsidRPr="00D158D2" w:rsidRDefault="00A965B8" w:rsidP="004770B9">
      <w:pPr>
        <w:jc w:val="center"/>
        <w:rPr>
          <w:sz w:val="24"/>
          <w:szCs w:val="24"/>
        </w:rPr>
      </w:pPr>
      <w:r w:rsidRPr="00D158D2">
        <w:rPr>
          <w:sz w:val="24"/>
          <w:szCs w:val="24"/>
        </w:rPr>
        <w:t>U.S. Centers for Disease Control and Prevention (CDC)</w:t>
      </w:r>
    </w:p>
    <w:p w14:paraId="14C7743D" w14:textId="77777777" w:rsidR="00A965B8" w:rsidRPr="00D158D2" w:rsidRDefault="00A965B8" w:rsidP="004770B9">
      <w:pPr>
        <w:overflowPunct/>
        <w:jc w:val="center"/>
        <w:textAlignment w:val="auto"/>
        <w:rPr>
          <w:rFonts w:cs="Arial"/>
          <w:color w:val="000000"/>
          <w:sz w:val="24"/>
          <w:szCs w:val="24"/>
        </w:rPr>
      </w:pPr>
      <w:r w:rsidRPr="00D158D2">
        <w:rPr>
          <w:rFonts w:cs="Arial"/>
          <w:color w:val="000000"/>
          <w:sz w:val="24"/>
          <w:szCs w:val="24"/>
        </w:rPr>
        <w:t>4770 Buford Hwy., N.E., MS-F60</w:t>
      </w:r>
    </w:p>
    <w:p w14:paraId="42C31111" w14:textId="77777777" w:rsidR="00A965B8" w:rsidRPr="00D158D2" w:rsidRDefault="00A965B8" w:rsidP="004770B9">
      <w:pPr>
        <w:overflowPunct/>
        <w:jc w:val="center"/>
        <w:textAlignment w:val="auto"/>
        <w:rPr>
          <w:rFonts w:cs="Arial"/>
          <w:color w:val="000000"/>
          <w:sz w:val="24"/>
          <w:szCs w:val="24"/>
          <w:lang w:val="es-ES"/>
        </w:rPr>
      </w:pPr>
      <w:r w:rsidRPr="00D158D2">
        <w:rPr>
          <w:rFonts w:cs="Arial"/>
          <w:color w:val="000000"/>
          <w:sz w:val="24"/>
          <w:szCs w:val="24"/>
          <w:lang w:val="es-ES"/>
        </w:rPr>
        <w:t>Atlanta, GA 30341</w:t>
      </w:r>
    </w:p>
    <w:p w14:paraId="507288E6" w14:textId="77777777" w:rsidR="00A965B8" w:rsidRPr="00D158D2" w:rsidRDefault="00A965B8" w:rsidP="004770B9">
      <w:pPr>
        <w:overflowPunct/>
        <w:jc w:val="center"/>
        <w:textAlignment w:val="auto"/>
        <w:rPr>
          <w:rFonts w:cs="Arial"/>
          <w:color w:val="000000"/>
          <w:sz w:val="24"/>
          <w:szCs w:val="24"/>
          <w:lang w:val="es-ES"/>
        </w:rPr>
      </w:pPr>
      <w:r w:rsidRPr="00D158D2">
        <w:rPr>
          <w:rFonts w:cs="Arial"/>
          <w:color w:val="000000"/>
          <w:sz w:val="24"/>
          <w:szCs w:val="24"/>
          <w:lang w:val="es-ES"/>
        </w:rPr>
        <w:t>Tel: (770) 488-3992</w:t>
      </w:r>
    </w:p>
    <w:p w14:paraId="54FAC395" w14:textId="77777777" w:rsidR="00A965B8" w:rsidRPr="00D158D2" w:rsidRDefault="00A965B8" w:rsidP="004770B9">
      <w:pPr>
        <w:overflowPunct/>
        <w:jc w:val="center"/>
        <w:textAlignment w:val="auto"/>
        <w:rPr>
          <w:rFonts w:cs="Arial"/>
          <w:color w:val="000000"/>
          <w:sz w:val="24"/>
          <w:szCs w:val="24"/>
          <w:lang w:val="es-ES"/>
        </w:rPr>
      </w:pPr>
      <w:r w:rsidRPr="00D158D2">
        <w:rPr>
          <w:rFonts w:cs="Arial"/>
          <w:color w:val="000000"/>
          <w:sz w:val="24"/>
          <w:szCs w:val="24"/>
          <w:lang w:val="es-ES"/>
        </w:rPr>
        <w:t>Fax: (770) 488-3635</w:t>
      </w:r>
    </w:p>
    <w:p w14:paraId="332E17C7" w14:textId="77777777" w:rsidR="00A965B8" w:rsidRPr="00D158D2" w:rsidRDefault="00C24BC3" w:rsidP="004770B9">
      <w:pPr>
        <w:overflowPunct/>
        <w:jc w:val="center"/>
        <w:textAlignment w:val="auto"/>
        <w:rPr>
          <w:rFonts w:cs="Arial"/>
          <w:color w:val="000000"/>
          <w:sz w:val="24"/>
          <w:szCs w:val="24"/>
          <w:u w:val="single"/>
        </w:rPr>
      </w:pPr>
      <w:hyperlink r:id="rId8" w:history="1">
        <w:r w:rsidR="00A965B8" w:rsidRPr="00D158D2">
          <w:rPr>
            <w:rStyle w:val="Hyperlink"/>
            <w:rFonts w:cs="Arial"/>
            <w:sz w:val="24"/>
            <w:szCs w:val="24"/>
          </w:rPr>
          <w:t>gjc0@cdc.gov</w:t>
        </w:r>
      </w:hyperlink>
    </w:p>
    <w:p w14:paraId="0A52EF4F" w14:textId="77777777" w:rsidR="00857AFC" w:rsidRPr="00D158D2" w:rsidRDefault="00857AFC">
      <w:pPr>
        <w:overflowPunct/>
        <w:autoSpaceDE/>
        <w:autoSpaceDN/>
        <w:adjustRightInd/>
        <w:textAlignment w:val="auto"/>
        <w:rPr>
          <w:bCs/>
          <w:sz w:val="24"/>
          <w:szCs w:val="24"/>
        </w:rPr>
      </w:pPr>
      <w:r w:rsidRPr="00D158D2">
        <w:rPr>
          <w:bCs/>
          <w:sz w:val="24"/>
          <w:szCs w:val="24"/>
        </w:rPr>
        <w:br w:type="page"/>
      </w:r>
    </w:p>
    <w:p w14:paraId="2AB35E27" w14:textId="77777777" w:rsidR="00E122BD" w:rsidRPr="000B1D96" w:rsidRDefault="00E122BD" w:rsidP="000B1D96">
      <w:pPr>
        <w:pStyle w:val="TOCHeading"/>
        <w:spacing w:before="100" w:beforeAutospacing="1"/>
        <w:rPr>
          <w:rFonts w:ascii="Times New Roman" w:hAnsi="Times New Roman"/>
          <w:caps/>
          <w:color w:val="auto"/>
          <w:sz w:val="24"/>
        </w:rPr>
      </w:pPr>
      <w:r w:rsidRPr="000B1D96">
        <w:rPr>
          <w:rFonts w:ascii="Times New Roman" w:hAnsi="Times New Roman"/>
          <w:caps/>
          <w:color w:val="auto"/>
          <w:sz w:val="24"/>
        </w:rPr>
        <w:lastRenderedPageBreak/>
        <w:t>Table of Contents</w:t>
      </w:r>
    </w:p>
    <w:p w14:paraId="3E2FB757" w14:textId="77777777" w:rsidR="006D000F" w:rsidRPr="00D158D2" w:rsidRDefault="006D000F" w:rsidP="00502B31">
      <w:pPr>
        <w:rPr>
          <w:lang w:eastAsia="ja-JP"/>
        </w:rPr>
      </w:pPr>
    </w:p>
    <w:p w14:paraId="47994EC9" w14:textId="010A74EE" w:rsidR="003E1A2F" w:rsidRPr="00C4078C" w:rsidRDefault="00397B7E">
      <w:pPr>
        <w:pStyle w:val="TOC1"/>
        <w:tabs>
          <w:tab w:val="right" w:leader="dot" w:pos="9350"/>
        </w:tabs>
        <w:rPr>
          <w:rFonts w:ascii="Calibri" w:hAnsi="Calibri"/>
          <w:noProof/>
        </w:rPr>
      </w:pPr>
      <w:r w:rsidRPr="00D158D2">
        <w:rPr>
          <w:sz w:val="22"/>
          <w:szCs w:val="22"/>
        </w:rPr>
        <w:t xml:space="preserve">   </w:t>
      </w:r>
      <w:r w:rsidR="00E122BD" w:rsidRPr="000B1D96">
        <w:fldChar w:fldCharType="begin"/>
      </w:r>
      <w:r w:rsidR="00E122BD" w:rsidRPr="003E1A2F">
        <w:instrText xml:space="preserve"> TOC \o "1-3" \h \z \u </w:instrText>
      </w:r>
      <w:r w:rsidR="00E122BD" w:rsidRPr="000B1D96">
        <w:fldChar w:fldCharType="separate"/>
      </w:r>
      <w:hyperlink w:anchor="_Toc444709372" w:history="1">
        <w:r w:rsidR="003E1A2F" w:rsidRPr="003E1A2F">
          <w:rPr>
            <w:rStyle w:val="Hyperlink"/>
            <w:noProof/>
          </w:rPr>
          <w:t>COLLECTIONS OF INFORMATION EMPLOYING STATISTICAL METHODS</w:t>
        </w:r>
        <w:r w:rsidR="003E1A2F" w:rsidRPr="003E1A2F">
          <w:rPr>
            <w:noProof/>
            <w:webHidden/>
          </w:rPr>
          <w:tab/>
        </w:r>
        <w:r w:rsidR="003E1A2F" w:rsidRPr="003E1A2F">
          <w:rPr>
            <w:noProof/>
            <w:webHidden/>
          </w:rPr>
          <w:fldChar w:fldCharType="begin"/>
        </w:r>
        <w:r w:rsidR="003E1A2F" w:rsidRPr="003E1A2F">
          <w:rPr>
            <w:noProof/>
            <w:webHidden/>
          </w:rPr>
          <w:instrText xml:space="preserve"> PAGEREF _Toc444709372 \h </w:instrText>
        </w:r>
        <w:r w:rsidR="003E1A2F" w:rsidRPr="003E1A2F">
          <w:rPr>
            <w:noProof/>
            <w:webHidden/>
          </w:rPr>
        </w:r>
        <w:r w:rsidR="003E1A2F" w:rsidRPr="003E1A2F">
          <w:rPr>
            <w:noProof/>
            <w:webHidden/>
          </w:rPr>
          <w:fldChar w:fldCharType="separate"/>
        </w:r>
        <w:r w:rsidR="003E1A2F" w:rsidRPr="003E1A2F">
          <w:rPr>
            <w:noProof/>
            <w:webHidden/>
          </w:rPr>
          <w:t>3</w:t>
        </w:r>
        <w:r w:rsidR="003E1A2F" w:rsidRPr="003E1A2F">
          <w:rPr>
            <w:noProof/>
            <w:webHidden/>
          </w:rPr>
          <w:fldChar w:fldCharType="end"/>
        </w:r>
      </w:hyperlink>
    </w:p>
    <w:p w14:paraId="5F70481D" w14:textId="77777777" w:rsidR="003E1A2F" w:rsidRPr="00C4078C" w:rsidRDefault="003E1A2F">
      <w:pPr>
        <w:pStyle w:val="TOC2"/>
        <w:rPr>
          <w:rFonts w:ascii="Calibri" w:hAnsi="Calibri"/>
          <w:noProof/>
        </w:rPr>
      </w:pPr>
      <w:hyperlink w:anchor="_Toc444709373" w:history="1">
        <w:r w:rsidRPr="003E1A2F">
          <w:rPr>
            <w:rStyle w:val="Hyperlink"/>
            <w:noProof/>
          </w:rPr>
          <w:t>B.1.</w:t>
        </w:r>
        <w:r w:rsidRPr="00C4078C">
          <w:rPr>
            <w:rFonts w:ascii="Calibri" w:hAnsi="Calibri"/>
            <w:noProof/>
          </w:rPr>
          <w:tab/>
        </w:r>
        <w:r w:rsidRPr="003E1A2F">
          <w:rPr>
            <w:rStyle w:val="Hyperlink"/>
            <w:noProof/>
          </w:rPr>
          <w:t>Respondent Universe and Sampling Methods</w:t>
        </w:r>
        <w:r w:rsidRPr="003E1A2F">
          <w:rPr>
            <w:noProof/>
            <w:webHidden/>
          </w:rPr>
          <w:tab/>
        </w:r>
        <w:r w:rsidRPr="003E1A2F">
          <w:rPr>
            <w:noProof/>
            <w:webHidden/>
          </w:rPr>
          <w:fldChar w:fldCharType="begin"/>
        </w:r>
        <w:r w:rsidRPr="003E1A2F">
          <w:rPr>
            <w:noProof/>
            <w:webHidden/>
          </w:rPr>
          <w:instrText xml:space="preserve"> PAGEREF _Toc444709373 \h </w:instrText>
        </w:r>
        <w:r w:rsidRPr="003E1A2F">
          <w:rPr>
            <w:noProof/>
            <w:webHidden/>
          </w:rPr>
        </w:r>
        <w:r w:rsidRPr="003E1A2F">
          <w:rPr>
            <w:noProof/>
            <w:webHidden/>
          </w:rPr>
          <w:fldChar w:fldCharType="separate"/>
        </w:r>
        <w:r w:rsidRPr="003E1A2F">
          <w:rPr>
            <w:noProof/>
            <w:webHidden/>
          </w:rPr>
          <w:t>3</w:t>
        </w:r>
        <w:r w:rsidRPr="003E1A2F">
          <w:rPr>
            <w:noProof/>
            <w:webHidden/>
          </w:rPr>
          <w:fldChar w:fldCharType="end"/>
        </w:r>
      </w:hyperlink>
    </w:p>
    <w:p w14:paraId="718B6B3B" w14:textId="77777777" w:rsidR="003E1A2F" w:rsidRPr="00C4078C" w:rsidRDefault="003E1A2F">
      <w:pPr>
        <w:pStyle w:val="TOC2"/>
        <w:rPr>
          <w:rFonts w:ascii="Calibri" w:hAnsi="Calibri"/>
          <w:noProof/>
        </w:rPr>
      </w:pPr>
      <w:hyperlink w:anchor="_Toc444709374" w:history="1">
        <w:r w:rsidRPr="003E1A2F">
          <w:rPr>
            <w:rStyle w:val="Hyperlink"/>
            <w:noProof/>
          </w:rPr>
          <w:t>B.2.</w:t>
        </w:r>
        <w:r w:rsidRPr="00C4078C">
          <w:rPr>
            <w:rFonts w:ascii="Calibri" w:hAnsi="Calibri"/>
            <w:noProof/>
          </w:rPr>
          <w:tab/>
        </w:r>
        <w:r w:rsidRPr="003E1A2F">
          <w:rPr>
            <w:rStyle w:val="Hyperlink"/>
            <w:noProof/>
          </w:rPr>
          <w:t>Procedures for the Collection of Information</w:t>
        </w:r>
        <w:r w:rsidRPr="003E1A2F">
          <w:rPr>
            <w:noProof/>
            <w:webHidden/>
          </w:rPr>
          <w:tab/>
        </w:r>
        <w:r w:rsidRPr="003E1A2F">
          <w:rPr>
            <w:noProof/>
            <w:webHidden/>
          </w:rPr>
          <w:fldChar w:fldCharType="begin"/>
        </w:r>
        <w:r w:rsidRPr="003E1A2F">
          <w:rPr>
            <w:noProof/>
            <w:webHidden/>
          </w:rPr>
          <w:instrText xml:space="preserve"> PAGEREF _Toc444709374 \h </w:instrText>
        </w:r>
        <w:r w:rsidRPr="003E1A2F">
          <w:rPr>
            <w:noProof/>
            <w:webHidden/>
          </w:rPr>
        </w:r>
        <w:r w:rsidRPr="003E1A2F">
          <w:rPr>
            <w:noProof/>
            <w:webHidden/>
          </w:rPr>
          <w:fldChar w:fldCharType="separate"/>
        </w:r>
        <w:r w:rsidRPr="003E1A2F">
          <w:rPr>
            <w:noProof/>
            <w:webHidden/>
          </w:rPr>
          <w:t>9</w:t>
        </w:r>
        <w:r w:rsidRPr="003E1A2F">
          <w:rPr>
            <w:noProof/>
            <w:webHidden/>
          </w:rPr>
          <w:fldChar w:fldCharType="end"/>
        </w:r>
      </w:hyperlink>
    </w:p>
    <w:p w14:paraId="0C9DA974" w14:textId="77777777" w:rsidR="003E1A2F" w:rsidRPr="00C4078C" w:rsidRDefault="003E1A2F">
      <w:pPr>
        <w:pStyle w:val="TOC2"/>
        <w:rPr>
          <w:rFonts w:ascii="Calibri" w:hAnsi="Calibri"/>
          <w:noProof/>
        </w:rPr>
      </w:pPr>
      <w:hyperlink w:anchor="_Toc444709375" w:history="1">
        <w:r w:rsidRPr="003E1A2F">
          <w:rPr>
            <w:rStyle w:val="Hyperlink"/>
            <w:noProof/>
          </w:rPr>
          <w:t>B.3.</w:t>
        </w:r>
        <w:r w:rsidRPr="00C4078C">
          <w:rPr>
            <w:rFonts w:ascii="Calibri" w:hAnsi="Calibri"/>
            <w:noProof/>
          </w:rPr>
          <w:tab/>
        </w:r>
        <w:r w:rsidRPr="003E1A2F">
          <w:rPr>
            <w:rStyle w:val="Hyperlink"/>
            <w:noProof/>
          </w:rPr>
          <w:t>Methods to Maximize Response Rates and Deal with Nonresponse</w:t>
        </w:r>
        <w:r w:rsidRPr="003E1A2F">
          <w:rPr>
            <w:noProof/>
            <w:webHidden/>
          </w:rPr>
          <w:tab/>
        </w:r>
        <w:r w:rsidRPr="003E1A2F">
          <w:rPr>
            <w:noProof/>
            <w:webHidden/>
          </w:rPr>
          <w:fldChar w:fldCharType="begin"/>
        </w:r>
        <w:r w:rsidRPr="003E1A2F">
          <w:rPr>
            <w:noProof/>
            <w:webHidden/>
          </w:rPr>
          <w:instrText xml:space="preserve"> PAGEREF _Toc444709375 \h </w:instrText>
        </w:r>
        <w:r w:rsidRPr="003E1A2F">
          <w:rPr>
            <w:noProof/>
            <w:webHidden/>
          </w:rPr>
        </w:r>
        <w:r w:rsidRPr="003E1A2F">
          <w:rPr>
            <w:noProof/>
            <w:webHidden/>
          </w:rPr>
          <w:fldChar w:fldCharType="separate"/>
        </w:r>
        <w:r w:rsidRPr="003E1A2F">
          <w:rPr>
            <w:noProof/>
            <w:webHidden/>
          </w:rPr>
          <w:t>10</w:t>
        </w:r>
        <w:r w:rsidRPr="003E1A2F">
          <w:rPr>
            <w:noProof/>
            <w:webHidden/>
          </w:rPr>
          <w:fldChar w:fldCharType="end"/>
        </w:r>
      </w:hyperlink>
    </w:p>
    <w:p w14:paraId="177A73BA" w14:textId="77777777" w:rsidR="003E1A2F" w:rsidRPr="00C4078C" w:rsidRDefault="003E1A2F">
      <w:pPr>
        <w:pStyle w:val="TOC2"/>
        <w:rPr>
          <w:rFonts w:ascii="Calibri" w:hAnsi="Calibri"/>
          <w:noProof/>
        </w:rPr>
      </w:pPr>
      <w:hyperlink w:anchor="_Toc444709376" w:history="1">
        <w:r w:rsidRPr="003E1A2F">
          <w:rPr>
            <w:rStyle w:val="Hyperlink"/>
            <w:noProof/>
          </w:rPr>
          <w:t>B.4.</w:t>
        </w:r>
        <w:r w:rsidRPr="00C4078C">
          <w:rPr>
            <w:rFonts w:ascii="Calibri" w:hAnsi="Calibri"/>
            <w:noProof/>
          </w:rPr>
          <w:tab/>
        </w:r>
        <w:r w:rsidRPr="003E1A2F">
          <w:rPr>
            <w:rStyle w:val="Hyperlink"/>
            <w:noProof/>
          </w:rPr>
          <w:t>Tests of Procedures or Methods to be Undertaken</w:t>
        </w:r>
        <w:r w:rsidRPr="003E1A2F">
          <w:rPr>
            <w:noProof/>
            <w:webHidden/>
          </w:rPr>
          <w:tab/>
        </w:r>
        <w:r w:rsidRPr="003E1A2F">
          <w:rPr>
            <w:noProof/>
            <w:webHidden/>
          </w:rPr>
          <w:fldChar w:fldCharType="begin"/>
        </w:r>
        <w:r w:rsidRPr="003E1A2F">
          <w:rPr>
            <w:noProof/>
            <w:webHidden/>
          </w:rPr>
          <w:instrText xml:space="preserve"> PAGEREF _Toc444709376 \h </w:instrText>
        </w:r>
        <w:r w:rsidRPr="003E1A2F">
          <w:rPr>
            <w:noProof/>
            <w:webHidden/>
          </w:rPr>
        </w:r>
        <w:r w:rsidRPr="003E1A2F">
          <w:rPr>
            <w:noProof/>
            <w:webHidden/>
          </w:rPr>
          <w:fldChar w:fldCharType="separate"/>
        </w:r>
        <w:r w:rsidRPr="003E1A2F">
          <w:rPr>
            <w:noProof/>
            <w:webHidden/>
          </w:rPr>
          <w:t>10</w:t>
        </w:r>
        <w:r w:rsidRPr="003E1A2F">
          <w:rPr>
            <w:noProof/>
            <w:webHidden/>
          </w:rPr>
          <w:fldChar w:fldCharType="end"/>
        </w:r>
      </w:hyperlink>
    </w:p>
    <w:p w14:paraId="4FB65CF8" w14:textId="77777777" w:rsidR="003E1A2F" w:rsidRPr="00C4078C" w:rsidRDefault="003E1A2F">
      <w:pPr>
        <w:pStyle w:val="TOC2"/>
        <w:rPr>
          <w:rFonts w:ascii="Calibri" w:hAnsi="Calibri"/>
          <w:noProof/>
        </w:rPr>
      </w:pPr>
      <w:hyperlink w:anchor="_Toc444709377" w:history="1">
        <w:r w:rsidRPr="003E1A2F">
          <w:rPr>
            <w:rStyle w:val="Hyperlink"/>
            <w:noProof/>
          </w:rPr>
          <w:t>B.5.</w:t>
        </w:r>
        <w:r w:rsidRPr="00C4078C">
          <w:rPr>
            <w:rFonts w:ascii="Calibri" w:hAnsi="Calibri"/>
            <w:noProof/>
          </w:rPr>
          <w:tab/>
        </w:r>
        <w:r w:rsidRPr="003E1A2F">
          <w:rPr>
            <w:rStyle w:val="Hyperlink"/>
            <w:noProof/>
          </w:rPr>
          <w:t>Individuals Consulted on Statistical Aspects and Individuals Collecting and/or Analyzing Data</w:t>
        </w:r>
        <w:r w:rsidRPr="003E1A2F">
          <w:rPr>
            <w:noProof/>
            <w:webHidden/>
          </w:rPr>
          <w:tab/>
        </w:r>
        <w:r w:rsidRPr="003E1A2F">
          <w:rPr>
            <w:noProof/>
            <w:webHidden/>
          </w:rPr>
          <w:fldChar w:fldCharType="begin"/>
        </w:r>
        <w:r w:rsidRPr="003E1A2F">
          <w:rPr>
            <w:noProof/>
            <w:webHidden/>
          </w:rPr>
          <w:instrText xml:space="preserve"> PAGEREF _Toc444709377 \h </w:instrText>
        </w:r>
        <w:r w:rsidRPr="003E1A2F">
          <w:rPr>
            <w:noProof/>
            <w:webHidden/>
          </w:rPr>
        </w:r>
        <w:r w:rsidRPr="003E1A2F">
          <w:rPr>
            <w:noProof/>
            <w:webHidden/>
          </w:rPr>
          <w:fldChar w:fldCharType="separate"/>
        </w:r>
        <w:r w:rsidRPr="003E1A2F">
          <w:rPr>
            <w:noProof/>
            <w:webHidden/>
          </w:rPr>
          <w:t>10</w:t>
        </w:r>
        <w:r w:rsidRPr="003E1A2F">
          <w:rPr>
            <w:noProof/>
            <w:webHidden/>
          </w:rPr>
          <w:fldChar w:fldCharType="end"/>
        </w:r>
      </w:hyperlink>
    </w:p>
    <w:p w14:paraId="22196AFD" w14:textId="77777777" w:rsidR="00E122BD" w:rsidRPr="003E1A2F" w:rsidRDefault="00E122BD">
      <w:r w:rsidRPr="000B1D96">
        <w:fldChar w:fldCharType="end"/>
      </w:r>
    </w:p>
    <w:p w14:paraId="239A95BF" w14:textId="77777777" w:rsidR="003E1A2F" w:rsidRPr="000B1D96" w:rsidRDefault="003E1A2F" w:rsidP="004770B9">
      <w:pPr>
        <w:pStyle w:val="Header"/>
        <w:widowControl/>
        <w:tabs>
          <w:tab w:val="clear" w:pos="4320"/>
          <w:tab w:val="clear" w:pos="8640"/>
          <w:tab w:val="left" w:pos="720"/>
          <w:tab w:val="left" w:pos="1440"/>
          <w:tab w:val="left" w:pos="3948"/>
          <w:tab w:val="center" w:pos="4680"/>
        </w:tabs>
        <w:spacing w:after="100"/>
        <w:rPr>
          <w:b/>
          <w:sz w:val="24"/>
        </w:rPr>
      </w:pPr>
    </w:p>
    <w:p w14:paraId="7C6F75E2" w14:textId="77777777" w:rsidR="004770B9" w:rsidRPr="003E1A2F" w:rsidRDefault="004770B9" w:rsidP="004770B9">
      <w:pPr>
        <w:pStyle w:val="Header"/>
        <w:widowControl/>
        <w:tabs>
          <w:tab w:val="clear" w:pos="4320"/>
          <w:tab w:val="clear" w:pos="8640"/>
          <w:tab w:val="left" w:pos="720"/>
          <w:tab w:val="left" w:pos="1440"/>
          <w:tab w:val="left" w:pos="3948"/>
          <w:tab w:val="center" w:pos="4680"/>
        </w:tabs>
        <w:spacing w:after="100"/>
        <w:rPr>
          <w:b/>
          <w:sz w:val="24"/>
          <w:szCs w:val="24"/>
        </w:rPr>
      </w:pPr>
      <w:r w:rsidRPr="000B1D96">
        <w:rPr>
          <w:b/>
          <w:sz w:val="24"/>
        </w:rPr>
        <w:t>List of Appendices</w:t>
      </w:r>
      <w:r w:rsidRPr="000B1D96">
        <w:rPr>
          <w:b/>
          <w:sz w:val="24"/>
        </w:rPr>
        <w:tab/>
      </w:r>
      <w:r w:rsidRPr="000B1D96">
        <w:rPr>
          <w:b/>
          <w:sz w:val="24"/>
        </w:rPr>
        <w:tab/>
      </w:r>
    </w:p>
    <w:p w14:paraId="5B0A5377" w14:textId="77777777" w:rsidR="003E1A2F" w:rsidRPr="000B1D96" w:rsidRDefault="003E1A2F" w:rsidP="000B1D96">
      <w:pPr>
        <w:tabs>
          <w:tab w:val="left" w:pos="720"/>
          <w:tab w:val="left" w:pos="1440"/>
          <w:tab w:val="left" w:leader="dot" w:pos="9000"/>
        </w:tabs>
        <w:spacing w:after="100"/>
        <w:rPr>
          <w:caps/>
          <w:sz w:val="22"/>
        </w:rPr>
      </w:pPr>
    </w:p>
    <w:p w14:paraId="3630D984" w14:textId="77777777" w:rsidR="004770B9" w:rsidRPr="00D158D2" w:rsidRDefault="004770B9" w:rsidP="004770B9">
      <w:pPr>
        <w:tabs>
          <w:tab w:val="left" w:pos="720"/>
          <w:tab w:val="left" w:pos="1440"/>
          <w:tab w:val="left" w:leader="dot" w:pos="9000"/>
        </w:tabs>
        <w:spacing w:after="100"/>
        <w:rPr>
          <w:caps/>
          <w:sz w:val="22"/>
          <w:szCs w:val="22"/>
        </w:rPr>
      </w:pPr>
      <w:r w:rsidRPr="00D158D2">
        <w:rPr>
          <w:caps/>
          <w:sz w:val="22"/>
          <w:szCs w:val="22"/>
        </w:rPr>
        <w:t>APPENDIX A</w:t>
      </w:r>
      <w:r w:rsidR="00CC1C36">
        <w:rPr>
          <w:caps/>
          <w:sz w:val="22"/>
          <w:szCs w:val="22"/>
        </w:rPr>
        <w:t xml:space="preserve"> - </w:t>
      </w:r>
      <w:r w:rsidRPr="00D158D2">
        <w:rPr>
          <w:sz w:val="22"/>
          <w:szCs w:val="22"/>
        </w:rPr>
        <w:t>Authorizing Legislation and Other Relevant Laws</w:t>
      </w:r>
    </w:p>
    <w:p w14:paraId="0B157C44" w14:textId="77777777" w:rsidR="004770B9" w:rsidRPr="00D158D2" w:rsidRDefault="004770B9" w:rsidP="004770B9">
      <w:pPr>
        <w:tabs>
          <w:tab w:val="left" w:pos="720"/>
          <w:tab w:val="left" w:pos="1440"/>
          <w:tab w:val="left" w:leader="dot" w:pos="9000"/>
        </w:tabs>
        <w:spacing w:after="100"/>
        <w:rPr>
          <w:sz w:val="22"/>
          <w:szCs w:val="22"/>
        </w:rPr>
      </w:pPr>
      <w:r w:rsidRPr="00D158D2">
        <w:rPr>
          <w:sz w:val="22"/>
          <w:szCs w:val="22"/>
        </w:rPr>
        <w:t>APPENDIX B</w:t>
      </w:r>
      <w:r w:rsidR="00CC1C36">
        <w:rPr>
          <w:sz w:val="22"/>
          <w:szCs w:val="22"/>
        </w:rPr>
        <w:t xml:space="preserve"> - </w:t>
      </w:r>
      <w:r w:rsidRPr="00D158D2">
        <w:rPr>
          <w:sz w:val="22"/>
          <w:szCs w:val="22"/>
        </w:rPr>
        <w:t>60-Day Federal Register Notice (FRN)</w:t>
      </w:r>
    </w:p>
    <w:p w14:paraId="524CF1FA" w14:textId="77777777" w:rsidR="004770B9" w:rsidRPr="00D158D2" w:rsidRDefault="004770B9" w:rsidP="004770B9">
      <w:pPr>
        <w:tabs>
          <w:tab w:val="left" w:pos="720"/>
          <w:tab w:val="left" w:pos="1440"/>
          <w:tab w:val="left" w:leader="dot" w:pos="9000"/>
        </w:tabs>
        <w:spacing w:after="100"/>
        <w:rPr>
          <w:sz w:val="22"/>
          <w:szCs w:val="22"/>
        </w:rPr>
      </w:pPr>
      <w:r w:rsidRPr="00D158D2">
        <w:rPr>
          <w:sz w:val="22"/>
          <w:szCs w:val="22"/>
        </w:rPr>
        <w:t>APPENDIX C</w:t>
      </w:r>
      <w:r w:rsidR="00CC1C36">
        <w:rPr>
          <w:sz w:val="22"/>
          <w:szCs w:val="22"/>
        </w:rPr>
        <w:t xml:space="preserve"> - </w:t>
      </w:r>
      <w:r w:rsidR="007B686B">
        <w:rPr>
          <w:bCs/>
          <w:color w:val="000000"/>
          <w:sz w:val="22"/>
          <w:szCs w:val="22"/>
        </w:rPr>
        <w:t>Research Protocol</w:t>
      </w:r>
    </w:p>
    <w:p w14:paraId="6CEBE347" w14:textId="77777777" w:rsidR="006F668F" w:rsidRPr="00966A0A" w:rsidRDefault="006F668F" w:rsidP="006F668F">
      <w:pPr>
        <w:spacing w:after="100"/>
        <w:rPr>
          <w:sz w:val="22"/>
          <w:szCs w:val="22"/>
        </w:rPr>
      </w:pPr>
      <w:r w:rsidRPr="00D657F8">
        <w:rPr>
          <w:sz w:val="22"/>
          <w:szCs w:val="22"/>
        </w:rPr>
        <w:t>APPENDIX D</w:t>
      </w:r>
      <w:r w:rsidRPr="00D657F8">
        <w:rPr>
          <w:caps/>
          <w:sz w:val="22"/>
          <w:szCs w:val="22"/>
        </w:rPr>
        <w:t xml:space="preserve"> </w:t>
      </w:r>
      <w:r w:rsidR="00CC1C36">
        <w:rPr>
          <w:caps/>
          <w:sz w:val="22"/>
          <w:szCs w:val="22"/>
        </w:rPr>
        <w:t>-</w:t>
      </w:r>
      <w:r w:rsidRPr="00D657F8">
        <w:rPr>
          <w:sz w:val="22"/>
          <w:szCs w:val="22"/>
        </w:rPr>
        <w:t xml:space="preserve"> Questionnaire</w:t>
      </w:r>
      <w:r>
        <w:rPr>
          <w:sz w:val="22"/>
          <w:szCs w:val="22"/>
        </w:rPr>
        <w:t xml:space="preserve">s and Instruction &amp; Record Book </w:t>
      </w:r>
    </w:p>
    <w:p w14:paraId="307B045E" w14:textId="77777777" w:rsidR="006F668F" w:rsidRPr="00966A0A" w:rsidRDefault="006F668F" w:rsidP="006F668F">
      <w:pPr>
        <w:spacing w:after="100"/>
        <w:rPr>
          <w:color w:val="000000"/>
          <w:sz w:val="22"/>
          <w:szCs w:val="22"/>
        </w:rPr>
      </w:pPr>
      <w:r w:rsidRPr="00CD45B4">
        <w:tab/>
      </w:r>
      <w:r w:rsidRPr="00966A0A">
        <w:rPr>
          <w:sz w:val="22"/>
          <w:szCs w:val="22"/>
        </w:rPr>
        <w:t>APPENDIX D1</w:t>
      </w:r>
      <w:r w:rsidRPr="00966A0A">
        <w:rPr>
          <w:sz w:val="22"/>
          <w:szCs w:val="22"/>
        </w:rPr>
        <w:tab/>
      </w:r>
      <w:r>
        <w:rPr>
          <w:sz w:val="22"/>
          <w:szCs w:val="22"/>
        </w:rPr>
        <w:tab/>
      </w:r>
      <w:r w:rsidRPr="00DA041F">
        <w:rPr>
          <w:color w:val="000000"/>
          <w:sz w:val="22"/>
          <w:szCs w:val="22"/>
        </w:rPr>
        <w:t>Participant Instruction and Record Book</w:t>
      </w:r>
    </w:p>
    <w:p w14:paraId="69ADE5C7" w14:textId="4F54F6AF" w:rsidR="000B1D96" w:rsidRPr="000B1D96" w:rsidRDefault="006F668F" w:rsidP="000B1D96">
      <w:pPr>
        <w:spacing w:after="100"/>
        <w:ind w:firstLine="720"/>
        <w:rPr>
          <w:color w:val="000000"/>
          <w:sz w:val="22"/>
          <w:szCs w:val="22"/>
        </w:rPr>
      </w:pPr>
      <w:r w:rsidRPr="00966A0A">
        <w:rPr>
          <w:sz w:val="22"/>
          <w:szCs w:val="22"/>
        </w:rPr>
        <w:t>APPENDIX D2</w:t>
      </w:r>
      <w:r w:rsidRPr="00966A0A">
        <w:rPr>
          <w:sz w:val="22"/>
          <w:szCs w:val="22"/>
        </w:rPr>
        <w:tab/>
      </w:r>
      <w:r>
        <w:rPr>
          <w:sz w:val="22"/>
          <w:szCs w:val="22"/>
        </w:rPr>
        <w:tab/>
      </w:r>
      <w:r w:rsidR="00C24BC3">
        <w:rPr>
          <w:color w:val="000000"/>
          <w:sz w:val="22"/>
          <w:szCs w:val="22"/>
        </w:rPr>
        <w:t>Biospecimen Collection from Children</w:t>
      </w:r>
    </w:p>
    <w:p w14:paraId="3C7526FA" w14:textId="17B260F0" w:rsidR="00C24BC3" w:rsidRDefault="006F668F" w:rsidP="006F668F">
      <w:pPr>
        <w:spacing w:after="100"/>
        <w:ind w:firstLine="720"/>
        <w:rPr>
          <w:sz w:val="22"/>
          <w:szCs w:val="22"/>
        </w:rPr>
      </w:pPr>
      <w:r w:rsidRPr="00966A0A">
        <w:rPr>
          <w:sz w:val="22"/>
          <w:szCs w:val="22"/>
        </w:rPr>
        <w:t xml:space="preserve">APPENDIX D3 </w:t>
      </w:r>
      <w:r w:rsidRPr="00966A0A">
        <w:rPr>
          <w:sz w:val="22"/>
          <w:szCs w:val="22"/>
        </w:rPr>
        <w:tab/>
      </w:r>
      <w:r w:rsidR="00E0735A">
        <w:rPr>
          <w:color w:val="000000"/>
          <w:sz w:val="22"/>
          <w:szCs w:val="22"/>
        </w:rPr>
        <w:t>Preparation and Collection of Data Other than B</w:t>
      </w:r>
      <w:r w:rsidR="00C24BC3">
        <w:rPr>
          <w:color w:val="000000"/>
          <w:sz w:val="22"/>
          <w:szCs w:val="22"/>
        </w:rPr>
        <w:t>iospecimens</w:t>
      </w:r>
    </w:p>
    <w:p w14:paraId="03A2DD48" w14:textId="77777777" w:rsidR="00E0735A" w:rsidRDefault="006F668F" w:rsidP="00E0735A">
      <w:pPr>
        <w:spacing w:after="100"/>
        <w:ind w:firstLine="720"/>
        <w:rPr>
          <w:sz w:val="22"/>
          <w:szCs w:val="22"/>
        </w:rPr>
      </w:pPr>
      <w:r w:rsidRPr="00966A0A">
        <w:rPr>
          <w:color w:val="000000"/>
          <w:sz w:val="22"/>
          <w:szCs w:val="22"/>
        </w:rPr>
        <w:t>APPENDIX D4</w:t>
      </w:r>
      <w:r w:rsidRPr="00966A0A">
        <w:rPr>
          <w:color w:val="000000"/>
          <w:sz w:val="22"/>
          <w:szCs w:val="22"/>
        </w:rPr>
        <w:tab/>
      </w:r>
      <w:r>
        <w:rPr>
          <w:color w:val="000000"/>
          <w:sz w:val="22"/>
          <w:szCs w:val="22"/>
        </w:rPr>
        <w:tab/>
      </w:r>
      <w:r w:rsidR="00E0735A">
        <w:rPr>
          <w:color w:val="000000"/>
          <w:sz w:val="22"/>
          <w:szCs w:val="22"/>
        </w:rPr>
        <w:t>Questionnaire about Sibling of Index Child</w:t>
      </w:r>
      <w:r w:rsidR="00E0735A" w:rsidRPr="00F37AE1">
        <w:rPr>
          <w:sz w:val="22"/>
          <w:szCs w:val="22"/>
        </w:rPr>
        <w:t xml:space="preserve"> </w:t>
      </w:r>
    </w:p>
    <w:p w14:paraId="0B0525FA" w14:textId="77777777" w:rsidR="000B1D96" w:rsidRDefault="00E0735A" w:rsidP="000B1D96">
      <w:pPr>
        <w:spacing w:after="100"/>
        <w:ind w:firstLine="720"/>
        <w:rPr>
          <w:color w:val="000000"/>
          <w:sz w:val="22"/>
          <w:szCs w:val="22"/>
        </w:rPr>
      </w:pPr>
      <w:r>
        <w:rPr>
          <w:color w:val="000000"/>
          <w:sz w:val="22"/>
          <w:szCs w:val="22"/>
        </w:rPr>
        <w:t>APPENDIX D5</w:t>
      </w:r>
      <w:r>
        <w:rPr>
          <w:color w:val="000000"/>
          <w:sz w:val="22"/>
          <w:szCs w:val="22"/>
        </w:rPr>
        <w:tab/>
      </w:r>
      <w:r>
        <w:rPr>
          <w:color w:val="000000"/>
          <w:sz w:val="22"/>
          <w:szCs w:val="22"/>
        </w:rPr>
        <w:tab/>
      </w:r>
      <w:r>
        <w:rPr>
          <w:color w:val="000000"/>
          <w:sz w:val="22"/>
          <w:szCs w:val="22"/>
        </w:rPr>
        <w:t>Questionnaire about Index Chi</w:t>
      </w:r>
    </w:p>
    <w:p w14:paraId="3418C73D" w14:textId="5F8EAB54" w:rsidR="006F668F" w:rsidRPr="000B1D96" w:rsidRDefault="00E0735A" w:rsidP="000B1D96">
      <w:pPr>
        <w:spacing w:after="100"/>
        <w:ind w:firstLine="720"/>
        <w:rPr>
          <w:color w:val="000000"/>
          <w:sz w:val="22"/>
          <w:szCs w:val="22"/>
        </w:rPr>
      </w:pPr>
      <w:r>
        <w:rPr>
          <w:color w:val="000000"/>
          <w:sz w:val="22"/>
          <w:szCs w:val="22"/>
        </w:rPr>
        <w:t>APPENDIX D6</w:t>
      </w:r>
      <w:r>
        <w:rPr>
          <w:color w:val="000000"/>
          <w:sz w:val="22"/>
          <w:szCs w:val="22"/>
        </w:rPr>
        <w:tab/>
      </w:r>
      <w:r>
        <w:rPr>
          <w:color w:val="000000"/>
          <w:sz w:val="22"/>
          <w:szCs w:val="22"/>
        </w:rPr>
        <w:tab/>
      </w:r>
      <w:r w:rsidR="006F668F">
        <w:rPr>
          <w:color w:val="000000"/>
          <w:sz w:val="22"/>
          <w:szCs w:val="22"/>
        </w:rPr>
        <w:t>Household Inventory</w:t>
      </w:r>
    </w:p>
    <w:p w14:paraId="35A030A6" w14:textId="77777777" w:rsidR="00E5577E" w:rsidRDefault="004770B9" w:rsidP="004770B9">
      <w:pPr>
        <w:spacing w:after="100"/>
        <w:rPr>
          <w:sz w:val="22"/>
          <w:szCs w:val="22"/>
        </w:rPr>
      </w:pPr>
      <w:r w:rsidRPr="00D158D2">
        <w:rPr>
          <w:sz w:val="22"/>
          <w:szCs w:val="22"/>
        </w:rPr>
        <w:t>APPENDIX E</w:t>
      </w:r>
      <w:r w:rsidR="00E5577E">
        <w:rPr>
          <w:sz w:val="22"/>
          <w:szCs w:val="22"/>
        </w:rPr>
        <w:t xml:space="preserve"> – Flow chart of recruitment and sample collection</w:t>
      </w:r>
      <w:r w:rsidRPr="00D158D2">
        <w:rPr>
          <w:sz w:val="22"/>
          <w:szCs w:val="22"/>
        </w:rPr>
        <w:tab/>
      </w:r>
    </w:p>
    <w:p w14:paraId="5D7720B4" w14:textId="77777777" w:rsidR="004770B9" w:rsidRPr="00D158D2" w:rsidRDefault="00E5577E" w:rsidP="004770B9">
      <w:pPr>
        <w:spacing w:after="100"/>
        <w:rPr>
          <w:sz w:val="22"/>
          <w:szCs w:val="22"/>
        </w:rPr>
      </w:pPr>
      <w:r w:rsidRPr="00D158D2">
        <w:rPr>
          <w:sz w:val="22"/>
          <w:szCs w:val="22"/>
        </w:rPr>
        <w:t xml:space="preserve">APPENDIX </w:t>
      </w:r>
      <w:r>
        <w:rPr>
          <w:sz w:val="22"/>
          <w:szCs w:val="22"/>
        </w:rPr>
        <w:t>F</w:t>
      </w:r>
      <w:r w:rsidR="0021071C">
        <w:rPr>
          <w:sz w:val="22"/>
          <w:szCs w:val="22"/>
        </w:rPr>
        <w:t xml:space="preserve"> – </w:t>
      </w:r>
      <w:r w:rsidR="004770B9" w:rsidRPr="00D158D2">
        <w:rPr>
          <w:sz w:val="22"/>
          <w:szCs w:val="22"/>
        </w:rPr>
        <w:t xml:space="preserve">Consent Form </w:t>
      </w:r>
    </w:p>
    <w:p w14:paraId="3E2E6F69" w14:textId="77777777" w:rsidR="00E5577E" w:rsidRDefault="00E5577E" w:rsidP="004770B9">
      <w:pPr>
        <w:spacing w:after="100"/>
        <w:rPr>
          <w:sz w:val="22"/>
          <w:szCs w:val="22"/>
        </w:rPr>
      </w:pPr>
      <w:r w:rsidRPr="00D158D2">
        <w:rPr>
          <w:sz w:val="22"/>
          <w:szCs w:val="22"/>
        </w:rPr>
        <w:t xml:space="preserve">APPENDIX </w:t>
      </w:r>
      <w:r>
        <w:rPr>
          <w:sz w:val="22"/>
          <w:szCs w:val="22"/>
        </w:rPr>
        <w:t>G – Assent Form</w:t>
      </w:r>
    </w:p>
    <w:p w14:paraId="1674D6B4" w14:textId="0D3E6CD8" w:rsidR="004770B9" w:rsidRPr="00D158D2" w:rsidRDefault="004770B9" w:rsidP="004770B9">
      <w:pPr>
        <w:spacing w:after="100"/>
        <w:rPr>
          <w:sz w:val="22"/>
          <w:szCs w:val="22"/>
        </w:rPr>
      </w:pPr>
      <w:r w:rsidRPr="00D158D2">
        <w:rPr>
          <w:sz w:val="22"/>
          <w:szCs w:val="22"/>
        </w:rPr>
        <w:t xml:space="preserve">APPENDIX </w:t>
      </w:r>
      <w:r w:rsidR="00E5577E">
        <w:rPr>
          <w:sz w:val="22"/>
          <w:szCs w:val="22"/>
        </w:rPr>
        <w:t>H</w:t>
      </w:r>
      <w:r w:rsidR="0021071C">
        <w:rPr>
          <w:sz w:val="22"/>
          <w:szCs w:val="22"/>
        </w:rPr>
        <w:t xml:space="preserve"> – </w:t>
      </w:r>
      <w:r w:rsidRPr="00D158D2">
        <w:rPr>
          <w:sz w:val="22"/>
          <w:szCs w:val="22"/>
        </w:rPr>
        <w:t>IRB Approval Letter</w:t>
      </w:r>
      <w:r w:rsidR="00E5577E">
        <w:rPr>
          <w:sz w:val="22"/>
          <w:szCs w:val="22"/>
        </w:rPr>
        <w:t>s</w:t>
      </w:r>
      <w:r w:rsidRPr="00D158D2">
        <w:rPr>
          <w:sz w:val="22"/>
          <w:szCs w:val="22"/>
        </w:rPr>
        <w:t xml:space="preserve"> </w:t>
      </w:r>
    </w:p>
    <w:p w14:paraId="1B5D7CC7" w14:textId="4FCE12D3" w:rsidR="00A965B8" w:rsidRPr="00D158D2" w:rsidRDefault="007C74D1" w:rsidP="00502B31">
      <w:pPr>
        <w:pStyle w:val="Heading1"/>
        <w:rPr>
          <w:b/>
        </w:rPr>
      </w:pPr>
      <w:r w:rsidRPr="00D158D2">
        <w:br w:type="page"/>
      </w:r>
      <w:bookmarkStart w:id="0" w:name="_Toc387698627"/>
      <w:bookmarkStart w:id="1" w:name="_Toc387698776"/>
      <w:bookmarkStart w:id="2" w:name="_Toc444709372"/>
      <w:r w:rsidR="003E1A2F" w:rsidRPr="00D158D2">
        <w:rPr>
          <w:b/>
        </w:rPr>
        <w:lastRenderedPageBreak/>
        <w:t>COLLECTIONS OF INFORMATION EMPLOYING STATISTICAL METHODS</w:t>
      </w:r>
      <w:bookmarkEnd w:id="0"/>
      <w:bookmarkEnd w:id="1"/>
      <w:bookmarkEnd w:id="2"/>
    </w:p>
    <w:p w14:paraId="6C889969" w14:textId="77777777" w:rsidR="00A965B8" w:rsidRPr="00D158D2" w:rsidRDefault="00A965B8" w:rsidP="00A965B8">
      <w:pPr>
        <w:tabs>
          <w:tab w:val="left" w:pos="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F72370C" w14:textId="77777777" w:rsidR="00A965B8" w:rsidRPr="00D158D2" w:rsidRDefault="00B3337F" w:rsidP="00502B31">
      <w:pPr>
        <w:pStyle w:val="Heading2"/>
        <w:rPr>
          <w:b/>
        </w:rPr>
      </w:pPr>
      <w:bookmarkStart w:id="3" w:name="_Toc387698628"/>
      <w:bookmarkStart w:id="4" w:name="_Toc387698777"/>
      <w:bookmarkStart w:id="5" w:name="_Toc444709373"/>
      <w:bookmarkStart w:id="6" w:name="_Toc426634074"/>
      <w:r w:rsidRPr="00D158D2">
        <w:rPr>
          <w:b/>
        </w:rPr>
        <w:t>B.</w:t>
      </w:r>
      <w:r w:rsidR="00A965B8" w:rsidRPr="00D158D2">
        <w:rPr>
          <w:b/>
        </w:rPr>
        <w:t>1.</w:t>
      </w:r>
      <w:r w:rsidR="00A965B8" w:rsidRPr="00D158D2">
        <w:rPr>
          <w:b/>
        </w:rPr>
        <w:tab/>
        <w:t>Respondent Universe and Sampling Methods</w:t>
      </w:r>
      <w:bookmarkEnd w:id="3"/>
      <w:bookmarkEnd w:id="4"/>
      <w:bookmarkEnd w:id="5"/>
      <w:bookmarkEnd w:id="6"/>
    </w:p>
    <w:p w14:paraId="6BB6A265" w14:textId="77777777" w:rsidR="00CF7126" w:rsidRPr="00D158D2" w:rsidRDefault="00CF7126" w:rsidP="00A965B8">
      <w:pPr>
        <w:overflowPunct/>
        <w:textAlignment w:val="auto"/>
        <w:rPr>
          <w:sz w:val="24"/>
          <w:szCs w:val="24"/>
        </w:rPr>
      </w:pPr>
    </w:p>
    <w:p w14:paraId="5880F121" w14:textId="4EB55AA5" w:rsidR="0051649E" w:rsidRDefault="007B686B" w:rsidP="00B85672">
      <w:pPr>
        <w:pStyle w:val="NoSpacing"/>
        <w:rPr>
          <w:rFonts w:ascii="Times New Roman" w:hAnsi="Times New Roman"/>
        </w:rPr>
      </w:pPr>
      <w:bookmarkStart w:id="7" w:name="_Toc387698629"/>
      <w:bookmarkStart w:id="8" w:name="_Toc387698778"/>
      <w:r>
        <w:rPr>
          <w:rFonts w:ascii="Times New Roman" w:hAnsi="Times New Roman"/>
        </w:rPr>
        <w:t>I</w:t>
      </w:r>
      <w:r w:rsidRPr="007B686B">
        <w:rPr>
          <w:rFonts w:ascii="Times New Roman" w:hAnsi="Times New Roman"/>
        </w:rPr>
        <w:t>nformation collection request (ICR), titled “Factors Influencing Children’s Potential Exposures to Indoor Contaminants (hereafter, the “Add-on Study”), adds research components</w:t>
      </w:r>
      <w:r w:rsidRPr="007B686B" w:rsidDel="007B686B">
        <w:rPr>
          <w:rFonts w:ascii="Times New Roman" w:hAnsi="Times New Roman"/>
        </w:rPr>
        <w:t xml:space="preserve"> </w:t>
      </w:r>
      <w:r w:rsidR="00B85672" w:rsidRPr="007B686B">
        <w:rPr>
          <w:rFonts w:ascii="Times New Roman" w:hAnsi="Times New Roman"/>
        </w:rPr>
        <w:t xml:space="preserve">to the third study site of the </w:t>
      </w:r>
      <w:r>
        <w:rPr>
          <w:rFonts w:ascii="Times New Roman" w:hAnsi="Times New Roman"/>
        </w:rPr>
        <w:t xml:space="preserve">ongoing </w:t>
      </w:r>
      <w:r w:rsidR="00B85672" w:rsidRPr="007B686B">
        <w:rPr>
          <w:rFonts w:ascii="Times New Roman" w:hAnsi="Times New Roman"/>
        </w:rPr>
        <w:t>Green</w:t>
      </w:r>
      <w:r w:rsidR="00B85672" w:rsidRPr="00D158D2">
        <w:rPr>
          <w:rFonts w:ascii="Times New Roman" w:hAnsi="Times New Roman"/>
        </w:rPr>
        <w:t xml:space="preserve"> Housing Study</w:t>
      </w:r>
      <w:r w:rsidR="008B4D62" w:rsidRPr="00D158D2">
        <w:rPr>
          <w:rFonts w:ascii="Times New Roman" w:hAnsi="Times New Roman"/>
        </w:rPr>
        <w:t xml:space="preserve"> (GHS</w:t>
      </w:r>
      <w:r w:rsidR="008B4D62" w:rsidRPr="006A79DE">
        <w:rPr>
          <w:rFonts w:ascii="Times New Roman" w:hAnsi="Times New Roman"/>
        </w:rPr>
        <w:t>)</w:t>
      </w:r>
      <w:r w:rsidR="001334FC" w:rsidRPr="006A79DE">
        <w:rPr>
          <w:rFonts w:ascii="Times New Roman" w:hAnsi="Times New Roman"/>
        </w:rPr>
        <w:t xml:space="preserve"> </w:t>
      </w:r>
      <w:r w:rsidRPr="00E5577E">
        <w:rPr>
          <w:rFonts w:ascii="Times New Roman" w:hAnsi="Times New Roman"/>
        </w:rPr>
        <w:t>(OMB Control No.</w:t>
      </w:r>
      <w:r w:rsidRPr="004A2810">
        <w:t xml:space="preserve"> </w:t>
      </w:r>
      <w:r w:rsidR="001334FC" w:rsidRPr="00D158D2">
        <w:rPr>
          <w:rFonts w:ascii="Times New Roman" w:hAnsi="Times New Roman"/>
        </w:rPr>
        <w:t>0920-0906; expiration 10/31/2017</w:t>
      </w:r>
      <w:r>
        <w:rPr>
          <w:rFonts w:ascii="Times New Roman" w:hAnsi="Times New Roman"/>
        </w:rPr>
        <w:t>).</w:t>
      </w:r>
      <w:r w:rsidR="00B85672" w:rsidRPr="00D158D2">
        <w:rPr>
          <w:rFonts w:ascii="Times New Roman" w:hAnsi="Times New Roman"/>
        </w:rPr>
        <w:t xml:space="preserve"> </w:t>
      </w:r>
      <w:r w:rsidRPr="007B686B">
        <w:rPr>
          <w:rFonts w:ascii="Times New Roman" w:hAnsi="Times New Roman"/>
        </w:rPr>
        <w:t>The Add-on Study</w:t>
      </w:r>
      <w:r w:rsidR="00B85672" w:rsidRPr="00D158D2">
        <w:rPr>
          <w:rFonts w:ascii="Times New Roman" w:hAnsi="Times New Roman"/>
        </w:rPr>
        <w:t xml:space="preserve"> is </w:t>
      </w:r>
      <w:r w:rsidR="00B85672" w:rsidRPr="0051649E">
        <w:rPr>
          <w:rFonts w:ascii="Times New Roman" w:hAnsi="Times New Roman"/>
        </w:rPr>
        <w:t>designed</w:t>
      </w:r>
      <w:r w:rsidR="00CC1C36">
        <w:rPr>
          <w:rFonts w:ascii="Times New Roman" w:hAnsi="Times New Roman"/>
        </w:rPr>
        <w:t xml:space="preserve"> </w:t>
      </w:r>
      <w:r w:rsidR="0051649E" w:rsidRPr="0051649E">
        <w:rPr>
          <w:rFonts w:ascii="Times New Roman" w:hAnsi="Times New Roman"/>
        </w:rPr>
        <w:t xml:space="preserve">with two objectives: </w:t>
      </w:r>
      <w:r w:rsidR="0051649E" w:rsidRPr="0051649E">
        <w:rPr>
          <w:rFonts w:ascii="Times New Roman" w:hAnsi="Times New Roman"/>
          <w:bCs/>
        </w:rPr>
        <w:t xml:space="preserve">1) to contribute to EPA’s interest in </w:t>
      </w:r>
      <w:r w:rsidR="00E53D5E">
        <w:rPr>
          <w:rFonts w:ascii="Times New Roman" w:hAnsi="Times New Roman"/>
          <w:bCs/>
        </w:rPr>
        <w:t>evaluating questionnaire-derived exposure estimates against those derived from measurement</w:t>
      </w:r>
      <w:r w:rsidR="0051649E" w:rsidRPr="0051649E">
        <w:rPr>
          <w:rFonts w:ascii="Times New Roman" w:hAnsi="Times New Roman"/>
        </w:rPr>
        <w:t>; and 2</w:t>
      </w:r>
      <w:r w:rsidR="0051649E" w:rsidRPr="0051649E">
        <w:rPr>
          <w:rFonts w:ascii="Times New Roman" w:hAnsi="Times New Roman"/>
          <w:bCs/>
        </w:rPr>
        <w:t>) to understand whether there is sufficient value in adopting alternative measurement methods for the GHS at future sites</w:t>
      </w:r>
      <w:r w:rsidR="00E53D5E">
        <w:rPr>
          <w:rFonts w:ascii="Times New Roman" w:hAnsi="Times New Roman"/>
          <w:bCs/>
        </w:rPr>
        <w:t>.</w:t>
      </w:r>
    </w:p>
    <w:p w14:paraId="65AF6351" w14:textId="77777777" w:rsidR="0051649E" w:rsidRDefault="0051649E" w:rsidP="00B85672">
      <w:pPr>
        <w:pStyle w:val="NoSpacing"/>
        <w:rPr>
          <w:rFonts w:ascii="Times New Roman" w:hAnsi="Times New Roman"/>
        </w:rPr>
      </w:pPr>
    </w:p>
    <w:p w14:paraId="59C3B805" w14:textId="34CE554D" w:rsidR="00B85672" w:rsidRPr="000B1D96" w:rsidRDefault="00B85672" w:rsidP="00472743">
      <w:pPr>
        <w:pStyle w:val="NoSpacing"/>
      </w:pPr>
      <w:r w:rsidRPr="00D158D2">
        <w:rPr>
          <w:rFonts w:ascii="Times New Roman" w:hAnsi="Times New Roman"/>
        </w:rPr>
        <w:t xml:space="preserve">For </w:t>
      </w:r>
      <w:r w:rsidR="007B686B">
        <w:rPr>
          <w:rFonts w:ascii="Times New Roman" w:hAnsi="Times New Roman"/>
        </w:rPr>
        <w:t>t</w:t>
      </w:r>
      <w:r w:rsidR="007B686B" w:rsidRPr="00007139">
        <w:rPr>
          <w:rFonts w:ascii="Times New Roman" w:hAnsi="Times New Roman"/>
        </w:rPr>
        <w:t>he Add-on Study</w:t>
      </w:r>
      <w:r w:rsidRPr="00D158D2">
        <w:rPr>
          <w:rFonts w:ascii="Times New Roman" w:hAnsi="Times New Roman"/>
        </w:rPr>
        <w:t xml:space="preserve">, the target sample size is 32 green renovated homes and 32 </w:t>
      </w:r>
      <w:r w:rsidR="00877891" w:rsidRPr="00D158D2">
        <w:rPr>
          <w:rFonts w:ascii="Times New Roman" w:hAnsi="Times New Roman"/>
        </w:rPr>
        <w:t xml:space="preserve">non-green </w:t>
      </w:r>
      <w:r w:rsidRPr="00D158D2">
        <w:rPr>
          <w:rFonts w:ascii="Times New Roman" w:hAnsi="Times New Roman"/>
        </w:rPr>
        <w:t xml:space="preserve">homes. </w:t>
      </w:r>
      <w:r w:rsidR="0051649E" w:rsidRPr="0051649E">
        <w:rPr>
          <w:rFonts w:ascii="Times New Roman" w:hAnsi="Times New Roman"/>
        </w:rPr>
        <w:t xml:space="preserve">The </w:t>
      </w:r>
      <w:r w:rsidR="0051649E">
        <w:rPr>
          <w:rFonts w:ascii="Times New Roman" w:hAnsi="Times New Roman"/>
        </w:rPr>
        <w:t xml:space="preserve">Add-on Study </w:t>
      </w:r>
      <w:r w:rsidR="0051649E" w:rsidRPr="0051649E">
        <w:rPr>
          <w:rFonts w:ascii="Times New Roman" w:hAnsi="Times New Roman"/>
        </w:rPr>
        <w:t>respondents are a convenience sample</w:t>
      </w:r>
      <w:r w:rsidR="0051649E">
        <w:rPr>
          <w:rFonts w:ascii="Times New Roman" w:hAnsi="Times New Roman"/>
        </w:rPr>
        <w:t xml:space="preserve"> from the New Orleans stud</w:t>
      </w:r>
      <w:r w:rsidR="006E6870">
        <w:rPr>
          <w:rFonts w:ascii="Times New Roman" w:hAnsi="Times New Roman"/>
        </w:rPr>
        <w:t>y</w:t>
      </w:r>
      <w:r w:rsidR="0051649E">
        <w:rPr>
          <w:rFonts w:ascii="Times New Roman" w:hAnsi="Times New Roman"/>
        </w:rPr>
        <w:t xml:space="preserve"> site of the GHS.</w:t>
      </w:r>
      <w:r w:rsidR="0051649E" w:rsidRPr="00D158D2">
        <w:rPr>
          <w:rFonts w:ascii="Times New Roman" w:hAnsi="Times New Roman"/>
        </w:rPr>
        <w:t xml:space="preserve"> </w:t>
      </w:r>
      <w:r w:rsidR="005D2030" w:rsidRPr="00D158D2">
        <w:rPr>
          <w:rFonts w:ascii="Times New Roman" w:hAnsi="Times New Roman"/>
        </w:rPr>
        <w:t>The</w:t>
      </w:r>
      <w:r w:rsidRPr="00D158D2">
        <w:rPr>
          <w:rFonts w:ascii="Times New Roman" w:hAnsi="Times New Roman"/>
        </w:rPr>
        <w:t xml:space="preserve"> respondent universe is the same number of families as are recruited to participate in the </w:t>
      </w:r>
      <w:r w:rsidR="00192C92" w:rsidRPr="00D158D2">
        <w:rPr>
          <w:rFonts w:ascii="Times New Roman" w:hAnsi="Times New Roman"/>
        </w:rPr>
        <w:t>GHS</w:t>
      </w:r>
      <w:r w:rsidRPr="00D158D2">
        <w:rPr>
          <w:rFonts w:ascii="Times New Roman" w:hAnsi="Times New Roman"/>
        </w:rPr>
        <w:t xml:space="preserve">. </w:t>
      </w:r>
      <w:r w:rsidR="005B05A3" w:rsidRPr="00D158D2">
        <w:rPr>
          <w:rFonts w:ascii="Times New Roman" w:hAnsi="Times New Roman"/>
        </w:rPr>
        <w:t xml:space="preserve">Participants in each family will include the index child and a sibling of the index child living in the same household, </w:t>
      </w:r>
      <w:r w:rsidR="005B05A3">
        <w:rPr>
          <w:rFonts w:ascii="Times New Roman" w:hAnsi="Times New Roman"/>
        </w:rPr>
        <w:t>and</w:t>
      </w:r>
      <w:r w:rsidR="005B05A3" w:rsidRPr="00D158D2">
        <w:rPr>
          <w:rFonts w:ascii="Times New Roman" w:hAnsi="Times New Roman"/>
        </w:rPr>
        <w:t xml:space="preserve"> the mother/caregiver.</w:t>
      </w:r>
      <w:r w:rsidR="005B05A3">
        <w:rPr>
          <w:rFonts w:ascii="Times New Roman" w:hAnsi="Times New Roman"/>
        </w:rPr>
        <w:t xml:space="preserve"> Siblings do not participate in the main GHS. </w:t>
      </w:r>
      <w:r w:rsidR="00622485">
        <w:rPr>
          <w:rFonts w:ascii="Times New Roman" w:hAnsi="Times New Roman"/>
        </w:rPr>
        <w:t>Sixty-four</w:t>
      </w:r>
      <w:r w:rsidRPr="00D158D2">
        <w:rPr>
          <w:rFonts w:ascii="Times New Roman" w:hAnsi="Times New Roman"/>
        </w:rPr>
        <w:t xml:space="preserve"> younger siblings (only one sibling per household) will be the maximum number that could be enrolled as part of the </w:t>
      </w:r>
      <w:r w:rsidR="00570858">
        <w:rPr>
          <w:rFonts w:ascii="Times New Roman" w:hAnsi="Times New Roman"/>
        </w:rPr>
        <w:t>Add-on Study</w:t>
      </w:r>
      <w:r w:rsidRPr="00D158D2">
        <w:rPr>
          <w:rFonts w:ascii="Times New Roman" w:hAnsi="Times New Roman"/>
        </w:rPr>
        <w:t xml:space="preserve">. The index child is defined as the child recruited to participate in the </w:t>
      </w:r>
      <w:r w:rsidR="00B6404A" w:rsidRPr="00D158D2">
        <w:rPr>
          <w:rFonts w:ascii="Times New Roman" w:hAnsi="Times New Roman"/>
        </w:rPr>
        <w:t>GHS who</w:t>
      </w:r>
      <w:r w:rsidRPr="00D158D2">
        <w:rPr>
          <w:rFonts w:ascii="Times New Roman" w:hAnsi="Times New Roman"/>
        </w:rPr>
        <w:t xml:space="preserve"> ranges in age from 7-12 years with asthma. By including both the index child and a sibling, it is an opportunity to collect exposure information for two children living in the same household, allowing us to explore differences in exposure </w:t>
      </w:r>
      <w:r w:rsidR="005B05A3">
        <w:rPr>
          <w:rFonts w:ascii="Times New Roman" w:hAnsi="Times New Roman"/>
        </w:rPr>
        <w:t>for different ages</w:t>
      </w:r>
      <w:r w:rsidRPr="00D158D2">
        <w:rPr>
          <w:rFonts w:ascii="Times New Roman" w:hAnsi="Times New Roman"/>
        </w:rPr>
        <w:t>.</w:t>
      </w:r>
      <w:r w:rsidR="004770B9" w:rsidRPr="00D158D2">
        <w:rPr>
          <w:rFonts w:ascii="Times New Roman" w:hAnsi="Times New Roman"/>
        </w:rPr>
        <w:t xml:space="preserve"> The respondent</w:t>
      </w:r>
      <w:r w:rsidR="006F668F">
        <w:rPr>
          <w:rFonts w:ascii="Times New Roman" w:hAnsi="Times New Roman"/>
        </w:rPr>
        <w:t>s</w:t>
      </w:r>
      <w:r w:rsidR="004770B9" w:rsidRPr="00D158D2">
        <w:rPr>
          <w:rFonts w:ascii="Times New Roman" w:hAnsi="Times New Roman"/>
        </w:rPr>
        <w:t xml:space="preserve"> for the questionnaire</w:t>
      </w:r>
      <w:r w:rsidR="006F668F">
        <w:rPr>
          <w:rFonts w:ascii="Times New Roman" w:hAnsi="Times New Roman"/>
        </w:rPr>
        <w:t>s</w:t>
      </w:r>
      <w:r w:rsidR="004770B9" w:rsidRPr="00D158D2">
        <w:rPr>
          <w:rFonts w:ascii="Times New Roman" w:hAnsi="Times New Roman"/>
        </w:rPr>
        <w:t xml:space="preserve"> </w:t>
      </w:r>
      <w:r w:rsidR="00EE0F3F">
        <w:rPr>
          <w:rFonts w:ascii="Times New Roman" w:hAnsi="Times New Roman"/>
        </w:rPr>
        <w:t xml:space="preserve">are </w:t>
      </w:r>
      <w:r w:rsidR="004770B9" w:rsidRPr="00D158D2">
        <w:rPr>
          <w:rFonts w:ascii="Times New Roman" w:hAnsi="Times New Roman"/>
        </w:rPr>
        <w:t>the mother/primary caregiver</w:t>
      </w:r>
      <w:r w:rsidR="00374694">
        <w:rPr>
          <w:rFonts w:ascii="Times New Roman" w:hAnsi="Times New Roman"/>
        </w:rPr>
        <w:t>s of the children</w:t>
      </w:r>
      <w:r w:rsidR="004770B9" w:rsidRPr="00D158D2">
        <w:rPr>
          <w:rFonts w:ascii="Times New Roman" w:hAnsi="Times New Roman"/>
        </w:rPr>
        <w:t>.</w:t>
      </w:r>
    </w:p>
    <w:bookmarkEnd w:id="7"/>
    <w:bookmarkEnd w:id="8"/>
    <w:p w14:paraId="44777421" w14:textId="77777777" w:rsidR="001B5439" w:rsidRPr="00D158D2" w:rsidRDefault="001B5439" w:rsidP="00A965B8">
      <w:pPr>
        <w:pStyle w:val="NormalOMB"/>
        <w:ind w:firstLine="0"/>
        <w:rPr>
          <w:szCs w:val="24"/>
        </w:rPr>
      </w:pPr>
    </w:p>
    <w:p w14:paraId="35AEE770" w14:textId="64124CA2" w:rsidR="00A965B8" w:rsidRDefault="004146C6" w:rsidP="00A965B8">
      <w:pPr>
        <w:pStyle w:val="NormalOMB"/>
        <w:ind w:firstLine="0"/>
        <w:rPr>
          <w:sz w:val="22"/>
          <w:szCs w:val="22"/>
        </w:rPr>
      </w:pPr>
      <w:r w:rsidRPr="00D158D2">
        <w:rPr>
          <w:sz w:val="22"/>
          <w:szCs w:val="22"/>
        </w:rPr>
        <w:t xml:space="preserve">Eligibility </w:t>
      </w:r>
      <w:r w:rsidR="002859B6" w:rsidRPr="00D158D2">
        <w:rPr>
          <w:sz w:val="22"/>
          <w:szCs w:val="22"/>
        </w:rPr>
        <w:t>will</w:t>
      </w:r>
      <w:r w:rsidRPr="00D158D2">
        <w:rPr>
          <w:sz w:val="22"/>
          <w:szCs w:val="22"/>
        </w:rPr>
        <w:t xml:space="preserve"> be limited to families who participate in the </w:t>
      </w:r>
      <w:r w:rsidR="003163B2" w:rsidRPr="00D158D2">
        <w:rPr>
          <w:sz w:val="22"/>
          <w:szCs w:val="22"/>
        </w:rPr>
        <w:t>GHS</w:t>
      </w:r>
      <w:r w:rsidR="0013234A">
        <w:rPr>
          <w:sz w:val="22"/>
          <w:szCs w:val="22"/>
        </w:rPr>
        <w:t xml:space="preserve">. </w:t>
      </w:r>
      <w:r w:rsidRPr="00D158D2">
        <w:rPr>
          <w:sz w:val="22"/>
          <w:szCs w:val="22"/>
        </w:rPr>
        <w:t>In addition to the index child, a sibling of the index child residing in the same home will be enrolled</w:t>
      </w:r>
      <w:r w:rsidR="0013234A">
        <w:rPr>
          <w:sz w:val="22"/>
          <w:szCs w:val="22"/>
        </w:rPr>
        <w:t xml:space="preserve">. </w:t>
      </w:r>
      <w:r w:rsidRPr="00D158D2">
        <w:rPr>
          <w:sz w:val="22"/>
          <w:szCs w:val="22"/>
        </w:rPr>
        <w:t xml:space="preserve">The sibling age range of </w:t>
      </w:r>
      <w:r w:rsidR="00A961C2" w:rsidRPr="00D158D2">
        <w:rPr>
          <w:sz w:val="22"/>
          <w:szCs w:val="22"/>
        </w:rPr>
        <w:t xml:space="preserve">primary </w:t>
      </w:r>
      <w:r w:rsidRPr="00D158D2">
        <w:rPr>
          <w:sz w:val="22"/>
          <w:szCs w:val="22"/>
        </w:rPr>
        <w:t xml:space="preserve">interest is </w:t>
      </w:r>
      <w:r w:rsidR="00A961C2" w:rsidRPr="00D158D2">
        <w:rPr>
          <w:sz w:val="22"/>
          <w:szCs w:val="22"/>
        </w:rPr>
        <w:t>newborn to</w:t>
      </w:r>
      <w:r w:rsidRPr="00D158D2">
        <w:rPr>
          <w:sz w:val="22"/>
          <w:szCs w:val="22"/>
        </w:rPr>
        <w:t xml:space="preserve"> 3 years</w:t>
      </w:r>
      <w:r w:rsidR="008158B1" w:rsidRPr="00D158D2">
        <w:rPr>
          <w:sz w:val="22"/>
          <w:szCs w:val="22"/>
        </w:rPr>
        <w:t xml:space="preserve"> because </w:t>
      </w:r>
      <w:r w:rsidR="00E53D5E">
        <w:rPr>
          <w:sz w:val="22"/>
          <w:szCs w:val="22"/>
        </w:rPr>
        <w:t xml:space="preserve">of the </w:t>
      </w:r>
      <w:r w:rsidR="008158B1" w:rsidRPr="00D158D2">
        <w:rPr>
          <w:sz w:val="22"/>
          <w:szCs w:val="22"/>
        </w:rPr>
        <w:t xml:space="preserve">dearth </w:t>
      </w:r>
      <w:r w:rsidR="00C128B6" w:rsidRPr="00D158D2">
        <w:rPr>
          <w:sz w:val="22"/>
          <w:szCs w:val="22"/>
        </w:rPr>
        <w:t xml:space="preserve">of </w:t>
      </w:r>
      <w:r w:rsidR="00C128B6">
        <w:rPr>
          <w:sz w:val="22"/>
          <w:szCs w:val="22"/>
        </w:rPr>
        <w:t>information</w:t>
      </w:r>
      <w:r w:rsidR="00E53D5E">
        <w:rPr>
          <w:sz w:val="22"/>
          <w:szCs w:val="22"/>
        </w:rPr>
        <w:t xml:space="preserve"> for this age group</w:t>
      </w:r>
      <w:r w:rsidR="008158B1" w:rsidRPr="00D158D2">
        <w:rPr>
          <w:sz w:val="22"/>
          <w:szCs w:val="22"/>
        </w:rPr>
        <w:t xml:space="preserve">. </w:t>
      </w:r>
      <w:r w:rsidR="00E53D5E">
        <w:rPr>
          <w:sz w:val="22"/>
          <w:szCs w:val="22"/>
        </w:rPr>
        <w:t>S</w:t>
      </w:r>
      <w:r w:rsidRPr="00D158D2">
        <w:rPr>
          <w:sz w:val="22"/>
          <w:szCs w:val="22"/>
        </w:rPr>
        <w:t xml:space="preserve">ince it may not be possible to recruit siblings in that age range from every family, eligibility will be based on the availability of the youngest sibling in the </w:t>
      </w:r>
      <w:r w:rsidR="00877891" w:rsidRPr="00D158D2">
        <w:rPr>
          <w:sz w:val="22"/>
          <w:szCs w:val="22"/>
        </w:rPr>
        <w:t xml:space="preserve">newborn </w:t>
      </w:r>
      <w:r w:rsidRPr="00D158D2">
        <w:rPr>
          <w:sz w:val="22"/>
          <w:szCs w:val="22"/>
        </w:rPr>
        <w:t xml:space="preserve">to 12 year age range. </w:t>
      </w:r>
      <w:r w:rsidR="004C45F4" w:rsidRPr="00D158D2">
        <w:rPr>
          <w:sz w:val="22"/>
          <w:szCs w:val="22"/>
        </w:rPr>
        <w:t xml:space="preserve">Although an asthma diagnosis </w:t>
      </w:r>
      <w:r w:rsidR="00E53D5E">
        <w:rPr>
          <w:sz w:val="22"/>
          <w:szCs w:val="22"/>
        </w:rPr>
        <w:t>was</w:t>
      </w:r>
      <w:r w:rsidR="00E53D5E" w:rsidRPr="00D158D2">
        <w:rPr>
          <w:sz w:val="22"/>
          <w:szCs w:val="22"/>
        </w:rPr>
        <w:t xml:space="preserve"> </w:t>
      </w:r>
      <w:r w:rsidR="004C45F4" w:rsidRPr="00D158D2">
        <w:rPr>
          <w:sz w:val="22"/>
          <w:szCs w:val="22"/>
        </w:rPr>
        <w:t>a requirement for eligibility for the index child, it</w:t>
      </w:r>
      <w:r w:rsidR="00F7362D" w:rsidRPr="00D158D2">
        <w:rPr>
          <w:sz w:val="22"/>
          <w:szCs w:val="22"/>
        </w:rPr>
        <w:t xml:space="preserve"> is</w:t>
      </w:r>
      <w:r w:rsidR="004C45F4" w:rsidRPr="00D158D2">
        <w:rPr>
          <w:sz w:val="22"/>
          <w:szCs w:val="22"/>
        </w:rPr>
        <w:t xml:space="preserve"> not a requirement for the sibling of the index child</w:t>
      </w:r>
      <w:r w:rsidR="00E53D5E">
        <w:rPr>
          <w:sz w:val="22"/>
          <w:szCs w:val="22"/>
        </w:rPr>
        <w:t>.</w:t>
      </w:r>
      <w:r w:rsidR="008158B1" w:rsidRPr="00D158D2">
        <w:rPr>
          <w:sz w:val="22"/>
          <w:szCs w:val="22"/>
        </w:rPr>
        <w:t xml:space="preserve"> </w:t>
      </w:r>
    </w:p>
    <w:p w14:paraId="11F1782D" w14:textId="77777777" w:rsidR="00E54A75" w:rsidRDefault="00E54A75" w:rsidP="00E54A75">
      <w:pPr>
        <w:overflowPunct/>
        <w:textAlignment w:val="auto"/>
        <w:rPr>
          <w:sz w:val="22"/>
          <w:szCs w:val="22"/>
        </w:rPr>
      </w:pPr>
    </w:p>
    <w:p w14:paraId="779C0A92" w14:textId="450B4AE2" w:rsidR="00570858" w:rsidRPr="00570858" w:rsidRDefault="00E54A75" w:rsidP="005E107C">
      <w:pPr>
        <w:overflowPunct/>
        <w:textAlignment w:val="auto"/>
        <w:rPr>
          <w:sz w:val="22"/>
          <w:szCs w:val="22"/>
        </w:rPr>
      </w:pPr>
      <w:r w:rsidRPr="00D158D2">
        <w:rPr>
          <w:sz w:val="22"/>
          <w:szCs w:val="22"/>
        </w:rPr>
        <w:t xml:space="preserve">Sample Size: This </w:t>
      </w:r>
      <w:r w:rsidR="0051649E">
        <w:rPr>
          <w:sz w:val="22"/>
          <w:szCs w:val="22"/>
        </w:rPr>
        <w:t>study</w:t>
      </w:r>
      <w:r w:rsidR="00A40CDE">
        <w:rPr>
          <w:sz w:val="22"/>
          <w:szCs w:val="22"/>
        </w:rPr>
        <w:t xml:space="preserve"> </w:t>
      </w:r>
      <w:r w:rsidRPr="00D158D2">
        <w:rPr>
          <w:sz w:val="22"/>
          <w:szCs w:val="22"/>
        </w:rPr>
        <w:t>is an add-on to the GHS</w:t>
      </w:r>
      <w:r w:rsidR="0013234A">
        <w:rPr>
          <w:sz w:val="22"/>
          <w:szCs w:val="22"/>
        </w:rPr>
        <w:t xml:space="preserve">. </w:t>
      </w:r>
      <w:r w:rsidRPr="00D158D2">
        <w:rPr>
          <w:sz w:val="22"/>
          <w:szCs w:val="22"/>
        </w:rPr>
        <w:t xml:space="preserve">The sample size for the </w:t>
      </w:r>
      <w:r w:rsidR="007B686B" w:rsidRPr="00007139">
        <w:rPr>
          <w:sz w:val="22"/>
          <w:szCs w:val="22"/>
        </w:rPr>
        <w:t>Add-on Study</w:t>
      </w:r>
      <w:r w:rsidR="007B686B" w:rsidRPr="00D158D2">
        <w:t xml:space="preserve"> </w:t>
      </w:r>
      <w:r w:rsidRPr="00D158D2">
        <w:rPr>
          <w:sz w:val="22"/>
          <w:szCs w:val="22"/>
        </w:rPr>
        <w:t>is the same as for the</w:t>
      </w:r>
      <w:r w:rsidR="00A40CDE">
        <w:rPr>
          <w:sz w:val="22"/>
          <w:szCs w:val="22"/>
        </w:rPr>
        <w:t xml:space="preserve"> New Orleans</w:t>
      </w:r>
      <w:r w:rsidRPr="00D158D2">
        <w:rPr>
          <w:sz w:val="22"/>
          <w:szCs w:val="22"/>
        </w:rPr>
        <w:t xml:space="preserve"> GHS</w:t>
      </w:r>
      <w:r w:rsidR="00A40CDE">
        <w:rPr>
          <w:sz w:val="22"/>
          <w:szCs w:val="22"/>
        </w:rPr>
        <w:t xml:space="preserve"> site</w:t>
      </w:r>
      <w:r w:rsidRPr="00D158D2">
        <w:rPr>
          <w:sz w:val="22"/>
          <w:szCs w:val="22"/>
        </w:rPr>
        <w:t>; a maximum of n=64</w:t>
      </w:r>
      <w:r w:rsidR="00300024">
        <w:rPr>
          <w:sz w:val="22"/>
          <w:szCs w:val="22"/>
        </w:rPr>
        <w:t xml:space="preserve"> </w:t>
      </w:r>
      <w:r w:rsidRPr="00D158D2">
        <w:rPr>
          <w:sz w:val="22"/>
          <w:szCs w:val="22"/>
        </w:rPr>
        <w:t>households will be enrolled</w:t>
      </w:r>
      <w:r w:rsidR="0013234A">
        <w:rPr>
          <w:sz w:val="22"/>
          <w:szCs w:val="22"/>
        </w:rPr>
        <w:t xml:space="preserve">. </w:t>
      </w:r>
      <w:r w:rsidR="00A40CDE">
        <w:rPr>
          <w:sz w:val="22"/>
          <w:szCs w:val="22"/>
        </w:rPr>
        <w:t xml:space="preserve"> </w:t>
      </w:r>
      <w:r w:rsidR="00E53D5E">
        <w:rPr>
          <w:sz w:val="22"/>
          <w:szCs w:val="22"/>
        </w:rPr>
        <w:t>W</w:t>
      </w:r>
      <w:r w:rsidR="005E107C" w:rsidRPr="00844D25">
        <w:rPr>
          <w:sz w:val="22"/>
          <w:szCs w:val="22"/>
        </w:rPr>
        <w:t xml:space="preserve">e estimate that this </w:t>
      </w:r>
      <w:r w:rsidR="005E107C">
        <w:rPr>
          <w:sz w:val="22"/>
          <w:szCs w:val="22"/>
        </w:rPr>
        <w:t xml:space="preserve">fixed </w:t>
      </w:r>
      <w:r w:rsidR="005E107C" w:rsidRPr="00844D25">
        <w:rPr>
          <w:sz w:val="22"/>
          <w:szCs w:val="22"/>
        </w:rPr>
        <w:t xml:space="preserve">sample size </w:t>
      </w:r>
      <w:r w:rsidR="005E107C">
        <w:rPr>
          <w:sz w:val="22"/>
          <w:szCs w:val="22"/>
        </w:rPr>
        <w:t xml:space="preserve">(n=64) </w:t>
      </w:r>
      <w:r w:rsidR="005E107C" w:rsidRPr="00844D25">
        <w:rPr>
          <w:sz w:val="22"/>
          <w:szCs w:val="22"/>
        </w:rPr>
        <w:t xml:space="preserve">will be sufficient to test the </w:t>
      </w:r>
      <w:r w:rsidR="005E107C">
        <w:rPr>
          <w:sz w:val="22"/>
          <w:szCs w:val="22"/>
        </w:rPr>
        <w:t xml:space="preserve">Add-on Study’s </w:t>
      </w:r>
      <w:r w:rsidR="005E107C" w:rsidRPr="00844D25">
        <w:rPr>
          <w:sz w:val="22"/>
          <w:szCs w:val="22"/>
        </w:rPr>
        <w:t xml:space="preserve">primary objective </w:t>
      </w:r>
      <w:r w:rsidR="005E107C" w:rsidRPr="00136281">
        <w:rPr>
          <w:sz w:val="22"/>
          <w:szCs w:val="22"/>
        </w:rPr>
        <w:t>(objective 1) of “</w:t>
      </w:r>
      <w:r w:rsidR="005E107C" w:rsidRPr="003D4BAF">
        <w:rPr>
          <w:bCs/>
          <w:sz w:val="22"/>
          <w:szCs w:val="22"/>
        </w:rPr>
        <w:t xml:space="preserve">evaluating questionnaire-derived exposure estimates against those derived from measurements.” Assuming this comparison will </w:t>
      </w:r>
      <w:r w:rsidR="005E107C" w:rsidRPr="00136281">
        <w:rPr>
          <w:bCs/>
          <w:sz w:val="22"/>
          <w:szCs w:val="22"/>
        </w:rPr>
        <w:t xml:space="preserve">be </w:t>
      </w:r>
      <w:r w:rsidR="005E107C" w:rsidRPr="003D4BAF">
        <w:rPr>
          <w:bCs/>
          <w:sz w:val="22"/>
          <w:szCs w:val="22"/>
        </w:rPr>
        <w:t>accomplished through correlation analys</w:t>
      </w:r>
      <w:r w:rsidR="005E107C" w:rsidRPr="00136281">
        <w:rPr>
          <w:bCs/>
          <w:sz w:val="22"/>
          <w:szCs w:val="22"/>
        </w:rPr>
        <w:t>e</w:t>
      </w:r>
      <w:r w:rsidR="005E107C" w:rsidRPr="003D4BAF">
        <w:rPr>
          <w:bCs/>
          <w:sz w:val="22"/>
          <w:szCs w:val="22"/>
        </w:rPr>
        <w:t>s (Pearson and Spearman)</w:t>
      </w:r>
      <w:r w:rsidR="005E107C">
        <w:rPr>
          <w:bCs/>
          <w:sz w:val="22"/>
          <w:szCs w:val="22"/>
        </w:rPr>
        <w:t>,</w:t>
      </w:r>
      <w:r w:rsidR="005E107C" w:rsidRPr="003D4BAF">
        <w:rPr>
          <w:bCs/>
          <w:sz w:val="22"/>
          <w:szCs w:val="22"/>
        </w:rPr>
        <w:t xml:space="preserve"> u</w:t>
      </w:r>
      <w:r w:rsidR="005E107C" w:rsidRPr="003D4BAF">
        <w:rPr>
          <w:sz w:val="22"/>
          <w:szCs w:val="22"/>
        </w:rPr>
        <w:t>sing SAS PROC POWER</w:t>
      </w:r>
      <w:r w:rsidR="005E107C">
        <w:rPr>
          <w:sz w:val="22"/>
          <w:szCs w:val="22"/>
        </w:rPr>
        <w:t xml:space="preserve"> (equation 1) (Hulley et al., 2013)</w:t>
      </w:r>
      <w:r w:rsidR="005E107C" w:rsidRPr="003D4BAF">
        <w:rPr>
          <w:sz w:val="22"/>
          <w:szCs w:val="22"/>
        </w:rPr>
        <w:t xml:space="preserve"> we estimate that with </w:t>
      </w:r>
      <w:r w:rsidR="005E107C" w:rsidRPr="00136281">
        <w:rPr>
          <w:sz w:val="22"/>
          <w:szCs w:val="22"/>
        </w:rPr>
        <w:t xml:space="preserve">this </w:t>
      </w:r>
      <w:r w:rsidR="005E107C" w:rsidRPr="003D4BAF">
        <w:rPr>
          <w:sz w:val="22"/>
          <w:szCs w:val="22"/>
        </w:rPr>
        <w:t>fixed sample size</w:t>
      </w:r>
      <w:r w:rsidR="005E107C">
        <w:rPr>
          <w:sz w:val="22"/>
          <w:szCs w:val="22"/>
        </w:rPr>
        <w:t xml:space="preserve"> (n=64),</w:t>
      </w:r>
      <w:r w:rsidR="005E107C" w:rsidRPr="003D4BAF">
        <w:rPr>
          <w:sz w:val="22"/>
          <w:szCs w:val="22"/>
        </w:rPr>
        <w:t xml:space="preserve"> </w:t>
      </w:r>
      <w:r w:rsidR="005E107C" w:rsidRPr="001370B6">
        <w:rPr>
          <w:color w:val="000000"/>
          <w:sz w:val="22"/>
          <w:szCs w:val="22"/>
        </w:rPr>
        <w:t>α</w:t>
      </w:r>
      <w:r w:rsidR="005E107C">
        <w:rPr>
          <w:color w:val="000000"/>
          <w:sz w:val="22"/>
          <w:szCs w:val="22"/>
        </w:rPr>
        <w:t>=0.05,</w:t>
      </w:r>
      <w:r w:rsidR="005E107C" w:rsidRPr="003D4BAF">
        <w:rPr>
          <w:sz w:val="22"/>
          <w:szCs w:val="22"/>
        </w:rPr>
        <w:t xml:space="preserve"> and </w:t>
      </w:r>
      <w:r w:rsidR="005E107C" w:rsidRPr="00136281">
        <w:rPr>
          <w:sz w:val="22"/>
          <w:szCs w:val="22"/>
        </w:rPr>
        <w:t xml:space="preserve">80% </w:t>
      </w:r>
      <w:r w:rsidR="005E107C" w:rsidRPr="003D4BAF">
        <w:rPr>
          <w:sz w:val="22"/>
          <w:szCs w:val="22"/>
        </w:rPr>
        <w:t xml:space="preserve">power, we will be able to detect a correlation (r) of at least 0.345. </w:t>
      </w:r>
      <w:r w:rsidR="005E107C">
        <w:rPr>
          <w:sz w:val="22"/>
          <w:szCs w:val="22"/>
        </w:rPr>
        <w:t xml:space="preserve">Previous studies have shown that comparable correlations have been observed when comparing similar </w:t>
      </w:r>
      <w:r w:rsidR="005E107C" w:rsidRPr="00FA69CB">
        <w:rPr>
          <w:sz w:val="22"/>
          <w:szCs w:val="22"/>
        </w:rPr>
        <w:t xml:space="preserve">types of data </w:t>
      </w:r>
      <w:r w:rsidR="005E107C" w:rsidRPr="00493DFB">
        <w:rPr>
          <w:sz w:val="22"/>
          <w:szCs w:val="22"/>
        </w:rPr>
        <w:t>(Denys et al., 2014; English et al., 2015; Villaneuva et al., 2015; Whitehead et al., 2015; Wilhelm et al., 2015).</w:t>
      </w:r>
    </w:p>
    <w:p w14:paraId="384E7408" w14:textId="77777777" w:rsidR="00570858" w:rsidRPr="00BC2E99" w:rsidRDefault="00570858" w:rsidP="00570858">
      <w:pPr>
        <w:rPr>
          <w:color w:val="231F20"/>
          <w:sz w:val="22"/>
          <w:szCs w:val="22"/>
        </w:rPr>
      </w:pPr>
    </w:p>
    <w:p w14:paraId="34C62D73" w14:textId="77777777" w:rsidR="005E107C" w:rsidRPr="00FA69CB" w:rsidRDefault="005E107C" w:rsidP="005E107C">
      <w:pPr>
        <w:overflowPunct/>
        <w:textAlignment w:val="auto"/>
        <w:rPr>
          <w:sz w:val="22"/>
          <w:szCs w:val="22"/>
        </w:rPr>
      </w:pPr>
      <w:r w:rsidRPr="001370B6">
        <w:rPr>
          <w:b/>
          <w:bCs/>
          <w:color w:val="000000"/>
          <w:sz w:val="22"/>
          <w:szCs w:val="22"/>
        </w:rPr>
        <w:t>Equation 1: Total sample size = N = [(Z</w:t>
      </w:r>
      <w:r w:rsidRPr="001370B6">
        <w:rPr>
          <w:b/>
          <w:bCs/>
          <w:color w:val="000000"/>
          <w:sz w:val="22"/>
          <w:szCs w:val="22"/>
          <w:vertAlign w:val="subscript"/>
        </w:rPr>
        <w:t>α</w:t>
      </w:r>
      <w:r w:rsidRPr="001370B6">
        <w:rPr>
          <w:b/>
          <w:bCs/>
          <w:color w:val="000000"/>
          <w:sz w:val="22"/>
          <w:szCs w:val="22"/>
        </w:rPr>
        <w:t>+Z</w:t>
      </w:r>
      <w:r w:rsidRPr="001370B6">
        <w:rPr>
          <w:b/>
          <w:bCs/>
          <w:color w:val="000000"/>
          <w:sz w:val="22"/>
          <w:szCs w:val="22"/>
          <w:vertAlign w:val="subscript"/>
        </w:rPr>
        <w:t>β</w:t>
      </w:r>
      <w:r w:rsidRPr="001370B6">
        <w:rPr>
          <w:b/>
          <w:bCs/>
          <w:color w:val="000000"/>
          <w:sz w:val="22"/>
          <w:szCs w:val="22"/>
        </w:rPr>
        <w:t>)/C]</w:t>
      </w:r>
      <w:r w:rsidRPr="001370B6">
        <w:rPr>
          <w:b/>
          <w:bCs/>
          <w:color w:val="000000"/>
          <w:sz w:val="22"/>
          <w:szCs w:val="22"/>
          <w:vertAlign w:val="superscript"/>
        </w:rPr>
        <w:t>2</w:t>
      </w:r>
      <w:r w:rsidRPr="001370B6">
        <w:rPr>
          <w:b/>
          <w:bCs/>
          <w:color w:val="000000"/>
          <w:sz w:val="22"/>
          <w:szCs w:val="22"/>
        </w:rPr>
        <w:t xml:space="preserve"> + 3</w:t>
      </w:r>
    </w:p>
    <w:p w14:paraId="31CA66C0" w14:textId="77777777" w:rsidR="005E107C" w:rsidRPr="001370B6" w:rsidRDefault="005E107C" w:rsidP="005E107C">
      <w:pPr>
        <w:pStyle w:val="NormalWeb"/>
        <w:spacing w:after="0" w:afterAutospacing="0"/>
        <w:rPr>
          <w:color w:val="000000"/>
          <w:sz w:val="22"/>
          <w:szCs w:val="22"/>
        </w:rPr>
      </w:pPr>
      <w:r w:rsidRPr="001370B6">
        <w:rPr>
          <w:color w:val="000000"/>
          <w:sz w:val="22"/>
          <w:szCs w:val="22"/>
        </w:rPr>
        <w:t>Where</w:t>
      </w:r>
      <w:r>
        <w:rPr>
          <w:color w:val="000000"/>
          <w:sz w:val="22"/>
          <w:szCs w:val="22"/>
        </w:rPr>
        <w:t>:</w:t>
      </w:r>
    </w:p>
    <w:p w14:paraId="3CD4A2A6" w14:textId="5D449FA2" w:rsidR="005E107C" w:rsidRPr="001370B6" w:rsidRDefault="005E107C" w:rsidP="005E107C">
      <w:pPr>
        <w:pStyle w:val="NormalWeb"/>
        <w:spacing w:after="0" w:afterAutospacing="0"/>
        <w:rPr>
          <w:color w:val="000000"/>
          <w:sz w:val="22"/>
          <w:szCs w:val="22"/>
        </w:rPr>
      </w:pPr>
      <w:r w:rsidRPr="000B1D96">
        <w:rPr>
          <w:color w:val="000000"/>
          <w:sz w:val="22"/>
        </w:rPr>
        <w:t xml:space="preserve">The </w:t>
      </w:r>
      <w:r w:rsidRPr="001370B6">
        <w:rPr>
          <w:color w:val="000000"/>
          <w:sz w:val="22"/>
          <w:szCs w:val="22"/>
        </w:rPr>
        <w:t>standard normal deviate for α = Z</w:t>
      </w:r>
      <w:r w:rsidRPr="001370B6">
        <w:rPr>
          <w:color w:val="000000"/>
          <w:sz w:val="22"/>
          <w:szCs w:val="22"/>
          <w:vertAlign w:val="subscript"/>
        </w:rPr>
        <w:t>α</w:t>
      </w:r>
      <w:r w:rsidRPr="001370B6">
        <w:rPr>
          <w:color w:val="000000"/>
          <w:sz w:val="22"/>
          <w:szCs w:val="22"/>
        </w:rPr>
        <w:t xml:space="preserve"> </w:t>
      </w:r>
    </w:p>
    <w:p w14:paraId="44709E69" w14:textId="77777777" w:rsidR="005E107C" w:rsidRPr="001370B6" w:rsidRDefault="005E107C" w:rsidP="005E107C">
      <w:pPr>
        <w:pStyle w:val="NormalWeb"/>
        <w:spacing w:after="0" w:afterAutospacing="0"/>
        <w:rPr>
          <w:color w:val="000000"/>
          <w:sz w:val="22"/>
          <w:szCs w:val="22"/>
        </w:rPr>
      </w:pPr>
      <w:r w:rsidRPr="001370B6">
        <w:rPr>
          <w:color w:val="000000"/>
          <w:sz w:val="22"/>
          <w:szCs w:val="22"/>
        </w:rPr>
        <w:t xml:space="preserve">The standard normal deviate </w:t>
      </w:r>
      <w:r>
        <w:rPr>
          <w:color w:val="000000"/>
          <w:sz w:val="22"/>
          <w:szCs w:val="22"/>
        </w:rPr>
        <w:t xml:space="preserve">at power 1- </w:t>
      </w:r>
      <w:r w:rsidRPr="001370B6">
        <w:rPr>
          <w:color w:val="000000"/>
          <w:sz w:val="22"/>
          <w:szCs w:val="22"/>
        </w:rPr>
        <w:t>β =</w:t>
      </w:r>
      <w:r>
        <w:rPr>
          <w:color w:val="000000"/>
          <w:sz w:val="22"/>
          <w:szCs w:val="22"/>
        </w:rPr>
        <w:t xml:space="preserve"> 0.80:</w:t>
      </w:r>
      <w:r w:rsidRPr="001370B6">
        <w:rPr>
          <w:color w:val="000000"/>
          <w:sz w:val="22"/>
          <w:szCs w:val="22"/>
        </w:rPr>
        <w:t xml:space="preserve"> Z</w:t>
      </w:r>
      <w:r w:rsidRPr="006E55F2">
        <w:rPr>
          <w:color w:val="000000"/>
          <w:sz w:val="22"/>
          <w:szCs w:val="22"/>
          <w:vertAlign w:val="subscript"/>
        </w:rPr>
        <w:t>1-</w:t>
      </w:r>
      <w:r w:rsidRPr="001370B6">
        <w:rPr>
          <w:color w:val="000000"/>
          <w:sz w:val="22"/>
          <w:szCs w:val="22"/>
          <w:vertAlign w:val="subscript"/>
        </w:rPr>
        <w:t>β</w:t>
      </w:r>
      <w:r w:rsidRPr="001370B6">
        <w:rPr>
          <w:color w:val="000000"/>
          <w:sz w:val="22"/>
          <w:szCs w:val="22"/>
        </w:rPr>
        <w:t xml:space="preserve">; and </w:t>
      </w:r>
    </w:p>
    <w:p w14:paraId="2F79EF66" w14:textId="77777777" w:rsidR="005E107C" w:rsidRPr="001370B6" w:rsidRDefault="005E107C" w:rsidP="005E107C">
      <w:pPr>
        <w:pStyle w:val="NormalWeb"/>
        <w:spacing w:after="0" w:afterAutospacing="0"/>
        <w:rPr>
          <w:color w:val="000000"/>
          <w:sz w:val="22"/>
          <w:szCs w:val="22"/>
        </w:rPr>
      </w:pPr>
      <w:r w:rsidRPr="001370B6">
        <w:rPr>
          <w:color w:val="000000"/>
          <w:sz w:val="22"/>
          <w:szCs w:val="22"/>
        </w:rPr>
        <w:t>C = 0.5 * ln[(1+r)/(1-r)]  </w:t>
      </w:r>
    </w:p>
    <w:p w14:paraId="73E1D9F1" w14:textId="77777777" w:rsidR="005E107C" w:rsidRPr="00FA69CB" w:rsidRDefault="005E107C" w:rsidP="005E107C">
      <w:pPr>
        <w:overflowPunct/>
        <w:textAlignment w:val="auto"/>
        <w:rPr>
          <w:sz w:val="22"/>
          <w:szCs w:val="22"/>
        </w:rPr>
      </w:pPr>
    </w:p>
    <w:p w14:paraId="3A72F41A" w14:textId="77777777" w:rsidR="005E107C" w:rsidRPr="003D4BAF" w:rsidRDefault="005E107C" w:rsidP="005E107C">
      <w:pPr>
        <w:pStyle w:val="NoSpacing"/>
        <w:rPr>
          <w:rFonts w:ascii="Times New Roman" w:hAnsi="Times New Roman"/>
        </w:rPr>
      </w:pPr>
      <w:r w:rsidRPr="00FA69CB">
        <w:rPr>
          <w:rFonts w:ascii="Times New Roman" w:hAnsi="Times New Roman"/>
        </w:rPr>
        <w:lastRenderedPageBreak/>
        <w:t xml:space="preserve">The questionnaire-based assessment of exposure will be </w:t>
      </w:r>
      <w:r w:rsidRPr="000F4E87">
        <w:rPr>
          <w:rFonts w:ascii="Times New Roman" w:hAnsi="Times New Roman"/>
        </w:rPr>
        <w:t>derived from a combination of the home consumer product inventory and product use information</w:t>
      </w:r>
      <w:r>
        <w:rPr>
          <w:rFonts w:ascii="Times New Roman" w:hAnsi="Times New Roman"/>
        </w:rPr>
        <w:t xml:space="preserve"> captured in the questionnaire (Q21-23). We will cross-reference the specific consumer products found within the home with EPA databases identifying chemicals and amounts in consumer products (Goldsmith et al., 2014). Exposure will be determined by the number of consumer products within the home containing the chemical and product use frequency. </w:t>
      </w:r>
      <w:r w:rsidRPr="003D4BAF">
        <w:rPr>
          <w:rFonts w:ascii="Times New Roman" w:hAnsi="Times New Roman"/>
        </w:rPr>
        <w:t xml:space="preserve">For example, </w:t>
      </w:r>
      <w:r>
        <w:rPr>
          <w:rFonts w:ascii="Times New Roman" w:hAnsi="Times New Roman"/>
        </w:rPr>
        <w:t xml:space="preserve">the information from Q21-23 combined with the consumer product use inventory can be used to evaluate the relationship(s) between frequency of consumer product use and concentrations of consumer product active ingredients in dust and air to categorize children’s potential exposures in the home as it relates to objective 1. </w:t>
      </w:r>
      <w:r w:rsidRPr="00B06531">
        <w:rPr>
          <w:rFonts w:ascii="Times New Roman" w:hAnsi="Times New Roman"/>
        </w:rPr>
        <w:t>A</w:t>
      </w:r>
      <w:r>
        <w:rPr>
          <w:rFonts w:ascii="Times New Roman" w:hAnsi="Times New Roman"/>
        </w:rPr>
        <w:t xml:space="preserve">dditional analyses </w:t>
      </w:r>
      <w:r w:rsidRPr="00B06531">
        <w:rPr>
          <w:rFonts w:ascii="Times New Roman" w:hAnsi="Times New Roman"/>
        </w:rPr>
        <w:t xml:space="preserve">to determine how, and to what extent, </w:t>
      </w:r>
      <w:r>
        <w:rPr>
          <w:rFonts w:ascii="Times New Roman" w:hAnsi="Times New Roman"/>
        </w:rPr>
        <w:t xml:space="preserve">questionnaire data can predict measured </w:t>
      </w:r>
      <w:r w:rsidRPr="00B06531">
        <w:rPr>
          <w:rFonts w:ascii="Times New Roman" w:hAnsi="Times New Roman"/>
        </w:rPr>
        <w:t xml:space="preserve">environmental contaminant levels </w:t>
      </w:r>
      <w:r>
        <w:rPr>
          <w:rFonts w:ascii="Times New Roman" w:hAnsi="Times New Roman"/>
        </w:rPr>
        <w:t>(e.g., questionnaire responses related to consumer product uses and dust/air concentrations in the home) will be explored with the available data</w:t>
      </w:r>
      <w:r w:rsidRPr="00B06531">
        <w:rPr>
          <w:rFonts w:ascii="Times New Roman" w:hAnsi="Times New Roman"/>
        </w:rPr>
        <w:t>.</w:t>
      </w:r>
    </w:p>
    <w:p w14:paraId="670B6588" w14:textId="77777777" w:rsidR="005E107C" w:rsidRDefault="005E107C" w:rsidP="005E107C">
      <w:pPr>
        <w:pStyle w:val="NoSpacing"/>
        <w:rPr>
          <w:rFonts w:ascii="Times New Roman" w:hAnsi="Times New Roman"/>
        </w:rPr>
      </w:pPr>
    </w:p>
    <w:p w14:paraId="3B42F550" w14:textId="77777777" w:rsidR="005E107C" w:rsidRPr="00BE6C76" w:rsidRDefault="005E107C" w:rsidP="005E107C">
      <w:pPr>
        <w:rPr>
          <w:sz w:val="22"/>
          <w:szCs w:val="22"/>
        </w:rPr>
      </w:pPr>
      <w:r w:rsidRPr="00BE6C76">
        <w:rPr>
          <w:sz w:val="22"/>
          <w:szCs w:val="22"/>
        </w:rPr>
        <w:t>U</w:t>
      </w:r>
      <w:r w:rsidR="00E53D5E">
        <w:rPr>
          <w:sz w:val="22"/>
          <w:szCs w:val="22"/>
        </w:rPr>
        <w:t>.</w:t>
      </w:r>
      <w:r w:rsidRPr="00BE6C76">
        <w:rPr>
          <w:sz w:val="22"/>
          <w:szCs w:val="22"/>
        </w:rPr>
        <w:t>S</w:t>
      </w:r>
      <w:r w:rsidR="00E53D5E">
        <w:rPr>
          <w:sz w:val="22"/>
          <w:szCs w:val="22"/>
        </w:rPr>
        <w:t>.</w:t>
      </w:r>
      <w:r w:rsidRPr="00BE6C76">
        <w:rPr>
          <w:sz w:val="22"/>
          <w:szCs w:val="22"/>
        </w:rPr>
        <w:t xml:space="preserve"> EPA's Stochastic Human Exposure and Dose Simulation (SHEDS) model utilizes simulation to estimate the quantitative distribution of personal exposures for a target population, including the uncertainty of the model estimates. The SHEDS model is capable of estimating highly complex inhalation, dermal, and dietary exposures for populations like young children. A crucial input of the SHEDS model is information obtained from field studies (e.g., the Add-on Study) on observed distributions of factors affecting biomarkers and exposure dynamics. These studies also provide important evaluation and verification feedbacks for continual improvement of the model’s accuracy.</w:t>
      </w:r>
    </w:p>
    <w:p w14:paraId="12C9CEEA" w14:textId="77777777" w:rsidR="005E107C" w:rsidRPr="00BE6C76" w:rsidRDefault="005E107C" w:rsidP="005E107C">
      <w:pPr>
        <w:rPr>
          <w:sz w:val="22"/>
          <w:szCs w:val="22"/>
        </w:rPr>
      </w:pPr>
    </w:p>
    <w:p w14:paraId="63139A1B" w14:textId="030EC7CA" w:rsidR="005E107C" w:rsidRPr="00BE6C76" w:rsidRDefault="005E107C" w:rsidP="005E107C">
      <w:pPr>
        <w:rPr>
          <w:sz w:val="22"/>
          <w:szCs w:val="22"/>
        </w:rPr>
      </w:pPr>
      <w:r w:rsidRPr="00BE6C76">
        <w:rPr>
          <w:sz w:val="22"/>
          <w:szCs w:val="22"/>
        </w:rPr>
        <w:t>Generalizations about the accuracy of the SHEDS model are challenging because its results, such as those reported by Xue et al.</w:t>
      </w:r>
      <w:r w:rsidR="00C128B6">
        <w:rPr>
          <w:sz w:val="22"/>
          <w:szCs w:val="22"/>
        </w:rPr>
        <w:t xml:space="preserve"> </w:t>
      </w:r>
      <w:r w:rsidR="00BA6ADF">
        <w:rPr>
          <w:sz w:val="22"/>
          <w:szCs w:val="22"/>
        </w:rPr>
        <w:t>(</w:t>
      </w:r>
      <w:r w:rsidRPr="00BE6C76">
        <w:rPr>
          <w:sz w:val="22"/>
          <w:szCs w:val="22"/>
        </w:rPr>
        <w:t>2014</w:t>
      </w:r>
      <w:r w:rsidR="00BA6ADF">
        <w:rPr>
          <w:sz w:val="22"/>
          <w:szCs w:val="22"/>
        </w:rPr>
        <w:t>)</w:t>
      </w:r>
      <w:r w:rsidRPr="00BE6C76">
        <w:rPr>
          <w:sz w:val="22"/>
          <w:szCs w:val="22"/>
        </w:rPr>
        <w:t xml:space="preserve"> depend on the inputs and parameterizations provided by the user. Moreover, the SHEDS model is aimed at estimating not only the most likely population exposure level, but also the variability of these exposures. Conceptually, this implies that the SHEDS model intentionally eschews estimation of central tendency in favor of accurately estimating an entire population distribution. The challenges of ascribing some notion of accuracy to SHEDS model results, which derive from complex simulations, are magnified considerably when attempting to compare its accuracy to that of an observational field </w:t>
      </w:r>
      <w:r w:rsidR="00BA6ADF">
        <w:rPr>
          <w:sz w:val="22"/>
          <w:szCs w:val="22"/>
        </w:rPr>
        <w:t xml:space="preserve">measurement </w:t>
      </w:r>
      <w:r w:rsidRPr="00BE6C76">
        <w:rPr>
          <w:sz w:val="22"/>
          <w:szCs w:val="22"/>
        </w:rPr>
        <w:t xml:space="preserve">study. </w:t>
      </w:r>
    </w:p>
    <w:p w14:paraId="020BF95F" w14:textId="77777777" w:rsidR="005E107C" w:rsidRPr="00BE6C76" w:rsidRDefault="005E107C" w:rsidP="005E107C">
      <w:pPr>
        <w:rPr>
          <w:sz w:val="22"/>
          <w:szCs w:val="22"/>
        </w:rPr>
      </w:pPr>
    </w:p>
    <w:p w14:paraId="206A52C8" w14:textId="1906E650" w:rsidR="005E107C" w:rsidRPr="00BE6C76" w:rsidRDefault="005E107C" w:rsidP="005E107C">
      <w:pPr>
        <w:rPr>
          <w:sz w:val="22"/>
          <w:szCs w:val="22"/>
        </w:rPr>
      </w:pPr>
      <w:r w:rsidRPr="00BE6C76">
        <w:rPr>
          <w:sz w:val="22"/>
          <w:szCs w:val="22"/>
        </w:rPr>
        <w:t xml:space="preserve">Bearing in mind these caveats, consideration of fundamental theoretical results may shed light on the relative magnitude of a particular expression of accuracy contrasted between results from the SHEDS model and an observational field </w:t>
      </w:r>
      <w:r w:rsidR="00BA6ADF">
        <w:rPr>
          <w:sz w:val="22"/>
          <w:szCs w:val="22"/>
        </w:rPr>
        <w:t>measurement</w:t>
      </w:r>
      <w:r w:rsidR="00BA6ADF" w:rsidRPr="00BE6C76">
        <w:rPr>
          <w:sz w:val="22"/>
          <w:szCs w:val="22"/>
        </w:rPr>
        <w:t xml:space="preserve"> </w:t>
      </w:r>
      <w:r w:rsidRPr="00BE6C76">
        <w:rPr>
          <w:sz w:val="22"/>
          <w:szCs w:val="22"/>
        </w:rPr>
        <w:t>study of finite sample size. Taking Xue et al.</w:t>
      </w:r>
      <w:r w:rsidR="008571B3">
        <w:rPr>
          <w:sz w:val="22"/>
          <w:szCs w:val="22"/>
        </w:rPr>
        <w:t xml:space="preserve"> (</w:t>
      </w:r>
      <w:r w:rsidRPr="00BE6C76">
        <w:rPr>
          <w:sz w:val="22"/>
          <w:szCs w:val="22"/>
        </w:rPr>
        <w:t>2014</w:t>
      </w:r>
      <w:r w:rsidR="008571B3">
        <w:rPr>
          <w:sz w:val="22"/>
          <w:szCs w:val="22"/>
        </w:rPr>
        <w:t>)</w:t>
      </w:r>
      <w:r w:rsidRPr="00BE6C76">
        <w:rPr>
          <w:sz w:val="22"/>
          <w:szCs w:val="22"/>
        </w:rPr>
        <w:t xml:space="preserve"> as an example, their Table 1 displays SHEDS model estimates of cumulative annual absorbed dose of seven pyrethroids. Among 3 – 5 year olds in the general population, the mean dose was estimated to be 3.1 nmol/day (std. dev. 5.8) based on a sample size of 5,733 </w:t>
      </w:r>
      <w:r w:rsidR="00BA6ADF">
        <w:rPr>
          <w:sz w:val="22"/>
          <w:szCs w:val="22"/>
        </w:rPr>
        <w:t>persons</w:t>
      </w:r>
      <w:r w:rsidRPr="00BE6C76">
        <w:rPr>
          <w:sz w:val="22"/>
          <w:szCs w:val="22"/>
        </w:rPr>
        <w:t>. The accuracy of these estimates may be characterized in terms of the number of standard deviations that cover an interval at a given level of confidence, such as the routinely used 95 percent</w:t>
      </w:r>
      <w:r>
        <w:rPr>
          <w:sz w:val="22"/>
          <w:szCs w:val="22"/>
        </w:rPr>
        <w:t xml:space="preserve"> confidence level</w:t>
      </w:r>
      <w:r w:rsidRPr="00BE6C76">
        <w:rPr>
          <w:sz w:val="22"/>
          <w:szCs w:val="22"/>
        </w:rPr>
        <w:t xml:space="preserve">. More accurate samples may be said to enclose a given confidence interval with a fewer number of standard deviations than less accurate samples. Samples from the SHEDS model, however, are not “observed” in the same way as for an observational field </w:t>
      </w:r>
      <w:r w:rsidR="00BA6ADF">
        <w:rPr>
          <w:sz w:val="22"/>
          <w:szCs w:val="22"/>
        </w:rPr>
        <w:t>measurement</w:t>
      </w:r>
      <w:r w:rsidR="00BA6ADF" w:rsidRPr="00BE6C76">
        <w:rPr>
          <w:sz w:val="22"/>
          <w:szCs w:val="22"/>
        </w:rPr>
        <w:t xml:space="preserve"> </w:t>
      </w:r>
      <w:r w:rsidRPr="00BE6C76">
        <w:rPr>
          <w:sz w:val="22"/>
          <w:szCs w:val="22"/>
        </w:rPr>
        <w:t>study like the Add-on Study. Still, it may be useful to suggest that comparing their confidence interval coverage is appropriate if no assumptions were necessary regarding the probability distributions of their samples. This would enable comparison of accuracy purely in terms of their computed standard deviations with respect to fundamental theoretical limits on their respective sample sizes.</w:t>
      </w:r>
    </w:p>
    <w:p w14:paraId="29F68F03" w14:textId="77777777" w:rsidR="005E107C" w:rsidRPr="00BE6C76" w:rsidRDefault="005E107C" w:rsidP="005E107C">
      <w:pPr>
        <w:rPr>
          <w:sz w:val="22"/>
          <w:szCs w:val="22"/>
        </w:rPr>
      </w:pPr>
    </w:p>
    <w:p w14:paraId="72D93416" w14:textId="77777777" w:rsidR="005E107C" w:rsidRPr="00BE6C76" w:rsidRDefault="005E107C" w:rsidP="005E107C">
      <w:pPr>
        <w:rPr>
          <w:sz w:val="22"/>
          <w:szCs w:val="22"/>
        </w:rPr>
      </w:pPr>
      <w:r w:rsidRPr="00BE6C76">
        <w:rPr>
          <w:sz w:val="22"/>
          <w:szCs w:val="22"/>
        </w:rPr>
        <w:t xml:space="preserve">The theoretical basis for comparison is Chebyshev’s Inequality, which is a distribution-free expression of the maximum interval covered for a given mean and standard deviation (Konijn, 1987). The large size of the SHEDS model sample supports estimation of this interval with Chebyshev’s Inequality, which represents the maximum for an entire population. In contrast, the Add-on Study has a finite population sample of 64 </w:t>
      </w:r>
      <w:r w:rsidR="00C128B6">
        <w:rPr>
          <w:sz w:val="22"/>
          <w:szCs w:val="22"/>
        </w:rPr>
        <w:t>participants</w:t>
      </w:r>
      <w:r w:rsidRPr="00BE6C76">
        <w:rPr>
          <w:sz w:val="22"/>
          <w:szCs w:val="22"/>
        </w:rPr>
        <w:t>. For a finite sample, Chebyshev’s Inequality is expressed in a modified form as Saw-Yang-Mo’s Inequality (Saw et al., 1984).</w:t>
      </w:r>
    </w:p>
    <w:p w14:paraId="11B03392" w14:textId="77777777" w:rsidR="005E107C" w:rsidRPr="00BE6C76" w:rsidRDefault="005E107C" w:rsidP="005E107C">
      <w:pPr>
        <w:rPr>
          <w:sz w:val="22"/>
          <w:szCs w:val="22"/>
        </w:rPr>
      </w:pPr>
    </w:p>
    <w:p w14:paraId="2FB71A04" w14:textId="1C244BE7" w:rsidR="005E107C" w:rsidRPr="00BE6C76" w:rsidRDefault="005E107C" w:rsidP="005E107C">
      <w:pPr>
        <w:rPr>
          <w:sz w:val="22"/>
          <w:szCs w:val="22"/>
        </w:rPr>
      </w:pPr>
      <w:r w:rsidRPr="00BE6C76">
        <w:rPr>
          <w:sz w:val="22"/>
          <w:szCs w:val="22"/>
        </w:rPr>
        <w:lastRenderedPageBreak/>
        <w:t>Reiterating the suggestion that accuracy can be judged in terms of the number of standard deviations (</w:t>
      </w:r>
      <m:oMath>
        <m:r>
          <w:rPr>
            <w:rFonts w:ascii="Cambria Math" w:hAnsi="Cambria Math"/>
            <w:sz w:val="24"/>
            <w:szCs w:val="24"/>
          </w:rPr>
          <m:t>k</m:t>
        </m:r>
      </m:oMath>
      <w:r w:rsidRPr="00BE6C76">
        <w:rPr>
          <w:sz w:val="22"/>
          <w:szCs w:val="22"/>
        </w:rPr>
        <w:t xml:space="preserve">) that cover a fixed 95 percent confidence interval, and that Chebyshev’s Inequality can be reasonably assumed to represent SHEDS model results that arise from thousands of observations, then for a mean cumulative pyrethroids dose of 3.1 nmol/day and standard deviation of 5.8, Chebyshev’s Inequality indicates that </w:t>
      </w:r>
      <m:oMath>
        <m:sSub>
          <m:sSubPr>
            <m:ctrlPr>
              <w:rPr>
                <w:rFonts w:ascii="Cambria Math" w:eastAsia="Calibri" w:hAnsi="Cambria Math"/>
                <w:i/>
                <w:iCs/>
                <w:sz w:val="24"/>
                <w:szCs w:val="24"/>
              </w:rPr>
            </m:ctrlPr>
          </m:sSubPr>
          <m:e>
            <m:r>
              <w:rPr>
                <w:rFonts w:ascii="Cambria Math" w:hAnsi="Cambria Math"/>
                <w:sz w:val="24"/>
                <w:szCs w:val="24"/>
              </w:rPr>
              <m:t>k</m:t>
            </m:r>
          </m:e>
          <m:sub>
            <m:r>
              <w:rPr>
                <w:rFonts w:ascii="Cambria Math" w:hAnsi="Cambria Math"/>
                <w:sz w:val="24"/>
                <w:szCs w:val="24"/>
              </w:rPr>
              <m:t>C</m:t>
            </m:r>
          </m:sub>
        </m:sSub>
        <m:r>
          <w:rPr>
            <w:rFonts w:ascii="Cambria Math" w:hAnsi="Cambria Math"/>
            <w:sz w:val="24"/>
            <w:szCs w:val="24"/>
          </w:rPr>
          <m:t>=4.472</m:t>
        </m:r>
      </m:oMath>
      <w:r w:rsidRPr="00BE6C76">
        <w:rPr>
          <w:sz w:val="22"/>
          <w:szCs w:val="22"/>
        </w:rPr>
        <w:t xml:space="preserve"> standard deviations would cover an interval about the mean comprising 95 percent of observations. Assuming the same mean cumulative pyrethroids dose and standard deviation can be expected to be observed in the Add-on Study, then for a finite sample size of 64 observations, Saw-Yang-Mo’s Inequality indicates that </w:t>
      </w:r>
      <m:oMath>
        <m:sSub>
          <m:sSubPr>
            <m:ctrlPr>
              <w:rPr>
                <w:rFonts w:ascii="Cambria Math" w:eastAsia="Calibri" w:hAnsi="Cambria Math"/>
                <w:i/>
                <w:iCs/>
                <w:sz w:val="24"/>
                <w:szCs w:val="24"/>
              </w:rPr>
            </m:ctrlPr>
          </m:sSubPr>
          <m:e>
            <m:r>
              <w:rPr>
                <w:rFonts w:ascii="Cambria Math" w:hAnsi="Cambria Math"/>
                <w:sz w:val="24"/>
                <w:szCs w:val="24"/>
              </w:rPr>
              <m:t>k</m:t>
            </m:r>
          </m:e>
          <m:sub>
            <m:r>
              <w:rPr>
                <w:rFonts w:ascii="Cambria Math" w:hAnsi="Cambria Math"/>
                <w:sz w:val="24"/>
                <w:szCs w:val="24"/>
              </w:rPr>
              <m:t>S-Y-M</m:t>
            </m:r>
          </m:sub>
        </m:sSub>
        <m:r>
          <w:rPr>
            <w:rFonts w:ascii="Cambria Math" w:hAnsi="Cambria Math"/>
            <w:sz w:val="24"/>
            <w:szCs w:val="24"/>
          </w:rPr>
          <m:t>=4.667</m:t>
        </m:r>
      </m:oMath>
      <w:r w:rsidRPr="00BE6C76">
        <w:rPr>
          <w:sz w:val="22"/>
          <w:szCs w:val="22"/>
        </w:rPr>
        <w:t xml:space="preserve"> standard deviations would cover an interval comprising 95 percent of observations. The ratio</w:t>
      </w:r>
    </w:p>
    <w:p w14:paraId="1E6DEB37" w14:textId="77777777" w:rsidR="005E107C" w:rsidRPr="00BE6C76" w:rsidRDefault="005E107C" w:rsidP="005E107C">
      <w:pPr>
        <w:rPr>
          <w:sz w:val="22"/>
          <w:szCs w:val="22"/>
        </w:rPr>
      </w:pPr>
    </w:p>
    <w:p w14:paraId="79E555B3" w14:textId="1DBD452F" w:rsidR="005E107C" w:rsidRPr="00BE6C76" w:rsidRDefault="00C24BC3" w:rsidP="005E107C">
      <w:pPr>
        <w:rPr>
          <w:sz w:val="22"/>
          <w:szCs w:val="22"/>
        </w:rPr>
      </w:pPr>
      <m:oMath>
        <m:d>
          <m:dPr>
            <m:ctrlPr>
              <w:rPr>
                <w:rFonts w:ascii="Cambria Math" w:eastAsia="Calibri" w:hAnsi="Cambria Math"/>
                <w:i/>
                <w:iCs/>
                <w:sz w:val="24"/>
                <w:szCs w:val="24"/>
              </w:rPr>
            </m:ctrlPr>
          </m:dPr>
          <m:e>
            <m:f>
              <m:fPr>
                <m:ctrlPr>
                  <w:rPr>
                    <w:rFonts w:ascii="Cambria Math" w:eastAsia="Calibri" w:hAnsi="Cambria Math"/>
                    <w:i/>
                    <w:iCs/>
                    <w:sz w:val="24"/>
                    <w:szCs w:val="24"/>
                  </w:rPr>
                </m:ctrlPr>
              </m:fPr>
              <m:num>
                <m:sSub>
                  <m:sSubPr>
                    <m:ctrlPr>
                      <w:rPr>
                        <w:rFonts w:ascii="Cambria Math" w:eastAsia="Calibri" w:hAnsi="Cambria Math"/>
                        <w:i/>
                        <w:iCs/>
                        <w:sz w:val="24"/>
                        <w:szCs w:val="24"/>
                      </w:rPr>
                    </m:ctrlPr>
                  </m:sSubPr>
                  <m:e>
                    <m:r>
                      <w:rPr>
                        <w:rFonts w:ascii="Cambria Math" w:hAnsi="Cambria Math"/>
                        <w:sz w:val="24"/>
                        <w:szCs w:val="24"/>
                      </w:rPr>
                      <m:t>k</m:t>
                    </m:r>
                  </m:e>
                  <m:sub>
                    <m:r>
                      <w:rPr>
                        <w:rFonts w:ascii="Cambria Math" w:hAnsi="Cambria Math"/>
                        <w:sz w:val="24"/>
                        <w:szCs w:val="24"/>
                      </w:rPr>
                      <m:t>S-Y-M</m:t>
                    </m:r>
                  </m:sub>
                </m:sSub>
              </m:num>
              <m:den>
                <m:sSub>
                  <m:sSubPr>
                    <m:ctrlPr>
                      <w:rPr>
                        <w:rFonts w:ascii="Cambria Math" w:eastAsia="Calibri" w:hAnsi="Cambria Math"/>
                        <w:i/>
                        <w:iCs/>
                        <w:sz w:val="24"/>
                        <w:szCs w:val="24"/>
                      </w:rPr>
                    </m:ctrlPr>
                  </m:sSubPr>
                  <m:e>
                    <m:r>
                      <w:rPr>
                        <w:rFonts w:ascii="Cambria Math" w:hAnsi="Cambria Math"/>
                        <w:sz w:val="24"/>
                        <w:szCs w:val="24"/>
                      </w:rPr>
                      <m:t>k</m:t>
                    </m:r>
                  </m:e>
                  <m:sub>
                    <m:r>
                      <w:rPr>
                        <w:rFonts w:ascii="Cambria Math" w:hAnsi="Cambria Math"/>
                        <w:sz w:val="24"/>
                        <w:szCs w:val="24"/>
                      </w:rPr>
                      <m:t>C</m:t>
                    </m:r>
                  </m:sub>
                </m:sSub>
              </m:den>
            </m:f>
          </m:e>
        </m:d>
        <m:r>
          <w:rPr>
            <w:rFonts w:ascii="Cambria Math" w:hAnsi="Cambria Math"/>
            <w:sz w:val="24"/>
            <w:szCs w:val="24"/>
          </w:rPr>
          <m:t>=1.044</m:t>
        </m:r>
      </m:oMath>
      <w:r w:rsidR="005E107C" w:rsidRPr="00BE6C76">
        <w:rPr>
          <w:sz w:val="22"/>
          <w:szCs w:val="22"/>
        </w:rPr>
        <w:t xml:space="preserve"> </w:t>
      </w:r>
    </w:p>
    <w:p w14:paraId="6E15A11F" w14:textId="77777777" w:rsidR="005E107C" w:rsidRPr="00BE6C76" w:rsidRDefault="005E107C" w:rsidP="005E107C">
      <w:pPr>
        <w:rPr>
          <w:sz w:val="22"/>
          <w:szCs w:val="22"/>
        </w:rPr>
      </w:pPr>
    </w:p>
    <w:p w14:paraId="4ED30E15" w14:textId="08891F96" w:rsidR="005E107C" w:rsidRPr="005552A5" w:rsidRDefault="005E107C" w:rsidP="005E107C">
      <w:pPr>
        <w:rPr>
          <w:sz w:val="22"/>
          <w:szCs w:val="22"/>
        </w:rPr>
      </w:pPr>
      <w:r w:rsidRPr="00BE6C76">
        <w:rPr>
          <w:sz w:val="22"/>
          <w:szCs w:val="22"/>
        </w:rPr>
        <w:t xml:space="preserve">indicates that a sample of 64 has 4.4 percent less accuracy than assessing </w:t>
      </w:r>
      <w:r>
        <w:rPr>
          <w:sz w:val="22"/>
          <w:szCs w:val="22"/>
        </w:rPr>
        <w:t xml:space="preserve">the </w:t>
      </w:r>
      <w:r w:rsidRPr="005552A5">
        <w:rPr>
          <w:sz w:val="22"/>
          <w:szCs w:val="22"/>
        </w:rPr>
        <w:t xml:space="preserve">entire population. These results are tabulated below, and for additional comparison </w:t>
      </w:r>
      <m:oMath>
        <m:sSub>
          <m:sSubPr>
            <m:ctrlPr>
              <w:rPr>
                <w:rFonts w:ascii="Cambria Math" w:eastAsia="Calibri" w:hAnsi="Cambria Math"/>
                <w:i/>
                <w:iCs/>
                <w:sz w:val="24"/>
                <w:szCs w:val="24"/>
              </w:rPr>
            </m:ctrlPr>
          </m:sSubPr>
          <m:e>
            <m:r>
              <w:rPr>
                <w:rFonts w:ascii="Cambria Math" w:hAnsi="Cambria Math"/>
                <w:sz w:val="24"/>
                <w:szCs w:val="24"/>
              </w:rPr>
              <m:t>k</m:t>
            </m:r>
          </m:e>
          <m:sub>
            <m:r>
              <w:rPr>
                <w:rFonts w:ascii="Cambria Math" w:hAnsi="Cambria Math"/>
                <w:sz w:val="24"/>
                <w:szCs w:val="24"/>
              </w:rPr>
              <m:t>S-Y-M</m:t>
            </m:r>
          </m:sub>
        </m:sSub>
      </m:oMath>
      <w:r w:rsidRPr="005552A5">
        <w:rPr>
          <w:sz w:val="22"/>
          <w:szCs w:val="22"/>
        </w:rPr>
        <w:t xml:space="preserve"> estimated for sample sizes of 60 and 70 observations. </w:t>
      </w:r>
    </w:p>
    <w:p w14:paraId="11D02428" w14:textId="77777777" w:rsidR="005E107C" w:rsidRPr="005552A5" w:rsidRDefault="005E107C" w:rsidP="005E107C">
      <w:pPr>
        <w:rPr>
          <w:sz w:val="22"/>
          <w:szCs w:val="22"/>
        </w:rPr>
      </w:pPr>
    </w:p>
    <w:tbl>
      <w:tblPr>
        <w:tblW w:w="0" w:type="auto"/>
        <w:tblCellMar>
          <w:left w:w="0" w:type="dxa"/>
          <w:right w:w="0" w:type="dxa"/>
        </w:tblCellMar>
        <w:tblLook w:val="04A0" w:firstRow="1" w:lastRow="0" w:firstColumn="1" w:lastColumn="0" w:noHBand="0" w:noVBand="1"/>
      </w:tblPr>
      <w:tblGrid>
        <w:gridCol w:w="1728"/>
        <w:gridCol w:w="702"/>
        <w:gridCol w:w="938"/>
        <w:gridCol w:w="1175"/>
      </w:tblGrid>
      <w:tr w:rsidR="005E107C" w:rsidRPr="005552A5" w14:paraId="16E598A7" w14:textId="77777777" w:rsidTr="008B05D5">
        <w:trPr>
          <w:trHeight w:val="300"/>
        </w:trPr>
        <w:tc>
          <w:tcPr>
            <w:tcW w:w="1728" w:type="dxa"/>
            <w:noWrap/>
            <w:tcMar>
              <w:top w:w="0" w:type="dxa"/>
              <w:left w:w="108" w:type="dxa"/>
              <w:bottom w:w="0" w:type="dxa"/>
              <w:right w:w="108" w:type="dxa"/>
            </w:tcMar>
            <w:vAlign w:val="bottom"/>
            <w:hideMark/>
          </w:tcPr>
          <w:p w14:paraId="7907D4EA" w14:textId="77777777" w:rsidR="005E107C" w:rsidRPr="005552A5" w:rsidRDefault="005E107C" w:rsidP="008B05D5">
            <w:pPr>
              <w:rPr>
                <w:sz w:val="22"/>
                <w:szCs w:val="22"/>
                <w:u w:val="single"/>
              </w:rPr>
            </w:pPr>
            <w:r w:rsidRPr="005552A5">
              <w:rPr>
                <w:sz w:val="22"/>
                <w:szCs w:val="22"/>
                <w:u w:val="single"/>
              </w:rPr>
              <w:t>Inequality</w:t>
            </w:r>
          </w:p>
        </w:tc>
        <w:tc>
          <w:tcPr>
            <w:tcW w:w="702" w:type="dxa"/>
            <w:noWrap/>
            <w:tcMar>
              <w:top w:w="0" w:type="dxa"/>
              <w:left w:w="108" w:type="dxa"/>
              <w:bottom w:w="0" w:type="dxa"/>
              <w:right w:w="108" w:type="dxa"/>
            </w:tcMar>
            <w:vAlign w:val="bottom"/>
            <w:hideMark/>
          </w:tcPr>
          <w:p w14:paraId="3C8012AA" w14:textId="1F95CE0F" w:rsidR="005E107C" w:rsidRPr="00472743" w:rsidRDefault="00472743" w:rsidP="008B05D5">
            <w:pPr>
              <w:jc w:val="center"/>
              <w:rPr>
                <w:sz w:val="22"/>
                <w:szCs w:val="22"/>
                <w:u w:val="single"/>
              </w:rPr>
            </w:pPr>
            <m:oMathPara>
              <m:oMath>
                <m:r>
                  <w:rPr>
                    <w:rFonts w:ascii="Cambria Math" w:hAnsi="Cambria Math"/>
                    <w:sz w:val="24"/>
                    <w:szCs w:val="24"/>
                    <w:u w:val="single"/>
                  </w:rPr>
                  <m:t>n</m:t>
                </m:r>
              </m:oMath>
            </m:oMathPara>
          </w:p>
        </w:tc>
        <w:tc>
          <w:tcPr>
            <w:tcW w:w="938" w:type="dxa"/>
            <w:noWrap/>
            <w:tcMar>
              <w:top w:w="0" w:type="dxa"/>
              <w:left w:w="108" w:type="dxa"/>
              <w:bottom w:w="0" w:type="dxa"/>
              <w:right w:w="108" w:type="dxa"/>
            </w:tcMar>
            <w:vAlign w:val="bottom"/>
            <w:hideMark/>
          </w:tcPr>
          <w:p w14:paraId="1858CEC4" w14:textId="1F34E028" w:rsidR="005E107C" w:rsidRPr="00472743" w:rsidRDefault="00472743" w:rsidP="008B05D5">
            <w:pPr>
              <w:jc w:val="center"/>
              <w:rPr>
                <w:sz w:val="22"/>
                <w:szCs w:val="22"/>
                <w:u w:val="single"/>
              </w:rPr>
            </w:pPr>
            <m:oMathPara>
              <m:oMath>
                <m:r>
                  <w:rPr>
                    <w:rFonts w:ascii="Cambria Math" w:hAnsi="Cambria Math"/>
                    <w:sz w:val="24"/>
                    <w:szCs w:val="24"/>
                    <w:u w:val="single"/>
                  </w:rPr>
                  <m:t>k</m:t>
                </m:r>
              </m:oMath>
            </m:oMathPara>
          </w:p>
        </w:tc>
        <w:tc>
          <w:tcPr>
            <w:tcW w:w="1175" w:type="dxa"/>
            <w:noWrap/>
            <w:tcMar>
              <w:top w:w="0" w:type="dxa"/>
              <w:left w:w="108" w:type="dxa"/>
              <w:bottom w:w="0" w:type="dxa"/>
              <w:right w:w="108" w:type="dxa"/>
            </w:tcMar>
            <w:vAlign w:val="bottom"/>
            <w:hideMark/>
          </w:tcPr>
          <w:p w14:paraId="2200E1DD" w14:textId="6510DCB9" w:rsidR="005E107C" w:rsidRPr="00472743" w:rsidRDefault="00C24BC3" w:rsidP="008B05D5">
            <w:pPr>
              <w:jc w:val="center"/>
              <w:rPr>
                <w:sz w:val="22"/>
                <w:szCs w:val="22"/>
                <w:u w:val="single"/>
              </w:rPr>
            </w:pPr>
            <m:oMathPara>
              <m:oMath>
                <m:f>
                  <m:fPr>
                    <m:ctrlPr>
                      <w:rPr>
                        <w:rFonts w:ascii="Cambria Math" w:eastAsia="Calibri" w:hAnsi="Cambria Math"/>
                        <w:i/>
                        <w:iCs/>
                        <w:sz w:val="24"/>
                        <w:szCs w:val="24"/>
                      </w:rPr>
                    </m:ctrlPr>
                  </m:fPr>
                  <m:num>
                    <m:sSub>
                      <m:sSubPr>
                        <m:ctrlPr>
                          <w:rPr>
                            <w:rFonts w:ascii="Cambria Math" w:eastAsia="Calibri" w:hAnsi="Cambria Math"/>
                            <w:i/>
                            <w:iCs/>
                            <w:sz w:val="24"/>
                            <w:szCs w:val="24"/>
                          </w:rPr>
                        </m:ctrlPr>
                      </m:sSubPr>
                      <m:e>
                        <m:r>
                          <w:rPr>
                            <w:rFonts w:ascii="Cambria Math" w:hAnsi="Cambria Math"/>
                            <w:sz w:val="24"/>
                            <w:szCs w:val="24"/>
                          </w:rPr>
                          <m:t>k</m:t>
                        </m:r>
                      </m:e>
                      <m:sub>
                        <m:r>
                          <w:rPr>
                            <w:rFonts w:ascii="Cambria Math" w:hAnsi="Cambria Math"/>
                            <w:sz w:val="24"/>
                            <w:szCs w:val="24"/>
                          </w:rPr>
                          <m:t>S-Y-M</m:t>
                        </m:r>
                      </m:sub>
                    </m:sSub>
                  </m:num>
                  <m:den>
                    <m:sSub>
                      <m:sSubPr>
                        <m:ctrlPr>
                          <w:rPr>
                            <w:rFonts w:ascii="Cambria Math" w:eastAsia="Calibri" w:hAnsi="Cambria Math"/>
                            <w:i/>
                            <w:iCs/>
                            <w:sz w:val="24"/>
                            <w:szCs w:val="24"/>
                          </w:rPr>
                        </m:ctrlPr>
                      </m:sSubPr>
                      <m:e>
                        <m:r>
                          <w:rPr>
                            <w:rFonts w:ascii="Cambria Math" w:hAnsi="Cambria Math"/>
                            <w:sz w:val="24"/>
                            <w:szCs w:val="24"/>
                          </w:rPr>
                          <m:t>k</m:t>
                        </m:r>
                      </m:e>
                      <m:sub>
                        <m:r>
                          <w:rPr>
                            <w:rFonts w:ascii="Cambria Math" w:hAnsi="Cambria Math"/>
                            <w:sz w:val="24"/>
                            <w:szCs w:val="24"/>
                          </w:rPr>
                          <m:t>C</m:t>
                        </m:r>
                      </m:sub>
                    </m:sSub>
                  </m:den>
                </m:f>
              </m:oMath>
            </m:oMathPara>
          </w:p>
        </w:tc>
      </w:tr>
      <w:tr w:rsidR="005E107C" w:rsidRPr="005552A5" w14:paraId="06B77F45" w14:textId="77777777" w:rsidTr="008B05D5">
        <w:trPr>
          <w:trHeight w:val="300"/>
        </w:trPr>
        <w:tc>
          <w:tcPr>
            <w:tcW w:w="1728" w:type="dxa"/>
            <w:noWrap/>
            <w:tcMar>
              <w:top w:w="0" w:type="dxa"/>
              <w:left w:w="108" w:type="dxa"/>
              <w:bottom w:w="0" w:type="dxa"/>
              <w:right w:w="108" w:type="dxa"/>
            </w:tcMar>
            <w:hideMark/>
          </w:tcPr>
          <w:p w14:paraId="011E0F72" w14:textId="77777777" w:rsidR="005E107C" w:rsidRPr="005552A5" w:rsidRDefault="005E107C" w:rsidP="008B05D5">
            <w:pPr>
              <w:rPr>
                <w:sz w:val="22"/>
                <w:szCs w:val="22"/>
              </w:rPr>
            </w:pPr>
            <w:r w:rsidRPr="005552A5">
              <w:rPr>
                <w:sz w:val="22"/>
                <w:szCs w:val="22"/>
              </w:rPr>
              <w:t>Chebyshev</w:t>
            </w:r>
          </w:p>
        </w:tc>
        <w:tc>
          <w:tcPr>
            <w:tcW w:w="702" w:type="dxa"/>
            <w:noWrap/>
            <w:tcMar>
              <w:top w:w="0" w:type="dxa"/>
              <w:left w:w="108" w:type="dxa"/>
              <w:bottom w:w="0" w:type="dxa"/>
              <w:right w:w="108" w:type="dxa"/>
            </w:tcMar>
            <w:hideMark/>
          </w:tcPr>
          <w:p w14:paraId="7943348B" w14:textId="77777777" w:rsidR="005E107C" w:rsidRPr="005552A5" w:rsidRDefault="005E107C" w:rsidP="008B05D5">
            <w:pPr>
              <w:jc w:val="center"/>
              <w:rPr>
                <w:sz w:val="22"/>
                <w:szCs w:val="22"/>
              </w:rPr>
            </w:pPr>
            <w:r w:rsidRPr="005552A5">
              <w:rPr>
                <w:sz w:val="22"/>
                <w:szCs w:val="22"/>
              </w:rPr>
              <w:t>Inf</w:t>
            </w:r>
          </w:p>
        </w:tc>
        <w:tc>
          <w:tcPr>
            <w:tcW w:w="938" w:type="dxa"/>
            <w:noWrap/>
            <w:tcMar>
              <w:top w:w="0" w:type="dxa"/>
              <w:left w:w="108" w:type="dxa"/>
              <w:bottom w:w="0" w:type="dxa"/>
              <w:right w:w="108" w:type="dxa"/>
            </w:tcMar>
            <w:hideMark/>
          </w:tcPr>
          <w:p w14:paraId="2243B82D" w14:textId="77777777" w:rsidR="005E107C" w:rsidRPr="005552A5" w:rsidRDefault="005E107C" w:rsidP="008B05D5">
            <w:pPr>
              <w:jc w:val="center"/>
              <w:rPr>
                <w:b/>
                <w:bCs/>
                <w:sz w:val="22"/>
                <w:szCs w:val="22"/>
              </w:rPr>
            </w:pPr>
            <w:r w:rsidRPr="005552A5">
              <w:rPr>
                <w:b/>
                <w:bCs/>
                <w:sz w:val="22"/>
                <w:szCs w:val="22"/>
              </w:rPr>
              <w:t>4.472</w:t>
            </w:r>
          </w:p>
        </w:tc>
        <w:tc>
          <w:tcPr>
            <w:tcW w:w="1175" w:type="dxa"/>
            <w:noWrap/>
            <w:tcMar>
              <w:top w:w="0" w:type="dxa"/>
              <w:left w:w="108" w:type="dxa"/>
              <w:bottom w:w="0" w:type="dxa"/>
              <w:right w:w="108" w:type="dxa"/>
            </w:tcMar>
            <w:hideMark/>
          </w:tcPr>
          <w:p w14:paraId="1AFD6925" w14:textId="77777777" w:rsidR="005E107C" w:rsidRPr="005552A5" w:rsidRDefault="005E107C" w:rsidP="008B05D5">
            <w:pPr>
              <w:jc w:val="center"/>
              <w:rPr>
                <w:b/>
                <w:bCs/>
                <w:sz w:val="22"/>
                <w:szCs w:val="22"/>
              </w:rPr>
            </w:pPr>
            <w:r>
              <w:rPr>
                <w:b/>
                <w:bCs/>
                <w:sz w:val="22"/>
                <w:szCs w:val="22"/>
              </w:rPr>
              <w:t>Ref</w:t>
            </w:r>
          </w:p>
        </w:tc>
      </w:tr>
      <w:tr w:rsidR="005E107C" w:rsidRPr="005552A5" w14:paraId="110B6E6B" w14:textId="77777777" w:rsidTr="008B05D5">
        <w:trPr>
          <w:trHeight w:hRule="exact" w:val="144"/>
        </w:trPr>
        <w:tc>
          <w:tcPr>
            <w:tcW w:w="1728" w:type="dxa"/>
            <w:noWrap/>
            <w:tcMar>
              <w:top w:w="0" w:type="dxa"/>
              <w:left w:w="108" w:type="dxa"/>
              <w:bottom w:w="0" w:type="dxa"/>
              <w:right w:w="108" w:type="dxa"/>
            </w:tcMar>
          </w:tcPr>
          <w:p w14:paraId="489A30D7" w14:textId="77777777" w:rsidR="005E107C" w:rsidRPr="005552A5" w:rsidRDefault="005E107C" w:rsidP="008B05D5">
            <w:pPr>
              <w:rPr>
                <w:sz w:val="22"/>
                <w:szCs w:val="22"/>
              </w:rPr>
            </w:pPr>
          </w:p>
        </w:tc>
        <w:tc>
          <w:tcPr>
            <w:tcW w:w="702" w:type="dxa"/>
            <w:noWrap/>
            <w:tcMar>
              <w:top w:w="0" w:type="dxa"/>
              <w:left w:w="108" w:type="dxa"/>
              <w:bottom w:w="0" w:type="dxa"/>
              <w:right w:w="108" w:type="dxa"/>
            </w:tcMar>
          </w:tcPr>
          <w:p w14:paraId="5E50797A" w14:textId="77777777" w:rsidR="005E107C" w:rsidRPr="005552A5" w:rsidRDefault="005E107C" w:rsidP="008B05D5">
            <w:pPr>
              <w:jc w:val="center"/>
              <w:rPr>
                <w:sz w:val="22"/>
                <w:szCs w:val="22"/>
              </w:rPr>
            </w:pPr>
          </w:p>
        </w:tc>
        <w:tc>
          <w:tcPr>
            <w:tcW w:w="938" w:type="dxa"/>
            <w:noWrap/>
            <w:tcMar>
              <w:top w:w="0" w:type="dxa"/>
              <w:left w:w="108" w:type="dxa"/>
              <w:bottom w:w="0" w:type="dxa"/>
              <w:right w:w="108" w:type="dxa"/>
            </w:tcMar>
          </w:tcPr>
          <w:p w14:paraId="50512133" w14:textId="77777777" w:rsidR="005E107C" w:rsidRPr="005552A5" w:rsidRDefault="005E107C" w:rsidP="008B05D5">
            <w:pPr>
              <w:jc w:val="center"/>
              <w:rPr>
                <w:b/>
                <w:bCs/>
                <w:sz w:val="22"/>
                <w:szCs w:val="22"/>
              </w:rPr>
            </w:pPr>
          </w:p>
        </w:tc>
        <w:tc>
          <w:tcPr>
            <w:tcW w:w="1175" w:type="dxa"/>
            <w:noWrap/>
            <w:tcMar>
              <w:top w:w="0" w:type="dxa"/>
              <w:left w:w="108" w:type="dxa"/>
              <w:bottom w:w="0" w:type="dxa"/>
              <w:right w:w="108" w:type="dxa"/>
            </w:tcMar>
          </w:tcPr>
          <w:p w14:paraId="5373803C" w14:textId="77777777" w:rsidR="005E107C" w:rsidRPr="005552A5" w:rsidRDefault="005E107C" w:rsidP="008B05D5">
            <w:pPr>
              <w:jc w:val="center"/>
              <w:rPr>
                <w:b/>
                <w:bCs/>
                <w:sz w:val="22"/>
                <w:szCs w:val="22"/>
              </w:rPr>
            </w:pPr>
          </w:p>
        </w:tc>
      </w:tr>
      <w:tr w:rsidR="005E107C" w:rsidRPr="005552A5" w14:paraId="54B7A85B" w14:textId="77777777" w:rsidTr="008B05D5">
        <w:trPr>
          <w:trHeight w:val="300"/>
        </w:trPr>
        <w:tc>
          <w:tcPr>
            <w:tcW w:w="1728" w:type="dxa"/>
            <w:noWrap/>
            <w:tcMar>
              <w:top w:w="0" w:type="dxa"/>
              <w:left w:w="108" w:type="dxa"/>
              <w:bottom w:w="0" w:type="dxa"/>
              <w:right w:w="108" w:type="dxa"/>
            </w:tcMar>
            <w:hideMark/>
          </w:tcPr>
          <w:p w14:paraId="7E97B291" w14:textId="77777777" w:rsidR="005E107C" w:rsidRPr="005552A5" w:rsidRDefault="005E107C" w:rsidP="008B05D5">
            <w:pPr>
              <w:rPr>
                <w:sz w:val="22"/>
                <w:szCs w:val="22"/>
                <w:lang w:val="en"/>
              </w:rPr>
            </w:pPr>
            <w:r w:rsidRPr="005552A5">
              <w:rPr>
                <w:sz w:val="22"/>
                <w:szCs w:val="22"/>
                <w:lang w:val="en"/>
              </w:rPr>
              <w:t>Saw–Yang–Mo</w:t>
            </w:r>
          </w:p>
        </w:tc>
        <w:tc>
          <w:tcPr>
            <w:tcW w:w="702" w:type="dxa"/>
            <w:noWrap/>
            <w:tcMar>
              <w:top w:w="0" w:type="dxa"/>
              <w:left w:w="108" w:type="dxa"/>
              <w:bottom w:w="0" w:type="dxa"/>
              <w:right w:w="108" w:type="dxa"/>
            </w:tcMar>
            <w:hideMark/>
          </w:tcPr>
          <w:p w14:paraId="1CAA719E" w14:textId="77777777" w:rsidR="005E107C" w:rsidRPr="005552A5" w:rsidRDefault="005E107C" w:rsidP="008B05D5">
            <w:pPr>
              <w:jc w:val="center"/>
              <w:rPr>
                <w:sz w:val="22"/>
                <w:szCs w:val="22"/>
              </w:rPr>
            </w:pPr>
            <w:r w:rsidRPr="005552A5">
              <w:rPr>
                <w:sz w:val="22"/>
                <w:szCs w:val="22"/>
              </w:rPr>
              <w:t>60</w:t>
            </w:r>
          </w:p>
        </w:tc>
        <w:tc>
          <w:tcPr>
            <w:tcW w:w="938" w:type="dxa"/>
            <w:noWrap/>
            <w:tcMar>
              <w:top w:w="0" w:type="dxa"/>
              <w:left w:w="108" w:type="dxa"/>
              <w:bottom w:w="0" w:type="dxa"/>
              <w:right w:w="108" w:type="dxa"/>
            </w:tcMar>
            <w:hideMark/>
          </w:tcPr>
          <w:p w14:paraId="51D58780" w14:textId="77777777" w:rsidR="005E107C" w:rsidRPr="005552A5" w:rsidRDefault="005E107C" w:rsidP="008B05D5">
            <w:pPr>
              <w:jc w:val="center"/>
              <w:rPr>
                <w:sz w:val="22"/>
                <w:szCs w:val="22"/>
              </w:rPr>
            </w:pPr>
            <w:r w:rsidRPr="005552A5">
              <w:rPr>
                <w:sz w:val="22"/>
                <w:szCs w:val="22"/>
              </w:rPr>
              <w:t>4.521</w:t>
            </w:r>
          </w:p>
        </w:tc>
        <w:tc>
          <w:tcPr>
            <w:tcW w:w="1175" w:type="dxa"/>
            <w:noWrap/>
            <w:tcMar>
              <w:top w:w="0" w:type="dxa"/>
              <w:left w:w="108" w:type="dxa"/>
              <w:bottom w:w="0" w:type="dxa"/>
              <w:right w:w="108" w:type="dxa"/>
            </w:tcMar>
            <w:hideMark/>
          </w:tcPr>
          <w:p w14:paraId="07BC0FD2" w14:textId="77777777" w:rsidR="005E107C" w:rsidRPr="005552A5" w:rsidRDefault="005E107C" w:rsidP="008B05D5">
            <w:pPr>
              <w:jc w:val="center"/>
              <w:rPr>
                <w:sz w:val="22"/>
                <w:szCs w:val="22"/>
              </w:rPr>
            </w:pPr>
            <w:r w:rsidRPr="005552A5">
              <w:rPr>
                <w:sz w:val="22"/>
                <w:szCs w:val="22"/>
              </w:rPr>
              <w:t>1.011</w:t>
            </w:r>
          </w:p>
        </w:tc>
      </w:tr>
      <w:tr w:rsidR="005E107C" w:rsidRPr="005552A5" w14:paraId="044B547C" w14:textId="77777777" w:rsidTr="008B05D5">
        <w:trPr>
          <w:trHeight w:val="300"/>
        </w:trPr>
        <w:tc>
          <w:tcPr>
            <w:tcW w:w="1728" w:type="dxa"/>
            <w:noWrap/>
            <w:tcMar>
              <w:top w:w="0" w:type="dxa"/>
              <w:left w:w="108" w:type="dxa"/>
              <w:bottom w:w="0" w:type="dxa"/>
              <w:right w:w="108" w:type="dxa"/>
            </w:tcMar>
          </w:tcPr>
          <w:p w14:paraId="24C28653" w14:textId="77777777" w:rsidR="005E107C" w:rsidRPr="005552A5" w:rsidRDefault="005E107C" w:rsidP="008B05D5">
            <w:pPr>
              <w:rPr>
                <w:i/>
                <w:iCs/>
                <w:sz w:val="22"/>
                <w:szCs w:val="22"/>
                <w:lang w:val="en"/>
              </w:rPr>
            </w:pPr>
          </w:p>
        </w:tc>
        <w:tc>
          <w:tcPr>
            <w:tcW w:w="702" w:type="dxa"/>
            <w:noWrap/>
            <w:tcMar>
              <w:top w:w="0" w:type="dxa"/>
              <w:left w:w="108" w:type="dxa"/>
              <w:bottom w:w="0" w:type="dxa"/>
              <w:right w:w="108" w:type="dxa"/>
            </w:tcMar>
            <w:hideMark/>
          </w:tcPr>
          <w:p w14:paraId="55A7DAC5" w14:textId="77777777" w:rsidR="005E107C" w:rsidRPr="005552A5" w:rsidRDefault="005E107C" w:rsidP="008B05D5">
            <w:pPr>
              <w:jc w:val="center"/>
              <w:rPr>
                <w:sz w:val="22"/>
                <w:szCs w:val="22"/>
              </w:rPr>
            </w:pPr>
            <w:r w:rsidRPr="005552A5">
              <w:rPr>
                <w:sz w:val="22"/>
                <w:szCs w:val="22"/>
              </w:rPr>
              <w:t>64</w:t>
            </w:r>
          </w:p>
        </w:tc>
        <w:tc>
          <w:tcPr>
            <w:tcW w:w="938" w:type="dxa"/>
            <w:noWrap/>
            <w:tcMar>
              <w:top w:w="0" w:type="dxa"/>
              <w:left w:w="108" w:type="dxa"/>
              <w:bottom w:w="0" w:type="dxa"/>
              <w:right w:w="108" w:type="dxa"/>
            </w:tcMar>
            <w:hideMark/>
          </w:tcPr>
          <w:p w14:paraId="23808F62" w14:textId="77777777" w:rsidR="005E107C" w:rsidRPr="005552A5" w:rsidRDefault="005E107C" w:rsidP="008B05D5">
            <w:pPr>
              <w:jc w:val="center"/>
              <w:rPr>
                <w:sz w:val="22"/>
                <w:szCs w:val="22"/>
              </w:rPr>
            </w:pPr>
            <w:r w:rsidRPr="005552A5">
              <w:rPr>
                <w:sz w:val="22"/>
                <w:szCs w:val="22"/>
              </w:rPr>
              <w:t>4.667</w:t>
            </w:r>
          </w:p>
        </w:tc>
        <w:tc>
          <w:tcPr>
            <w:tcW w:w="1175" w:type="dxa"/>
            <w:noWrap/>
            <w:tcMar>
              <w:top w:w="0" w:type="dxa"/>
              <w:left w:w="108" w:type="dxa"/>
              <w:bottom w:w="0" w:type="dxa"/>
              <w:right w:w="108" w:type="dxa"/>
            </w:tcMar>
            <w:hideMark/>
          </w:tcPr>
          <w:p w14:paraId="160977F3" w14:textId="77777777" w:rsidR="005E107C" w:rsidRPr="005552A5" w:rsidRDefault="005E107C" w:rsidP="008B05D5">
            <w:pPr>
              <w:jc w:val="center"/>
              <w:rPr>
                <w:sz w:val="22"/>
                <w:szCs w:val="22"/>
              </w:rPr>
            </w:pPr>
            <w:r w:rsidRPr="005552A5">
              <w:rPr>
                <w:sz w:val="22"/>
                <w:szCs w:val="22"/>
              </w:rPr>
              <w:t>1.044</w:t>
            </w:r>
          </w:p>
        </w:tc>
      </w:tr>
      <w:tr w:rsidR="005E107C" w:rsidRPr="005552A5" w14:paraId="61B3F603" w14:textId="77777777" w:rsidTr="008B05D5">
        <w:trPr>
          <w:trHeight w:val="300"/>
        </w:trPr>
        <w:tc>
          <w:tcPr>
            <w:tcW w:w="1728" w:type="dxa"/>
            <w:noWrap/>
            <w:tcMar>
              <w:top w:w="0" w:type="dxa"/>
              <w:left w:w="108" w:type="dxa"/>
              <w:bottom w:w="0" w:type="dxa"/>
              <w:right w:w="108" w:type="dxa"/>
            </w:tcMar>
            <w:hideMark/>
          </w:tcPr>
          <w:p w14:paraId="58F4DD28" w14:textId="77777777" w:rsidR="005E107C" w:rsidRPr="005552A5" w:rsidRDefault="005E107C" w:rsidP="008B05D5">
            <w:pPr>
              <w:rPr>
                <w:sz w:val="22"/>
                <w:szCs w:val="22"/>
              </w:rPr>
            </w:pPr>
          </w:p>
        </w:tc>
        <w:tc>
          <w:tcPr>
            <w:tcW w:w="702" w:type="dxa"/>
            <w:noWrap/>
            <w:tcMar>
              <w:top w:w="0" w:type="dxa"/>
              <w:left w:w="108" w:type="dxa"/>
              <w:bottom w:w="0" w:type="dxa"/>
              <w:right w:w="108" w:type="dxa"/>
            </w:tcMar>
            <w:hideMark/>
          </w:tcPr>
          <w:p w14:paraId="44D525A4" w14:textId="77777777" w:rsidR="005E107C" w:rsidRPr="005552A5" w:rsidRDefault="005E107C" w:rsidP="008B05D5">
            <w:pPr>
              <w:jc w:val="center"/>
              <w:rPr>
                <w:rFonts w:ascii="Calibri" w:eastAsia="Calibri" w:hAnsi="Calibri"/>
                <w:sz w:val="22"/>
                <w:szCs w:val="22"/>
              </w:rPr>
            </w:pPr>
            <w:r w:rsidRPr="005552A5">
              <w:rPr>
                <w:sz w:val="22"/>
                <w:szCs w:val="22"/>
              </w:rPr>
              <w:t>70</w:t>
            </w:r>
          </w:p>
        </w:tc>
        <w:tc>
          <w:tcPr>
            <w:tcW w:w="938" w:type="dxa"/>
            <w:noWrap/>
            <w:tcMar>
              <w:top w:w="0" w:type="dxa"/>
              <w:left w:w="108" w:type="dxa"/>
              <w:bottom w:w="0" w:type="dxa"/>
              <w:right w:w="108" w:type="dxa"/>
            </w:tcMar>
            <w:hideMark/>
          </w:tcPr>
          <w:p w14:paraId="4011E3D0" w14:textId="77777777" w:rsidR="005E107C" w:rsidRPr="005552A5" w:rsidRDefault="005E107C" w:rsidP="008B05D5">
            <w:pPr>
              <w:jc w:val="center"/>
              <w:rPr>
                <w:sz w:val="22"/>
                <w:szCs w:val="22"/>
              </w:rPr>
            </w:pPr>
            <w:r w:rsidRPr="005552A5">
              <w:rPr>
                <w:sz w:val="22"/>
                <w:szCs w:val="22"/>
              </w:rPr>
              <w:t>4.876</w:t>
            </w:r>
          </w:p>
        </w:tc>
        <w:tc>
          <w:tcPr>
            <w:tcW w:w="1175" w:type="dxa"/>
            <w:noWrap/>
            <w:tcMar>
              <w:top w:w="0" w:type="dxa"/>
              <w:left w:w="108" w:type="dxa"/>
              <w:bottom w:w="0" w:type="dxa"/>
              <w:right w:w="108" w:type="dxa"/>
            </w:tcMar>
            <w:hideMark/>
          </w:tcPr>
          <w:p w14:paraId="095D773C" w14:textId="77777777" w:rsidR="005E107C" w:rsidRPr="005552A5" w:rsidRDefault="005E107C" w:rsidP="008B05D5">
            <w:pPr>
              <w:jc w:val="center"/>
              <w:rPr>
                <w:sz w:val="22"/>
                <w:szCs w:val="22"/>
              </w:rPr>
            </w:pPr>
            <w:r w:rsidRPr="005552A5">
              <w:rPr>
                <w:sz w:val="22"/>
                <w:szCs w:val="22"/>
              </w:rPr>
              <w:t>1.090</w:t>
            </w:r>
          </w:p>
        </w:tc>
      </w:tr>
    </w:tbl>
    <w:p w14:paraId="4FF1BA4A" w14:textId="77777777" w:rsidR="005E107C" w:rsidRPr="005552A5" w:rsidRDefault="005E107C" w:rsidP="005E107C">
      <w:pPr>
        <w:rPr>
          <w:rFonts w:ascii="Calibri" w:eastAsia="Calibri" w:hAnsi="Calibri"/>
          <w:sz w:val="22"/>
          <w:szCs w:val="22"/>
        </w:rPr>
      </w:pPr>
    </w:p>
    <w:p w14:paraId="078483A0" w14:textId="77777777" w:rsidR="005E107C" w:rsidRPr="005552A5" w:rsidRDefault="005E107C" w:rsidP="005E107C">
      <w:pPr>
        <w:rPr>
          <w:sz w:val="22"/>
          <w:szCs w:val="22"/>
        </w:rPr>
      </w:pPr>
      <w:r w:rsidRPr="005552A5">
        <w:rPr>
          <w:sz w:val="22"/>
          <w:szCs w:val="22"/>
        </w:rPr>
        <w:t xml:space="preserve">In summary, </w:t>
      </w:r>
      <w:r w:rsidRPr="005552A5">
        <w:rPr>
          <w:i/>
          <w:iCs/>
          <w:sz w:val="22"/>
          <w:szCs w:val="22"/>
        </w:rPr>
        <w:t>ceteris paribus</w:t>
      </w:r>
      <w:r w:rsidRPr="005552A5">
        <w:rPr>
          <w:sz w:val="22"/>
          <w:szCs w:val="22"/>
        </w:rPr>
        <w:t xml:space="preserve"> an observational field </w:t>
      </w:r>
      <w:r w:rsidR="00BA6ADF">
        <w:rPr>
          <w:sz w:val="22"/>
          <w:szCs w:val="22"/>
        </w:rPr>
        <w:t>measurement</w:t>
      </w:r>
      <w:r w:rsidR="00BA6ADF" w:rsidRPr="005552A5">
        <w:rPr>
          <w:sz w:val="22"/>
          <w:szCs w:val="22"/>
        </w:rPr>
        <w:t xml:space="preserve"> </w:t>
      </w:r>
      <w:r w:rsidRPr="005552A5">
        <w:rPr>
          <w:sz w:val="22"/>
          <w:szCs w:val="22"/>
        </w:rPr>
        <w:t>study with a finite sample size of 64 observations has approximately 4.4 percent less accuracy than a simulation study</w:t>
      </w:r>
      <w:r>
        <w:rPr>
          <w:sz w:val="22"/>
          <w:szCs w:val="22"/>
        </w:rPr>
        <w:t xml:space="preserve"> </w:t>
      </w:r>
      <w:r w:rsidRPr="0050566F">
        <w:rPr>
          <w:sz w:val="22"/>
          <w:szCs w:val="22"/>
        </w:rPr>
        <w:t>like the SHEDS model</w:t>
      </w:r>
      <w:r>
        <w:rPr>
          <w:sz w:val="22"/>
          <w:szCs w:val="22"/>
        </w:rPr>
        <w:t xml:space="preserve"> </w:t>
      </w:r>
      <w:r w:rsidRPr="0050566F">
        <w:rPr>
          <w:sz w:val="22"/>
          <w:szCs w:val="22"/>
        </w:rPr>
        <w:t xml:space="preserve">with a sample size of </w:t>
      </w:r>
      <w:r>
        <w:rPr>
          <w:sz w:val="22"/>
          <w:szCs w:val="22"/>
        </w:rPr>
        <w:t>≥</w:t>
      </w:r>
      <w:r w:rsidRPr="0050566F">
        <w:rPr>
          <w:sz w:val="22"/>
          <w:szCs w:val="22"/>
        </w:rPr>
        <w:t xml:space="preserve">100 observations </w:t>
      </w:r>
      <w:r>
        <w:rPr>
          <w:sz w:val="22"/>
          <w:szCs w:val="22"/>
        </w:rPr>
        <w:t>aimed at estimating the same mean and standard deviation</w:t>
      </w:r>
      <w:r w:rsidRPr="005552A5">
        <w:rPr>
          <w:sz w:val="22"/>
          <w:szCs w:val="22"/>
        </w:rPr>
        <w:t>.</w:t>
      </w:r>
    </w:p>
    <w:p w14:paraId="61B5BBD0" w14:textId="77777777" w:rsidR="005E107C" w:rsidRPr="003D4BAF" w:rsidRDefault="005E107C" w:rsidP="005E107C">
      <w:pPr>
        <w:pStyle w:val="NoSpacing"/>
        <w:rPr>
          <w:rFonts w:ascii="Times New Roman" w:hAnsi="Times New Roman"/>
        </w:rPr>
      </w:pPr>
    </w:p>
    <w:p w14:paraId="13F313A7" w14:textId="77777777" w:rsidR="005E107C" w:rsidRPr="000C12FC" w:rsidRDefault="005E107C" w:rsidP="005E107C">
      <w:pPr>
        <w:pStyle w:val="NoSpacing"/>
        <w:rPr>
          <w:rFonts w:ascii="Times New Roman" w:hAnsi="Times New Roman"/>
        </w:rPr>
      </w:pPr>
      <w:r w:rsidRPr="000C12FC">
        <w:rPr>
          <w:rFonts w:ascii="Times New Roman" w:hAnsi="Times New Roman"/>
        </w:rPr>
        <w:t xml:space="preserve">From the activity survey results (questionnaire/accelerometer/GPS), descriptive statistics of reported time spent in microenvironments and activities will be calculated. In addition, GPS-based time spent in microenvironments will be calculated using EPA’s MicroTrac model (Breen et al., 2014) and compared with the survey results as in Breen et al. (2014). </w:t>
      </w:r>
    </w:p>
    <w:p w14:paraId="6F45A629" w14:textId="77777777" w:rsidR="005E107C" w:rsidRPr="000C12FC" w:rsidRDefault="005E107C" w:rsidP="005E107C">
      <w:pPr>
        <w:pStyle w:val="NoSpacing"/>
        <w:rPr>
          <w:rFonts w:ascii="Times New Roman" w:hAnsi="Times New Roman"/>
        </w:rPr>
      </w:pPr>
    </w:p>
    <w:p w14:paraId="5E047172" w14:textId="25A5E380" w:rsidR="005E107C" w:rsidRPr="000C12FC" w:rsidRDefault="005E107C" w:rsidP="005E107C">
      <w:pPr>
        <w:pStyle w:val="NoSpacing"/>
        <w:rPr>
          <w:rFonts w:ascii="Times New Roman" w:hAnsi="Times New Roman"/>
        </w:rPr>
      </w:pPr>
      <w:r w:rsidRPr="000C12FC">
        <w:rPr>
          <w:rFonts w:ascii="Times New Roman" w:hAnsi="Times New Roman"/>
        </w:rPr>
        <w:t>For example, to evaluate objective 2, EPA and CDC will use the Add-on Study data to explore how the use of these metrics may enhance the understanding of relationships between environmental exposures, time activity/location information, and asthma in the main GHS. The Add-on Study metrics, including the additional environmental measures and activity information, could be additional explanatory variables for asthma or could modify relationships for variables already collected in the main GHS. A goal of this evaluation is to identify which metrics may be candidates for incorporation into the full protocol at future GHS</w:t>
      </w:r>
      <w:r w:rsidRPr="000B1D96">
        <w:rPr>
          <w:rFonts w:ascii="Times New Roman" w:hAnsi="Times New Roman"/>
        </w:rPr>
        <w:t xml:space="preserve"> sites</w:t>
      </w:r>
      <w:r w:rsidRPr="000C12FC">
        <w:rPr>
          <w:rFonts w:ascii="Times New Roman" w:hAnsi="Times New Roman"/>
        </w:rPr>
        <w:t>. Data quality (e.g., percent completion or detected, accuracy, precision) will be assessed to help make decisions on more complex statistical analyses that can be conducted with the available data. A key limitation will be the relatively small sample size at the single study site. While this exploratory analysis may be suggestive of relationships, there may not be sufficient statistical power for desired levels of confidence.</w:t>
      </w:r>
      <w:r w:rsidR="00BA6ADF">
        <w:rPr>
          <w:rFonts w:ascii="Times New Roman" w:hAnsi="Times New Roman"/>
        </w:rPr>
        <w:t xml:space="preserve"> </w:t>
      </w:r>
      <w:r w:rsidRPr="00BA6ADF">
        <w:rPr>
          <w:rFonts w:ascii="Times New Roman" w:hAnsi="Times New Roman"/>
        </w:rPr>
        <w:t xml:space="preserve">However, this exploratory analysis may inform decision-making regarding incorporation of alternative measurement methods (as described in </w:t>
      </w:r>
      <w:r w:rsidR="002F1FF5">
        <w:rPr>
          <w:rFonts w:ascii="Times New Roman" w:hAnsi="Times New Roman"/>
          <w:b/>
        </w:rPr>
        <w:t>S</w:t>
      </w:r>
      <w:r w:rsidRPr="000C12FC">
        <w:rPr>
          <w:rFonts w:ascii="Times New Roman" w:hAnsi="Times New Roman"/>
          <w:b/>
        </w:rPr>
        <w:t>ection B.4</w:t>
      </w:r>
      <w:r w:rsidRPr="000C12FC">
        <w:rPr>
          <w:rFonts w:ascii="Times New Roman" w:hAnsi="Times New Roman"/>
        </w:rPr>
        <w:t xml:space="preserve">) into future sites of the main GHS.  </w:t>
      </w:r>
    </w:p>
    <w:p w14:paraId="6B811AAC" w14:textId="77777777" w:rsidR="005E107C" w:rsidRPr="000C12FC" w:rsidRDefault="005E107C" w:rsidP="005E107C">
      <w:pPr>
        <w:pStyle w:val="NoSpacing"/>
      </w:pPr>
    </w:p>
    <w:p w14:paraId="52E926C7" w14:textId="5FDEDA6D" w:rsidR="005E107C" w:rsidRPr="00C24BC3" w:rsidRDefault="005E107C" w:rsidP="000B1D96">
      <w:pPr>
        <w:pStyle w:val="NoSpacing"/>
      </w:pPr>
      <w:r w:rsidRPr="000C12FC">
        <w:rPr>
          <w:rFonts w:ascii="Times New Roman" w:hAnsi="Times New Roman"/>
        </w:rPr>
        <w:t>In regards to the time-activity/location information being collected (via questionnaire, accelerometer, GPS),</w:t>
      </w:r>
      <w:r w:rsidRPr="000B1D96">
        <w:rPr>
          <w:rFonts w:ascii="Times New Roman" w:hAnsi="Times New Roman"/>
        </w:rPr>
        <w:t xml:space="preserve"> differences </w:t>
      </w:r>
      <w:r w:rsidRPr="000C12FC">
        <w:rPr>
          <w:rFonts w:ascii="Times New Roman" w:hAnsi="Times New Roman"/>
        </w:rPr>
        <w:t xml:space="preserve">among age groups and genders for both survey and GPS results will be quantified and tested using appropriate parametric or non-parametric techniques. These </w:t>
      </w:r>
      <w:r w:rsidRPr="000B1D96">
        <w:rPr>
          <w:rFonts w:ascii="Times New Roman" w:hAnsi="Times New Roman"/>
        </w:rPr>
        <w:t xml:space="preserve">comparisons </w:t>
      </w:r>
      <w:r w:rsidRPr="000C12FC">
        <w:rPr>
          <w:rFonts w:ascii="Times New Roman" w:hAnsi="Times New Roman"/>
        </w:rPr>
        <w:t xml:space="preserve">will help EPA and CDC evaluate whether electronic time-activity/location information collection can supplant activity </w:t>
      </w:r>
      <w:r w:rsidRPr="000C12FC">
        <w:rPr>
          <w:rFonts w:ascii="Times New Roman" w:hAnsi="Times New Roman"/>
        </w:rPr>
        <w:lastRenderedPageBreak/>
        <w:t>diaries. Specifically, an analysis of Q3-15 in combination with the accelerometer and GPS data will generate comparisons between questionnaire responses and electronic information capture</w:t>
      </w:r>
      <w:r w:rsidRPr="000B1D96">
        <w:rPr>
          <w:rFonts w:ascii="Times New Roman" w:hAnsi="Times New Roman"/>
        </w:rPr>
        <w:t>.</w:t>
      </w:r>
    </w:p>
    <w:p w14:paraId="55818884" w14:textId="77777777" w:rsidR="00FD46BF" w:rsidRPr="00E0735A" w:rsidRDefault="00FD46BF" w:rsidP="000B1D96">
      <w:pPr>
        <w:pStyle w:val="NoSpacing"/>
      </w:pPr>
    </w:p>
    <w:p w14:paraId="655F2331" w14:textId="5A9C5A39" w:rsidR="003C561D" w:rsidRPr="00C32D67" w:rsidRDefault="003C561D" w:rsidP="003C561D">
      <w:pPr>
        <w:pStyle w:val="NoSpacing"/>
        <w:rPr>
          <w:rFonts w:ascii="Times New Roman" w:hAnsi="Times New Roman"/>
        </w:rPr>
      </w:pPr>
      <w:r w:rsidRPr="00C32D67">
        <w:rPr>
          <w:rFonts w:ascii="Times New Roman" w:hAnsi="Times New Roman"/>
        </w:rPr>
        <w:t>Listed below are specific data analysis plans for f</w:t>
      </w:r>
      <w:r w:rsidR="00BA6ADF">
        <w:rPr>
          <w:rFonts w:ascii="Times New Roman" w:hAnsi="Times New Roman"/>
        </w:rPr>
        <w:t>ive</w:t>
      </w:r>
      <w:r w:rsidRPr="00C32D67">
        <w:rPr>
          <w:rFonts w:ascii="Times New Roman" w:hAnsi="Times New Roman"/>
        </w:rPr>
        <w:t xml:space="preserve"> of the</w:t>
      </w:r>
      <w:r w:rsidR="00BA6ADF">
        <w:rPr>
          <w:rFonts w:ascii="Times New Roman" w:hAnsi="Times New Roman"/>
        </w:rPr>
        <w:t xml:space="preserve"> sub-objectives associated with overarching objective 1</w:t>
      </w:r>
      <w:r w:rsidRPr="00C32D67">
        <w:rPr>
          <w:rFonts w:ascii="Times New Roman" w:hAnsi="Times New Roman"/>
        </w:rPr>
        <w:t>.</w:t>
      </w:r>
    </w:p>
    <w:p w14:paraId="0DD5F694" w14:textId="77777777" w:rsidR="003C561D" w:rsidRPr="00C32D67" w:rsidRDefault="003C561D" w:rsidP="003C561D">
      <w:pPr>
        <w:pStyle w:val="NoSpacing"/>
        <w:rPr>
          <w:rFonts w:ascii="Times New Roman" w:hAnsi="Times New Roman"/>
        </w:rPr>
      </w:pPr>
    </w:p>
    <w:p w14:paraId="64615532" w14:textId="77777777" w:rsidR="003C561D" w:rsidRPr="00C32D67" w:rsidRDefault="003C561D" w:rsidP="00472743">
      <w:pPr>
        <w:pStyle w:val="NoSpacing"/>
        <w:numPr>
          <w:ilvl w:val="0"/>
          <w:numId w:val="28"/>
        </w:numPr>
        <w:rPr>
          <w:rFonts w:ascii="Times New Roman" w:hAnsi="Times New Roman"/>
          <w:b/>
        </w:rPr>
      </w:pPr>
      <w:r w:rsidRPr="00C32D67">
        <w:rPr>
          <w:rFonts w:ascii="Times New Roman" w:hAnsi="Times New Roman"/>
          <w:b/>
        </w:rPr>
        <w:t>Assess factors affecting children’s exposures to chemical ingredients from consumer products found in their everyday environment in order to support the data and modeling needs of the exposure components of EPA’s national research programs</w:t>
      </w:r>
    </w:p>
    <w:p w14:paraId="050E394F" w14:textId="77777777" w:rsidR="003C561D" w:rsidRPr="00C32D67" w:rsidRDefault="003C561D" w:rsidP="003C561D">
      <w:pPr>
        <w:pStyle w:val="NoSpacing"/>
        <w:rPr>
          <w:rFonts w:ascii="Times New Roman" w:hAnsi="Times New Roman"/>
          <w:sz w:val="24"/>
          <w:szCs w:val="24"/>
        </w:rPr>
      </w:pPr>
    </w:p>
    <w:p w14:paraId="0DB92C85" w14:textId="3B521B9C" w:rsidR="003C561D" w:rsidRPr="00C32D67" w:rsidRDefault="003C561D" w:rsidP="003C561D">
      <w:pPr>
        <w:pStyle w:val="NoSpacing"/>
        <w:rPr>
          <w:rFonts w:ascii="Times New Roman" w:hAnsi="Times New Roman"/>
        </w:rPr>
      </w:pPr>
      <w:r w:rsidRPr="00C32D67">
        <w:rPr>
          <w:rFonts w:ascii="Times New Roman" w:hAnsi="Times New Roman"/>
        </w:rPr>
        <w:t xml:space="preserve">Descriptive statistics will be compiled for measurement and survey data to identify variables with sufficient measurable results and to evaluate variability. Spearman/Pearson correlation analyses will be performed to elucidate potential associations within the data. The power calculation described above is relevant for this objective (Equation 1).    </w:t>
      </w:r>
    </w:p>
    <w:p w14:paraId="13EDB33A" w14:textId="77777777" w:rsidR="003C561D" w:rsidRPr="00C32D67" w:rsidRDefault="003C561D" w:rsidP="003C561D">
      <w:pPr>
        <w:pStyle w:val="NoSpacing"/>
        <w:rPr>
          <w:rFonts w:ascii="Times New Roman" w:hAnsi="Times New Roman"/>
          <w:sz w:val="24"/>
          <w:szCs w:val="24"/>
        </w:rPr>
      </w:pPr>
    </w:p>
    <w:p w14:paraId="2101616F" w14:textId="77777777" w:rsidR="003C561D" w:rsidRPr="00C32D67" w:rsidRDefault="003C561D" w:rsidP="00472743">
      <w:pPr>
        <w:pStyle w:val="NoSpacing"/>
        <w:numPr>
          <w:ilvl w:val="0"/>
          <w:numId w:val="28"/>
        </w:numPr>
        <w:rPr>
          <w:rFonts w:ascii="Times New Roman" w:hAnsi="Times New Roman"/>
          <w:b/>
        </w:rPr>
      </w:pPr>
      <w:r w:rsidRPr="00C32D67">
        <w:rPr>
          <w:rFonts w:ascii="Times New Roman" w:hAnsi="Times New Roman"/>
          <w:b/>
        </w:rPr>
        <w:t>Examine the relationships between consumer products in a residence, environmental concentrations, and exposure to active ingredients found in consumer product chemicals to support development and evaluation of models for predicting exposure to these chemicals</w:t>
      </w:r>
    </w:p>
    <w:p w14:paraId="4D039CFD" w14:textId="77777777" w:rsidR="003C561D" w:rsidRPr="00C32D67" w:rsidRDefault="003C561D" w:rsidP="003C561D">
      <w:pPr>
        <w:pStyle w:val="NoSpacing"/>
        <w:rPr>
          <w:rFonts w:ascii="Times New Roman" w:hAnsi="Times New Roman"/>
        </w:rPr>
      </w:pPr>
    </w:p>
    <w:p w14:paraId="1EAA828F" w14:textId="77777777" w:rsidR="003C561D" w:rsidRPr="00C32D67" w:rsidRDefault="003C561D" w:rsidP="003C561D">
      <w:pPr>
        <w:rPr>
          <w:sz w:val="22"/>
          <w:szCs w:val="22"/>
        </w:rPr>
      </w:pPr>
      <w:r w:rsidRPr="00C32D67">
        <w:rPr>
          <w:sz w:val="22"/>
          <w:szCs w:val="22"/>
        </w:rPr>
        <w:t xml:space="preserve">For each residence, a chemical inventory of the products in the home will be performed (based on available databases of chemicals in products), and compared to media measurements (chemical presence/absence and group comparison of concentrations of chemicals in the consumer products versus other measured chemicals not found in consumer products). This information will be used in more complex analyses. </w:t>
      </w:r>
    </w:p>
    <w:p w14:paraId="0E5F69F7" w14:textId="77777777" w:rsidR="003C561D" w:rsidRPr="00C32D67" w:rsidRDefault="003C561D" w:rsidP="003C561D">
      <w:pPr>
        <w:rPr>
          <w:sz w:val="22"/>
          <w:szCs w:val="22"/>
        </w:rPr>
      </w:pPr>
    </w:p>
    <w:p w14:paraId="7D70DD2D" w14:textId="051BEBE9" w:rsidR="003C561D" w:rsidRPr="00C32D67" w:rsidRDefault="003C561D" w:rsidP="003C561D">
      <w:pPr>
        <w:rPr>
          <w:sz w:val="22"/>
          <w:szCs w:val="22"/>
        </w:rPr>
      </w:pPr>
      <w:r w:rsidRPr="00C32D67">
        <w:rPr>
          <w:sz w:val="22"/>
          <w:szCs w:val="22"/>
        </w:rPr>
        <w:t xml:space="preserve">EPA has recently developed new methods for predicting exposure to chemicals in consumer products. These methods are implemented in the Stochastic Human Exposure and Dose-Simulation– High Throughput (SHEDS-HT) human exposure model (Isaacs et al., 2014). In order to accommodate high-throughput chemical assessments, SHEDS-Multimedia has been numerically and operationally modified to reduce user burden and increases run speed. The SHEDS-HT model uses a dynamic fugacity-based source-to-concentration module to estimate indoor concentrations by media (air, dust, and surfaces) for chemicals with indirect exposure scenarios, while direct scenarios (exposure during product use) are addressed via appropriate exposure equations. The concentration estimates, relevant exposure factors, exposure predictions, and human activity data are then used by the SHEDS-HT model to rapidly generate population distributions of potential exposures via dermal, non-dietary ingestion, and inhalation pathways. Due to the small sample size of the Add-on Study, direct comparison of predicted population SHEDS exposures and those measured in the Add-on Study may not be entirely appropriate. However, the pilot study Add-on will provide valuable observations of product use matched to indoor media concentration, exposure (e.g., hand wipes), and biomarker measurements that refine algorithms and assumptions of the SHEDS-HT model. </w:t>
      </w:r>
    </w:p>
    <w:p w14:paraId="6DE20D3E" w14:textId="77777777" w:rsidR="003C561D" w:rsidRPr="00C32D67" w:rsidRDefault="003C561D" w:rsidP="003C561D">
      <w:pPr>
        <w:pStyle w:val="NoSpacing"/>
        <w:rPr>
          <w:rFonts w:ascii="Times New Roman" w:hAnsi="Times New Roman"/>
        </w:rPr>
      </w:pPr>
    </w:p>
    <w:p w14:paraId="1422F425" w14:textId="454A517B" w:rsidR="003C561D" w:rsidRPr="00C32D67" w:rsidRDefault="003C561D" w:rsidP="003C561D">
      <w:pPr>
        <w:rPr>
          <w:sz w:val="22"/>
          <w:szCs w:val="22"/>
        </w:rPr>
      </w:pPr>
      <w:r w:rsidRPr="00C32D67">
        <w:rPr>
          <w:sz w:val="22"/>
          <w:szCs w:val="22"/>
        </w:rPr>
        <w:t xml:space="preserve">Quantification of relationship between the dust, surface, and air concentrations will be performed for all chemicals. Correlations between media (air, surface, dust) concentrations and biomarker concentrations will be calculated in an attempt to determine a subset of chemicals for which chemical media concentrations are a useful surrogate for chemical exposures. Correlation power calculations and the accuracy of SHEDS model estimates compared theoretically to an observational field </w:t>
      </w:r>
      <w:r w:rsidR="00BA6ADF">
        <w:rPr>
          <w:sz w:val="22"/>
          <w:szCs w:val="22"/>
        </w:rPr>
        <w:t>measurement</w:t>
      </w:r>
      <w:r w:rsidR="00BA6ADF" w:rsidRPr="00C32D67">
        <w:rPr>
          <w:sz w:val="22"/>
          <w:szCs w:val="22"/>
        </w:rPr>
        <w:t xml:space="preserve"> </w:t>
      </w:r>
      <w:r w:rsidRPr="00C32D67">
        <w:rPr>
          <w:sz w:val="22"/>
          <w:szCs w:val="22"/>
        </w:rPr>
        <w:t>study like the Add-On Study with fixed sample size (n=64) were described above.</w:t>
      </w:r>
    </w:p>
    <w:p w14:paraId="1BFCE338" w14:textId="77777777" w:rsidR="003C561D" w:rsidRPr="00C32D67" w:rsidRDefault="003C561D" w:rsidP="003C561D">
      <w:pPr>
        <w:pStyle w:val="NoSpacing"/>
        <w:rPr>
          <w:rFonts w:ascii="Times New Roman" w:hAnsi="Times New Roman"/>
        </w:rPr>
      </w:pPr>
    </w:p>
    <w:p w14:paraId="4FA5A286" w14:textId="77777777" w:rsidR="003C561D" w:rsidRPr="00C32D67" w:rsidRDefault="003C561D" w:rsidP="00472743">
      <w:pPr>
        <w:pStyle w:val="NoSpacing"/>
        <w:numPr>
          <w:ilvl w:val="0"/>
          <w:numId w:val="28"/>
        </w:numPr>
        <w:rPr>
          <w:rFonts w:ascii="Times New Roman" w:hAnsi="Times New Roman"/>
          <w:b/>
        </w:rPr>
      </w:pPr>
      <w:r w:rsidRPr="00C32D67">
        <w:rPr>
          <w:rFonts w:ascii="Times New Roman" w:hAnsi="Times New Roman"/>
          <w:b/>
        </w:rPr>
        <w:t>Measure biomarkers of consumer product chemicals for young children in conjunction with environmental measurements to evaluate exposure and dose models</w:t>
      </w:r>
    </w:p>
    <w:p w14:paraId="2058DDF3" w14:textId="77777777" w:rsidR="003C561D" w:rsidRPr="00C32D67" w:rsidRDefault="003C561D" w:rsidP="003C561D">
      <w:pPr>
        <w:pStyle w:val="NoSpacing"/>
        <w:rPr>
          <w:rFonts w:ascii="Times New Roman" w:hAnsi="Times New Roman"/>
        </w:rPr>
      </w:pPr>
    </w:p>
    <w:p w14:paraId="0C478301" w14:textId="249449E0" w:rsidR="003C561D" w:rsidRPr="00C32D67" w:rsidRDefault="003C561D" w:rsidP="003C561D">
      <w:pPr>
        <w:pStyle w:val="NoSpacing"/>
        <w:rPr>
          <w:rFonts w:ascii="Times New Roman" w:hAnsi="Times New Roman"/>
        </w:rPr>
      </w:pPr>
      <w:r w:rsidRPr="000B1D96">
        <w:rPr>
          <w:rFonts w:ascii="Times New Roman" w:hAnsi="Times New Roman"/>
        </w:rPr>
        <w:t xml:space="preserve">Biomarker data can enhance exposure assessment through modeling in both a forward (exposure to dose) and reverse (dose to exposure) direction. </w:t>
      </w:r>
      <w:r w:rsidRPr="00C32D67">
        <w:rPr>
          <w:rFonts w:ascii="Times New Roman" w:hAnsi="Times New Roman"/>
        </w:rPr>
        <w:t xml:space="preserve">Biomarkers will be analyzed in blood and urine samples for a </w:t>
      </w:r>
      <w:r w:rsidRPr="00C32D67">
        <w:rPr>
          <w:rFonts w:ascii="Times New Roman" w:hAnsi="Times New Roman"/>
        </w:rPr>
        <w:lastRenderedPageBreak/>
        <w:t xml:space="preserve">complementary suite of chemicals to the target analytes investigated in the environmental samples. Descriptive statistics will describe measurements for the population, households, and individuals. Correlations will compare concentrations between biomarkers, different biological media, the same biomarker over time, and biomarkers to parent compounds. </w:t>
      </w:r>
      <w:r w:rsidR="00BA6ADF">
        <w:rPr>
          <w:rFonts w:ascii="Times New Roman" w:hAnsi="Times New Roman"/>
        </w:rPr>
        <w:t>T</w:t>
      </w:r>
      <w:r w:rsidRPr="00C32D67">
        <w:rPr>
          <w:rFonts w:ascii="Times New Roman" w:hAnsi="Times New Roman"/>
        </w:rPr>
        <w:t xml:space="preserve">he accuracy of SHEDS model estimates compared theoretically </w:t>
      </w:r>
      <w:r w:rsidR="00BA6ADF">
        <w:rPr>
          <w:rFonts w:ascii="Times New Roman" w:hAnsi="Times New Roman"/>
        </w:rPr>
        <w:t>to an observational field measurement study</w:t>
      </w:r>
      <w:r w:rsidRPr="00C32D67">
        <w:rPr>
          <w:rFonts w:ascii="Times New Roman" w:hAnsi="Times New Roman"/>
        </w:rPr>
        <w:t xml:space="preserve"> like the Add-On Study with fixed sample size (n=64)</w:t>
      </w:r>
      <w:r w:rsidR="00BA6ADF">
        <w:rPr>
          <w:rFonts w:ascii="Times New Roman" w:hAnsi="Times New Roman"/>
        </w:rPr>
        <w:t xml:space="preserve"> were described above</w:t>
      </w:r>
      <w:r w:rsidRPr="00C32D67">
        <w:rPr>
          <w:rFonts w:ascii="Times New Roman" w:hAnsi="Times New Roman"/>
        </w:rPr>
        <w:t>.</w:t>
      </w:r>
    </w:p>
    <w:p w14:paraId="2E797B08" w14:textId="77777777" w:rsidR="003C561D" w:rsidRPr="00C32D67" w:rsidRDefault="003C561D" w:rsidP="003C561D">
      <w:pPr>
        <w:pStyle w:val="NoSpacing"/>
        <w:rPr>
          <w:rFonts w:ascii="Times New Roman" w:hAnsi="Times New Roman"/>
        </w:rPr>
      </w:pPr>
    </w:p>
    <w:p w14:paraId="0571A831" w14:textId="58B5DAE8" w:rsidR="003C561D" w:rsidRPr="00C32D67" w:rsidRDefault="003C561D" w:rsidP="003C561D">
      <w:pPr>
        <w:rPr>
          <w:b/>
          <w:sz w:val="22"/>
          <w:szCs w:val="22"/>
        </w:rPr>
      </w:pPr>
      <w:r w:rsidRPr="00C32D67">
        <w:rPr>
          <w:b/>
          <w:sz w:val="22"/>
          <w:szCs w:val="22"/>
        </w:rPr>
        <w:t>IV.</w:t>
      </w:r>
      <w:r w:rsidRPr="00C32D67">
        <w:rPr>
          <w:b/>
          <w:sz w:val="22"/>
          <w:szCs w:val="22"/>
        </w:rPr>
        <w:tab/>
        <w:t>Use low burden techniques and survey instruments to collect current information on children’s activities, locations, and dietary habits to support exposure models and databases</w:t>
      </w:r>
    </w:p>
    <w:p w14:paraId="744E21CF" w14:textId="77777777" w:rsidR="003C561D" w:rsidRPr="00C32D67" w:rsidRDefault="003C561D" w:rsidP="003C561D">
      <w:pPr>
        <w:ind w:left="720" w:hanging="720"/>
        <w:rPr>
          <w:sz w:val="22"/>
          <w:szCs w:val="22"/>
        </w:rPr>
      </w:pPr>
    </w:p>
    <w:p w14:paraId="7474035F" w14:textId="77777777" w:rsidR="003C561D" w:rsidRPr="00C32D67" w:rsidRDefault="003C561D" w:rsidP="003C561D">
      <w:pPr>
        <w:pStyle w:val="NoSpacing"/>
        <w:rPr>
          <w:rFonts w:ascii="Times New Roman" w:hAnsi="Times New Roman"/>
        </w:rPr>
      </w:pPr>
      <w:r w:rsidRPr="00C32D67">
        <w:rPr>
          <w:rFonts w:ascii="Times New Roman" w:hAnsi="Times New Roman"/>
        </w:rPr>
        <w:t>The information collected in the Add-on Study questionnaires will be analyzed to develop mean and variability metrics of exposure factors for the children's cohorts being studied, and to identify interactions or correlations among exposure factors that could be used to derive relationships for f</w:t>
      </w:r>
      <w:r w:rsidR="00BA6ADF">
        <w:rPr>
          <w:rFonts w:ascii="Times New Roman" w:hAnsi="Times New Roman"/>
        </w:rPr>
        <w:t xml:space="preserve">uture assessments of children. </w:t>
      </w:r>
      <w:r w:rsidRPr="00C32D67">
        <w:rPr>
          <w:rFonts w:ascii="Times New Roman" w:hAnsi="Times New Roman"/>
        </w:rPr>
        <w:t>Correlation power calculations were described above (Equation 1).</w:t>
      </w:r>
    </w:p>
    <w:p w14:paraId="21B25969" w14:textId="77777777" w:rsidR="003C561D" w:rsidRPr="00C32D67" w:rsidRDefault="003C561D" w:rsidP="003C561D">
      <w:pPr>
        <w:pStyle w:val="NoSpacing"/>
        <w:rPr>
          <w:rFonts w:ascii="Times New Roman" w:hAnsi="Times New Roman"/>
        </w:rPr>
      </w:pPr>
    </w:p>
    <w:p w14:paraId="521CDB66" w14:textId="77777777" w:rsidR="003C561D" w:rsidRPr="00C32D67" w:rsidRDefault="003C561D" w:rsidP="003C561D">
      <w:pPr>
        <w:pStyle w:val="NoSpacing"/>
        <w:rPr>
          <w:rFonts w:ascii="Times New Roman" w:hAnsi="Times New Roman"/>
        </w:rPr>
      </w:pPr>
      <w:r w:rsidRPr="00C32D67">
        <w:rPr>
          <w:rFonts w:ascii="Times New Roman" w:hAnsi="Times New Roman"/>
        </w:rPr>
        <w:t>Activity and location data will be aggregated into an electronic database and further processed by EPA investigators into a format consistent with EPA's Consolidated Human Activity Database (CHAD; McCurdy et al., 2000, U.S. EPA, 2002). This format includes demographic, date, and housing information linked with a minute-by-minute diary of location and activity for the individual studied. It is anticipated that if the data quality from the questionnaires are adequate, these time activity data (de-identified) would be permanently entered in CHAD for use by EPA exposure models (and available to the public via download).</w:t>
      </w:r>
    </w:p>
    <w:p w14:paraId="3819B21F" w14:textId="77777777" w:rsidR="003C561D" w:rsidRPr="00C32D67" w:rsidRDefault="003C561D" w:rsidP="003C561D">
      <w:pPr>
        <w:pStyle w:val="NoSpacing"/>
        <w:rPr>
          <w:rFonts w:ascii="Times New Roman" w:hAnsi="Times New Roman"/>
        </w:rPr>
      </w:pPr>
    </w:p>
    <w:p w14:paraId="4CD30F7A" w14:textId="77777777" w:rsidR="003C561D" w:rsidRPr="00C32D67" w:rsidRDefault="003C561D" w:rsidP="003C561D">
      <w:pPr>
        <w:pStyle w:val="NoSpacing"/>
        <w:rPr>
          <w:rFonts w:ascii="Times New Roman" w:hAnsi="Times New Roman"/>
        </w:rPr>
      </w:pPr>
      <w:r w:rsidRPr="00C32D67">
        <w:rPr>
          <w:rFonts w:ascii="Times New Roman" w:hAnsi="Times New Roman"/>
        </w:rPr>
        <w:t>Understanding the type, magnitude, and variability of time spent in microenvironments across ages, geographic region, subculture, or socioeconomic status is critical in performing exposure assessments for different populations of children. Therefore, time spent in each microenvironment by each child will be summarized by standard methods (for example, Xue et al., 2004). Of specific interest will be differences in time spent in locations for children of different ages in the same household.</w:t>
      </w:r>
    </w:p>
    <w:p w14:paraId="58058858" w14:textId="77777777" w:rsidR="003C561D" w:rsidRPr="00C32D67" w:rsidRDefault="003C561D" w:rsidP="003C561D">
      <w:pPr>
        <w:pStyle w:val="NoSpacing"/>
        <w:rPr>
          <w:rFonts w:ascii="Times New Roman" w:hAnsi="Times New Roman"/>
        </w:rPr>
      </w:pPr>
    </w:p>
    <w:p w14:paraId="674C8DAE" w14:textId="780CE7CC" w:rsidR="003C561D" w:rsidRPr="00C32D67" w:rsidRDefault="003C561D" w:rsidP="003C561D">
      <w:pPr>
        <w:pStyle w:val="NoSpacing"/>
        <w:rPr>
          <w:rFonts w:ascii="Times New Roman" w:hAnsi="Times New Roman"/>
        </w:rPr>
      </w:pPr>
      <w:r w:rsidRPr="00C32D67">
        <w:rPr>
          <w:rFonts w:ascii="Times New Roman" w:hAnsi="Times New Roman"/>
        </w:rPr>
        <w:t>From the activity survey results, descriptive statistics of reported time spent in microenvironments and activities will be calculated. In addition, GPS-based time spent in microenvironments will be calculated using EPA’s MicroTrac model (Breen et al., 2014). This model takes as input a GPS time-series and a general location of the participant’s home and using a computational algorithm calculates time spent at home and in travel (in vehicles). The MicroTrac results will be compared with the survey results as in Breen et al. (2014). Differences among age groups and genders for both survey and GPS results will be quantified and tested using appropriate parametric or non-parametric techniques.</w:t>
      </w:r>
    </w:p>
    <w:p w14:paraId="7EE433C2" w14:textId="77777777" w:rsidR="003C561D" w:rsidRPr="00C32D67" w:rsidRDefault="003C561D" w:rsidP="003C561D">
      <w:pPr>
        <w:pStyle w:val="NoSpacing"/>
        <w:rPr>
          <w:rFonts w:ascii="Times New Roman" w:hAnsi="Times New Roman"/>
        </w:rPr>
      </w:pPr>
    </w:p>
    <w:p w14:paraId="13A29ABB" w14:textId="77777777" w:rsidR="003C561D" w:rsidRPr="00C32D67" w:rsidRDefault="003C561D" w:rsidP="003C561D">
      <w:pPr>
        <w:pStyle w:val="NoSpacing"/>
        <w:rPr>
          <w:rFonts w:ascii="Times New Roman" w:hAnsi="Times New Roman"/>
        </w:rPr>
      </w:pPr>
      <w:r w:rsidRPr="00C32D67">
        <w:rPr>
          <w:rFonts w:ascii="Times New Roman" w:hAnsi="Times New Roman"/>
        </w:rPr>
        <w:t>Children's activities are an important determinant of the types and amounts of chemicals encountered (McCurdy, 2000). Therefore, time spent in exposure-relevant activities (e.g., time spent with pet or exercising) will be characterized via standard methods (Xue et al., 2004). A primary analysis will evaluate age- and asthma-dependent differences in activity level in children living in the same household. The results from this analysis will aid in characterizing/elucidating the contributions of age, health, socioeconomic status, and other factors to describe the variability in activity levels. Similar to location, the interaction between housing and community factors (e.g., crime or noise pollution) and exposure relevant activities will be addressed. In addition, the location of high-dose rate activities (e.g., exercise) for these children will be compared to other, previously studied child cohorts to assess the influence of community or socioeconomic status-driven factors (such as distance from pollutant sources, or indoor versus outdoor exercise locations). Analysis of the activity information (questionnaires, accelerometer, GPS) will help EPA and CDC determine whether electronic data collection can supplant questionnaires for future GHS sites.</w:t>
      </w:r>
    </w:p>
    <w:p w14:paraId="6016B825" w14:textId="77777777" w:rsidR="003C561D" w:rsidRPr="00C32D67" w:rsidRDefault="003C561D" w:rsidP="003C561D">
      <w:pPr>
        <w:pStyle w:val="NoSpacing"/>
        <w:rPr>
          <w:rFonts w:ascii="Times New Roman" w:hAnsi="Times New Roman"/>
        </w:rPr>
      </w:pPr>
    </w:p>
    <w:p w14:paraId="62A356D4" w14:textId="77777777" w:rsidR="003C561D" w:rsidRPr="00C32D67" w:rsidRDefault="003C561D" w:rsidP="000B1D96">
      <w:pPr>
        <w:pStyle w:val="NoSpacing"/>
        <w:rPr>
          <w:rFonts w:ascii="Times New Roman" w:hAnsi="Times New Roman"/>
          <w:b/>
        </w:rPr>
      </w:pPr>
      <w:r w:rsidRPr="00C32D67">
        <w:rPr>
          <w:rFonts w:ascii="Times New Roman" w:hAnsi="Times New Roman"/>
          <w:b/>
        </w:rPr>
        <w:lastRenderedPageBreak/>
        <w:t xml:space="preserve">V. </w:t>
      </w:r>
      <w:r w:rsidRPr="00C32D67">
        <w:rPr>
          <w:rFonts w:ascii="Times New Roman" w:hAnsi="Times New Roman"/>
          <w:b/>
        </w:rPr>
        <w:tab/>
        <w:t>Evaluate the feasibility of using a simplified mass balance approach to estimate chemical exposure and dose rates incorporating children’s nail clippings, other multimedia measurements, and activity information</w:t>
      </w:r>
    </w:p>
    <w:p w14:paraId="2F46F8BB" w14:textId="77777777" w:rsidR="003C561D" w:rsidRPr="00C32D67" w:rsidRDefault="003C561D" w:rsidP="003C561D">
      <w:pPr>
        <w:pStyle w:val="NoSpacing"/>
        <w:rPr>
          <w:rFonts w:ascii="Times New Roman" w:hAnsi="Times New Roman"/>
        </w:rPr>
      </w:pPr>
    </w:p>
    <w:p w14:paraId="50C0DF1F" w14:textId="20F363D8" w:rsidR="003C561D" w:rsidRPr="00C32D67" w:rsidRDefault="003C561D" w:rsidP="003C561D">
      <w:pPr>
        <w:pStyle w:val="NoSpacing"/>
        <w:rPr>
          <w:rFonts w:ascii="Times New Roman" w:hAnsi="Times New Roman"/>
        </w:rPr>
      </w:pPr>
      <w:r w:rsidRPr="00C32D67">
        <w:rPr>
          <w:rFonts w:ascii="Times New Roman" w:hAnsi="Times New Roman"/>
        </w:rPr>
        <w:t xml:space="preserve">The collection of nail clippings is attractive because obtaining the sample is noninvasive and easily performed by the primary caregiver. Arsenic, cadmium, mercury, manganese, zinc and other elements may be sequestered in nails and hair following environmental exposures and have utility in determining exposure and dose rates and serve as simple, low cost metrics to supplant other biomarkers, such as blood or urine, particularly for children. This objective will evaluate the relationship of nail clippings with other environmental and biological measures and determine the feasibility of using nail clippings to estimate chemical exposure and dose rates for very young children in observational exposure measurement studies. Associations and correlations between renovation activities, sources, exposure pathways, and indoor/outdoor concentrations will be evaluated. Descriptive </w:t>
      </w:r>
      <w:r w:rsidR="00BA6ADF">
        <w:rPr>
          <w:rFonts w:ascii="Times New Roman" w:hAnsi="Times New Roman"/>
        </w:rPr>
        <w:t xml:space="preserve">statistics </w:t>
      </w:r>
      <w:r w:rsidRPr="00C32D67">
        <w:rPr>
          <w:rFonts w:ascii="Times New Roman" w:hAnsi="Times New Roman"/>
        </w:rPr>
        <w:t>will be calculated. Correlations (both Spearman and Pearson) will be conducted in order to evaluate relationships both within and between the measurement data to elucidate relationships and associations. Power calculations for correlations were described above (Equation 1).</w:t>
      </w:r>
    </w:p>
    <w:p w14:paraId="123C8327" w14:textId="77777777" w:rsidR="003C561D" w:rsidRPr="000B1D96" w:rsidRDefault="003C561D" w:rsidP="003C561D">
      <w:pPr>
        <w:rPr>
          <w:sz w:val="24"/>
        </w:rPr>
      </w:pPr>
    </w:p>
    <w:p w14:paraId="36802F4F" w14:textId="77777777" w:rsidR="003C561D" w:rsidRPr="00C32D67" w:rsidRDefault="003C561D" w:rsidP="003C561D">
      <w:pPr>
        <w:rPr>
          <w:b/>
          <w:color w:val="231F20"/>
          <w:sz w:val="22"/>
          <w:szCs w:val="22"/>
          <w:u w:val="single"/>
        </w:rPr>
      </w:pPr>
      <w:r w:rsidRPr="00C32D67">
        <w:rPr>
          <w:b/>
          <w:color w:val="231F20"/>
          <w:sz w:val="22"/>
          <w:szCs w:val="22"/>
          <w:u w:val="single"/>
        </w:rPr>
        <w:t>References:</w:t>
      </w:r>
    </w:p>
    <w:p w14:paraId="6EA3AFC1" w14:textId="77777777" w:rsidR="003C561D" w:rsidRPr="00C32D67" w:rsidRDefault="003C561D" w:rsidP="003C561D">
      <w:pPr>
        <w:rPr>
          <w:sz w:val="22"/>
          <w:szCs w:val="22"/>
        </w:rPr>
      </w:pPr>
    </w:p>
    <w:p w14:paraId="189A78F3" w14:textId="77777777" w:rsidR="003C561D" w:rsidRPr="00C32D67" w:rsidRDefault="003C561D" w:rsidP="003C561D">
      <w:pPr>
        <w:rPr>
          <w:noProof/>
          <w:sz w:val="22"/>
          <w:szCs w:val="22"/>
        </w:rPr>
      </w:pPr>
      <w:r w:rsidRPr="00C32D67">
        <w:rPr>
          <w:noProof/>
          <w:sz w:val="22"/>
          <w:szCs w:val="22"/>
        </w:rPr>
        <w:t xml:space="preserve">Breen MS, Long TC, Schultz BD, Crooks J, Breen M, Langstaff JE, Isaacs K, Tan C, Williams R, Cao Y, Devlin R, Batterman S, Buckley T. 2014. GPS-based microenvironment tracker (MicroTrac) model to estimate time-location of individuals for air pollution exposure assessments: Model evaluation in central North Carolina. </w:t>
      </w:r>
      <w:r w:rsidRPr="00C32D67">
        <w:rPr>
          <w:i/>
          <w:noProof/>
          <w:sz w:val="22"/>
          <w:szCs w:val="22"/>
        </w:rPr>
        <w:t>Journal of Exposure Science and Environmental Epidemiology</w:t>
      </w:r>
      <w:r w:rsidRPr="00C32D67">
        <w:rPr>
          <w:noProof/>
          <w:sz w:val="22"/>
          <w:szCs w:val="22"/>
        </w:rPr>
        <w:t>, 24(4):412-420.</w:t>
      </w:r>
    </w:p>
    <w:p w14:paraId="791EC33D" w14:textId="77777777" w:rsidR="003C561D" w:rsidRPr="00C32D67" w:rsidRDefault="003C561D" w:rsidP="003C561D">
      <w:pPr>
        <w:rPr>
          <w:sz w:val="22"/>
          <w:szCs w:val="22"/>
        </w:rPr>
      </w:pPr>
    </w:p>
    <w:p w14:paraId="2C34E782" w14:textId="77777777" w:rsidR="003C561D" w:rsidRPr="00C32D67" w:rsidRDefault="003C561D" w:rsidP="003C561D">
      <w:pPr>
        <w:rPr>
          <w:sz w:val="22"/>
          <w:szCs w:val="22"/>
        </w:rPr>
      </w:pPr>
      <w:r w:rsidRPr="00C32D67">
        <w:rPr>
          <w:sz w:val="22"/>
          <w:szCs w:val="22"/>
        </w:rPr>
        <w:t xml:space="preserve">Denys S, Fraize-Frontier S, Moussa O, Le Bizec B, Veyrand B, Volatier JL. 2014. Is the fresh water fish consumption a significant determinant of the internal exposure to perfluoroalkylated substances (PFAS)? </w:t>
      </w:r>
      <w:r w:rsidRPr="00C32D67">
        <w:rPr>
          <w:i/>
          <w:sz w:val="22"/>
          <w:szCs w:val="22"/>
        </w:rPr>
        <w:t>Toxicology Letters</w:t>
      </w:r>
      <w:r w:rsidRPr="00C32D67">
        <w:rPr>
          <w:sz w:val="22"/>
          <w:szCs w:val="22"/>
        </w:rPr>
        <w:t>, 231(2):233-238.</w:t>
      </w:r>
    </w:p>
    <w:p w14:paraId="04A232E2" w14:textId="77777777" w:rsidR="003C561D" w:rsidRPr="00C32D67" w:rsidRDefault="003C561D" w:rsidP="003C561D">
      <w:pPr>
        <w:rPr>
          <w:sz w:val="22"/>
          <w:szCs w:val="22"/>
        </w:rPr>
      </w:pPr>
    </w:p>
    <w:p w14:paraId="5D86B49C" w14:textId="77777777" w:rsidR="003C561D" w:rsidRPr="00C32D67" w:rsidRDefault="003C561D" w:rsidP="003C561D">
      <w:pPr>
        <w:rPr>
          <w:sz w:val="22"/>
          <w:szCs w:val="22"/>
        </w:rPr>
      </w:pPr>
      <w:r w:rsidRPr="00C32D67">
        <w:rPr>
          <w:sz w:val="22"/>
          <w:szCs w:val="22"/>
        </w:rPr>
        <w:t xml:space="preserve">English K, Healy B, Jagals P, Sly PD. 2015. Assessing exposure of young children to common endocrine-disrupting chemicals in the home environment: a review and commentary of the questionnaire-based approach. </w:t>
      </w:r>
      <w:r w:rsidRPr="00C32D67">
        <w:rPr>
          <w:i/>
          <w:sz w:val="22"/>
          <w:szCs w:val="22"/>
        </w:rPr>
        <w:t>Reviews on Environmental Health</w:t>
      </w:r>
      <w:r w:rsidRPr="00C32D67">
        <w:rPr>
          <w:sz w:val="22"/>
          <w:szCs w:val="22"/>
        </w:rPr>
        <w:t>, 30(1):25-49.</w:t>
      </w:r>
    </w:p>
    <w:p w14:paraId="13CB9A78" w14:textId="77777777" w:rsidR="003C561D" w:rsidRPr="00C32D67" w:rsidRDefault="003C561D" w:rsidP="003C561D">
      <w:pPr>
        <w:rPr>
          <w:sz w:val="22"/>
          <w:szCs w:val="22"/>
        </w:rPr>
      </w:pPr>
    </w:p>
    <w:p w14:paraId="04F1A040" w14:textId="77777777" w:rsidR="003C561D" w:rsidRPr="00C32D67" w:rsidRDefault="003C561D" w:rsidP="003C561D">
      <w:pPr>
        <w:rPr>
          <w:sz w:val="22"/>
          <w:szCs w:val="22"/>
        </w:rPr>
      </w:pPr>
      <w:r w:rsidRPr="00C32D67">
        <w:rPr>
          <w:sz w:val="22"/>
          <w:szCs w:val="22"/>
        </w:rPr>
        <w:t xml:space="preserve">Goldsmith MR, Grulke CM,  Brooks RD, Transue TR, Tan YM, Frame A, Egeghy PP, Edwards R, Chang DT, Tornero-Velez R, Isaacs K, Wang A, Johnson J, Holm K, Reich M, Mitchell J, Vallero DA, Phillips L, Phillips M, Wambaugh JF, Judson RS, Buckley TJ, Dary CC. 2014. Development of a consumer product ingredient database for chemical exposure screening and prioritization. </w:t>
      </w:r>
      <w:r w:rsidRPr="00C32D67">
        <w:rPr>
          <w:i/>
          <w:sz w:val="22"/>
          <w:szCs w:val="22"/>
        </w:rPr>
        <w:t>Food and Chemical Toxicology</w:t>
      </w:r>
      <w:r w:rsidRPr="00C32D67">
        <w:rPr>
          <w:sz w:val="22"/>
          <w:szCs w:val="22"/>
        </w:rPr>
        <w:t xml:space="preserve"> 65:269-279.</w:t>
      </w:r>
    </w:p>
    <w:p w14:paraId="449D62A2" w14:textId="77777777" w:rsidR="003C561D" w:rsidRPr="00C32D67" w:rsidRDefault="003C561D" w:rsidP="003C561D">
      <w:pPr>
        <w:rPr>
          <w:sz w:val="22"/>
          <w:szCs w:val="22"/>
        </w:rPr>
      </w:pPr>
    </w:p>
    <w:p w14:paraId="64DDC135" w14:textId="77777777" w:rsidR="003C561D" w:rsidRPr="00C32D67" w:rsidRDefault="003C561D" w:rsidP="003C561D">
      <w:pPr>
        <w:rPr>
          <w:sz w:val="22"/>
          <w:szCs w:val="22"/>
        </w:rPr>
      </w:pPr>
      <w:r w:rsidRPr="00C32D67">
        <w:rPr>
          <w:color w:val="000000"/>
          <w:sz w:val="22"/>
          <w:szCs w:val="22"/>
        </w:rPr>
        <w:t>Hulley SB, Cummings SR, Browner WS, Grady D, Newman TB. Designing clinical research: an epidemiologic approach. 4th ed. Philadelphia, PA: Lippincott Williams &amp; Wilkins; 2013. Appendix 6C, page 79.</w:t>
      </w:r>
    </w:p>
    <w:p w14:paraId="2A49FEB9" w14:textId="77777777" w:rsidR="003C561D" w:rsidRDefault="003C561D" w:rsidP="003C561D">
      <w:pPr>
        <w:rPr>
          <w:sz w:val="22"/>
          <w:szCs w:val="22"/>
        </w:rPr>
      </w:pPr>
    </w:p>
    <w:p w14:paraId="73BDCB55" w14:textId="77777777" w:rsidR="00BA6ADF" w:rsidRPr="005552A5" w:rsidRDefault="00BA6ADF" w:rsidP="00BA6ADF">
      <w:pPr>
        <w:rPr>
          <w:sz w:val="22"/>
          <w:szCs w:val="24"/>
        </w:rPr>
      </w:pPr>
      <w:r w:rsidRPr="005552A5">
        <w:rPr>
          <w:sz w:val="22"/>
          <w:szCs w:val="24"/>
        </w:rPr>
        <w:t>Konijn, HS. Distribution-Free and Other Prediction Intervals. The American Statistician, Vol. 41, No. 1 (Feb., 1987), pp. 11-15.</w:t>
      </w:r>
    </w:p>
    <w:p w14:paraId="532E6AB2" w14:textId="77777777" w:rsidR="00BA6ADF" w:rsidRPr="005552A5" w:rsidRDefault="00BA6ADF" w:rsidP="00BA6ADF">
      <w:pPr>
        <w:rPr>
          <w:sz w:val="22"/>
          <w:szCs w:val="24"/>
        </w:rPr>
      </w:pPr>
    </w:p>
    <w:p w14:paraId="36C02161" w14:textId="77777777" w:rsidR="003C561D" w:rsidRPr="00C32D67" w:rsidRDefault="003C561D" w:rsidP="003C561D">
      <w:pPr>
        <w:pStyle w:val="NoSpacing"/>
        <w:rPr>
          <w:rFonts w:ascii="Times New Roman" w:hAnsi="Times New Roman"/>
        </w:rPr>
      </w:pPr>
      <w:r w:rsidRPr="00C32D67">
        <w:rPr>
          <w:rFonts w:ascii="Times New Roman" w:hAnsi="Times New Roman"/>
        </w:rPr>
        <w:t xml:space="preserve">McCurdy T. 2000. Conceptual basis for multi-route intake dose modeling using an energy expenditure approach. </w:t>
      </w:r>
      <w:r w:rsidRPr="00C32D67">
        <w:rPr>
          <w:rFonts w:ascii="Times New Roman" w:hAnsi="Times New Roman"/>
          <w:i/>
        </w:rPr>
        <w:t>Journal of Exposure Analysis and Environmental Epidemiology</w:t>
      </w:r>
      <w:r w:rsidRPr="00C32D67">
        <w:rPr>
          <w:rFonts w:ascii="Times New Roman" w:hAnsi="Times New Roman"/>
        </w:rPr>
        <w:t xml:space="preserve"> 10(1):86-97.</w:t>
      </w:r>
    </w:p>
    <w:p w14:paraId="03CD639A" w14:textId="77777777" w:rsidR="003C561D" w:rsidRDefault="003C561D" w:rsidP="003C561D">
      <w:pPr>
        <w:rPr>
          <w:sz w:val="22"/>
          <w:szCs w:val="22"/>
        </w:rPr>
      </w:pPr>
    </w:p>
    <w:p w14:paraId="7972CADB" w14:textId="77777777" w:rsidR="00BA6ADF" w:rsidRPr="005552A5" w:rsidRDefault="00BA6ADF" w:rsidP="00BA6ADF">
      <w:pPr>
        <w:rPr>
          <w:sz w:val="22"/>
          <w:szCs w:val="24"/>
        </w:rPr>
      </w:pPr>
      <w:r w:rsidRPr="005552A5">
        <w:rPr>
          <w:sz w:val="22"/>
          <w:szCs w:val="24"/>
        </w:rPr>
        <w:t>Saw, JG; Yang, MCK; Mo, TC. Chebyshev Inequality with Estimated Mean and Variance. The American Statistician, Vol. 38, No. 2 (May, 1984), pp. 130-132.</w:t>
      </w:r>
    </w:p>
    <w:p w14:paraId="43DD3170" w14:textId="77777777" w:rsidR="00BA6ADF" w:rsidRPr="00C32D67" w:rsidRDefault="00BA6ADF" w:rsidP="003C561D">
      <w:pPr>
        <w:rPr>
          <w:sz w:val="22"/>
          <w:szCs w:val="22"/>
        </w:rPr>
      </w:pPr>
    </w:p>
    <w:p w14:paraId="17BE7586" w14:textId="77777777" w:rsidR="003C561D" w:rsidRPr="00C32D67" w:rsidRDefault="003C561D" w:rsidP="003C561D">
      <w:pPr>
        <w:pStyle w:val="NoSpacing"/>
        <w:rPr>
          <w:rFonts w:ascii="Times New Roman" w:hAnsi="Times New Roman"/>
        </w:rPr>
      </w:pPr>
      <w:r w:rsidRPr="00C32D67">
        <w:rPr>
          <w:rFonts w:ascii="Times New Roman" w:hAnsi="Times New Roman"/>
        </w:rPr>
        <w:t xml:space="preserve">U.S. EPA. Consolidated Human Activity Database (CHAD). 2002. Available at </w:t>
      </w:r>
      <w:hyperlink r:id="rId9" w:history="1">
        <w:r w:rsidRPr="00C32D67">
          <w:rPr>
            <w:rStyle w:val="Hyperlink"/>
            <w:rFonts w:ascii="Times New Roman" w:hAnsi="Times New Roman"/>
          </w:rPr>
          <w:t>http://www.epa.gov/chadnet1/</w:t>
        </w:r>
      </w:hyperlink>
      <w:r w:rsidRPr="00C32D67">
        <w:rPr>
          <w:rFonts w:ascii="Times New Roman" w:hAnsi="Times New Roman"/>
        </w:rPr>
        <w:t>.</w:t>
      </w:r>
    </w:p>
    <w:p w14:paraId="00AF555F" w14:textId="77777777" w:rsidR="003C561D" w:rsidRPr="00C32D67" w:rsidRDefault="003C561D" w:rsidP="003C561D">
      <w:pPr>
        <w:rPr>
          <w:sz w:val="22"/>
          <w:szCs w:val="22"/>
        </w:rPr>
      </w:pPr>
    </w:p>
    <w:p w14:paraId="616AE01F" w14:textId="77777777" w:rsidR="003C561D" w:rsidRPr="00C32D67" w:rsidRDefault="003C561D" w:rsidP="003C561D">
      <w:pPr>
        <w:rPr>
          <w:sz w:val="22"/>
          <w:szCs w:val="22"/>
        </w:rPr>
      </w:pPr>
      <w:r w:rsidRPr="00C32D67">
        <w:rPr>
          <w:sz w:val="22"/>
          <w:szCs w:val="22"/>
        </w:rPr>
        <w:t xml:space="preserve">Villanueva F, Tapia A, Amo-Salas M, Notario A, Cabañas B, Martínez E. 2015. Levels and sources of volatile organic compounds including carbonyls in indoor air of homes of Puertollano, the most industrialized city in central Iberian Peninsula. Estimation of health risk. </w:t>
      </w:r>
      <w:r w:rsidRPr="00C32D67">
        <w:rPr>
          <w:i/>
          <w:sz w:val="22"/>
          <w:szCs w:val="22"/>
        </w:rPr>
        <w:t>International Journal of Hygiene and Environmental Health</w:t>
      </w:r>
      <w:r w:rsidRPr="00C32D67">
        <w:rPr>
          <w:sz w:val="22"/>
          <w:szCs w:val="22"/>
        </w:rPr>
        <w:t>, 218(6):522-534.</w:t>
      </w:r>
    </w:p>
    <w:p w14:paraId="5C24F175" w14:textId="77777777" w:rsidR="003C561D" w:rsidRPr="00C32D67" w:rsidRDefault="003C561D" w:rsidP="003C561D">
      <w:pPr>
        <w:rPr>
          <w:sz w:val="22"/>
          <w:szCs w:val="22"/>
        </w:rPr>
      </w:pPr>
    </w:p>
    <w:p w14:paraId="105005E6" w14:textId="77777777" w:rsidR="003C561D" w:rsidRPr="00C32D67" w:rsidRDefault="003C561D" w:rsidP="003C561D">
      <w:pPr>
        <w:rPr>
          <w:sz w:val="22"/>
          <w:szCs w:val="22"/>
        </w:rPr>
      </w:pPr>
      <w:r w:rsidRPr="00C32D67">
        <w:rPr>
          <w:sz w:val="22"/>
          <w:szCs w:val="22"/>
        </w:rPr>
        <w:t xml:space="preserve">Whitehead TP, Crispo Smith S, Park JS, Petreas MX, Rappaport SM, Metayer C. 2015. Concentrations of persistent organic pollutants in California women's serum and residential dust. </w:t>
      </w:r>
      <w:r w:rsidRPr="00C32D67">
        <w:rPr>
          <w:i/>
          <w:sz w:val="22"/>
          <w:szCs w:val="22"/>
        </w:rPr>
        <w:t>Environmental Research</w:t>
      </w:r>
      <w:r w:rsidRPr="00C32D67">
        <w:rPr>
          <w:sz w:val="22"/>
          <w:szCs w:val="22"/>
        </w:rPr>
        <w:t>, 136:57-66.</w:t>
      </w:r>
    </w:p>
    <w:p w14:paraId="68FF0DB6" w14:textId="77777777" w:rsidR="003C561D" w:rsidRPr="00C32D67" w:rsidRDefault="003C561D" w:rsidP="003C561D">
      <w:pPr>
        <w:rPr>
          <w:sz w:val="22"/>
          <w:szCs w:val="22"/>
        </w:rPr>
      </w:pPr>
    </w:p>
    <w:p w14:paraId="1BBDF20F" w14:textId="77777777" w:rsidR="003C561D" w:rsidRPr="00C32D67" w:rsidRDefault="003C561D" w:rsidP="003C561D">
      <w:pPr>
        <w:pStyle w:val="NoSpacing"/>
        <w:rPr>
          <w:rFonts w:ascii="Times New Roman" w:hAnsi="Times New Roman"/>
        </w:rPr>
      </w:pPr>
      <w:r w:rsidRPr="00C32D67">
        <w:rPr>
          <w:rFonts w:ascii="Times New Roman" w:hAnsi="Times New Roman"/>
        </w:rPr>
        <w:t xml:space="preserve">Wilhelm M, Wittsiepe J, Völkel W, Fromme H, Kasper-Sonnenberg M. 2015. Perfluoroalkyl acids in children and their mothers: Association with drinking water and time trends of inner exposures--Results of the Duisburg birth cohort and Bochum cohort studies. </w:t>
      </w:r>
      <w:r w:rsidRPr="00C32D67">
        <w:rPr>
          <w:rFonts w:ascii="Times New Roman" w:hAnsi="Times New Roman"/>
          <w:i/>
        </w:rPr>
        <w:t>International Journal of Hygiene and Environmental Health</w:t>
      </w:r>
      <w:r w:rsidRPr="00C32D67">
        <w:rPr>
          <w:rFonts w:ascii="Times New Roman" w:hAnsi="Times New Roman"/>
        </w:rPr>
        <w:t xml:space="preserve">, 218(7):645-655. </w:t>
      </w:r>
    </w:p>
    <w:p w14:paraId="60FBF55A" w14:textId="77777777" w:rsidR="003C561D" w:rsidRPr="00C32D67" w:rsidRDefault="003C561D" w:rsidP="003C561D">
      <w:pPr>
        <w:pStyle w:val="NoSpacing"/>
        <w:rPr>
          <w:rFonts w:ascii="Times New Roman" w:hAnsi="Times New Roman"/>
        </w:rPr>
      </w:pPr>
    </w:p>
    <w:p w14:paraId="3D00579C" w14:textId="77777777" w:rsidR="003C561D" w:rsidRPr="00C32D67" w:rsidRDefault="003C561D" w:rsidP="003C561D">
      <w:pPr>
        <w:pStyle w:val="NoSpacing"/>
        <w:rPr>
          <w:rFonts w:ascii="Times New Roman" w:hAnsi="Times New Roman"/>
        </w:rPr>
      </w:pPr>
      <w:r w:rsidRPr="00C32D67">
        <w:rPr>
          <w:rFonts w:ascii="Times New Roman" w:hAnsi="Times New Roman"/>
        </w:rPr>
        <w:t xml:space="preserve">Xue J, McCurdy T, Spengler J, Ozkaynak H. 2004. Understanding variability in time spent in selected locations for 7-12-year old children. </w:t>
      </w:r>
      <w:r w:rsidRPr="00C32D67">
        <w:rPr>
          <w:rFonts w:ascii="Times New Roman" w:hAnsi="Times New Roman"/>
          <w:i/>
        </w:rPr>
        <w:t>Journal of Exposure Analysis and Environmental Epidemiology</w:t>
      </w:r>
      <w:r w:rsidRPr="00C32D67">
        <w:rPr>
          <w:rFonts w:ascii="Times New Roman" w:hAnsi="Times New Roman"/>
        </w:rPr>
        <w:t xml:space="preserve"> 14(3):222-233.</w:t>
      </w:r>
    </w:p>
    <w:p w14:paraId="512DD450" w14:textId="77777777" w:rsidR="00941E40" w:rsidRPr="00BA6ADF" w:rsidRDefault="00941E40" w:rsidP="003C561D">
      <w:pPr>
        <w:rPr>
          <w:lang w:val="x-none" w:eastAsia="x-none"/>
        </w:rPr>
      </w:pPr>
    </w:p>
    <w:p w14:paraId="6636D654" w14:textId="77777777" w:rsidR="00BA6ADF" w:rsidRPr="005552A5" w:rsidRDefault="00BA6ADF" w:rsidP="00BA6ADF">
      <w:pPr>
        <w:rPr>
          <w:sz w:val="22"/>
          <w:szCs w:val="24"/>
        </w:rPr>
      </w:pPr>
      <w:r w:rsidRPr="005552A5">
        <w:rPr>
          <w:sz w:val="22"/>
          <w:szCs w:val="24"/>
        </w:rPr>
        <w:t>Xue J, Zartarian V, Tornero-Velez R, Tulve NS. EPA's SHEDS-multimedia model: children's cumulative pyrethroid exposure estimates and evaluation against NHANES biomarker data. Environ Int. 2014 Dec;73:</w:t>
      </w:r>
      <w:r w:rsidR="00782F0A">
        <w:rPr>
          <w:sz w:val="22"/>
          <w:szCs w:val="24"/>
        </w:rPr>
        <w:t xml:space="preserve"> </w:t>
      </w:r>
      <w:r w:rsidRPr="005552A5">
        <w:rPr>
          <w:sz w:val="22"/>
          <w:szCs w:val="24"/>
        </w:rPr>
        <w:t xml:space="preserve">304-11. doi: 10.1016/j.envint.2014.08.008. </w:t>
      </w:r>
    </w:p>
    <w:p w14:paraId="60C9497A" w14:textId="77777777" w:rsidR="00BA6ADF" w:rsidRPr="005552A5" w:rsidRDefault="00BA6ADF" w:rsidP="00BA6ADF">
      <w:pPr>
        <w:rPr>
          <w:sz w:val="22"/>
          <w:szCs w:val="24"/>
        </w:rPr>
      </w:pPr>
    </w:p>
    <w:p w14:paraId="2514BBEB" w14:textId="77777777" w:rsidR="00EB5E22" w:rsidRPr="000B1D96" w:rsidRDefault="00EB5E22" w:rsidP="000B1D96">
      <w:pPr>
        <w:rPr>
          <w:lang w:val="x-none"/>
        </w:rPr>
      </w:pPr>
    </w:p>
    <w:p w14:paraId="2779DDBF" w14:textId="77777777" w:rsidR="00E54A75" w:rsidRPr="00D158D2" w:rsidRDefault="00E54A75" w:rsidP="00E54A75">
      <w:pPr>
        <w:pStyle w:val="Heading2"/>
        <w:rPr>
          <w:b/>
        </w:rPr>
      </w:pPr>
      <w:bookmarkStart w:id="9" w:name="_Toc444709374"/>
      <w:r w:rsidRPr="00C32D67">
        <w:rPr>
          <w:b/>
        </w:rPr>
        <w:t>B.2.</w:t>
      </w:r>
      <w:r w:rsidRPr="00D158D2">
        <w:rPr>
          <w:b/>
        </w:rPr>
        <w:tab/>
        <w:t>Procedures for the Collection of Information</w:t>
      </w:r>
      <w:bookmarkEnd w:id="9"/>
    </w:p>
    <w:p w14:paraId="093CA4C8" w14:textId="77777777" w:rsidR="004146C6" w:rsidRPr="00D158D2" w:rsidRDefault="004146C6" w:rsidP="00A965B8">
      <w:pPr>
        <w:pStyle w:val="NormalOMB"/>
        <w:ind w:firstLine="0"/>
        <w:rPr>
          <w:sz w:val="22"/>
          <w:szCs w:val="22"/>
        </w:rPr>
      </w:pPr>
    </w:p>
    <w:p w14:paraId="768A4F90" w14:textId="77777777" w:rsidR="008702A0" w:rsidRPr="00D158D2" w:rsidRDefault="00F4685D" w:rsidP="00A965B8">
      <w:pPr>
        <w:rPr>
          <w:sz w:val="22"/>
          <w:szCs w:val="22"/>
        </w:rPr>
      </w:pPr>
      <w:r w:rsidRPr="00D158D2">
        <w:rPr>
          <w:sz w:val="22"/>
          <w:szCs w:val="22"/>
        </w:rPr>
        <w:t xml:space="preserve">Briefly, information collection proceeds as follows: </w:t>
      </w:r>
      <w:r w:rsidR="00E16C78" w:rsidRPr="00D158D2">
        <w:rPr>
          <w:sz w:val="22"/>
          <w:szCs w:val="22"/>
        </w:rPr>
        <w:t xml:space="preserve">1) </w:t>
      </w:r>
      <w:r w:rsidRPr="00D158D2">
        <w:rPr>
          <w:sz w:val="22"/>
          <w:szCs w:val="22"/>
        </w:rPr>
        <w:t>trained study staff set up appointments for home visits; and</w:t>
      </w:r>
      <w:r w:rsidR="009C4A8F" w:rsidRPr="00D158D2">
        <w:rPr>
          <w:sz w:val="22"/>
          <w:szCs w:val="22"/>
        </w:rPr>
        <w:t xml:space="preserve"> </w:t>
      </w:r>
      <w:r w:rsidR="00E16C78" w:rsidRPr="00D158D2">
        <w:rPr>
          <w:sz w:val="22"/>
          <w:szCs w:val="22"/>
        </w:rPr>
        <w:t>2</w:t>
      </w:r>
      <w:r w:rsidRPr="00D158D2">
        <w:rPr>
          <w:sz w:val="22"/>
          <w:szCs w:val="22"/>
        </w:rPr>
        <w:t>) a team of two trained</w:t>
      </w:r>
      <w:r w:rsidR="00DB431C" w:rsidRPr="00D158D2">
        <w:rPr>
          <w:sz w:val="22"/>
          <w:szCs w:val="22"/>
        </w:rPr>
        <w:t xml:space="preserve"> field</w:t>
      </w:r>
      <w:r w:rsidRPr="00D158D2">
        <w:rPr>
          <w:sz w:val="22"/>
          <w:szCs w:val="22"/>
        </w:rPr>
        <w:t xml:space="preserve"> technicians collect questionnaire data and environmental samples at the study participant’s home</w:t>
      </w:r>
      <w:r w:rsidR="00570858">
        <w:rPr>
          <w:sz w:val="22"/>
          <w:szCs w:val="22"/>
        </w:rPr>
        <w:t xml:space="preserve">. </w:t>
      </w:r>
      <w:r w:rsidR="00570858">
        <w:rPr>
          <w:sz w:val="22"/>
          <w:szCs w:val="22"/>
        </w:rPr>
        <w:t>A</w:t>
      </w:r>
      <w:r w:rsidR="006F668F">
        <w:rPr>
          <w:sz w:val="22"/>
          <w:szCs w:val="22"/>
        </w:rPr>
        <w:t>t</w:t>
      </w:r>
      <w:r w:rsidR="006F668F">
        <w:rPr>
          <w:sz w:val="22"/>
          <w:szCs w:val="22"/>
        </w:rPr>
        <w:t xml:space="preserve"> each home visit, one field technician will complete a field technician report</w:t>
      </w:r>
      <w:r w:rsidRPr="00D158D2">
        <w:rPr>
          <w:sz w:val="22"/>
          <w:szCs w:val="22"/>
        </w:rPr>
        <w:t xml:space="preserve">. For more details on the </w:t>
      </w:r>
      <w:r w:rsidR="006F2666" w:rsidRPr="00D158D2">
        <w:rPr>
          <w:sz w:val="22"/>
          <w:szCs w:val="22"/>
        </w:rPr>
        <w:t xml:space="preserve">data collection procedures see </w:t>
      </w:r>
      <w:r w:rsidR="00695C0C" w:rsidRPr="00D158D2">
        <w:rPr>
          <w:b/>
          <w:sz w:val="22"/>
          <w:szCs w:val="22"/>
        </w:rPr>
        <w:t xml:space="preserve">Appendix </w:t>
      </w:r>
      <w:r w:rsidR="00DA2C5E" w:rsidRPr="00D158D2">
        <w:rPr>
          <w:b/>
          <w:sz w:val="22"/>
          <w:szCs w:val="22"/>
        </w:rPr>
        <w:t>C</w:t>
      </w:r>
      <w:r w:rsidR="0013234A">
        <w:rPr>
          <w:sz w:val="22"/>
          <w:szCs w:val="22"/>
        </w:rPr>
        <w:t xml:space="preserve">. </w:t>
      </w:r>
    </w:p>
    <w:p w14:paraId="331B4F62" w14:textId="77777777" w:rsidR="00233156" w:rsidRPr="00D158D2" w:rsidRDefault="00233156" w:rsidP="00A965B8">
      <w:pPr>
        <w:rPr>
          <w:sz w:val="22"/>
          <w:szCs w:val="22"/>
        </w:rPr>
      </w:pPr>
    </w:p>
    <w:p w14:paraId="39C1370C" w14:textId="77777777" w:rsidR="000B1323" w:rsidRPr="00D158D2" w:rsidRDefault="000B1323" w:rsidP="000B1323">
      <w:pPr>
        <w:rPr>
          <w:sz w:val="22"/>
          <w:szCs w:val="22"/>
        </w:rPr>
      </w:pPr>
      <w:r w:rsidRPr="00D158D2">
        <w:rPr>
          <w:sz w:val="22"/>
          <w:szCs w:val="22"/>
        </w:rPr>
        <w:t>To assess the environment</w:t>
      </w:r>
      <w:r w:rsidR="00E65048">
        <w:rPr>
          <w:sz w:val="22"/>
          <w:szCs w:val="22"/>
        </w:rPr>
        <w:t>al</w:t>
      </w:r>
      <w:r w:rsidRPr="00D158D2">
        <w:rPr>
          <w:sz w:val="22"/>
          <w:szCs w:val="22"/>
        </w:rPr>
        <w:t xml:space="preserve"> variables, </w:t>
      </w:r>
      <w:r w:rsidR="00570858" w:rsidRPr="004A2810">
        <w:rPr>
          <w:sz w:val="22"/>
          <w:szCs w:val="22"/>
        </w:rPr>
        <w:t>the mother/primary caregiver</w:t>
      </w:r>
      <w:r w:rsidRPr="00D158D2">
        <w:rPr>
          <w:sz w:val="22"/>
          <w:szCs w:val="22"/>
        </w:rPr>
        <w:t xml:space="preserve"> will answer questionnaires at each of the four home visits. During each visit period, the study technicians will visit the home on Day 1 to collect samples/information and deploy equipment, and return on Day 5 to collect additional samples and retrieve equipment. </w:t>
      </w:r>
      <w:r w:rsidR="00570858">
        <w:rPr>
          <w:sz w:val="22"/>
          <w:szCs w:val="22"/>
        </w:rPr>
        <w:t>E</w:t>
      </w:r>
      <w:r w:rsidRPr="00D158D2">
        <w:rPr>
          <w:sz w:val="22"/>
          <w:szCs w:val="22"/>
        </w:rPr>
        <w:t>ach mother/primary caregiver who will be queried about consumer products used in the home and information pertaining to each of the enrolled children: location throughout the day, transportation used, activities, and foods consumed. The questionnaire</w:t>
      </w:r>
      <w:r w:rsidR="006F668F">
        <w:rPr>
          <w:sz w:val="22"/>
          <w:szCs w:val="22"/>
        </w:rPr>
        <w:t>s</w:t>
      </w:r>
      <w:r w:rsidRPr="00D158D2">
        <w:rPr>
          <w:sz w:val="22"/>
          <w:szCs w:val="22"/>
        </w:rPr>
        <w:t xml:space="preserve"> and estimated time burdens are listed in Section A.12. To ease the burden on the participants</w:t>
      </w:r>
      <w:r w:rsidR="00755840">
        <w:rPr>
          <w:sz w:val="22"/>
          <w:szCs w:val="22"/>
        </w:rPr>
        <w:t>,</w:t>
      </w:r>
      <w:r w:rsidRPr="00D158D2">
        <w:rPr>
          <w:sz w:val="22"/>
          <w:szCs w:val="22"/>
        </w:rPr>
        <w:t xml:space="preserve"> the </w:t>
      </w:r>
      <w:r w:rsidR="00570858">
        <w:rPr>
          <w:sz w:val="22"/>
          <w:szCs w:val="22"/>
        </w:rPr>
        <w:t>Add-on Study</w:t>
      </w:r>
      <w:r w:rsidR="00570858" w:rsidRPr="00D158D2">
        <w:rPr>
          <w:sz w:val="22"/>
          <w:szCs w:val="22"/>
        </w:rPr>
        <w:t xml:space="preserve"> </w:t>
      </w:r>
      <w:r w:rsidRPr="00D158D2">
        <w:rPr>
          <w:sz w:val="22"/>
          <w:szCs w:val="22"/>
        </w:rPr>
        <w:t>will employ the same schedule to ensure that additional visits are unnecessary. The housing and community information, duplicate diet, nail clippings, blood, and feces will be collected at a single visit</w:t>
      </w:r>
      <w:r w:rsidR="0013234A">
        <w:rPr>
          <w:sz w:val="22"/>
          <w:szCs w:val="22"/>
        </w:rPr>
        <w:t xml:space="preserve">. </w:t>
      </w:r>
    </w:p>
    <w:p w14:paraId="44699609" w14:textId="77777777" w:rsidR="000B1323" w:rsidRPr="00D158D2" w:rsidRDefault="000B1323" w:rsidP="000B1323">
      <w:pPr>
        <w:rPr>
          <w:sz w:val="24"/>
          <w:szCs w:val="24"/>
        </w:rPr>
      </w:pPr>
    </w:p>
    <w:p w14:paraId="21ADA679" w14:textId="77777777" w:rsidR="000B1323" w:rsidRPr="00D158D2" w:rsidRDefault="00E65048" w:rsidP="000B1323">
      <w:pPr>
        <w:pStyle w:val="NoSpacing"/>
        <w:rPr>
          <w:rFonts w:ascii="Times New Roman" w:hAnsi="Times New Roman"/>
        </w:rPr>
      </w:pPr>
      <w:r>
        <w:rPr>
          <w:rFonts w:ascii="Times New Roman" w:hAnsi="Times New Roman"/>
        </w:rPr>
        <w:t xml:space="preserve">While </w:t>
      </w:r>
      <w:r w:rsidR="000C12FC">
        <w:rPr>
          <w:rFonts w:ascii="Times New Roman" w:hAnsi="Times New Roman"/>
        </w:rPr>
        <w:t>siblings</w:t>
      </w:r>
      <w:r>
        <w:rPr>
          <w:rFonts w:ascii="Times New Roman" w:hAnsi="Times New Roman"/>
        </w:rPr>
        <w:t xml:space="preserve"> are asked to provide biological samples and the mother /caregiver would provide their duplicate diets, a complete matched set of these four samples is necessary for mass-balance estimation (described in </w:t>
      </w:r>
      <w:r w:rsidRPr="00AC2BF0">
        <w:rPr>
          <w:rFonts w:ascii="Times New Roman" w:hAnsi="Times New Roman"/>
          <w:b/>
        </w:rPr>
        <w:t>Appendix C</w:t>
      </w:r>
      <w:r w:rsidRPr="00835279">
        <w:rPr>
          <w:rFonts w:ascii="Times New Roman" w:hAnsi="Times New Roman"/>
        </w:rPr>
        <w:t>)</w:t>
      </w:r>
      <w:r>
        <w:rPr>
          <w:rFonts w:ascii="Times New Roman" w:hAnsi="Times New Roman"/>
        </w:rPr>
        <w:t>: 1) feces; 2) duplicate diet, 3) blood (collected in EDTA tubes); and 4) nails</w:t>
      </w:r>
      <w:r w:rsidR="0013234A">
        <w:rPr>
          <w:rFonts w:ascii="Times New Roman" w:hAnsi="Times New Roman"/>
        </w:rPr>
        <w:t xml:space="preserve">. </w:t>
      </w:r>
    </w:p>
    <w:p w14:paraId="1DD82336" w14:textId="77777777" w:rsidR="000B1323" w:rsidRPr="00D158D2" w:rsidRDefault="000B1323" w:rsidP="000B1323">
      <w:pPr>
        <w:rPr>
          <w:sz w:val="22"/>
          <w:szCs w:val="22"/>
        </w:rPr>
      </w:pPr>
    </w:p>
    <w:p w14:paraId="07CB8B63" w14:textId="77777777" w:rsidR="004146C6" w:rsidRPr="00D158D2" w:rsidRDefault="008702A0" w:rsidP="004770B9">
      <w:pPr>
        <w:rPr>
          <w:sz w:val="22"/>
          <w:szCs w:val="22"/>
        </w:rPr>
      </w:pPr>
      <w:r w:rsidRPr="00D158D2">
        <w:rPr>
          <w:sz w:val="22"/>
          <w:szCs w:val="22"/>
        </w:rPr>
        <w:t>Statistical analysis:</w:t>
      </w:r>
      <w:r w:rsidR="00C2675E" w:rsidRPr="00D158D2">
        <w:rPr>
          <w:sz w:val="22"/>
          <w:szCs w:val="22"/>
        </w:rPr>
        <w:t xml:space="preserve"> </w:t>
      </w:r>
      <w:r w:rsidR="00E65048">
        <w:rPr>
          <w:sz w:val="22"/>
          <w:szCs w:val="22"/>
        </w:rPr>
        <w:t>Results from a</w:t>
      </w:r>
      <w:r w:rsidR="004146C6" w:rsidRPr="00D158D2">
        <w:rPr>
          <w:sz w:val="22"/>
          <w:szCs w:val="22"/>
        </w:rPr>
        <w:t xml:space="preserve">ll </w:t>
      </w:r>
      <w:r w:rsidR="00E65048">
        <w:rPr>
          <w:sz w:val="22"/>
          <w:szCs w:val="22"/>
        </w:rPr>
        <w:t xml:space="preserve">types of </w:t>
      </w:r>
      <w:r w:rsidR="004146C6" w:rsidRPr="00D158D2">
        <w:rPr>
          <w:sz w:val="22"/>
          <w:szCs w:val="22"/>
        </w:rPr>
        <w:t xml:space="preserve">media will be analyzed </w:t>
      </w:r>
      <w:r w:rsidR="005D2030" w:rsidRPr="00D158D2">
        <w:rPr>
          <w:sz w:val="22"/>
          <w:szCs w:val="22"/>
        </w:rPr>
        <w:t>using descriptive statistics</w:t>
      </w:r>
      <w:r w:rsidR="00033764">
        <w:rPr>
          <w:sz w:val="22"/>
          <w:szCs w:val="22"/>
        </w:rPr>
        <w:t xml:space="preserve"> </w:t>
      </w:r>
      <w:r w:rsidR="004146C6" w:rsidRPr="00D158D2">
        <w:rPr>
          <w:sz w:val="22"/>
          <w:szCs w:val="22"/>
        </w:rPr>
        <w:t xml:space="preserve">and </w:t>
      </w:r>
      <w:r w:rsidR="00DB1B83" w:rsidRPr="00D158D2">
        <w:rPr>
          <w:sz w:val="22"/>
          <w:szCs w:val="22"/>
        </w:rPr>
        <w:t>compared between</w:t>
      </w:r>
      <w:r w:rsidR="00DB1B83">
        <w:rPr>
          <w:sz w:val="22"/>
          <w:szCs w:val="22"/>
        </w:rPr>
        <w:t xml:space="preserve"> and among each media type</w:t>
      </w:r>
      <w:r w:rsidR="00E65048">
        <w:rPr>
          <w:sz w:val="22"/>
          <w:szCs w:val="22"/>
        </w:rPr>
        <w:t xml:space="preserve"> </w:t>
      </w:r>
      <w:r w:rsidR="00E65048" w:rsidRPr="00D158D2">
        <w:rPr>
          <w:sz w:val="22"/>
          <w:szCs w:val="22"/>
        </w:rPr>
        <w:t xml:space="preserve">(see </w:t>
      </w:r>
      <w:r w:rsidR="00E65048" w:rsidRPr="00D158D2">
        <w:rPr>
          <w:b/>
          <w:sz w:val="22"/>
          <w:szCs w:val="22"/>
        </w:rPr>
        <w:t>Appendix C</w:t>
      </w:r>
      <w:r w:rsidR="00E65048" w:rsidRPr="00D158D2">
        <w:rPr>
          <w:sz w:val="22"/>
          <w:szCs w:val="22"/>
        </w:rPr>
        <w:t>)</w:t>
      </w:r>
      <w:r w:rsidR="00DB1B83">
        <w:rPr>
          <w:sz w:val="22"/>
          <w:szCs w:val="22"/>
        </w:rPr>
        <w:t xml:space="preserve">. </w:t>
      </w:r>
      <w:r w:rsidR="004146C6" w:rsidRPr="00D158D2">
        <w:rPr>
          <w:sz w:val="22"/>
          <w:szCs w:val="22"/>
        </w:rPr>
        <w:t>Cross-sectional</w:t>
      </w:r>
      <w:r w:rsidR="00E65048">
        <w:rPr>
          <w:sz w:val="22"/>
          <w:szCs w:val="22"/>
        </w:rPr>
        <w:t xml:space="preserve"> and </w:t>
      </w:r>
      <w:r w:rsidR="004146C6" w:rsidRPr="00D158D2">
        <w:rPr>
          <w:sz w:val="22"/>
          <w:szCs w:val="22"/>
        </w:rPr>
        <w:t>longitudinal analyses will be conducted</w:t>
      </w:r>
      <w:r w:rsidR="0013234A">
        <w:rPr>
          <w:sz w:val="22"/>
          <w:szCs w:val="22"/>
        </w:rPr>
        <w:t xml:space="preserve">. </w:t>
      </w:r>
      <w:r w:rsidR="004146C6" w:rsidRPr="00D158D2">
        <w:rPr>
          <w:sz w:val="22"/>
          <w:szCs w:val="22"/>
        </w:rPr>
        <w:t xml:space="preserve">Data quality </w:t>
      </w:r>
      <w:r w:rsidR="00A43AD5" w:rsidRPr="00D158D2">
        <w:rPr>
          <w:sz w:val="22"/>
          <w:szCs w:val="22"/>
        </w:rPr>
        <w:t>measures such as</w:t>
      </w:r>
      <w:r w:rsidR="004146C6" w:rsidRPr="00D158D2">
        <w:rPr>
          <w:sz w:val="22"/>
          <w:szCs w:val="22"/>
        </w:rPr>
        <w:t xml:space="preserve"> </w:t>
      </w:r>
      <w:r w:rsidR="009230CD" w:rsidRPr="00D158D2">
        <w:rPr>
          <w:sz w:val="22"/>
          <w:szCs w:val="22"/>
        </w:rPr>
        <w:t xml:space="preserve">survey </w:t>
      </w:r>
      <w:r w:rsidR="004146C6" w:rsidRPr="00D158D2">
        <w:rPr>
          <w:sz w:val="22"/>
          <w:szCs w:val="22"/>
        </w:rPr>
        <w:t>percent completion</w:t>
      </w:r>
      <w:r w:rsidR="00F82092" w:rsidRPr="00D158D2">
        <w:rPr>
          <w:sz w:val="22"/>
          <w:szCs w:val="22"/>
        </w:rPr>
        <w:t xml:space="preserve">, percent of homes where </w:t>
      </w:r>
      <w:r w:rsidR="00CB693E" w:rsidRPr="00D158D2">
        <w:rPr>
          <w:sz w:val="22"/>
          <w:szCs w:val="22"/>
        </w:rPr>
        <w:t xml:space="preserve">an </w:t>
      </w:r>
      <w:r w:rsidR="009230CD" w:rsidRPr="00D158D2">
        <w:rPr>
          <w:sz w:val="22"/>
          <w:szCs w:val="22"/>
        </w:rPr>
        <w:t xml:space="preserve">analyte </w:t>
      </w:r>
      <w:r w:rsidR="00F82092" w:rsidRPr="00D158D2">
        <w:rPr>
          <w:sz w:val="22"/>
          <w:szCs w:val="22"/>
        </w:rPr>
        <w:t xml:space="preserve">was </w:t>
      </w:r>
      <w:r w:rsidR="004146C6" w:rsidRPr="00D158D2">
        <w:rPr>
          <w:sz w:val="22"/>
          <w:szCs w:val="22"/>
        </w:rPr>
        <w:t xml:space="preserve">detected, </w:t>
      </w:r>
      <w:r w:rsidR="00F82092" w:rsidRPr="00D158D2">
        <w:rPr>
          <w:sz w:val="22"/>
          <w:szCs w:val="22"/>
        </w:rPr>
        <w:t xml:space="preserve">measurement </w:t>
      </w:r>
      <w:r w:rsidR="00E65048">
        <w:rPr>
          <w:sz w:val="22"/>
          <w:szCs w:val="22"/>
        </w:rPr>
        <w:t>variation</w:t>
      </w:r>
      <w:r w:rsidR="00A27109" w:rsidRPr="00D158D2">
        <w:rPr>
          <w:sz w:val="22"/>
          <w:szCs w:val="22"/>
        </w:rPr>
        <w:t xml:space="preserve"> will</w:t>
      </w:r>
      <w:r w:rsidR="004146C6" w:rsidRPr="00D158D2">
        <w:rPr>
          <w:sz w:val="22"/>
          <w:szCs w:val="22"/>
        </w:rPr>
        <w:t xml:space="preserve"> be assessed</w:t>
      </w:r>
      <w:r w:rsidR="005D2030" w:rsidRPr="00D158D2">
        <w:rPr>
          <w:sz w:val="22"/>
          <w:szCs w:val="22"/>
        </w:rPr>
        <w:t>.</w:t>
      </w:r>
      <w:r w:rsidR="004146C6" w:rsidRPr="00D158D2">
        <w:rPr>
          <w:sz w:val="22"/>
          <w:szCs w:val="22"/>
        </w:rPr>
        <w:t xml:space="preserve"> </w:t>
      </w:r>
    </w:p>
    <w:p w14:paraId="26AF145B" w14:textId="77777777" w:rsidR="004146C6" w:rsidRPr="00D158D2" w:rsidRDefault="004146C6" w:rsidP="004146C6">
      <w:pPr>
        <w:pStyle w:val="NoSpacing"/>
        <w:rPr>
          <w:rFonts w:ascii="Times New Roman" w:hAnsi="Times New Roman"/>
        </w:rPr>
      </w:pPr>
    </w:p>
    <w:p w14:paraId="25ACB429" w14:textId="77777777" w:rsidR="004146C6" w:rsidRPr="00D158D2" w:rsidRDefault="004146C6" w:rsidP="004146C6">
      <w:pPr>
        <w:pStyle w:val="NoSpacing"/>
        <w:rPr>
          <w:rFonts w:ascii="Times New Roman" w:hAnsi="Times New Roman"/>
        </w:rPr>
      </w:pPr>
      <w:r w:rsidRPr="00D158D2">
        <w:rPr>
          <w:rFonts w:ascii="Times New Roman" w:hAnsi="Times New Roman"/>
        </w:rPr>
        <w:t xml:space="preserve">Descriptive statistics, </w:t>
      </w:r>
      <w:r w:rsidR="00570858">
        <w:rPr>
          <w:rFonts w:ascii="Times New Roman" w:hAnsi="Times New Roman"/>
        </w:rPr>
        <w:t>regression</w:t>
      </w:r>
      <w:r w:rsidR="00570858" w:rsidRPr="00D158D2">
        <w:rPr>
          <w:rFonts w:ascii="Times New Roman" w:hAnsi="Times New Roman"/>
        </w:rPr>
        <w:t xml:space="preserve"> </w:t>
      </w:r>
      <w:r w:rsidRPr="00D158D2">
        <w:rPr>
          <w:rFonts w:ascii="Times New Roman" w:hAnsi="Times New Roman"/>
        </w:rPr>
        <w:t xml:space="preserve">analyses, and correlations will be employed to evaluate the </w:t>
      </w:r>
      <w:r w:rsidR="00570858">
        <w:rPr>
          <w:rFonts w:ascii="Times New Roman" w:hAnsi="Times New Roman"/>
        </w:rPr>
        <w:t>Add-on Study</w:t>
      </w:r>
      <w:r w:rsidR="00570858" w:rsidRPr="00D158D2">
        <w:rPr>
          <w:rFonts w:ascii="Times New Roman" w:hAnsi="Times New Roman"/>
        </w:rPr>
        <w:t xml:space="preserve"> </w:t>
      </w:r>
      <w:r w:rsidRPr="00D158D2">
        <w:rPr>
          <w:rFonts w:ascii="Times New Roman" w:hAnsi="Times New Roman"/>
        </w:rPr>
        <w:t xml:space="preserve">data. Descriptive statistics will be developed for all variables to be used in data analyses </w:t>
      </w:r>
      <w:r w:rsidR="00E83DD9" w:rsidRPr="00D158D2">
        <w:rPr>
          <w:rFonts w:ascii="Times New Roman" w:hAnsi="Times New Roman"/>
        </w:rPr>
        <w:t xml:space="preserve">that will be conducted </w:t>
      </w:r>
      <w:r w:rsidR="00CB693E" w:rsidRPr="00D158D2">
        <w:rPr>
          <w:rFonts w:ascii="Times New Roman" w:hAnsi="Times New Roman"/>
        </w:rPr>
        <w:t>as a means of addressing</w:t>
      </w:r>
      <w:r w:rsidR="00F85102" w:rsidRPr="00D158D2">
        <w:rPr>
          <w:rFonts w:ascii="Times New Roman" w:hAnsi="Times New Roman"/>
        </w:rPr>
        <w:t xml:space="preserve"> </w:t>
      </w:r>
      <w:r w:rsidRPr="00D158D2">
        <w:rPr>
          <w:rFonts w:ascii="Times New Roman" w:hAnsi="Times New Roman"/>
        </w:rPr>
        <w:t xml:space="preserve">the research objectives. Categorical variables will be summarized </w:t>
      </w:r>
      <w:r w:rsidRPr="00D158D2">
        <w:rPr>
          <w:rFonts w:ascii="Times New Roman" w:hAnsi="Times New Roman"/>
        </w:rPr>
        <w:lastRenderedPageBreak/>
        <w:t>by frequencies, while continuous variables will be summarized by mean, standard deviation, median, and range. Environmental and biological measurement variables</w:t>
      </w:r>
      <w:r w:rsidR="00321772" w:rsidRPr="00D158D2">
        <w:rPr>
          <w:rFonts w:ascii="Times New Roman" w:hAnsi="Times New Roman"/>
        </w:rPr>
        <w:t>,</w:t>
      </w:r>
      <w:r w:rsidRPr="00D158D2">
        <w:rPr>
          <w:rFonts w:ascii="Times New Roman" w:hAnsi="Times New Roman"/>
        </w:rPr>
        <w:t xml:space="preserve"> such as analyte concentrations in dust and urinary biomarker concentrations</w:t>
      </w:r>
      <w:r w:rsidR="00321772" w:rsidRPr="00D158D2">
        <w:rPr>
          <w:rFonts w:ascii="Times New Roman" w:hAnsi="Times New Roman"/>
        </w:rPr>
        <w:t>,</w:t>
      </w:r>
      <w:r w:rsidRPr="00D158D2">
        <w:rPr>
          <w:rFonts w:ascii="Times New Roman" w:hAnsi="Times New Roman"/>
        </w:rPr>
        <w:t xml:space="preserve"> will be characterized by mean and standard deviation, median, range, appropriate distribution percentile values, and percent of measurements above the detection limit.</w:t>
      </w:r>
    </w:p>
    <w:p w14:paraId="6D885F36" w14:textId="77777777" w:rsidR="004146C6" w:rsidRPr="00D158D2" w:rsidRDefault="004146C6" w:rsidP="004146C6">
      <w:pPr>
        <w:pStyle w:val="NoSpacing"/>
        <w:rPr>
          <w:rFonts w:ascii="Times New Roman" w:hAnsi="Times New Roman"/>
        </w:rPr>
      </w:pPr>
    </w:p>
    <w:p w14:paraId="23B97E0D" w14:textId="77777777" w:rsidR="004146C6" w:rsidRDefault="004146C6" w:rsidP="004146C6">
      <w:pPr>
        <w:pStyle w:val="NoSpacing"/>
        <w:rPr>
          <w:rFonts w:ascii="Times New Roman" w:hAnsi="Times New Roman"/>
        </w:rPr>
      </w:pPr>
      <w:r w:rsidRPr="00D158D2">
        <w:rPr>
          <w:rFonts w:ascii="Times New Roman" w:hAnsi="Times New Roman"/>
        </w:rPr>
        <w:t>For detection limit censored data distributions, appropriate approaches for reducing bias in distributional parameter estimates will be considered</w:t>
      </w:r>
      <w:r w:rsidR="0013234A">
        <w:rPr>
          <w:rFonts w:ascii="Times New Roman" w:hAnsi="Times New Roman"/>
        </w:rPr>
        <w:t xml:space="preserve">. </w:t>
      </w:r>
      <w:r w:rsidRPr="00D158D2">
        <w:rPr>
          <w:rFonts w:ascii="Times New Roman" w:hAnsi="Times New Roman"/>
        </w:rPr>
        <w:t>Measurement distributions will be assessed for normality using the Shapiro-Wilks or other appropriate normality test. Depending on the distribution, measurement values may be log-transformed to compute geometric means and geometric standard deviations. Other types of transformations and/or non-parametric analysis methods will be considered if necessary.</w:t>
      </w:r>
      <w:r w:rsidR="008E48B8" w:rsidRPr="00D158D2">
        <w:rPr>
          <w:rFonts w:ascii="Times New Roman" w:hAnsi="Times New Roman"/>
        </w:rPr>
        <w:t xml:space="preserve"> </w:t>
      </w:r>
    </w:p>
    <w:p w14:paraId="1CEE2F9D" w14:textId="77777777" w:rsidR="00A965B8" w:rsidRPr="000B1D96" w:rsidRDefault="00A965B8" w:rsidP="000B1D96">
      <w:pPr>
        <w:rPr>
          <w:sz w:val="24"/>
        </w:rPr>
      </w:pPr>
    </w:p>
    <w:p w14:paraId="78A56DBA" w14:textId="77777777" w:rsidR="00EB5E22" w:rsidRPr="000B1D96" w:rsidRDefault="00EB5E22" w:rsidP="000B1D96">
      <w:pPr>
        <w:pStyle w:val="Heading2"/>
        <w:rPr>
          <w:b/>
        </w:rPr>
      </w:pPr>
      <w:bookmarkStart w:id="10" w:name="_Toc387698630"/>
      <w:bookmarkStart w:id="11" w:name="_Toc387698779"/>
    </w:p>
    <w:p w14:paraId="7D6F74A6" w14:textId="77777777" w:rsidR="00A965B8" w:rsidRPr="00D158D2" w:rsidRDefault="00BE5387" w:rsidP="00502B31">
      <w:pPr>
        <w:pStyle w:val="Heading2"/>
        <w:rPr>
          <w:b/>
        </w:rPr>
      </w:pPr>
      <w:bookmarkStart w:id="12" w:name="_Toc444709375"/>
      <w:bookmarkStart w:id="13" w:name="_Toc426634076"/>
      <w:r w:rsidRPr="00D158D2">
        <w:rPr>
          <w:b/>
        </w:rPr>
        <w:t>B.</w:t>
      </w:r>
      <w:r w:rsidR="00A965B8" w:rsidRPr="00D158D2">
        <w:rPr>
          <w:b/>
        </w:rPr>
        <w:t>3.</w:t>
      </w:r>
      <w:r w:rsidR="00A965B8" w:rsidRPr="00D158D2">
        <w:rPr>
          <w:b/>
        </w:rPr>
        <w:tab/>
        <w:t>Methods to Maximize Response Rates and Deal with Nonresponse</w:t>
      </w:r>
      <w:bookmarkEnd w:id="10"/>
      <w:bookmarkEnd w:id="11"/>
      <w:bookmarkEnd w:id="12"/>
      <w:bookmarkEnd w:id="13"/>
    </w:p>
    <w:p w14:paraId="37DAFCB7" w14:textId="77777777" w:rsidR="00A965B8" w:rsidRPr="00D158D2" w:rsidRDefault="00A965B8" w:rsidP="00A965B8">
      <w:pPr>
        <w:rPr>
          <w:sz w:val="24"/>
          <w:szCs w:val="24"/>
        </w:rPr>
      </w:pPr>
    </w:p>
    <w:p w14:paraId="671DCE6C" w14:textId="77777777" w:rsidR="00A965B8" w:rsidRPr="00D158D2" w:rsidRDefault="0037194B" w:rsidP="00A965B8">
      <w:pPr>
        <w:pStyle w:val="NormalOMB"/>
        <w:ind w:firstLine="0"/>
        <w:rPr>
          <w:sz w:val="22"/>
          <w:szCs w:val="22"/>
        </w:rPr>
      </w:pPr>
      <w:r w:rsidRPr="00D158D2">
        <w:rPr>
          <w:sz w:val="22"/>
          <w:szCs w:val="22"/>
        </w:rPr>
        <w:t>We employ a number of strategies in an attempt to maximize response rates</w:t>
      </w:r>
      <w:r w:rsidR="0013234A">
        <w:rPr>
          <w:sz w:val="22"/>
          <w:szCs w:val="22"/>
        </w:rPr>
        <w:t xml:space="preserve">. </w:t>
      </w:r>
      <w:r w:rsidRPr="00D158D2">
        <w:rPr>
          <w:sz w:val="22"/>
          <w:szCs w:val="22"/>
        </w:rPr>
        <w:t>These include having a trained</w:t>
      </w:r>
      <w:r w:rsidR="00A24954" w:rsidRPr="00D158D2">
        <w:rPr>
          <w:sz w:val="22"/>
          <w:szCs w:val="22"/>
        </w:rPr>
        <w:t xml:space="preserve"> field staff</w:t>
      </w:r>
      <w:r w:rsidRPr="00D158D2">
        <w:rPr>
          <w:sz w:val="22"/>
          <w:szCs w:val="22"/>
        </w:rPr>
        <w:t xml:space="preserve"> technician</w:t>
      </w:r>
      <w:r w:rsidR="00A24954" w:rsidRPr="00D158D2">
        <w:rPr>
          <w:sz w:val="22"/>
          <w:szCs w:val="22"/>
        </w:rPr>
        <w:t>:</w:t>
      </w:r>
      <w:r w:rsidRPr="00D158D2">
        <w:rPr>
          <w:sz w:val="22"/>
          <w:szCs w:val="22"/>
        </w:rPr>
        <w:t xml:space="preserve"> 1) make multiple phone calls/visits at different times of day and on different days of the week; 2) leave detailed messages with </w:t>
      </w:r>
      <w:r w:rsidR="00CB693E" w:rsidRPr="00D158D2">
        <w:rPr>
          <w:sz w:val="22"/>
          <w:szCs w:val="22"/>
        </w:rPr>
        <w:t xml:space="preserve">a </w:t>
      </w:r>
      <w:r w:rsidRPr="00D158D2">
        <w:rPr>
          <w:sz w:val="22"/>
          <w:szCs w:val="22"/>
        </w:rPr>
        <w:t>call-back number; and 3) calling “alternate contacts</w:t>
      </w:r>
      <w:r w:rsidR="00A24954" w:rsidRPr="00D158D2">
        <w:rPr>
          <w:sz w:val="22"/>
          <w:szCs w:val="22"/>
        </w:rPr>
        <w:t>.</w:t>
      </w:r>
      <w:r w:rsidRPr="00D158D2">
        <w:rPr>
          <w:sz w:val="22"/>
          <w:szCs w:val="22"/>
        </w:rPr>
        <w:t xml:space="preserve">”  </w:t>
      </w:r>
      <w:r w:rsidR="00315836" w:rsidRPr="00D158D2">
        <w:rPr>
          <w:sz w:val="22"/>
          <w:szCs w:val="22"/>
        </w:rPr>
        <w:t xml:space="preserve">“Alternate contact” information will be requested from each mother/caregiver </w:t>
      </w:r>
      <w:r w:rsidR="00BD39AF" w:rsidRPr="00D158D2">
        <w:rPr>
          <w:sz w:val="22"/>
          <w:szCs w:val="22"/>
        </w:rPr>
        <w:t xml:space="preserve">to be used by the field staff </w:t>
      </w:r>
      <w:r w:rsidR="00315836" w:rsidRPr="00D158D2">
        <w:rPr>
          <w:sz w:val="22"/>
          <w:szCs w:val="22"/>
        </w:rPr>
        <w:t xml:space="preserve">in the event </w:t>
      </w:r>
      <w:r w:rsidR="00BD39AF" w:rsidRPr="00D158D2">
        <w:rPr>
          <w:sz w:val="22"/>
          <w:szCs w:val="22"/>
        </w:rPr>
        <w:t>the mother/caregiver</w:t>
      </w:r>
      <w:r w:rsidR="00315836" w:rsidRPr="00D158D2">
        <w:rPr>
          <w:sz w:val="22"/>
          <w:szCs w:val="22"/>
        </w:rPr>
        <w:t xml:space="preserve"> cannot be reached at the contact number(s) </w:t>
      </w:r>
      <w:r w:rsidR="00BD39AF" w:rsidRPr="00D158D2">
        <w:rPr>
          <w:sz w:val="22"/>
          <w:szCs w:val="22"/>
        </w:rPr>
        <w:t>provided</w:t>
      </w:r>
      <w:r w:rsidR="00315836" w:rsidRPr="00D158D2">
        <w:rPr>
          <w:sz w:val="22"/>
          <w:szCs w:val="22"/>
        </w:rPr>
        <w:t xml:space="preserve"> </w:t>
      </w:r>
      <w:r w:rsidR="00BD39AF" w:rsidRPr="00D158D2">
        <w:rPr>
          <w:sz w:val="22"/>
          <w:szCs w:val="22"/>
        </w:rPr>
        <w:t>on the consent form.</w:t>
      </w:r>
      <w:r w:rsidR="002859B6" w:rsidRPr="00D158D2">
        <w:rPr>
          <w:sz w:val="22"/>
          <w:szCs w:val="22"/>
        </w:rPr>
        <w:t xml:space="preserve"> </w:t>
      </w:r>
    </w:p>
    <w:p w14:paraId="7D84EC2F" w14:textId="77777777" w:rsidR="00920167" w:rsidRPr="00D158D2" w:rsidRDefault="00920167" w:rsidP="00502B31">
      <w:pPr>
        <w:rPr>
          <w:b/>
        </w:rPr>
      </w:pPr>
    </w:p>
    <w:p w14:paraId="6F65B6F1" w14:textId="77777777" w:rsidR="00EB5E22" w:rsidRDefault="00EB5E22" w:rsidP="00502B31">
      <w:pPr>
        <w:pStyle w:val="Heading2"/>
        <w:rPr>
          <w:b/>
        </w:rPr>
      </w:pPr>
      <w:bookmarkStart w:id="14" w:name="_Toc387698631"/>
      <w:bookmarkStart w:id="15" w:name="_Toc387698780"/>
    </w:p>
    <w:p w14:paraId="2C281CBC" w14:textId="77777777" w:rsidR="00A965B8" w:rsidRPr="00D158D2" w:rsidRDefault="00BE5387" w:rsidP="00502B31">
      <w:pPr>
        <w:pStyle w:val="Heading2"/>
        <w:rPr>
          <w:b/>
          <w:lang w:val="en-US"/>
        </w:rPr>
      </w:pPr>
      <w:bookmarkStart w:id="16" w:name="_Toc444709376"/>
      <w:bookmarkStart w:id="17" w:name="_Toc426634077"/>
      <w:r w:rsidRPr="00D158D2">
        <w:rPr>
          <w:b/>
        </w:rPr>
        <w:t>B.</w:t>
      </w:r>
      <w:r w:rsidR="00A965B8" w:rsidRPr="00D158D2">
        <w:rPr>
          <w:b/>
        </w:rPr>
        <w:t>4.</w:t>
      </w:r>
      <w:r w:rsidR="00A965B8" w:rsidRPr="00D158D2">
        <w:rPr>
          <w:b/>
        </w:rPr>
        <w:tab/>
        <w:t>Tests of Procedures or Methods to be Undertaken</w:t>
      </w:r>
      <w:bookmarkEnd w:id="14"/>
      <w:bookmarkEnd w:id="15"/>
      <w:bookmarkEnd w:id="16"/>
      <w:bookmarkEnd w:id="17"/>
    </w:p>
    <w:p w14:paraId="19E32267" w14:textId="77777777" w:rsidR="00920167" w:rsidRPr="00D158D2" w:rsidRDefault="00920167" w:rsidP="00502B31">
      <w:pPr>
        <w:rPr>
          <w:sz w:val="22"/>
          <w:szCs w:val="22"/>
          <w:lang w:eastAsia="x-none"/>
        </w:rPr>
      </w:pPr>
    </w:p>
    <w:p w14:paraId="39AB958C" w14:textId="77777777" w:rsidR="00A965B8" w:rsidRPr="004522CD" w:rsidRDefault="00300A8D" w:rsidP="00A965B8">
      <w:pPr>
        <w:pStyle w:val="BodyTextIndent3"/>
        <w:widowControl/>
        <w:ind w:left="0"/>
        <w:rPr>
          <w:sz w:val="22"/>
          <w:szCs w:val="22"/>
        </w:rPr>
      </w:pPr>
      <w:r w:rsidRPr="00F86BE4">
        <w:rPr>
          <w:sz w:val="22"/>
          <w:szCs w:val="22"/>
        </w:rPr>
        <w:t>The</w:t>
      </w:r>
      <w:r w:rsidR="00110062" w:rsidRPr="000F0FC9">
        <w:rPr>
          <w:sz w:val="22"/>
          <w:szCs w:val="22"/>
          <w:lang w:val="en-US"/>
        </w:rPr>
        <w:t xml:space="preserve"> </w:t>
      </w:r>
      <w:r w:rsidR="00570858">
        <w:rPr>
          <w:sz w:val="22"/>
          <w:szCs w:val="22"/>
          <w:lang w:val="en-US"/>
        </w:rPr>
        <w:t>Add-on Study</w:t>
      </w:r>
      <w:r w:rsidR="00110062" w:rsidRPr="000F0FC9">
        <w:rPr>
          <w:sz w:val="22"/>
          <w:szCs w:val="22"/>
          <w:lang w:val="en-US"/>
        </w:rPr>
        <w:t xml:space="preserve"> </w:t>
      </w:r>
      <w:r w:rsidR="004146C6" w:rsidRPr="000F0FC9">
        <w:rPr>
          <w:sz w:val="22"/>
          <w:szCs w:val="22"/>
        </w:rPr>
        <w:t>questionnaire</w:t>
      </w:r>
      <w:r w:rsidR="006F668F" w:rsidRPr="000F0FC9">
        <w:rPr>
          <w:sz w:val="22"/>
          <w:szCs w:val="22"/>
          <w:lang w:val="en-US"/>
        </w:rPr>
        <w:t>s</w:t>
      </w:r>
      <w:r w:rsidR="004146C6" w:rsidRPr="000F0FC9">
        <w:rPr>
          <w:sz w:val="22"/>
          <w:szCs w:val="22"/>
          <w:lang w:val="en-US"/>
        </w:rPr>
        <w:t xml:space="preserve"> </w:t>
      </w:r>
      <w:r w:rsidR="006F668F" w:rsidRPr="000F0FC9">
        <w:rPr>
          <w:sz w:val="22"/>
          <w:szCs w:val="22"/>
          <w:lang w:val="en-US"/>
        </w:rPr>
        <w:t>are</w:t>
      </w:r>
      <w:r w:rsidR="004146C6" w:rsidRPr="000F0FC9">
        <w:rPr>
          <w:sz w:val="22"/>
          <w:szCs w:val="22"/>
          <w:lang w:val="en-US"/>
        </w:rPr>
        <w:t xml:space="preserve"> </w:t>
      </w:r>
      <w:r w:rsidRPr="000F0FC9">
        <w:rPr>
          <w:sz w:val="22"/>
          <w:szCs w:val="22"/>
        </w:rPr>
        <w:t xml:space="preserve">primarily based on questions </w:t>
      </w:r>
      <w:r w:rsidR="00A24954" w:rsidRPr="000F0FC9">
        <w:rPr>
          <w:sz w:val="22"/>
          <w:szCs w:val="22"/>
          <w:lang w:val="en-US"/>
        </w:rPr>
        <w:t>from</w:t>
      </w:r>
      <w:r w:rsidRPr="000F0FC9">
        <w:rPr>
          <w:sz w:val="22"/>
          <w:szCs w:val="22"/>
        </w:rPr>
        <w:t xml:space="preserve"> national health and housing surveys and different ep</w:t>
      </w:r>
      <w:r w:rsidRPr="00537B0B">
        <w:rPr>
          <w:sz w:val="22"/>
          <w:szCs w:val="22"/>
        </w:rPr>
        <w:t>idemiologic studies</w:t>
      </w:r>
      <w:r w:rsidR="0013234A">
        <w:rPr>
          <w:sz w:val="22"/>
          <w:szCs w:val="22"/>
        </w:rPr>
        <w:t xml:space="preserve">. </w:t>
      </w:r>
      <w:r w:rsidR="00AC53A1" w:rsidRPr="00537B0B">
        <w:rPr>
          <w:sz w:val="22"/>
          <w:szCs w:val="22"/>
        </w:rPr>
        <w:t xml:space="preserve">Some questions were included verbatim; some were modified to fit our study framework; </w:t>
      </w:r>
      <w:r w:rsidR="00A24954" w:rsidRPr="0072423D">
        <w:rPr>
          <w:sz w:val="22"/>
          <w:szCs w:val="22"/>
        </w:rPr>
        <w:t>and some</w:t>
      </w:r>
      <w:r w:rsidR="00AC53A1" w:rsidRPr="0072423D">
        <w:rPr>
          <w:sz w:val="22"/>
          <w:szCs w:val="22"/>
        </w:rPr>
        <w:t xml:space="preserve"> </w:t>
      </w:r>
      <w:r w:rsidR="005D2030" w:rsidRPr="004522CD">
        <w:rPr>
          <w:sz w:val="22"/>
          <w:szCs w:val="22"/>
          <w:lang w:val="en-US"/>
        </w:rPr>
        <w:t xml:space="preserve">new </w:t>
      </w:r>
      <w:r w:rsidR="00AC53A1" w:rsidRPr="004522CD">
        <w:rPr>
          <w:sz w:val="22"/>
          <w:szCs w:val="22"/>
        </w:rPr>
        <w:t xml:space="preserve">questions were </w:t>
      </w:r>
      <w:r w:rsidR="005D2030" w:rsidRPr="004522CD">
        <w:rPr>
          <w:sz w:val="22"/>
          <w:szCs w:val="22"/>
          <w:lang w:val="en-US"/>
        </w:rPr>
        <w:t xml:space="preserve">developed in consultation with subject matter experts </w:t>
      </w:r>
      <w:r w:rsidR="009C7B39" w:rsidRPr="004522CD">
        <w:rPr>
          <w:sz w:val="22"/>
          <w:szCs w:val="22"/>
          <w:lang w:val="en-US"/>
        </w:rPr>
        <w:t>to collect data specifically required for this study</w:t>
      </w:r>
      <w:r w:rsidR="0013234A">
        <w:rPr>
          <w:sz w:val="22"/>
          <w:szCs w:val="22"/>
        </w:rPr>
        <w:t xml:space="preserve">. </w:t>
      </w:r>
    </w:p>
    <w:p w14:paraId="0694E452" w14:textId="77777777" w:rsidR="006F668F" w:rsidRPr="00C3198F" w:rsidRDefault="006F668F" w:rsidP="00A965B8">
      <w:pPr>
        <w:pStyle w:val="BodyTextIndent3"/>
        <w:widowControl/>
        <w:ind w:left="0"/>
        <w:rPr>
          <w:sz w:val="22"/>
          <w:szCs w:val="22"/>
        </w:rPr>
      </w:pPr>
    </w:p>
    <w:p w14:paraId="1907C3B5" w14:textId="77777777" w:rsidR="006F668F" w:rsidRPr="000B1D96" w:rsidRDefault="006F668F" w:rsidP="006F668F">
      <w:pPr>
        <w:rPr>
          <w:color w:val="000000"/>
          <w:sz w:val="22"/>
        </w:rPr>
      </w:pPr>
      <w:r w:rsidRPr="000B1D96">
        <w:rPr>
          <w:color w:val="000000"/>
          <w:sz w:val="22"/>
        </w:rPr>
        <w:t xml:space="preserve">The </w:t>
      </w:r>
      <w:r w:rsidR="00570858" w:rsidRPr="000B1D96">
        <w:rPr>
          <w:color w:val="000000"/>
          <w:sz w:val="22"/>
        </w:rPr>
        <w:t xml:space="preserve">Add-on Study </w:t>
      </w:r>
      <w:r w:rsidRPr="000B1D96">
        <w:rPr>
          <w:color w:val="000000"/>
          <w:sz w:val="22"/>
        </w:rPr>
        <w:t>originally had one questionnaire (CDC IRB approved and pilot</w:t>
      </w:r>
      <w:r w:rsidR="00570858" w:rsidRPr="000B1D96">
        <w:rPr>
          <w:color w:val="000000"/>
          <w:sz w:val="22"/>
        </w:rPr>
        <w:t>-</w:t>
      </w:r>
      <w:r w:rsidRPr="000B1D96">
        <w:rPr>
          <w:color w:val="000000"/>
          <w:sz w:val="22"/>
        </w:rPr>
        <w:t>tested with n=9 participants in the Cincinnati cohort of the GHS</w:t>
      </w:r>
      <w:r w:rsidR="001752AF" w:rsidRPr="000B1D96">
        <w:rPr>
          <w:color w:val="000000"/>
          <w:sz w:val="22"/>
        </w:rPr>
        <w:t>)</w:t>
      </w:r>
      <w:r w:rsidR="0013234A" w:rsidRPr="000B1D96">
        <w:rPr>
          <w:color w:val="000000"/>
          <w:sz w:val="22"/>
        </w:rPr>
        <w:t xml:space="preserve">. </w:t>
      </w:r>
      <w:r w:rsidRPr="000B1D96">
        <w:rPr>
          <w:color w:val="000000"/>
          <w:sz w:val="22"/>
        </w:rPr>
        <w:t xml:space="preserve">The average time for completion was estimated at </w:t>
      </w:r>
      <w:r w:rsidR="001752AF" w:rsidRPr="000B1D96">
        <w:rPr>
          <w:color w:val="000000"/>
          <w:sz w:val="22"/>
        </w:rPr>
        <w:t>4</w:t>
      </w:r>
      <w:r w:rsidRPr="000B1D96">
        <w:rPr>
          <w:color w:val="000000"/>
          <w:sz w:val="22"/>
        </w:rPr>
        <w:t>0 minutes based on the pilot testing in the Cincinnati cohort</w:t>
      </w:r>
      <w:r w:rsidR="001752AF" w:rsidRPr="000B1D96">
        <w:rPr>
          <w:color w:val="000000"/>
          <w:sz w:val="22"/>
        </w:rPr>
        <w:t>; 30 minutes was the maximum time for one participant and a 10 minute buffer was added on top of this time</w:t>
      </w:r>
      <w:r w:rsidR="0013234A" w:rsidRPr="000B1D96">
        <w:rPr>
          <w:color w:val="000000"/>
          <w:sz w:val="22"/>
        </w:rPr>
        <w:t xml:space="preserve">. </w:t>
      </w:r>
      <w:r w:rsidRPr="000B1D96">
        <w:rPr>
          <w:color w:val="000000"/>
          <w:sz w:val="22"/>
        </w:rPr>
        <w:t>This was for the entire questionnaire in its original form which was more than 31 questions and administered via laptop</w:t>
      </w:r>
      <w:r w:rsidR="0013234A" w:rsidRPr="000B1D96">
        <w:rPr>
          <w:color w:val="000000"/>
          <w:sz w:val="22"/>
        </w:rPr>
        <w:t xml:space="preserve">. </w:t>
      </w:r>
      <w:r w:rsidR="00B71B8B" w:rsidRPr="000B1D96">
        <w:rPr>
          <w:color w:val="000000"/>
          <w:sz w:val="22"/>
        </w:rPr>
        <w:t>Subsequent to</w:t>
      </w:r>
      <w:r w:rsidRPr="000B1D96">
        <w:rPr>
          <w:color w:val="000000"/>
          <w:sz w:val="22"/>
        </w:rPr>
        <w:t xml:space="preserve"> the pilot testing, the questionnaire was reduced and broken into component questionnaires</w:t>
      </w:r>
      <w:r w:rsidR="0013234A" w:rsidRPr="000B1D96">
        <w:rPr>
          <w:color w:val="000000"/>
          <w:sz w:val="22"/>
        </w:rPr>
        <w:t xml:space="preserve">. </w:t>
      </w:r>
      <w:r w:rsidR="001752AF" w:rsidRPr="000B1D96">
        <w:rPr>
          <w:color w:val="000000"/>
          <w:sz w:val="22"/>
        </w:rPr>
        <w:t>The burden estimate was adjusted, accordingly.</w:t>
      </w:r>
    </w:p>
    <w:p w14:paraId="59EBA6C8" w14:textId="77777777" w:rsidR="00A965B8" w:rsidRDefault="00A965B8" w:rsidP="00A965B8">
      <w:pPr>
        <w:pStyle w:val="BodyTextIndent3"/>
        <w:widowControl/>
        <w:ind w:left="0"/>
        <w:rPr>
          <w:b/>
          <w:sz w:val="22"/>
          <w:szCs w:val="22"/>
        </w:rPr>
      </w:pPr>
    </w:p>
    <w:p w14:paraId="406A310E" w14:textId="77777777" w:rsidR="000F0FC9" w:rsidRPr="00E5577E" w:rsidRDefault="000F0FC9" w:rsidP="000F0FC9">
      <w:pPr>
        <w:rPr>
          <w:sz w:val="22"/>
          <w:szCs w:val="22"/>
        </w:rPr>
      </w:pPr>
      <w:r w:rsidRPr="00E5577E">
        <w:rPr>
          <w:sz w:val="22"/>
          <w:szCs w:val="22"/>
        </w:rPr>
        <w:t xml:space="preserve">We will determine if any of the Add-on </w:t>
      </w:r>
      <w:r w:rsidR="00AB0D9F">
        <w:rPr>
          <w:sz w:val="22"/>
          <w:szCs w:val="22"/>
        </w:rPr>
        <w:t xml:space="preserve">Study </w:t>
      </w:r>
      <w:r w:rsidRPr="00E5577E">
        <w:rPr>
          <w:sz w:val="22"/>
          <w:szCs w:val="22"/>
        </w:rPr>
        <w:t>methods will be incorporate</w:t>
      </w:r>
      <w:r w:rsidR="00570858" w:rsidRPr="00E5577E">
        <w:rPr>
          <w:sz w:val="22"/>
          <w:szCs w:val="22"/>
        </w:rPr>
        <w:t>d</w:t>
      </w:r>
      <w:r w:rsidRPr="00E5577E">
        <w:rPr>
          <w:sz w:val="22"/>
          <w:szCs w:val="22"/>
        </w:rPr>
        <w:t xml:space="preserve"> into </w:t>
      </w:r>
      <w:r w:rsidR="00FB6602" w:rsidRPr="00E5577E">
        <w:rPr>
          <w:sz w:val="22"/>
          <w:szCs w:val="22"/>
        </w:rPr>
        <w:t>f</w:t>
      </w:r>
      <w:r w:rsidR="00570858" w:rsidRPr="00E5577E">
        <w:rPr>
          <w:sz w:val="22"/>
          <w:szCs w:val="22"/>
        </w:rPr>
        <w:t>ut</w:t>
      </w:r>
      <w:r w:rsidR="00FB6602" w:rsidRPr="00E5577E">
        <w:rPr>
          <w:sz w:val="22"/>
          <w:szCs w:val="22"/>
        </w:rPr>
        <w:t>ure</w:t>
      </w:r>
      <w:r w:rsidRPr="00E5577E">
        <w:rPr>
          <w:sz w:val="22"/>
          <w:szCs w:val="22"/>
        </w:rPr>
        <w:t xml:space="preserve"> GHS study sites by the following </w:t>
      </w:r>
      <w:r w:rsidR="00570858" w:rsidRPr="00E5577E">
        <w:rPr>
          <w:sz w:val="22"/>
          <w:szCs w:val="22"/>
        </w:rPr>
        <w:t>four</w:t>
      </w:r>
      <w:r w:rsidRPr="00E5577E">
        <w:rPr>
          <w:sz w:val="22"/>
          <w:szCs w:val="22"/>
        </w:rPr>
        <w:t xml:space="preserve"> factors: 1) a cooperation rate of </w:t>
      </w:r>
      <w:r w:rsidR="00FB6602" w:rsidRPr="00E5577E">
        <w:rPr>
          <w:sz w:val="22"/>
          <w:szCs w:val="22"/>
        </w:rPr>
        <w:t xml:space="preserve">≥ </w:t>
      </w:r>
      <w:r w:rsidRPr="00E5577E">
        <w:rPr>
          <w:sz w:val="22"/>
          <w:szCs w:val="22"/>
        </w:rPr>
        <w:t>7</w:t>
      </w:r>
      <w:r w:rsidR="00FB6602" w:rsidRPr="00E5577E">
        <w:rPr>
          <w:sz w:val="22"/>
          <w:szCs w:val="22"/>
        </w:rPr>
        <w:t>5</w:t>
      </w:r>
      <w:r w:rsidRPr="00E5577E">
        <w:rPr>
          <w:sz w:val="22"/>
          <w:szCs w:val="22"/>
        </w:rPr>
        <w:t xml:space="preserve">% of mothers/primary caregivers allowing the </w:t>
      </w:r>
      <w:r w:rsidR="00FB6602" w:rsidRPr="00E5577E">
        <w:rPr>
          <w:sz w:val="22"/>
          <w:szCs w:val="22"/>
        </w:rPr>
        <w:t>collection</w:t>
      </w:r>
      <w:r w:rsidRPr="00E5577E">
        <w:rPr>
          <w:sz w:val="22"/>
          <w:szCs w:val="22"/>
        </w:rPr>
        <w:t xml:space="preserve"> of any given Add-on </w:t>
      </w:r>
      <w:r w:rsidR="00125871" w:rsidRPr="00E5577E">
        <w:rPr>
          <w:sz w:val="22"/>
          <w:szCs w:val="22"/>
        </w:rPr>
        <w:t>Study</w:t>
      </w:r>
      <w:r w:rsidRPr="00E5577E">
        <w:rPr>
          <w:sz w:val="22"/>
          <w:szCs w:val="22"/>
        </w:rPr>
        <w:t xml:space="preserve"> </w:t>
      </w:r>
      <w:r w:rsidR="00FB6602" w:rsidRPr="00E5577E">
        <w:rPr>
          <w:sz w:val="22"/>
          <w:szCs w:val="22"/>
        </w:rPr>
        <w:t>measurement</w:t>
      </w:r>
      <w:r w:rsidRPr="00E5577E">
        <w:rPr>
          <w:sz w:val="22"/>
          <w:szCs w:val="22"/>
        </w:rPr>
        <w:t xml:space="preserve"> (i.e., comprehensive </w:t>
      </w:r>
      <w:r w:rsidR="00FB6602" w:rsidRPr="00E5577E">
        <w:rPr>
          <w:sz w:val="22"/>
          <w:szCs w:val="22"/>
        </w:rPr>
        <w:t>time</w:t>
      </w:r>
      <w:r w:rsidRPr="00E5577E">
        <w:rPr>
          <w:sz w:val="22"/>
          <w:szCs w:val="22"/>
        </w:rPr>
        <w:t xml:space="preserve">-activity </w:t>
      </w:r>
      <w:r w:rsidR="00AB0D9F">
        <w:rPr>
          <w:sz w:val="22"/>
          <w:szCs w:val="22"/>
        </w:rPr>
        <w:t>and</w:t>
      </w:r>
      <w:r w:rsidRPr="00E5577E">
        <w:rPr>
          <w:sz w:val="22"/>
          <w:szCs w:val="22"/>
        </w:rPr>
        <w:t xml:space="preserve"> location questionnaire, GPS and </w:t>
      </w:r>
      <w:r w:rsidR="00AB0D9F">
        <w:rPr>
          <w:sz w:val="22"/>
          <w:szCs w:val="22"/>
        </w:rPr>
        <w:t>a</w:t>
      </w:r>
      <w:r w:rsidR="00FB6602" w:rsidRPr="00E5577E">
        <w:rPr>
          <w:sz w:val="22"/>
          <w:szCs w:val="22"/>
        </w:rPr>
        <w:t>ccelerometer</w:t>
      </w:r>
      <w:r w:rsidRPr="00E5577E">
        <w:rPr>
          <w:sz w:val="22"/>
          <w:szCs w:val="22"/>
        </w:rPr>
        <w:t>, duplicate diet</w:t>
      </w:r>
      <w:r w:rsidR="00FB6602" w:rsidRPr="00E5577E">
        <w:rPr>
          <w:sz w:val="22"/>
          <w:szCs w:val="22"/>
        </w:rPr>
        <w:t xml:space="preserve">, feces, nail clippings, blood, and urine); </w:t>
      </w:r>
      <w:r w:rsidRPr="00E5577E">
        <w:rPr>
          <w:sz w:val="22"/>
          <w:szCs w:val="22"/>
        </w:rPr>
        <w:t xml:space="preserve">2) </w:t>
      </w:r>
      <w:r w:rsidR="00FB6602" w:rsidRPr="00E5577E">
        <w:rPr>
          <w:sz w:val="22"/>
          <w:szCs w:val="22"/>
        </w:rPr>
        <w:t xml:space="preserve">data collection time for any given measurement is not significantly higher than the estimated burden listed in </w:t>
      </w:r>
      <w:r w:rsidR="00570858" w:rsidRPr="00E5577E">
        <w:rPr>
          <w:b/>
          <w:color w:val="000000"/>
          <w:sz w:val="22"/>
          <w:szCs w:val="22"/>
        </w:rPr>
        <w:t>Supporting Statement A</w:t>
      </w:r>
      <w:r w:rsidR="00FB6602" w:rsidRPr="00E5577E">
        <w:rPr>
          <w:b/>
          <w:sz w:val="22"/>
          <w:szCs w:val="22"/>
        </w:rPr>
        <w:t xml:space="preserve"> Section A12</w:t>
      </w:r>
      <w:r w:rsidR="00FB6602" w:rsidRPr="00E5577E">
        <w:rPr>
          <w:sz w:val="22"/>
          <w:szCs w:val="22"/>
        </w:rPr>
        <w:t xml:space="preserve">; </w:t>
      </w:r>
      <w:r w:rsidRPr="00E5577E">
        <w:rPr>
          <w:sz w:val="22"/>
          <w:szCs w:val="22"/>
        </w:rPr>
        <w:t xml:space="preserve">3) </w:t>
      </w:r>
      <w:r w:rsidR="00FB6602" w:rsidRPr="00E5577E">
        <w:rPr>
          <w:sz w:val="22"/>
          <w:szCs w:val="22"/>
        </w:rPr>
        <w:t xml:space="preserve">≥ </w:t>
      </w:r>
      <w:r w:rsidR="00523CF2" w:rsidRPr="00E5577E">
        <w:rPr>
          <w:sz w:val="22"/>
          <w:szCs w:val="22"/>
        </w:rPr>
        <w:t>50</w:t>
      </w:r>
      <w:r w:rsidR="00FB6602" w:rsidRPr="00E5577E">
        <w:rPr>
          <w:sz w:val="22"/>
          <w:szCs w:val="22"/>
        </w:rPr>
        <w:t>% of the measurements from any given sample type are within acceptable range limits (i.e., not below limit of detection</w:t>
      </w:r>
      <w:r w:rsidR="00523CF2" w:rsidRPr="00E5577E">
        <w:rPr>
          <w:sz w:val="22"/>
          <w:szCs w:val="22"/>
        </w:rPr>
        <w:t xml:space="preserve">); </w:t>
      </w:r>
      <w:r w:rsidR="00FB6602" w:rsidRPr="00E5577E">
        <w:rPr>
          <w:sz w:val="22"/>
          <w:szCs w:val="22"/>
        </w:rPr>
        <w:t xml:space="preserve"> and </w:t>
      </w:r>
      <w:r w:rsidR="00523CF2" w:rsidRPr="00E5577E">
        <w:rPr>
          <w:sz w:val="22"/>
          <w:szCs w:val="22"/>
        </w:rPr>
        <w:t xml:space="preserve">4) ≥ 75% of the measurements from any given sample type are </w:t>
      </w:r>
      <w:r w:rsidR="00FB6602" w:rsidRPr="00E5577E">
        <w:rPr>
          <w:sz w:val="22"/>
          <w:szCs w:val="22"/>
        </w:rPr>
        <w:t>not considered invalid because of integrity of sample during collection, storage, or transportation</w:t>
      </w:r>
      <w:r w:rsidR="0013234A" w:rsidRPr="00E5577E">
        <w:rPr>
          <w:sz w:val="22"/>
          <w:szCs w:val="22"/>
        </w:rPr>
        <w:t xml:space="preserve">. </w:t>
      </w:r>
      <w:r w:rsidR="00523CF2" w:rsidRPr="00E5577E">
        <w:rPr>
          <w:sz w:val="22"/>
          <w:szCs w:val="22"/>
        </w:rPr>
        <w:t>All four</w:t>
      </w:r>
      <w:r w:rsidRPr="00E5577E">
        <w:rPr>
          <w:sz w:val="22"/>
          <w:szCs w:val="22"/>
        </w:rPr>
        <w:t xml:space="preserve"> objectives much be met </w:t>
      </w:r>
      <w:r w:rsidR="00FB6602" w:rsidRPr="00E5577E">
        <w:rPr>
          <w:sz w:val="22"/>
          <w:szCs w:val="22"/>
        </w:rPr>
        <w:t xml:space="preserve">in order to consider pursuing </w:t>
      </w:r>
      <w:r w:rsidRPr="00E5577E">
        <w:rPr>
          <w:sz w:val="22"/>
          <w:szCs w:val="22"/>
        </w:rPr>
        <w:t>full</w:t>
      </w:r>
      <w:r w:rsidR="00FB6602" w:rsidRPr="00E5577E">
        <w:rPr>
          <w:sz w:val="22"/>
          <w:szCs w:val="22"/>
        </w:rPr>
        <w:t xml:space="preserve"> implementation into future GHS study sites</w:t>
      </w:r>
      <w:r w:rsidRPr="00E5577E">
        <w:rPr>
          <w:sz w:val="22"/>
          <w:szCs w:val="22"/>
        </w:rPr>
        <w:t>.</w:t>
      </w:r>
    </w:p>
    <w:p w14:paraId="44E8BD3A" w14:textId="77777777" w:rsidR="000F0FC9" w:rsidRDefault="000F0FC9" w:rsidP="00A965B8">
      <w:pPr>
        <w:pStyle w:val="BodyTextIndent3"/>
        <w:widowControl/>
        <w:ind w:left="0"/>
        <w:rPr>
          <w:b/>
          <w:sz w:val="22"/>
          <w:szCs w:val="22"/>
        </w:rPr>
      </w:pPr>
    </w:p>
    <w:p w14:paraId="173152E5" w14:textId="22257FDD" w:rsidR="00A965B8" w:rsidRPr="00D158D2" w:rsidRDefault="00FD46BF" w:rsidP="000B1D96">
      <w:pPr>
        <w:pStyle w:val="BodyTextIndent3"/>
        <w:widowControl/>
        <w:ind w:left="0"/>
        <w:rPr>
          <w:b/>
        </w:rPr>
      </w:pPr>
      <w:r>
        <w:rPr>
          <w:b/>
          <w:sz w:val="22"/>
          <w:szCs w:val="22"/>
        </w:rPr>
        <w:br w:type="page"/>
      </w:r>
      <w:bookmarkStart w:id="18" w:name="_Toc387698632"/>
      <w:bookmarkStart w:id="19" w:name="_Toc387698781"/>
      <w:bookmarkStart w:id="20" w:name="_Toc444709377"/>
      <w:bookmarkStart w:id="21" w:name="_Toc426634078"/>
      <w:r w:rsidR="00BE5387" w:rsidRPr="00570858">
        <w:rPr>
          <w:b/>
          <w:sz w:val="22"/>
          <w:szCs w:val="22"/>
        </w:rPr>
        <w:lastRenderedPageBreak/>
        <w:t>B.</w:t>
      </w:r>
      <w:r w:rsidR="00A965B8" w:rsidRPr="00570858">
        <w:rPr>
          <w:b/>
          <w:sz w:val="22"/>
          <w:szCs w:val="22"/>
        </w:rPr>
        <w:t>5.</w:t>
      </w:r>
      <w:r w:rsidR="00A965B8" w:rsidRPr="00570858">
        <w:rPr>
          <w:b/>
          <w:sz w:val="22"/>
          <w:szCs w:val="22"/>
        </w:rPr>
        <w:tab/>
        <w:t>Individuals Consulted on Statistical Aspects and Individuals Collecti</w:t>
      </w:r>
      <w:r w:rsidR="00A965B8" w:rsidRPr="00D158D2">
        <w:rPr>
          <w:b/>
        </w:rPr>
        <w:t>ng and/or Analyzing Data</w:t>
      </w:r>
      <w:bookmarkEnd w:id="18"/>
      <w:bookmarkEnd w:id="19"/>
      <w:bookmarkEnd w:id="20"/>
      <w:bookmarkEnd w:id="21"/>
    </w:p>
    <w:p w14:paraId="5A45DBEE" w14:textId="77777777" w:rsidR="00A965B8" w:rsidRPr="00D158D2" w:rsidRDefault="00A965B8" w:rsidP="00A965B8">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1310E7" w14:textId="77777777" w:rsidR="00A965B8" w:rsidRPr="00D158D2" w:rsidRDefault="00A965B8" w:rsidP="00A965B8">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D158D2">
        <w:rPr>
          <w:i/>
          <w:sz w:val="22"/>
          <w:szCs w:val="22"/>
        </w:rPr>
        <w:t>Individuals Consulted on Statistical Aspects of the Design</w:t>
      </w:r>
    </w:p>
    <w:p w14:paraId="077C46C9" w14:textId="77777777" w:rsidR="004D6B8E" w:rsidRPr="00D158D2" w:rsidRDefault="004D6B8E" w:rsidP="00A965B8">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14:paraId="45B450D4" w14:textId="086F5576" w:rsidR="00A965B8" w:rsidRDefault="004146C6" w:rsidP="00A965B8">
      <w:pPr>
        <w:numPr>
          <w:ilvl w:val="12"/>
          <w:numId w:val="0"/>
        </w:numPr>
        <w:tabs>
          <w:tab w:val="left" w:pos="3330"/>
          <w:tab w:val="left" w:pos="7200"/>
        </w:tabs>
        <w:rPr>
          <w:sz w:val="22"/>
          <w:szCs w:val="22"/>
        </w:rPr>
      </w:pPr>
      <w:r w:rsidRPr="00D158D2">
        <w:rPr>
          <w:sz w:val="22"/>
          <w:szCs w:val="22"/>
        </w:rPr>
        <w:t>CDC</w:t>
      </w:r>
      <w:r w:rsidR="00912781" w:rsidRPr="00D158D2">
        <w:rPr>
          <w:sz w:val="22"/>
          <w:szCs w:val="22"/>
        </w:rPr>
        <w:t>’s</w:t>
      </w:r>
      <w:r w:rsidRPr="00D158D2">
        <w:rPr>
          <w:sz w:val="22"/>
          <w:szCs w:val="22"/>
        </w:rPr>
        <w:t xml:space="preserve"> </w:t>
      </w:r>
      <w:r w:rsidR="00A25892">
        <w:rPr>
          <w:sz w:val="22"/>
          <w:szCs w:val="22"/>
        </w:rPr>
        <w:t xml:space="preserve">and </w:t>
      </w:r>
      <w:r w:rsidR="00537B0B">
        <w:rPr>
          <w:sz w:val="22"/>
          <w:szCs w:val="22"/>
        </w:rPr>
        <w:t xml:space="preserve">EPA’s </w:t>
      </w:r>
      <w:r w:rsidR="00570858">
        <w:rPr>
          <w:sz w:val="22"/>
          <w:szCs w:val="22"/>
        </w:rPr>
        <w:t>Add-on Study</w:t>
      </w:r>
      <w:r w:rsidR="00570858" w:rsidRPr="00D158D2">
        <w:rPr>
          <w:sz w:val="22"/>
          <w:szCs w:val="22"/>
        </w:rPr>
        <w:t xml:space="preserve"> </w:t>
      </w:r>
      <w:r w:rsidR="00877891" w:rsidRPr="00D158D2">
        <w:rPr>
          <w:sz w:val="22"/>
          <w:szCs w:val="22"/>
        </w:rPr>
        <w:t xml:space="preserve">staff </w:t>
      </w:r>
      <w:r w:rsidR="002A52EB" w:rsidRPr="00D158D2">
        <w:rPr>
          <w:sz w:val="22"/>
          <w:szCs w:val="22"/>
        </w:rPr>
        <w:t>were consulted</w:t>
      </w:r>
      <w:r w:rsidR="000C16EF" w:rsidRPr="00D158D2">
        <w:rPr>
          <w:sz w:val="22"/>
          <w:szCs w:val="22"/>
        </w:rPr>
        <w:t xml:space="preserve"> </w:t>
      </w:r>
      <w:r w:rsidR="001B306F" w:rsidRPr="00D158D2">
        <w:rPr>
          <w:sz w:val="22"/>
          <w:szCs w:val="22"/>
        </w:rPr>
        <w:t xml:space="preserve">on the statistical </w:t>
      </w:r>
      <w:r w:rsidR="00FD0613" w:rsidRPr="00D158D2">
        <w:rPr>
          <w:sz w:val="22"/>
          <w:szCs w:val="22"/>
        </w:rPr>
        <w:t>aspects of the design</w:t>
      </w:r>
      <w:r w:rsidR="006F5B30" w:rsidRPr="00D158D2">
        <w:rPr>
          <w:sz w:val="22"/>
          <w:szCs w:val="22"/>
        </w:rPr>
        <w:t xml:space="preserve"> or planned statistical analyses</w:t>
      </w:r>
      <w:r w:rsidR="0013234A">
        <w:rPr>
          <w:sz w:val="22"/>
          <w:szCs w:val="22"/>
        </w:rPr>
        <w:t xml:space="preserve">. </w:t>
      </w:r>
    </w:p>
    <w:p w14:paraId="318DBD9E" w14:textId="77777777" w:rsidR="00672497" w:rsidRDefault="00672497" w:rsidP="00A965B8">
      <w:pPr>
        <w:numPr>
          <w:ilvl w:val="12"/>
          <w:numId w:val="0"/>
        </w:numPr>
        <w:tabs>
          <w:tab w:val="left" w:pos="3330"/>
          <w:tab w:val="left" w:pos="7200"/>
        </w:tabs>
        <w:rPr>
          <w:sz w:val="22"/>
          <w:szCs w:val="22"/>
        </w:rPr>
      </w:pPr>
    </w:p>
    <w:p w14:paraId="25B01FC1" w14:textId="77777777" w:rsidR="00672497" w:rsidRPr="00672497" w:rsidRDefault="00672497" w:rsidP="00672497">
      <w:pPr>
        <w:jc w:val="both"/>
        <w:rPr>
          <w:rFonts w:cs="Calibri"/>
          <w:sz w:val="22"/>
          <w:szCs w:val="22"/>
        </w:rPr>
      </w:pPr>
      <w:r w:rsidRPr="00672497">
        <w:rPr>
          <w:rFonts w:cs="Calibri"/>
          <w:b/>
          <w:sz w:val="22"/>
          <w:szCs w:val="22"/>
        </w:rPr>
        <w:t>Table 1.</w:t>
      </w:r>
      <w:r w:rsidRPr="00672497">
        <w:rPr>
          <w:rFonts w:cs="Calibri"/>
          <w:sz w:val="22"/>
          <w:szCs w:val="22"/>
        </w:rPr>
        <w:t xml:space="preserve"> Personnel Consulted on Statistical Design</w:t>
      </w:r>
      <w:bookmarkStart w:id="22" w:name="_GoBack"/>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278"/>
        <w:gridCol w:w="1530"/>
        <w:gridCol w:w="1890"/>
        <w:gridCol w:w="2322"/>
      </w:tblGrid>
      <w:tr w:rsidR="00472743" w:rsidRPr="000C12FC" w14:paraId="58A7F1DA" w14:textId="77777777" w:rsidTr="00472743">
        <w:tc>
          <w:tcPr>
            <w:tcW w:w="2340" w:type="dxa"/>
            <w:tcBorders>
              <w:top w:val="single" w:sz="8" w:space="0" w:color="auto"/>
              <w:left w:val="nil"/>
              <w:bottom w:val="single" w:sz="8" w:space="0" w:color="auto"/>
              <w:right w:val="nil"/>
            </w:tcBorders>
            <w:shd w:val="clear" w:color="auto" w:fill="auto"/>
          </w:tcPr>
          <w:p w14:paraId="70BF0248" w14:textId="77777777" w:rsidR="008A0BEF" w:rsidRPr="000C12FC" w:rsidRDefault="008A0BEF" w:rsidP="008045F5">
            <w:pPr>
              <w:jc w:val="both"/>
              <w:rPr>
                <w:rFonts w:cs="Calibri"/>
                <w:b/>
                <w:sz w:val="22"/>
                <w:szCs w:val="22"/>
              </w:rPr>
            </w:pPr>
            <w:r w:rsidRPr="000C12FC">
              <w:rPr>
                <w:rFonts w:cs="Calibri"/>
                <w:b/>
                <w:sz w:val="22"/>
                <w:szCs w:val="22"/>
              </w:rPr>
              <w:t>Name</w:t>
            </w:r>
          </w:p>
        </w:tc>
        <w:tc>
          <w:tcPr>
            <w:tcW w:w="1278" w:type="dxa"/>
            <w:tcBorders>
              <w:top w:val="single" w:sz="8" w:space="0" w:color="auto"/>
              <w:left w:val="nil"/>
              <w:bottom w:val="single" w:sz="8" w:space="0" w:color="auto"/>
              <w:right w:val="nil"/>
            </w:tcBorders>
            <w:shd w:val="clear" w:color="auto" w:fill="auto"/>
          </w:tcPr>
          <w:p w14:paraId="6AC775D2" w14:textId="77777777" w:rsidR="008A0BEF" w:rsidRPr="000C12FC" w:rsidRDefault="008A0BEF" w:rsidP="008045F5">
            <w:pPr>
              <w:jc w:val="both"/>
              <w:rPr>
                <w:rFonts w:cs="Calibri"/>
                <w:b/>
                <w:sz w:val="22"/>
                <w:szCs w:val="22"/>
              </w:rPr>
            </w:pPr>
            <w:r w:rsidRPr="000C12FC">
              <w:rPr>
                <w:rFonts w:cs="Calibri"/>
                <w:b/>
                <w:sz w:val="22"/>
                <w:szCs w:val="22"/>
              </w:rPr>
              <w:t>Title</w:t>
            </w:r>
          </w:p>
        </w:tc>
        <w:tc>
          <w:tcPr>
            <w:tcW w:w="1530" w:type="dxa"/>
            <w:tcBorders>
              <w:top w:val="single" w:sz="8" w:space="0" w:color="auto"/>
              <w:left w:val="nil"/>
              <w:bottom w:val="single" w:sz="8" w:space="0" w:color="auto"/>
              <w:right w:val="nil"/>
            </w:tcBorders>
            <w:shd w:val="clear" w:color="auto" w:fill="auto"/>
          </w:tcPr>
          <w:p w14:paraId="00FFE843" w14:textId="77777777" w:rsidR="008A0BEF" w:rsidRPr="000C12FC" w:rsidRDefault="008A0BEF" w:rsidP="008045F5">
            <w:pPr>
              <w:jc w:val="both"/>
              <w:rPr>
                <w:rFonts w:cs="Calibri"/>
                <w:b/>
                <w:sz w:val="22"/>
                <w:szCs w:val="22"/>
              </w:rPr>
            </w:pPr>
            <w:r w:rsidRPr="000C12FC">
              <w:rPr>
                <w:rFonts w:cs="Calibri"/>
                <w:b/>
                <w:sz w:val="22"/>
                <w:szCs w:val="22"/>
              </w:rPr>
              <w:t>Affiliation</w:t>
            </w:r>
          </w:p>
        </w:tc>
        <w:tc>
          <w:tcPr>
            <w:tcW w:w="1890" w:type="dxa"/>
            <w:tcBorders>
              <w:top w:val="single" w:sz="8" w:space="0" w:color="auto"/>
              <w:left w:val="nil"/>
              <w:bottom w:val="single" w:sz="8" w:space="0" w:color="auto"/>
              <w:right w:val="nil"/>
            </w:tcBorders>
            <w:shd w:val="clear" w:color="auto" w:fill="auto"/>
          </w:tcPr>
          <w:p w14:paraId="747E0643" w14:textId="77777777" w:rsidR="008A0BEF" w:rsidRPr="000C12FC" w:rsidRDefault="008A0BEF" w:rsidP="008045F5">
            <w:pPr>
              <w:jc w:val="both"/>
              <w:rPr>
                <w:rFonts w:cs="Calibri"/>
                <w:b/>
                <w:sz w:val="22"/>
                <w:szCs w:val="22"/>
              </w:rPr>
            </w:pPr>
            <w:r w:rsidRPr="000C12FC">
              <w:rPr>
                <w:rFonts w:cs="Calibri"/>
                <w:b/>
                <w:sz w:val="22"/>
                <w:szCs w:val="22"/>
              </w:rPr>
              <w:t>Phone</w:t>
            </w:r>
          </w:p>
        </w:tc>
        <w:tc>
          <w:tcPr>
            <w:tcW w:w="2322" w:type="dxa"/>
            <w:tcBorders>
              <w:top w:val="single" w:sz="8" w:space="0" w:color="auto"/>
              <w:left w:val="nil"/>
              <w:bottom w:val="single" w:sz="8" w:space="0" w:color="auto"/>
              <w:right w:val="nil"/>
            </w:tcBorders>
            <w:shd w:val="clear" w:color="auto" w:fill="auto"/>
          </w:tcPr>
          <w:p w14:paraId="21C333D3" w14:textId="77777777" w:rsidR="008A0BEF" w:rsidRPr="000C12FC" w:rsidRDefault="008A0BEF" w:rsidP="008045F5">
            <w:pPr>
              <w:jc w:val="both"/>
              <w:rPr>
                <w:rFonts w:cs="Calibri"/>
                <w:b/>
                <w:sz w:val="22"/>
                <w:szCs w:val="22"/>
              </w:rPr>
            </w:pPr>
            <w:r w:rsidRPr="000C12FC">
              <w:rPr>
                <w:rFonts w:cs="Calibri"/>
                <w:b/>
                <w:sz w:val="22"/>
                <w:szCs w:val="22"/>
              </w:rPr>
              <w:t>Email</w:t>
            </w:r>
          </w:p>
        </w:tc>
      </w:tr>
      <w:tr w:rsidR="008A0BEF" w:rsidRPr="000C12FC" w14:paraId="284EE4B4" w14:textId="77777777" w:rsidTr="008045F5">
        <w:tc>
          <w:tcPr>
            <w:tcW w:w="9360" w:type="dxa"/>
            <w:gridSpan w:val="5"/>
            <w:tcBorders>
              <w:top w:val="single" w:sz="8" w:space="0" w:color="auto"/>
              <w:left w:val="nil"/>
              <w:bottom w:val="single" w:sz="8" w:space="0" w:color="auto"/>
              <w:right w:val="nil"/>
            </w:tcBorders>
            <w:shd w:val="clear" w:color="auto" w:fill="auto"/>
            <w:vAlign w:val="center"/>
          </w:tcPr>
          <w:p w14:paraId="3DF62DFC" w14:textId="77777777" w:rsidR="008A0BEF" w:rsidRPr="000C12FC" w:rsidRDefault="008A0BEF" w:rsidP="008045F5">
            <w:pPr>
              <w:jc w:val="both"/>
              <w:rPr>
                <w:rFonts w:cs="Calibri"/>
                <w:i/>
                <w:sz w:val="22"/>
                <w:szCs w:val="22"/>
              </w:rPr>
            </w:pPr>
            <w:r w:rsidRPr="000C12FC">
              <w:rPr>
                <w:rFonts w:cs="Calibri"/>
                <w:i/>
                <w:sz w:val="22"/>
                <w:szCs w:val="22"/>
              </w:rPr>
              <w:t>CDC</w:t>
            </w:r>
          </w:p>
        </w:tc>
      </w:tr>
      <w:tr w:rsidR="00472743" w:rsidRPr="000C12FC" w14:paraId="3553B3BE" w14:textId="77777777" w:rsidTr="00472743">
        <w:tc>
          <w:tcPr>
            <w:tcW w:w="2340" w:type="dxa"/>
            <w:tcBorders>
              <w:top w:val="single" w:sz="8" w:space="0" w:color="auto"/>
              <w:left w:val="nil"/>
              <w:bottom w:val="single" w:sz="8" w:space="0" w:color="auto"/>
              <w:right w:val="nil"/>
            </w:tcBorders>
            <w:shd w:val="clear" w:color="auto" w:fill="auto"/>
            <w:vAlign w:val="center"/>
          </w:tcPr>
          <w:p w14:paraId="75A8A428" w14:textId="77777777" w:rsidR="008A0BEF" w:rsidRPr="000C12FC" w:rsidRDefault="008A0BEF" w:rsidP="008045F5">
            <w:pPr>
              <w:jc w:val="both"/>
              <w:rPr>
                <w:rFonts w:cs="Calibri"/>
                <w:sz w:val="22"/>
                <w:szCs w:val="22"/>
              </w:rPr>
            </w:pPr>
            <w:r w:rsidRPr="000C12FC">
              <w:rPr>
                <w:rFonts w:cs="Calibri"/>
                <w:sz w:val="22"/>
                <w:szCs w:val="22"/>
              </w:rPr>
              <w:t>B. Rey de Castro, PhD</w:t>
            </w:r>
          </w:p>
        </w:tc>
        <w:tc>
          <w:tcPr>
            <w:tcW w:w="1278" w:type="dxa"/>
            <w:tcBorders>
              <w:top w:val="single" w:sz="8" w:space="0" w:color="auto"/>
              <w:left w:val="nil"/>
              <w:bottom w:val="single" w:sz="8" w:space="0" w:color="auto"/>
              <w:right w:val="nil"/>
            </w:tcBorders>
            <w:shd w:val="clear" w:color="auto" w:fill="auto"/>
            <w:vAlign w:val="center"/>
          </w:tcPr>
          <w:p w14:paraId="61AE7968" w14:textId="77777777" w:rsidR="008A0BEF" w:rsidRPr="000C12FC" w:rsidRDefault="008A0BEF" w:rsidP="008045F5">
            <w:pPr>
              <w:jc w:val="both"/>
              <w:rPr>
                <w:rFonts w:cs="Calibri"/>
                <w:sz w:val="22"/>
                <w:szCs w:val="22"/>
              </w:rPr>
            </w:pPr>
            <w:r w:rsidRPr="000C12FC">
              <w:rPr>
                <w:rFonts w:cs="Calibri"/>
                <w:sz w:val="22"/>
                <w:szCs w:val="22"/>
              </w:rPr>
              <w:t>Biostatistician</w:t>
            </w:r>
          </w:p>
        </w:tc>
        <w:tc>
          <w:tcPr>
            <w:tcW w:w="1530" w:type="dxa"/>
            <w:tcBorders>
              <w:top w:val="single" w:sz="8" w:space="0" w:color="auto"/>
              <w:left w:val="nil"/>
              <w:bottom w:val="single" w:sz="8" w:space="0" w:color="auto"/>
              <w:right w:val="nil"/>
            </w:tcBorders>
            <w:shd w:val="clear" w:color="auto" w:fill="auto"/>
            <w:vAlign w:val="center"/>
          </w:tcPr>
          <w:p w14:paraId="7D7473C1" w14:textId="77777777" w:rsidR="008A0BEF" w:rsidRPr="000C12FC" w:rsidRDefault="008A0BEF" w:rsidP="000B1D96">
            <w:pPr>
              <w:rPr>
                <w:rFonts w:cs="Calibri"/>
                <w:sz w:val="22"/>
                <w:szCs w:val="22"/>
              </w:rPr>
            </w:pPr>
            <w:r w:rsidRPr="000C12FC">
              <w:rPr>
                <w:rFonts w:cs="Calibri"/>
                <w:sz w:val="22"/>
                <w:szCs w:val="22"/>
              </w:rPr>
              <w:t>National Center of Environmental Health</w:t>
            </w:r>
          </w:p>
        </w:tc>
        <w:tc>
          <w:tcPr>
            <w:tcW w:w="1890" w:type="dxa"/>
            <w:tcBorders>
              <w:top w:val="single" w:sz="8" w:space="0" w:color="auto"/>
              <w:left w:val="nil"/>
              <w:bottom w:val="single" w:sz="8" w:space="0" w:color="auto"/>
              <w:right w:val="nil"/>
            </w:tcBorders>
            <w:shd w:val="clear" w:color="auto" w:fill="auto"/>
            <w:vAlign w:val="center"/>
          </w:tcPr>
          <w:p w14:paraId="77899F4F" w14:textId="77777777" w:rsidR="008A0BEF" w:rsidRPr="000C12FC" w:rsidRDefault="008A0BEF" w:rsidP="008A0BEF">
            <w:pPr>
              <w:jc w:val="both"/>
              <w:rPr>
                <w:rFonts w:cs="Calibri"/>
                <w:sz w:val="22"/>
                <w:szCs w:val="22"/>
              </w:rPr>
            </w:pPr>
            <w:r w:rsidRPr="000C12FC">
              <w:rPr>
                <w:rFonts w:cs="Calibri"/>
                <w:sz w:val="22"/>
                <w:szCs w:val="22"/>
              </w:rPr>
              <w:t>(770) 488-0162</w:t>
            </w:r>
          </w:p>
        </w:tc>
        <w:tc>
          <w:tcPr>
            <w:tcW w:w="2322" w:type="dxa"/>
            <w:tcBorders>
              <w:top w:val="single" w:sz="8" w:space="0" w:color="auto"/>
              <w:left w:val="nil"/>
              <w:bottom w:val="single" w:sz="8" w:space="0" w:color="auto"/>
              <w:right w:val="nil"/>
            </w:tcBorders>
            <w:shd w:val="clear" w:color="auto" w:fill="auto"/>
            <w:vAlign w:val="center"/>
          </w:tcPr>
          <w:p w14:paraId="75B17EA0" w14:textId="77777777" w:rsidR="008A0BEF" w:rsidRPr="000C12FC" w:rsidRDefault="00C24BC3" w:rsidP="008A0BEF">
            <w:pPr>
              <w:jc w:val="both"/>
              <w:rPr>
                <w:sz w:val="22"/>
                <w:szCs w:val="22"/>
              </w:rPr>
            </w:pPr>
            <w:hyperlink r:id="rId10" w:history="1">
              <w:r w:rsidR="008A0BEF" w:rsidRPr="000C12FC">
                <w:rPr>
                  <w:rStyle w:val="Hyperlink"/>
                  <w:sz w:val="22"/>
                  <w:szCs w:val="22"/>
                </w:rPr>
                <w:t>jsq7@cdc.gov</w:t>
              </w:r>
            </w:hyperlink>
            <w:r w:rsidR="008A0BEF" w:rsidRPr="000C12FC">
              <w:rPr>
                <w:rFonts w:cs="Calibri"/>
                <w:sz w:val="22"/>
                <w:szCs w:val="22"/>
              </w:rPr>
              <w:t xml:space="preserve"> </w:t>
            </w:r>
          </w:p>
        </w:tc>
      </w:tr>
      <w:tr w:rsidR="008A0BEF" w:rsidRPr="000C12FC" w14:paraId="4E0DF511" w14:textId="77777777" w:rsidTr="008045F5">
        <w:tc>
          <w:tcPr>
            <w:tcW w:w="9360" w:type="dxa"/>
            <w:gridSpan w:val="5"/>
            <w:tcBorders>
              <w:top w:val="single" w:sz="8" w:space="0" w:color="auto"/>
              <w:left w:val="nil"/>
              <w:bottom w:val="single" w:sz="8" w:space="0" w:color="auto"/>
              <w:right w:val="nil"/>
            </w:tcBorders>
            <w:shd w:val="clear" w:color="auto" w:fill="auto"/>
            <w:vAlign w:val="center"/>
          </w:tcPr>
          <w:p w14:paraId="67233DFD" w14:textId="77777777" w:rsidR="008A0BEF" w:rsidRPr="000C12FC" w:rsidRDefault="008A0BEF" w:rsidP="008A0BEF">
            <w:pPr>
              <w:jc w:val="both"/>
              <w:rPr>
                <w:sz w:val="22"/>
                <w:szCs w:val="22"/>
              </w:rPr>
            </w:pPr>
            <w:r w:rsidRPr="000C12FC">
              <w:rPr>
                <w:rFonts w:cs="Calibri"/>
                <w:i/>
                <w:sz w:val="22"/>
                <w:szCs w:val="22"/>
              </w:rPr>
              <w:t>EPA</w:t>
            </w:r>
          </w:p>
        </w:tc>
      </w:tr>
      <w:tr w:rsidR="00472743" w:rsidRPr="000C12FC" w14:paraId="794A7823" w14:textId="77777777" w:rsidTr="00472743">
        <w:tc>
          <w:tcPr>
            <w:tcW w:w="2340" w:type="dxa"/>
            <w:tcBorders>
              <w:top w:val="single" w:sz="8" w:space="0" w:color="auto"/>
              <w:left w:val="nil"/>
              <w:bottom w:val="single" w:sz="8" w:space="0" w:color="auto"/>
              <w:right w:val="nil"/>
            </w:tcBorders>
            <w:shd w:val="clear" w:color="auto" w:fill="auto"/>
            <w:vAlign w:val="center"/>
          </w:tcPr>
          <w:p w14:paraId="087F6512" w14:textId="3524CB00" w:rsidR="008A0BEF" w:rsidRPr="000C12FC" w:rsidRDefault="008A0BEF" w:rsidP="009B20B5">
            <w:pPr>
              <w:jc w:val="both"/>
              <w:rPr>
                <w:rFonts w:cs="Calibri"/>
                <w:sz w:val="22"/>
                <w:szCs w:val="22"/>
              </w:rPr>
            </w:pPr>
            <w:r w:rsidRPr="000C12FC">
              <w:rPr>
                <w:rFonts w:cs="Calibri"/>
                <w:sz w:val="22"/>
                <w:szCs w:val="22"/>
              </w:rPr>
              <w:t xml:space="preserve">Paul Jones, </w:t>
            </w:r>
            <w:r w:rsidR="009B20B5" w:rsidRPr="000C12FC">
              <w:rPr>
                <w:rFonts w:cs="Calibri"/>
                <w:sz w:val="22"/>
                <w:szCs w:val="22"/>
              </w:rPr>
              <w:t>MS</w:t>
            </w:r>
          </w:p>
        </w:tc>
        <w:tc>
          <w:tcPr>
            <w:tcW w:w="1278" w:type="dxa"/>
            <w:tcBorders>
              <w:top w:val="single" w:sz="8" w:space="0" w:color="auto"/>
              <w:left w:val="nil"/>
              <w:bottom w:val="single" w:sz="8" w:space="0" w:color="auto"/>
              <w:right w:val="nil"/>
            </w:tcBorders>
            <w:shd w:val="clear" w:color="auto" w:fill="auto"/>
            <w:vAlign w:val="center"/>
          </w:tcPr>
          <w:p w14:paraId="1A55197D" w14:textId="77777777" w:rsidR="008A0BEF" w:rsidRPr="000C12FC" w:rsidRDefault="008A0BEF" w:rsidP="008A0BEF">
            <w:pPr>
              <w:jc w:val="both"/>
              <w:rPr>
                <w:rFonts w:cs="Calibri"/>
                <w:sz w:val="22"/>
                <w:szCs w:val="22"/>
              </w:rPr>
            </w:pPr>
            <w:r w:rsidRPr="000C12FC">
              <w:rPr>
                <w:rFonts w:cs="Calibri"/>
                <w:sz w:val="22"/>
                <w:szCs w:val="22"/>
              </w:rPr>
              <w:t>Biostatistician</w:t>
            </w:r>
          </w:p>
        </w:tc>
        <w:tc>
          <w:tcPr>
            <w:tcW w:w="1530" w:type="dxa"/>
            <w:tcBorders>
              <w:top w:val="single" w:sz="8" w:space="0" w:color="auto"/>
              <w:left w:val="nil"/>
              <w:bottom w:val="single" w:sz="8" w:space="0" w:color="auto"/>
              <w:right w:val="nil"/>
            </w:tcBorders>
            <w:shd w:val="clear" w:color="auto" w:fill="auto"/>
            <w:vAlign w:val="center"/>
          </w:tcPr>
          <w:p w14:paraId="4DBFA1DB" w14:textId="5F8C9910" w:rsidR="008A0BEF" w:rsidRPr="000C12FC" w:rsidRDefault="008A0BEF" w:rsidP="000B1D96">
            <w:pPr>
              <w:rPr>
                <w:rFonts w:cs="Calibri"/>
                <w:sz w:val="22"/>
                <w:szCs w:val="22"/>
              </w:rPr>
            </w:pPr>
            <w:r w:rsidRPr="000C12FC">
              <w:rPr>
                <w:rFonts w:cs="Calibri"/>
                <w:sz w:val="22"/>
                <w:szCs w:val="22"/>
              </w:rPr>
              <w:t>O</w:t>
            </w:r>
            <w:r w:rsidR="009B20B5" w:rsidRPr="000C12FC">
              <w:rPr>
                <w:rFonts w:cs="Calibri"/>
                <w:sz w:val="22"/>
                <w:szCs w:val="22"/>
              </w:rPr>
              <w:t xml:space="preserve">ffice of </w:t>
            </w:r>
            <w:r w:rsidRPr="000C12FC">
              <w:rPr>
                <w:rFonts w:cs="Calibri"/>
                <w:sz w:val="22"/>
                <w:szCs w:val="22"/>
              </w:rPr>
              <w:t>R</w:t>
            </w:r>
            <w:r w:rsidR="009B20B5" w:rsidRPr="000C12FC">
              <w:rPr>
                <w:rFonts w:cs="Calibri"/>
                <w:sz w:val="22"/>
                <w:szCs w:val="22"/>
              </w:rPr>
              <w:t xml:space="preserve">esearch and </w:t>
            </w:r>
            <w:r w:rsidRPr="000C12FC">
              <w:rPr>
                <w:rFonts w:cs="Calibri"/>
                <w:sz w:val="22"/>
                <w:szCs w:val="22"/>
              </w:rPr>
              <w:t>D</w:t>
            </w:r>
            <w:r w:rsidR="009B20B5" w:rsidRPr="000C12FC">
              <w:rPr>
                <w:rFonts w:cs="Calibri"/>
                <w:sz w:val="22"/>
                <w:szCs w:val="22"/>
              </w:rPr>
              <w:t>evelopment</w:t>
            </w:r>
          </w:p>
        </w:tc>
        <w:tc>
          <w:tcPr>
            <w:tcW w:w="1890" w:type="dxa"/>
            <w:tcBorders>
              <w:top w:val="single" w:sz="8" w:space="0" w:color="auto"/>
              <w:left w:val="nil"/>
              <w:bottom w:val="single" w:sz="8" w:space="0" w:color="auto"/>
              <w:right w:val="nil"/>
            </w:tcBorders>
            <w:shd w:val="clear" w:color="auto" w:fill="auto"/>
            <w:vAlign w:val="center"/>
          </w:tcPr>
          <w:p w14:paraId="4BB13968" w14:textId="77777777" w:rsidR="008A0BEF" w:rsidRPr="000C12FC" w:rsidRDefault="008A0BEF" w:rsidP="008A0BEF">
            <w:pPr>
              <w:jc w:val="both"/>
              <w:rPr>
                <w:rFonts w:cs="Calibri"/>
                <w:i/>
                <w:sz w:val="22"/>
                <w:szCs w:val="22"/>
              </w:rPr>
            </w:pPr>
            <w:r w:rsidRPr="000C12FC">
              <w:rPr>
                <w:rStyle w:val="baec5a81-e4d6-4674-97f3-e9220f0136c1"/>
                <w:sz w:val="22"/>
                <w:szCs w:val="22"/>
              </w:rPr>
              <w:t>(919) 541-</w:t>
            </w:r>
            <w:r w:rsidR="00672497" w:rsidRPr="000C12FC">
              <w:rPr>
                <w:rStyle w:val="baec5a81-e4d6-4674-97f3-e9220f0136c1"/>
                <w:sz w:val="22"/>
                <w:szCs w:val="22"/>
              </w:rPr>
              <w:t>5767</w:t>
            </w:r>
          </w:p>
        </w:tc>
        <w:tc>
          <w:tcPr>
            <w:tcW w:w="2322" w:type="dxa"/>
            <w:tcBorders>
              <w:top w:val="single" w:sz="8" w:space="0" w:color="auto"/>
              <w:left w:val="nil"/>
              <w:bottom w:val="single" w:sz="8" w:space="0" w:color="auto"/>
              <w:right w:val="nil"/>
            </w:tcBorders>
            <w:shd w:val="clear" w:color="auto" w:fill="auto"/>
            <w:vAlign w:val="center"/>
          </w:tcPr>
          <w:p w14:paraId="68F4255E" w14:textId="2E4B865B" w:rsidR="008A0BEF" w:rsidRPr="000C12FC" w:rsidRDefault="009B20B5" w:rsidP="008A0BEF">
            <w:pPr>
              <w:jc w:val="both"/>
              <w:rPr>
                <w:rFonts w:cs="Calibri"/>
                <w:sz w:val="22"/>
                <w:szCs w:val="22"/>
              </w:rPr>
            </w:pPr>
            <w:hyperlink r:id="rId11" w:history="1">
              <w:r w:rsidRPr="000C12FC">
                <w:rPr>
                  <w:rStyle w:val="Hyperlink"/>
                  <w:sz w:val="22"/>
                  <w:szCs w:val="22"/>
                </w:rPr>
                <w:t>Jones.Paul-A@epa.gov</w:t>
              </w:r>
            </w:hyperlink>
            <w:r w:rsidRPr="000C12FC">
              <w:rPr>
                <w:sz w:val="22"/>
                <w:szCs w:val="22"/>
              </w:rPr>
              <w:t xml:space="preserve"> </w:t>
            </w:r>
          </w:p>
        </w:tc>
      </w:tr>
    </w:tbl>
    <w:p w14:paraId="38EFD39F" w14:textId="77777777" w:rsidR="008A0BEF" w:rsidRPr="000C12FC" w:rsidRDefault="008A0BEF" w:rsidP="00A965B8">
      <w:pPr>
        <w:numPr>
          <w:ilvl w:val="12"/>
          <w:numId w:val="0"/>
        </w:numPr>
        <w:tabs>
          <w:tab w:val="left" w:pos="3330"/>
          <w:tab w:val="left" w:pos="7200"/>
        </w:tabs>
        <w:rPr>
          <w:sz w:val="22"/>
          <w:szCs w:val="22"/>
        </w:rPr>
      </w:pPr>
    </w:p>
    <w:p w14:paraId="63964CCE" w14:textId="77777777" w:rsidR="006B2CE4" w:rsidRPr="000B1D96" w:rsidRDefault="006B2CE4" w:rsidP="00672497">
      <w:pPr>
        <w:jc w:val="both"/>
        <w:rPr>
          <w:b/>
          <w:sz w:val="22"/>
        </w:rPr>
      </w:pPr>
    </w:p>
    <w:p w14:paraId="579DA728" w14:textId="13A6F36A" w:rsidR="00672497" w:rsidRPr="000B1D96" w:rsidRDefault="00672497" w:rsidP="00472743">
      <w:pPr>
        <w:jc w:val="both"/>
        <w:rPr>
          <w:sz w:val="22"/>
        </w:rPr>
      </w:pPr>
      <w:r w:rsidRPr="000B1D96">
        <w:rPr>
          <w:b/>
          <w:sz w:val="22"/>
        </w:rPr>
        <w:t>Table 2.</w:t>
      </w:r>
      <w:r w:rsidRPr="000B1D96">
        <w:rPr>
          <w:sz w:val="22"/>
        </w:rPr>
        <w:t xml:space="preserve"> Personnel Responsible for Collection and Analysis of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072"/>
        <w:gridCol w:w="1697"/>
        <w:gridCol w:w="1863"/>
        <w:gridCol w:w="2424"/>
      </w:tblGrid>
      <w:tr w:rsidR="00672497" w:rsidRPr="000C12FC" w14:paraId="10C48E4E" w14:textId="77777777" w:rsidTr="008045F5">
        <w:tc>
          <w:tcPr>
            <w:tcW w:w="2340" w:type="dxa"/>
            <w:tcBorders>
              <w:top w:val="single" w:sz="8" w:space="0" w:color="auto"/>
              <w:left w:val="nil"/>
              <w:bottom w:val="single" w:sz="8" w:space="0" w:color="auto"/>
              <w:right w:val="nil"/>
            </w:tcBorders>
          </w:tcPr>
          <w:p w14:paraId="56229D85" w14:textId="77777777" w:rsidR="00672497" w:rsidRPr="000C12FC" w:rsidRDefault="00672497" w:rsidP="008045F5">
            <w:pPr>
              <w:jc w:val="both"/>
              <w:rPr>
                <w:rFonts w:cs="Calibri"/>
                <w:b/>
                <w:sz w:val="22"/>
                <w:szCs w:val="22"/>
              </w:rPr>
            </w:pPr>
            <w:r w:rsidRPr="000C12FC">
              <w:rPr>
                <w:rFonts w:cs="Calibri"/>
                <w:b/>
                <w:sz w:val="22"/>
                <w:szCs w:val="22"/>
              </w:rPr>
              <w:t>Name</w:t>
            </w:r>
          </w:p>
        </w:tc>
        <w:tc>
          <w:tcPr>
            <w:tcW w:w="990" w:type="dxa"/>
            <w:tcBorders>
              <w:top w:val="single" w:sz="8" w:space="0" w:color="auto"/>
              <w:left w:val="nil"/>
              <w:bottom w:val="single" w:sz="8" w:space="0" w:color="auto"/>
              <w:right w:val="nil"/>
            </w:tcBorders>
          </w:tcPr>
          <w:p w14:paraId="0901D80D" w14:textId="77777777" w:rsidR="00672497" w:rsidRPr="000C12FC" w:rsidRDefault="00672497" w:rsidP="008045F5">
            <w:pPr>
              <w:jc w:val="both"/>
              <w:rPr>
                <w:rFonts w:cs="Calibri"/>
                <w:b/>
                <w:sz w:val="22"/>
                <w:szCs w:val="22"/>
              </w:rPr>
            </w:pPr>
            <w:r w:rsidRPr="000C12FC">
              <w:rPr>
                <w:rFonts w:cs="Calibri"/>
                <w:b/>
                <w:sz w:val="22"/>
                <w:szCs w:val="22"/>
              </w:rPr>
              <w:t>Title</w:t>
            </w:r>
          </w:p>
        </w:tc>
        <w:tc>
          <w:tcPr>
            <w:tcW w:w="1710" w:type="dxa"/>
            <w:tcBorders>
              <w:top w:val="single" w:sz="8" w:space="0" w:color="auto"/>
              <w:left w:val="nil"/>
              <w:bottom w:val="single" w:sz="8" w:space="0" w:color="auto"/>
              <w:right w:val="nil"/>
            </w:tcBorders>
          </w:tcPr>
          <w:p w14:paraId="26CA314F" w14:textId="77777777" w:rsidR="00672497" w:rsidRPr="000C12FC" w:rsidRDefault="00672497" w:rsidP="008045F5">
            <w:pPr>
              <w:jc w:val="both"/>
              <w:rPr>
                <w:rFonts w:cs="Calibri"/>
                <w:b/>
                <w:sz w:val="22"/>
                <w:szCs w:val="22"/>
              </w:rPr>
            </w:pPr>
            <w:r w:rsidRPr="000C12FC">
              <w:rPr>
                <w:rFonts w:cs="Calibri"/>
                <w:b/>
                <w:sz w:val="22"/>
                <w:szCs w:val="22"/>
              </w:rPr>
              <w:t>Affiliation</w:t>
            </w:r>
          </w:p>
        </w:tc>
        <w:tc>
          <w:tcPr>
            <w:tcW w:w="1890" w:type="dxa"/>
            <w:tcBorders>
              <w:top w:val="single" w:sz="8" w:space="0" w:color="auto"/>
              <w:left w:val="nil"/>
              <w:bottom w:val="single" w:sz="8" w:space="0" w:color="auto"/>
              <w:right w:val="nil"/>
            </w:tcBorders>
          </w:tcPr>
          <w:p w14:paraId="35D25B39" w14:textId="77777777" w:rsidR="00672497" w:rsidRPr="000C12FC" w:rsidRDefault="00672497" w:rsidP="008045F5">
            <w:pPr>
              <w:jc w:val="both"/>
              <w:rPr>
                <w:rFonts w:cs="Calibri"/>
                <w:b/>
                <w:sz w:val="22"/>
                <w:szCs w:val="22"/>
              </w:rPr>
            </w:pPr>
            <w:r w:rsidRPr="000C12FC">
              <w:rPr>
                <w:rFonts w:cs="Calibri"/>
                <w:b/>
                <w:sz w:val="22"/>
                <w:szCs w:val="22"/>
              </w:rPr>
              <w:t>Phone</w:t>
            </w:r>
          </w:p>
        </w:tc>
        <w:tc>
          <w:tcPr>
            <w:tcW w:w="2430" w:type="dxa"/>
            <w:tcBorders>
              <w:top w:val="single" w:sz="8" w:space="0" w:color="auto"/>
              <w:left w:val="nil"/>
              <w:bottom w:val="single" w:sz="8" w:space="0" w:color="auto"/>
              <w:right w:val="nil"/>
            </w:tcBorders>
          </w:tcPr>
          <w:p w14:paraId="62026409" w14:textId="77777777" w:rsidR="00672497" w:rsidRPr="000C12FC" w:rsidRDefault="00672497" w:rsidP="008045F5">
            <w:pPr>
              <w:jc w:val="both"/>
              <w:rPr>
                <w:rFonts w:cs="Calibri"/>
                <w:b/>
                <w:sz w:val="22"/>
                <w:szCs w:val="22"/>
              </w:rPr>
            </w:pPr>
            <w:r w:rsidRPr="000C12FC">
              <w:rPr>
                <w:rFonts w:cs="Calibri"/>
                <w:b/>
                <w:sz w:val="22"/>
                <w:szCs w:val="22"/>
              </w:rPr>
              <w:t>Email</w:t>
            </w:r>
          </w:p>
        </w:tc>
      </w:tr>
      <w:tr w:rsidR="00672497" w:rsidRPr="000C12FC" w14:paraId="261F08F6" w14:textId="77777777" w:rsidTr="000C12FC">
        <w:tc>
          <w:tcPr>
            <w:tcW w:w="2340" w:type="dxa"/>
            <w:tcBorders>
              <w:top w:val="single" w:sz="8" w:space="0" w:color="auto"/>
              <w:left w:val="nil"/>
              <w:bottom w:val="single" w:sz="8" w:space="0" w:color="auto"/>
              <w:right w:val="nil"/>
            </w:tcBorders>
            <w:vAlign w:val="center"/>
          </w:tcPr>
          <w:p w14:paraId="5F94026D" w14:textId="77777777" w:rsidR="00672497" w:rsidRPr="000C12FC" w:rsidRDefault="00672497" w:rsidP="008045F5">
            <w:pPr>
              <w:rPr>
                <w:rFonts w:cs="Calibri"/>
                <w:sz w:val="22"/>
                <w:szCs w:val="22"/>
              </w:rPr>
            </w:pPr>
            <w:r w:rsidRPr="000C12FC">
              <w:rPr>
                <w:rFonts w:cs="Calibri"/>
                <w:sz w:val="22"/>
                <w:szCs w:val="22"/>
              </w:rPr>
              <w:t>Felicia Rabito, PhD</w:t>
            </w:r>
          </w:p>
        </w:tc>
        <w:tc>
          <w:tcPr>
            <w:tcW w:w="990" w:type="dxa"/>
            <w:tcBorders>
              <w:top w:val="single" w:sz="8" w:space="0" w:color="auto"/>
              <w:left w:val="nil"/>
              <w:bottom w:val="single" w:sz="8" w:space="0" w:color="auto"/>
              <w:right w:val="nil"/>
            </w:tcBorders>
            <w:vAlign w:val="center"/>
          </w:tcPr>
          <w:p w14:paraId="4C2E035D" w14:textId="77777777" w:rsidR="00672497" w:rsidRPr="000C12FC" w:rsidRDefault="00672497" w:rsidP="008045F5">
            <w:pPr>
              <w:rPr>
                <w:rFonts w:cs="Calibri"/>
                <w:sz w:val="22"/>
                <w:szCs w:val="22"/>
              </w:rPr>
            </w:pPr>
            <w:r w:rsidRPr="000C12FC">
              <w:rPr>
                <w:rFonts w:cs="Calibri"/>
                <w:sz w:val="22"/>
                <w:szCs w:val="22"/>
              </w:rPr>
              <w:t>Associate Professor</w:t>
            </w:r>
          </w:p>
        </w:tc>
        <w:tc>
          <w:tcPr>
            <w:tcW w:w="1710" w:type="dxa"/>
            <w:tcBorders>
              <w:top w:val="single" w:sz="8" w:space="0" w:color="auto"/>
              <w:left w:val="nil"/>
              <w:bottom w:val="single" w:sz="8" w:space="0" w:color="auto"/>
              <w:right w:val="nil"/>
            </w:tcBorders>
            <w:vAlign w:val="center"/>
          </w:tcPr>
          <w:p w14:paraId="1C43D29D" w14:textId="77777777" w:rsidR="00672497" w:rsidRPr="000C12FC" w:rsidRDefault="00672497" w:rsidP="008045F5">
            <w:pPr>
              <w:rPr>
                <w:rFonts w:cs="Calibri"/>
                <w:sz w:val="22"/>
                <w:szCs w:val="22"/>
              </w:rPr>
            </w:pPr>
            <w:r w:rsidRPr="000C12FC">
              <w:rPr>
                <w:rFonts w:cs="Calibri"/>
                <w:sz w:val="22"/>
                <w:szCs w:val="22"/>
              </w:rPr>
              <w:t>Tulane University</w:t>
            </w:r>
          </w:p>
        </w:tc>
        <w:tc>
          <w:tcPr>
            <w:tcW w:w="1890" w:type="dxa"/>
            <w:tcBorders>
              <w:top w:val="single" w:sz="8" w:space="0" w:color="auto"/>
              <w:left w:val="nil"/>
              <w:bottom w:val="single" w:sz="8" w:space="0" w:color="auto"/>
              <w:right w:val="nil"/>
            </w:tcBorders>
            <w:vAlign w:val="center"/>
          </w:tcPr>
          <w:p w14:paraId="70F3A3FA" w14:textId="77777777" w:rsidR="00672497" w:rsidRPr="000C12FC" w:rsidRDefault="00672497" w:rsidP="009F769B">
            <w:pPr>
              <w:jc w:val="both"/>
              <w:rPr>
                <w:rStyle w:val="Emphasis"/>
                <w:rFonts w:cs="Calibri"/>
                <w:i w:val="0"/>
                <w:sz w:val="22"/>
                <w:szCs w:val="22"/>
              </w:rPr>
            </w:pPr>
            <w:r w:rsidRPr="000C12FC">
              <w:rPr>
                <w:rFonts w:cs="Calibri"/>
                <w:sz w:val="22"/>
                <w:szCs w:val="22"/>
              </w:rPr>
              <w:t>(</w:t>
            </w:r>
            <w:r w:rsidR="009F769B" w:rsidRPr="000C12FC">
              <w:rPr>
                <w:rFonts w:cs="Calibri"/>
                <w:sz w:val="22"/>
                <w:szCs w:val="22"/>
              </w:rPr>
              <w:t>504</w:t>
            </w:r>
            <w:r w:rsidRPr="000C12FC">
              <w:rPr>
                <w:rFonts w:cs="Calibri"/>
                <w:sz w:val="22"/>
                <w:szCs w:val="22"/>
              </w:rPr>
              <w:t xml:space="preserve">) </w:t>
            </w:r>
            <w:r w:rsidR="009F769B" w:rsidRPr="000C12FC">
              <w:rPr>
                <w:rFonts w:cs="Calibri"/>
                <w:sz w:val="22"/>
                <w:szCs w:val="22"/>
              </w:rPr>
              <w:t>988-3479</w:t>
            </w:r>
          </w:p>
        </w:tc>
        <w:tc>
          <w:tcPr>
            <w:tcW w:w="2430" w:type="dxa"/>
            <w:tcBorders>
              <w:top w:val="single" w:sz="8" w:space="0" w:color="auto"/>
              <w:left w:val="nil"/>
              <w:bottom w:val="single" w:sz="8" w:space="0" w:color="auto"/>
              <w:right w:val="nil"/>
            </w:tcBorders>
            <w:vAlign w:val="center"/>
          </w:tcPr>
          <w:p w14:paraId="4DE6B0F2" w14:textId="75DE1D54" w:rsidR="00672497" w:rsidRPr="000C12FC" w:rsidRDefault="009B20B5" w:rsidP="009F769B">
            <w:pPr>
              <w:jc w:val="both"/>
              <w:rPr>
                <w:rStyle w:val="Emphasis"/>
                <w:rFonts w:cs="Calibri"/>
                <w:sz w:val="22"/>
                <w:szCs w:val="22"/>
              </w:rPr>
            </w:pPr>
            <w:hyperlink r:id="rId12" w:history="1">
              <w:r w:rsidRPr="000C12FC">
                <w:rPr>
                  <w:rStyle w:val="Hyperlink"/>
                  <w:sz w:val="22"/>
                  <w:szCs w:val="22"/>
                </w:rPr>
                <w:t>rabito@tulane.edu</w:t>
              </w:r>
            </w:hyperlink>
            <w:r w:rsidRPr="000C12FC">
              <w:rPr>
                <w:sz w:val="22"/>
                <w:szCs w:val="22"/>
              </w:rPr>
              <w:t xml:space="preserve"> </w:t>
            </w:r>
          </w:p>
        </w:tc>
      </w:tr>
      <w:tr w:rsidR="00672497" w:rsidRPr="000C12FC" w14:paraId="4C1D2635" w14:textId="77777777" w:rsidTr="000B1D96">
        <w:tc>
          <w:tcPr>
            <w:tcW w:w="2340" w:type="dxa"/>
            <w:tcBorders>
              <w:top w:val="single" w:sz="8" w:space="0" w:color="auto"/>
              <w:left w:val="nil"/>
              <w:bottom w:val="single" w:sz="4" w:space="0" w:color="auto"/>
              <w:right w:val="nil"/>
            </w:tcBorders>
            <w:vAlign w:val="center"/>
          </w:tcPr>
          <w:p w14:paraId="0FA77F11" w14:textId="77777777" w:rsidR="00672497" w:rsidRPr="000C12FC" w:rsidRDefault="00672497" w:rsidP="00672497">
            <w:pPr>
              <w:rPr>
                <w:rFonts w:cs="Calibri"/>
                <w:sz w:val="22"/>
                <w:szCs w:val="22"/>
              </w:rPr>
            </w:pPr>
            <w:r w:rsidRPr="000C12FC">
              <w:rPr>
                <w:rFonts w:cs="Calibri"/>
                <w:sz w:val="22"/>
                <w:szCs w:val="22"/>
              </w:rPr>
              <w:t>Ginger Chew, ScD</w:t>
            </w:r>
          </w:p>
        </w:tc>
        <w:tc>
          <w:tcPr>
            <w:tcW w:w="990" w:type="dxa"/>
            <w:tcBorders>
              <w:top w:val="single" w:sz="8" w:space="0" w:color="auto"/>
              <w:left w:val="nil"/>
              <w:bottom w:val="single" w:sz="4" w:space="0" w:color="auto"/>
              <w:right w:val="nil"/>
            </w:tcBorders>
            <w:vAlign w:val="center"/>
          </w:tcPr>
          <w:p w14:paraId="27C25D69" w14:textId="77777777" w:rsidR="00672497" w:rsidRPr="000C12FC" w:rsidRDefault="00672497" w:rsidP="008045F5">
            <w:pPr>
              <w:rPr>
                <w:rFonts w:cs="Calibri"/>
                <w:sz w:val="22"/>
                <w:szCs w:val="22"/>
              </w:rPr>
            </w:pPr>
            <w:r w:rsidRPr="000C12FC">
              <w:rPr>
                <w:rFonts w:cs="Calibri"/>
                <w:sz w:val="22"/>
                <w:szCs w:val="22"/>
              </w:rPr>
              <w:t>Health Scientist</w:t>
            </w:r>
          </w:p>
        </w:tc>
        <w:tc>
          <w:tcPr>
            <w:tcW w:w="1710" w:type="dxa"/>
            <w:tcBorders>
              <w:top w:val="single" w:sz="8" w:space="0" w:color="auto"/>
              <w:left w:val="nil"/>
              <w:bottom w:val="single" w:sz="4" w:space="0" w:color="auto"/>
              <w:right w:val="nil"/>
            </w:tcBorders>
            <w:vAlign w:val="center"/>
          </w:tcPr>
          <w:p w14:paraId="66863B64" w14:textId="77777777" w:rsidR="00672497" w:rsidRPr="000C12FC" w:rsidRDefault="00672497" w:rsidP="008045F5">
            <w:pPr>
              <w:rPr>
                <w:rFonts w:cs="Calibri"/>
                <w:sz w:val="22"/>
                <w:szCs w:val="22"/>
              </w:rPr>
            </w:pPr>
            <w:r w:rsidRPr="000C12FC">
              <w:rPr>
                <w:rFonts w:cs="Calibri"/>
                <w:sz w:val="22"/>
                <w:szCs w:val="22"/>
              </w:rPr>
              <w:t>CDC</w:t>
            </w:r>
          </w:p>
        </w:tc>
        <w:tc>
          <w:tcPr>
            <w:tcW w:w="1890" w:type="dxa"/>
            <w:tcBorders>
              <w:top w:val="single" w:sz="8" w:space="0" w:color="auto"/>
              <w:left w:val="nil"/>
              <w:bottom w:val="single" w:sz="4" w:space="0" w:color="auto"/>
              <w:right w:val="nil"/>
            </w:tcBorders>
          </w:tcPr>
          <w:p w14:paraId="46A158A6" w14:textId="77777777" w:rsidR="00672497" w:rsidRPr="000C12FC" w:rsidRDefault="00672497" w:rsidP="009F769B">
            <w:pPr>
              <w:jc w:val="both"/>
              <w:rPr>
                <w:rStyle w:val="Emphasis"/>
                <w:rFonts w:cs="Calibri"/>
                <w:i w:val="0"/>
                <w:sz w:val="22"/>
                <w:szCs w:val="22"/>
              </w:rPr>
            </w:pPr>
            <w:r w:rsidRPr="000C12FC">
              <w:rPr>
                <w:rFonts w:cs="Calibri"/>
                <w:sz w:val="22"/>
                <w:szCs w:val="22"/>
              </w:rPr>
              <w:t>(</w:t>
            </w:r>
            <w:r w:rsidR="009F769B" w:rsidRPr="000C12FC">
              <w:rPr>
                <w:rFonts w:cs="Calibri"/>
                <w:sz w:val="22"/>
                <w:szCs w:val="22"/>
              </w:rPr>
              <w:t>770</w:t>
            </w:r>
            <w:r w:rsidRPr="000C12FC">
              <w:rPr>
                <w:rFonts w:cs="Calibri"/>
                <w:sz w:val="22"/>
                <w:szCs w:val="22"/>
              </w:rPr>
              <w:t xml:space="preserve">) </w:t>
            </w:r>
            <w:r w:rsidR="009F769B" w:rsidRPr="000C12FC">
              <w:rPr>
                <w:rFonts w:cs="Calibri"/>
                <w:sz w:val="22"/>
                <w:szCs w:val="22"/>
              </w:rPr>
              <w:t>488-3992</w:t>
            </w:r>
          </w:p>
        </w:tc>
        <w:tc>
          <w:tcPr>
            <w:tcW w:w="2430" w:type="dxa"/>
            <w:tcBorders>
              <w:top w:val="single" w:sz="8" w:space="0" w:color="auto"/>
              <w:left w:val="nil"/>
              <w:bottom w:val="single" w:sz="4" w:space="0" w:color="auto"/>
              <w:right w:val="nil"/>
            </w:tcBorders>
            <w:vAlign w:val="center"/>
          </w:tcPr>
          <w:p w14:paraId="36D2B2AB" w14:textId="651820C4" w:rsidR="00672497" w:rsidRPr="000C12FC" w:rsidRDefault="009B20B5" w:rsidP="008045F5">
            <w:pPr>
              <w:jc w:val="both"/>
              <w:rPr>
                <w:rStyle w:val="Emphasis"/>
                <w:rFonts w:cs="Calibri"/>
                <w:sz w:val="22"/>
                <w:szCs w:val="22"/>
              </w:rPr>
            </w:pPr>
            <w:hyperlink r:id="rId13" w:history="1">
              <w:r w:rsidRPr="000C12FC">
                <w:rPr>
                  <w:rStyle w:val="Hyperlink"/>
                  <w:sz w:val="22"/>
                  <w:szCs w:val="22"/>
                </w:rPr>
                <w:t>gjc0@cdc.gov</w:t>
              </w:r>
            </w:hyperlink>
            <w:r w:rsidRPr="000C12FC">
              <w:rPr>
                <w:sz w:val="22"/>
                <w:szCs w:val="22"/>
              </w:rPr>
              <w:t xml:space="preserve"> </w:t>
            </w:r>
          </w:p>
        </w:tc>
      </w:tr>
      <w:tr w:rsidR="00672497" w:rsidRPr="000C12FC" w14:paraId="6B1FEFE7" w14:textId="77777777" w:rsidTr="000B1D96">
        <w:tc>
          <w:tcPr>
            <w:tcW w:w="2340" w:type="dxa"/>
            <w:tcBorders>
              <w:top w:val="single" w:sz="4" w:space="0" w:color="auto"/>
              <w:left w:val="nil"/>
              <w:bottom w:val="single" w:sz="4" w:space="0" w:color="auto"/>
              <w:right w:val="nil"/>
            </w:tcBorders>
            <w:vAlign w:val="center"/>
          </w:tcPr>
          <w:p w14:paraId="154FA22A" w14:textId="77777777" w:rsidR="00672497" w:rsidRPr="000C12FC" w:rsidRDefault="00672497" w:rsidP="008045F5">
            <w:pPr>
              <w:jc w:val="both"/>
              <w:rPr>
                <w:rFonts w:cs="Calibri"/>
                <w:sz w:val="22"/>
                <w:szCs w:val="22"/>
              </w:rPr>
            </w:pPr>
            <w:r w:rsidRPr="000C12FC">
              <w:rPr>
                <w:rFonts w:cs="Calibri"/>
                <w:sz w:val="22"/>
                <w:szCs w:val="22"/>
              </w:rPr>
              <w:t>Nicolle Tulve, PhD</w:t>
            </w:r>
          </w:p>
        </w:tc>
        <w:tc>
          <w:tcPr>
            <w:tcW w:w="990" w:type="dxa"/>
            <w:tcBorders>
              <w:top w:val="single" w:sz="4" w:space="0" w:color="auto"/>
              <w:left w:val="nil"/>
              <w:bottom w:val="single" w:sz="4" w:space="0" w:color="auto"/>
              <w:right w:val="nil"/>
            </w:tcBorders>
            <w:vAlign w:val="center"/>
          </w:tcPr>
          <w:p w14:paraId="2B0CCFBE" w14:textId="77777777" w:rsidR="00672497" w:rsidRPr="000C12FC" w:rsidRDefault="009F769B" w:rsidP="008045F5">
            <w:pPr>
              <w:jc w:val="both"/>
              <w:rPr>
                <w:rFonts w:cs="Calibri"/>
                <w:sz w:val="22"/>
                <w:szCs w:val="22"/>
              </w:rPr>
            </w:pPr>
            <w:r w:rsidRPr="000C12FC">
              <w:rPr>
                <w:rFonts w:cs="Calibri"/>
                <w:sz w:val="22"/>
                <w:szCs w:val="22"/>
              </w:rPr>
              <w:t>Research Scientist</w:t>
            </w:r>
          </w:p>
        </w:tc>
        <w:tc>
          <w:tcPr>
            <w:tcW w:w="1710" w:type="dxa"/>
            <w:tcBorders>
              <w:top w:val="single" w:sz="4" w:space="0" w:color="auto"/>
              <w:left w:val="nil"/>
              <w:bottom w:val="single" w:sz="4" w:space="0" w:color="auto"/>
              <w:right w:val="nil"/>
            </w:tcBorders>
            <w:vAlign w:val="center"/>
          </w:tcPr>
          <w:p w14:paraId="258A857D" w14:textId="77777777" w:rsidR="00672497" w:rsidRPr="000C12FC" w:rsidRDefault="00672497" w:rsidP="008045F5">
            <w:pPr>
              <w:jc w:val="both"/>
              <w:rPr>
                <w:rFonts w:cs="Calibri"/>
                <w:sz w:val="22"/>
                <w:szCs w:val="22"/>
              </w:rPr>
            </w:pPr>
            <w:r w:rsidRPr="000C12FC">
              <w:rPr>
                <w:rFonts w:cs="Calibri"/>
                <w:sz w:val="22"/>
                <w:szCs w:val="22"/>
              </w:rPr>
              <w:t>EPA</w:t>
            </w:r>
          </w:p>
        </w:tc>
        <w:tc>
          <w:tcPr>
            <w:tcW w:w="1890" w:type="dxa"/>
            <w:tcBorders>
              <w:top w:val="single" w:sz="4" w:space="0" w:color="auto"/>
              <w:left w:val="nil"/>
              <w:bottom w:val="single" w:sz="4" w:space="0" w:color="auto"/>
              <w:right w:val="nil"/>
            </w:tcBorders>
          </w:tcPr>
          <w:p w14:paraId="4E2FE19A" w14:textId="77777777" w:rsidR="00672497" w:rsidRPr="000C12FC" w:rsidRDefault="00672497" w:rsidP="009F769B">
            <w:pPr>
              <w:jc w:val="both"/>
              <w:rPr>
                <w:rStyle w:val="Emphasis"/>
                <w:rFonts w:cs="Calibri"/>
                <w:i w:val="0"/>
                <w:sz w:val="22"/>
                <w:szCs w:val="22"/>
              </w:rPr>
            </w:pPr>
            <w:r w:rsidRPr="000C12FC">
              <w:rPr>
                <w:rFonts w:cs="Calibri"/>
                <w:sz w:val="22"/>
                <w:szCs w:val="22"/>
              </w:rPr>
              <w:t>(</w:t>
            </w:r>
            <w:r w:rsidR="009F769B" w:rsidRPr="000C12FC">
              <w:rPr>
                <w:rFonts w:cs="Calibri"/>
                <w:sz w:val="22"/>
                <w:szCs w:val="22"/>
              </w:rPr>
              <w:t>919</w:t>
            </w:r>
            <w:r w:rsidRPr="000C12FC">
              <w:rPr>
                <w:rFonts w:cs="Calibri"/>
                <w:sz w:val="22"/>
                <w:szCs w:val="22"/>
              </w:rPr>
              <w:t xml:space="preserve">) </w:t>
            </w:r>
            <w:r w:rsidR="009F769B" w:rsidRPr="000C12FC">
              <w:rPr>
                <w:rFonts w:cs="Calibri"/>
                <w:sz w:val="22"/>
                <w:szCs w:val="22"/>
              </w:rPr>
              <w:t>541-</w:t>
            </w:r>
            <w:r w:rsidR="00A25892" w:rsidRPr="000C12FC">
              <w:rPr>
                <w:rFonts w:cs="Calibri"/>
                <w:sz w:val="22"/>
                <w:szCs w:val="22"/>
              </w:rPr>
              <w:t>1077</w:t>
            </w:r>
          </w:p>
        </w:tc>
        <w:tc>
          <w:tcPr>
            <w:tcW w:w="2430" w:type="dxa"/>
            <w:tcBorders>
              <w:top w:val="single" w:sz="4" w:space="0" w:color="auto"/>
              <w:left w:val="nil"/>
              <w:bottom w:val="single" w:sz="4" w:space="0" w:color="auto"/>
              <w:right w:val="nil"/>
            </w:tcBorders>
            <w:vAlign w:val="center"/>
          </w:tcPr>
          <w:p w14:paraId="1DEEBEF1" w14:textId="77777777" w:rsidR="00672497" w:rsidRPr="000C12FC" w:rsidRDefault="00672497" w:rsidP="00672497">
            <w:pPr>
              <w:jc w:val="both"/>
              <w:rPr>
                <w:rStyle w:val="Emphasis"/>
                <w:rFonts w:cs="Calibri"/>
                <w:sz w:val="22"/>
                <w:szCs w:val="22"/>
              </w:rPr>
            </w:pPr>
            <w:hyperlink r:id="rId14" w:history="1">
              <w:r w:rsidRPr="000C12FC">
                <w:rPr>
                  <w:rStyle w:val="Hyperlink"/>
                  <w:rFonts w:cs="Calibri"/>
                  <w:sz w:val="22"/>
                  <w:szCs w:val="22"/>
                </w:rPr>
                <w:t>tulve.nicolle@epa.gov</w:t>
              </w:r>
            </w:hyperlink>
          </w:p>
        </w:tc>
      </w:tr>
    </w:tbl>
    <w:p w14:paraId="43434E47" w14:textId="77777777" w:rsidR="00A965B8" w:rsidRPr="00D158D2" w:rsidRDefault="00991937" w:rsidP="00A965B8">
      <w:pPr>
        <w:rPr>
          <w:sz w:val="22"/>
          <w:szCs w:val="22"/>
        </w:rPr>
      </w:pPr>
      <w:r w:rsidRPr="00D158D2">
        <w:rPr>
          <w:sz w:val="22"/>
          <w:szCs w:val="22"/>
        </w:rPr>
        <w:tab/>
      </w:r>
      <w:r w:rsidR="00A965B8" w:rsidRPr="00D158D2">
        <w:rPr>
          <w:sz w:val="22"/>
          <w:szCs w:val="22"/>
        </w:rPr>
        <w:tab/>
      </w:r>
      <w:r w:rsidRPr="00D158D2">
        <w:rPr>
          <w:sz w:val="22"/>
          <w:szCs w:val="22"/>
        </w:rPr>
        <w:tab/>
      </w:r>
    </w:p>
    <w:p w14:paraId="081EE039" w14:textId="77777777" w:rsidR="00632A82" w:rsidRDefault="00632A82" w:rsidP="00A965B8">
      <w:pPr>
        <w:pStyle w:val="BHLevel6"/>
        <w:widowControl/>
        <w:spacing w:before="0" w:after="0"/>
        <w:rPr>
          <w:b w:val="0"/>
          <w:i/>
          <w:smallCaps w:val="0"/>
          <w:sz w:val="22"/>
          <w:szCs w:val="22"/>
        </w:rPr>
      </w:pPr>
    </w:p>
    <w:p w14:paraId="238CA9CC" w14:textId="77777777" w:rsidR="00A965B8" w:rsidRPr="00D158D2" w:rsidRDefault="00EB0E55" w:rsidP="00A965B8">
      <w:pPr>
        <w:pStyle w:val="BHLevel6"/>
        <w:widowControl/>
        <w:spacing w:before="0" w:after="0"/>
        <w:rPr>
          <w:b w:val="0"/>
          <w:i/>
          <w:smallCaps w:val="0"/>
          <w:sz w:val="22"/>
          <w:szCs w:val="22"/>
        </w:rPr>
      </w:pPr>
      <w:r w:rsidRPr="00D158D2">
        <w:rPr>
          <w:b w:val="0"/>
          <w:i/>
          <w:smallCaps w:val="0"/>
          <w:sz w:val="22"/>
          <w:szCs w:val="22"/>
        </w:rPr>
        <w:t xml:space="preserve">Grantees </w:t>
      </w:r>
      <w:r w:rsidR="00A965B8" w:rsidRPr="00D158D2">
        <w:rPr>
          <w:b w:val="0"/>
          <w:i/>
          <w:smallCaps w:val="0"/>
          <w:sz w:val="22"/>
          <w:szCs w:val="22"/>
        </w:rPr>
        <w:t>Responsible for Collecting Information for the Agency</w:t>
      </w:r>
    </w:p>
    <w:p w14:paraId="665ACEB3" w14:textId="77777777" w:rsidR="00A965B8" w:rsidRPr="00D158D2" w:rsidRDefault="00A965B8" w:rsidP="00A965B8">
      <w:pPr>
        <w:rPr>
          <w:sz w:val="22"/>
          <w:szCs w:val="22"/>
        </w:rPr>
      </w:pPr>
    </w:p>
    <w:p w14:paraId="44B88FD4" w14:textId="77777777" w:rsidR="00A965B8" w:rsidRPr="00D158D2" w:rsidRDefault="00C62DB3" w:rsidP="00C62DB3">
      <w:pPr>
        <w:pStyle w:val="BHLevel6"/>
        <w:keepNext/>
        <w:keepLines/>
        <w:widowControl/>
        <w:spacing w:before="0" w:after="0"/>
        <w:rPr>
          <w:b w:val="0"/>
          <w:smallCaps w:val="0"/>
          <w:sz w:val="22"/>
          <w:szCs w:val="22"/>
        </w:rPr>
      </w:pPr>
      <w:r w:rsidRPr="00D158D2">
        <w:rPr>
          <w:b w:val="0"/>
          <w:smallCaps w:val="0"/>
          <w:sz w:val="22"/>
          <w:szCs w:val="22"/>
        </w:rPr>
        <w:t xml:space="preserve">Data will be collected by </w:t>
      </w:r>
      <w:r w:rsidR="009F769B">
        <w:rPr>
          <w:b w:val="0"/>
          <w:smallCaps w:val="0"/>
          <w:sz w:val="22"/>
          <w:szCs w:val="22"/>
        </w:rPr>
        <w:t>Tulane University</w:t>
      </w:r>
      <w:r w:rsidR="0056571B">
        <w:rPr>
          <w:b w:val="0"/>
          <w:smallCaps w:val="0"/>
          <w:sz w:val="22"/>
          <w:szCs w:val="22"/>
        </w:rPr>
        <w:t>,</w:t>
      </w:r>
      <w:r w:rsidR="009F769B">
        <w:rPr>
          <w:b w:val="0"/>
          <w:smallCaps w:val="0"/>
          <w:sz w:val="22"/>
          <w:szCs w:val="22"/>
        </w:rPr>
        <w:t xml:space="preserve"> which is the </w:t>
      </w:r>
      <w:r w:rsidRPr="00D158D2">
        <w:rPr>
          <w:b w:val="0"/>
          <w:smallCaps w:val="0"/>
          <w:sz w:val="22"/>
          <w:szCs w:val="22"/>
        </w:rPr>
        <w:t>grantee</w:t>
      </w:r>
      <w:r w:rsidR="002A52EB" w:rsidRPr="00D158D2">
        <w:rPr>
          <w:b w:val="0"/>
          <w:smallCaps w:val="0"/>
          <w:sz w:val="22"/>
          <w:szCs w:val="22"/>
        </w:rPr>
        <w:t xml:space="preserve"> for the </w:t>
      </w:r>
      <w:r w:rsidR="00877891" w:rsidRPr="00D158D2">
        <w:rPr>
          <w:b w:val="0"/>
          <w:smallCaps w:val="0"/>
          <w:sz w:val="22"/>
          <w:szCs w:val="22"/>
        </w:rPr>
        <w:t xml:space="preserve">third </w:t>
      </w:r>
      <w:r w:rsidR="002A52EB" w:rsidRPr="00D158D2">
        <w:rPr>
          <w:b w:val="0"/>
          <w:smallCaps w:val="0"/>
          <w:sz w:val="22"/>
          <w:szCs w:val="22"/>
        </w:rPr>
        <w:t>study site of the Green Housing Study (</w:t>
      </w:r>
      <w:r w:rsidR="00B370AB" w:rsidRPr="00D158D2">
        <w:rPr>
          <w:b w:val="0"/>
          <w:smallCaps w:val="0"/>
          <w:sz w:val="22"/>
          <w:szCs w:val="22"/>
        </w:rPr>
        <w:t>New Orleans</w:t>
      </w:r>
      <w:r w:rsidR="002A52EB" w:rsidRPr="00D158D2">
        <w:rPr>
          <w:b w:val="0"/>
          <w:smallCaps w:val="0"/>
          <w:sz w:val="22"/>
          <w:szCs w:val="22"/>
        </w:rPr>
        <w:t>)</w:t>
      </w:r>
      <w:r w:rsidRPr="00D158D2">
        <w:rPr>
          <w:b w:val="0"/>
          <w:smallCaps w:val="0"/>
          <w:sz w:val="22"/>
          <w:szCs w:val="22"/>
        </w:rPr>
        <w:t>.</w:t>
      </w:r>
    </w:p>
    <w:p w14:paraId="777299F2" w14:textId="77777777" w:rsidR="00A965B8" w:rsidRPr="00D158D2" w:rsidRDefault="00A965B8" w:rsidP="00A965B8">
      <w:pPr>
        <w:pStyle w:val="BHLevel6"/>
        <w:widowControl/>
        <w:spacing w:before="0" w:after="0"/>
        <w:rPr>
          <w:b w:val="0"/>
          <w:smallCaps w:val="0"/>
          <w:sz w:val="22"/>
          <w:szCs w:val="22"/>
        </w:rPr>
      </w:pPr>
    </w:p>
    <w:p w14:paraId="0288C244" w14:textId="77777777" w:rsidR="006B2CE4" w:rsidRDefault="006B2CE4" w:rsidP="00A965B8">
      <w:pPr>
        <w:pStyle w:val="BHLevel6"/>
        <w:keepNext/>
        <w:keepLines/>
        <w:widowControl/>
        <w:spacing w:before="0" w:after="0"/>
        <w:rPr>
          <w:b w:val="0"/>
          <w:i/>
          <w:smallCaps w:val="0"/>
          <w:sz w:val="22"/>
          <w:szCs w:val="22"/>
        </w:rPr>
      </w:pPr>
    </w:p>
    <w:p w14:paraId="53916D2A" w14:textId="77777777" w:rsidR="00A965B8" w:rsidRPr="00D158D2" w:rsidRDefault="00A965B8" w:rsidP="00A965B8">
      <w:pPr>
        <w:pStyle w:val="BHLevel6"/>
        <w:keepNext/>
        <w:keepLines/>
        <w:widowControl/>
        <w:spacing w:before="0" w:after="0"/>
        <w:rPr>
          <w:b w:val="0"/>
          <w:i/>
          <w:smallCaps w:val="0"/>
          <w:sz w:val="22"/>
          <w:szCs w:val="22"/>
        </w:rPr>
      </w:pPr>
      <w:r w:rsidRPr="00D158D2">
        <w:rPr>
          <w:b w:val="0"/>
          <w:i/>
          <w:smallCaps w:val="0"/>
          <w:sz w:val="22"/>
          <w:szCs w:val="22"/>
        </w:rPr>
        <w:t>Contractors Responsible for Analyzing Information for the Agency</w:t>
      </w:r>
    </w:p>
    <w:p w14:paraId="0D15C286" w14:textId="77777777" w:rsidR="00A965B8" w:rsidRPr="00D158D2" w:rsidRDefault="00A965B8" w:rsidP="00A965B8">
      <w:pPr>
        <w:keepNext/>
        <w:keepLines/>
        <w:rPr>
          <w:sz w:val="22"/>
          <w:szCs w:val="22"/>
        </w:rPr>
      </w:pPr>
    </w:p>
    <w:p w14:paraId="16D44621" w14:textId="77777777" w:rsidR="00A965B8" w:rsidRPr="004D6B8E" w:rsidRDefault="00A965B8" w:rsidP="00A965B8">
      <w:pPr>
        <w:pStyle w:val="BHLevel6"/>
        <w:keepNext/>
        <w:keepLines/>
        <w:widowControl/>
        <w:spacing w:before="0" w:after="0"/>
        <w:rPr>
          <w:b w:val="0"/>
          <w:smallCaps w:val="0"/>
          <w:sz w:val="22"/>
          <w:szCs w:val="22"/>
        </w:rPr>
      </w:pPr>
      <w:r w:rsidRPr="00D158D2">
        <w:rPr>
          <w:b w:val="0"/>
          <w:smallCaps w:val="0"/>
          <w:sz w:val="22"/>
          <w:szCs w:val="22"/>
        </w:rPr>
        <w:t>Not applicable</w:t>
      </w:r>
      <w:r w:rsidR="0013234A">
        <w:rPr>
          <w:b w:val="0"/>
          <w:smallCaps w:val="0"/>
          <w:sz w:val="22"/>
          <w:szCs w:val="22"/>
        </w:rPr>
        <w:t xml:space="preserve">. </w:t>
      </w:r>
      <w:r w:rsidRPr="00D158D2">
        <w:rPr>
          <w:b w:val="0"/>
          <w:smallCaps w:val="0"/>
          <w:sz w:val="22"/>
          <w:szCs w:val="22"/>
        </w:rPr>
        <w:t xml:space="preserve">CDC </w:t>
      </w:r>
      <w:r w:rsidR="00877891" w:rsidRPr="00D158D2">
        <w:rPr>
          <w:b w:val="0"/>
          <w:smallCaps w:val="0"/>
          <w:sz w:val="22"/>
          <w:szCs w:val="22"/>
        </w:rPr>
        <w:t xml:space="preserve">and EPA staff associated with </w:t>
      </w:r>
      <w:r w:rsidR="00542DEC" w:rsidRPr="00D158D2">
        <w:rPr>
          <w:b w:val="0"/>
          <w:smallCaps w:val="0"/>
          <w:sz w:val="22"/>
          <w:szCs w:val="22"/>
        </w:rPr>
        <w:t xml:space="preserve">the </w:t>
      </w:r>
      <w:r w:rsidR="00466923">
        <w:rPr>
          <w:b w:val="0"/>
          <w:smallCaps w:val="0"/>
          <w:sz w:val="22"/>
          <w:szCs w:val="22"/>
        </w:rPr>
        <w:t>Add-on</w:t>
      </w:r>
      <w:r w:rsidR="00877891" w:rsidRPr="00D158D2">
        <w:rPr>
          <w:b w:val="0"/>
          <w:smallCaps w:val="0"/>
          <w:sz w:val="22"/>
          <w:szCs w:val="22"/>
        </w:rPr>
        <w:t xml:space="preserve"> </w:t>
      </w:r>
      <w:r w:rsidR="00570858">
        <w:rPr>
          <w:b w:val="0"/>
          <w:smallCaps w:val="0"/>
          <w:sz w:val="22"/>
          <w:szCs w:val="22"/>
        </w:rPr>
        <w:t xml:space="preserve">Study </w:t>
      </w:r>
      <w:r w:rsidRPr="00D158D2">
        <w:rPr>
          <w:b w:val="0"/>
          <w:smallCaps w:val="0"/>
          <w:sz w:val="22"/>
          <w:szCs w:val="22"/>
        </w:rPr>
        <w:t>will analyze d</w:t>
      </w:r>
      <w:r w:rsidRPr="004D6B8E">
        <w:rPr>
          <w:b w:val="0"/>
          <w:smallCaps w:val="0"/>
          <w:sz w:val="22"/>
          <w:szCs w:val="22"/>
        </w:rPr>
        <w:t>ata</w:t>
      </w:r>
      <w:r w:rsidR="00FD0613" w:rsidRPr="004D6B8E">
        <w:rPr>
          <w:b w:val="0"/>
          <w:smallCaps w:val="0"/>
          <w:sz w:val="22"/>
          <w:szCs w:val="22"/>
        </w:rPr>
        <w:t xml:space="preserve"> from the </w:t>
      </w:r>
      <w:r w:rsidR="00466923">
        <w:rPr>
          <w:b w:val="0"/>
          <w:smallCaps w:val="0"/>
          <w:sz w:val="22"/>
          <w:szCs w:val="22"/>
        </w:rPr>
        <w:t>study</w:t>
      </w:r>
      <w:r w:rsidRPr="004D6B8E">
        <w:rPr>
          <w:b w:val="0"/>
          <w:smallCaps w:val="0"/>
          <w:sz w:val="22"/>
          <w:szCs w:val="22"/>
        </w:rPr>
        <w:t>.</w:t>
      </w:r>
    </w:p>
    <w:sectPr w:rsidR="00A965B8" w:rsidRPr="004D6B8E" w:rsidSect="008158B1">
      <w:headerReference w:type="default" r:id="rId15"/>
      <w:footerReference w:type="even" r:id="rId16"/>
      <w:footerReference w:type="default" r:id="rId17"/>
      <w:footerReference w:type="first" r:id="rId18"/>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C803B" w14:textId="77777777" w:rsidR="00E0735A" w:rsidRDefault="00E0735A">
      <w:r>
        <w:separator/>
      </w:r>
    </w:p>
  </w:endnote>
  <w:endnote w:type="continuationSeparator" w:id="0">
    <w:p w14:paraId="1FB5D05A" w14:textId="77777777" w:rsidR="00E0735A" w:rsidRDefault="00E0735A">
      <w:r>
        <w:continuationSeparator/>
      </w:r>
    </w:p>
  </w:endnote>
  <w:endnote w:type="continuationNotice" w:id="1">
    <w:p w14:paraId="549E938A" w14:textId="77777777" w:rsidR="00E0735A" w:rsidRDefault="00E07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3D591" w14:textId="77777777" w:rsidR="00E0735A" w:rsidRDefault="00E0735A" w:rsidP="00410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B4B945" w14:textId="77777777" w:rsidR="00E0735A" w:rsidRDefault="00E0735A" w:rsidP="00410F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340E3" w14:textId="77777777" w:rsidR="00E0735A" w:rsidRDefault="00E0735A">
    <w:pPr>
      <w:pStyle w:val="Footer"/>
      <w:jc w:val="right"/>
    </w:pPr>
    <w:r>
      <w:fldChar w:fldCharType="begin"/>
    </w:r>
    <w:r>
      <w:instrText xml:space="preserve"> PAGE   \* MERGEFORMAT </w:instrText>
    </w:r>
    <w:r>
      <w:fldChar w:fldCharType="separate"/>
    </w:r>
    <w:r w:rsidR="006F7383">
      <w:rPr>
        <w:noProof/>
      </w:rPr>
      <w:t>11</w:t>
    </w:r>
    <w:r>
      <w:fldChar w:fldCharType="end"/>
    </w:r>
  </w:p>
  <w:p w14:paraId="285D105E" w14:textId="77777777" w:rsidR="00E0735A" w:rsidRDefault="00E0735A" w:rsidP="00410F4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FE74" w14:textId="77777777" w:rsidR="00E0735A" w:rsidRDefault="00E0735A">
    <w:pPr>
      <w:pStyle w:val="Footer"/>
      <w:tabs>
        <w:tab w:val="clear" w:pos="4320"/>
        <w:tab w:val="clear"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5947C" w14:textId="77777777" w:rsidR="00E0735A" w:rsidRDefault="00E0735A">
      <w:r>
        <w:separator/>
      </w:r>
    </w:p>
  </w:footnote>
  <w:footnote w:type="continuationSeparator" w:id="0">
    <w:p w14:paraId="0A1C3716" w14:textId="77777777" w:rsidR="00E0735A" w:rsidRDefault="00E0735A">
      <w:r>
        <w:continuationSeparator/>
      </w:r>
    </w:p>
  </w:footnote>
  <w:footnote w:type="continuationNotice" w:id="1">
    <w:p w14:paraId="1B316B63" w14:textId="77777777" w:rsidR="00E0735A" w:rsidRDefault="00E07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29E4D" w14:textId="77777777" w:rsidR="00E0735A" w:rsidRDefault="00E07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numFmt w:val="decimal"/>
      <w:lvlText w:val=""/>
      <w:lvlJc w:val="left"/>
      <w:rPr>
        <w:rFonts w:cs="Times New Roman"/>
      </w:rPr>
    </w:lvl>
  </w:abstractNum>
  <w:abstractNum w:abstractNumId="1" w15:restartNumberingAfterBreak="0">
    <w:nsid w:val="01EB3AD4"/>
    <w:multiLevelType w:val="hybridMultilevel"/>
    <w:tmpl w:val="43BE3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3F1"/>
    <w:multiLevelType w:val="hybridMultilevel"/>
    <w:tmpl w:val="A9AA76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7B44B4"/>
    <w:multiLevelType w:val="hybridMultilevel"/>
    <w:tmpl w:val="FDDEC102"/>
    <w:lvl w:ilvl="0" w:tplc="0388BA5C">
      <w:start w:val="1"/>
      <w:numFmt w:val="upperRoman"/>
      <w:lvlText w:val="%1."/>
      <w:lvlJc w:val="left"/>
      <w:pPr>
        <w:ind w:left="72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1CA1FC6"/>
    <w:multiLevelType w:val="hybridMultilevel"/>
    <w:tmpl w:val="3E8E4EFE"/>
    <w:lvl w:ilvl="0" w:tplc="04090001">
      <w:start w:val="1"/>
      <w:numFmt w:val="bullet"/>
      <w:lvlText w:val=""/>
      <w:lvlJc w:val="left"/>
      <w:pPr>
        <w:tabs>
          <w:tab w:val="num" w:pos="612"/>
        </w:tabs>
        <w:ind w:left="612" w:hanging="360"/>
      </w:pPr>
      <w:rPr>
        <w:rFonts w:ascii="Symbol" w:hAnsi="Symbol" w:hint="default"/>
      </w:rPr>
    </w:lvl>
    <w:lvl w:ilvl="1" w:tplc="04090003">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64C2018"/>
    <w:multiLevelType w:val="hybridMultilevel"/>
    <w:tmpl w:val="0B74A8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768294F"/>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7" w15:restartNumberingAfterBreak="0">
    <w:nsid w:val="2110211B"/>
    <w:multiLevelType w:val="hybridMultilevel"/>
    <w:tmpl w:val="A36875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01843"/>
    <w:multiLevelType w:val="hybridMultilevel"/>
    <w:tmpl w:val="E3388000"/>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E07FA"/>
    <w:multiLevelType w:val="hybridMultilevel"/>
    <w:tmpl w:val="88F23D70"/>
    <w:lvl w:ilvl="0" w:tplc="4ACE1B9A">
      <w:start w:val="2"/>
      <w:numFmt w:val="decimal"/>
      <w:lvlText w:val="Hypothesis %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15:restartNumberingAfterBreak="0">
    <w:nsid w:val="36DB2B43"/>
    <w:multiLevelType w:val="hybridMultilevel"/>
    <w:tmpl w:val="B0400E46"/>
    <w:lvl w:ilvl="0" w:tplc="AC34E8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B2C66"/>
    <w:multiLevelType w:val="hybridMultilevel"/>
    <w:tmpl w:val="1854BC54"/>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6599F"/>
    <w:multiLevelType w:val="hybridMultilevel"/>
    <w:tmpl w:val="E7F435CA"/>
    <w:lvl w:ilvl="0" w:tplc="04090001">
      <w:start w:val="1"/>
      <w:numFmt w:val="bullet"/>
      <w:lvlText w:val=""/>
      <w:lvlJc w:val="left"/>
      <w:pPr>
        <w:tabs>
          <w:tab w:val="num" w:pos="612"/>
        </w:tabs>
        <w:ind w:left="612"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4" w15:restartNumberingAfterBreak="0">
    <w:nsid w:val="426D17D7"/>
    <w:multiLevelType w:val="hybridMultilevel"/>
    <w:tmpl w:val="A1EC8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A48A1"/>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16" w15:restartNumberingAfterBreak="0">
    <w:nsid w:val="456A38D1"/>
    <w:multiLevelType w:val="hybridMultilevel"/>
    <w:tmpl w:val="F4B4519E"/>
    <w:lvl w:ilvl="0" w:tplc="85E6674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0439B"/>
    <w:multiLevelType w:val="hybridMultilevel"/>
    <w:tmpl w:val="F93C09AC"/>
    <w:lvl w:ilvl="0" w:tplc="1FA8EE8C">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4E608B"/>
    <w:multiLevelType w:val="hybridMultilevel"/>
    <w:tmpl w:val="1F264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D634A"/>
    <w:multiLevelType w:val="hybridMultilevel"/>
    <w:tmpl w:val="C590B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35B7F"/>
    <w:multiLevelType w:val="hybridMultilevel"/>
    <w:tmpl w:val="FD728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C32F21"/>
    <w:multiLevelType w:val="hybridMultilevel"/>
    <w:tmpl w:val="DD44F998"/>
    <w:lvl w:ilvl="0" w:tplc="DB2A5DCC">
      <w:start w:val="21"/>
      <w:numFmt w:val="bullet"/>
      <w:lvlText w:val="-"/>
      <w:lvlJc w:val="left"/>
      <w:pPr>
        <w:tabs>
          <w:tab w:val="num" w:pos="432"/>
        </w:tabs>
        <w:ind w:left="432" w:hanging="360"/>
      </w:pPr>
      <w:rPr>
        <w:rFonts w:ascii="Times New Roman" w:eastAsia="Times New Roman" w:hAnsi="Times New Roman"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5AD726A7"/>
    <w:multiLevelType w:val="hybridMultilevel"/>
    <w:tmpl w:val="31A4C4FE"/>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D0B0C"/>
    <w:multiLevelType w:val="hybridMultilevel"/>
    <w:tmpl w:val="06A0A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D5C36"/>
    <w:multiLevelType w:val="hybridMultilevel"/>
    <w:tmpl w:val="E62E29E8"/>
    <w:lvl w:ilvl="0" w:tplc="B248FD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16B18CD"/>
    <w:multiLevelType w:val="hybridMultilevel"/>
    <w:tmpl w:val="52586328"/>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D14A8"/>
    <w:multiLevelType w:val="hybridMultilevel"/>
    <w:tmpl w:val="480EA81A"/>
    <w:lvl w:ilvl="0" w:tplc="C9D0E66C">
      <w:start w:val="1"/>
      <w:numFmt w:val="bullet"/>
      <w:lvlText w:val=""/>
      <w:lvlJc w:val="left"/>
      <w:pPr>
        <w:ind w:left="720" w:hanging="360"/>
      </w:pPr>
      <w:rPr>
        <w:rFonts w:ascii="Times New Roman" w:hAnsi="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7269F"/>
    <w:multiLevelType w:val="multilevel"/>
    <w:tmpl w:val="5D109760"/>
    <w:lvl w:ilvl="0">
      <w:start w:val="1"/>
      <w:numFmt w:val="decimal"/>
      <w:pStyle w:val="Num-S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29" w15:restartNumberingAfterBreak="0">
    <w:nsid w:val="71761CA2"/>
    <w:multiLevelType w:val="hybridMultilevel"/>
    <w:tmpl w:val="780866AE"/>
    <w:lvl w:ilvl="0" w:tplc="04090001">
      <w:start w:val="1"/>
      <w:numFmt w:val="bullet"/>
      <w:lvlText w:val=""/>
      <w:lvlJc w:val="left"/>
      <w:pPr>
        <w:tabs>
          <w:tab w:val="num" w:pos="720"/>
        </w:tabs>
        <w:ind w:left="720" w:hanging="360"/>
      </w:pPr>
      <w:rPr>
        <w:rFonts w:ascii="Symbol" w:hAnsi="Symbol" w:hint="default"/>
      </w:rPr>
    </w:lvl>
    <w:lvl w:ilvl="1" w:tplc="8B98E696">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026410"/>
    <w:multiLevelType w:val="hybridMultilevel"/>
    <w:tmpl w:val="6812E0D4"/>
    <w:lvl w:ilvl="0" w:tplc="F6C44B4E">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AA969FF"/>
    <w:multiLevelType w:val="hybridMultilevel"/>
    <w:tmpl w:val="96302350"/>
    <w:lvl w:ilvl="0" w:tplc="38EE7D4C">
      <w:start w:val="1"/>
      <w:numFmt w:val="bullet"/>
      <w:pStyle w:val="N3-bullet"/>
      <w:lvlText w:val=""/>
      <w:lvlJc w:val="left"/>
      <w:pPr>
        <w:tabs>
          <w:tab w:val="num" w:pos="1872"/>
        </w:tabs>
        <w:ind w:left="1872"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28"/>
  </w:num>
  <w:num w:numId="4">
    <w:abstractNumId w:val="15"/>
  </w:num>
  <w:num w:numId="5">
    <w:abstractNumId w:val="6"/>
  </w:num>
  <w:num w:numId="6">
    <w:abstractNumId w:val="9"/>
  </w:num>
  <w:num w:numId="7">
    <w:abstractNumId w:val="27"/>
  </w:num>
  <w:num w:numId="8">
    <w:abstractNumId w:val="22"/>
  </w:num>
  <w:num w:numId="9">
    <w:abstractNumId w:val="18"/>
  </w:num>
  <w:num w:numId="10">
    <w:abstractNumId w:val="4"/>
  </w:num>
  <w:num w:numId="11">
    <w:abstractNumId w:val="7"/>
  </w:num>
  <w:num w:numId="12">
    <w:abstractNumId w:val="14"/>
  </w:num>
  <w:num w:numId="13">
    <w:abstractNumId w:val="24"/>
  </w:num>
  <w:num w:numId="14">
    <w:abstractNumId w:val="20"/>
  </w:num>
  <w:num w:numId="15">
    <w:abstractNumId w:val="23"/>
  </w:num>
  <w:num w:numId="16">
    <w:abstractNumId w:val="13"/>
  </w:num>
  <w:num w:numId="17">
    <w:abstractNumId w:val="12"/>
  </w:num>
  <w:num w:numId="18">
    <w:abstractNumId w:val="29"/>
  </w:num>
  <w:num w:numId="19">
    <w:abstractNumId w:val="8"/>
  </w:num>
  <w:num w:numId="20">
    <w:abstractNumId w:val="26"/>
  </w:num>
  <w:num w:numId="21">
    <w:abstractNumId w:val="2"/>
  </w:num>
  <w:num w:numId="22">
    <w:abstractNumId w:val="5"/>
  </w:num>
  <w:num w:numId="23">
    <w:abstractNumId w:val="21"/>
  </w:num>
  <w:num w:numId="24">
    <w:abstractNumId w:val="1"/>
  </w:num>
  <w:num w:numId="25">
    <w:abstractNumId w:val="11"/>
  </w:num>
  <w:num w:numId="26">
    <w:abstractNumId w:val="25"/>
  </w:num>
  <w:num w:numId="27">
    <w:abstractNumId w:val="30"/>
  </w:num>
  <w:num w:numId="28">
    <w:abstractNumId w:val="3"/>
  </w:num>
  <w:num w:numId="29">
    <w:abstractNumId w:val="19"/>
  </w:num>
  <w:num w:numId="30">
    <w:abstractNumId w:val="17"/>
  </w:num>
  <w:num w:numId="3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D0"/>
    <w:rsid w:val="0000040A"/>
    <w:rsid w:val="00001B4F"/>
    <w:rsid w:val="00002BAA"/>
    <w:rsid w:val="00002BF1"/>
    <w:rsid w:val="0001272F"/>
    <w:rsid w:val="00016287"/>
    <w:rsid w:val="00016B10"/>
    <w:rsid w:val="000260F9"/>
    <w:rsid w:val="00030D5E"/>
    <w:rsid w:val="00031AC7"/>
    <w:rsid w:val="000331A6"/>
    <w:rsid w:val="00033764"/>
    <w:rsid w:val="00033DBA"/>
    <w:rsid w:val="000353F0"/>
    <w:rsid w:val="000357B0"/>
    <w:rsid w:val="000373ED"/>
    <w:rsid w:val="0003741E"/>
    <w:rsid w:val="000405E6"/>
    <w:rsid w:val="0004275A"/>
    <w:rsid w:val="000448BF"/>
    <w:rsid w:val="00044E88"/>
    <w:rsid w:val="00047B4B"/>
    <w:rsid w:val="00051D4D"/>
    <w:rsid w:val="00055BA2"/>
    <w:rsid w:val="00057DC1"/>
    <w:rsid w:val="000606E3"/>
    <w:rsid w:val="000614CC"/>
    <w:rsid w:val="000627C9"/>
    <w:rsid w:val="000627FB"/>
    <w:rsid w:val="000644A3"/>
    <w:rsid w:val="00065082"/>
    <w:rsid w:val="00070B31"/>
    <w:rsid w:val="00073B85"/>
    <w:rsid w:val="000765CC"/>
    <w:rsid w:val="00076DB0"/>
    <w:rsid w:val="00077C11"/>
    <w:rsid w:val="00080593"/>
    <w:rsid w:val="00081F67"/>
    <w:rsid w:val="00083105"/>
    <w:rsid w:val="00085CA2"/>
    <w:rsid w:val="0008753B"/>
    <w:rsid w:val="00091C29"/>
    <w:rsid w:val="000920B1"/>
    <w:rsid w:val="00094180"/>
    <w:rsid w:val="00094CA5"/>
    <w:rsid w:val="00097239"/>
    <w:rsid w:val="000A0BE4"/>
    <w:rsid w:val="000A0CAD"/>
    <w:rsid w:val="000A28B9"/>
    <w:rsid w:val="000A3D56"/>
    <w:rsid w:val="000A4109"/>
    <w:rsid w:val="000A4FA8"/>
    <w:rsid w:val="000A5C8F"/>
    <w:rsid w:val="000B10CD"/>
    <w:rsid w:val="000B1323"/>
    <w:rsid w:val="000B1D96"/>
    <w:rsid w:val="000B425D"/>
    <w:rsid w:val="000B7A83"/>
    <w:rsid w:val="000C12FC"/>
    <w:rsid w:val="000C16EF"/>
    <w:rsid w:val="000C2565"/>
    <w:rsid w:val="000D1173"/>
    <w:rsid w:val="000D2378"/>
    <w:rsid w:val="000D3DB0"/>
    <w:rsid w:val="000D5438"/>
    <w:rsid w:val="000D6362"/>
    <w:rsid w:val="000E2908"/>
    <w:rsid w:val="000E37D9"/>
    <w:rsid w:val="000E3A9D"/>
    <w:rsid w:val="000E4841"/>
    <w:rsid w:val="000E6189"/>
    <w:rsid w:val="000F047F"/>
    <w:rsid w:val="000F0FC9"/>
    <w:rsid w:val="000F571F"/>
    <w:rsid w:val="000F6B3F"/>
    <w:rsid w:val="000F724C"/>
    <w:rsid w:val="00101818"/>
    <w:rsid w:val="00101B19"/>
    <w:rsid w:val="00106626"/>
    <w:rsid w:val="001066BE"/>
    <w:rsid w:val="0010783F"/>
    <w:rsid w:val="00110062"/>
    <w:rsid w:val="00110270"/>
    <w:rsid w:val="00110817"/>
    <w:rsid w:val="001114D8"/>
    <w:rsid w:val="001132BF"/>
    <w:rsid w:val="00117099"/>
    <w:rsid w:val="00117451"/>
    <w:rsid w:val="00121570"/>
    <w:rsid w:val="00122388"/>
    <w:rsid w:val="00122629"/>
    <w:rsid w:val="00122A51"/>
    <w:rsid w:val="00122CFC"/>
    <w:rsid w:val="001256B7"/>
    <w:rsid w:val="00125871"/>
    <w:rsid w:val="001265DA"/>
    <w:rsid w:val="00126AB1"/>
    <w:rsid w:val="00127D49"/>
    <w:rsid w:val="00131537"/>
    <w:rsid w:val="0013234A"/>
    <w:rsid w:val="001334FC"/>
    <w:rsid w:val="00144DBB"/>
    <w:rsid w:val="00146FF1"/>
    <w:rsid w:val="00151443"/>
    <w:rsid w:val="00151F95"/>
    <w:rsid w:val="00153287"/>
    <w:rsid w:val="001558B3"/>
    <w:rsid w:val="00157522"/>
    <w:rsid w:val="00163D62"/>
    <w:rsid w:val="00165E1F"/>
    <w:rsid w:val="0016678C"/>
    <w:rsid w:val="00174624"/>
    <w:rsid w:val="001752AF"/>
    <w:rsid w:val="00177053"/>
    <w:rsid w:val="00177CA8"/>
    <w:rsid w:val="00180914"/>
    <w:rsid w:val="001822EF"/>
    <w:rsid w:val="0018284B"/>
    <w:rsid w:val="00183D21"/>
    <w:rsid w:val="00184268"/>
    <w:rsid w:val="0019030A"/>
    <w:rsid w:val="00191935"/>
    <w:rsid w:val="00192C92"/>
    <w:rsid w:val="00192DDB"/>
    <w:rsid w:val="00195FE7"/>
    <w:rsid w:val="001A17D3"/>
    <w:rsid w:val="001A1A03"/>
    <w:rsid w:val="001A4285"/>
    <w:rsid w:val="001A4F97"/>
    <w:rsid w:val="001B306F"/>
    <w:rsid w:val="001B5439"/>
    <w:rsid w:val="001C0E05"/>
    <w:rsid w:val="001C2539"/>
    <w:rsid w:val="001E1D93"/>
    <w:rsid w:val="001E1DA1"/>
    <w:rsid w:val="001E20E2"/>
    <w:rsid w:val="001E4CBC"/>
    <w:rsid w:val="001E5963"/>
    <w:rsid w:val="001F0951"/>
    <w:rsid w:val="001F1A9A"/>
    <w:rsid w:val="001F267B"/>
    <w:rsid w:val="001F310B"/>
    <w:rsid w:val="0021071C"/>
    <w:rsid w:val="002107EF"/>
    <w:rsid w:val="00212C7C"/>
    <w:rsid w:val="00213812"/>
    <w:rsid w:val="00217FA2"/>
    <w:rsid w:val="0022370F"/>
    <w:rsid w:val="002238AE"/>
    <w:rsid w:val="00225514"/>
    <w:rsid w:val="002270EE"/>
    <w:rsid w:val="00233156"/>
    <w:rsid w:val="00236F2E"/>
    <w:rsid w:val="002376E9"/>
    <w:rsid w:val="0024150E"/>
    <w:rsid w:val="00243694"/>
    <w:rsid w:val="00246EDE"/>
    <w:rsid w:val="002516A6"/>
    <w:rsid w:val="00252798"/>
    <w:rsid w:val="0025614A"/>
    <w:rsid w:val="00256D00"/>
    <w:rsid w:val="00263669"/>
    <w:rsid w:val="002636D2"/>
    <w:rsid w:val="00264540"/>
    <w:rsid w:val="0026589D"/>
    <w:rsid w:val="00271300"/>
    <w:rsid w:val="00273825"/>
    <w:rsid w:val="00273F51"/>
    <w:rsid w:val="00273FC5"/>
    <w:rsid w:val="00276A3F"/>
    <w:rsid w:val="002774F0"/>
    <w:rsid w:val="00277CAB"/>
    <w:rsid w:val="00282177"/>
    <w:rsid w:val="002859B6"/>
    <w:rsid w:val="002907A3"/>
    <w:rsid w:val="00290ACD"/>
    <w:rsid w:val="0029117C"/>
    <w:rsid w:val="002924EA"/>
    <w:rsid w:val="00293B2F"/>
    <w:rsid w:val="002A0A2D"/>
    <w:rsid w:val="002A2E77"/>
    <w:rsid w:val="002A33E7"/>
    <w:rsid w:val="002A52EB"/>
    <w:rsid w:val="002A798E"/>
    <w:rsid w:val="002B1DD6"/>
    <w:rsid w:val="002B338B"/>
    <w:rsid w:val="002B61BA"/>
    <w:rsid w:val="002B7EE8"/>
    <w:rsid w:val="002C125D"/>
    <w:rsid w:val="002C1A18"/>
    <w:rsid w:val="002C7317"/>
    <w:rsid w:val="002C73CC"/>
    <w:rsid w:val="002C7D2D"/>
    <w:rsid w:val="002D0E65"/>
    <w:rsid w:val="002D4879"/>
    <w:rsid w:val="002D5DFC"/>
    <w:rsid w:val="002E0C10"/>
    <w:rsid w:val="002E0E8E"/>
    <w:rsid w:val="002E269B"/>
    <w:rsid w:val="002E2753"/>
    <w:rsid w:val="002E5E4D"/>
    <w:rsid w:val="002E669F"/>
    <w:rsid w:val="002E7BE8"/>
    <w:rsid w:val="002F0B56"/>
    <w:rsid w:val="002F1FF5"/>
    <w:rsid w:val="002F549C"/>
    <w:rsid w:val="00300024"/>
    <w:rsid w:val="00300A8D"/>
    <w:rsid w:val="00300F31"/>
    <w:rsid w:val="0031146F"/>
    <w:rsid w:val="00311CA8"/>
    <w:rsid w:val="003127ED"/>
    <w:rsid w:val="00313A8D"/>
    <w:rsid w:val="003140E3"/>
    <w:rsid w:val="00314A8B"/>
    <w:rsid w:val="00315836"/>
    <w:rsid w:val="003163B2"/>
    <w:rsid w:val="00321772"/>
    <w:rsid w:val="00321AC2"/>
    <w:rsid w:val="003222CB"/>
    <w:rsid w:val="0032398E"/>
    <w:rsid w:val="003249FC"/>
    <w:rsid w:val="00325B5F"/>
    <w:rsid w:val="00327A6B"/>
    <w:rsid w:val="00334917"/>
    <w:rsid w:val="00340840"/>
    <w:rsid w:val="00345750"/>
    <w:rsid w:val="00345AFB"/>
    <w:rsid w:val="003507B3"/>
    <w:rsid w:val="00350AC2"/>
    <w:rsid w:val="003535DF"/>
    <w:rsid w:val="00353D71"/>
    <w:rsid w:val="0035484B"/>
    <w:rsid w:val="00364C17"/>
    <w:rsid w:val="003661A1"/>
    <w:rsid w:val="00370930"/>
    <w:rsid w:val="00370C48"/>
    <w:rsid w:val="00370F64"/>
    <w:rsid w:val="0037194B"/>
    <w:rsid w:val="00371CED"/>
    <w:rsid w:val="00374694"/>
    <w:rsid w:val="00374AAE"/>
    <w:rsid w:val="00374BF9"/>
    <w:rsid w:val="00374D57"/>
    <w:rsid w:val="00381A6F"/>
    <w:rsid w:val="00381BC6"/>
    <w:rsid w:val="00381CAD"/>
    <w:rsid w:val="003833A0"/>
    <w:rsid w:val="00386099"/>
    <w:rsid w:val="00386F16"/>
    <w:rsid w:val="003912B0"/>
    <w:rsid w:val="00391CDD"/>
    <w:rsid w:val="00393884"/>
    <w:rsid w:val="00397B7E"/>
    <w:rsid w:val="003A1F39"/>
    <w:rsid w:val="003A750A"/>
    <w:rsid w:val="003B678B"/>
    <w:rsid w:val="003C561D"/>
    <w:rsid w:val="003C5AE3"/>
    <w:rsid w:val="003C628A"/>
    <w:rsid w:val="003C7264"/>
    <w:rsid w:val="003D0352"/>
    <w:rsid w:val="003D17C4"/>
    <w:rsid w:val="003D2B26"/>
    <w:rsid w:val="003D3953"/>
    <w:rsid w:val="003D5883"/>
    <w:rsid w:val="003E1409"/>
    <w:rsid w:val="003E1A2F"/>
    <w:rsid w:val="003E1CA6"/>
    <w:rsid w:val="003E3CF3"/>
    <w:rsid w:val="003E4E5A"/>
    <w:rsid w:val="003E578C"/>
    <w:rsid w:val="003E6805"/>
    <w:rsid w:val="003E6A57"/>
    <w:rsid w:val="003E6E3E"/>
    <w:rsid w:val="003E73CE"/>
    <w:rsid w:val="003E78B3"/>
    <w:rsid w:val="003F0287"/>
    <w:rsid w:val="003F0A20"/>
    <w:rsid w:val="003F1ABC"/>
    <w:rsid w:val="003F569E"/>
    <w:rsid w:val="003F60D3"/>
    <w:rsid w:val="003F7439"/>
    <w:rsid w:val="003F7FA2"/>
    <w:rsid w:val="004000B3"/>
    <w:rsid w:val="004012CB"/>
    <w:rsid w:val="004031DF"/>
    <w:rsid w:val="004034C3"/>
    <w:rsid w:val="004054D0"/>
    <w:rsid w:val="004074CF"/>
    <w:rsid w:val="00410F4E"/>
    <w:rsid w:val="004136A7"/>
    <w:rsid w:val="00414092"/>
    <w:rsid w:val="004146C6"/>
    <w:rsid w:val="00420FE7"/>
    <w:rsid w:val="00427047"/>
    <w:rsid w:val="0042789A"/>
    <w:rsid w:val="00436246"/>
    <w:rsid w:val="00436D29"/>
    <w:rsid w:val="004401AB"/>
    <w:rsid w:val="00442DCD"/>
    <w:rsid w:val="00444DD0"/>
    <w:rsid w:val="004522CD"/>
    <w:rsid w:val="00456C98"/>
    <w:rsid w:val="00457D87"/>
    <w:rsid w:val="004637D6"/>
    <w:rsid w:val="00466923"/>
    <w:rsid w:val="00466EA8"/>
    <w:rsid w:val="004674AC"/>
    <w:rsid w:val="004717C7"/>
    <w:rsid w:val="00472743"/>
    <w:rsid w:val="00473F50"/>
    <w:rsid w:val="004768BB"/>
    <w:rsid w:val="004770B9"/>
    <w:rsid w:val="004804C8"/>
    <w:rsid w:val="004807B3"/>
    <w:rsid w:val="00480B0D"/>
    <w:rsid w:val="00480DC5"/>
    <w:rsid w:val="004848C7"/>
    <w:rsid w:val="004857DE"/>
    <w:rsid w:val="004903BC"/>
    <w:rsid w:val="004963C7"/>
    <w:rsid w:val="00496962"/>
    <w:rsid w:val="004A1527"/>
    <w:rsid w:val="004A782D"/>
    <w:rsid w:val="004A7870"/>
    <w:rsid w:val="004B1639"/>
    <w:rsid w:val="004B1C45"/>
    <w:rsid w:val="004B654E"/>
    <w:rsid w:val="004B7931"/>
    <w:rsid w:val="004C093F"/>
    <w:rsid w:val="004C4532"/>
    <w:rsid w:val="004C45F4"/>
    <w:rsid w:val="004C54AD"/>
    <w:rsid w:val="004C655C"/>
    <w:rsid w:val="004D09CC"/>
    <w:rsid w:val="004D1C7D"/>
    <w:rsid w:val="004D2760"/>
    <w:rsid w:val="004D2B5F"/>
    <w:rsid w:val="004D428D"/>
    <w:rsid w:val="004D43D2"/>
    <w:rsid w:val="004D6B8E"/>
    <w:rsid w:val="004E1C41"/>
    <w:rsid w:val="004E2017"/>
    <w:rsid w:val="004E6F6E"/>
    <w:rsid w:val="004E7928"/>
    <w:rsid w:val="004F01D3"/>
    <w:rsid w:val="004F1D1B"/>
    <w:rsid w:val="004F2A1B"/>
    <w:rsid w:val="004F4225"/>
    <w:rsid w:val="004F5D78"/>
    <w:rsid w:val="004F6A59"/>
    <w:rsid w:val="00500329"/>
    <w:rsid w:val="00502B31"/>
    <w:rsid w:val="00502F68"/>
    <w:rsid w:val="00502FCB"/>
    <w:rsid w:val="00504A03"/>
    <w:rsid w:val="005100F4"/>
    <w:rsid w:val="00510B61"/>
    <w:rsid w:val="00511022"/>
    <w:rsid w:val="00512370"/>
    <w:rsid w:val="00512885"/>
    <w:rsid w:val="00512CA2"/>
    <w:rsid w:val="00513B2A"/>
    <w:rsid w:val="00516431"/>
    <w:rsid w:val="0051649E"/>
    <w:rsid w:val="0051718C"/>
    <w:rsid w:val="00521E8D"/>
    <w:rsid w:val="005230EB"/>
    <w:rsid w:val="0052367A"/>
    <w:rsid w:val="00523853"/>
    <w:rsid w:val="00523CF2"/>
    <w:rsid w:val="00525E52"/>
    <w:rsid w:val="00531E34"/>
    <w:rsid w:val="00532C00"/>
    <w:rsid w:val="0053564D"/>
    <w:rsid w:val="00537B0B"/>
    <w:rsid w:val="00540AE8"/>
    <w:rsid w:val="00540B0B"/>
    <w:rsid w:val="005413C1"/>
    <w:rsid w:val="00542608"/>
    <w:rsid w:val="00542DEC"/>
    <w:rsid w:val="005441F9"/>
    <w:rsid w:val="00545DB3"/>
    <w:rsid w:val="00547DBF"/>
    <w:rsid w:val="00551F48"/>
    <w:rsid w:val="00557153"/>
    <w:rsid w:val="00557887"/>
    <w:rsid w:val="0056019C"/>
    <w:rsid w:val="00561315"/>
    <w:rsid w:val="00561794"/>
    <w:rsid w:val="00564CD8"/>
    <w:rsid w:val="0056571B"/>
    <w:rsid w:val="005668D4"/>
    <w:rsid w:val="00566D06"/>
    <w:rsid w:val="005678D5"/>
    <w:rsid w:val="00570858"/>
    <w:rsid w:val="005722CF"/>
    <w:rsid w:val="0057250D"/>
    <w:rsid w:val="00573B9C"/>
    <w:rsid w:val="00575205"/>
    <w:rsid w:val="00580807"/>
    <w:rsid w:val="005819C9"/>
    <w:rsid w:val="00583C4A"/>
    <w:rsid w:val="00586733"/>
    <w:rsid w:val="00586737"/>
    <w:rsid w:val="00590DBF"/>
    <w:rsid w:val="005910AD"/>
    <w:rsid w:val="0059194B"/>
    <w:rsid w:val="005936C3"/>
    <w:rsid w:val="005A1E53"/>
    <w:rsid w:val="005A24E2"/>
    <w:rsid w:val="005A332B"/>
    <w:rsid w:val="005A3A2D"/>
    <w:rsid w:val="005A5C96"/>
    <w:rsid w:val="005A6A41"/>
    <w:rsid w:val="005A71AB"/>
    <w:rsid w:val="005B05A3"/>
    <w:rsid w:val="005B2419"/>
    <w:rsid w:val="005B42E5"/>
    <w:rsid w:val="005B5C41"/>
    <w:rsid w:val="005B79B8"/>
    <w:rsid w:val="005C27E5"/>
    <w:rsid w:val="005C76C1"/>
    <w:rsid w:val="005D0C3E"/>
    <w:rsid w:val="005D0F82"/>
    <w:rsid w:val="005D2030"/>
    <w:rsid w:val="005D358D"/>
    <w:rsid w:val="005D57E4"/>
    <w:rsid w:val="005D6664"/>
    <w:rsid w:val="005E0FA6"/>
    <w:rsid w:val="005E107C"/>
    <w:rsid w:val="005E1090"/>
    <w:rsid w:val="005E7A82"/>
    <w:rsid w:val="005F1CA5"/>
    <w:rsid w:val="005F32A1"/>
    <w:rsid w:val="005F4151"/>
    <w:rsid w:val="005F4D8E"/>
    <w:rsid w:val="005F663E"/>
    <w:rsid w:val="00607DF9"/>
    <w:rsid w:val="00615209"/>
    <w:rsid w:val="00616F86"/>
    <w:rsid w:val="00620D79"/>
    <w:rsid w:val="00621714"/>
    <w:rsid w:val="00622485"/>
    <w:rsid w:val="00622CFB"/>
    <w:rsid w:val="00623075"/>
    <w:rsid w:val="00626910"/>
    <w:rsid w:val="00632A82"/>
    <w:rsid w:val="0063744E"/>
    <w:rsid w:val="00640A43"/>
    <w:rsid w:val="006426CD"/>
    <w:rsid w:val="00642D24"/>
    <w:rsid w:val="00643694"/>
    <w:rsid w:val="00643D19"/>
    <w:rsid w:val="00644ECE"/>
    <w:rsid w:val="00651561"/>
    <w:rsid w:val="00652F5D"/>
    <w:rsid w:val="00654394"/>
    <w:rsid w:val="00654DFC"/>
    <w:rsid w:val="0066622E"/>
    <w:rsid w:val="006666AC"/>
    <w:rsid w:val="00666953"/>
    <w:rsid w:val="006708EA"/>
    <w:rsid w:val="006716E8"/>
    <w:rsid w:val="006717A5"/>
    <w:rsid w:val="00672497"/>
    <w:rsid w:val="006727A8"/>
    <w:rsid w:val="00672FCC"/>
    <w:rsid w:val="00673F95"/>
    <w:rsid w:val="00674222"/>
    <w:rsid w:val="0067502F"/>
    <w:rsid w:val="006773DC"/>
    <w:rsid w:val="00681F92"/>
    <w:rsid w:val="00694E43"/>
    <w:rsid w:val="00695C0C"/>
    <w:rsid w:val="00695C3E"/>
    <w:rsid w:val="006967BD"/>
    <w:rsid w:val="00696BBC"/>
    <w:rsid w:val="006A1341"/>
    <w:rsid w:val="006A150B"/>
    <w:rsid w:val="006A21C2"/>
    <w:rsid w:val="006A25F6"/>
    <w:rsid w:val="006A6617"/>
    <w:rsid w:val="006A79DE"/>
    <w:rsid w:val="006B1E95"/>
    <w:rsid w:val="006B2537"/>
    <w:rsid w:val="006B2CE4"/>
    <w:rsid w:val="006C3F4A"/>
    <w:rsid w:val="006C4B45"/>
    <w:rsid w:val="006C7436"/>
    <w:rsid w:val="006C744A"/>
    <w:rsid w:val="006D000F"/>
    <w:rsid w:val="006D2504"/>
    <w:rsid w:val="006D375E"/>
    <w:rsid w:val="006D4A97"/>
    <w:rsid w:val="006D50F2"/>
    <w:rsid w:val="006D5E38"/>
    <w:rsid w:val="006D5FA5"/>
    <w:rsid w:val="006E2930"/>
    <w:rsid w:val="006E4E97"/>
    <w:rsid w:val="006E531A"/>
    <w:rsid w:val="006E6870"/>
    <w:rsid w:val="006F154C"/>
    <w:rsid w:val="006F1ED1"/>
    <w:rsid w:val="006F2666"/>
    <w:rsid w:val="006F5B30"/>
    <w:rsid w:val="006F5E1F"/>
    <w:rsid w:val="006F668F"/>
    <w:rsid w:val="006F7383"/>
    <w:rsid w:val="00701203"/>
    <w:rsid w:val="00703B71"/>
    <w:rsid w:val="0070533C"/>
    <w:rsid w:val="00707CDA"/>
    <w:rsid w:val="00710DAE"/>
    <w:rsid w:val="0071737A"/>
    <w:rsid w:val="0071758D"/>
    <w:rsid w:val="00720D62"/>
    <w:rsid w:val="007214D0"/>
    <w:rsid w:val="007219E8"/>
    <w:rsid w:val="00722701"/>
    <w:rsid w:val="00722D6B"/>
    <w:rsid w:val="0072423D"/>
    <w:rsid w:val="0072605B"/>
    <w:rsid w:val="00731689"/>
    <w:rsid w:val="007321E3"/>
    <w:rsid w:val="007337DD"/>
    <w:rsid w:val="00734DD7"/>
    <w:rsid w:val="007373D5"/>
    <w:rsid w:val="00741A66"/>
    <w:rsid w:val="00746A7B"/>
    <w:rsid w:val="00750090"/>
    <w:rsid w:val="00751E35"/>
    <w:rsid w:val="00752550"/>
    <w:rsid w:val="007525AA"/>
    <w:rsid w:val="00753276"/>
    <w:rsid w:val="00754415"/>
    <w:rsid w:val="00754E58"/>
    <w:rsid w:val="00755840"/>
    <w:rsid w:val="00756DFA"/>
    <w:rsid w:val="00757F2C"/>
    <w:rsid w:val="00760E2B"/>
    <w:rsid w:val="00763B91"/>
    <w:rsid w:val="00764760"/>
    <w:rsid w:val="00764EC1"/>
    <w:rsid w:val="00765C35"/>
    <w:rsid w:val="0077285C"/>
    <w:rsid w:val="00772A68"/>
    <w:rsid w:val="007756AC"/>
    <w:rsid w:val="00776981"/>
    <w:rsid w:val="007813B1"/>
    <w:rsid w:val="00782F0A"/>
    <w:rsid w:val="007912DB"/>
    <w:rsid w:val="0079497A"/>
    <w:rsid w:val="0079524B"/>
    <w:rsid w:val="007A02D2"/>
    <w:rsid w:val="007A2538"/>
    <w:rsid w:val="007A397C"/>
    <w:rsid w:val="007A4CC1"/>
    <w:rsid w:val="007A4F36"/>
    <w:rsid w:val="007B2999"/>
    <w:rsid w:val="007B44AE"/>
    <w:rsid w:val="007B572E"/>
    <w:rsid w:val="007B686B"/>
    <w:rsid w:val="007B7022"/>
    <w:rsid w:val="007C1002"/>
    <w:rsid w:val="007C1408"/>
    <w:rsid w:val="007C29CC"/>
    <w:rsid w:val="007C4221"/>
    <w:rsid w:val="007C4EE5"/>
    <w:rsid w:val="007C74D1"/>
    <w:rsid w:val="007D359F"/>
    <w:rsid w:val="007D3640"/>
    <w:rsid w:val="007D5BBD"/>
    <w:rsid w:val="007E1262"/>
    <w:rsid w:val="007E2B77"/>
    <w:rsid w:val="007E5126"/>
    <w:rsid w:val="007E64AA"/>
    <w:rsid w:val="007E67C5"/>
    <w:rsid w:val="007E7099"/>
    <w:rsid w:val="007F27C0"/>
    <w:rsid w:val="007F2F6A"/>
    <w:rsid w:val="007F3E8A"/>
    <w:rsid w:val="007F3FC4"/>
    <w:rsid w:val="00802F4E"/>
    <w:rsid w:val="00803213"/>
    <w:rsid w:val="008045F5"/>
    <w:rsid w:val="00814EF7"/>
    <w:rsid w:val="008158B1"/>
    <w:rsid w:val="00815F83"/>
    <w:rsid w:val="008162A4"/>
    <w:rsid w:val="008170A3"/>
    <w:rsid w:val="00820C34"/>
    <w:rsid w:val="00822810"/>
    <w:rsid w:val="008252D5"/>
    <w:rsid w:val="008268A4"/>
    <w:rsid w:val="00826F68"/>
    <w:rsid w:val="00832744"/>
    <w:rsid w:val="008334B1"/>
    <w:rsid w:val="008373D6"/>
    <w:rsid w:val="00837C76"/>
    <w:rsid w:val="00840A7D"/>
    <w:rsid w:val="00840CA6"/>
    <w:rsid w:val="008421F9"/>
    <w:rsid w:val="00842E1D"/>
    <w:rsid w:val="008437E5"/>
    <w:rsid w:val="008439FC"/>
    <w:rsid w:val="0084460A"/>
    <w:rsid w:val="0084505D"/>
    <w:rsid w:val="008479BC"/>
    <w:rsid w:val="00847B0D"/>
    <w:rsid w:val="00850071"/>
    <w:rsid w:val="0085326F"/>
    <w:rsid w:val="008571B3"/>
    <w:rsid w:val="008576D2"/>
    <w:rsid w:val="00857AFC"/>
    <w:rsid w:val="00862BA7"/>
    <w:rsid w:val="008635EF"/>
    <w:rsid w:val="00866DFD"/>
    <w:rsid w:val="008702A0"/>
    <w:rsid w:val="008708C9"/>
    <w:rsid w:val="00871428"/>
    <w:rsid w:val="008726FB"/>
    <w:rsid w:val="00872C03"/>
    <w:rsid w:val="0087539A"/>
    <w:rsid w:val="00875FFD"/>
    <w:rsid w:val="00877891"/>
    <w:rsid w:val="00877EA2"/>
    <w:rsid w:val="008807A7"/>
    <w:rsid w:val="00880F3C"/>
    <w:rsid w:val="00881715"/>
    <w:rsid w:val="00882BDF"/>
    <w:rsid w:val="00887237"/>
    <w:rsid w:val="008877A8"/>
    <w:rsid w:val="0089344B"/>
    <w:rsid w:val="00893F1F"/>
    <w:rsid w:val="008A0BEF"/>
    <w:rsid w:val="008A3E6A"/>
    <w:rsid w:val="008B05D5"/>
    <w:rsid w:val="008B1336"/>
    <w:rsid w:val="008B42A5"/>
    <w:rsid w:val="008B4352"/>
    <w:rsid w:val="008B4D62"/>
    <w:rsid w:val="008B666D"/>
    <w:rsid w:val="008B79DC"/>
    <w:rsid w:val="008C454B"/>
    <w:rsid w:val="008C6113"/>
    <w:rsid w:val="008D0DD1"/>
    <w:rsid w:val="008D5B6C"/>
    <w:rsid w:val="008D6575"/>
    <w:rsid w:val="008E0366"/>
    <w:rsid w:val="008E0899"/>
    <w:rsid w:val="008E162F"/>
    <w:rsid w:val="008E35B8"/>
    <w:rsid w:val="008E48B8"/>
    <w:rsid w:val="008E545F"/>
    <w:rsid w:val="008E65C1"/>
    <w:rsid w:val="008E7000"/>
    <w:rsid w:val="008E75B7"/>
    <w:rsid w:val="008F1211"/>
    <w:rsid w:val="008F4080"/>
    <w:rsid w:val="008F4FCD"/>
    <w:rsid w:val="008F53B5"/>
    <w:rsid w:val="008F6A9C"/>
    <w:rsid w:val="008F77F4"/>
    <w:rsid w:val="009012F6"/>
    <w:rsid w:val="0090339D"/>
    <w:rsid w:val="00905295"/>
    <w:rsid w:val="00906EB1"/>
    <w:rsid w:val="00912237"/>
    <w:rsid w:val="00912781"/>
    <w:rsid w:val="00913BAE"/>
    <w:rsid w:val="00914FD4"/>
    <w:rsid w:val="00920167"/>
    <w:rsid w:val="009230CD"/>
    <w:rsid w:val="00924810"/>
    <w:rsid w:val="00924E52"/>
    <w:rsid w:val="00925604"/>
    <w:rsid w:val="00930A8B"/>
    <w:rsid w:val="00931B82"/>
    <w:rsid w:val="00932492"/>
    <w:rsid w:val="0093617E"/>
    <w:rsid w:val="00941E40"/>
    <w:rsid w:val="009429D5"/>
    <w:rsid w:val="009466F0"/>
    <w:rsid w:val="0094676E"/>
    <w:rsid w:val="00946920"/>
    <w:rsid w:val="0095127D"/>
    <w:rsid w:val="00952512"/>
    <w:rsid w:val="0095295E"/>
    <w:rsid w:val="00953F9A"/>
    <w:rsid w:val="00954ABF"/>
    <w:rsid w:val="00955C87"/>
    <w:rsid w:val="00961C62"/>
    <w:rsid w:val="0096244D"/>
    <w:rsid w:val="00962B94"/>
    <w:rsid w:val="0096395C"/>
    <w:rsid w:val="0096406E"/>
    <w:rsid w:val="00971E72"/>
    <w:rsid w:val="009750B6"/>
    <w:rsid w:val="00977CC2"/>
    <w:rsid w:val="0098362F"/>
    <w:rsid w:val="009855F8"/>
    <w:rsid w:val="00985A3D"/>
    <w:rsid w:val="00985BFC"/>
    <w:rsid w:val="00986BDC"/>
    <w:rsid w:val="0098753E"/>
    <w:rsid w:val="009907C6"/>
    <w:rsid w:val="00990E92"/>
    <w:rsid w:val="00991937"/>
    <w:rsid w:val="00992385"/>
    <w:rsid w:val="009924EA"/>
    <w:rsid w:val="00992687"/>
    <w:rsid w:val="00997F58"/>
    <w:rsid w:val="009A0523"/>
    <w:rsid w:val="009A0E71"/>
    <w:rsid w:val="009B0E08"/>
    <w:rsid w:val="009B1130"/>
    <w:rsid w:val="009B1F41"/>
    <w:rsid w:val="009B20B5"/>
    <w:rsid w:val="009B2951"/>
    <w:rsid w:val="009B5D70"/>
    <w:rsid w:val="009C2133"/>
    <w:rsid w:val="009C2D59"/>
    <w:rsid w:val="009C3706"/>
    <w:rsid w:val="009C4A8F"/>
    <w:rsid w:val="009C4CCE"/>
    <w:rsid w:val="009C69B5"/>
    <w:rsid w:val="009C7B39"/>
    <w:rsid w:val="009D0D1E"/>
    <w:rsid w:val="009D3015"/>
    <w:rsid w:val="009D4EEE"/>
    <w:rsid w:val="009E2AE4"/>
    <w:rsid w:val="009E5B01"/>
    <w:rsid w:val="009E612D"/>
    <w:rsid w:val="009E6E8F"/>
    <w:rsid w:val="009E757C"/>
    <w:rsid w:val="009F494B"/>
    <w:rsid w:val="009F769B"/>
    <w:rsid w:val="00A01122"/>
    <w:rsid w:val="00A027E8"/>
    <w:rsid w:val="00A031FA"/>
    <w:rsid w:val="00A05017"/>
    <w:rsid w:val="00A101DC"/>
    <w:rsid w:val="00A11FE8"/>
    <w:rsid w:val="00A140AD"/>
    <w:rsid w:val="00A14297"/>
    <w:rsid w:val="00A16370"/>
    <w:rsid w:val="00A23A08"/>
    <w:rsid w:val="00A24954"/>
    <w:rsid w:val="00A25892"/>
    <w:rsid w:val="00A27109"/>
    <w:rsid w:val="00A30F3A"/>
    <w:rsid w:val="00A313D6"/>
    <w:rsid w:val="00A33160"/>
    <w:rsid w:val="00A363B3"/>
    <w:rsid w:val="00A376A0"/>
    <w:rsid w:val="00A4044E"/>
    <w:rsid w:val="00A40CDE"/>
    <w:rsid w:val="00A43AD5"/>
    <w:rsid w:val="00A4437E"/>
    <w:rsid w:val="00A44A51"/>
    <w:rsid w:val="00A46669"/>
    <w:rsid w:val="00A46FB7"/>
    <w:rsid w:val="00A47DA8"/>
    <w:rsid w:val="00A50B96"/>
    <w:rsid w:val="00A51FBE"/>
    <w:rsid w:val="00A53EF5"/>
    <w:rsid w:val="00A54047"/>
    <w:rsid w:val="00A56533"/>
    <w:rsid w:val="00A56562"/>
    <w:rsid w:val="00A646BE"/>
    <w:rsid w:val="00A71C35"/>
    <w:rsid w:val="00A73909"/>
    <w:rsid w:val="00A758D6"/>
    <w:rsid w:val="00A81DF5"/>
    <w:rsid w:val="00A843D8"/>
    <w:rsid w:val="00A86884"/>
    <w:rsid w:val="00A909A6"/>
    <w:rsid w:val="00A92DA4"/>
    <w:rsid w:val="00A9495A"/>
    <w:rsid w:val="00A961C2"/>
    <w:rsid w:val="00A965B8"/>
    <w:rsid w:val="00A96A84"/>
    <w:rsid w:val="00A9706E"/>
    <w:rsid w:val="00AA17D2"/>
    <w:rsid w:val="00AA1EF7"/>
    <w:rsid w:val="00AA2E6E"/>
    <w:rsid w:val="00AA3A2A"/>
    <w:rsid w:val="00AA57DF"/>
    <w:rsid w:val="00AA7027"/>
    <w:rsid w:val="00AB0D9F"/>
    <w:rsid w:val="00AB12B0"/>
    <w:rsid w:val="00AB3697"/>
    <w:rsid w:val="00AB3AB0"/>
    <w:rsid w:val="00AB5253"/>
    <w:rsid w:val="00AC1E83"/>
    <w:rsid w:val="00AC27D4"/>
    <w:rsid w:val="00AC48E1"/>
    <w:rsid w:val="00AC53A1"/>
    <w:rsid w:val="00AC6B34"/>
    <w:rsid w:val="00AC7852"/>
    <w:rsid w:val="00AD0743"/>
    <w:rsid w:val="00AD22B4"/>
    <w:rsid w:val="00AD2602"/>
    <w:rsid w:val="00AD2EEE"/>
    <w:rsid w:val="00AE1000"/>
    <w:rsid w:val="00AE608F"/>
    <w:rsid w:val="00AF053F"/>
    <w:rsid w:val="00AF4A49"/>
    <w:rsid w:val="00B01C22"/>
    <w:rsid w:val="00B02F16"/>
    <w:rsid w:val="00B121E1"/>
    <w:rsid w:val="00B128DF"/>
    <w:rsid w:val="00B13065"/>
    <w:rsid w:val="00B13A71"/>
    <w:rsid w:val="00B14154"/>
    <w:rsid w:val="00B147BC"/>
    <w:rsid w:val="00B209B6"/>
    <w:rsid w:val="00B20DBD"/>
    <w:rsid w:val="00B21084"/>
    <w:rsid w:val="00B23B1F"/>
    <w:rsid w:val="00B25049"/>
    <w:rsid w:val="00B258A5"/>
    <w:rsid w:val="00B25A54"/>
    <w:rsid w:val="00B2697C"/>
    <w:rsid w:val="00B2799A"/>
    <w:rsid w:val="00B30631"/>
    <w:rsid w:val="00B32193"/>
    <w:rsid w:val="00B3221E"/>
    <w:rsid w:val="00B3337F"/>
    <w:rsid w:val="00B370AB"/>
    <w:rsid w:val="00B37B4B"/>
    <w:rsid w:val="00B40F08"/>
    <w:rsid w:val="00B42260"/>
    <w:rsid w:val="00B50BF4"/>
    <w:rsid w:val="00B50C47"/>
    <w:rsid w:val="00B52315"/>
    <w:rsid w:val="00B539B4"/>
    <w:rsid w:val="00B54B9E"/>
    <w:rsid w:val="00B54E31"/>
    <w:rsid w:val="00B63C49"/>
    <w:rsid w:val="00B6404A"/>
    <w:rsid w:val="00B64603"/>
    <w:rsid w:val="00B677F1"/>
    <w:rsid w:val="00B67974"/>
    <w:rsid w:val="00B71308"/>
    <w:rsid w:val="00B71B8B"/>
    <w:rsid w:val="00B7221E"/>
    <w:rsid w:val="00B73B55"/>
    <w:rsid w:val="00B75084"/>
    <w:rsid w:val="00B77366"/>
    <w:rsid w:val="00B802C6"/>
    <w:rsid w:val="00B8093C"/>
    <w:rsid w:val="00B83355"/>
    <w:rsid w:val="00B8364F"/>
    <w:rsid w:val="00B84177"/>
    <w:rsid w:val="00B8564A"/>
    <w:rsid w:val="00B85672"/>
    <w:rsid w:val="00B85A7D"/>
    <w:rsid w:val="00B90236"/>
    <w:rsid w:val="00B903D9"/>
    <w:rsid w:val="00B90F23"/>
    <w:rsid w:val="00B93C78"/>
    <w:rsid w:val="00B941FB"/>
    <w:rsid w:val="00B95DCF"/>
    <w:rsid w:val="00B970F7"/>
    <w:rsid w:val="00B97154"/>
    <w:rsid w:val="00BA009B"/>
    <w:rsid w:val="00BA092F"/>
    <w:rsid w:val="00BA1326"/>
    <w:rsid w:val="00BA23FC"/>
    <w:rsid w:val="00BA6ADF"/>
    <w:rsid w:val="00BA7CFB"/>
    <w:rsid w:val="00BB1111"/>
    <w:rsid w:val="00BB5E9E"/>
    <w:rsid w:val="00BB6C17"/>
    <w:rsid w:val="00BB70EE"/>
    <w:rsid w:val="00BC196C"/>
    <w:rsid w:val="00BC2E8E"/>
    <w:rsid w:val="00BC4A9F"/>
    <w:rsid w:val="00BC4B25"/>
    <w:rsid w:val="00BC511C"/>
    <w:rsid w:val="00BC60A0"/>
    <w:rsid w:val="00BC645F"/>
    <w:rsid w:val="00BC699F"/>
    <w:rsid w:val="00BD39AF"/>
    <w:rsid w:val="00BD589C"/>
    <w:rsid w:val="00BD5AF9"/>
    <w:rsid w:val="00BE0FDC"/>
    <w:rsid w:val="00BE478D"/>
    <w:rsid w:val="00BE5387"/>
    <w:rsid w:val="00BF07E2"/>
    <w:rsid w:val="00BF3286"/>
    <w:rsid w:val="00BF3E3F"/>
    <w:rsid w:val="00BF4561"/>
    <w:rsid w:val="00C05C98"/>
    <w:rsid w:val="00C11B4B"/>
    <w:rsid w:val="00C128B6"/>
    <w:rsid w:val="00C12A07"/>
    <w:rsid w:val="00C13569"/>
    <w:rsid w:val="00C136F8"/>
    <w:rsid w:val="00C157CD"/>
    <w:rsid w:val="00C15F0F"/>
    <w:rsid w:val="00C202CB"/>
    <w:rsid w:val="00C21C81"/>
    <w:rsid w:val="00C23715"/>
    <w:rsid w:val="00C2427A"/>
    <w:rsid w:val="00C24953"/>
    <w:rsid w:val="00C24BC3"/>
    <w:rsid w:val="00C264F0"/>
    <w:rsid w:val="00C2675E"/>
    <w:rsid w:val="00C30879"/>
    <w:rsid w:val="00C3198F"/>
    <w:rsid w:val="00C31E76"/>
    <w:rsid w:val="00C32D67"/>
    <w:rsid w:val="00C4078C"/>
    <w:rsid w:val="00C421C5"/>
    <w:rsid w:val="00C42E3D"/>
    <w:rsid w:val="00C46C79"/>
    <w:rsid w:val="00C51791"/>
    <w:rsid w:val="00C5571E"/>
    <w:rsid w:val="00C55EF8"/>
    <w:rsid w:val="00C6092D"/>
    <w:rsid w:val="00C60C68"/>
    <w:rsid w:val="00C62645"/>
    <w:rsid w:val="00C62DA5"/>
    <w:rsid w:val="00C62DB3"/>
    <w:rsid w:val="00C63DCA"/>
    <w:rsid w:val="00C66B9D"/>
    <w:rsid w:val="00C709F9"/>
    <w:rsid w:val="00C71648"/>
    <w:rsid w:val="00C72C64"/>
    <w:rsid w:val="00C73035"/>
    <w:rsid w:val="00C74DDA"/>
    <w:rsid w:val="00C7580B"/>
    <w:rsid w:val="00C75FFE"/>
    <w:rsid w:val="00C76652"/>
    <w:rsid w:val="00C773EC"/>
    <w:rsid w:val="00C77727"/>
    <w:rsid w:val="00C77CFF"/>
    <w:rsid w:val="00C81791"/>
    <w:rsid w:val="00C824AA"/>
    <w:rsid w:val="00C82C54"/>
    <w:rsid w:val="00C8475E"/>
    <w:rsid w:val="00C849C1"/>
    <w:rsid w:val="00C84CCF"/>
    <w:rsid w:val="00C85C7E"/>
    <w:rsid w:val="00C8651F"/>
    <w:rsid w:val="00C86572"/>
    <w:rsid w:val="00C9124A"/>
    <w:rsid w:val="00C91B54"/>
    <w:rsid w:val="00C92DB3"/>
    <w:rsid w:val="00C93253"/>
    <w:rsid w:val="00C943B8"/>
    <w:rsid w:val="00C945CC"/>
    <w:rsid w:val="00C95053"/>
    <w:rsid w:val="00C956CD"/>
    <w:rsid w:val="00C9702B"/>
    <w:rsid w:val="00C97FCD"/>
    <w:rsid w:val="00CA4F45"/>
    <w:rsid w:val="00CA66BC"/>
    <w:rsid w:val="00CA7DDA"/>
    <w:rsid w:val="00CB05BB"/>
    <w:rsid w:val="00CB2BD7"/>
    <w:rsid w:val="00CB5567"/>
    <w:rsid w:val="00CB693E"/>
    <w:rsid w:val="00CB7764"/>
    <w:rsid w:val="00CC1843"/>
    <w:rsid w:val="00CC1B75"/>
    <w:rsid w:val="00CC1C36"/>
    <w:rsid w:val="00CC2A82"/>
    <w:rsid w:val="00CC2C57"/>
    <w:rsid w:val="00CD0B0C"/>
    <w:rsid w:val="00CD1A42"/>
    <w:rsid w:val="00CD2BEF"/>
    <w:rsid w:val="00CD47F3"/>
    <w:rsid w:val="00CD76AE"/>
    <w:rsid w:val="00CE0427"/>
    <w:rsid w:val="00CE0901"/>
    <w:rsid w:val="00CE0A27"/>
    <w:rsid w:val="00CE205F"/>
    <w:rsid w:val="00CE2E10"/>
    <w:rsid w:val="00CE52C7"/>
    <w:rsid w:val="00CE7CB7"/>
    <w:rsid w:val="00CF135D"/>
    <w:rsid w:val="00CF198D"/>
    <w:rsid w:val="00CF7126"/>
    <w:rsid w:val="00D0233E"/>
    <w:rsid w:val="00D055B6"/>
    <w:rsid w:val="00D125C5"/>
    <w:rsid w:val="00D1373B"/>
    <w:rsid w:val="00D14576"/>
    <w:rsid w:val="00D158D2"/>
    <w:rsid w:val="00D171B1"/>
    <w:rsid w:val="00D20B38"/>
    <w:rsid w:val="00D27919"/>
    <w:rsid w:val="00D306B3"/>
    <w:rsid w:val="00D30858"/>
    <w:rsid w:val="00D3325B"/>
    <w:rsid w:val="00D3456D"/>
    <w:rsid w:val="00D37BC1"/>
    <w:rsid w:val="00D40409"/>
    <w:rsid w:val="00D40A31"/>
    <w:rsid w:val="00D40CDC"/>
    <w:rsid w:val="00D44E45"/>
    <w:rsid w:val="00D450AF"/>
    <w:rsid w:val="00D47868"/>
    <w:rsid w:val="00D47E07"/>
    <w:rsid w:val="00D512DA"/>
    <w:rsid w:val="00D5148C"/>
    <w:rsid w:val="00D56801"/>
    <w:rsid w:val="00D57377"/>
    <w:rsid w:val="00D60B63"/>
    <w:rsid w:val="00D63738"/>
    <w:rsid w:val="00D64C81"/>
    <w:rsid w:val="00D65D84"/>
    <w:rsid w:val="00D6616B"/>
    <w:rsid w:val="00D67790"/>
    <w:rsid w:val="00D67A89"/>
    <w:rsid w:val="00D713F0"/>
    <w:rsid w:val="00D7481D"/>
    <w:rsid w:val="00D754BF"/>
    <w:rsid w:val="00D85799"/>
    <w:rsid w:val="00D91816"/>
    <w:rsid w:val="00D91DF2"/>
    <w:rsid w:val="00D92EBD"/>
    <w:rsid w:val="00D93187"/>
    <w:rsid w:val="00D93D2D"/>
    <w:rsid w:val="00D94AC3"/>
    <w:rsid w:val="00D958CB"/>
    <w:rsid w:val="00DA2C5E"/>
    <w:rsid w:val="00DA367B"/>
    <w:rsid w:val="00DA38E9"/>
    <w:rsid w:val="00DA4277"/>
    <w:rsid w:val="00DA5821"/>
    <w:rsid w:val="00DA682A"/>
    <w:rsid w:val="00DB14F9"/>
    <w:rsid w:val="00DB1B83"/>
    <w:rsid w:val="00DB29B0"/>
    <w:rsid w:val="00DB39D6"/>
    <w:rsid w:val="00DB431C"/>
    <w:rsid w:val="00DB4394"/>
    <w:rsid w:val="00DB5CD8"/>
    <w:rsid w:val="00DC238B"/>
    <w:rsid w:val="00DC3BD8"/>
    <w:rsid w:val="00DC470A"/>
    <w:rsid w:val="00DC6B2C"/>
    <w:rsid w:val="00DD0FAD"/>
    <w:rsid w:val="00DD2A8A"/>
    <w:rsid w:val="00DD3C64"/>
    <w:rsid w:val="00DD5310"/>
    <w:rsid w:val="00DD71FA"/>
    <w:rsid w:val="00DE20BA"/>
    <w:rsid w:val="00DE29A9"/>
    <w:rsid w:val="00DE534C"/>
    <w:rsid w:val="00DE5F9F"/>
    <w:rsid w:val="00DF1188"/>
    <w:rsid w:val="00E03B48"/>
    <w:rsid w:val="00E061BA"/>
    <w:rsid w:val="00E06E1D"/>
    <w:rsid w:val="00E0735A"/>
    <w:rsid w:val="00E078C7"/>
    <w:rsid w:val="00E1024D"/>
    <w:rsid w:val="00E122BD"/>
    <w:rsid w:val="00E16C78"/>
    <w:rsid w:val="00E20A18"/>
    <w:rsid w:val="00E20F9D"/>
    <w:rsid w:val="00E225BC"/>
    <w:rsid w:val="00E253BE"/>
    <w:rsid w:val="00E25DE7"/>
    <w:rsid w:val="00E26A57"/>
    <w:rsid w:val="00E26F56"/>
    <w:rsid w:val="00E30333"/>
    <w:rsid w:val="00E3185B"/>
    <w:rsid w:val="00E32A3E"/>
    <w:rsid w:val="00E34604"/>
    <w:rsid w:val="00E34D45"/>
    <w:rsid w:val="00E34E01"/>
    <w:rsid w:val="00E35D31"/>
    <w:rsid w:val="00E35E26"/>
    <w:rsid w:val="00E3658C"/>
    <w:rsid w:val="00E37C55"/>
    <w:rsid w:val="00E40A80"/>
    <w:rsid w:val="00E4521E"/>
    <w:rsid w:val="00E468DD"/>
    <w:rsid w:val="00E50846"/>
    <w:rsid w:val="00E50A91"/>
    <w:rsid w:val="00E51982"/>
    <w:rsid w:val="00E53311"/>
    <w:rsid w:val="00E53D5E"/>
    <w:rsid w:val="00E54A75"/>
    <w:rsid w:val="00E54FC7"/>
    <w:rsid w:val="00E5577E"/>
    <w:rsid w:val="00E55AB4"/>
    <w:rsid w:val="00E55BD4"/>
    <w:rsid w:val="00E57B66"/>
    <w:rsid w:val="00E61BC9"/>
    <w:rsid w:val="00E62C28"/>
    <w:rsid w:val="00E65048"/>
    <w:rsid w:val="00E66EDA"/>
    <w:rsid w:val="00E67FA4"/>
    <w:rsid w:val="00E720F7"/>
    <w:rsid w:val="00E7274F"/>
    <w:rsid w:val="00E82D3B"/>
    <w:rsid w:val="00E83DD9"/>
    <w:rsid w:val="00E83E34"/>
    <w:rsid w:val="00E84D92"/>
    <w:rsid w:val="00E8599E"/>
    <w:rsid w:val="00E90063"/>
    <w:rsid w:val="00E912BC"/>
    <w:rsid w:val="00E91D14"/>
    <w:rsid w:val="00E9315B"/>
    <w:rsid w:val="00E933D2"/>
    <w:rsid w:val="00E969B3"/>
    <w:rsid w:val="00EA0430"/>
    <w:rsid w:val="00EA49B9"/>
    <w:rsid w:val="00EA5CDF"/>
    <w:rsid w:val="00EB0E55"/>
    <w:rsid w:val="00EB1D0E"/>
    <w:rsid w:val="00EB2430"/>
    <w:rsid w:val="00EB3813"/>
    <w:rsid w:val="00EB44AC"/>
    <w:rsid w:val="00EB4983"/>
    <w:rsid w:val="00EB4EB8"/>
    <w:rsid w:val="00EB5E22"/>
    <w:rsid w:val="00EB5FEE"/>
    <w:rsid w:val="00EB6774"/>
    <w:rsid w:val="00EC12D3"/>
    <w:rsid w:val="00EC1F75"/>
    <w:rsid w:val="00EC6951"/>
    <w:rsid w:val="00ED0991"/>
    <w:rsid w:val="00ED25B1"/>
    <w:rsid w:val="00ED2B78"/>
    <w:rsid w:val="00ED5139"/>
    <w:rsid w:val="00EE0AEC"/>
    <w:rsid w:val="00EE0F3F"/>
    <w:rsid w:val="00EE1385"/>
    <w:rsid w:val="00EE6C90"/>
    <w:rsid w:val="00EE70F2"/>
    <w:rsid w:val="00EF0FC4"/>
    <w:rsid w:val="00EF2B95"/>
    <w:rsid w:val="00F0082F"/>
    <w:rsid w:val="00F07CE4"/>
    <w:rsid w:val="00F100C8"/>
    <w:rsid w:val="00F11D23"/>
    <w:rsid w:val="00F1446B"/>
    <w:rsid w:val="00F15C1F"/>
    <w:rsid w:val="00F20859"/>
    <w:rsid w:val="00F251BA"/>
    <w:rsid w:val="00F26A2B"/>
    <w:rsid w:val="00F26AE5"/>
    <w:rsid w:val="00F31B2A"/>
    <w:rsid w:val="00F320F9"/>
    <w:rsid w:val="00F3390D"/>
    <w:rsid w:val="00F375CE"/>
    <w:rsid w:val="00F4069E"/>
    <w:rsid w:val="00F42340"/>
    <w:rsid w:val="00F44373"/>
    <w:rsid w:val="00F4685D"/>
    <w:rsid w:val="00F47BD3"/>
    <w:rsid w:val="00F47BE8"/>
    <w:rsid w:val="00F52B73"/>
    <w:rsid w:val="00F5356C"/>
    <w:rsid w:val="00F555B4"/>
    <w:rsid w:val="00F55D80"/>
    <w:rsid w:val="00F55E04"/>
    <w:rsid w:val="00F578A9"/>
    <w:rsid w:val="00F620BF"/>
    <w:rsid w:val="00F63233"/>
    <w:rsid w:val="00F66FEC"/>
    <w:rsid w:val="00F711CF"/>
    <w:rsid w:val="00F7362D"/>
    <w:rsid w:val="00F740BA"/>
    <w:rsid w:val="00F767B2"/>
    <w:rsid w:val="00F82092"/>
    <w:rsid w:val="00F85102"/>
    <w:rsid w:val="00F86BE4"/>
    <w:rsid w:val="00F8721D"/>
    <w:rsid w:val="00F87A06"/>
    <w:rsid w:val="00F87F0B"/>
    <w:rsid w:val="00F909A3"/>
    <w:rsid w:val="00F90C07"/>
    <w:rsid w:val="00F913C6"/>
    <w:rsid w:val="00F917D7"/>
    <w:rsid w:val="00F9472C"/>
    <w:rsid w:val="00F9776D"/>
    <w:rsid w:val="00FA026E"/>
    <w:rsid w:val="00FA0AC0"/>
    <w:rsid w:val="00FA74A3"/>
    <w:rsid w:val="00FB11FC"/>
    <w:rsid w:val="00FB21DC"/>
    <w:rsid w:val="00FB3EFC"/>
    <w:rsid w:val="00FB6602"/>
    <w:rsid w:val="00FC167A"/>
    <w:rsid w:val="00FC28E3"/>
    <w:rsid w:val="00FC5D44"/>
    <w:rsid w:val="00FD0613"/>
    <w:rsid w:val="00FD2ACC"/>
    <w:rsid w:val="00FD46BF"/>
    <w:rsid w:val="00FD79D0"/>
    <w:rsid w:val="00FE1B09"/>
    <w:rsid w:val="00FE5072"/>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C61AB80-74F6-4EC3-AA3A-0389414F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43"/>
    <w:pPr>
      <w:overflowPunct w:val="0"/>
      <w:autoSpaceDE w:val="0"/>
      <w:autoSpaceDN w:val="0"/>
      <w:adjustRightInd w:val="0"/>
      <w:textAlignment w:val="baseline"/>
    </w:pPr>
  </w:style>
  <w:style w:type="paragraph" w:styleId="Heading1">
    <w:name w:val="heading 1"/>
    <w:aliases w:val="H1-Sec.Head"/>
    <w:basedOn w:val="Normal"/>
    <w:next w:val="Normal"/>
    <w:link w:val="Heading1Char"/>
    <w:uiPriority w:val="9"/>
    <w:qFormat/>
    <w:rsid w:val="00094180"/>
    <w:pPr>
      <w:keepNext/>
      <w:widowControl w:val="0"/>
      <w:outlineLvl w:val="0"/>
    </w:pPr>
    <w:rPr>
      <w:bCs/>
      <w:kern w:val="32"/>
      <w:sz w:val="24"/>
      <w:szCs w:val="32"/>
      <w:lang w:val="x-none" w:eastAsia="x-none"/>
    </w:rPr>
  </w:style>
  <w:style w:type="paragraph" w:styleId="Heading2">
    <w:name w:val="heading 2"/>
    <w:aliases w:val="H2-Sec. Head"/>
    <w:basedOn w:val="Normal"/>
    <w:next w:val="Normal"/>
    <w:link w:val="Heading2Char"/>
    <w:uiPriority w:val="9"/>
    <w:qFormat/>
    <w:rsid w:val="00110817"/>
    <w:pPr>
      <w:keepNext/>
      <w:widowControl w:val="0"/>
      <w:tabs>
        <w:tab w:val="left" w:pos="360"/>
      </w:tabs>
      <w:ind w:left="360" w:hanging="360"/>
      <w:outlineLvl w:val="1"/>
    </w:pPr>
    <w:rPr>
      <w:bCs/>
      <w:iCs/>
      <w:sz w:val="24"/>
      <w:szCs w:val="28"/>
      <w:lang w:val="x-none" w:eastAsia="x-none"/>
    </w:rPr>
  </w:style>
  <w:style w:type="paragraph" w:styleId="Heading3">
    <w:name w:val="heading 3"/>
    <w:aliases w:val="H3-Sec. Head"/>
    <w:basedOn w:val="Normal"/>
    <w:next w:val="Normal"/>
    <w:link w:val="Heading3Char"/>
    <w:uiPriority w:val="9"/>
    <w:qFormat/>
    <w:rsid w:val="00271300"/>
    <w:pPr>
      <w:keepNext/>
      <w:widowControl w:val="0"/>
      <w:outlineLvl w:val="2"/>
    </w:pPr>
    <w:rPr>
      <w:rFonts w:ascii="Cambria" w:hAnsi="Cambria"/>
      <w:b/>
      <w:bCs/>
      <w:sz w:val="26"/>
      <w:szCs w:val="26"/>
      <w:lang w:val="x-none" w:eastAsia="x-none"/>
    </w:rPr>
  </w:style>
  <w:style w:type="paragraph" w:styleId="Heading4">
    <w:name w:val="heading 4"/>
    <w:aliases w:val="H4 Sec.Heading"/>
    <w:basedOn w:val="Normal"/>
    <w:next w:val="Normal"/>
    <w:link w:val="Heading4Char"/>
    <w:uiPriority w:val="9"/>
    <w:qFormat/>
    <w:rsid w:val="00271300"/>
    <w:pPr>
      <w:keepNext/>
      <w:widowControl w:val="0"/>
      <w:ind w:left="1440" w:hanging="144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271300"/>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271300"/>
    <w:pPr>
      <w:keepNext/>
      <w:widowControl w:val="0"/>
      <w:jc w:val="center"/>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271300"/>
    <w:pPr>
      <w:keepNext/>
      <w:widowControl w:val="0"/>
      <w:jc w:val="right"/>
      <w:outlineLvl w:val="6"/>
    </w:pPr>
    <w:rPr>
      <w:rFonts w:ascii="Calibri" w:hAnsi="Calibri"/>
      <w:sz w:val="24"/>
      <w:szCs w:val="24"/>
      <w:lang w:val="x-none" w:eastAsia="x-none"/>
    </w:rPr>
  </w:style>
  <w:style w:type="paragraph" w:styleId="Heading8">
    <w:name w:val="heading 8"/>
    <w:basedOn w:val="Normal"/>
    <w:next w:val="Normal"/>
    <w:link w:val="Heading8Char"/>
    <w:uiPriority w:val="9"/>
    <w:qFormat/>
    <w:rsid w:val="00271300"/>
    <w:pPr>
      <w:keepNext/>
      <w:widowControl w:val="0"/>
      <w:jc w:val="center"/>
      <w:outlineLvl w:val="7"/>
    </w:pPr>
    <w:rPr>
      <w:rFonts w:ascii="Calibri" w:hAnsi="Calibri"/>
      <w:i/>
      <w:iCs/>
      <w:sz w:val="24"/>
      <w:szCs w:val="24"/>
      <w:lang w:val="x-none" w:eastAsia="x-none"/>
    </w:rPr>
  </w:style>
  <w:style w:type="paragraph" w:styleId="Heading9">
    <w:name w:val="heading 9"/>
    <w:basedOn w:val="Normal"/>
    <w:next w:val="Normal"/>
    <w:link w:val="Heading9Char"/>
    <w:uiPriority w:val="9"/>
    <w:qFormat/>
    <w:rsid w:val="00271300"/>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
    <w:locked/>
    <w:rsid w:val="00094180"/>
    <w:rPr>
      <w:bCs/>
      <w:kern w:val="32"/>
      <w:sz w:val="24"/>
      <w:szCs w:val="32"/>
      <w:lang w:val="x-none" w:eastAsia="x-none"/>
    </w:rPr>
  </w:style>
  <w:style w:type="character" w:customStyle="1" w:styleId="Heading2Char">
    <w:name w:val="Heading 2 Char"/>
    <w:aliases w:val="H2-Sec. Head Char"/>
    <w:link w:val="Heading2"/>
    <w:uiPriority w:val="9"/>
    <w:locked/>
    <w:rsid w:val="00110817"/>
    <w:rPr>
      <w:bCs/>
      <w:iCs/>
      <w:sz w:val="24"/>
      <w:szCs w:val="28"/>
      <w:lang w:val="x-none" w:eastAsia="x-none"/>
    </w:rPr>
  </w:style>
  <w:style w:type="character" w:customStyle="1" w:styleId="Heading3Char">
    <w:name w:val="Heading 3 Char"/>
    <w:aliases w:val="H3-Sec. Head Char"/>
    <w:link w:val="Heading3"/>
    <w:uiPriority w:val="9"/>
    <w:semiHidden/>
    <w:locked/>
    <w:rsid w:val="00CF135D"/>
    <w:rPr>
      <w:rFonts w:ascii="Cambria" w:hAnsi="Cambria" w:cs="Times New Roman"/>
      <w:b/>
      <w:bCs/>
      <w:sz w:val="26"/>
      <w:szCs w:val="26"/>
    </w:rPr>
  </w:style>
  <w:style w:type="character" w:customStyle="1" w:styleId="Heading4Char">
    <w:name w:val="Heading 4 Char"/>
    <w:aliases w:val="H4 Sec.Heading Char"/>
    <w:link w:val="Heading4"/>
    <w:uiPriority w:val="9"/>
    <w:semiHidden/>
    <w:locked/>
    <w:rsid w:val="00CF135D"/>
    <w:rPr>
      <w:rFonts w:ascii="Calibri" w:hAnsi="Calibri" w:cs="Times New Roman"/>
      <w:b/>
      <w:bCs/>
      <w:sz w:val="28"/>
      <w:szCs w:val="28"/>
    </w:rPr>
  </w:style>
  <w:style w:type="character" w:customStyle="1" w:styleId="Heading5Char">
    <w:name w:val="Heading 5 Char"/>
    <w:link w:val="Heading5"/>
    <w:uiPriority w:val="9"/>
    <w:semiHidden/>
    <w:locked/>
    <w:rsid w:val="00CF135D"/>
    <w:rPr>
      <w:rFonts w:ascii="Calibri" w:hAnsi="Calibri" w:cs="Times New Roman"/>
      <w:b/>
      <w:bCs/>
      <w:i/>
      <w:iCs/>
      <w:sz w:val="26"/>
      <w:szCs w:val="26"/>
    </w:rPr>
  </w:style>
  <w:style w:type="character" w:customStyle="1" w:styleId="Heading6Char">
    <w:name w:val="Heading 6 Char"/>
    <w:link w:val="Heading6"/>
    <w:uiPriority w:val="9"/>
    <w:locked/>
    <w:rsid w:val="00CF135D"/>
    <w:rPr>
      <w:rFonts w:ascii="Calibri" w:hAnsi="Calibri" w:cs="Times New Roman"/>
      <w:b/>
      <w:bCs/>
      <w:sz w:val="22"/>
      <w:szCs w:val="22"/>
    </w:rPr>
  </w:style>
  <w:style w:type="character" w:customStyle="1" w:styleId="Heading7Char">
    <w:name w:val="Heading 7 Char"/>
    <w:link w:val="Heading7"/>
    <w:uiPriority w:val="9"/>
    <w:locked/>
    <w:rsid w:val="00CF135D"/>
    <w:rPr>
      <w:rFonts w:ascii="Calibri" w:hAnsi="Calibri" w:cs="Times New Roman"/>
      <w:sz w:val="24"/>
      <w:szCs w:val="24"/>
    </w:rPr>
  </w:style>
  <w:style w:type="character" w:customStyle="1" w:styleId="Heading8Char">
    <w:name w:val="Heading 8 Char"/>
    <w:link w:val="Heading8"/>
    <w:uiPriority w:val="9"/>
    <w:semiHidden/>
    <w:locked/>
    <w:rsid w:val="00CF135D"/>
    <w:rPr>
      <w:rFonts w:ascii="Calibri" w:hAnsi="Calibri" w:cs="Times New Roman"/>
      <w:i/>
      <w:iCs/>
      <w:sz w:val="24"/>
      <w:szCs w:val="24"/>
    </w:rPr>
  </w:style>
  <w:style w:type="character" w:customStyle="1" w:styleId="Heading9Char">
    <w:name w:val="Heading 9 Char"/>
    <w:link w:val="Heading9"/>
    <w:uiPriority w:val="9"/>
    <w:semiHidden/>
    <w:locked/>
    <w:rsid w:val="00CF135D"/>
    <w:rPr>
      <w:rFonts w:ascii="Cambria" w:hAnsi="Cambria" w:cs="Times New Roman"/>
      <w:sz w:val="22"/>
      <w:szCs w:val="22"/>
    </w:rPr>
  </w:style>
  <w:style w:type="paragraph" w:styleId="BodyText">
    <w:name w:val="Body Text"/>
    <w:basedOn w:val="Normal"/>
    <w:link w:val="BodyTextChar"/>
    <w:uiPriority w:val="99"/>
    <w:rsid w:val="00271300"/>
    <w:pPr>
      <w:widowControl w:val="0"/>
    </w:pPr>
    <w:rPr>
      <w:lang w:val="x-none" w:eastAsia="x-none"/>
    </w:rPr>
  </w:style>
  <w:style w:type="character" w:customStyle="1" w:styleId="BodyTextChar">
    <w:name w:val="Body Text Char"/>
    <w:link w:val="BodyText"/>
    <w:uiPriority w:val="99"/>
    <w:semiHidden/>
    <w:locked/>
    <w:rsid w:val="00CF135D"/>
    <w:rPr>
      <w:rFonts w:cs="Times New Roman"/>
    </w:rPr>
  </w:style>
  <w:style w:type="paragraph" w:styleId="Header">
    <w:name w:val="header"/>
    <w:basedOn w:val="Normal"/>
    <w:link w:val="HeaderChar"/>
    <w:uiPriority w:val="99"/>
    <w:rsid w:val="00271300"/>
    <w:pPr>
      <w:widowControl w:val="0"/>
      <w:tabs>
        <w:tab w:val="center" w:pos="4320"/>
        <w:tab w:val="right" w:pos="8640"/>
      </w:tabs>
    </w:pPr>
    <w:rPr>
      <w:lang w:val="x-none" w:eastAsia="x-none"/>
    </w:rPr>
  </w:style>
  <w:style w:type="character" w:customStyle="1" w:styleId="HeaderChar">
    <w:name w:val="Header Char"/>
    <w:link w:val="Header"/>
    <w:uiPriority w:val="99"/>
    <w:locked/>
    <w:rsid w:val="00CF135D"/>
    <w:rPr>
      <w:rFonts w:cs="Times New Roman"/>
    </w:rPr>
  </w:style>
  <w:style w:type="paragraph" w:styleId="Footer">
    <w:name w:val="footer"/>
    <w:basedOn w:val="Normal"/>
    <w:link w:val="FooterChar"/>
    <w:uiPriority w:val="99"/>
    <w:rsid w:val="00271300"/>
    <w:pPr>
      <w:tabs>
        <w:tab w:val="center" w:pos="4320"/>
        <w:tab w:val="right" w:pos="8640"/>
      </w:tabs>
    </w:pPr>
    <w:rPr>
      <w:lang w:val="x-none" w:eastAsia="x-none"/>
    </w:rPr>
  </w:style>
  <w:style w:type="character" w:customStyle="1" w:styleId="FooterChar">
    <w:name w:val="Footer Char"/>
    <w:link w:val="Footer"/>
    <w:uiPriority w:val="99"/>
    <w:locked/>
    <w:rsid w:val="00A965B8"/>
    <w:rPr>
      <w:rFonts w:cs="Times New Roman"/>
    </w:rPr>
  </w:style>
  <w:style w:type="character" w:styleId="PageNumber">
    <w:name w:val="page number"/>
    <w:uiPriority w:val="99"/>
    <w:rsid w:val="00271300"/>
    <w:rPr>
      <w:rFonts w:cs="Times New Roman"/>
      <w:sz w:val="20"/>
    </w:rPr>
  </w:style>
  <w:style w:type="paragraph" w:customStyle="1" w:styleId="BHLevel6">
    <w:name w:val="BHLevel6"/>
    <w:basedOn w:val="Normal"/>
    <w:next w:val="Normal"/>
    <w:rsid w:val="00271300"/>
    <w:pPr>
      <w:widowControl w:val="0"/>
      <w:spacing w:before="480" w:after="240"/>
    </w:pPr>
    <w:rPr>
      <w:b/>
      <w:smallCaps/>
      <w:sz w:val="24"/>
    </w:rPr>
  </w:style>
  <w:style w:type="paragraph" w:customStyle="1" w:styleId="BodyText22">
    <w:name w:val="Body Text 22"/>
    <w:basedOn w:val="Normal"/>
    <w:rsid w:val="00271300"/>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sz w:val="22"/>
    </w:rPr>
  </w:style>
  <w:style w:type="paragraph" w:customStyle="1" w:styleId="1AutoList1">
    <w:name w:val="1AutoList1"/>
    <w:rsid w:val="00271300"/>
    <w:pPr>
      <w:widowControl w:val="0"/>
      <w:tabs>
        <w:tab w:val="left" w:pos="720"/>
      </w:tabs>
      <w:overflowPunct w:val="0"/>
      <w:autoSpaceDE w:val="0"/>
      <w:autoSpaceDN w:val="0"/>
      <w:adjustRightInd w:val="0"/>
      <w:ind w:left="720" w:hanging="720"/>
      <w:textAlignment w:val="baseline"/>
    </w:pPr>
    <w:rPr>
      <w:sz w:val="24"/>
    </w:rPr>
  </w:style>
  <w:style w:type="paragraph" w:styleId="BodyTextIndent3">
    <w:name w:val="Body Text Indent 3"/>
    <w:basedOn w:val="Normal"/>
    <w:link w:val="BodyTextIndent3Char"/>
    <w:uiPriority w:val="99"/>
    <w:rsid w:val="00271300"/>
    <w:pPr>
      <w:widowControl w:val="0"/>
      <w:ind w:left="360"/>
    </w:pPr>
    <w:rPr>
      <w:sz w:val="24"/>
      <w:lang w:val="x-none" w:eastAsia="x-none"/>
    </w:rPr>
  </w:style>
  <w:style w:type="character" w:customStyle="1" w:styleId="BodyTextIndent3Char">
    <w:name w:val="Body Text Indent 3 Char"/>
    <w:link w:val="BodyTextIndent3"/>
    <w:uiPriority w:val="99"/>
    <w:locked/>
    <w:rsid w:val="00A965B8"/>
    <w:rPr>
      <w:rFonts w:cs="Times New Roman"/>
      <w:sz w:val="24"/>
    </w:rPr>
  </w:style>
  <w:style w:type="paragraph" w:styleId="BodyText2">
    <w:name w:val="Body Text 2"/>
    <w:basedOn w:val="Normal"/>
    <w:link w:val="BodyText2Char"/>
    <w:uiPriority w:val="99"/>
    <w:rsid w:val="00271300"/>
    <w:pPr>
      <w:widowControl w:val="0"/>
      <w:ind w:firstLine="720"/>
    </w:pPr>
    <w:rPr>
      <w:lang w:val="x-none" w:eastAsia="x-none"/>
    </w:rPr>
  </w:style>
  <w:style w:type="character" w:customStyle="1" w:styleId="BodyText2Char">
    <w:name w:val="Body Text 2 Char"/>
    <w:link w:val="BodyText2"/>
    <w:uiPriority w:val="99"/>
    <w:semiHidden/>
    <w:locked/>
    <w:rsid w:val="00CF135D"/>
    <w:rPr>
      <w:rFonts w:cs="Times New Roman"/>
    </w:rPr>
  </w:style>
  <w:style w:type="paragraph" w:styleId="FootnoteText">
    <w:name w:val="footnote text"/>
    <w:aliases w:val="F1"/>
    <w:basedOn w:val="Normal"/>
    <w:link w:val="FootnoteTextChar"/>
    <w:uiPriority w:val="99"/>
    <w:semiHidden/>
    <w:rsid w:val="00271300"/>
    <w:pPr>
      <w:widowControl w:val="0"/>
    </w:pPr>
    <w:rPr>
      <w:lang w:val="x-none" w:eastAsia="x-none"/>
    </w:rPr>
  </w:style>
  <w:style w:type="character" w:customStyle="1" w:styleId="FootnoteTextChar">
    <w:name w:val="Footnote Text Char"/>
    <w:aliases w:val="F1 Char"/>
    <w:link w:val="FootnoteText"/>
    <w:uiPriority w:val="99"/>
    <w:semiHidden/>
    <w:locked/>
    <w:rsid w:val="00CF135D"/>
    <w:rPr>
      <w:rFonts w:cs="Times New Roman"/>
    </w:rPr>
  </w:style>
  <w:style w:type="character" w:styleId="FootnoteReference">
    <w:name w:val="footnote reference"/>
    <w:uiPriority w:val="99"/>
    <w:semiHidden/>
    <w:rsid w:val="00271300"/>
    <w:rPr>
      <w:rFonts w:cs="Times New Roman"/>
      <w:sz w:val="20"/>
      <w:vertAlign w:val="superscript"/>
    </w:rPr>
  </w:style>
  <w:style w:type="paragraph" w:styleId="BlockText">
    <w:name w:val="Block Text"/>
    <w:basedOn w:val="Normal"/>
    <w:uiPriority w:val="99"/>
    <w:rsid w:val="00271300"/>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ind w:left="1710" w:right="720" w:hanging="990"/>
    </w:pPr>
    <w:rPr>
      <w:sz w:val="22"/>
    </w:rPr>
  </w:style>
  <w:style w:type="paragraph" w:customStyle="1" w:styleId="BodyText21">
    <w:name w:val="Body Text 21"/>
    <w:basedOn w:val="Normal"/>
    <w:rsid w:val="00271300"/>
    <w:pPr>
      <w:widowControl w:val="0"/>
      <w:ind w:left="1440" w:hanging="1440"/>
    </w:pPr>
    <w:rPr>
      <w:b/>
      <w:sz w:val="24"/>
    </w:rPr>
  </w:style>
  <w:style w:type="paragraph" w:styleId="BodyText3">
    <w:name w:val="Body Text 3"/>
    <w:basedOn w:val="Normal"/>
    <w:link w:val="BodyText3Char"/>
    <w:uiPriority w:val="99"/>
    <w:rsid w:val="00271300"/>
    <w:pPr>
      <w:widowControl w:val="0"/>
    </w:pPr>
    <w:rPr>
      <w:sz w:val="16"/>
      <w:szCs w:val="16"/>
      <w:lang w:val="x-none" w:eastAsia="x-none"/>
    </w:rPr>
  </w:style>
  <w:style w:type="character" w:customStyle="1" w:styleId="BodyText3Char">
    <w:name w:val="Body Text 3 Char"/>
    <w:link w:val="BodyText3"/>
    <w:uiPriority w:val="99"/>
    <w:semiHidden/>
    <w:locked/>
    <w:rsid w:val="00CF135D"/>
    <w:rPr>
      <w:rFonts w:cs="Times New Roman"/>
      <w:sz w:val="16"/>
      <w:szCs w:val="16"/>
    </w:rPr>
  </w:style>
  <w:style w:type="paragraph" w:styleId="BodyTextIndent2">
    <w:name w:val="Body Text Indent 2"/>
    <w:basedOn w:val="Normal"/>
    <w:link w:val="BodyTextIndent2Char"/>
    <w:uiPriority w:val="99"/>
    <w:rsid w:val="00271300"/>
    <w:pPr>
      <w:widowControl w:val="0"/>
      <w:ind w:left="720"/>
    </w:pPr>
    <w:rPr>
      <w:lang w:val="x-none" w:eastAsia="x-none"/>
    </w:rPr>
  </w:style>
  <w:style w:type="character" w:customStyle="1" w:styleId="BodyTextIndent2Char">
    <w:name w:val="Body Text Indent 2 Char"/>
    <w:link w:val="BodyTextIndent2"/>
    <w:uiPriority w:val="99"/>
    <w:semiHidden/>
    <w:locked/>
    <w:rsid w:val="00CF135D"/>
    <w:rPr>
      <w:rFonts w:cs="Times New Roman"/>
    </w:rPr>
  </w:style>
  <w:style w:type="paragraph" w:styleId="Title">
    <w:name w:val="Title"/>
    <w:basedOn w:val="Normal"/>
    <w:link w:val="TitleChar"/>
    <w:uiPriority w:val="10"/>
    <w:qFormat/>
    <w:rsid w:val="00271300"/>
    <w:pPr>
      <w:widowControl w:val="0"/>
      <w:ind w:firstLine="720"/>
      <w:jc w:val="center"/>
    </w:pPr>
    <w:rPr>
      <w:rFonts w:ascii="Cambria" w:hAnsi="Cambria"/>
      <w:b/>
      <w:bCs/>
      <w:kern w:val="28"/>
      <w:sz w:val="32"/>
      <w:szCs w:val="32"/>
      <w:lang w:val="x-none" w:eastAsia="x-none"/>
    </w:rPr>
  </w:style>
  <w:style w:type="character" w:customStyle="1" w:styleId="TitleChar">
    <w:name w:val="Title Char"/>
    <w:link w:val="Title"/>
    <w:uiPriority w:val="10"/>
    <w:locked/>
    <w:rsid w:val="00CF135D"/>
    <w:rPr>
      <w:rFonts w:ascii="Cambria" w:hAnsi="Cambria" w:cs="Times New Roman"/>
      <w:b/>
      <w:bCs/>
      <w:kern w:val="28"/>
      <w:sz w:val="32"/>
      <w:szCs w:val="32"/>
    </w:rPr>
  </w:style>
  <w:style w:type="paragraph" w:styleId="BalloonText">
    <w:name w:val="Balloon Text"/>
    <w:basedOn w:val="Normal"/>
    <w:link w:val="BalloonTextChar"/>
    <w:uiPriority w:val="99"/>
    <w:rsid w:val="00271300"/>
    <w:rPr>
      <w:rFonts w:ascii="Tahoma" w:hAnsi="Tahoma"/>
      <w:sz w:val="16"/>
      <w:lang w:val="x-none" w:eastAsia="x-none"/>
    </w:rPr>
  </w:style>
  <w:style w:type="character" w:customStyle="1" w:styleId="BalloonTextChar">
    <w:name w:val="Balloon Text Char"/>
    <w:link w:val="BalloonText"/>
    <w:uiPriority w:val="99"/>
    <w:locked/>
    <w:rsid w:val="00246EDE"/>
    <w:rPr>
      <w:rFonts w:ascii="Tahoma" w:hAnsi="Tahoma" w:cs="Times New Roman"/>
      <w:sz w:val="16"/>
    </w:rPr>
  </w:style>
  <w:style w:type="character" w:customStyle="1" w:styleId="MemoBody">
    <w:name w:val="Memo Body"/>
    <w:rsid w:val="00271300"/>
    <w:rPr>
      <w:rFonts w:ascii="Times New Roman" w:hAnsi="Times New Roman" w:cs="Times New Roman"/>
      <w:sz w:val="24"/>
    </w:rPr>
  </w:style>
  <w:style w:type="paragraph" w:styleId="BodyTextIndent">
    <w:name w:val="Body Text Indent"/>
    <w:basedOn w:val="Normal"/>
    <w:link w:val="BodyTextIndentChar"/>
    <w:uiPriority w:val="99"/>
    <w:rsid w:val="00271300"/>
    <w:pPr>
      <w:spacing w:after="120"/>
      <w:ind w:left="360"/>
    </w:pPr>
    <w:rPr>
      <w:lang w:val="x-none" w:eastAsia="x-none"/>
    </w:rPr>
  </w:style>
  <w:style w:type="character" w:customStyle="1" w:styleId="BodyTextIndentChar">
    <w:name w:val="Body Text Indent Char"/>
    <w:link w:val="BodyTextIndent"/>
    <w:uiPriority w:val="99"/>
    <w:semiHidden/>
    <w:locked/>
    <w:rsid w:val="00CF135D"/>
    <w:rPr>
      <w:rFonts w:cs="Times New Roman"/>
    </w:rPr>
  </w:style>
  <w:style w:type="character" w:styleId="Hyperlink">
    <w:name w:val="Hyperlink"/>
    <w:uiPriority w:val="99"/>
    <w:rsid w:val="00271300"/>
    <w:rPr>
      <w:rFonts w:cs="Times New Roman"/>
      <w:color w:val="0000FF"/>
      <w:u w:val="single"/>
    </w:rPr>
  </w:style>
  <w:style w:type="paragraph" w:styleId="HTMLPreformatted">
    <w:name w:val="HTML Preformatted"/>
    <w:basedOn w:val="Normal"/>
    <w:link w:val="HTMLPreformattedChar"/>
    <w:uiPriority w:val="99"/>
    <w:rsid w:val="00271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uiPriority w:val="99"/>
    <w:semiHidden/>
    <w:locked/>
    <w:rsid w:val="00CF135D"/>
    <w:rPr>
      <w:rFonts w:ascii="Courier New" w:hAnsi="Courier New" w:cs="Courier New"/>
    </w:rPr>
  </w:style>
  <w:style w:type="character" w:styleId="Strong">
    <w:name w:val="Strong"/>
    <w:uiPriority w:val="22"/>
    <w:qFormat/>
    <w:rsid w:val="00271300"/>
    <w:rPr>
      <w:rFonts w:cs="Times New Roman"/>
      <w:b/>
      <w:bCs/>
    </w:rPr>
  </w:style>
  <w:style w:type="paragraph" w:customStyle="1" w:styleId="P1-StandPara">
    <w:name w:val="P1-Stand Para"/>
    <w:rsid w:val="00271300"/>
    <w:pPr>
      <w:spacing w:line="360" w:lineRule="atLeast"/>
      <w:ind w:firstLine="1152"/>
      <w:jc w:val="both"/>
    </w:pPr>
    <w:rPr>
      <w:sz w:val="22"/>
    </w:rPr>
  </w:style>
  <w:style w:type="paragraph" w:customStyle="1" w:styleId="TT-TableTitle">
    <w:name w:val="TT-Table Title"/>
    <w:rsid w:val="00271300"/>
    <w:pPr>
      <w:tabs>
        <w:tab w:val="left" w:pos="1152"/>
      </w:tabs>
      <w:spacing w:line="240" w:lineRule="atLeast"/>
      <w:ind w:left="1152" w:hanging="1152"/>
    </w:pPr>
    <w:rPr>
      <w:sz w:val="22"/>
    </w:rPr>
  </w:style>
  <w:style w:type="character" w:styleId="FollowedHyperlink">
    <w:name w:val="FollowedHyperlink"/>
    <w:uiPriority w:val="99"/>
    <w:rsid w:val="00271300"/>
    <w:rPr>
      <w:rFonts w:cs="Times New Roman"/>
      <w:color w:val="800080"/>
      <w:u w:val="single"/>
    </w:rPr>
  </w:style>
  <w:style w:type="paragraph" w:customStyle="1" w:styleId="N2-2ndBullet">
    <w:name w:val="N2-2nd Bullet"/>
    <w:basedOn w:val="Normal"/>
    <w:rsid w:val="00271300"/>
    <w:pPr>
      <w:numPr>
        <w:numId w:val="1"/>
      </w:numPr>
      <w:overflowPunct/>
      <w:autoSpaceDE/>
      <w:autoSpaceDN/>
      <w:adjustRightInd/>
      <w:spacing w:after="240"/>
      <w:ind w:left="1440" w:hanging="720"/>
      <w:jc w:val="both"/>
      <w:textAlignment w:val="auto"/>
    </w:pPr>
    <w:rPr>
      <w:sz w:val="24"/>
      <w:szCs w:val="24"/>
    </w:rPr>
  </w:style>
  <w:style w:type="paragraph" w:customStyle="1" w:styleId="NormalOMB">
    <w:name w:val="Normal OMB"/>
    <w:basedOn w:val="Normal"/>
    <w:rsid w:val="00271300"/>
    <w:pPr>
      <w:ind w:firstLine="720"/>
    </w:pPr>
    <w:rPr>
      <w:sz w:val="24"/>
    </w:rPr>
  </w:style>
  <w:style w:type="character" w:customStyle="1" w:styleId="NormalOMBChar">
    <w:name w:val="Normal OMB Char"/>
    <w:rsid w:val="00271300"/>
    <w:rPr>
      <w:rFonts w:cs="Times New Roman"/>
      <w:sz w:val="24"/>
      <w:lang w:val="en-US" w:eastAsia="en-US" w:bidi="ar-SA"/>
    </w:rPr>
  </w:style>
  <w:style w:type="paragraph" w:customStyle="1" w:styleId="FootnoteTex">
    <w:name w:val="Footnote Tex"/>
    <w:rsid w:val="00271300"/>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4" w:hanging="114"/>
    </w:pPr>
    <w:rPr>
      <w:sz w:val="16"/>
      <w:szCs w:val="16"/>
    </w:rPr>
  </w:style>
  <w:style w:type="paragraph" w:customStyle="1" w:styleId="P1-StandPar">
    <w:name w:val="P1-Stand Par"/>
    <w:basedOn w:val="Normal"/>
    <w:rsid w:val="00271300"/>
    <w:pPr>
      <w:widowControl w:val="0"/>
      <w:overflowPunct/>
      <w:ind w:firstLine="1152"/>
      <w:textAlignment w:val="auto"/>
    </w:pPr>
    <w:rPr>
      <w:sz w:val="22"/>
      <w:szCs w:val="22"/>
    </w:rPr>
  </w:style>
  <w:style w:type="character" w:customStyle="1" w:styleId="Hypertext">
    <w:name w:val="Hypertext"/>
    <w:rsid w:val="00271300"/>
    <w:rPr>
      <w:color w:val="0000FF"/>
      <w:u w:val="single"/>
    </w:rPr>
  </w:style>
  <w:style w:type="paragraph" w:customStyle="1" w:styleId="N3-bullet">
    <w:name w:val="N3-bullet"/>
    <w:basedOn w:val="N2-2ndBullet"/>
    <w:rsid w:val="00271300"/>
    <w:pPr>
      <w:numPr>
        <w:numId w:val="2"/>
      </w:numPr>
      <w:tabs>
        <w:tab w:val="left" w:pos="2160"/>
      </w:tabs>
      <w:spacing w:after="120"/>
    </w:pPr>
  </w:style>
  <w:style w:type="paragraph" w:customStyle="1" w:styleId="Heading3OMB">
    <w:name w:val="Heading 3 (OMB)"/>
    <w:basedOn w:val="Heading1"/>
    <w:next w:val="NormalOMB"/>
    <w:rsid w:val="00271300"/>
    <w:rPr>
      <w:rFonts w:ascii="Arial" w:hAnsi="Arial"/>
      <w:bCs w:val="0"/>
      <w:i/>
    </w:rPr>
  </w:style>
  <w:style w:type="paragraph" w:customStyle="1" w:styleId="SL-FlLftSgl">
    <w:name w:val="SL-Fl Lft Sgl"/>
    <w:rsid w:val="00271300"/>
    <w:pPr>
      <w:spacing w:line="240" w:lineRule="atLeast"/>
      <w:jc w:val="both"/>
    </w:pPr>
    <w:rPr>
      <w:sz w:val="22"/>
    </w:rPr>
  </w:style>
  <w:style w:type="paragraph" w:styleId="TOC4">
    <w:name w:val="toc 4"/>
    <w:basedOn w:val="Normal"/>
    <w:autoRedefine/>
    <w:uiPriority w:val="39"/>
    <w:semiHidden/>
    <w:rsid w:val="00271300"/>
    <w:pPr>
      <w:tabs>
        <w:tab w:val="left" w:pos="3888"/>
        <w:tab w:val="right" w:leader="dot" w:pos="8208"/>
        <w:tab w:val="left" w:pos="8640"/>
      </w:tabs>
      <w:overflowPunct/>
      <w:autoSpaceDE/>
      <w:autoSpaceDN/>
      <w:adjustRightInd/>
      <w:spacing w:line="240" w:lineRule="atLeast"/>
      <w:ind w:left="3888" w:hanging="864"/>
      <w:textAlignment w:val="auto"/>
    </w:pPr>
    <w:rPr>
      <w:sz w:val="22"/>
    </w:rPr>
  </w:style>
  <w:style w:type="paragraph" w:customStyle="1" w:styleId="N3-3rdBullet">
    <w:name w:val="N3-3rd Bullet"/>
    <w:basedOn w:val="Normal"/>
    <w:rsid w:val="00271300"/>
    <w:pPr>
      <w:tabs>
        <w:tab w:val="left" w:pos="2304"/>
      </w:tabs>
      <w:overflowPunct/>
      <w:autoSpaceDE/>
      <w:autoSpaceDN/>
      <w:adjustRightInd/>
      <w:spacing w:after="240" w:line="240" w:lineRule="atLeast"/>
      <w:ind w:left="2304" w:hanging="576"/>
      <w:jc w:val="both"/>
      <w:textAlignment w:val="auto"/>
    </w:pPr>
    <w:rPr>
      <w:sz w:val="22"/>
    </w:rPr>
  </w:style>
  <w:style w:type="paragraph" w:customStyle="1" w:styleId="Heading2UOMB">
    <w:name w:val="Heading 2U (OMB)"/>
    <w:basedOn w:val="Normal"/>
    <w:next w:val="NormalOMB"/>
    <w:rsid w:val="00271300"/>
    <w:rPr>
      <w:rFonts w:ascii="Univers" w:hAnsi="Univers"/>
      <w:b/>
      <w:sz w:val="24"/>
      <w:szCs w:val="24"/>
      <w:u w:val="single"/>
    </w:rPr>
  </w:style>
  <w:style w:type="paragraph" w:customStyle="1" w:styleId="Num-SL">
    <w:name w:val="Num - SL"/>
    <w:basedOn w:val="SL-FlLftSgl"/>
    <w:rsid w:val="00271300"/>
    <w:pPr>
      <w:keepNext/>
      <w:numPr>
        <w:numId w:val="3"/>
      </w:numPr>
      <w:tabs>
        <w:tab w:val="left" w:pos="360"/>
        <w:tab w:val="left" w:pos="720"/>
        <w:tab w:val="left" w:pos="1080"/>
        <w:tab w:val="left" w:pos="1440"/>
      </w:tabs>
      <w:outlineLvl w:val="0"/>
    </w:pPr>
    <w:rPr>
      <w:b/>
    </w:rPr>
  </w:style>
  <w:style w:type="paragraph" w:customStyle="1" w:styleId="short">
    <w:name w:val="short"/>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2"/>
      <w:szCs w:val="22"/>
    </w:rPr>
  </w:style>
  <w:style w:type="paragraph" w:customStyle="1" w:styleId="uihgoal">
    <w:name w:val="uihgoal"/>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6"/>
      <w:szCs w:val="26"/>
    </w:rPr>
  </w:style>
  <w:style w:type="paragraph" w:customStyle="1" w:styleId="uihsubhead">
    <w:name w:val="uihsubhead"/>
    <w:basedOn w:val="Normal"/>
    <w:rsid w:val="00AB5253"/>
    <w:pPr>
      <w:overflowPunct/>
      <w:autoSpaceDE/>
      <w:autoSpaceDN/>
      <w:adjustRightInd/>
      <w:spacing w:before="100" w:beforeAutospacing="1" w:after="100" w:afterAutospacing="1"/>
      <w:textAlignment w:val="auto"/>
    </w:pPr>
    <w:rPr>
      <w:rFonts w:ascii="Arial" w:hAnsi="Arial" w:cs="Arial"/>
      <w:b/>
      <w:bCs/>
      <w:color w:val="000000"/>
      <w:sz w:val="22"/>
      <w:szCs w:val="22"/>
    </w:rPr>
  </w:style>
  <w:style w:type="table" w:styleId="TableGrid">
    <w:name w:val="Table Grid"/>
    <w:basedOn w:val="TableNormal"/>
    <w:uiPriority w:val="59"/>
    <w:rsid w:val="00AD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419"/>
    <w:pPr>
      <w:autoSpaceDE w:val="0"/>
      <w:autoSpaceDN w:val="0"/>
      <w:adjustRightInd w:val="0"/>
    </w:pPr>
    <w:rPr>
      <w:color w:val="000000"/>
      <w:sz w:val="24"/>
      <w:szCs w:val="24"/>
    </w:rPr>
  </w:style>
  <w:style w:type="paragraph" w:styleId="NormalWeb">
    <w:name w:val="Normal (Web)"/>
    <w:basedOn w:val="Normal"/>
    <w:uiPriority w:val="99"/>
    <w:rsid w:val="00881715"/>
    <w:pPr>
      <w:overflowPunct/>
      <w:autoSpaceDE/>
      <w:autoSpaceDN/>
      <w:adjustRightInd/>
      <w:spacing w:before="100" w:beforeAutospacing="1" w:after="100" w:afterAutospacing="1"/>
      <w:textAlignment w:val="auto"/>
    </w:pPr>
    <w:rPr>
      <w:sz w:val="24"/>
      <w:szCs w:val="24"/>
    </w:rPr>
  </w:style>
  <w:style w:type="paragraph" w:customStyle="1" w:styleId="PARA1">
    <w:name w:val="PARA 1"/>
    <w:rsid w:val="008479BC"/>
    <w:pPr>
      <w:overflowPunct w:val="0"/>
      <w:autoSpaceDE w:val="0"/>
      <w:autoSpaceDN w:val="0"/>
      <w:adjustRightInd w:val="0"/>
      <w:textAlignment w:val="baseline"/>
    </w:pPr>
    <w:rPr>
      <w:rFonts w:ascii="CG Times" w:hAnsi="CG Times"/>
      <w:sz w:val="24"/>
    </w:rPr>
  </w:style>
  <w:style w:type="paragraph" w:styleId="ListParagraph">
    <w:name w:val="List Paragraph"/>
    <w:basedOn w:val="Normal"/>
    <w:uiPriority w:val="34"/>
    <w:qFormat/>
    <w:rsid w:val="001E4CBC"/>
    <w:pPr>
      <w:ind w:left="720"/>
    </w:pPr>
  </w:style>
  <w:style w:type="character" w:styleId="CommentReference">
    <w:name w:val="annotation reference"/>
    <w:uiPriority w:val="99"/>
    <w:rsid w:val="001E4CBC"/>
    <w:rPr>
      <w:rFonts w:cs="Times New Roman"/>
      <w:sz w:val="16"/>
      <w:szCs w:val="16"/>
    </w:rPr>
  </w:style>
  <w:style w:type="paragraph" w:styleId="CommentText">
    <w:name w:val="annotation text"/>
    <w:basedOn w:val="Normal"/>
    <w:link w:val="CommentTextChar"/>
    <w:uiPriority w:val="99"/>
    <w:rsid w:val="001E4CBC"/>
    <w:rPr>
      <w:lang w:val="x-none" w:eastAsia="x-none"/>
    </w:rPr>
  </w:style>
  <w:style w:type="character" w:customStyle="1" w:styleId="CommentTextChar">
    <w:name w:val="Comment Text Char"/>
    <w:link w:val="CommentText"/>
    <w:uiPriority w:val="99"/>
    <w:locked/>
    <w:rsid w:val="001E4CBC"/>
    <w:rPr>
      <w:rFonts w:cs="Times New Roman"/>
    </w:rPr>
  </w:style>
  <w:style w:type="character" w:customStyle="1" w:styleId="boldface">
    <w:name w:val="boldface"/>
    <w:rsid w:val="006D5E38"/>
    <w:rPr>
      <w:rFonts w:ascii="CG Times" w:hAnsi="CG Times"/>
      <w:b/>
      <w:lang w:val="en-US" w:eastAsia="x-none"/>
    </w:rPr>
  </w:style>
  <w:style w:type="character" w:customStyle="1" w:styleId="Boldfaceitalic">
    <w:name w:val="Boldface italic"/>
    <w:rsid w:val="006D5E38"/>
    <w:rPr>
      <w:rFonts w:ascii="CG Times" w:hAnsi="CG Times" w:cs="Times New Roman"/>
      <w:b/>
      <w:i/>
      <w:lang w:val="en-US" w:eastAsia="x-none"/>
    </w:rPr>
  </w:style>
  <w:style w:type="character" w:customStyle="1" w:styleId="A11">
    <w:name w:val="A1+1"/>
    <w:rsid w:val="00BC2E8E"/>
    <w:rPr>
      <w:rFonts w:ascii="Times New Roman" w:hAnsi="Times New Roman" w:cs="Times New Roman"/>
      <w:color w:val="000000"/>
      <w:sz w:val="26"/>
    </w:rPr>
  </w:style>
  <w:style w:type="character" w:customStyle="1" w:styleId="imcb1">
    <w:name w:val="imcb1"/>
    <w:rsid w:val="00300A8D"/>
    <w:rPr>
      <w:rFonts w:cs="Times New Roman"/>
    </w:rPr>
  </w:style>
  <w:style w:type="paragraph" w:styleId="CommentSubject">
    <w:name w:val="annotation subject"/>
    <w:basedOn w:val="CommentText"/>
    <w:next w:val="CommentText"/>
    <w:link w:val="CommentSubjectChar"/>
    <w:rsid w:val="00117099"/>
    <w:rPr>
      <w:b/>
      <w:bCs/>
    </w:rPr>
  </w:style>
  <w:style w:type="character" w:customStyle="1" w:styleId="CommentSubjectChar">
    <w:name w:val="Comment Subject Char"/>
    <w:link w:val="CommentSubject"/>
    <w:rsid w:val="00117099"/>
    <w:rPr>
      <w:rFonts w:cs="Times New Roman"/>
      <w:b/>
      <w:bCs/>
    </w:rPr>
  </w:style>
  <w:style w:type="paragraph" w:customStyle="1" w:styleId="Style1">
    <w:name w:val="Style1"/>
    <w:basedOn w:val="Heading1"/>
    <w:link w:val="Style1Char"/>
    <w:qFormat/>
    <w:rsid w:val="00094180"/>
    <w:rPr>
      <w:b/>
    </w:rPr>
  </w:style>
  <w:style w:type="paragraph" w:styleId="TOC1">
    <w:name w:val="toc 1"/>
    <w:basedOn w:val="Normal"/>
    <w:next w:val="Normal"/>
    <w:autoRedefine/>
    <w:uiPriority w:val="39"/>
    <w:rsid w:val="00920167"/>
  </w:style>
  <w:style w:type="character" w:customStyle="1" w:styleId="Style1Char">
    <w:name w:val="Style1 Char"/>
    <w:link w:val="Style1"/>
    <w:rsid w:val="00094180"/>
    <w:rPr>
      <w:b/>
      <w:bCs/>
      <w:kern w:val="32"/>
      <w:sz w:val="24"/>
      <w:szCs w:val="32"/>
      <w:lang w:val="x-none" w:eastAsia="x-none"/>
    </w:rPr>
  </w:style>
  <w:style w:type="paragraph" w:styleId="TOC2">
    <w:name w:val="toc 2"/>
    <w:basedOn w:val="Normal"/>
    <w:next w:val="Normal"/>
    <w:autoRedefine/>
    <w:uiPriority w:val="39"/>
    <w:rsid w:val="00920167"/>
    <w:pPr>
      <w:tabs>
        <w:tab w:val="left" w:pos="810"/>
        <w:tab w:val="right" w:leader="dot" w:pos="9350"/>
      </w:tabs>
      <w:ind w:left="200"/>
    </w:pPr>
  </w:style>
  <w:style w:type="paragraph" w:styleId="TOCHeading">
    <w:name w:val="TOC Heading"/>
    <w:basedOn w:val="Heading1"/>
    <w:next w:val="Normal"/>
    <w:uiPriority w:val="39"/>
    <w:unhideWhenUsed/>
    <w:qFormat/>
    <w:rsid w:val="00E122BD"/>
    <w:pPr>
      <w:keepLines/>
      <w:widowControl/>
      <w:overflowPunct/>
      <w:autoSpaceDE/>
      <w:autoSpaceDN/>
      <w:adjustRightInd/>
      <w:spacing w:before="480" w:line="276" w:lineRule="auto"/>
      <w:textAlignment w:val="auto"/>
      <w:outlineLvl w:val="9"/>
    </w:pPr>
    <w:rPr>
      <w:rFonts w:ascii="Cambria" w:eastAsia="MS Gothic" w:hAnsi="Cambria"/>
      <w:b/>
      <w:color w:val="365F91"/>
      <w:kern w:val="0"/>
      <w:sz w:val="28"/>
      <w:szCs w:val="28"/>
      <w:lang w:val="en-US" w:eastAsia="ja-JP"/>
    </w:rPr>
  </w:style>
  <w:style w:type="paragraph" w:styleId="NoSpacing">
    <w:name w:val="No Spacing"/>
    <w:uiPriority w:val="1"/>
    <w:qFormat/>
    <w:rsid w:val="00B85672"/>
    <w:rPr>
      <w:rFonts w:ascii="Calibri" w:hAnsi="Calibri"/>
      <w:sz w:val="22"/>
      <w:szCs w:val="22"/>
    </w:rPr>
  </w:style>
  <w:style w:type="paragraph" w:styleId="Revision">
    <w:name w:val="Revision"/>
    <w:hidden/>
    <w:uiPriority w:val="99"/>
    <w:semiHidden/>
    <w:rsid w:val="00C136F8"/>
  </w:style>
  <w:style w:type="paragraph" w:styleId="PlainText">
    <w:name w:val="Plain Text"/>
    <w:basedOn w:val="Normal"/>
    <w:link w:val="PlainTextChar"/>
    <w:uiPriority w:val="99"/>
    <w:unhideWhenUsed/>
    <w:rsid w:val="008A0BEF"/>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8A0BEF"/>
    <w:rPr>
      <w:rFonts w:ascii="Consolas" w:eastAsia="Calibri" w:hAnsi="Consolas"/>
      <w:sz w:val="21"/>
      <w:szCs w:val="21"/>
    </w:rPr>
  </w:style>
  <w:style w:type="character" w:customStyle="1" w:styleId="baec5a81-e4d6-4674-97f3-e9220f0136c1">
    <w:name w:val="baec5a81-e4d6-4674-97f3-e9220f0136c1"/>
    <w:rsid w:val="008A0BEF"/>
  </w:style>
  <w:style w:type="character" w:styleId="Emphasis">
    <w:name w:val="Emphasis"/>
    <w:uiPriority w:val="20"/>
    <w:qFormat/>
    <w:rsid w:val="00672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6219">
      <w:bodyDiv w:val="1"/>
      <w:marLeft w:val="0"/>
      <w:marRight w:val="0"/>
      <w:marTop w:val="0"/>
      <w:marBottom w:val="0"/>
      <w:divBdr>
        <w:top w:val="none" w:sz="0" w:space="0" w:color="auto"/>
        <w:left w:val="none" w:sz="0" w:space="0" w:color="auto"/>
        <w:bottom w:val="none" w:sz="0" w:space="0" w:color="auto"/>
        <w:right w:val="none" w:sz="0" w:space="0" w:color="auto"/>
      </w:divBdr>
    </w:div>
    <w:div w:id="1561862728">
      <w:marLeft w:val="0"/>
      <w:marRight w:val="0"/>
      <w:marTop w:val="0"/>
      <w:marBottom w:val="0"/>
      <w:divBdr>
        <w:top w:val="none" w:sz="0" w:space="0" w:color="auto"/>
        <w:left w:val="none" w:sz="0" w:space="0" w:color="auto"/>
        <w:bottom w:val="none" w:sz="0" w:space="0" w:color="auto"/>
        <w:right w:val="none" w:sz="0" w:space="0" w:color="auto"/>
      </w:divBdr>
    </w:div>
    <w:div w:id="1561862730">
      <w:marLeft w:val="0"/>
      <w:marRight w:val="0"/>
      <w:marTop w:val="0"/>
      <w:marBottom w:val="0"/>
      <w:divBdr>
        <w:top w:val="none" w:sz="0" w:space="0" w:color="auto"/>
        <w:left w:val="none" w:sz="0" w:space="0" w:color="auto"/>
        <w:bottom w:val="none" w:sz="0" w:space="0" w:color="auto"/>
        <w:right w:val="none" w:sz="0" w:space="0" w:color="auto"/>
      </w:divBdr>
    </w:div>
    <w:div w:id="1561862731">
      <w:marLeft w:val="0"/>
      <w:marRight w:val="0"/>
      <w:marTop w:val="0"/>
      <w:marBottom w:val="0"/>
      <w:divBdr>
        <w:top w:val="none" w:sz="0" w:space="0" w:color="auto"/>
        <w:left w:val="none" w:sz="0" w:space="0" w:color="auto"/>
        <w:bottom w:val="none" w:sz="0" w:space="0" w:color="auto"/>
        <w:right w:val="none" w:sz="0" w:space="0" w:color="auto"/>
      </w:divBdr>
    </w:div>
    <w:div w:id="1561862732">
      <w:marLeft w:val="0"/>
      <w:marRight w:val="0"/>
      <w:marTop w:val="0"/>
      <w:marBottom w:val="0"/>
      <w:divBdr>
        <w:top w:val="none" w:sz="0" w:space="0" w:color="auto"/>
        <w:left w:val="none" w:sz="0" w:space="0" w:color="auto"/>
        <w:bottom w:val="none" w:sz="0" w:space="0" w:color="auto"/>
        <w:right w:val="none" w:sz="0" w:space="0" w:color="auto"/>
      </w:divBdr>
    </w:div>
    <w:div w:id="1561862734">
      <w:marLeft w:val="0"/>
      <w:marRight w:val="0"/>
      <w:marTop w:val="0"/>
      <w:marBottom w:val="0"/>
      <w:divBdr>
        <w:top w:val="none" w:sz="0" w:space="0" w:color="auto"/>
        <w:left w:val="none" w:sz="0" w:space="0" w:color="auto"/>
        <w:bottom w:val="none" w:sz="0" w:space="0" w:color="auto"/>
        <w:right w:val="none" w:sz="0" w:space="0" w:color="auto"/>
      </w:divBdr>
    </w:div>
    <w:div w:id="1561862735">
      <w:marLeft w:val="0"/>
      <w:marRight w:val="0"/>
      <w:marTop w:val="0"/>
      <w:marBottom w:val="0"/>
      <w:divBdr>
        <w:top w:val="none" w:sz="0" w:space="0" w:color="auto"/>
        <w:left w:val="none" w:sz="0" w:space="0" w:color="auto"/>
        <w:bottom w:val="none" w:sz="0" w:space="0" w:color="auto"/>
        <w:right w:val="none" w:sz="0" w:space="0" w:color="auto"/>
      </w:divBdr>
    </w:div>
    <w:div w:id="1561862736">
      <w:marLeft w:val="0"/>
      <w:marRight w:val="0"/>
      <w:marTop w:val="0"/>
      <w:marBottom w:val="0"/>
      <w:divBdr>
        <w:top w:val="none" w:sz="0" w:space="0" w:color="auto"/>
        <w:left w:val="none" w:sz="0" w:space="0" w:color="auto"/>
        <w:bottom w:val="none" w:sz="0" w:space="0" w:color="auto"/>
        <w:right w:val="none" w:sz="0" w:space="0" w:color="auto"/>
      </w:divBdr>
    </w:div>
    <w:div w:id="1561862737">
      <w:marLeft w:val="0"/>
      <w:marRight w:val="0"/>
      <w:marTop w:val="0"/>
      <w:marBottom w:val="0"/>
      <w:divBdr>
        <w:top w:val="none" w:sz="0" w:space="0" w:color="auto"/>
        <w:left w:val="none" w:sz="0" w:space="0" w:color="auto"/>
        <w:bottom w:val="none" w:sz="0" w:space="0" w:color="auto"/>
        <w:right w:val="none" w:sz="0" w:space="0" w:color="auto"/>
      </w:divBdr>
    </w:div>
    <w:div w:id="1561862739">
      <w:marLeft w:val="0"/>
      <w:marRight w:val="0"/>
      <w:marTop w:val="0"/>
      <w:marBottom w:val="0"/>
      <w:divBdr>
        <w:top w:val="none" w:sz="0" w:space="0" w:color="auto"/>
        <w:left w:val="none" w:sz="0" w:space="0" w:color="auto"/>
        <w:bottom w:val="none" w:sz="0" w:space="0" w:color="auto"/>
        <w:right w:val="none" w:sz="0" w:space="0" w:color="auto"/>
      </w:divBdr>
    </w:div>
    <w:div w:id="1561862740">
      <w:marLeft w:val="0"/>
      <w:marRight w:val="0"/>
      <w:marTop w:val="0"/>
      <w:marBottom w:val="0"/>
      <w:divBdr>
        <w:top w:val="none" w:sz="0" w:space="0" w:color="auto"/>
        <w:left w:val="none" w:sz="0" w:space="0" w:color="auto"/>
        <w:bottom w:val="none" w:sz="0" w:space="0" w:color="auto"/>
        <w:right w:val="none" w:sz="0" w:space="0" w:color="auto"/>
      </w:divBdr>
    </w:div>
    <w:div w:id="1561862741">
      <w:marLeft w:val="0"/>
      <w:marRight w:val="0"/>
      <w:marTop w:val="0"/>
      <w:marBottom w:val="0"/>
      <w:divBdr>
        <w:top w:val="none" w:sz="0" w:space="0" w:color="auto"/>
        <w:left w:val="none" w:sz="0" w:space="0" w:color="auto"/>
        <w:bottom w:val="none" w:sz="0" w:space="0" w:color="auto"/>
        <w:right w:val="none" w:sz="0" w:space="0" w:color="auto"/>
      </w:divBdr>
    </w:div>
    <w:div w:id="1561862742">
      <w:marLeft w:val="0"/>
      <w:marRight w:val="0"/>
      <w:marTop w:val="0"/>
      <w:marBottom w:val="0"/>
      <w:divBdr>
        <w:top w:val="none" w:sz="0" w:space="0" w:color="auto"/>
        <w:left w:val="none" w:sz="0" w:space="0" w:color="auto"/>
        <w:bottom w:val="none" w:sz="0" w:space="0" w:color="auto"/>
        <w:right w:val="none" w:sz="0" w:space="0" w:color="auto"/>
      </w:divBdr>
      <w:divsChild>
        <w:div w:id="1561862729">
          <w:marLeft w:val="0"/>
          <w:marRight w:val="0"/>
          <w:marTop w:val="0"/>
          <w:marBottom w:val="0"/>
          <w:divBdr>
            <w:top w:val="none" w:sz="0" w:space="0" w:color="auto"/>
            <w:left w:val="none" w:sz="0" w:space="0" w:color="auto"/>
            <w:bottom w:val="none" w:sz="0" w:space="0" w:color="auto"/>
            <w:right w:val="none" w:sz="0" w:space="0" w:color="auto"/>
          </w:divBdr>
          <w:divsChild>
            <w:div w:id="156186273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561862743">
      <w:marLeft w:val="0"/>
      <w:marRight w:val="0"/>
      <w:marTop w:val="0"/>
      <w:marBottom w:val="0"/>
      <w:divBdr>
        <w:top w:val="none" w:sz="0" w:space="0" w:color="auto"/>
        <w:left w:val="none" w:sz="0" w:space="0" w:color="auto"/>
        <w:bottom w:val="none" w:sz="0" w:space="0" w:color="auto"/>
        <w:right w:val="none" w:sz="0" w:space="0" w:color="auto"/>
      </w:divBdr>
    </w:div>
    <w:div w:id="1561862744">
      <w:marLeft w:val="0"/>
      <w:marRight w:val="0"/>
      <w:marTop w:val="0"/>
      <w:marBottom w:val="0"/>
      <w:divBdr>
        <w:top w:val="none" w:sz="0" w:space="0" w:color="auto"/>
        <w:left w:val="none" w:sz="0" w:space="0" w:color="auto"/>
        <w:bottom w:val="none" w:sz="0" w:space="0" w:color="auto"/>
        <w:right w:val="none" w:sz="0" w:space="0" w:color="auto"/>
      </w:divBdr>
    </w:div>
    <w:div w:id="1561862745">
      <w:marLeft w:val="0"/>
      <w:marRight w:val="0"/>
      <w:marTop w:val="0"/>
      <w:marBottom w:val="0"/>
      <w:divBdr>
        <w:top w:val="none" w:sz="0" w:space="0" w:color="auto"/>
        <w:left w:val="none" w:sz="0" w:space="0" w:color="auto"/>
        <w:bottom w:val="none" w:sz="0" w:space="0" w:color="auto"/>
        <w:right w:val="none" w:sz="0" w:space="0" w:color="auto"/>
      </w:divBdr>
    </w:div>
    <w:div w:id="1561862746">
      <w:marLeft w:val="0"/>
      <w:marRight w:val="0"/>
      <w:marTop w:val="0"/>
      <w:marBottom w:val="0"/>
      <w:divBdr>
        <w:top w:val="none" w:sz="0" w:space="0" w:color="auto"/>
        <w:left w:val="none" w:sz="0" w:space="0" w:color="auto"/>
        <w:bottom w:val="none" w:sz="0" w:space="0" w:color="auto"/>
        <w:right w:val="none" w:sz="0" w:space="0" w:color="auto"/>
      </w:divBdr>
      <w:divsChild>
        <w:div w:id="1561862733">
          <w:marLeft w:val="0"/>
          <w:marRight w:val="0"/>
          <w:marTop w:val="0"/>
          <w:marBottom w:val="0"/>
          <w:divBdr>
            <w:top w:val="none" w:sz="0" w:space="0" w:color="auto"/>
            <w:left w:val="none" w:sz="0" w:space="0" w:color="auto"/>
            <w:bottom w:val="none" w:sz="0" w:space="0" w:color="auto"/>
            <w:right w:val="none" w:sz="0" w:space="0" w:color="auto"/>
          </w:divBdr>
        </w:div>
      </w:divsChild>
    </w:div>
    <w:div w:id="1561862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jc0@cdc.gov" TargetMode="External"/><Relationship Id="rId13" Type="http://schemas.openxmlformats.org/officeDocument/2006/relationships/hyperlink" Target="mailto:gjc0@cdc.go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bito@tulan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es.Paul-A@ep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sq7@cd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chadnet1/" TargetMode="External"/><Relationship Id="rId14" Type="http://schemas.openxmlformats.org/officeDocument/2006/relationships/hyperlink" Target="mailto:tulve.nicoll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8BAAF-124B-44F0-840A-4BB173E3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4817</Words>
  <Characters>29235</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INFORMATION COLLECTION REQUEST FOR OMB REVIEW</vt:lpstr>
    </vt:vector>
  </TitlesOfParts>
  <Company>OMB</Company>
  <LinksUpToDate>false</LinksUpToDate>
  <CharactersWithSpaces>33985</CharactersWithSpaces>
  <SharedDoc>false</SharedDoc>
  <HLinks>
    <vt:vector size="78" baseType="variant">
      <vt:variant>
        <vt:i4>917628</vt:i4>
      </vt:variant>
      <vt:variant>
        <vt:i4>72</vt:i4>
      </vt:variant>
      <vt:variant>
        <vt:i4>0</vt:i4>
      </vt:variant>
      <vt:variant>
        <vt:i4>5</vt:i4>
      </vt:variant>
      <vt:variant>
        <vt:lpwstr>mailto:tulve.nicolle@epa.gov</vt:lpwstr>
      </vt:variant>
      <vt:variant>
        <vt:lpwstr/>
      </vt:variant>
      <vt:variant>
        <vt:i4>196727</vt:i4>
      </vt:variant>
      <vt:variant>
        <vt:i4>69</vt:i4>
      </vt:variant>
      <vt:variant>
        <vt:i4>0</vt:i4>
      </vt:variant>
      <vt:variant>
        <vt:i4>5</vt:i4>
      </vt:variant>
      <vt:variant>
        <vt:lpwstr>mailto:gjc0@cdc.gov</vt:lpwstr>
      </vt:variant>
      <vt:variant>
        <vt:lpwstr/>
      </vt:variant>
      <vt:variant>
        <vt:i4>2555921</vt:i4>
      </vt:variant>
      <vt:variant>
        <vt:i4>66</vt:i4>
      </vt:variant>
      <vt:variant>
        <vt:i4>0</vt:i4>
      </vt:variant>
      <vt:variant>
        <vt:i4>5</vt:i4>
      </vt:variant>
      <vt:variant>
        <vt:lpwstr>mailto:rabito@tulane.edu</vt:lpwstr>
      </vt:variant>
      <vt:variant>
        <vt:lpwstr/>
      </vt:variant>
      <vt:variant>
        <vt:i4>4980833</vt:i4>
      </vt:variant>
      <vt:variant>
        <vt:i4>63</vt:i4>
      </vt:variant>
      <vt:variant>
        <vt:i4>0</vt:i4>
      </vt:variant>
      <vt:variant>
        <vt:i4>5</vt:i4>
      </vt:variant>
      <vt:variant>
        <vt:lpwstr>mailto:Jones.Paul-A@epa.gov</vt:lpwstr>
      </vt:variant>
      <vt:variant>
        <vt:lpwstr/>
      </vt:variant>
      <vt:variant>
        <vt:i4>1835113</vt:i4>
      </vt:variant>
      <vt:variant>
        <vt:i4>60</vt:i4>
      </vt:variant>
      <vt:variant>
        <vt:i4>0</vt:i4>
      </vt:variant>
      <vt:variant>
        <vt:i4>5</vt:i4>
      </vt:variant>
      <vt:variant>
        <vt:lpwstr>mailto:jsq7@cdc.gov</vt:lpwstr>
      </vt:variant>
      <vt:variant>
        <vt:lpwstr/>
      </vt:variant>
      <vt:variant>
        <vt:i4>589846</vt:i4>
      </vt:variant>
      <vt:variant>
        <vt:i4>57</vt:i4>
      </vt:variant>
      <vt:variant>
        <vt:i4>0</vt:i4>
      </vt:variant>
      <vt:variant>
        <vt:i4>5</vt:i4>
      </vt:variant>
      <vt:variant>
        <vt:lpwstr>http://www.epa.gov/chadnet1/</vt:lpwstr>
      </vt:variant>
      <vt:variant>
        <vt:lpwstr/>
      </vt:variant>
      <vt:variant>
        <vt:i4>1703987</vt:i4>
      </vt:variant>
      <vt:variant>
        <vt:i4>35</vt:i4>
      </vt:variant>
      <vt:variant>
        <vt:i4>0</vt:i4>
      </vt:variant>
      <vt:variant>
        <vt:i4>5</vt:i4>
      </vt:variant>
      <vt:variant>
        <vt:lpwstr/>
      </vt:variant>
      <vt:variant>
        <vt:lpwstr>_Toc444709377</vt:lpwstr>
      </vt:variant>
      <vt:variant>
        <vt:i4>1703987</vt:i4>
      </vt:variant>
      <vt:variant>
        <vt:i4>29</vt:i4>
      </vt:variant>
      <vt:variant>
        <vt:i4>0</vt:i4>
      </vt:variant>
      <vt:variant>
        <vt:i4>5</vt:i4>
      </vt:variant>
      <vt:variant>
        <vt:lpwstr/>
      </vt:variant>
      <vt:variant>
        <vt:lpwstr>_Toc444709376</vt:lpwstr>
      </vt:variant>
      <vt:variant>
        <vt:i4>1703987</vt:i4>
      </vt:variant>
      <vt:variant>
        <vt:i4>23</vt:i4>
      </vt:variant>
      <vt:variant>
        <vt:i4>0</vt:i4>
      </vt:variant>
      <vt:variant>
        <vt:i4>5</vt:i4>
      </vt:variant>
      <vt:variant>
        <vt:lpwstr/>
      </vt:variant>
      <vt:variant>
        <vt:lpwstr>_Toc444709375</vt:lpwstr>
      </vt:variant>
      <vt:variant>
        <vt:i4>1703987</vt:i4>
      </vt:variant>
      <vt:variant>
        <vt:i4>17</vt:i4>
      </vt:variant>
      <vt:variant>
        <vt:i4>0</vt:i4>
      </vt:variant>
      <vt:variant>
        <vt:i4>5</vt:i4>
      </vt:variant>
      <vt:variant>
        <vt:lpwstr/>
      </vt:variant>
      <vt:variant>
        <vt:lpwstr>_Toc444709374</vt:lpwstr>
      </vt:variant>
      <vt:variant>
        <vt:i4>1703987</vt:i4>
      </vt:variant>
      <vt:variant>
        <vt:i4>11</vt:i4>
      </vt:variant>
      <vt:variant>
        <vt:i4>0</vt:i4>
      </vt:variant>
      <vt:variant>
        <vt:i4>5</vt:i4>
      </vt:variant>
      <vt:variant>
        <vt:lpwstr/>
      </vt:variant>
      <vt:variant>
        <vt:lpwstr>_Toc444709373</vt:lpwstr>
      </vt:variant>
      <vt:variant>
        <vt:i4>1703987</vt:i4>
      </vt:variant>
      <vt:variant>
        <vt:i4>5</vt:i4>
      </vt:variant>
      <vt:variant>
        <vt:i4>0</vt:i4>
      </vt:variant>
      <vt:variant>
        <vt:i4>5</vt:i4>
      </vt:variant>
      <vt:variant>
        <vt:lpwstr/>
      </vt:variant>
      <vt:variant>
        <vt:lpwstr>_Toc444709372</vt:lpwstr>
      </vt:variant>
      <vt:variant>
        <vt:i4>196727</vt:i4>
      </vt:variant>
      <vt:variant>
        <vt:i4>0</vt:i4>
      </vt:variant>
      <vt:variant>
        <vt:i4>0</vt:i4>
      </vt:variant>
      <vt:variant>
        <vt:i4>5</vt:i4>
      </vt:variant>
      <vt:variant>
        <vt:lpwstr>mailto:gjc0@cdc.gov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OMB REVIEW</dc:title>
  <dc:subject>AHHS draft ICR</dc:subject>
  <dc:creator>Schwab, Margo</dc:creator>
  <cp:keywords/>
  <cp:lastModifiedBy>Office of Science</cp:lastModifiedBy>
  <cp:revision>5</cp:revision>
  <cp:lastPrinted>2014-02-25T20:35:00Z</cp:lastPrinted>
  <dcterms:created xsi:type="dcterms:W3CDTF">2016-03-04T21:45:00Z</dcterms:created>
  <dcterms:modified xsi:type="dcterms:W3CDTF">2016-03-04T21:48:00Z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