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F2" w:rsidRPr="00386084" w:rsidRDefault="00386084" w:rsidP="00FE2669">
      <w:pPr>
        <w:widowControl/>
        <w:tabs>
          <w:tab w:val="left" w:pos="-1440"/>
        </w:tabs>
        <w:jc w:val="center"/>
        <w:rPr>
          <w:rFonts w:ascii="Times New Roman" w:hAnsi="Times New Roman"/>
          <w:b/>
          <w:szCs w:val="24"/>
        </w:rPr>
      </w:pPr>
      <w:r w:rsidRPr="00386084">
        <w:rPr>
          <w:rFonts w:ascii="Times New Roman" w:hAnsi="Times New Roman"/>
          <w:b/>
          <w:szCs w:val="24"/>
        </w:rPr>
        <w:t>Supporting Statement for the</w:t>
      </w:r>
    </w:p>
    <w:p w:rsidR="005071F2" w:rsidRPr="00386084" w:rsidRDefault="005071F2" w:rsidP="00FE2669">
      <w:pPr>
        <w:widowControl/>
        <w:tabs>
          <w:tab w:val="left" w:pos="-1440"/>
        </w:tabs>
        <w:jc w:val="center"/>
        <w:rPr>
          <w:rFonts w:ascii="Times New Roman" w:hAnsi="Times New Roman"/>
          <w:b/>
          <w:szCs w:val="24"/>
        </w:rPr>
      </w:pPr>
      <w:r w:rsidRPr="00386084">
        <w:rPr>
          <w:rFonts w:ascii="Times New Roman" w:hAnsi="Times New Roman"/>
          <w:b/>
          <w:szCs w:val="24"/>
        </w:rPr>
        <w:t>R</w:t>
      </w:r>
      <w:r w:rsidR="00D757AD" w:rsidRPr="00386084">
        <w:rPr>
          <w:rFonts w:ascii="Times New Roman" w:hAnsi="Times New Roman"/>
          <w:b/>
          <w:szCs w:val="24"/>
        </w:rPr>
        <w:t xml:space="preserve">ecordkeeping </w:t>
      </w:r>
      <w:r w:rsidR="00F56440" w:rsidRPr="00386084">
        <w:rPr>
          <w:rFonts w:ascii="Times New Roman" w:hAnsi="Times New Roman"/>
          <w:b/>
          <w:szCs w:val="24"/>
        </w:rPr>
        <w:t>and</w:t>
      </w:r>
      <w:r w:rsidR="00D757AD" w:rsidRPr="00386084">
        <w:rPr>
          <w:rFonts w:ascii="Times New Roman" w:hAnsi="Times New Roman"/>
          <w:b/>
          <w:szCs w:val="24"/>
        </w:rPr>
        <w:t xml:space="preserve"> </w:t>
      </w:r>
      <w:r w:rsidRPr="00386084">
        <w:rPr>
          <w:rFonts w:ascii="Times New Roman" w:hAnsi="Times New Roman"/>
          <w:b/>
          <w:szCs w:val="24"/>
        </w:rPr>
        <w:t>D</w:t>
      </w:r>
      <w:r w:rsidR="00D757AD" w:rsidRPr="00386084">
        <w:rPr>
          <w:rFonts w:ascii="Times New Roman" w:hAnsi="Times New Roman"/>
          <w:b/>
          <w:szCs w:val="24"/>
        </w:rPr>
        <w:t xml:space="preserve">isclosure </w:t>
      </w:r>
      <w:r w:rsidR="008C583C">
        <w:rPr>
          <w:rFonts w:ascii="Times New Roman" w:hAnsi="Times New Roman"/>
          <w:b/>
          <w:szCs w:val="24"/>
        </w:rPr>
        <w:t xml:space="preserve">Provisions </w:t>
      </w:r>
      <w:r w:rsidR="00726339">
        <w:rPr>
          <w:rFonts w:ascii="Times New Roman" w:hAnsi="Times New Roman"/>
          <w:b/>
          <w:szCs w:val="24"/>
        </w:rPr>
        <w:t>Associated with</w:t>
      </w:r>
    </w:p>
    <w:p w:rsidR="003643AD" w:rsidRDefault="00FE2669">
      <w:pPr>
        <w:widowControl/>
        <w:tabs>
          <w:tab w:val="left" w:pos="-1440"/>
        </w:tabs>
        <w:jc w:val="center"/>
        <w:rPr>
          <w:rFonts w:ascii="Times New Roman" w:hAnsi="Times New Roman"/>
          <w:b/>
          <w:szCs w:val="24"/>
        </w:rPr>
      </w:pPr>
      <w:r w:rsidRPr="00386084">
        <w:rPr>
          <w:rFonts w:ascii="Times New Roman" w:hAnsi="Times New Roman"/>
          <w:b/>
          <w:szCs w:val="24"/>
        </w:rPr>
        <w:t xml:space="preserve"> </w:t>
      </w:r>
      <w:r w:rsidR="006C33EF">
        <w:rPr>
          <w:rFonts w:ascii="Times New Roman" w:hAnsi="Times New Roman"/>
          <w:b/>
          <w:szCs w:val="24"/>
        </w:rPr>
        <w:t>Stress Testing Guidance</w:t>
      </w:r>
      <w:r w:rsidR="0079691B">
        <w:rPr>
          <w:rFonts w:ascii="Times New Roman" w:hAnsi="Times New Roman"/>
          <w:b/>
          <w:szCs w:val="24"/>
        </w:rPr>
        <w:t xml:space="preserve"> </w:t>
      </w:r>
      <w:r w:rsidRPr="00386084">
        <w:rPr>
          <w:rFonts w:ascii="Times New Roman" w:hAnsi="Times New Roman"/>
          <w:b/>
          <w:szCs w:val="24"/>
        </w:rPr>
        <w:t>(</w:t>
      </w:r>
      <w:r w:rsidR="006C33EF">
        <w:rPr>
          <w:rFonts w:ascii="Times New Roman" w:hAnsi="Times New Roman"/>
          <w:b/>
          <w:szCs w:val="24"/>
        </w:rPr>
        <w:t>FR 4202</w:t>
      </w:r>
      <w:r w:rsidR="0079691B">
        <w:rPr>
          <w:rFonts w:ascii="Times New Roman" w:hAnsi="Times New Roman"/>
          <w:b/>
          <w:szCs w:val="24"/>
        </w:rPr>
        <w:t xml:space="preserve">; </w:t>
      </w:r>
      <w:r w:rsidRPr="00386084">
        <w:rPr>
          <w:rFonts w:ascii="Times New Roman" w:hAnsi="Times New Roman"/>
          <w:b/>
          <w:szCs w:val="24"/>
        </w:rPr>
        <w:t xml:space="preserve">OMB No. </w:t>
      </w:r>
      <w:r w:rsidR="005664D9">
        <w:rPr>
          <w:rFonts w:ascii="Times New Roman" w:hAnsi="Times New Roman"/>
          <w:b/>
          <w:szCs w:val="24"/>
        </w:rPr>
        <w:t>7100-0348</w:t>
      </w:r>
      <w:r w:rsidRPr="00386084">
        <w:rPr>
          <w:rFonts w:ascii="Times New Roman" w:hAnsi="Times New Roman"/>
          <w:b/>
          <w:szCs w:val="24"/>
        </w:rPr>
        <w:t>)</w:t>
      </w:r>
      <w:bookmarkStart w:id="0" w:name="OLE_LINK1"/>
    </w:p>
    <w:p w:rsidR="0079691B" w:rsidRDefault="0079691B" w:rsidP="00386084">
      <w:pPr>
        <w:jc w:val="center"/>
        <w:rPr>
          <w:rFonts w:ascii="Times New Roman" w:hAnsi="Times New Roman"/>
          <w:b/>
          <w:szCs w:val="24"/>
        </w:rPr>
      </w:pPr>
    </w:p>
    <w:p w:rsidR="00FE2669" w:rsidRPr="0079691B" w:rsidRDefault="00D505C1" w:rsidP="00386084">
      <w:pPr>
        <w:jc w:val="center"/>
        <w:rPr>
          <w:rFonts w:ascii="Times New Roman" w:hAnsi="Times New Roman"/>
          <w:b/>
          <w:i/>
          <w:szCs w:val="24"/>
        </w:rPr>
      </w:pPr>
      <w:r>
        <w:rPr>
          <w:rFonts w:ascii="Times New Roman" w:hAnsi="Times New Roman"/>
          <w:b/>
          <w:i/>
          <w:szCs w:val="24"/>
        </w:rPr>
        <w:t>Stress Testing Guidance</w:t>
      </w:r>
      <w:r w:rsidR="006604E1">
        <w:rPr>
          <w:rFonts w:ascii="Times New Roman" w:hAnsi="Times New Roman"/>
          <w:b/>
          <w:i/>
          <w:szCs w:val="24"/>
        </w:rPr>
        <w:t xml:space="preserve"> (Docket No. </w:t>
      </w:r>
      <w:r w:rsidR="006C33EF">
        <w:rPr>
          <w:rFonts w:ascii="Times New Roman" w:hAnsi="Times New Roman"/>
          <w:b/>
          <w:i/>
          <w:szCs w:val="24"/>
        </w:rPr>
        <w:t>OP-142</w:t>
      </w:r>
      <w:r w:rsidR="00B53C21" w:rsidRPr="00B53C21">
        <w:rPr>
          <w:rFonts w:ascii="Times New Roman" w:hAnsi="Times New Roman"/>
          <w:b/>
          <w:i/>
          <w:szCs w:val="24"/>
        </w:rPr>
        <w:t>1)</w:t>
      </w:r>
      <w:bookmarkEnd w:id="0"/>
      <w:r w:rsidR="00B53C21" w:rsidRPr="00B53C21">
        <w:rPr>
          <w:rFonts w:ascii="Times New Roman" w:hAnsi="Times New Roman"/>
          <w:b/>
          <w:i/>
          <w:szCs w:val="24"/>
        </w:rPr>
        <w:t xml:space="preserve"> </w:t>
      </w:r>
    </w:p>
    <w:p w:rsidR="00FE2669" w:rsidRPr="00386084" w:rsidRDefault="00FE2669" w:rsidP="00386084">
      <w:pPr>
        <w:rPr>
          <w:rFonts w:ascii="Times New Roman" w:hAnsi="Times New Roman"/>
          <w:szCs w:val="24"/>
        </w:rPr>
      </w:pPr>
    </w:p>
    <w:p w:rsidR="00D757AD" w:rsidRPr="00386084" w:rsidRDefault="00D757AD">
      <w:pPr>
        <w:pStyle w:val="Heading1"/>
        <w:rPr>
          <w:rFonts w:ascii="Times New Roman" w:hAnsi="Times New Roman"/>
          <w:szCs w:val="24"/>
        </w:rPr>
      </w:pPr>
      <w:r w:rsidRPr="00386084">
        <w:rPr>
          <w:rFonts w:ascii="Times New Roman" w:hAnsi="Times New Roman"/>
          <w:szCs w:val="24"/>
        </w:rPr>
        <w:t>Summary</w:t>
      </w:r>
    </w:p>
    <w:p w:rsidR="00D757AD" w:rsidRPr="00386084" w:rsidRDefault="00D757AD" w:rsidP="00386084">
      <w:pPr>
        <w:widowControl/>
        <w:rPr>
          <w:rFonts w:ascii="Times New Roman" w:hAnsi="Times New Roman"/>
          <w:szCs w:val="24"/>
        </w:rPr>
      </w:pPr>
    </w:p>
    <w:p w:rsidR="00ED46BB" w:rsidRPr="00D505C1" w:rsidRDefault="001360F6">
      <w:pPr>
        <w:widowControl/>
        <w:ind w:firstLine="720"/>
        <w:rPr>
          <w:rFonts w:ascii="Times New Roman" w:hAnsi="Times New Roman"/>
          <w:szCs w:val="24"/>
        </w:rPr>
      </w:pPr>
      <w:r w:rsidRPr="00D505C1">
        <w:rPr>
          <w:rFonts w:ascii="Times New Roman" w:hAnsi="Times New Roman"/>
          <w:szCs w:val="24"/>
        </w:rPr>
        <w:t xml:space="preserve">The Board of Governors of the Federal Reserve System, under delegated authority from the Office of Management and Budget (OMB), proposes </w:t>
      </w:r>
      <w:r w:rsidR="00D757AD" w:rsidRPr="00D505C1">
        <w:rPr>
          <w:rFonts w:ascii="Times New Roman" w:hAnsi="Times New Roman"/>
          <w:szCs w:val="24"/>
        </w:rPr>
        <w:t xml:space="preserve">to </w:t>
      </w:r>
      <w:r w:rsidR="002C3F4E" w:rsidRPr="00D505C1">
        <w:rPr>
          <w:rFonts w:ascii="Times New Roman" w:hAnsi="Times New Roman"/>
          <w:szCs w:val="24"/>
        </w:rPr>
        <w:t>implement</w:t>
      </w:r>
      <w:r w:rsidR="00D757AD" w:rsidRPr="00D505C1">
        <w:rPr>
          <w:rFonts w:ascii="Times New Roman" w:hAnsi="Times New Roman"/>
          <w:bCs/>
          <w:szCs w:val="24"/>
        </w:rPr>
        <w:t xml:space="preserve"> </w:t>
      </w:r>
      <w:r w:rsidR="00D757AD" w:rsidRPr="00D505C1">
        <w:rPr>
          <w:rFonts w:ascii="Times New Roman" w:hAnsi="Times New Roman"/>
          <w:szCs w:val="24"/>
        </w:rPr>
        <w:t>the</w:t>
      </w:r>
      <w:r w:rsidR="00BA34D2" w:rsidRPr="00D505C1">
        <w:rPr>
          <w:rFonts w:ascii="Times New Roman" w:hAnsi="Times New Roman"/>
          <w:szCs w:val="24"/>
        </w:rPr>
        <w:t xml:space="preserve"> </w:t>
      </w:r>
      <w:r w:rsidR="00D505C1" w:rsidRPr="00D505C1">
        <w:rPr>
          <w:rFonts w:ascii="Times New Roman" w:hAnsi="Times New Roman"/>
          <w:color w:val="000000"/>
        </w:rPr>
        <w:t xml:space="preserve">Recordkeeping and Disclosure Provisions Associated with </w:t>
      </w:r>
      <w:r w:rsidR="00D505C1" w:rsidRPr="00D505C1">
        <w:rPr>
          <w:rFonts w:ascii="Times New Roman" w:hAnsi="Times New Roman"/>
        </w:rPr>
        <w:t xml:space="preserve">Stress Testing </w:t>
      </w:r>
      <w:r w:rsidR="00275F0C" w:rsidRPr="00D505C1">
        <w:rPr>
          <w:rFonts w:ascii="Times New Roman" w:hAnsi="Times New Roman"/>
        </w:rPr>
        <w:t>Guidance</w:t>
      </w:r>
      <w:r w:rsidR="00275F0C">
        <w:rPr>
          <w:rFonts w:ascii="Times New Roman" w:hAnsi="Times New Roman"/>
        </w:rPr>
        <w:t xml:space="preserve"> (</w:t>
      </w:r>
      <w:r w:rsidR="00D505C1" w:rsidRPr="00D505C1">
        <w:rPr>
          <w:rFonts w:ascii="Times New Roman" w:hAnsi="Times New Roman"/>
          <w:szCs w:val="24"/>
        </w:rPr>
        <w:t>Stress Testing Guidance</w:t>
      </w:r>
      <w:r w:rsidR="001913A3">
        <w:rPr>
          <w:rFonts w:ascii="Times New Roman" w:hAnsi="Times New Roman"/>
          <w:szCs w:val="24"/>
        </w:rPr>
        <w:t xml:space="preserve"> or Guidance</w:t>
      </w:r>
      <w:r w:rsidR="009C4001" w:rsidRPr="00D505C1">
        <w:rPr>
          <w:rFonts w:ascii="Times New Roman" w:hAnsi="Times New Roman"/>
          <w:szCs w:val="24"/>
        </w:rPr>
        <w:t>)</w:t>
      </w:r>
      <w:r w:rsidR="006836ED">
        <w:rPr>
          <w:rFonts w:ascii="Times New Roman" w:hAnsi="Times New Roman"/>
          <w:szCs w:val="24"/>
        </w:rPr>
        <w:t xml:space="preserve"> </w:t>
      </w:r>
      <w:r w:rsidR="00275F0C">
        <w:rPr>
          <w:rFonts w:ascii="Times New Roman" w:hAnsi="Times New Roman"/>
          <w:szCs w:val="24"/>
        </w:rPr>
        <w:t>(</w:t>
      </w:r>
      <w:r w:rsidR="00D505C1" w:rsidRPr="00D505C1">
        <w:rPr>
          <w:rFonts w:ascii="Times New Roman" w:hAnsi="Times New Roman"/>
          <w:szCs w:val="24"/>
        </w:rPr>
        <w:t>F</w:t>
      </w:r>
      <w:r w:rsidR="0084446F" w:rsidRPr="00D505C1">
        <w:rPr>
          <w:rFonts w:ascii="Times New Roman" w:hAnsi="Times New Roman"/>
          <w:szCs w:val="24"/>
        </w:rPr>
        <w:t>R</w:t>
      </w:r>
      <w:r w:rsidR="00D505C1">
        <w:rPr>
          <w:rFonts w:ascii="Times New Roman" w:hAnsi="Times New Roman"/>
          <w:szCs w:val="24"/>
        </w:rPr>
        <w:t> </w:t>
      </w:r>
      <w:r w:rsidR="00D505C1" w:rsidRPr="00D505C1">
        <w:rPr>
          <w:rFonts w:ascii="Times New Roman" w:hAnsi="Times New Roman"/>
          <w:szCs w:val="24"/>
        </w:rPr>
        <w:t>4202</w:t>
      </w:r>
      <w:r w:rsidR="0084446F" w:rsidRPr="00D505C1">
        <w:rPr>
          <w:rFonts w:ascii="Times New Roman" w:hAnsi="Times New Roman"/>
          <w:szCs w:val="24"/>
        </w:rPr>
        <w:t xml:space="preserve">; OMB No. </w:t>
      </w:r>
      <w:r w:rsidR="005664D9">
        <w:rPr>
          <w:rFonts w:ascii="Times New Roman" w:hAnsi="Times New Roman"/>
          <w:szCs w:val="24"/>
        </w:rPr>
        <w:t>7100-0348</w:t>
      </w:r>
      <w:r w:rsidR="0084446F" w:rsidRPr="00D505C1">
        <w:rPr>
          <w:rFonts w:ascii="Times New Roman" w:hAnsi="Times New Roman"/>
          <w:szCs w:val="24"/>
        </w:rPr>
        <w:t>)</w:t>
      </w:r>
      <w:r w:rsidR="009C4001" w:rsidRPr="00D505C1">
        <w:rPr>
          <w:rFonts w:ascii="Times New Roman" w:hAnsi="Times New Roman"/>
          <w:szCs w:val="24"/>
        </w:rPr>
        <w:t>.</w:t>
      </w:r>
      <w:r w:rsidR="00335439" w:rsidRPr="00D505C1">
        <w:rPr>
          <w:rFonts w:ascii="Times New Roman" w:hAnsi="Times New Roman"/>
          <w:szCs w:val="24"/>
        </w:rPr>
        <w:t xml:space="preserve">  </w:t>
      </w:r>
      <w:r w:rsidR="00324A4C" w:rsidRPr="00D505C1">
        <w:rPr>
          <w:rFonts w:ascii="Times New Roman" w:hAnsi="Times New Roman"/>
          <w:szCs w:val="24"/>
        </w:rPr>
        <w:t xml:space="preserve">The Paperwork Reduction Act (PRA) classifies these </w:t>
      </w:r>
      <w:r w:rsidR="00E77E9E">
        <w:rPr>
          <w:rFonts w:ascii="Times New Roman" w:hAnsi="Times New Roman"/>
          <w:szCs w:val="24"/>
        </w:rPr>
        <w:t xml:space="preserve">recordkeeping </w:t>
      </w:r>
      <w:r w:rsidR="00D95799">
        <w:rPr>
          <w:rFonts w:ascii="Times New Roman" w:hAnsi="Times New Roman"/>
          <w:szCs w:val="24"/>
        </w:rPr>
        <w:t xml:space="preserve">and </w:t>
      </w:r>
      <w:r w:rsidR="004B1311">
        <w:rPr>
          <w:rFonts w:ascii="Times New Roman" w:hAnsi="Times New Roman"/>
          <w:szCs w:val="24"/>
        </w:rPr>
        <w:t>disclosure</w:t>
      </w:r>
      <w:r w:rsidR="00D95799">
        <w:rPr>
          <w:rFonts w:ascii="Times New Roman" w:hAnsi="Times New Roman"/>
          <w:szCs w:val="24"/>
        </w:rPr>
        <w:t xml:space="preserve"> </w:t>
      </w:r>
      <w:r w:rsidR="00324A4C" w:rsidRPr="00D505C1">
        <w:rPr>
          <w:rFonts w:ascii="Times New Roman" w:hAnsi="Times New Roman"/>
          <w:szCs w:val="24"/>
        </w:rPr>
        <w:t xml:space="preserve">requirements as an information collection and the </w:t>
      </w:r>
      <w:r w:rsidR="0004031D" w:rsidRPr="00D505C1">
        <w:rPr>
          <w:rFonts w:ascii="Times New Roman" w:hAnsi="Times New Roman"/>
          <w:szCs w:val="24"/>
        </w:rPr>
        <w:t xml:space="preserve">PRA </w:t>
      </w:r>
      <w:r w:rsidR="00324A4C" w:rsidRPr="00D505C1">
        <w:rPr>
          <w:rFonts w:ascii="Times New Roman" w:hAnsi="Times New Roman"/>
          <w:szCs w:val="24"/>
        </w:rPr>
        <w:t>requires</w:t>
      </w:r>
      <w:r w:rsidR="00280D0C" w:rsidRPr="00D505C1">
        <w:rPr>
          <w:rFonts w:ascii="Times New Roman" w:hAnsi="Times New Roman"/>
          <w:szCs w:val="24"/>
        </w:rPr>
        <w:t>, subsequent to implementation,</w:t>
      </w:r>
      <w:r w:rsidR="00324A4C" w:rsidRPr="00D505C1">
        <w:rPr>
          <w:rFonts w:ascii="Times New Roman" w:hAnsi="Times New Roman"/>
          <w:szCs w:val="24"/>
        </w:rPr>
        <w:t xml:space="preserve"> the Federal Reserve to renew these r</w:t>
      </w:r>
      <w:r w:rsidR="00386084" w:rsidRPr="00D505C1">
        <w:rPr>
          <w:rFonts w:ascii="Times New Roman" w:hAnsi="Times New Roman"/>
          <w:szCs w:val="24"/>
        </w:rPr>
        <w:t>equirements every three years.</w:t>
      </w:r>
    </w:p>
    <w:p w:rsidR="00ED46BB" w:rsidRPr="00386084" w:rsidRDefault="00ED46BB" w:rsidP="00386084">
      <w:pPr>
        <w:widowControl/>
        <w:rPr>
          <w:rFonts w:ascii="Times New Roman" w:hAnsi="Times New Roman"/>
          <w:color w:val="000000"/>
          <w:szCs w:val="24"/>
        </w:rPr>
      </w:pPr>
    </w:p>
    <w:p w:rsidR="003A307B" w:rsidRPr="002404FF" w:rsidRDefault="00ED46BB" w:rsidP="00526D51">
      <w:pPr>
        <w:keepNext/>
        <w:keepLines/>
        <w:widowControl/>
        <w:ind w:firstLine="720"/>
        <w:rPr>
          <w:rFonts w:ascii="Times New Roman" w:hAnsi="Times New Roman"/>
          <w:szCs w:val="24"/>
        </w:rPr>
      </w:pPr>
      <w:r w:rsidRPr="002404FF">
        <w:rPr>
          <w:rFonts w:ascii="Times New Roman" w:hAnsi="Times New Roman"/>
          <w:szCs w:val="24"/>
        </w:rPr>
        <w:t xml:space="preserve">On </w:t>
      </w:r>
      <w:r w:rsidR="00AA15A4" w:rsidRPr="002404FF">
        <w:rPr>
          <w:rFonts w:ascii="Times New Roman" w:hAnsi="Times New Roman"/>
          <w:szCs w:val="24"/>
        </w:rPr>
        <w:t>June 15</w:t>
      </w:r>
      <w:r w:rsidR="00B53C21" w:rsidRPr="002404FF">
        <w:rPr>
          <w:rFonts w:ascii="Times New Roman" w:hAnsi="Times New Roman"/>
          <w:szCs w:val="24"/>
        </w:rPr>
        <w:t>, 2011</w:t>
      </w:r>
      <w:r w:rsidRPr="002404FF">
        <w:rPr>
          <w:rFonts w:ascii="Times New Roman" w:hAnsi="Times New Roman"/>
          <w:szCs w:val="24"/>
        </w:rPr>
        <w:t xml:space="preserve">, </w:t>
      </w:r>
      <w:r w:rsidR="00335439" w:rsidRPr="002404FF">
        <w:rPr>
          <w:rFonts w:ascii="Times New Roman" w:hAnsi="Times New Roman"/>
          <w:szCs w:val="24"/>
        </w:rPr>
        <w:t xml:space="preserve">the </w:t>
      </w:r>
      <w:r w:rsidR="001913A3">
        <w:rPr>
          <w:rFonts w:ascii="Times New Roman" w:hAnsi="Times New Roman"/>
          <w:szCs w:val="24"/>
        </w:rPr>
        <w:t>a</w:t>
      </w:r>
      <w:r w:rsidR="00335439" w:rsidRPr="002404FF">
        <w:rPr>
          <w:rFonts w:ascii="Times New Roman" w:hAnsi="Times New Roman"/>
          <w:szCs w:val="24"/>
        </w:rPr>
        <w:t>gencies</w:t>
      </w:r>
      <w:r w:rsidR="00335439" w:rsidRPr="002404FF">
        <w:rPr>
          <w:rStyle w:val="FootnoteReference"/>
          <w:szCs w:val="24"/>
          <w:vertAlign w:val="superscript"/>
        </w:rPr>
        <w:footnoteReference w:id="1"/>
      </w:r>
      <w:r w:rsidR="00335439" w:rsidRPr="002404FF">
        <w:rPr>
          <w:rFonts w:ascii="Times New Roman" w:hAnsi="Times New Roman"/>
          <w:szCs w:val="24"/>
        </w:rPr>
        <w:t xml:space="preserve"> published </w:t>
      </w:r>
      <w:r w:rsidRPr="002404FF">
        <w:rPr>
          <w:rFonts w:ascii="Times New Roman" w:hAnsi="Times New Roman"/>
          <w:szCs w:val="24"/>
        </w:rPr>
        <w:t xml:space="preserve">a </w:t>
      </w:r>
      <w:r w:rsidR="003A307B" w:rsidRPr="002404FF">
        <w:rPr>
          <w:rFonts w:ascii="Times New Roman" w:hAnsi="Times New Roman"/>
          <w:szCs w:val="24"/>
        </w:rPr>
        <w:t xml:space="preserve">joint </w:t>
      </w:r>
      <w:r w:rsidRPr="002404FF">
        <w:rPr>
          <w:rFonts w:ascii="Times New Roman" w:hAnsi="Times New Roman"/>
          <w:szCs w:val="24"/>
        </w:rPr>
        <w:t xml:space="preserve">notice of </w:t>
      </w:r>
      <w:r w:rsidR="003D47A4">
        <w:rPr>
          <w:rFonts w:ascii="Times New Roman" w:hAnsi="Times New Roman"/>
          <w:szCs w:val="24"/>
        </w:rPr>
        <w:t xml:space="preserve">proposed </w:t>
      </w:r>
      <w:r w:rsidR="00AA15A4" w:rsidRPr="002404FF">
        <w:rPr>
          <w:rFonts w:ascii="Times New Roman" w:hAnsi="Times New Roman"/>
          <w:szCs w:val="24"/>
        </w:rPr>
        <w:t>guidance</w:t>
      </w:r>
      <w:r w:rsidRPr="002404FF">
        <w:rPr>
          <w:rFonts w:ascii="Times New Roman" w:hAnsi="Times New Roman"/>
          <w:szCs w:val="24"/>
        </w:rPr>
        <w:t xml:space="preserve"> </w:t>
      </w:r>
      <w:r w:rsidR="003D47A4">
        <w:rPr>
          <w:rFonts w:ascii="Times New Roman" w:hAnsi="Times New Roman"/>
          <w:szCs w:val="24"/>
        </w:rPr>
        <w:t xml:space="preserve">(NPG) </w:t>
      </w:r>
      <w:r w:rsidRPr="002404FF">
        <w:rPr>
          <w:rFonts w:ascii="Times New Roman" w:hAnsi="Times New Roman"/>
          <w:szCs w:val="24"/>
        </w:rPr>
        <w:t xml:space="preserve">in the </w:t>
      </w:r>
      <w:r w:rsidR="00C11D0F" w:rsidRPr="002404FF">
        <w:rPr>
          <w:rFonts w:ascii="Times New Roman" w:hAnsi="Times New Roman"/>
          <w:i/>
          <w:szCs w:val="24"/>
        </w:rPr>
        <w:t>Federal Register</w:t>
      </w:r>
      <w:r w:rsidRPr="002404FF">
        <w:rPr>
          <w:rFonts w:ascii="Times New Roman" w:hAnsi="Times New Roman"/>
          <w:szCs w:val="24"/>
        </w:rPr>
        <w:t xml:space="preserve"> for public comment (</w:t>
      </w:r>
      <w:r w:rsidR="006604E1" w:rsidRPr="002404FF">
        <w:rPr>
          <w:rFonts w:ascii="Times New Roman" w:hAnsi="Times New Roman"/>
          <w:szCs w:val="24"/>
        </w:rPr>
        <w:t>76</w:t>
      </w:r>
      <w:r w:rsidRPr="002404FF">
        <w:rPr>
          <w:rFonts w:ascii="Times New Roman" w:hAnsi="Times New Roman"/>
          <w:szCs w:val="24"/>
        </w:rPr>
        <w:t xml:space="preserve"> FR </w:t>
      </w:r>
      <w:r w:rsidR="00AA15A4" w:rsidRPr="002404FF">
        <w:rPr>
          <w:rFonts w:ascii="Times New Roman" w:hAnsi="Times New Roman"/>
          <w:szCs w:val="24"/>
        </w:rPr>
        <w:t>35072</w:t>
      </w:r>
      <w:r w:rsidRPr="002404FF">
        <w:rPr>
          <w:rFonts w:ascii="Times New Roman" w:hAnsi="Times New Roman"/>
          <w:szCs w:val="24"/>
        </w:rPr>
        <w:t xml:space="preserve">).  </w:t>
      </w:r>
      <w:r w:rsidR="003A307B" w:rsidRPr="002404FF">
        <w:rPr>
          <w:rFonts w:ascii="Times New Roman" w:hAnsi="Times New Roman"/>
          <w:szCs w:val="24"/>
        </w:rPr>
        <w:t xml:space="preserve">The interagency </w:t>
      </w:r>
      <w:r w:rsidR="00F364E3">
        <w:rPr>
          <w:rFonts w:ascii="Times New Roman" w:hAnsi="Times New Roman"/>
          <w:szCs w:val="24"/>
        </w:rPr>
        <w:t>G</w:t>
      </w:r>
      <w:r w:rsidR="003A307B" w:rsidRPr="002404FF">
        <w:rPr>
          <w:rFonts w:ascii="Times New Roman" w:hAnsi="Times New Roman"/>
          <w:szCs w:val="24"/>
        </w:rPr>
        <w:t>uidance outline</w:t>
      </w:r>
      <w:r w:rsidR="00F364E3">
        <w:rPr>
          <w:rFonts w:ascii="Times New Roman" w:hAnsi="Times New Roman"/>
          <w:szCs w:val="24"/>
        </w:rPr>
        <w:t>s</w:t>
      </w:r>
      <w:r w:rsidR="003A307B" w:rsidRPr="002404FF">
        <w:rPr>
          <w:rFonts w:ascii="Times New Roman" w:hAnsi="Times New Roman"/>
          <w:szCs w:val="24"/>
        </w:rPr>
        <w:t xml:space="preserve"> high-level principles for stress testing practices, applicable to all Federal Reserve-supervised, FDIC-supervised, and OCC-supervised banking organizations with more than $10 billion in total consolidated assets.  The </w:t>
      </w:r>
      <w:r w:rsidR="00CB79CC">
        <w:rPr>
          <w:rFonts w:ascii="Times New Roman" w:hAnsi="Times New Roman"/>
          <w:szCs w:val="24"/>
        </w:rPr>
        <w:t>G</w:t>
      </w:r>
      <w:r w:rsidR="003A307B" w:rsidRPr="002404FF">
        <w:rPr>
          <w:rFonts w:ascii="Times New Roman" w:hAnsi="Times New Roman"/>
          <w:szCs w:val="24"/>
        </w:rPr>
        <w:t xml:space="preserve">uidance highlights the importance of stress testing as an ongoing risk management practice that supports a banking organization’s forward-looking assessment of its risks. </w:t>
      </w:r>
      <w:r w:rsidR="002404FF" w:rsidRPr="002404FF">
        <w:rPr>
          <w:rFonts w:ascii="Times New Roman" w:hAnsi="Times New Roman"/>
          <w:szCs w:val="24"/>
        </w:rPr>
        <w:t xml:space="preserve"> </w:t>
      </w:r>
      <w:r w:rsidR="00526D51" w:rsidRPr="009B10CC">
        <w:rPr>
          <w:rFonts w:ascii="Times New Roman" w:hAnsi="Times New Roman"/>
          <w:color w:val="000000"/>
          <w:szCs w:val="24"/>
        </w:rPr>
        <w:t xml:space="preserve">The comment period expired on July 29, 2011. </w:t>
      </w:r>
      <w:r w:rsidR="00526D51">
        <w:rPr>
          <w:rFonts w:ascii="Times New Roman" w:hAnsi="Times New Roman"/>
          <w:color w:val="000000"/>
          <w:szCs w:val="24"/>
        </w:rPr>
        <w:t xml:space="preserve"> </w:t>
      </w:r>
      <w:r w:rsidR="00526D51" w:rsidRPr="009B10CC">
        <w:rPr>
          <w:rFonts w:ascii="Times New Roman" w:hAnsi="Times New Roman"/>
        </w:rPr>
        <w:t xml:space="preserve">The agencies received 17 comment letters on the proposed </w:t>
      </w:r>
      <w:r w:rsidR="005839B1">
        <w:rPr>
          <w:rFonts w:ascii="Times New Roman" w:hAnsi="Times New Roman"/>
          <w:szCs w:val="24"/>
        </w:rPr>
        <w:t>G</w:t>
      </w:r>
      <w:r w:rsidR="005839B1" w:rsidRPr="002404FF">
        <w:rPr>
          <w:rFonts w:ascii="Times New Roman" w:hAnsi="Times New Roman"/>
          <w:szCs w:val="24"/>
        </w:rPr>
        <w:t>uidance</w:t>
      </w:r>
      <w:r w:rsidR="00526D51" w:rsidRPr="009B10CC">
        <w:rPr>
          <w:rFonts w:ascii="Times New Roman" w:hAnsi="Times New Roman"/>
        </w:rPr>
        <w:t xml:space="preserve">.  In response to these comments, the agencies have clarified the requirements of the </w:t>
      </w:r>
      <w:r w:rsidR="001913A3">
        <w:rPr>
          <w:rFonts w:ascii="Times New Roman" w:hAnsi="Times New Roman"/>
        </w:rPr>
        <w:t>G</w:t>
      </w:r>
      <w:r w:rsidR="00526D51" w:rsidRPr="009B10CC">
        <w:rPr>
          <w:rFonts w:ascii="Times New Roman" w:hAnsi="Times New Roman"/>
        </w:rPr>
        <w:t xml:space="preserve">uidance and modified the </w:t>
      </w:r>
      <w:r w:rsidR="00CB79CC">
        <w:rPr>
          <w:rFonts w:ascii="Times New Roman" w:hAnsi="Times New Roman"/>
        </w:rPr>
        <w:t>final</w:t>
      </w:r>
      <w:r w:rsidR="00CB79CC" w:rsidRPr="009B10CC">
        <w:rPr>
          <w:rFonts w:ascii="Times New Roman" w:hAnsi="Times New Roman"/>
        </w:rPr>
        <w:t xml:space="preserve"> </w:t>
      </w:r>
      <w:r w:rsidR="001913A3">
        <w:rPr>
          <w:rFonts w:ascii="Times New Roman" w:hAnsi="Times New Roman"/>
        </w:rPr>
        <w:t>G</w:t>
      </w:r>
      <w:r w:rsidR="00526D51" w:rsidRPr="009B10CC">
        <w:rPr>
          <w:rFonts w:ascii="Times New Roman" w:hAnsi="Times New Roman"/>
        </w:rPr>
        <w:t xml:space="preserve">uidance in certain respects.  </w:t>
      </w:r>
      <w:r w:rsidR="00526D51">
        <w:rPr>
          <w:rFonts w:ascii="Times New Roman" w:hAnsi="Times New Roman"/>
        </w:rPr>
        <w:t xml:space="preserve">A </w:t>
      </w:r>
      <w:r w:rsidR="00363E20">
        <w:rPr>
          <w:rFonts w:ascii="Times New Roman" w:hAnsi="Times New Roman"/>
        </w:rPr>
        <w:t xml:space="preserve">notice of </w:t>
      </w:r>
      <w:r w:rsidR="00526D51">
        <w:rPr>
          <w:rFonts w:ascii="Times New Roman" w:hAnsi="Times New Roman"/>
        </w:rPr>
        <w:t>final</w:t>
      </w:r>
      <w:r w:rsidR="00363E20">
        <w:rPr>
          <w:rFonts w:ascii="Times New Roman" w:hAnsi="Times New Roman"/>
        </w:rPr>
        <w:t xml:space="preserve"> guidance (NFG) was published in </w:t>
      </w:r>
      <w:r w:rsidR="005839B1">
        <w:rPr>
          <w:rFonts w:ascii="Times New Roman" w:hAnsi="Times New Roman"/>
        </w:rPr>
        <w:t>the Federal</w:t>
      </w:r>
      <w:r w:rsidR="00526D51" w:rsidRPr="0010571E">
        <w:rPr>
          <w:rFonts w:ascii="Times New Roman" w:hAnsi="Times New Roman"/>
          <w:i/>
          <w:szCs w:val="24"/>
        </w:rPr>
        <w:t xml:space="preserve"> Register</w:t>
      </w:r>
      <w:r w:rsidR="00526D51" w:rsidRPr="0010571E">
        <w:rPr>
          <w:rFonts w:ascii="Times New Roman" w:hAnsi="Times New Roman"/>
          <w:szCs w:val="24"/>
        </w:rPr>
        <w:t xml:space="preserve"> </w:t>
      </w:r>
      <w:r w:rsidR="00526D51">
        <w:rPr>
          <w:rFonts w:ascii="Times New Roman" w:hAnsi="Times New Roman"/>
          <w:szCs w:val="24"/>
        </w:rPr>
        <w:t>o</w:t>
      </w:r>
      <w:r w:rsidR="00526D51" w:rsidRPr="00F04EAD">
        <w:rPr>
          <w:rFonts w:ascii="Times New Roman" w:hAnsi="Times New Roman"/>
        </w:rPr>
        <w:t>n</w:t>
      </w:r>
      <w:r w:rsidR="00526D51">
        <w:rPr>
          <w:rFonts w:ascii="Times New Roman" w:hAnsi="Times New Roman"/>
        </w:rPr>
        <w:t xml:space="preserve"> May 17, 2012 (77 FR 29458)</w:t>
      </w:r>
      <w:r w:rsidR="00DC1F95">
        <w:rPr>
          <w:rFonts w:ascii="Times New Roman" w:hAnsi="Times New Roman"/>
        </w:rPr>
        <w:t>.  Th</w:t>
      </w:r>
      <w:r w:rsidR="001913A3">
        <w:rPr>
          <w:rFonts w:ascii="Times New Roman" w:hAnsi="Times New Roman"/>
        </w:rPr>
        <w:t>e Stress Testing</w:t>
      </w:r>
      <w:r w:rsidR="00DC1F95">
        <w:rPr>
          <w:rFonts w:ascii="Times New Roman" w:hAnsi="Times New Roman"/>
        </w:rPr>
        <w:t xml:space="preserve"> </w:t>
      </w:r>
      <w:r w:rsidR="001913A3">
        <w:rPr>
          <w:rFonts w:ascii="Times New Roman" w:hAnsi="Times New Roman"/>
        </w:rPr>
        <w:t>G</w:t>
      </w:r>
      <w:r w:rsidR="00DC1F95">
        <w:rPr>
          <w:rFonts w:ascii="Times New Roman" w:hAnsi="Times New Roman"/>
        </w:rPr>
        <w:t>uidance is effective July 23, 2012</w:t>
      </w:r>
      <w:r w:rsidR="00526D51">
        <w:rPr>
          <w:rFonts w:ascii="Times New Roman" w:hAnsi="Times New Roman"/>
        </w:rPr>
        <w:t xml:space="preserve">.  </w:t>
      </w:r>
      <w:r w:rsidR="00526D51" w:rsidRPr="002404FF">
        <w:rPr>
          <w:rFonts w:ascii="Times New Roman" w:hAnsi="Times New Roman"/>
          <w:szCs w:val="24"/>
        </w:rPr>
        <w:t xml:space="preserve">The total annual </w:t>
      </w:r>
      <w:r w:rsidR="001913A3">
        <w:rPr>
          <w:rFonts w:ascii="Times New Roman" w:hAnsi="Times New Roman"/>
          <w:szCs w:val="24"/>
        </w:rPr>
        <w:t xml:space="preserve">recordkeeping and disclosure </w:t>
      </w:r>
      <w:r w:rsidR="00526D51" w:rsidRPr="002404FF">
        <w:rPr>
          <w:rFonts w:ascii="Times New Roman" w:hAnsi="Times New Roman"/>
          <w:szCs w:val="24"/>
        </w:rPr>
        <w:t xml:space="preserve">burden for the </w:t>
      </w:r>
      <w:r w:rsidR="00DC1F95">
        <w:rPr>
          <w:rFonts w:ascii="Times New Roman" w:hAnsi="Times New Roman"/>
          <w:szCs w:val="24"/>
        </w:rPr>
        <w:t xml:space="preserve">FR 4202 </w:t>
      </w:r>
      <w:r w:rsidR="00526D51" w:rsidRPr="002404FF">
        <w:rPr>
          <w:rFonts w:ascii="Times New Roman" w:hAnsi="Times New Roman"/>
          <w:szCs w:val="24"/>
        </w:rPr>
        <w:t>is</w:t>
      </w:r>
      <w:r w:rsidR="00DC1F95">
        <w:rPr>
          <w:rFonts w:ascii="Times New Roman" w:hAnsi="Times New Roman"/>
          <w:szCs w:val="24"/>
        </w:rPr>
        <w:t xml:space="preserve"> estimated to be </w:t>
      </w:r>
      <w:r w:rsidR="005839B1">
        <w:rPr>
          <w:rFonts w:ascii="Times New Roman" w:hAnsi="Times New Roman"/>
          <w:szCs w:val="24"/>
        </w:rPr>
        <w:t>40,040</w:t>
      </w:r>
      <w:r w:rsidR="00526D51" w:rsidRPr="002404FF">
        <w:rPr>
          <w:rFonts w:ascii="Times New Roman" w:hAnsi="Times New Roman"/>
          <w:szCs w:val="24"/>
        </w:rPr>
        <w:t xml:space="preserve"> hours</w:t>
      </w:r>
      <w:r w:rsidR="00526D51">
        <w:rPr>
          <w:rFonts w:ascii="Times New Roman" w:hAnsi="Times New Roman"/>
          <w:szCs w:val="24"/>
        </w:rPr>
        <w:t xml:space="preserve">.  </w:t>
      </w:r>
    </w:p>
    <w:p w:rsidR="00CF4282" w:rsidRDefault="00CF4282" w:rsidP="00CF4282">
      <w:pPr>
        <w:widowControl/>
        <w:rPr>
          <w:rFonts w:ascii="Times New Roman" w:hAnsi="Times New Roman"/>
          <w:b/>
          <w:szCs w:val="24"/>
        </w:rPr>
      </w:pPr>
    </w:p>
    <w:p w:rsidR="00CF4282" w:rsidRPr="00386084" w:rsidRDefault="00CF4282" w:rsidP="00CF4282">
      <w:pPr>
        <w:widowControl/>
        <w:rPr>
          <w:rFonts w:ascii="Times New Roman" w:hAnsi="Times New Roman"/>
          <w:szCs w:val="24"/>
        </w:rPr>
      </w:pPr>
      <w:r w:rsidRPr="00386084">
        <w:rPr>
          <w:rFonts w:ascii="Times New Roman" w:hAnsi="Times New Roman"/>
          <w:b/>
          <w:szCs w:val="24"/>
        </w:rPr>
        <w:t>Background and Justification</w:t>
      </w:r>
    </w:p>
    <w:p w:rsidR="00CF4282" w:rsidRDefault="00CF4282" w:rsidP="00CF4282">
      <w:pPr>
        <w:pStyle w:val="NoSpacing"/>
        <w:ind w:firstLine="720"/>
        <w:rPr>
          <w:rFonts w:ascii="Times New Roman" w:hAnsi="Times New Roman"/>
          <w:sz w:val="24"/>
          <w:szCs w:val="24"/>
        </w:rPr>
      </w:pPr>
    </w:p>
    <w:p w:rsidR="00AA15A4" w:rsidRPr="005B61AE" w:rsidRDefault="00AA15A4" w:rsidP="00CF4282">
      <w:pPr>
        <w:pStyle w:val="NoSpacing"/>
        <w:ind w:firstLine="720"/>
        <w:rPr>
          <w:rFonts w:ascii="Times New Roman" w:hAnsi="Times New Roman"/>
          <w:sz w:val="24"/>
          <w:szCs w:val="24"/>
        </w:rPr>
      </w:pPr>
      <w:r w:rsidRPr="005B61AE">
        <w:rPr>
          <w:rFonts w:ascii="Times New Roman" w:hAnsi="Times New Roman"/>
          <w:sz w:val="24"/>
          <w:szCs w:val="24"/>
        </w:rPr>
        <w:t>All banking organizations should have the capacity to understand their risks and the potential impact of stressful events and circumstances on their financial condition.</w:t>
      </w:r>
      <w:r w:rsidRPr="00CF4282">
        <w:rPr>
          <w:rStyle w:val="FootnoteReference"/>
          <w:sz w:val="24"/>
          <w:szCs w:val="24"/>
          <w:vertAlign w:val="superscript"/>
        </w:rPr>
        <w:footnoteReference w:id="2"/>
      </w:r>
      <w:r w:rsidRPr="00CF4282">
        <w:rPr>
          <w:rFonts w:ascii="Times New Roman" w:hAnsi="Times New Roman"/>
          <w:sz w:val="24"/>
          <w:szCs w:val="24"/>
          <w:vertAlign w:val="superscript"/>
        </w:rPr>
        <w:t xml:space="preserve"> </w:t>
      </w:r>
      <w:r w:rsidRPr="005B61AE">
        <w:rPr>
          <w:rFonts w:ascii="Times New Roman" w:hAnsi="Times New Roman"/>
          <w:sz w:val="24"/>
          <w:szCs w:val="24"/>
        </w:rPr>
        <w:t xml:space="preserve"> The U.S. federal banking agencies have previously highlighted the use of stress testing as a means to better understand the range of </w:t>
      </w:r>
      <w:r>
        <w:rPr>
          <w:rFonts w:ascii="Times New Roman" w:hAnsi="Times New Roman"/>
          <w:sz w:val="24"/>
          <w:szCs w:val="24"/>
        </w:rPr>
        <w:t>banking o</w:t>
      </w:r>
      <w:r w:rsidRPr="005B61AE">
        <w:rPr>
          <w:rFonts w:ascii="Times New Roman" w:hAnsi="Times New Roman"/>
          <w:sz w:val="24"/>
          <w:szCs w:val="24"/>
        </w:rPr>
        <w:t>rganizations</w:t>
      </w:r>
      <w:r w:rsidR="00E77E9E">
        <w:rPr>
          <w:rFonts w:ascii="Times New Roman" w:hAnsi="Times New Roman"/>
          <w:sz w:val="24"/>
          <w:szCs w:val="24"/>
        </w:rPr>
        <w:t>’</w:t>
      </w:r>
      <w:r w:rsidRPr="005B61AE">
        <w:rPr>
          <w:rFonts w:ascii="Times New Roman" w:hAnsi="Times New Roman"/>
          <w:sz w:val="24"/>
          <w:szCs w:val="24"/>
        </w:rPr>
        <w:t xml:space="preserve"> potential risk exposures.</w:t>
      </w:r>
      <w:r w:rsidRPr="00CF4282">
        <w:rPr>
          <w:rStyle w:val="FootnoteReference"/>
          <w:sz w:val="24"/>
          <w:szCs w:val="24"/>
          <w:vertAlign w:val="superscript"/>
        </w:rPr>
        <w:footnoteReference w:id="3"/>
      </w:r>
      <w:r w:rsidRPr="005B61AE">
        <w:rPr>
          <w:rFonts w:ascii="Times New Roman" w:hAnsi="Times New Roman"/>
          <w:sz w:val="24"/>
          <w:szCs w:val="24"/>
        </w:rPr>
        <w:t xml:space="preserve">  The financial </w:t>
      </w:r>
      <w:r w:rsidRPr="005B61AE">
        <w:rPr>
          <w:rFonts w:ascii="Times New Roman" w:hAnsi="Times New Roman"/>
          <w:sz w:val="24"/>
          <w:szCs w:val="24"/>
        </w:rPr>
        <w:lastRenderedPageBreak/>
        <w:t xml:space="preserve">crisis </w:t>
      </w:r>
      <w:r w:rsidR="00E77E9E">
        <w:rPr>
          <w:rFonts w:ascii="Times New Roman" w:hAnsi="Times New Roman"/>
          <w:sz w:val="24"/>
          <w:szCs w:val="24"/>
        </w:rPr>
        <w:t xml:space="preserve">that occurred between 2007 and 2009 </w:t>
      </w:r>
      <w:r w:rsidRPr="005B61AE">
        <w:rPr>
          <w:rFonts w:ascii="Times New Roman" w:hAnsi="Times New Roman"/>
          <w:sz w:val="24"/>
          <w:szCs w:val="24"/>
        </w:rPr>
        <w:t xml:space="preserve">further underscored the need for banking organizations to incorporate stress testing into their risk management, as </w:t>
      </w:r>
      <w:r>
        <w:rPr>
          <w:rFonts w:ascii="Times New Roman" w:hAnsi="Times New Roman"/>
          <w:sz w:val="24"/>
          <w:szCs w:val="24"/>
        </w:rPr>
        <w:t xml:space="preserve">banking </w:t>
      </w:r>
      <w:r w:rsidRPr="005B61AE">
        <w:rPr>
          <w:rFonts w:ascii="Times New Roman" w:hAnsi="Times New Roman"/>
          <w:sz w:val="24"/>
          <w:szCs w:val="24"/>
        </w:rPr>
        <w:t xml:space="preserve">organizations unprepared for stressful events and circumstances can suffer acute threats to their financial condition and viability.  The </w:t>
      </w:r>
      <w:r w:rsidR="00CB79CC">
        <w:rPr>
          <w:rFonts w:ascii="Times New Roman" w:hAnsi="Times New Roman"/>
          <w:sz w:val="24"/>
          <w:szCs w:val="24"/>
        </w:rPr>
        <w:t>final G</w:t>
      </w:r>
      <w:r>
        <w:rPr>
          <w:rFonts w:ascii="Times New Roman" w:hAnsi="Times New Roman"/>
          <w:sz w:val="24"/>
          <w:szCs w:val="24"/>
        </w:rPr>
        <w:t>uidance</w:t>
      </w:r>
      <w:r w:rsidRPr="005B61AE">
        <w:rPr>
          <w:rFonts w:ascii="Times New Roman" w:hAnsi="Times New Roman"/>
          <w:sz w:val="24"/>
          <w:szCs w:val="24"/>
        </w:rPr>
        <w:t xml:space="preserve"> is intended to be consistent with industry practices and with international supervisory standards.</w:t>
      </w:r>
      <w:r w:rsidRPr="00CF4282">
        <w:rPr>
          <w:rStyle w:val="FootnoteReference"/>
          <w:sz w:val="24"/>
          <w:szCs w:val="24"/>
          <w:vertAlign w:val="superscript"/>
        </w:rPr>
        <w:footnoteReference w:id="4"/>
      </w:r>
    </w:p>
    <w:p w:rsidR="00CF4282" w:rsidRDefault="00CF4282" w:rsidP="00CF4282">
      <w:pPr>
        <w:pStyle w:val="ListParagraph"/>
        <w:autoSpaceDE w:val="0"/>
        <w:autoSpaceDN w:val="0"/>
        <w:adjustRightInd w:val="0"/>
        <w:ind w:left="0" w:firstLine="720"/>
      </w:pPr>
    </w:p>
    <w:p w:rsidR="00AA15A4" w:rsidRDefault="00AA15A4" w:rsidP="00CF4282">
      <w:pPr>
        <w:pStyle w:val="ListParagraph"/>
        <w:autoSpaceDE w:val="0"/>
        <w:autoSpaceDN w:val="0"/>
        <w:adjustRightInd w:val="0"/>
        <w:ind w:left="0" w:firstLine="720"/>
      </w:pPr>
      <w:r w:rsidRPr="005B61AE">
        <w:t>Building upon previously issued supervisory guidance that discusses the uses and merits of stress testing in specific</w:t>
      </w:r>
      <w:r>
        <w:t xml:space="preserve"> areas of risk management, the proposed </w:t>
      </w:r>
      <w:r w:rsidR="00867821">
        <w:t>G</w:t>
      </w:r>
      <w:r>
        <w:t>uidance</w:t>
      </w:r>
      <w:r w:rsidRPr="005B61AE">
        <w:t xml:space="preserve"> provides an overview of how </w:t>
      </w:r>
      <w:r>
        <w:t>banking</w:t>
      </w:r>
      <w:r w:rsidRPr="005B61AE">
        <w:t xml:space="preserve"> organization</w:t>
      </w:r>
      <w:r w:rsidR="00E77E9E">
        <w:t>s</w:t>
      </w:r>
      <w:r w:rsidRPr="005B61AE">
        <w:t xml:space="preserve"> should structure </w:t>
      </w:r>
      <w:r w:rsidR="00E77E9E">
        <w:t>their</w:t>
      </w:r>
      <w:r w:rsidR="00E77E9E" w:rsidRPr="005B61AE">
        <w:t xml:space="preserve"> </w:t>
      </w:r>
      <w:r w:rsidRPr="005B61AE">
        <w:t xml:space="preserve">stress testing activities and ensure they fit into overall risk management.  The </w:t>
      </w:r>
      <w:r>
        <w:t xml:space="preserve">purpose of this </w:t>
      </w:r>
      <w:r w:rsidR="00CB79CC">
        <w:t>G</w:t>
      </w:r>
      <w:r w:rsidRPr="005B61AE">
        <w:t xml:space="preserve">uidance </w:t>
      </w:r>
      <w:r>
        <w:t xml:space="preserve">is to </w:t>
      </w:r>
      <w:r w:rsidRPr="005B61AE">
        <w:t xml:space="preserve">outline broad principles for a satisfactory stress testing framework and describe the manner in which stress testing should be employed as an integral component of risk management that is applicable at various levels of aggregation within </w:t>
      </w:r>
      <w:r>
        <w:t>banking</w:t>
      </w:r>
      <w:r w:rsidRPr="005B61AE">
        <w:t xml:space="preserve"> organization</w:t>
      </w:r>
      <w:r w:rsidR="00E77E9E">
        <w:t>s</w:t>
      </w:r>
      <w:r w:rsidRPr="005B61AE">
        <w:t xml:space="preserve">, as well as for contributing to capital and liquidity planning.  While the </w:t>
      </w:r>
      <w:r w:rsidR="00CB79CC">
        <w:t>G</w:t>
      </w:r>
      <w:r w:rsidRPr="005B61AE">
        <w:t xml:space="preserve">uidance is not intended to provide detailed instructions for conducting stress testing for any particular risk or business area, the </w:t>
      </w:r>
      <w:r w:rsidR="00CB79CC">
        <w:t>final Stress Testing G</w:t>
      </w:r>
      <w:r>
        <w:t xml:space="preserve">uidance aims to </w:t>
      </w:r>
      <w:r w:rsidRPr="005B61AE">
        <w:t xml:space="preserve">describe several types of stress testing activities and how they may be most appropriately used by banking organizations. </w:t>
      </w:r>
      <w:r>
        <w:t xml:space="preserve">The </w:t>
      </w:r>
      <w:r w:rsidR="00CB79CC">
        <w:t>G</w:t>
      </w:r>
      <w:r>
        <w:t>uidance does not explicitly address the stress testing requirements imposed upon certain companies by section 165(i) of the Dodd-Frank Wall Street Reform and Consumer Protection Act</w:t>
      </w:r>
      <w:r w:rsidR="00E77E9E">
        <w:t xml:space="preserve"> of 2010 (Dodd-Frank Act)</w:t>
      </w:r>
      <w:r>
        <w:t xml:space="preserve">.  </w:t>
      </w:r>
      <w:r w:rsidR="00E77E9E">
        <w:t>On January 5, 2012, t</w:t>
      </w:r>
      <w:r>
        <w:t xml:space="preserve">he </w:t>
      </w:r>
      <w:r w:rsidR="00E77E9E">
        <w:t xml:space="preserve">Federal Reserve published for comment a proposed rulemaking in the </w:t>
      </w:r>
      <w:r w:rsidR="0002282D" w:rsidRPr="0002282D">
        <w:rPr>
          <w:i/>
        </w:rPr>
        <w:t>Federal Register</w:t>
      </w:r>
      <w:r w:rsidR="00E77E9E">
        <w:t xml:space="preserve"> </w:t>
      </w:r>
      <w:r w:rsidR="003F5D9B">
        <w:t xml:space="preserve">(77 FR 594) </w:t>
      </w:r>
      <w:r w:rsidR="00E77E9E">
        <w:t>implementing the stress testing requirements contained in section 165(i) of the Dodd-Frank Act.</w:t>
      </w:r>
      <w:r w:rsidR="003A1600">
        <w:t xml:space="preserve">  The public comment period end</w:t>
      </w:r>
      <w:r w:rsidR="003F5D9B">
        <w:t>ed</w:t>
      </w:r>
      <w:r w:rsidR="003A1600">
        <w:t xml:space="preserve"> on March 31, 2012.  The </w:t>
      </w:r>
      <w:r>
        <w:t>provision</w:t>
      </w:r>
      <w:r w:rsidR="00322461">
        <w:t>s</w:t>
      </w:r>
      <w:r>
        <w:t xml:space="preserve"> </w:t>
      </w:r>
      <w:r w:rsidR="003A1600">
        <w:t xml:space="preserve">proposed </w:t>
      </w:r>
      <w:r>
        <w:t xml:space="preserve">in </w:t>
      </w:r>
      <w:r w:rsidR="004B1311">
        <w:t xml:space="preserve">the </w:t>
      </w:r>
      <w:r w:rsidR="003A1600">
        <w:t>January</w:t>
      </w:r>
      <w:r w:rsidRPr="005B61AE">
        <w:t xml:space="preserve"> </w:t>
      </w:r>
      <w:r>
        <w:t xml:space="preserve">rulemaking </w:t>
      </w:r>
      <w:r w:rsidR="003A1600">
        <w:t>ar</w:t>
      </w:r>
      <w:r>
        <w:t>e consistent with the principles in the proposed guidance.</w:t>
      </w:r>
    </w:p>
    <w:p w:rsidR="00E33696" w:rsidRPr="00386084" w:rsidRDefault="00E33696" w:rsidP="00386084">
      <w:pPr>
        <w:widowControl/>
        <w:autoSpaceDE w:val="0"/>
        <w:autoSpaceDN w:val="0"/>
        <w:adjustRightInd w:val="0"/>
        <w:ind w:firstLine="720"/>
        <w:rPr>
          <w:rFonts w:ascii="Times New Roman" w:hAnsi="Times New Roman"/>
          <w:snapToGrid/>
          <w:szCs w:val="24"/>
        </w:rPr>
      </w:pPr>
    </w:p>
    <w:p w:rsidR="00D757AD" w:rsidRPr="00386084" w:rsidRDefault="00D757AD">
      <w:pPr>
        <w:widowControl/>
        <w:rPr>
          <w:rFonts w:ascii="Times New Roman" w:hAnsi="Times New Roman"/>
          <w:szCs w:val="24"/>
        </w:rPr>
      </w:pPr>
      <w:r w:rsidRPr="00386084">
        <w:rPr>
          <w:rFonts w:ascii="Times New Roman" w:hAnsi="Times New Roman"/>
          <w:b/>
          <w:szCs w:val="24"/>
        </w:rPr>
        <w:t>Description of Information Collection</w:t>
      </w:r>
    </w:p>
    <w:p w:rsidR="002F1313" w:rsidRDefault="002F1313" w:rsidP="002F1313">
      <w:pPr>
        <w:pStyle w:val="FootnoteText"/>
        <w:tabs>
          <w:tab w:val="left" w:pos="0"/>
        </w:tabs>
        <w:ind w:firstLine="720"/>
        <w:contextualSpacing/>
        <w:rPr>
          <w:rFonts w:ascii="Times New Roman" w:hAnsi="Times New Roman"/>
          <w:sz w:val="24"/>
          <w:szCs w:val="24"/>
        </w:rPr>
      </w:pPr>
    </w:p>
    <w:p w:rsidR="00A7073C" w:rsidRPr="000478AE" w:rsidRDefault="00A7073C" w:rsidP="000478AE">
      <w:pPr>
        <w:autoSpaceDE w:val="0"/>
        <w:autoSpaceDN w:val="0"/>
        <w:adjustRightInd w:val="0"/>
        <w:jc w:val="center"/>
        <w:rPr>
          <w:rFonts w:ascii="Times New Roman" w:hAnsi="Times New Roman"/>
          <w:i/>
        </w:rPr>
      </w:pPr>
      <w:r w:rsidRPr="000478AE">
        <w:rPr>
          <w:rFonts w:ascii="Times New Roman" w:hAnsi="Times New Roman"/>
          <w:i/>
        </w:rPr>
        <w:t xml:space="preserve">General </w:t>
      </w:r>
      <w:r w:rsidR="00322461">
        <w:rPr>
          <w:rFonts w:ascii="Times New Roman" w:hAnsi="Times New Roman"/>
          <w:i/>
        </w:rPr>
        <w:t>S</w:t>
      </w:r>
      <w:r w:rsidRPr="000478AE">
        <w:rPr>
          <w:rFonts w:ascii="Times New Roman" w:hAnsi="Times New Roman"/>
          <w:i/>
        </w:rPr>
        <w:t xml:space="preserve">tress </w:t>
      </w:r>
      <w:r w:rsidR="00322461">
        <w:rPr>
          <w:rFonts w:ascii="Times New Roman" w:hAnsi="Times New Roman"/>
          <w:i/>
        </w:rPr>
        <w:t>T</w:t>
      </w:r>
      <w:r w:rsidRPr="000478AE">
        <w:rPr>
          <w:rFonts w:ascii="Times New Roman" w:hAnsi="Times New Roman"/>
          <w:i/>
        </w:rPr>
        <w:t xml:space="preserve">esting </w:t>
      </w:r>
      <w:r w:rsidR="00322461">
        <w:rPr>
          <w:rFonts w:ascii="Times New Roman" w:hAnsi="Times New Roman"/>
          <w:i/>
        </w:rPr>
        <w:t>P</w:t>
      </w:r>
      <w:r w:rsidRPr="000478AE">
        <w:rPr>
          <w:rFonts w:ascii="Times New Roman" w:hAnsi="Times New Roman"/>
          <w:i/>
        </w:rPr>
        <w:t>rinciples</w:t>
      </w:r>
    </w:p>
    <w:p w:rsidR="00A7073C" w:rsidRDefault="00A7073C" w:rsidP="00A7073C">
      <w:pPr>
        <w:pStyle w:val="ListParagraph"/>
        <w:ind w:left="0"/>
      </w:pPr>
    </w:p>
    <w:p w:rsidR="009C1948" w:rsidRDefault="00A7073C">
      <w:pPr>
        <w:pStyle w:val="ListParagraph"/>
        <w:ind w:left="0" w:firstLine="720"/>
      </w:pPr>
      <w:r>
        <w:t>An organization should</w:t>
      </w:r>
      <w:r w:rsidRPr="009D3A29">
        <w:t xml:space="preserve"> develop and </w:t>
      </w:r>
      <w:r>
        <w:t>implement</w:t>
      </w:r>
      <w:r w:rsidRPr="009D3A29">
        <w:t xml:space="preserve"> an effective stress testing framework </w:t>
      </w:r>
      <w:r w:rsidR="001A1A25">
        <w:t xml:space="preserve">that </w:t>
      </w:r>
      <w:r>
        <w:t>should include several activities and exercises, and not just rely on any single test or type of test, since every stress test has limitations and relies on certain assumptions.  The uses of an organization’s stress testing framework should include</w:t>
      </w:r>
      <w:r w:rsidR="00322461">
        <w:t xml:space="preserve">, </w:t>
      </w:r>
      <w:r>
        <w:t>but not</w:t>
      </w:r>
      <w:r w:rsidR="00322461">
        <w:t xml:space="preserve"> be</w:t>
      </w:r>
      <w:r>
        <w:t xml:space="preserve"> limited to: augmenting risk identification and measurement; estimating business line revenues and losses</w:t>
      </w:r>
      <w:r w:rsidR="00322461">
        <w:t xml:space="preserve">; </w:t>
      </w:r>
      <w:r>
        <w:t xml:space="preserve">informing business line strategies; assessing capital adequacy and enhancing capital planning; assessing liquidity </w:t>
      </w:r>
      <w:r>
        <w:lastRenderedPageBreak/>
        <w:t xml:space="preserve">adequacy and informing contingency funding plans; contributing to strategic planning; and assisting with recovery planning.  </w:t>
      </w:r>
    </w:p>
    <w:p w:rsidR="00A7073C" w:rsidRPr="009D3A29" w:rsidRDefault="00A7073C" w:rsidP="00A7073C">
      <w:pPr>
        <w:pStyle w:val="ListParagraph"/>
        <w:ind w:left="0"/>
      </w:pPr>
    </w:p>
    <w:p w:rsidR="0058419F" w:rsidRDefault="0058419F" w:rsidP="0058419F">
      <w:pPr>
        <w:pStyle w:val="ListParagraph"/>
        <w:tabs>
          <w:tab w:val="left" w:pos="720"/>
        </w:tabs>
        <w:ind w:left="0" w:firstLine="720"/>
      </w:pPr>
      <w:r>
        <w:t xml:space="preserve">All risk measures, including stress tests, have an element of uncertainty due to assumptions, limitations, and other factors associated both with the use of measures based on past performance and with forward-looking estimates.  An organization should document the assumptions used in its stress tests and note the degree of uncertainty that may be incorporated into the tools used for stress testing.  In many cases, it may be appropriate to present and analyze test results not just in terms of point estimates, but also including the potential margin of error or statistical uncertainty around the estimates.  </w:t>
      </w:r>
      <w:r w:rsidRPr="009014F9">
        <w:t>Furthermore, all stress tests</w:t>
      </w:r>
      <w:r>
        <w:t xml:space="preserve">, including </w:t>
      </w:r>
      <w:r w:rsidRPr="009014F9">
        <w:t>well-developed quantitative tests suppor</w:t>
      </w:r>
      <w:r>
        <w:t>ted by high-quality data,</w:t>
      </w:r>
      <w:r w:rsidRPr="009014F9">
        <w:t xml:space="preserve"> employ a certain amount of expert or business judgment</w:t>
      </w:r>
      <w:r>
        <w:t xml:space="preserve"> that should be made transparent.  </w:t>
      </w:r>
      <w:r w:rsidRPr="009014F9">
        <w:t>In some cases, when credible data are lacking and more quantitative tests are operationally challenging</w:t>
      </w:r>
      <w:r>
        <w:t xml:space="preserve"> or in the early stages of development, an organization may choose to employ </w:t>
      </w:r>
      <w:r w:rsidRPr="009014F9">
        <w:t>more qualitative</w:t>
      </w:r>
      <w:r>
        <w:t>ly-based</w:t>
      </w:r>
      <w:r w:rsidRPr="009014F9">
        <w:t xml:space="preserve"> tests</w:t>
      </w:r>
      <w:r>
        <w:t xml:space="preserve">, provided that they are properly documented and their assumptions are transparent.  Regardless of the type of stress tests used, an organization should understand and clearly document all assumptions, uncertainties, and limitations, and provide that information to users of the stress testing results.  </w:t>
      </w:r>
    </w:p>
    <w:p w:rsidR="008B3C9D" w:rsidRDefault="008B3C9D" w:rsidP="008B3C9D">
      <w:pPr>
        <w:pStyle w:val="ListParagraph"/>
        <w:ind w:left="0"/>
        <w:rPr>
          <w:b/>
          <w:u w:val="single"/>
        </w:rPr>
      </w:pPr>
    </w:p>
    <w:p w:rsidR="00E05FEE" w:rsidRPr="0058419F" w:rsidRDefault="00E05FEE" w:rsidP="0058419F">
      <w:pPr>
        <w:keepNext/>
        <w:jc w:val="center"/>
        <w:rPr>
          <w:rFonts w:ascii="Times New Roman" w:hAnsi="Times New Roman"/>
          <w:i/>
        </w:rPr>
      </w:pPr>
      <w:r w:rsidRPr="0058419F">
        <w:rPr>
          <w:rFonts w:ascii="Times New Roman" w:hAnsi="Times New Roman"/>
          <w:i/>
        </w:rPr>
        <w:t xml:space="preserve">Governance </w:t>
      </w:r>
      <w:proofErr w:type="gramStart"/>
      <w:r w:rsidR="00322461">
        <w:rPr>
          <w:rFonts w:ascii="Times New Roman" w:hAnsi="Times New Roman"/>
          <w:i/>
        </w:rPr>
        <w:t>O</w:t>
      </w:r>
      <w:r w:rsidRPr="0058419F">
        <w:rPr>
          <w:rFonts w:ascii="Times New Roman" w:hAnsi="Times New Roman"/>
          <w:i/>
        </w:rPr>
        <w:t>ver</w:t>
      </w:r>
      <w:proofErr w:type="gramEnd"/>
      <w:r w:rsidRPr="0058419F">
        <w:rPr>
          <w:rFonts w:ascii="Times New Roman" w:hAnsi="Times New Roman"/>
          <w:i/>
        </w:rPr>
        <w:t xml:space="preserve"> the Stress Testing Framework</w:t>
      </w:r>
    </w:p>
    <w:p w:rsidR="00E05FEE" w:rsidRDefault="00E05FEE" w:rsidP="00E05FEE">
      <w:pPr>
        <w:keepNext/>
        <w:ind w:firstLine="720"/>
        <w:rPr>
          <w:rFonts w:ascii="Times New Roman" w:hAnsi="Times New Roman"/>
        </w:rPr>
      </w:pPr>
    </w:p>
    <w:p w:rsidR="000478AE" w:rsidRPr="000478AE" w:rsidRDefault="000478AE" w:rsidP="000478AE">
      <w:pPr>
        <w:ind w:firstLine="720"/>
        <w:rPr>
          <w:rFonts w:ascii="Times New Roman" w:hAnsi="Times New Roman"/>
        </w:rPr>
      </w:pPr>
      <w:r w:rsidRPr="000478AE">
        <w:rPr>
          <w:rFonts w:ascii="Times New Roman" w:hAnsi="Times New Roman"/>
        </w:rPr>
        <w:t xml:space="preserve">Governance over an organization’s stress testing framework rests with the organization’s board of directors and senior management.  As part of their overall responsibilities, an organization’s board and senior management should establish a comprehensive, integrated and effective stress testing framework that fits into the broader risk management of the organization.  While the board is ultimately responsible for ensuring that the organization has an effective stress testing framework, it should task senior management with implementing that framework.  Senior management duties should include establishing adequate policies and procedures and ensuring compliance with those policies and procedures, assigning competent staff, overseeing stress test development and implementation, evaluating stress test results, reviewing any findings related to the stress test performance, and taking prompt remedial action where necessary.  Senior management, directly and through relevant committees, also should be responsible for regularly reporting to the board on stress testing developments and results from individual and collective stress tests as well as on compliance with stress testing policy.  Board members should actively evaluate these reports, ensuring that the stress testing framework is in line with the organization’s risk appetite, overall strategy and business plans, and directing changes where appropriate.  </w:t>
      </w:r>
    </w:p>
    <w:p w:rsidR="000478AE" w:rsidRPr="000478AE" w:rsidRDefault="000478AE" w:rsidP="000478AE">
      <w:pPr>
        <w:rPr>
          <w:rFonts w:ascii="Times New Roman" w:hAnsi="Times New Roman"/>
        </w:rPr>
      </w:pPr>
    </w:p>
    <w:p w:rsidR="000478AE" w:rsidRPr="000478AE" w:rsidRDefault="000478AE" w:rsidP="000478AE">
      <w:pPr>
        <w:ind w:firstLine="720"/>
        <w:rPr>
          <w:rFonts w:ascii="Times New Roman" w:hAnsi="Times New Roman"/>
        </w:rPr>
      </w:pPr>
      <w:r w:rsidRPr="000478AE">
        <w:rPr>
          <w:rFonts w:ascii="Times New Roman" w:hAnsi="Times New Roman"/>
        </w:rPr>
        <w:t>An organization should have written policies, approved and annually reviewed by the board, that direct and govern the implementation of the stress testing framework in a comprehensive manner.  Policies, along with procedures to implement them, should:</w:t>
      </w:r>
    </w:p>
    <w:p w:rsidR="000478AE" w:rsidRPr="000478AE" w:rsidRDefault="000478AE" w:rsidP="000478AE">
      <w:pPr>
        <w:pStyle w:val="ListParagraph"/>
        <w:numPr>
          <w:ilvl w:val="0"/>
          <w:numId w:val="15"/>
        </w:numPr>
      </w:pPr>
      <w:r w:rsidRPr="000478AE">
        <w:t>Describe the overall purpose of stress testing activities;</w:t>
      </w:r>
    </w:p>
    <w:p w:rsidR="000478AE" w:rsidRPr="000478AE" w:rsidRDefault="000478AE" w:rsidP="000478AE">
      <w:pPr>
        <w:pStyle w:val="ListParagraph"/>
        <w:numPr>
          <w:ilvl w:val="0"/>
          <w:numId w:val="15"/>
        </w:numPr>
      </w:pPr>
      <w:r w:rsidRPr="000478AE">
        <w:t>Articulate consistent and sufficiently rigorous stress testing practices across the entire organization;</w:t>
      </w:r>
    </w:p>
    <w:p w:rsidR="000478AE" w:rsidRPr="000478AE" w:rsidRDefault="000478AE" w:rsidP="000478AE">
      <w:pPr>
        <w:pStyle w:val="ListParagraph"/>
        <w:numPr>
          <w:ilvl w:val="0"/>
          <w:numId w:val="15"/>
        </w:numPr>
      </w:pPr>
      <w:r w:rsidRPr="000478AE">
        <w:t>Indicate stress testing roles and responsibilities, including controls over external resources used for any part of stress testing (such as vendors and data providers);</w:t>
      </w:r>
    </w:p>
    <w:p w:rsidR="000478AE" w:rsidRPr="000478AE" w:rsidRDefault="000478AE" w:rsidP="000478AE">
      <w:pPr>
        <w:pStyle w:val="ListParagraph"/>
        <w:numPr>
          <w:ilvl w:val="0"/>
          <w:numId w:val="15"/>
        </w:numPr>
      </w:pPr>
      <w:r w:rsidRPr="000478AE">
        <w:t>Describe the frequency and priority with which stress testing activities should be conducted;</w:t>
      </w:r>
    </w:p>
    <w:p w:rsidR="000478AE" w:rsidRPr="000478AE" w:rsidRDefault="000478AE" w:rsidP="000478AE">
      <w:pPr>
        <w:pStyle w:val="ListParagraph"/>
        <w:numPr>
          <w:ilvl w:val="0"/>
          <w:numId w:val="15"/>
        </w:numPr>
      </w:pPr>
      <w:r w:rsidRPr="000478AE">
        <w:lastRenderedPageBreak/>
        <w:t>Indicate how stress test results are used and by whom;</w:t>
      </w:r>
    </w:p>
    <w:p w:rsidR="000478AE" w:rsidRPr="000478AE" w:rsidRDefault="000478AE" w:rsidP="000478AE">
      <w:pPr>
        <w:pStyle w:val="ListParagraph"/>
        <w:numPr>
          <w:ilvl w:val="0"/>
          <w:numId w:val="15"/>
        </w:numPr>
      </w:pPr>
      <w:r w:rsidRPr="000478AE">
        <w:t xml:space="preserve">Be reviewed and updated as necessary to ensure that stress testing practices remain appropriate and keep up to date with changes in market conditions, organization products and strategies, organization exposures and activities, the organization’s established risk appetite, and industry stress testing practices.  </w:t>
      </w:r>
    </w:p>
    <w:p w:rsidR="004E56BB" w:rsidRDefault="004E56BB" w:rsidP="000D2372">
      <w:pPr>
        <w:widowControl/>
        <w:rPr>
          <w:rFonts w:ascii="Times New Roman" w:hAnsi="Times New Roman"/>
          <w:b/>
          <w:szCs w:val="24"/>
        </w:rPr>
      </w:pPr>
    </w:p>
    <w:p w:rsidR="000D2372" w:rsidRPr="00386084" w:rsidRDefault="00D757AD" w:rsidP="000D2372">
      <w:pPr>
        <w:widowControl/>
        <w:rPr>
          <w:rFonts w:ascii="Times New Roman" w:hAnsi="Times New Roman"/>
          <w:szCs w:val="24"/>
        </w:rPr>
      </w:pPr>
      <w:r w:rsidRPr="00386084">
        <w:rPr>
          <w:rFonts w:ascii="Times New Roman" w:hAnsi="Times New Roman"/>
          <w:b/>
          <w:szCs w:val="24"/>
        </w:rPr>
        <w:t>Time Schedule for Information Collection</w:t>
      </w:r>
    </w:p>
    <w:p w:rsidR="000D2372" w:rsidRPr="00386084" w:rsidRDefault="000D2372" w:rsidP="006219C4">
      <w:pPr>
        <w:widowControl/>
        <w:rPr>
          <w:rFonts w:ascii="Times New Roman" w:hAnsi="Times New Roman"/>
          <w:szCs w:val="24"/>
        </w:rPr>
      </w:pPr>
    </w:p>
    <w:p w:rsidR="005B017A" w:rsidRDefault="00CA362C">
      <w:pPr>
        <w:widowControl/>
        <w:ind w:firstLine="720"/>
        <w:rPr>
          <w:rFonts w:ascii="Times New Roman" w:hAnsi="Times New Roman"/>
        </w:rPr>
      </w:pPr>
      <w:r w:rsidRPr="00CA362C">
        <w:rPr>
          <w:rFonts w:ascii="Times New Roman" w:hAnsi="Times New Roman"/>
        </w:rPr>
        <w:t xml:space="preserve">The documentation required by the Guidance is maintained by each institution; therefore, </w:t>
      </w:r>
      <w:r w:rsidR="001913A3">
        <w:rPr>
          <w:rFonts w:ascii="Times New Roman" w:hAnsi="Times New Roman"/>
        </w:rPr>
        <w:t xml:space="preserve">it </w:t>
      </w:r>
      <w:r w:rsidR="002B64ED">
        <w:rPr>
          <w:rFonts w:ascii="Times New Roman" w:hAnsi="Times New Roman"/>
        </w:rPr>
        <w:t>is</w:t>
      </w:r>
      <w:r w:rsidR="002B64ED" w:rsidRPr="00CA362C">
        <w:rPr>
          <w:rFonts w:ascii="Times New Roman" w:hAnsi="Times New Roman"/>
        </w:rPr>
        <w:t xml:space="preserve"> </w:t>
      </w:r>
      <w:r w:rsidRPr="00CA362C">
        <w:rPr>
          <w:rFonts w:ascii="Times New Roman" w:hAnsi="Times New Roman"/>
        </w:rPr>
        <w:t>not collected or published by the Federal Reserve System.  These recordkeeping requirements are documented on occasion.  Bank examiners would verify compliance with th</w:t>
      </w:r>
      <w:r w:rsidR="002B64ED">
        <w:rPr>
          <w:rFonts w:ascii="Times New Roman" w:hAnsi="Times New Roman"/>
        </w:rPr>
        <w:t>e</w:t>
      </w:r>
      <w:r w:rsidRPr="00CA362C">
        <w:rPr>
          <w:rFonts w:ascii="Times New Roman" w:hAnsi="Times New Roman"/>
        </w:rPr>
        <w:t xml:space="preserve"> recordkeeping requirement</w:t>
      </w:r>
      <w:r w:rsidR="002B64ED">
        <w:rPr>
          <w:rFonts w:ascii="Times New Roman" w:hAnsi="Times New Roman"/>
        </w:rPr>
        <w:t>s</w:t>
      </w:r>
      <w:r w:rsidRPr="00CA362C">
        <w:rPr>
          <w:rFonts w:ascii="Times New Roman" w:hAnsi="Times New Roman"/>
        </w:rPr>
        <w:t xml:space="preserve"> during examinations.</w:t>
      </w:r>
    </w:p>
    <w:p w:rsidR="00CA362C" w:rsidRPr="006219C4" w:rsidRDefault="00CA362C">
      <w:pPr>
        <w:widowControl/>
        <w:rPr>
          <w:rFonts w:ascii="Times New Roman" w:hAnsi="Times New Roman"/>
          <w:szCs w:val="24"/>
        </w:rPr>
      </w:pPr>
    </w:p>
    <w:p w:rsidR="005071F2" w:rsidRPr="00386084" w:rsidRDefault="005071F2" w:rsidP="005071F2">
      <w:pPr>
        <w:widowControl/>
        <w:rPr>
          <w:rFonts w:ascii="Times New Roman" w:hAnsi="Times New Roman"/>
          <w:b/>
          <w:szCs w:val="24"/>
        </w:rPr>
      </w:pPr>
      <w:r w:rsidRPr="00386084">
        <w:rPr>
          <w:rFonts w:ascii="Times New Roman" w:hAnsi="Times New Roman"/>
          <w:b/>
          <w:szCs w:val="24"/>
        </w:rPr>
        <w:t>Consultation Outside of the Agency</w:t>
      </w:r>
    </w:p>
    <w:p w:rsidR="005071F2" w:rsidRPr="006219C4" w:rsidRDefault="005071F2" w:rsidP="005071F2">
      <w:pPr>
        <w:widowControl/>
        <w:rPr>
          <w:rFonts w:ascii="Times New Roman" w:hAnsi="Times New Roman"/>
          <w:szCs w:val="24"/>
        </w:rPr>
      </w:pPr>
    </w:p>
    <w:p w:rsidR="009B10CC" w:rsidRPr="009B10CC" w:rsidRDefault="00ED46BB" w:rsidP="009B10CC">
      <w:pPr>
        <w:ind w:firstLine="720"/>
        <w:rPr>
          <w:rFonts w:ascii="Times New Roman" w:hAnsi="Times New Roman"/>
        </w:rPr>
      </w:pPr>
      <w:r w:rsidRPr="009B10CC">
        <w:rPr>
          <w:rFonts w:ascii="Times New Roman" w:hAnsi="Times New Roman"/>
          <w:color w:val="000000"/>
          <w:szCs w:val="24"/>
        </w:rPr>
        <w:t xml:space="preserve">On </w:t>
      </w:r>
      <w:r w:rsidR="00CF4282" w:rsidRPr="009B10CC">
        <w:rPr>
          <w:rFonts w:ascii="Times New Roman" w:hAnsi="Times New Roman"/>
          <w:color w:val="000000"/>
          <w:szCs w:val="24"/>
        </w:rPr>
        <w:t>June 15</w:t>
      </w:r>
      <w:r w:rsidR="007876A6" w:rsidRPr="009B10CC">
        <w:rPr>
          <w:rFonts w:ascii="Times New Roman" w:hAnsi="Times New Roman"/>
          <w:color w:val="000000"/>
          <w:szCs w:val="24"/>
        </w:rPr>
        <w:t>, 2011</w:t>
      </w:r>
      <w:r w:rsidR="00E47C70" w:rsidRPr="009B10CC">
        <w:rPr>
          <w:rFonts w:ascii="Times New Roman" w:hAnsi="Times New Roman"/>
          <w:color w:val="000000"/>
          <w:szCs w:val="24"/>
        </w:rPr>
        <w:t>,</w:t>
      </w:r>
      <w:r w:rsidRPr="009B10CC">
        <w:rPr>
          <w:rFonts w:ascii="Times New Roman" w:hAnsi="Times New Roman"/>
          <w:color w:val="000000"/>
          <w:szCs w:val="24"/>
        </w:rPr>
        <w:t xml:space="preserve"> </w:t>
      </w:r>
      <w:r w:rsidR="00CF4282" w:rsidRPr="009B10CC">
        <w:rPr>
          <w:rFonts w:ascii="Times New Roman" w:hAnsi="Times New Roman"/>
          <w:szCs w:val="24"/>
        </w:rPr>
        <w:t xml:space="preserve">the </w:t>
      </w:r>
      <w:r w:rsidR="005502AC">
        <w:rPr>
          <w:rFonts w:ascii="Times New Roman" w:hAnsi="Times New Roman"/>
          <w:szCs w:val="24"/>
        </w:rPr>
        <w:t>a</w:t>
      </w:r>
      <w:r w:rsidR="00CF4282" w:rsidRPr="009B10CC">
        <w:rPr>
          <w:rFonts w:ascii="Times New Roman" w:hAnsi="Times New Roman"/>
          <w:szCs w:val="24"/>
        </w:rPr>
        <w:t>gencies published a</w:t>
      </w:r>
      <w:r w:rsidR="003D47A4" w:rsidRPr="009B10CC">
        <w:rPr>
          <w:rFonts w:ascii="Times New Roman" w:hAnsi="Times New Roman"/>
          <w:szCs w:val="24"/>
        </w:rPr>
        <w:t>n NPG</w:t>
      </w:r>
      <w:r w:rsidR="00CF4282" w:rsidRPr="009B10CC">
        <w:rPr>
          <w:rFonts w:ascii="Times New Roman" w:hAnsi="Times New Roman"/>
          <w:szCs w:val="24"/>
        </w:rPr>
        <w:t xml:space="preserve"> in the </w:t>
      </w:r>
      <w:r w:rsidR="00CF4282" w:rsidRPr="009B10CC">
        <w:rPr>
          <w:rFonts w:ascii="Times New Roman" w:hAnsi="Times New Roman"/>
          <w:i/>
          <w:szCs w:val="24"/>
        </w:rPr>
        <w:t>Federal Register</w:t>
      </w:r>
      <w:r w:rsidR="00CF4282" w:rsidRPr="009B10CC">
        <w:rPr>
          <w:rFonts w:ascii="Times New Roman" w:hAnsi="Times New Roman"/>
          <w:szCs w:val="24"/>
        </w:rPr>
        <w:t xml:space="preserve"> for public comment (76 FR 35072).  </w:t>
      </w:r>
      <w:r w:rsidRPr="009B10CC">
        <w:rPr>
          <w:rFonts w:ascii="Times New Roman" w:hAnsi="Times New Roman"/>
          <w:color w:val="000000"/>
          <w:szCs w:val="24"/>
        </w:rPr>
        <w:t>The comment period expire</w:t>
      </w:r>
      <w:r w:rsidR="00E05FEE" w:rsidRPr="009B10CC">
        <w:rPr>
          <w:rFonts w:ascii="Times New Roman" w:hAnsi="Times New Roman"/>
          <w:color w:val="000000"/>
          <w:szCs w:val="24"/>
        </w:rPr>
        <w:t>d</w:t>
      </w:r>
      <w:r w:rsidR="007876A6" w:rsidRPr="009B10CC">
        <w:rPr>
          <w:rFonts w:ascii="Times New Roman" w:hAnsi="Times New Roman"/>
          <w:color w:val="000000"/>
          <w:szCs w:val="24"/>
        </w:rPr>
        <w:t xml:space="preserve"> on </w:t>
      </w:r>
      <w:r w:rsidR="00CF4282" w:rsidRPr="009B10CC">
        <w:rPr>
          <w:rFonts w:ascii="Times New Roman" w:hAnsi="Times New Roman"/>
          <w:color w:val="000000"/>
          <w:szCs w:val="24"/>
        </w:rPr>
        <w:t>July</w:t>
      </w:r>
      <w:r w:rsidR="00197B83" w:rsidRPr="009B10CC">
        <w:rPr>
          <w:rFonts w:ascii="Times New Roman" w:hAnsi="Times New Roman"/>
          <w:color w:val="000000"/>
          <w:szCs w:val="24"/>
        </w:rPr>
        <w:t xml:space="preserve"> 29</w:t>
      </w:r>
      <w:r w:rsidR="007876A6" w:rsidRPr="009B10CC">
        <w:rPr>
          <w:rFonts w:ascii="Times New Roman" w:hAnsi="Times New Roman"/>
          <w:color w:val="000000"/>
          <w:szCs w:val="24"/>
        </w:rPr>
        <w:t>, 2011.</w:t>
      </w:r>
      <w:r w:rsidR="003D47A4" w:rsidRPr="009B10CC">
        <w:rPr>
          <w:rFonts w:ascii="Times New Roman" w:hAnsi="Times New Roman"/>
          <w:color w:val="000000"/>
          <w:szCs w:val="24"/>
        </w:rPr>
        <w:t xml:space="preserve"> </w:t>
      </w:r>
      <w:r w:rsidR="009B10CC" w:rsidRPr="009B10CC">
        <w:rPr>
          <w:rFonts w:ascii="Times New Roman" w:hAnsi="Times New Roman"/>
        </w:rPr>
        <w:t xml:space="preserve">The agencies received 17 comment letters on the proposed </w:t>
      </w:r>
      <w:r w:rsidR="00867821">
        <w:rPr>
          <w:rFonts w:ascii="Times New Roman" w:hAnsi="Times New Roman"/>
        </w:rPr>
        <w:t>G</w:t>
      </w:r>
      <w:r w:rsidR="009B10CC" w:rsidRPr="009B10CC">
        <w:rPr>
          <w:rFonts w:ascii="Times New Roman" w:hAnsi="Times New Roman"/>
        </w:rPr>
        <w:t xml:space="preserve">uidance.  Commenters included financial trade associations, bank holding companies, financial advisory firms, and individuals.  Commenters generally expressed support for the proposed </w:t>
      </w:r>
      <w:r w:rsidR="002B64ED">
        <w:rPr>
          <w:rFonts w:ascii="Times New Roman" w:hAnsi="Times New Roman"/>
        </w:rPr>
        <w:t>Stress Testing G</w:t>
      </w:r>
      <w:r w:rsidR="009B10CC" w:rsidRPr="009B10CC">
        <w:rPr>
          <w:rFonts w:ascii="Times New Roman" w:hAnsi="Times New Roman"/>
        </w:rPr>
        <w:t xml:space="preserve">uidance. However, several commenters recommended changes to, or clarification of certain provisions of the proposed </w:t>
      </w:r>
      <w:r w:rsidR="002B64ED">
        <w:rPr>
          <w:rFonts w:ascii="Times New Roman" w:hAnsi="Times New Roman"/>
        </w:rPr>
        <w:t>Stress Testing G</w:t>
      </w:r>
      <w:r w:rsidR="009B10CC" w:rsidRPr="009B10CC">
        <w:rPr>
          <w:rFonts w:ascii="Times New Roman" w:hAnsi="Times New Roman"/>
        </w:rPr>
        <w:t>uidance</w:t>
      </w:r>
      <w:r w:rsidR="005502AC">
        <w:rPr>
          <w:rFonts w:ascii="Times New Roman" w:hAnsi="Times New Roman"/>
        </w:rPr>
        <w:t>.</w:t>
      </w:r>
      <w:r w:rsidR="009B10CC" w:rsidRPr="009B10CC">
        <w:rPr>
          <w:rFonts w:ascii="Times New Roman" w:hAnsi="Times New Roman"/>
        </w:rPr>
        <w:t xml:space="preserve">  In response to the comments, the agencies clarified the requirements </w:t>
      </w:r>
      <w:r w:rsidR="002B64ED">
        <w:rPr>
          <w:rFonts w:ascii="Times New Roman" w:hAnsi="Times New Roman"/>
        </w:rPr>
        <w:t xml:space="preserve">and modified </w:t>
      </w:r>
      <w:r w:rsidR="009B10CC" w:rsidRPr="009B10CC">
        <w:rPr>
          <w:rFonts w:ascii="Times New Roman" w:hAnsi="Times New Roman"/>
        </w:rPr>
        <w:t xml:space="preserve">the </w:t>
      </w:r>
      <w:r w:rsidR="002B64ED">
        <w:rPr>
          <w:rFonts w:ascii="Times New Roman" w:hAnsi="Times New Roman"/>
        </w:rPr>
        <w:t>Stress Testing G</w:t>
      </w:r>
      <w:r w:rsidR="009B10CC" w:rsidRPr="009B10CC">
        <w:rPr>
          <w:rFonts w:ascii="Times New Roman" w:hAnsi="Times New Roman"/>
        </w:rPr>
        <w:t>uidance in certain respects</w:t>
      </w:r>
      <w:r w:rsidR="00867821">
        <w:rPr>
          <w:rFonts w:ascii="Times New Roman" w:hAnsi="Times New Roman"/>
        </w:rPr>
        <w:t>,</w:t>
      </w:r>
      <w:r w:rsidR="009B10CC" w:rsidRPr="009B10CC">
        <w:rPr>
          <w:rFonts w:ascii="Times New Roman" w:hAnsi="Times New Roman"/>
        </w:rPr>
        <w:t xml:space="preserve"> as described in th</w:t>
      </w:r>
      <w:r w:rsidR="001913A3">
        <w:rPr>
          <w:rFonts w:ascii="Times New Roman" w:hAnsi="Times New Roman"/>
        </w:rPr>
        <w:t xml:space="preserve">e </w:t>
      </w:r>
      <w:r w:rsidR="00A03720">
        <w:rPr>
          <w:rFonts w:ascii="Times New Roman" w:hAnsi="Times New Roman"/>
        </w:rPr>
        <w:t>NFG</w:t>
      </w:r>
      <w:r w:rsidR="001913A3">
        <w:rPr>
          <w:rFonts w:ascii="Times New Roman" w:hAnsi="Times New Roman"/>
        </w:rPr>
        <w:t xml:space="preserve"> </w:t>
      </w:r>
      <w:r w:rsidR="00CB79CC">
        <w:rPr>
          <w:rFonts w:ascii="Times New Roman" w:hAnsi="Times New Roman"/>
        </w:rPr>
        <w:t>implementing the Guidance</w:t>
      </w:r>
      <w:r w:rsidR="009B10CC" w:rsidRPr="009B10CC">
        <w:rPr>
          <w:rFonts w:ascii="Times New Roman" w:hAnsi="Times New Roman"/>
        </w:rPr>
        <w:t xml:space="preserve">.  </w:t>
      </w:r>
    </w:p>
    <w:p w:rsidR="009B10CC" w:rsidRDefault="009B10CC" w:rsidP="009B10CC">
      <w:pPr>
        <w:keepNext/>
        <w:ind w:firstLine="720"/>
        <w:rPr>
          <w:iCs/>
          <w:color w:val="000000"/>
        </w:rPr>
      </w:pPr>
    </w:p>
    <w:p w:rsidR="009B10CC" w:rsidRPr="009B10CC" w:rsidRDefault="009B10CC" w:rsidP="009B10CC">
      <w:pPr>
        <w:keepNext/>
        <w:ind w:firstLine="720"/>
        <w:rPr>
          <w:rFonts w:ascii="Times New Roman" w:hAnsi="Times New Roman"/>
          <w:iCs/>
          <w:color w:val="000000"/>
        </w:rPr>
      </w:pPr>
      <w:r w:rsidRPr="009B10CC">
        <w:rPr>
          <w:rFonts w:ascii="Times New Roman" w:hAnsi="Times New Roman"/>
          <w:iCs/>
          <w:color w:val="000000"/>
        </w:rPr>
        <w:t xml:space="preserve">Of the 17 comments received, three comments addressed the </w:t>
      </w:r>
      <w:r w:rsidR="00867821">
        <w:rPr>
          <w:rFonts w:ascii="Times New Roman" w:hAnsi="Times New Roman"/>
          <w:iCs/>
          <w:color w:val="000000"/>
        </w:rPr>
        <w:t xml:space="preserve">overall </w:t>
      </w:r>
      <w:r w:rsidRPr="009B10CC">
        <w:rPr>
          <w:rFonts w:ascii="Times New Roman" w:hAnsi="Times New Roman"/>
          <w:iCs/>
          <w:color w:val="000000"/>
        </w:rPr>
        <w:t>regulatory burden</w:t>
      </w:r>
      <w:r w:rsidR="00867821">
        <w:rPr>
          <w:rFonts w:ascii="Times New Roman" w:hAnsi="Times New Roman"/>
          <w:iCs/>
          <w:color w:val="000000"/>
        </w:rPr>
        <w:t>, not specifically paperwork burden</w:t>
      </w:r>
      <w:r w:rsidRPr="009B10CC">
        <w:rPr>
          <w:rFonts w:ascii="Times New Roman" w:hAnsi="Times New Roman"/>
          <w:iCs/>
          <w:color w:val="000000"/>
        </w:rPr>
        <w:t xml:space="preserve">, stating that implementation will require a multiple of the 260 estimated hours.  The agencies emphasize that the </w:t>
      </w:r>
      <w:r w:rsidR="002B64ED">
        <w:rPr>
          <w:rFonts w:ascii="Times New Roman" w:hAnsi="Times New Roman"/>
          <w:iCs/>
          <w:color w:val="000000"/>
        </w:rPr>
        <w:t>Stress Testing G</w:t>
      </w:r>
      <w:r w:rsidRPr="009B10CC">
        <w:rPr>
          <w:rFonts w:ascii="Times New Roman" w:hAnsi="Times New Roman"/>
          <w:iCs/>
          <w:color w:val="000000"/>
        </w:rPr>
        <w:t xml:space="preserve">uidance does not implement the stress testing requirements imposed by the Dodd-Frank Act or the Board’s capital plan rule, and does not otherwise impose mandatory stress testing requirements.  </w:t>
      </w:r>
      <w:r w:rsidR="002B64ED">
        <w:rPr>
          <w:rFonts w:ascii="Times New Roman" w:hAnsi="Times New Roman"/>
          <w:iCs/>
          <w:color w:val="000000"/>
        </w:rPr>
        <w:t>Currently, the reporting</w:t>
      </w:r>
      <w:r w:rsidRPr="009B10CC">
        <w:rPr>
          <w:rFonts w:ascii="Times New Roman" w:hAnsi="Times New Roman"/>
          <w:iCs/>
          <w:color w:val="000000"/>
        </w:rPr>
        <w:t xml:space="preserve"> burden associated with mandatory stress tests </w:t>
      </w:r>
      <w:r w:rsidR="002B64ED">
        <w:rPr>
          <w:rFonts w:ascii="Times New Roman" w:hAnsi="Times New Roman"/>
          <w:iCs/>
          <w:color w:val="000000"/>
        </w:rPr>
        <w:t>is</w:t>
      </w:r>
      <w:r w:rsidRPr="009B10CC">
        <w:rPr>
          <w:rFonts w:ascii="Times New Roman" w:hAnsi="Times New Roman"/>
          <w:iCs/>
          <w:color w:val="000000"/>
        </w:rPr>
        <w:t xml:space="preserve"> accounted for </w:t>
      </w:r>
      <w:r w:rsidR="002B64ED">
        <w:rPr>
          <w:rFonts w:ascii="Times New Roman" w:hAnsi="Times New Roman"/>
          <w:iCs/>
          <w:color w:val="000000"/>
        </w:rPr>
        <w:t>under the Capital Assessment and Stress Testing information collection (FR Y-14A/Q/M; OMB No. 7100-</w:t>
      </w:r>
      <w:r w:rsidR="001913A3">
        <w:rPr>
          <w:rFonts w:ascii="Times New Roman" w:hAnsi="Times New Roman"/>
          <w:iCs/>
          <w:color w:val="000000"/>
        </w:rPr>
        <w:t>0341</w:t>
      </w:r>
      <w:r w:rsidR="002B64ED">
        <w:rPr>
          <w:rFonts w:ascii="Times New Roman" w:hAnsi="Times New Roman"/>
          <w:iCs/>
          <w:color w:val="000000"/>
        </w:rPr>
        <w:t xml:space="preserve">).  Any </w:t>
      </w:r>
      <w:r w:rsidR="00867821">
        <w:rPr>
          <w:rFonts w:ascii="Times New Roman" w:hAnsi="Times New Roman"/>
          <w:iCs/>
          <w:color w:val="000000"/>
        </w:rPr>
        <w:t>paperwork</w:t>
      </w:r>
      <w:r w:rsidR="002B64ED">
        <w:rPr>
          <w:rFonts w:ascii="Times New Roman" w:hAnsi="Times New Roman"/>
          <w:iCs/>
          <w:color w:val="000000"/>
        </w:rPr>
        <w:t xml:space="preserve"> burden associated with other mandatory </w:t>
      </w:r>
      <w:r w:rsidR="001913A3">
        <w:rPr>
          <w:rFonts w:ascii="Times New Roman" w:hAnsi="Times New Roman"/>
          <w:iCs/>
          <w:color w:val="000000"/>
        </w:rPr>
        <w:t xml:space="preserve">stress testing would be accounted for </w:t>
      </w:r>
      <w:r w:rsidRPr="009B10CC">
        <w:rPr>
          <w:rFonts w:ascii="Times New Roman" w:hAnsi="Times New Roman"/>
          <w:iCs/>
          <w:color w:val="000000"/>
        </w:rPr>
        <w:t xml:space="preserve">in the respective rules that implement those requirements.  </w:t>
      </w:r>
    </w:p>
    <w:p w:rsidR="009B10CC" w:rsidRDefault="009B10CC" w:rsidP="009B10CC">
      <w:pPr>
        <w:keepNext/>
        <w:rPr>
          <w:iCs/>
          <w:color w:val="000000"/>
        </w:rPr>
      </w:pPr>
    </w:p>
    <w:p w:rsidR="009B10CC" w:rsidRPr="009B10CC" w:rsidRDefault="009B10CC" w:rsidP="009B10CC">
      <w:pPr>
        <w:keepNext/>
        <w:ind w:firstLine="720"/>
        <w:rPr>
          <w:rFonts w:ascii="Times New Roman" w:hAnsi="Times New Roman"/>
          <w:iCs/>
          <w:color w:val="000000"/>
        </w:rPr>
      </w:pPr>
      <w:r w:rsidRPr="009B10CC">
        <w:rPr>
          <w:rFonts w:ascii="Times New Roman" w:hAnsi="Times New Roman"/>
          <w:iCs/>
          <w:color w:val="000000"/>
        </w:rPr>
        <w:t xml:space="preserve">In addition, the agencies believe that in some respects, the information collection elements of this </w:t>
      </w:r>
      <w:r w:rsidR="001913A3">
        <w:rPr>
          <w:rFonts w:ascii="Times New Roman" w:hAnsi="Times New Roman"/>
          <w:iCs/>
          <w:color w:val="000000"/>
        </w:rPr>
        <w:t>G</w:t>
      </w:r>
      <w:r w:rsidRPr="009B10CC">
        <w:rPr>
          <w:rFonts w:ascii="Times New Roman" w:hAnsi="Times New Roman"/>
          <w:iCs/>
          <w:color w:val="000000"/>
        </w:rPr>
        <w:t xml:space="preserve">uidance augment certain expectations that already are in place relative to certain existing supervisory guidance.  The burden estimates for this </w:t>
      </w:r>
      <w:r w:rsidR="001913A3">
        <w:rPr>
          <w:rFonts w:ascii="Times New Roman" w:hAnsi="Times New Roman"/>
          <w:iCs/>
          <w:color w:val="000000"/>
        </w:rPr>
        <w:t>G</w:t>
      </w:r>
      <w:r w:rsidRPr="009B10CC">
        <w:rPr>
          <w:rFonts w:ascii="Times New Roman" w:hAnsi="Times New Roman"/>
          <w:iCs/>
          <w:color w:val="000000"/>
        </w:rPr>
        <w:t xml:space="preserve">uidance take into consideration only those collections of information, such as documentation of policies and procedures and relevant reports that are specific to this </w:t>
      </w:r>
      <w:r w:rsidR="001913A3">
        <w:rPr>
          <w:rFonts w:ascii="Times New Roman" w:hAnsi="Times New Roman"/>
          <w:iCs/>
          <w:color w:val="000000"/>
        </w:rPr>
        <w:t>G</w:t>
      </w:r>
      <w:r w:rsidRPr="009B10CC">
        <w:rPr>
          <w:rFonts w:ascii="Times New Roman" w:hAnsi="Times New Roman"/>
          <w:iCs/>
          <w:color w:val="000000"/>
        </w:rPr>
        <w:t xml:space="preserve">uidance.  Based on these factors, the agencies believe the burden estimates included in the </w:t>
      </w:r>
      <w:r w:rsidR="001913A3">
        <w:rPr>
          <w:rFonts w:ascii="Times New Roman" w:hAnsi="Times New Roman"/>
          <w:iCs/>
          <w:color w:val="000000"/>
        </w:rPr>
        <w:t>NPG</w:t>
      </w:r>
      <w:r w:rsidRPr="009B10CC">
        <w:rPr>
          <w:rFonts w:ascii="Times New Roman" w:hAnsi="Times New Roman"/>
          <w:iCs/>
          <w:color w:val="000000"/>
        </w:rPr>
        <w:t xml:space="preserve"> continue to be appropriate.</w:t>
      </w:r>
    </w:p>
    <w:p w:rsidR="009B10CC" w:rsidRDefault="009B10CC" w:rsidP="009B10CC">
      <w:pPr>
        <w:keepNext/>
        <w:keepLines/>
        <w:widowControl/>
        <w:rPr>
          <w:rFonts w:ascii="Times New Roman" w:hAnsi="Times New Roman"/>
        </w:rPr>
      </w:pPr>
      <w:r>
        <w:rPr>
          <w:rFonts w:ascii="Times New Roman" w:hAnsi="Times New Roman"/>
        </w:rPr>
        <w:tab/>
      </w:r>
    </w:p>
    <w:p w:rsidR="009B10CC" w:rsidRDefault="009B10CC" w:rsidP="009B10CC">
      <w:pPr>
        <w:keepNext/>
        <w:keepLines/>
        <w:widowControl/>
        <w:ind w:firstLine="720"/>
        <w:rPr>
          <w:rFonts w:ascii="Times New Roman" w:hAnsi="Times New Roman"/>
        </w:rPr>
      </w:pPr>
      <w:r>
        <w:rPr>
          <w:rFonts w:ascii="Times New Roman" w:hAnsi="Times New Roman"/>
        </w:rPr>
        <w:t xml:space="preserve">For a detailed discussion of the changes proposed, the comments received, and the agencies’ response, please refer to the “Current Actions” section of the </w:t>
      </w:r>
      <w:r w:rsidR="00A03720">
        <w:rPr>
          <w:rFonts w:ascii="Times New Roman" w:hAnsi="Times New Roman"/>
        </w:rPr>
        <w:t>NFG</w:t>
      </w:r>
      <w:r>
        <w:rPr>
          <w:rFonts w:ascii="Times New Roman" w:hAnsi="Times New Roman"/>
        </w:rPr>
        <w:t xml:space="preserve"> for this submission</w:t>
      </w:r>
      <w:r w:rsidR="003F5D9B">
        <w:rPr>
          <w:rFonts w:ascii="Times New Roman" w:hAnsi="Times New Roman"/>
        </w:rPr>
        <w:t xml:space="preserve"> published on May 17, 2012 (77 FR 29458)</w:t>
      </w:r>
      <w:r>
        <w:rPr>
          <w:rFonts w:ascii="Times New Roman" w:hAnsi="Times New Roman"/>
        </w:rPr>
        <w:t>.</w:t>
      </w:r>
      <w:r w:rsidR="00EE7E47">
        <w:rPr>
          <w:rFonts w:ascii="Times New Roman" w:hAnsi="Times New Roman"/>
        </w:rPr>
        <w:t xml:space="preserve">  Th</w:t>
      </w:r>
      <w:r w:rsidR="001913A3">
        <w:rPr>
          <w:rFonts w:ascii="Times New Roman" w:hAnsi="Times New Roman"/>
        </w:rPr>
        <w:t>e Stress Testing G</w:t>
      </w:r>
      <w:r w:rsidR="00EE7E47">
        <w:rPr>
          <w:rFonts w:ascii="Times New Roman" w:hAnsi="Times New Roman"/>
        </w:rPr>
        <w:t>uidance is effective July 23, 2012.</w:t>
      </w:r>
    </w:p>
    <w:p w:rsidR="00106B80" w:rsidRPr="006219C4" w:rsidRDefault="00106B80" w:rsidP="009B10CC">
      <w:pPr>
        <w:widowControl/>
        <w:ind w:firstLine="720"/>
        <w:rPr>
          <w:rFonts w:ascii="Times New Roman" w:hAnsi="Times New Roman"/>
          <w:szCs w:val="24"/>
        </w:rPr>
      </w:pPr>
    </w:p>
    <w:p w:rsidR="00D3471F" w:rsidRDefault="00D3471F">
      <w:pPr>
        <w:widowControl/>
        <w:rPr>
          <w:rFonts w:ascii="Times New Roman" w:hAnsi="Times New Roman"/>
          <w:b/>
          <w:szCs w:val="24"/>
        </w:rPr>
      </w:pPr>
      <w:r>
        <w:rPr>
          <w:rFonts w:ascii="Times New Roman" w:hAnsi="Times New Roman"/>
          <w:b/>
          <w:szCs w:val="24"/>
        </w:rPr>
        <w:br w:type="page"/>
      </w:r>
    </w:p>
    <w:p w:rsidR="005071F2" w:rsidRPr="00386084" w:rsidRDefault="005071F2" w:rsidP="005071F2">
      <w:pPr>
        <w:widowControl/>
        <w:rPr>
          <w:rFonts w:ascii="Times New Roman" w:hAnsi="Times New Roman"/>
          <w:szCs w:val="24"/>
        </w:rPr>
      </w:pPr>
      <w:r w:rsidRPr="00386084">
        <w:rPr>
          <w:rFonts w:ascii="Times New Roman" w:hAnsi="Times New Roman"/>
          <w:b/>
          <w:szCs w:val="24"/>
        </w:rPr>
        <w:lastRenderedPageBreak/>
        <w:t>Sensitive Questions</w:t>
      </w:r>
    </w:p>
    <w:p w:rsidR="005071F2" w:rsidRPr="00386084" w:rsidRDefault="005071F2" w:rsidP="005071F2">
      <w:pPr>
        <w:widowControl/>
        <w:rPr>
          <w:rFonts w:ascii="Times New Roman" w:hAnsi="Times New Roman"/>
          <w:szCs w:val="24"/>
        </w:rPr>
      </w:pPr>
    </w:p>
    <w:p w:rsidR="005071F2" w:rsidRPr="00386084" w:rsidRDefault="005071F2" w:rsidP="005071F2">
      <w:pPr>
        <w:widowControl/>
        <w:ind w:firstLine="720"/>
        <w:rPr>
          <w:rFonts w:ascii="Times New Roman" w:hAnsi="Times New Roman"/>
          <w:szCs w:val="24"/>
        </w:rPr>
      </w:pPr>
      <w:r w:rsidRPr="00386084">
        <w:rPr>
          <w:rFonts w:ascii="Times New Roman" w:hAnsi="Times New Roman"/>
          <w:szCs w:val="24"/>
        </w:rPr>
        <w:t>This information collection contains no questions of a sensitive nature, as defined by OMB guidelines.</w:t>
      </w:r>
    </w:p>
    <w:p w:rsidR="003E3BFA" w:rsidRPr="00386084" w:rsidRDefault="003E3BFA">
      <w:pPr>
        <w:widowControl/>
        <w:rPr>
          <w:rFonts w:ascii="Times New Roman" w:hAnsi="Times New Roman"/>
          <w:b/>
          <w:szCs w:val="24"/>
        </w:rPr>
      </w:pPr>
    </w:p>
    <w:p w:rsidR="00D757AD" w:rsidRPr="00386084" w:rsidRDefault="00D757AD" w:rsidP="00A959A3">
      <w:pPr>
        <w:widowControl/>
        <w:rPr>
          <w:rFonts w:ascii="Times New Roman" w:hAnsi="Times New Roman"/>
          <w:szCs w:val="24"/>
        </w:rPr>
      </w:pPr>
      <w:r w:rsidRPr="00386084">
        <w:rPr>
          <w:rFonts w:ascii="Times New Roman" w:hAnsi="Times New Roman"/>
          <w:b/>
          <w:szCs w:val="24"/>
        </w:rPr>
        <w:t>Legal Status</w:t>
      </w:r>
    </w:p>
    <w:p w:rsidR="00D757AD" w:rsidRPr="00386084" w:rsidRDefault="00D757AD" w:rsidP="00A959A3">
      <w:pPr>
        <w:widowControl/>
        <w:rPr>
          <w:rFonts w:ascii="Times New Roman" w:hAnsi="Times New Roman"/>
          <w:szCs w:val="24"/>
        </w:rPr>
      </w:pPr>
    </w:p>
    <w:p w:rsidR="00AA15A4" w:rsidRPr="00275F0C" w:rsidRDefault="00D757AD" w:rsidP="00AA15A4">
      <w:pPr>
        <w:autoSpaceDE w:val="0"/>
        <w:autoSpaceDN w:val="0"/>
        <w:adjustRightInd w:val="0"/>
        <w:ind w:firstLine="720"/>
        <w:rPr>
          <w:rFonts w:ascii="Times New Roman" w:hAnsi="Times New Roman"/>
          <w:color w:val="000000"/>
        </w:rPr>
      </w:pPr>
      <w:r w:rsidRPr="00275F0C">
        <w:rPr>
          <w:rFonts w:ascii="Times New Roman" w:hAnsi="Times New Roman"/>
          <w:szCs w:val="24"/>
        </w:rPr>
        <w:t xml:space="preserve">The </w:t>
      </w:r>
      <w:r w:rsidR="00322461">
        <w:rPr>
          <w:rFonts w:ascii="Times New Roman" w:hAnsi="Times New Roman"/>
          <w:szCs w:val="24"/>
        </w:rPr>
        <w:t xml:space="preserve">Board’s </w:t>
      </w:r>
      <w:r w:rsidRPr="00275F0C">
        <w:rPr>
          <w:rFonts w:ascii="Times New Roman" w:hAnsi="Times New Roman"/>
          <w:szCs w:val="24"/>
        </w:rPr>
        <w:t xml:space="preserve">Legal Division </w:t>
      </w:r>
      <w:r w:rsidR="00094E90" w:rsidRPr="00275F0C">
        <w:rPr>
          <w:rFonts w:ascii="Times New Roman" w:hAnsi="Times New Roman"/>
          <w:szCs w:val="24"/>
        </w:rPr>
        <w:t>has determined</w:t>
      </w:r>
      <w:r w:rsidRPr="00275F0C">
        <w:rPr>
          <w:rFonts w:ascii="Times New Roman" w:hAnsi="Times New Roman"/>
          <w:szCs w:val="24"/>
        </w:rPr>
        <w:t xml:space="preserve"> that </w:t>
      </w:r>
      <w:r w:rsidR="00275F0C" w:rsidRPr="00275F0C">
        <w:rPr>
          <w:rFonts w:ascii="Times New Roman" w:hAnsi="Times New Roman"/>
          <w:szCs w:val="24"/>
        </w:rPr>
        <w:t>t</w:t>
      </w:r>
      <w:r w:rsidR="00AA15A4" w:rsidRPr="00275F0C">
        <w:rPr>
          <w:rFonts w:ascii="Times New Roman" w:hAnsi="Times New Roman"/>
          <w:iCs/>
          <w:color w:val="000000"/>
        </w:rPr>
        <w:t xml:space="preserve">his </w:t>
      </w:r>
      <w:r w:rsidR="003F5D9B">
        <w:rPr>
          <w:rFonts w:ascii="Times New Roman" w:hAnsi="Times New Roman"/>
          <w:iCs/>
          <w:color w:val="000000"/>
        </w:rPr>
        <w:t xml:space="preserve">voluntary </w:t>
      </w:r>
      <w:r w:rsidR="00AA15A4" w:rsidRPr="00275F0C">
        <w:rPr>
          <w:rFonts w:ascii="Times New Roman" w:hAnsi="Times New Roman"/>
          <w:iCs/>
          <w:color w:val="000000"/>
        </w:rPr>
        <w:t xml:space="preserve">information collection is authorized pursuant to </w:t>
      </w:r>
      <w:r w:rsidR="00AA15A4" w:rsidRPr="00275F0C">
        <w:rPr>
          <w:rFonts w:ascii="Times New Roman" w:hAnsi="Times New Roman"/>
          <w:color w:val="000000"/>
        </w:rPr>
        <w:t>sections 11(a), 11(i), 25, and 25A of the Federal Reserve Act (12 U.S.C. 248(a), 248(</w:t>
      </w:r>
      <w:proofErr w:type="spellStart"/>
      <w:r w:rsidR="00AA15A4" w:rsidRPr="00275F0C">
        <w:rPr>
          <w:rFonts w:ascii="Times New Roman" w:hAnsi="Times New Roman"/>
          <w:color w:val="000000"/>
        </w:rPr>
        <w:t>i</w:t>
      </w:r>
      <w:proofErr w:type="spellEnd"/>
      <w:r w:rsidR="00AA15A4" w:rsidRPr="00275F0C">
        <w:rPr>
          <w:rFonts w:ascii="Times New Roman" w:hAnsi="Times New Roman"/>
          <w:color w:val="000000"/>
        </w:rPr>
        <w:t>), 602, and 611</w:t>
      </w:r>
      <w:r w:rsidR="005664D9">
        <w:rPr>
          <w:rFonts w:ascii="Times New Roman" w:hAnsi="Times New Roman"/>
          <w:color w:val="000000"/>
        </w:rPr>
        <w:t>a</w:t>
      </w:r>
      <w:r w:rsidR="00AA15A4" w:rsidRPr="00275F0C">
        <w:rPr>
          <w:rFonts w:ascii="Times New Roman" w:hAnsi="Times New Roman"/>
          <w:color w:val="000000"/>
        </w:rPr>
        <w:t>), section 5 of the Bank Holding Company Act (12 U.S.C. 1844), and section 7(c) of the International Banking Act (12 U.S.C. 3105(c)).  To the extent the Federal Reserve collects information during an examination of a banking organization, confidential treatment may be afforded to the records under exemption</w:t>
      </w:r>
      <w:r w:rsidR="003B501E">
        <w:rPr>
          <w:rFonts w:ascii="Times New Roman" w:hAnsi="Times New Roman"/>
          <w:color w:val="000000"/>
        </w:rPr>
        <w:t>s</w:t>
      </w:r>
      <w:r w:rsidR="00AA15A4" w:rsidRPr="00275F0C">
        <w:rPr>
          <w:rFonts w:ascii="Times New Roman" w:hAnsi="Times New Roman"/>
          <w:color w:val="000000"/>
        </w:rPr>
        <w:t xml:space="preserve"> </w:t>
      </w:r>
      <w:r w:rsidR="003B501E">
        <w:rPr>
          <w:rFonts w:ascii="Times New Roman" w:hAnsi="Times New Roman"/>
          <w:color w:val="000000"/>
        </w:rPr>
        <w:t xml:space="preserve">4 and </w:t>
      </w:r>
      <w:r w:rsidR="00AA15A4" w:rsidRPr="00275F0C">
        <w:rPr>
          <w:rFonts w:ascii="Times New Roman" w:hAnsi="Times New Roman"/>
          <w:color w:val="000000"/>
        </w:rPr>
        <w:t>8 of t</w:t>
      </w:r>
      <w:r w:rsidR="003B501E">
        <w:rPr>
          <w:rFonts w:ascii="Times New Roman" w:hAnsi="Times New Roman"/>
          <w:color w:val="000000"/>
        </w:rPr>
        <w:t>he Freedom of Information Act</w:t>
      </w:r>
      <w:r w:rsidR="00AA15A4" w:rsidRPr="00275F0C">
        <w:rPr>
          <w:rFonts w:ascii="Times New Roman" w:hAnsi="Times New Roman"/>
          <w:color w:val="000000"/>
        </w:rPr>
        <w:t>, 5 U.S.C. 552(b)</w:t>
      </w:r>
      <w:r w:rsidR="003B501E">
        <w:rPr>
          <w:rFonts w:ascii="Times New Roman" w:hAnsi="Times New Roman"/>
          <w:color w:val="000000"/>
        </w:rPr>
        <w:t xml:space="preserve">(4) and </w:t>
      </w:r>
      <w:r w:rsidR="00AA15A4" w:rsidRPr="00275F0C">
        <w:rPr>
          <w:rFonts w:ascii="Times New Roman" w:hAnsi="Times New Roman"/>
          <w:color w:val="000000"/>
        </w:rPr>
        <w:t xml:space="preserve">(8).  </w:t>
      </w:r>
    </w:p>
    <w:p w:rsidR="00094E90" w:rsidRDefault="00094E90" w:rsidP="00094E90">
      <w:pPr>
        <w:ind w:firstLine="720"/>
        <w:rPr>
          <w:rFonts w:ascii="Times New Roman" w:hAnsi="Times New Roman"/>
          <w:szCs w:val="24"/>
        </w:rPr>
      </w:pPr>
    </w:p>
    <w:p w:rsidR="00D757AD" w:rsidRPr="00386084" w:rsidRDefault="00D757AD" w:rsidP="001761B0">
      <w:pPr>
        <w:pStyle w:val="Heading1"/>
        <w:rPr>
          <w:rFonts w:ascii="Times New Roman" w:hAnsi="Times New Roman"/>
          <w:szCs w:val="24"/>
        </w:rPr>
      </w:pPr>
      <w:r w:rsidRPr="00386084">
        <w:rPr>
          <w:rFonts w:ascii="Times New Roman" w:hAnsi="Times New Roman"/>
          <w:szCs w:val="24"/>
        </w:rPr>
        <w:t>Estimate of Respondent Burden</w:t>
      </w:r>
    </w:p>
    <w:p w:rsidR="00A959A3" w:rsidRPr="00386084" w:rsidRDefault="00A959A3" w:rsidP="00A959A3">
      <w:pPr>
        <w:rPr>
          <w:rFonts w:ascii="Times New Roman" w:hAnsi="Times New Roman"/>
          <w:szCs w:val="24"/>
        </w:rPr>
      </w:pPr>
    </w:p>
    <w:p w:rsidR="00E47C70" w:rsidRDefault="009C4001" w:rsidP="00BE78E1">
      <w:pPr>
        <w:pStyle w:val="BodyTextIndent"/>
        <w:spacing w:after="0"/>
        <w:rPr>
          <w:szCs w:val="24"/>
        </w:rPr>
      </w:pPr>
      <w:r w:rsidRPr="00386084">
        <w:rPr>
          <w:szCs w:val="24"/>
        </w:rPr>
        <w:t xml:space="preserve">The total annual burden for the recordkeeping and disclosure requirements of this information collection is </w:t>
      </w:r>
      <w:r w:rsidR="003F5D9B" w:rsidRPr="00386084">
        <w:rPr>
          <w:szCs w:val="24"/>
        </w:rPr>
        <w:t xml:space="preserve">estimated </w:t>
      </w:r>
      <w:r w:rsidR="003F5D9B">
        <w:rPr>
          <w:szCs w:val="24"/>
        </w:rPr>
        <w:t xml:space="preserve">to be </w:t>
      </w:r>
      <w:r w:rsidR="00A64FB3">
        <w:rPr>
          <w:szCs w:val="24"/>
        </w:rPr>
        <w:t>31</w:t>
      </w:r>
      <w:r w:rsidR="00A02B20">
        <w:rPr>
          <w:szCs w:val="24"/>
        </w:rPr>
        <w:t>,</w:t>
      </w:r>
      <w:r w:rsidR="00A64FB3">
        <w:rPr>
          <w:szCs w:val="24"/>
        </w:rPr>
        <w:t>200</w:t>
      </w:r>
      <w:r w:rsidRPr="00386084">
        <w:rPr>
          <w:szCs w:val="24"/>
        </w:rPr>
        <w:t xml:space="preserve"> hours, as shown in the table below.  </w:t>
      </w:r>
      <w:r w:rsidR="00234EC0">
        <w:rPr>
          <w:szCs w:val="24"/>
        </w:rPr>
        <w:t xml:space="preserve">The Federal Reserve estimates that it would take </w:t>
      </w:r>
      <w:r w:rsidRPr="00386084">
        <w:rPr>
          <w:szCs w:val="24"/>
        </w:rPr>
        <w:t xml:space="preserve">the </w:t>
      </w:r>
      <w:r w:rsidR="00A64FB3">
        <w:rPr>
          <w:szCs w:val="24"/>
        </w:rPr>
        <w:t xml:space="preserve">120 </w:t>
      </w:r>
      <w:r w:rsidR="00A64FB3" w:rsidRPr="003A307B">
        <w:rPr>
          <w:szCs w:val="24"/>
        </w:rPr>
        <w:t>Federal Reserve-supervised</w:t>
      </w:r>
      <w:r w:rsidR="00A64FB3">
        <w:rPr>
          <w:szCs w:val="24"/>
        </w:rPr>
        <w:t xml:space="preserve"> institutions </w:t>
      </w:r>
      <w:r w:rsidR="00A64FB3" w:rsidRPr="003A307B">
        <w:rPr>
          <w:szCs w:val="24"/>
        </w:rPr>
        <w:t>with more than $10 billion in total consolidated assets</w:t>
      </w:r>
      <w:r w:rsidR="00234EC0">
        <w:rPr>
          <w:szCs w:val="24"/>
        </w:rPr>
        <w:t xml:space="preserve"> 180 hours to comply with the recordkeeping requirements, including: 40 hours to </w:t>
      </w:r>
      <w:r w:rsidR="00234EC0">
        <w:t>document the assumptions used in its stress tests and note the degree of uncertainty that may be incorporated into the tools used for stress testing; 40 hours to maintain a summary of test results; 80 hours for the initial creation of the policies and procedures; and 20 hours for training</w:t>
      </w:r>
      <w:r w:rsidR="006219C4">
        <w:rPr>
          <w:szCs w:val="24"/>
        </w:rPr>
        <w:t>.</w:t>
      </w:r>
      <w:r w:rsidR="00234EC0">
        <w:rPr>
          <w:szCs w:val="24"/>
        </w:rPr>
        <w:t xml:space="preserve">  </w:t>
      </w:r>
      <w:r w:rsidR="003F5D9B">
        <w:rPr>
          <w:szCs w:val="24"/>
        </w:rPr>
        <w:t>On a continuing basis the Federal Reserve</w:t>
      </w:r>
      <w:r w:rsidR="00234EC0">
        <w:rPr>
          <w:szCs w:val="24"/>
        </w:rPr>
        <w:t xml:space="preserve"> estimates </w:t>
      </w:r>
      <w:r w:rsidR="003F5D9B">
        <w:rPr>
          <w:szCs w:val="24"/>
        </w:rPr>
        <w:t xml:space="preserve">it will take </w:t>
      </w:r>
      <w:r w:rsidR="00234EC0">
        <w:rPr>
          <w:szCs w:val="24"/>
        </w:rPr>
        <w:t xml:space="preserve">80 hours </w:t>
      </w:r>
      <w:r w:rsidR="001D4686">
        <w:rPr>
          <w:szCs w:val="24"/>
        </w:rPr>
        <w:t>to comply with the</w:t>
      </w:r>
      <w:r w:rsidR="00234EC0">
        <w:rPr>
          <w:szCs w:val="24"/>
        </w:rPr>
        <w:t xml:space="preserve"> </w:t>
      </w:r>
      <w:r w:rsidR="008828FF">
        <w:t>disclosure</w:t>
      </w:r>
      <w:r w:rsidR="001D4686">
        <w:t xml:space="preserve"> requirements, including: requiring the board of directors to review and approve annually the policies and procedures, and requiring the banking organization to report </w:t>
      </w:r>
      <w:r w:rsidR="00234EC0" w:rsidRPr="008E6D22">
        <w:t xml:space="preserve">to the board </w:t>
      </w:r>
      <w:r w:rsidR="006B0157">
        <w:t xml:space="preserve">of directors </w:t>
      </w:r>
      <w:r w:rsidR="00234EC0" w:rsidRPr="008E6D22">
        <w:t>on stress testing developments and results from individual and collective stress tests as well as on compliance with stress testing policy</w:t>
      </w:r>
      <w:r w:rsidR="00234EC0">
        <w:t>.</w:t>
      </w:r>
      <w:r w:rsidR="00A64FB3">
        <w:rPr>
          <w:szCs w:val="24"/>
        </w:rPr>
        <w:t xml:space="preserve">  </w:t>
      </w:r>
      <w:r w:rsidRPr="00386084">
        <w:rPr>
          <w:szCs w:val="24"/>
        </w:rPr>
        <w:t>The</w:t>
      </w:r>
      <w:r w:rsidR="00CB79CC">
        <w:rPr>
          <w:szCs w:val="24"/>
        </w:rPr>
        <w:t>se</w:t>
      </w:r>
      <w:r w:rsidRPr="00386084">
        <w:rPr>
          <w:szCs w:val="24"/>
        </w:rPr>
        <w:t xml:space="preserve"> </w:t>
      </w:r>
      <w:r w:rsidR="00043C54">
        <w:rPr>
          <w:szCs w:val="24"/>
        </w:rPr>
        <w:t>recordkeeping and disclosure requirements</w:t>
      </w:r>
      <w:r w:rsidRPr="00386084">
        <w:rPr>
          <w:szCs w:val="24"/>
        </w:rPr>
        <w:t xml:space="preserve"> represent </w:t>
      </w:r>
      <w:r w:rsidR="00196939">
        <w:rPr>
          <w:szCs w:val="24"/>
        </w:rPr>
        <w:t>less than 1</w:t>
      </w:r>
      <w:r w:rsidRPr="00386084">
        <w:rPr>
          <w:szCs w:val="24"/>
        </w:rPr>
        <w:t xml:space="preserve"> percent of total Federal Reserve System paperwork burden.</w:t>
      </w:r>
      <w:r w:rsidR="005435E5" w:rsidRPr="00386084">
        <w:rPr>
          <w:szCs w:val="24"/>
        </w:rPr>
        <w:t xml:space="preserve">  </w:t>
      </w:r>
    </w:p>
    <w:p w:rsidR="00E47C70" w:rsidRDefault="00E47C70">
      <w:pPr>
        <w:widowControl/>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3258"/>
        <w:gridCol w:w="180"/>
        <w:gridCol w:w="1440"/>
        <w:gridCol w:w="1260"/>
        <w:gridCol w:w="1890"/>
        <w:gridCol w:w="1548"/>
      </w:tblGrid>
      <w:tr w:rsidR="00FC29CD" w:rsidRPr="00386084" w:rsidTr="003643AD">
        <w:trPr>
          <w:trHeight w:val="935"/>
        </w:trPr>
        <w:tc>
          <w:tcPr>
            <w:tcW w:w="3258" w:type="dxa"/>
          </w:tcPr>
          <w:p w:rsidR="00FC29CD" w:rsidRPr="00386084" w:rsidRDefault="007D79CD" w:rsidP="00FC29CD">
            <w:pPr>
              <w:jc w:val="center"/>
              <w:rPr>
                <w:rFonts w:ascii="Times New Roman" w:hAnsi="Times New Roman"/>
                <w:color w:val="000000"/>
              </w:rPr>
            </w:pPr>
            <w:r>
              <w:rPr>
                <w:szCs w:val="24"/>
              </w:rPr>
              <w:br w:type="page"/>
            </w:r>
            <w:r w:rsidR="00094E90">
              <w:rPr>
                <w:szCs w:val="24"/>
              </w:rPr>
              <w:br w:type="page"/>
            </w:r>
          </w:p>
        </w:tc>
        <w:tc>
          <w:tcPr>
            <w:tcW w:w="1620" w:type="dxa"/>
            <w:gridSpan w:val="2"/>
          </w:tcPr>
          <w:p w:rsidR="00FC29CD" w:rsidRPr="00043C54" w:rsidRDefault="00B53C21" w:rsidP="00CF0151">
            <w:pPr>
              <w:jc w:val="center"/>
              <w:rPr>
                <w:rFonts w:ascii="Times New Roman" w:hAnsi="Times New Roman"/>
                <w:i/>
                <w:color w:val="000000"/>
              </w:rPr>
            </w:pPr>
            <w:r w:rsidRPr="00B53C21">
              <w:rPr>
                <w:rFonts w:ascii="Times New Roman" w:hAnsi="Times New Roman"/>
                <w:i/>
                <w:color w:val="000000"/>
              </w:rPr>
              <w:t xml:space="preserve">Number of </w:t>
            </w:r>
            <w:r w:rsidR="00043C54">
              <w:rPr>
                <w:rFonts w:ascii="Times New Roman" w:hAnsi="Times New Roman"/>
                <w:i/>
                <w:color w:val="000000"/>
              </w:rPr>
              <w:t>r</w:t>
            </w:r>
            <w:r w:rsidRPr="00B53C21">
              <w:rPr>
                <w:rFonts w:ascii="Times New Roman" w:hAnsi="Times New Roman"/>
                <w:i/>
                <w:color w:val="000000"/>
              </w:rPr>
              <w:t>espondents</w:t>
            </w:r>
            <w:r w:rsidR="00AE556C" w:rsidRPr="00AE556C">
              <w:rPr>
                <w:rStyle w:val="FootnoteReference"/>
                <w:i/>
                <w:color w:val="000000"/>
                <w:vertAlign w:val="superscript"/>
              </w:rPr>
              <w:footnoteReference w:id="5"/>
            </w:r>
          </w:p>
        </w:tc>
        <w:tc>
          <w:tcPr>
            <w:tcW w:w="1260" w:type="dxa"/>
          </w:tcPr>
          <w:p w:rsidR="00FC29CD" w:rsidRPr="00043C54" w:rsidRDefault="00043C54" w:rsidP="00043C54">
            <w:pPr>
              <w:jc w:val="center"/>
              <w:rPr>
                <w:rFonts w:ascii="Times New Roman" w:hAnsi="Times New Roman"/>
                <w:i/>
                <w:color w:val="000000"/>
              </w:rPr>
            </w:pPr>
            <w:r>
              <w:rPr>
                <w:rFonts w:ascii="Times New Roman" w:hAnsi="Times New Roman"/>
                <w:i/>
                <w:color w:val="000000"/>
              </w:rPr>
              <w:t>Estimated annual f</w:t>
            </w:r>
            <w:r w:rsidR="00B53C21" w:rsidRPr="00B53C21">
              <w:rPr>
                <w:rFonts w:ascii="Times New Roman" w:hAnsi="Times New Roman"/>
                <w:i/>
                <w:color w:val="000000"/>
              </w:rPr>
              <w:t>requency</w:t>
            </w:r>
          </w:p>
        </w:tc>
        <w:tc>
          <w:tcPr>
            <w:tcW w:w="1890" w:type="dxa"/>
          </w:tcPr>
          <w:p w:rsidR="00FC29CD" w:rsidRPr="00043C54" w:rsidRDefault="00B53C21" w:rsidP="00043C54">
            <w:pPr>
              <w:jc w:val="center"/>
              <w:rPr>
                <w:rFonts w:ascii="Times New Roman" w:hAnsi="Times New Roman"/>
                <w:i/>
                <w:color w:val="000000"/>
              </w:rPr>
            </w:pPr>
            <w:r w:rsidRPr="00B53C21">
              <w:rPr>
                <w:rFonts w:ascii="Times New Roman" w:hAnsi="Times New Roman"/>
                <w:i/>
                <w:color w:val="000000"/>
              </w:rPr>
              <w:t xml:space="preserve">Estimated </w:t>
            </w:r>
            <w:r w:rsidR="00043C54">
              <w:rPr>
                <w:rFonts w:ascii="Times New Roman" w:hAnsi="Times New Roman"/>
                <w:i/>
                <w:color w:val="000000"/>
              </w:rPr>
              <w:t>a</w:t>
            </w:r>
            <w:r w:rsidRPr="00B53C21">
              <w:rPr>
                <w:rFonts w:ascii="Times New Roman" w:hAnsi="Times New Roman"/>
                <w:i/>
                <w:color w:val="000000"/>
              </w:rPr>
              <w:t xml:space="preserve">verage </w:t>
            </w:r>
            <w:r w:rsidR="00043C54">
              <w:rPr>
                <w:rFonts w:ascii="Times New Roman" w:hAnsi="Times New Roman"/>
                <w:i/>
                <w:color w:val="000000"/>
              </w:rPr>
              <w:t>h</w:t>
            </w:r>
            <w:r w:rsidRPr="00B53C21">
              <w:rPr>
                <w:rFonts w:ascii="Times New Roman" w:hAnsi="Times New Roman"/>
                <w:i/>
                <w:color w:val="000000"/>
              </w:rPr>
              <w:t xml:space="preserve">ours per </w:t>
            </w:r>
            <w:r w:rsidR="00043C54">
              <w:rPr>
                <w:rFonts w:ascii="Times New Roman" w:hAnsi="Times New Roman"/>
                <w:i/>
                <w:color w:val="000000"/>
              </w:rPr>
              <w:t>r</w:t>
            </w:r>
            <w:r w:rsidRPr="00B53C21">
              <w:rPr>
                <w:rFonts w:ascii="Times New Roman" w:hAnsi="Times New Roman"/>
                <w:i/>
                <w:color w:val="000000"/>
              </w:rPr>
              <w:t>esponse</w:t>
            </w:r>
          </w:p>
        </w:tc>
        <w:tc>
          <w:tcPr>
            <w:tcW w:w="1548" w:type="dxa"/>
          </w:tcPr>
          <w:p w:rsidR="00FC29CD" w:rsidRPr="00043C54" w:rsidRDefault="00043C54" w:rsidP="00043C54">
            <w:pPr>
              <w:jc w:val="center"/>
              <w:rPr>
                <w:rFonts w:ascii="Times New Roman" w:hAnsi="Times New Roman"/>
                <w:i/>
                <w:color w:val="000000"/>
              </w:rPr>
            </w:pPr>
            <w:r>
              <w:rPr>
                <w:rFonts w:ascii="Times New Roman" w:hAnsi="Times New Roman"/>
                <w:i/>
                <w:color w:val="000000"/>
              </w:rPr>
              <w:t>Estimated annual</w:t>
            </w:r>
            <w:r w:rsidR="00B53C21" w:rsidRPr="00B53C21">
              <w:rPr>
                <w:rFonts w:ascii="Times New Roman" w:hAnsi="Times New Roman"/>
                <w:i/>
                <w:color w:val="000000"/>
              </w:rPr>
              <w:t xml:space="preserve"> </w:t>
            </w:r>
            <w:r>
              <w:rPr>
                <w:rFonts w:ascii="Times New Roman" w:hAnsi="Times New Roman"/>
                <w:i/>
                <w:color w:val="000000"/>
              </w:rPr>
              <w:t>b</w:t>
            </w:r>
            <w:r w:rsidR="00B53C21" w:rsidRPr="00B53C21">
              <w:rPr>
                <w:rFonts w:ascii="Times New Roman" w:hAnsi="Times New Roman"/>
                <w:i/>
                <w:color w:val="000000"/>
              </w:rPr>
              <w:t xml:space="preserve">urden </w:t>
            </w:r>
            <w:r>
              <w:rPr>
                <w:rFonts w:ascii="Times New Roman" w:hAnsi="Times New Roman"/>
                <w:i/>
                <w:color w:val="000000"/>
              </w:rPr>
              <w:t>h</w:t>
            </w:r>
            <w:r w:rsidR="00B53C21" w:rsidRPr="00B53C21">
              <w:rPr>
                <w:rFonts w:ascii="Times New Roman" w:hAnsi="Times New Roman"/>
                <w:i/>
                <w:color w:val="000000"/>
              </w:rPr>
              <w:t>ours</w:t>
            </w:r>
          </w:p>
        </w:tc>
      </w:tr>
      <w:tr w:rsidR="00FC29CD" w:rsidRPr="00386084" w:rsidTr="0036791E">
        <w:tc>
          <w:tcPr>
            <w:tcW w:w="3438" w:type="dxa"/>
            <w:gridSpan w:val="2"/>
          </w:tcPr>
          <w:p w:rsidR="00FC29CD" w:rsidRPr="00386084" w:rsidRDefault="00FC29CD" w:rsidP="002A6CC9">
            <w:pPr>
              <w:rPr>
                <w:rFonts w:ascii="Times New Roman" w:hAnsi="Times New Roman"/>
                <w:color w:val="000000"/>
                <w:sz w:val="22"/>
                <w:szCs w:val="22"/>
              </w:rPr>
            </w:pPr>
          </w:p>
        </w:tc>
        <w:tc>
          <w:tcPr>
            <w:tcW w:w="1440" w:type="dxa"/>
          </w:tcPr>
          <w:p w:rsidR="0048574D" w:rsidRPr="00386084" w:rsidRDefault="0048574D" w:rsidP="0048574D">
            <w:pPr>
              <w:jc w:val="center"/>
              <w:rPr>
                <w:rFonts w:ascii="Times New Roman" w:hAnsi="Times New Roman"/>
                <w:color w:val="000000"/>
                <w:sz w:val="22"/>
                <w:szCs w:val="22"/>
              </w:rPr>
            </w:pPr>
          </w:p>
        </w:tc>
        <w:tc>
          <w:tcPr>
            <w:tcW w:w="1260" w:type="dxa"/>
          </w:tcPr>
          <w:p w:rsidR="0048574D" w:rsidRPr="00386084" w:rsidRDefault="0048574D" w:rsidP="0048574D">
            <w:pPr>
              <w:jc w:val="center"/>
              <w:rPr>
                <w:rFonts w:ascii="Times New Roman" w:hAnsi="Times New Roman"/>
                <w:color w:val="000000"/>
                <w:sz w:val="22"/>
                <w:szCs w:val="22"/>
              </w:rPr>
            </w:pPr>
          </w:p>
        </w:tc>
        <w:tc>
          <w:tcPr>
            <w:tcW w:w="1890" w:type="dxa"/>
          </w:tcPr>
          <w:p w:rsidR="00FC29CD" w:rsidRPr="00386084" w:rsidRDefault="00FC29CD" w:rsidP="00FC29CD">
            <w:pPr>
              <w:jc w:val="center"/>
              <w:rPr>
                <w:rFonts w:ascii="Times New Roman" w:hAnsi="Times New Roman"/>
                <w:color w:val="000000"/>
                <w:sz w:val="22"/>
                <w:szCs w:val="22"/>
              </w:rPr>
            </w:pPr>
          </w:p>
        </w:tc>
        <w:tc>
          <w:tcPr>
            <w:tcW w:w="1548" w:type="dxa"/>
          </w:tcPr>
          <w:p w:rsidR="0048574D" w:rsidRPr="00386084" w:rsidRDefault="0048574D" w:rsidP="0048574D">
            <w:pPr>
              <w:jc w:val="right"/>
              <w:rPr>
                <w:rFonts w:ascii="Times New Roman" w:hAnsi="Times New Roman"/>
                <w:color w:val="000000"/>
                <w:sz w:val="22"/>
                <w:szCs w:val="22"/>
              </w:rPr>
            </w:pPr>
          </w:p>
        </w:tc>
      </w:tr>
      <w:tr w:rsidR="00FC29CD" w:rsidRPr="00386084" w:rsidTr="0036791E">
        <w:tc>
          <w:tcPr>
            <w:tcW w:w="3438" w:type="dxa"/>
            <w:gridSpan w:val="2"/>
          </w:tcPr>
          <w:p w:rsidR="00FC29CD" w:rsidRPr="00386084" w:rsidRDefault="00FC29CD" w:rsidP="00FC29CD">
            <w:pPr>
              <w:rPr>
                <w:rFonts w:ascii="Times New Roman" w:hAnsi="Times New Roman"/>
                <w:color w:val="000000"/>
                <w:sz w:val="22"/>
                <w:szCs w:val="22"/>
              </w:rPr>
            </w:pPr>
          </w:p>
        </w:tc>
        <w:tc>
          <w:tcPr>
            <w:tcW w:w="1440" w:type="dxa"/>
          </w:tcPr>
          <w:p w:rsidR="0048574D" w:rsidRPr="00386084" w:rsidRDefault="0048574D" w:rsidP="0048574D">
            <w:pPr>
              <w:jc w:val="center"/>
              <w:rPr>
                <w:rFonts w:ascii="Times New Roman" w:hAnsi="Times New Roman"/>
                <w:color w:val="000000"/>
                <w:sz w:val="22"/>
                <w:szCs w:val="22"/>
              </w:rPr>
            </w:pPr>
          </w:p>
        </w:tc>
        <w:tc>
          <w:tcPr>
            <w:tcW w:w="1260" w:type="dxa"/>
          </w:tcPr>
          <w:p w:rsidR="0048574D" w:rsidRPr="00386084" w:rsidRDefault="0048574D" w:rsidP="0048574D">
            <w:pPr>
              <w:jc w:val="center"/>
              <w:rPr>
                <w:rFonts w:ascii="Times New Roman" w:hAnsi="Times New Roman"/>
                <w:color w:val="000000"/>
                <w:sz w:val="22"/>
                <w:szCs w:val="22"/>
              </w:rPr>
            </w:pPr>
          </w:p>
        </w:tc>
        <w:tc>
          <w:tcPr>
            <w:tcW w:w="1890" w:type="dxa"/>
          </w:tcPr>
          <w:p w:rsidR="00FC29CD" w:rsidRPr="00386084" w:rsidRDefault="00FC29CD" w:rsidP="00FC29CD">
            <w:pPr>
              <w:jc w:val="center"/>
              <w:rPr>
                <w:rFonts w:ascii="Times New Roman" w:hAnsi="Times New Roman"/>
                <w:color w:val="000000"/>
                <w:sz w:val="22"/>
                <w:szCs w:val="22"/>
              </w:rPr>
            </w:pPr>
          </w:p>
        </w:tc>
        <w:tc>
          <w:tcPr>
            <w:tcW w:w="1548" w:type="dxa"/>
          </w:tcPr>
          <w:p w:rsidR="0048574D" w:rsidRPr="00386084" w:rsidRDefault="0048574D" w:rsidP="0048574D">
            <w:pPr>
              <w:jc w:val="right"/>
              <w:rPr>
                <w:rFonts w:ascii="Times New Roman" w:hAnsi="Times New Roman"/>
                <w:color w:val="000000"/>
                <w:sz w:val="22"/>
                <w:szCs w:val="22"/>
              </w:rPr>
            </w:pPr>
          </w:p>
        </w:tc>
      </w:tr>
      <w:tr w:rsidR="00FC29CD" w:rsidRPr="00386084" w:rsidTr="0036791E">
        <w:tc>
          <w:tcPr>
            <w:tcW w:w="3438" w:type="dxa"/>
            <w:gridSpan w:val="2"/>
          </w:tcPr>
          <w:p w:rsidR="00D510AB" w:rsidRPr="00386084" w:rsidRDefault="007D79CD" w:rsidP="002A6CC9">
            <w:pPr>
              <w:rPr>
                <w:rFonts w:ascii="Times New Roman" w:hAnsi="Times New Roman"/>
                <w:color w:val="000000"/>
                <w:sz w:val="22"/>
                <w:szCs w:val="22"/>
              </w:rPr>
            </w:pPr>
            <w:r>
              <w:rPr>
                <w:rFonts w:ascii="Times New Roman" w:hAnsi="Times New Roman"/>
                <w:color w:val="000000"/>
                <w:sz w:val="22"/>
                <w:szCs w:val="22"/>
              </w:rPr>
              <w:t>Recordkeeping</w:t>
            </w:r>
          </w:p>
        </w:tc>
        <w:tc>
          <w:tcPr>
            <w:tcW w:w="1440" w:type="dxa"/>
          </w:tcPr>
          <w:p w:rsidR="00697CC5" w:rsidRPr="00386084" w:rsidRDefault="005839B1" w:rsidP="0048574D">
            <w:pPr>
              <w:jc w:val="center"/>
              <w:rPr>
                <w:rFonts w:ascii="Times New Roman" w:hAnsi="Times New Roman"/>
                <w:color w:val="000000"/>
                <w:sz w:val="22"/>
                <w:szCs w:val="22"/>
              </w:rPr>
            </w:pPr>
            <w:r>
              <w:rPr>
                <w:rFonts w:ascii="Times New Roman" w:hAnsi="Times New Roman"/>
                <w:color w:val="000000"/>
                <w:sz w:val="22"/>
                <w:szCs w:val="22"/>
              </w:rPr>
              <w:t>154</w:t>
            </w:r>
          </w:p>
        </w:tc>
        <w:tc>
          <w:tcPr>
            <w:tcW w:w="1260" w:type="dxa"/>
          </w:tcPr>
          <w:p w:rsidR="00697CC5" w:rsidRPr="00386084" w:rsidRDefault="00CF0151" w:rsidP="0048574D">
            <w:pPr>
              <w:jc w:val="center"/>
              <w:rPr>
                <w:rFonts w:ascii="Times New Roman" w:hAnsi="Times New Roman"/>
                <w:color w:val="000000"/>
                <w:sz w:val="22"/>
                <w:szCs w:val="22"/>
              </w:rPr>
            </w:pPr>
            <w:r>
              <w:rPr>
                <w:rFonts w:ascii="Times New Roman" w:hAnsi="Times New Roman"/>
                <w:color w:val="000000"/>
                <w:sz w:val="22"/>
                <w:szCs w:val="22"/>
              </w:rPr>
              <w:t>1</w:t>
            </w:r>
          </w:p>
        </w:tc>
        <w:tc>
          <w:tcPr>
            <w:tcW w:w="1890" w:type="dxa"/>
          </w:tcPr>
          <w:p w:rsidR="00D510AB" w:rsidRPr="00386084" w:rsidRDefault="007D79CD" w:rsidP="007D79CD">
            <w:pPr>
              <w:jc w:val="center"/>
              <w:rPr>
                <w:rFonts w:ascii="Times New Roman" w:hAnsi="Times New Roman"/>
                <w:color w:val="000000"/>
                <w:sz w:val="22"/>
                <w:szCs w:val="22"/>
              </w:rPr>
            </w:pPr>
            <w:r>
              <w:rPr>
                <w:rFonts w:ascii="Times New Roman" w:hAnsi="Times New Roman"/>
                <w:color w:val="000000"/>
                <w:sz w:val="22"/>
                <w:szCs w:val="22"/>
              </w:rPr>
              <w:t xml:space="preserve"> </w:t>
            </w:r>
            <w:r w:rsidR="00234EC0">
              <w:rPr>
                <w:rFonts w:ascii="Times New Roman" w:hAnsi="Times New Roman"/>
                <w:color w:val="000000"/>
                <w:sz w:val="22"/>
                <w:szCs w:val="22"/>
              </w:rPr>
              <w:t>1</w:t>
            </w:r>
            <w:r>
              <w:rPr>
                <w:rFonts w:ascii="Times New Roman" w:hAnsi="Times New Roman"/>
                <w:color w:val="000000"/>
                <w:sz w:val="22"/>
                <w:szCs w:val="22"/>
              </w:rPr>
              <w:t>80</w:t>
            </w:r>
          </w:p>
        </w:tc>
        <w:tc>
          <w:tcPr>
            <w:tcW w:w="1548" w:type="dxa"/>
          </w:tcPr>
          <w:p w:rsidR="0089021D" w:rsidRDefault="005839B1">
            <w:pPr>
              <w:jc w:val="right"/>
              <w:rPr>
                <w:rFonts w:ascii="Times New Roman" w:hAnsi="Times New Roman"/>
                <w:color w:val="000000"/>
                <w:sz w:val="22"/>
                <w:szCs w:val="22"/>
              </w:rPr>
            </w:pPr>
            <w:r>
              <w:rPr>
                <w:rFonts w:ascii="Times New Roman" w:hAnsi="Times New Roman"/>
                <w:color w:val="000000"/>
                <w:sz w:val="22"/>
                <w:szCs w:val="22"/>
              </w:rPr>
              <w:t>27,720</w:t>
            </w:r>
          </w:p>
        </w:tc>
      </w:tr>
      <w:tr w:rsidR="00D510AB" w:rsidRPr="00386084" w:rsidTr="0036791E">
        <w:tc>
          <w:tcPr>
            <w:tcW w:w="3438" w:type="dxa"/>
            <w:gridSpan w:val="2"/>
          </w:tcPr>
          <w:p w:rsidR="00D510AB" w:rsidRPr="00386084" w:rsidRDefault="00D510AB" w:rsidP="002A6CC9">
            <w:pPr>
              <w:rPr>
                <w:rFonts w:ascii="Times New Roman" w:hAnsi="Times New Roman"/>
                <w:color w:val="000000"/>
                <w:sz w:val="22"/>
                <w:szCs w:val="22"/>
              </w:rPr>
            </w:pPr>
          </w:p>
        </w:tc>
        <w:tc>
          <w:tcPr>
            <w:tcW w:w="1440" w:type="dxa"/>
          </w:tcPr>
          <w:p w:rsidR="00697CC5" w:rsidRPr="00386084" w:rsidRDefault="00697CC5" w:rsidP="0048574D">
            <w:pPr>
              <w:jc w:val="center"/>
              <w:rPr>
                <w:rFonts w:ascii="Times New Roman" w:hAnsi="Times New Roman"/>
                <w:color w:val="000000"/>
                <w:sz w:val="22"/>
                <w:szCs w:val="22"/>
              </w:rPr>
            </w:pPr>
          </w:p>
        </w:tc>
        <w:tc>
          <w:tcPr>
            <w:tcW w:w="1260" w:type="dxa"/>
          </w:tcPr>
          <w:p w:rsidR="00697CC5" w:rsidRPr="00386084" w:rsidRDefault="00697CC5" w:rsidP="0048574D">
            <w:pPr>
              <w:jc w:val="center"/>
              <w:rPr>
                <w:rFonts w:ascii="Times New Roman" w:hAnsi="Times New Roman"/>
                <w:color w:val="000000"/>
                <w:sz w:val="22"/>
                <w:szCs w:val="22"/>
              </w:rPr>
            </w:pPr>
          </w:p>
        </w:tc>
        <w:tc>
          <w:tcPr>
            <w:tcW w:w="1890" w:type="dxa"/>
          </w:tcPr>
          <w:p w:rsidR="00D510AB" w:rsidRPr="00386084" w:rsidRDefault="00D510AB" w:rsidP="00FC29CD">
            <w:pPr>
              <w:jc w:val="center"/>
              <w:rPr>
                <w:rFonts w:ascii="Times New Roman" w:hAnsi="Times New Roman"/>
                <w:color w:val="000000"/>
                <w:sz w:val="22"/>
                <w:szCs w:val="22"/>
              </w:rPr>
            </w:pPr>
          </w:p>
        </w:tc>
        <w:tc>
          <w:tcPr>
            <w:tcW w:w="1548" w:type="dxa"/>
          </w:tcPr>
          <w:p w:rsidR="00697CC5" w:rsidRPr="00386084" w:rsidRDefault="00697CC5" w:rsidP="001D4686">
            <w:pPr>
              <w:jc w:val="right"/>
              <w:rPr>
                <w:rFonts w:ascii="Times New Roman" w:hAnsi="Times New Roman"/>
                <w:color w:val="000000"/>
                <w:sz w:val="22"/>
                <w:szCs w:val="22"/>
              </w:rPr>
            </w:pPr>
          </w:p>
        </w:tc>
      </w:tr>
      <w:tr w:rsidR="00FC29CD" w:rsidRPr="00386084" w:rsidTr="0036791E">
        <w:tc>
          <w:tcPr>
            <w:tcW w:w="3438" w:type="dxa"/>
            <w:gridSpan w:val="2"/>
          </w:tcPr>
          <w:p w:rsidR="00D510AB" w:rsidRPr="00386084" w:rsidRDefault="004B1311" w:rsidP="002A6CC9">
            <w:pPr>
              <w:rPr>
                <w:rFonts w:ascii="Times New Roman" w:hAnsi="Times New Roman"/>
                <w:color w:val="000000"/>
                <w:sz w:val="22"/>
                <w:szCs w:val="22"/>
              </w:rPr>
            </w:pPr>
            <w:r>
              <w:rPr>
                <w:rFonts w:ascii="Times New Roman" w:hAnsi="Times New Roman"/>
                <w:color w:val="000000"/>
                <w:sz w:val="22"/>
                <w:szCs w:val="22"/>
              </w:rPr>
              <w:t>Disclosure</w:t>
            </w:r>
          </w:p>
        </w:tc>
        <w:tc>
          <w:tcPr>
            <w:tcW w:w="1440" w:type="dxa"/>
          </w:tcPr>
          <w:p w:rsidR="00697CC5" w:rsidRPr="00386084" w:rsidRDefault="005839B1" w:rsidP="0048574D">
            <w:pPr>
              <w:jc w:val="center"/>
              <w:rPr>
                <w:rFonts w:ascii="Times New Roman" w:hAnsi="Times New Roman"/>
                <w:color w:val="000000"/>
                <w:sz w:val="22"/>
                <w:szCs w:val="22"/>
              </w:rPr>
            </w:pPr>
            <w:r>
              <w:rPr>
                <w:rFonts w:ascii="Times New Roman" w:hAnsi="Times New Roman"/>
                <w:color w:val="000000"/>
                <w:sz w:val="22"/>
                <w:szCs w:val="22"/>
              </w:rPr>
              <w:t>154</w:t>
            </w:r>
          </w:p>
        </w:tc>
        <w:tc>
          <w:tcPr>
            <w:tcW w:w="1260" w:type="dxa"/>
          </w:tcPr>
          <w:p w:rsidR="00697CC5" w:rsidRPr="00386084" w:rsidRDefault="007D79CD" w:rsidP="0048574D">
            <w:pPr>
              <w:jc w:val="center"/>
              <w:rPr>
                <w:rFonts w:ascii="Times New Roman" w:hAnsi="Times New Roman"/>
                <w:color w:val="000000"/>
                <w:sz w:val="22"/>
                <w:szCs w:val="22"/>
              </w:rPr>
            </w:pPr>
            <w:r>
              <w:rPr>
                <w:rFonts w:ascii="Times New Roman" w:hAnsi="Times New Roman"/>
                <w:color w:val="000000"/>
                <w:sz w:val="22"/>
                <w:szCs w:val="22"/>
              </w:rPr>
              <w:t>1</w:t>
            </w:r>
          </w:p>
        </w:tc>
        <w:tc>
          <w:tcPr>
            <w:tcW w:w="1890" w:type="dxa"/>
          </w:tcPr>
          <w:p w:rsidR="00D510AB" w:rsidRPr="00386084" w:rsidRDefault="005839B1" w:rsidP="00FC29CD">
            <w:pPr>
              <w:jc w:val="center"/>
              <w:rPr>
                <w:rFonts w:ascii="Times New Roman" w:hAnsi="Times New Roman"/>
                <w:color w:val="000000"/>
                <w:sz w:val="22"/>
                <w:szCs w:val="22"/>
              </w:rPr>
            </w:pPr>
            <w:r>
              <w:rPr>
                <w:rFonts w:ascii="Times New Roman" w:hAnsi="Times New Roman"/>
                <w:color w:val="000000"/>
                <w:sz w:val="22"/>
                <w:szCs w:val="22"/>
              </w:rPr>
              <w:t xml:space="preserve">  </w:t>
            </w:r>
            <w:r w:rsidR="007D79CD">
              <w:rPr>
                <w:rFonts w:ascii="Times New Roman" w:hAnsi="Times New Roman"/>
                <w:color w:val="000000"/>
                <w:sz w:val="22"/>
                <w:szCs w:val="22"/>
              </w:rPr>
              <w:t>80</w:t>
            </w:r>
          </w:p>
        </w:tc>
        <w:tc>
          <w:tcPr>
            <w:tcW w:w="1548" w:type="dxa"/>
          </w:tcPr>
          <w:p w:rsidR="0089021D" w:rsidRDefault="005839B1">
            <w:pPr>
              <w:jc w:val="right"/>
              <w:rPr>
                <w:rFonts w:ascii="Times New Roman" w:hAnsi="Times New Roman"/>
                <w:color w:val="000000"/>
                <w:sz w:val="22"/>
                <w:szCs w:val="22"/>
                <w:u w:val="single"/>
              </w:rPr>
            </w:pPr>
            <w:r>
              <w:rPr>
                <w:rFonts w:ascii="Times New Roman" w:hAnsi="Times New Roman"/>
                <w:color w:val="000000"/>
                <w:sz w:val="22"/>
                <w:szCs w:val="22"/>
                <w:u w:val="single"/>
              </w:rPr>
              <w:t>12,320</w:t>
            </w:r>
          </w:p>
        </w:tc>
      </w:tr>
      <w:tr w:rsidR="007D79CD" w:rsidRPr="00386084" w:rsidTr="0036791E">
        <w:tc>
          <w:tcPr>
            <w:tcW w:w="3438" w:type="dxa"/>
            <w:gridSpan w:val="2"/>
          </w:tcPr>
          <w:p w:rsidR="007D79CD" w:rsidRDefault="007D79CD" w:rsidP="002A6CC9">
            <w:pPr>
              <w:rPr>
                <w:rFonts w:ascii="Times New Roman" w:hAnsi="Times New Roman"/>
                <w:color w:val="000000"/>
                <w:sz w:val="22"/>
                <w:szCs w:val="22"/>
              </w:rPr>
            </w:pPr>
          </w:p>
        </w:tc>
        <w:tc>
          <w:tcPr>
            <w:tcW w:w="1440" w:type="dxa"/>
          </w:tcPr>
          <w:p w:rsidR="007D79CD" w:rsidRDefault="007D79CD" w:rsidP="0048574D">
            <w:pPr>
              <w:jc w:val="center"/>
              <w:rPr>
                <w:rFonts w:ascii="Times New Roman" w:hAnsi="Times New Roman"/>
                <w:color w:val="000000"/>
                <w:sz w:val="22"/>
                <w:szCs w:val="22"/>
              </w:rPr>
            </w:pPr>
          </w:p>
        </w:tc>
        <w:tc>
          <w:tcPr>
            <w:tcW w:w="1260" w:type="dxa"/>
          </w:tcPr>
          <w:p w:rsidR="007D79CD" w:rsidRDefault="007D79CD" w:rsidP="0048574D">
            <w:pPr>
              <w:jc w:val="center"/>
              <w:rPr>
                <w:rFonts w:ascii="Times New Roman" w:hAnsi="Times New Roman"/>
                <w:color w:val="000000"/>
                <w:sz w:val="22"/>
                <w:szCs w:val="22"/>
              </w:rPr>
            </w:pPr>
          </w:p>
        </w:tc>
        <w:tc>
          <w:tcPr>
            <w:tcW w:w="1890" w:type="dxa"/>
          </w:tcPr>
          <w:p w:rsidR="007D79CD" w:rsidRDefault="007D79CD" w:rsidP="00FC29CD">
            <w:pPr>
              <w:jc w:val="center"/>
              <w:rPr>
                <w:rFonts w:ascii="Times New Roman" w:hAnsi="Times New Roman"/>
                <w:color w:val="000000"/>
                <w:sz w:val="22"/>
                <w:szCs w:val="22"/>
              </w:rPr>
            </w:pPr>
          </w:p>
        </w:tc>
        <w:tc>
          <w:tcPr>
            <w:tcW w:w="1548" w:type="dxa"/>
          </w:tcPr>
          <w:p w:rsidR="0089021D" w:rsidRDefault="0089021D">
            <w:pPr>
              <w:jc w:val="right"/>
              <w:rPr>
                <w:rFonts w:ascii="Times New Roman" w:hAnsi="Times New Roman"/>
                <w:color w:val="000000"/>
                <w:sz w:val="22"/>
                <w:szCs w:val="22"/>
              </w:rPr>
            </w:pPr>
          </w:p>
        </w:tc>
      </w:tr>
      <w:tr w:rsidR="007D79CD" w:rsidRPr="00386084" w:rsidTr="0036791E">
        <w:tc>
          <w:tcPr>
            <w:tcW w:w="3438" w:type="dxa"/>
            <w:gridSpan w:val="2"/>
          </w:tcPr>
          <w:p w:rsidR="007D79CD" w:rsidRPr="007D79CD" w:rsidRDefault="007D79CD" w:rsidP="007D79CD">
            <w:pPr>
              <w:jc w:val="right"/>
              <w:rPr>
                <w:rFonts w:ascii="Times New Roman" w:hAnsi="Times New Roman"/>
                <w:i/>
                <w:color w:val="000000"/>
                <w:sz w:val="22"/>
                <w:szCs w:val="22"/>
              </w:rPr>
            </w:pPr>
            <w:r w:rsidRPr="007D79CD">
              <w:rPr>
                <w:rFonts w:ascii="Times New Roman" w:hAnsi="Times New Roman"/>
                <w:i/>
                <w:color w:val="000000"/>
                <w:sz w:val="22"/>
                <w:szCs w:val="22"/>
              </w:rPr>
              <w:t>Total</w:t>
            </w:r>
          </w:p>
        </w:tc>
        <w:tc>
          <w:tcPr>
            <w:tcW w:w="1440" w:type="dxa"/>
          </w:tcPr>
          <w:p w:rsidR="007D79CD" w:rsidRPr="00386084" w:rsidRDefault="007D79CD" w:rsidP="0048574D">
            <w:pPr>
              <w:jc w:val="center"/>
              <w:rPr>
                <w:rFonts w:ascii="Times New Roman" w:hAnsi="Times New Roman"/>
                <w:color w:val="000000"/>
                <w:sz w:val="22"/>
                <w:szCs w:val="22"/>
              </w:rPr>
            </w:pPr>
          </w:p>
        </w:tc>
        <w:tc>
          <w:tcPr>
            <w:tcW w:w="1260" w:type="dxa"/>
          </w:tcPr>
          <w:p w:rsidR="007D79CD" w:rsidRPr="00386084" w:rsidRDefault="007D79CD" w:rsidP="0048574D">
            <w:pPr>
              <w:jc w:val="center"/>
              <w:rPr>
                <w:rFonts w:ascii="Times New Roman" w:hAnsi="Times New Roman"/>
                <w:color w:val="000000"/>
                <w:sz w:val="22"/>
                <w:szCs w:val="22"/>
              </w:rPr>
            </w:pPr>
          </w:p>
        </w:tc>
        <w:tc>
          <w:tcPr>
            <w:tcW w:w="1890" w:type="dxa"/>
          </w:tcPr>
          <w:p w:rsidR="007D79CD" w:rsidRPr="00386084" w:rsidRDefault="007D79CD" w:rsidP="00FC29CD">
            <w:pPr>
              <w:jc w:val="center"/>
              <w:rPr>
                <w:rFonts w:ascii="Times New Roman" w:hAnsi="Times New Roman"/>
                <w:color w:val="000000"/>
                <w:sz w:val="22"/>
                <w:szCs w:val="22"/>
              </w:rPr>
            </w:pPr>
          </w:p>
        </w:tc>
        <w:tc>
          <w:tcPr>
            <w:tcW w:w="1548" w:type="dxa"/>
          </w:tcPr>
          <w:p w:rsidR="0089021D" w:rsidRDefault="005839B1">
            <w:pPr>
              <w:jc w:val="right"/>
              <w:rPr>
                <w:rFonts w:ascii="Times New Roman" w:hAnsi="Times New Roman"/>
                <w:color w:val="000000"/>
                <w:sz w:val="22"/>
                <w:szCs w:val="22"/>
              </w:rPr>
            </w:pPr>
            <w:r>
              <w:rPr>
                <w:rFonts w:ascii="Times New Roman" w:hAnsi="Times New Roman"/>
                <w:color w:val="000000"/>
                <w:sz w:val="22"/>
                <w:szCs w:val="22"/>
              </w:rPr>
              <w:t>40,040</w:t>
            </w:r>
          </w:p>
        </w:tc>
      </w:tr>
      <w:tr w:rsidR="007D79CD" w:rsidRPr="00386084" w:rsidTr="0036791E">
        <w:tc>
          <w:tcPr>
            <w:tcW w:w="3438" w:type="dxa"/>
            <w:gridSpan w:val="2"/>
          </w:tcPr>
          <w:p w:rsidR="007D79CD" w:rsidRPr="00386084" w:rsidRDefault="007D79CD" w:rsidP="002A6CC9">
            <w:pPr>
              <w:rPr>
                <w:rFonts w:ascii="Times New Roman" w:hAnsi="Times New Roman"/>
                <w:color w:val="000000"/>
                <w:sz w:val="22"/>
                <w:szCs w:val="22"/>
              </w:rPr>
            </w:pPr>
          </w:p>
        </w:tc>
        <w:tc>
          <w:tcPr>
            <w:tcW w:w="1440" w:type="dxa"/>
          </w:tcPr>
          <w:p w:rsidR="007D79CD" w:rsidRPr="00386084" w:rsidRDefault="007D79CD" w:rsidP="0048574D">
            <w:pPr>
              <w:jc w:val="center"/>
              <w:rPr>
                <w:rFonts w:ascii="Times New Roman" w:hAnsi="Times New Roman"/>
                <w:color w:val="000000"/>
                <w:sz w:val="22"/>
                <w:szCs w:val="22"/>
              </w:rPr>
            </w:pPr>
          </w:p>
        </w:tc>
        <w:tc>
          <w:tcPr>
            <w:tcW w:w="1260" w:type="dxa"/>
          </w:tcPr>
          <w:p w:rsidR="007D79CD" w:rsidRPr="00386084" w:rsidRDefault="007D79CD" w:rsidP="0048574D">
            <w:pPr>
              <w:jc w:val="center"/>
              <w:rPr>
                <w:rFonts w:ascii="Times New Roman" w:hAnsi="Times New Roman"/>
                <w:color w:val="000000"/>
                <w:sz w:val="22"/>
                <w:szCs w:val="22"/>
              </w:rPr>
            </w:pPr>
          </w:p>
        </w:tc>
        <w:tc>
          <w:tcPr>
            <w:tcW w:w="1890" w:type="dxa"/>
          </w:tcPr>
          <w:p w:rsidR="007D79CD" w:rsidRPr="00386084" w:rsidRDefault="007D79CD" w:rsidP="00FC29CD">
            <w:pPr>
              <w:jc w:val="center"/>
              <w:rPr>
                <w:rFonts w:ascii="Times New Roman" w:hAnsi="Times New Roman"/>
                <w:color w:val="000000"/>
                <w:sz w:val="22"/>
                <w:szCs w:val="22"/>
              </w:rPr>
            </w:pPr>
          </w:p>
        </w:tc>
        <w:tc>
          <w:tcPr>
            <w:tcW w:w="1548" w:type="dxa"/>
          </w:tcPr>
          <w:p w:rsidR="007D79CD" w:rsidRPr="00386084" w:rsidRDefault="007D79CD" w:rsidP="0048574D">
            <w:pPr>
              <w:jc w:val="right"/>
              <w:rPr>
                <w:rFonts w:ascii="Times New Roman" w:hAnsi="Times New Roman"/>
                <w:color w:val="000000"/>
                <w:sz w:val="22"/>
                <w:szCs w:val="22"/>
              </w:rPr>
            </w:pPr>
          </w:p>
        </w:tc>
      </w:tr>
    </w:tbl>
    <w:p w:rsidR="007D79CD" w:rsidRDefault="007D79CD" w:rsidP="007D79CD">
      <w:pPr>
        <w:pStyle w:val="BodyTextIndent"/>
        <w:spacing w:after="0"/>
        <w:ind w:firstLine="0"/>
        <w:rPr>
          <w:szCs w:val="24"/>
        </w:rPr>
      </w:pPr>
    </w:p>
    <w:p w:rsidR="007D79CD" w:rsidRDefault="007D79CD" w:rsidP="007D79CD">
      <w:pPr>
        <w:pStyle w:val="BodyTextIndent"/>
        <w:spacing w:after="0"/>
        <w:ind w:firstLine="0"/>
        <w:rPr>
          <w:szCs w:val="24"/>
        </w:rPr>
      </w:pPr>
      <w:r w:rsidRPr="002109BD">
        <w:rPr>
          <w:szCs w:val="24"/>
        </w:rPr>
        <w:t>The total cost to the public is estimated to be $1</w:t>
      </w:r>
      <w:r w:rsidR="005839B1">
        <w:rPr>
          <w:szCs w:val="24"/>
        </w:rPr>
        <w:t>,795,794</w:t>
      </w:r>
      <w:r w:rsidR="00B948CC">
        <w:rPr>
          <w:szCs w:val="24"/>
        </w:rPr>
        <w:t>.</w:t>
      </w:r>
      <w:r w:rsidR="003F5D9B" w:rsidRPr="002109BD">
        <w:rPr>
          <w:rStyle w:val="FootnoteReference"/>
          <w:szCs w:val="24"/>
          <w:vertAlign w:val="superscript"/>
        </w:rPr>
        <w:footnoteReference w:id="6"/>
      </w:r>
    </w:p>
    <w:p w:rsidR="00CB79CC" w:rsidRPr="002109BD" w:rsidRDefault="00CB79CC" w:rsidP="007D79CD">
      <w:pPr>
        <w:pStyle w:val="BodyTextIndent"/>
        <w:spacing w:after="0"/>
        <w:ind w:firstLine="0"/>
        <w:rPr>
          <w:szCs w:val="24"/>
        </w:rPr>
      </w:pPr>
    </w:p>
    <w:p w:rsidR="00D757AD" w:rsidRPr="00386084" w:rsidRDefault="00094E90">
      <w:pPr>
        <w:widowControl/>
        <w:rPr>
          <w:rFonts w:ascii="Times New Roman" w:hAnsi="Times New Roman"/>
          <w:szCs w:val="24"/>
        </w:rPr>
      </w:pPr>
      <w:r>
        <w:rPr>
          <w:rFonts w:ascii="Times New Roman" w:hAnsi="Times New Roman"/>
          <w:b/>
          <w:szCs w:val="24"/>
        </w:rPr>
        <w:t>E</w:t>
      </w:r>
      <w:r w:rsidR="00D757AD" w:rsidRPr="00386084">
        <w:rPr>
          <w:rFonts w:ascii="Times New Roman" w:hAnsi="Times New Roman"/>
          <w:b/>
          <w:szCs w:val="24"/>
        </w:rPr>
        <w:t xml:space="preserve">stimate of Cost to the Federal Reserve System </w:t>
      </w:r>
    </w:p>
    <w:p w:rsidR="0001410D" w:rsidRPr="00386084" w:rsidRDefault="0001410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757AD" w:rsidRPr="00386084" w:rsidRDefault="00D757AD" w:rsidP="006219C4">
      <w:pPr>
        <w:widowControl/>
        <w:tabs>
          <w:tab w:val="left" w:pos="-1440"/>
          <w:tab w:val="left" w:pos="-720"/>
        </w:tabs>
        <w:ind w:firstLine="720"/>
        <w:rPr>
          <w:rFonts w:ascii="Times New Roman" w:hAnsi="Times New Roman"/>
          <w:szCs w:val="24"/>
        </w:rPr>
      </w:pPr>
      <w:r w:rsidRPr="00386084">
        <w:rPr>
          <w:rFonts w:ascii="Times New Roman" w:hAnsi="Times New Roman"/>
          <w:szCs w:val="24"/>
        </w:rPr>
        <w:t xml:space="preserve">Since the </w:t>
      </w:r>
      <w:r w:rsidR="00D505C1">
        <w:rPr>
          <w:rFonts w:ascii="Times New Roman" w:hAnsi="Times New Roman"/>
          <w:szCs w:val="24"/>
        </w:rPr>
        <w:t>FR 4202</w:t>
      </w:r>
      <w:r w:rsidR="00F075D3" w:rsidRPr="00386084">
        <w:rPr>
          <w:rFonts w:ascii="Times New Roman" w:hAnsi="Times New Roman"/>
          <w:szCs w:val="24"/>
        </w:rPr>
        <w:t xml:space="preserve"> does not require the </w:t>
      </w:r>
      <w:r w:rsidRPr="00386084">
        <w:rPr>
          <w:rFonts w:ascii="Times New Roman" w:hAnsi="Times New Roman"/>
          <w:szCs w:val="24"/>
        </w:rPr>
        <w:t>Federal Reserve</w:t>
      </w:r>
      <w:r w:rsidR="00F075D3" w:rsidRPr="00386084">
        <w:rPr>
          <w:rFonts w:ascii="Times New Roman" w:hAnsi="Times New Roman"/>
          <w:szCs w:val="24"/>
        </w:rPr>
        <w:t xml:space="preserve"> to</w:t>
      </w:r>
      <w:r w:rsidRPr="00386084">
        <w:rPr>
          <w:rFonts w:ascii="Times New Roman" w:hAnsi="Times New Roman"/>
          <w:szCs w:val="24"/>
        </w:rPr>
        <w:t xml:space="preserve"> collect any information, the cost to the Federal Reserve System is negligible.</w:t>
      </w:r>
    </w:p>
    <w:sectPr w:rsidR="00D757AD" w:rsidRPr="00386084" w:rsidSect="00386084">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71F" w:rsidRDefault="00D3471F" w:rsidP="002C3F4E">
      <w:r>
        <w:separator/>
      </w:r>
    </w:p>
  </w:endnote>
  <w:endnote w:type="continuationSeparator" w:id="0">
    <w:p w:rsidR="00D3471F" w:rsidRDefault="00D3471F" w:rsidP="002C3F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71F" w:rsidRDefault="00D3471F" w:rsidP="00163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471F" w:rsidRDefault="00D34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241831391"/>
      <w:docPartObj>
        <w:docPartGallery w:val="Page Numbers (Bottom of Page)"/>
        <w:docPartUnique/>
      </w:docPartObj>
    </w:sdtPr>
    <w:sdtContent>
      <w:p w:rsidR="00D3471F" w:rsidRPr="00386084" w:rsidRDefault="00D3471F" w:rsidP="00386084">
        <w:pPr>
          <w:pStyle w:val="Footer"/>
          <w:jc w:val="center"/>
          <w:rPr>
            <w:rFonts w:ascii="Times New Roman" w:hAnsi="Times New Roman"/>
          </w:rPr>
        </w:pPr>
        <w:r w:rsidRPr="00386084">
          <w:rPr>
            <w:rFonts w:ascii="Times New Roman" w:hAnsi="Times New Roman"/>
          </w:rPr>
          <w:fldChar w:fldCharType="begin"/>
        </w:r>
        <w:r w:rsidRPr="00386084">
          <w:rPr>
            <w:rFonts w:ascii="Times New Roman" w:hAnsi="Times New Roman"/>
          </w:rPr>
          <w:instrText xml:space="preserve"> PAGE   \* MERGEFORMAT </w:instrText>
        </w:r>
        <w:r w:rsidRPr="00386084">
          <w:rPr>
            <w:rFonts w:ascii="Times New Roman" w:hAnsi="Times New Roman"/>
          </w:rPr>
          <w:fldChar w:fldCharType="separate"/>
        </w:r>
        <w:r w:rsidR="00015F06">
          <w:rPr>
            <w:rFonts w:ascii="Times New Roman" w:hAnsi="Times New Roman"/>
            <w:noProof/>
          </w:rPr>
          <w:t>6</w:t>
        </w:r>
        <w:r w:rsidRPr="00386084">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71F" w:rsidRDefault="00D3471F" w:rsidP="002C3F4E">
      <w:r>
        <w:separator/>
      </w:r>
    </w:p>
  </w:footnote>
  <w:footnote w:type="continuationSeparator" w:id="0">
    <w:p w:rsidR="00D3471F" w:rsidRDefault="00D3471F" w:rsidP="002C3F4E">
      <w:r>
        <w:continuationSeparator/>
      </w:r>
    </w:p>
  </w:footnote>
  <w:footnote w:id="1">
    <w:p w:rsidR="00D3471F" w:rsidRPr="00E063C7" w:rsidRDefault="00D3471F" w:rsidP="00E063C7">
      <w:pPr>
        <w:widowControl/>
        <w:autoSpaceDE w:val="0"/>
        <w:autoSpaceDN w:val="0"/>
        <w:adjustRightInd w:val="0"/>
        <w:rPr>
          <w:rFonts w:ascii="Times New Roman" w:hAnsi="Times New Roman"/>
          <w:sz w:val="20"/>
        </w:rPr>
      </w:pPr>
      <w:r w:rsidRPr="00275F0C">
        <w:rPr>
          <w:rStyle w:val="FootnoteReference"/>
          <w:sz w:val="20"/>
          <w:vertAlign w:val="superscript"/>
        </w:rPr>
        <w:footnoteRef/>
      </w:r>
      <w:r w:rsidRPr="00275F0C">
        <w:rPr>
          <w:sz w:val="20"/>
          <w:vertAlign w:val="superscript"/>
        </w:rPr>
        <w:t xml:space="preserve"> </w:t>
      </w:r>
      <w:r w:rsidRPr="00E063C7">
        <w:rPr>
          <w:rFonts w:ascii="Times New Roman" w:hAnsi="Times New Roman"/>
          <w:sz w:val="20"/>
        </w:rPr>
        <w:t xml:space="preserve">The Agencies that are party to this rulemaking are the </w:t>
      </w:r>
      <w:r w:rsidRPr="00E063C7">
        <w:rPr>
          <w:rFonts w:ascii="Times New Roman" w:hAnsi="Times New Roman"/>
          <w:snapToGrid/>
          <w:sz w:val="20"/>
        </w:rPr>
        <w:t>Office of the Comptroller of the Currency (OCC); Board of Governors</w:t>
      </w:r>
      <w:r>
        <w:rPr>
          <w:rFonts w:ascii="Times New Roman" w:hAnsi="Times New Roman"/>
          <w:snapToGrid/>
          <w:sz w:val="20"/>
        </w:rPr>
        <w:t xml:space="preserve"> </w:t>
      </w:r>
      <w:r w:rsidRPr="00E063C7">
        <w:rPr>
          <w:rFonts w:ascii="Times New Roman" w:hAnsi="Times New Roman"/>
          <w:snapToGrid/>
          <w:sz w:val="20"/>
        </w:rPr>
        <w:t xml:space="preserve">of the Federal Reserve System (Board); </w:t>
      </w:r>
      <w:r>
        <w:rPr>
          <w:rFonts w:ascii="Times New Roman" w:hAnsi="Times New Roman"/>
          <w:snapToGrid/>
          <w:sz w:val="20"/>
        </w:rPr>
        <w:t xml:space="preserve">and </w:t>
      </w:r>
      <w:r w:rsidRPr="00E063C7">
        <w:rPr>
          <w:rFonts w:ascii="Times New Roman" w:hAnsi="Times New Roman"/>
          <w:snapToGrid/>
          <w:sz w:val="20"/>
        </w:rPr>
        <w:t xml:space="preserve">Federal Deposit Insurance Corporation (FDIC); </w:t>
      </w:r>
      <w:r>
        <w:rPr>
          <w:rFonts w:ascii="Times New Roman" w:hAnsi="Times New Roman"/>
          <w:snapToGrid/>
          <w:sz w:val="20"/>
        </w:rPr>
        <w:t>and are collectively referred to as the agencies or federal banking agencies</w:t>
      </w:r>
      <w:r w:rsidRPr="00E063C7">
        <w:rPr>
          <w:rFonts w:ascii="Times New Roman" w:hAnsi="Times New Roman"/>
          <w:snapToGrid/>
          <w:sz w:val="20"/>
        </w:rPr>
        <w:t>.</w:t>
      </w:r>
      <w:r>
        <w:rPr>
          <w:rFonts w:ascii="Times New Roman" w:hAnsi="Times New Roman"/>
          <w:snapToGrid/>
          <w:sz w:val="20"/>
        </w:rPr>
        <w:t xml:space="preserve"> </w:t>
      </w:r>
    </w:p>
  </w:footnote>
  <w:footnote w:id="2">
    <w:p w:rsidR="00D3471F" w:rsidRPr="00CF4282" w:rsidRDefault="00D3471F" w:rsidP="00AA15A4">
      <w:pPr>
        <w:pStyle w:val="FootnoteText"/>
        <w:spacing w:after="120"/>
        <w:rPr>
          <w:rFonts w:ascii="Times New Roman" w:hAnsi="Times New Roman"/>
        </w:rPr>
      </w:pPr>
      <w:r w:rsidRPr="00CF4282">
        <w:rPr>
          <w:rStyle w:val="FootnoteReference"/>
          <w:vertAlign w:val="superscript"/>
        </w:rPr>
        <w:footnoteRef/>
      </w:r>
      <w:r w:rsidRPr="00CF4282">
        <w:rPr>
          <w:rFonts w:ascii="Times New Roman" w:hAnsi="Times New Roman"/>
          <w:vertAlign w:val="superscript"/>
        </w:rPr>
        <w:t xml:space="preserve"> </w:t>
      </w:r>
      <w:r w:rsidRPr="00CF4282">
        <w:rPr>
          <w:rFonts w:ascii="Times New Roman" w:hAnsi="Times New Roman"/>
        </w:rPr>
        <w:t>For purposes of this guidance, the term “banking organization” means national banks and Federal branches and agencies supervised by the OCC; state member banks, bank holding companies, and all other institutions for which the Federal Reserve is the primary federal supervisor; and state nonmember insured banks and other institutions supervised by the FDIC.</w:t>
      </w:r>
    </w:p>
  </w:footnote>
  <w:footnote w:id="3">
    <w:p w:rsidR="00D3471F" w:rsidRPr="00CF4282" w:rsidRDefault="00D3471F" w:rsidP="00AA15A4">
      <w:pPr>
        <w:pStyle w:val="FootnoteText"/>
        <w:spacing w:after="120"/>
        <w:rPr>
          <w:rFonts w:ascii="Times New Roman" w:hAnsi="Times New Roman"/>
        </w:rPr>
      </w:pPr>
      <w:r w:rsidRPr="00CF4282">
        <w:rPr>
          <w:rStyle w:val="FootnoteReference"/>
          <w:vertAlign w:val="superscript"/>
        </w:rPr>
        <w:footnoteRef/>
      </w:r>
      <w:r w:rsidRPr="00CF4282">
        <w:rPr>
          <w:rFonts w:ascii="Times New Roman" w:hAnsi="Times New Roman"/>
        </w:rPr>
        <w:t xml:space="preserve"> See, for example, Supervision and Regulation (SR) letter 10-6 or OCC Bulletin 2010-13 or FDIC FIL-13-2010, “Interagency Policy Statement on Funding and Liquidity Risk Management”; SR 10-1 or OCC Bulletin 2010-1 or FDIC Financial Institution Letter (FIL-2-2010), “Interagency Advisory on Interest Rate Risk”; SR letter 09-04, “Applying Supervisory Guidance and Regulations on the Payment of Dividends, Stock Redemptions, and Stock Repurchases at Bank Holding Companies”;  SR letter 07-1, “Interagency Guidance on Concentrations in Commercial Real Estate” or OCC Bulletin 2006-46 or FDIC FIL-104-2006, “Interagency Guidance on CRE Concentration Risk Management”; SR letter 99-18, “Assessing Capital Adequacy in Relation to Risk at Large Banking Organizations and Others with Complex Risk Profiles”; OCC Bulletin 2008-20 or FDIC FIL-71-2008 “Supervisory Guidance: Supervisory Review Process of Capital Adequacy (Pillar 2) Related to the Implementation of the Basel II Advanced Capital Framework”; the Supervisory Capital Assessment Program (see http://www.federalreserve.gov/newsevents/press/bcreg/bcreg20080715a1.pdf); and Comprehensive Capital Analysis and Review: Objectives and Overview (see www.federalreserve.gov/newsevents/press/bcreg/20110318a.htm).  </w:t>
      </w:r>
    </w:p>
  </w:footnote>
  <w:footnote w:id="4">
    <w:p w:rsidR="00D3471F" w:rsidRPr="00CF4282" w:rsidRDefault="00D3471F" w:rsidP="00AA15A4">
      <w:pPr>
        <w:pStyle w:val="FootnoteText"/>
        <w:rPr>
          <w:rFonts w:ascii="Times New Roman" w:hAnsi="Times New Roman"/>
        </w:rPr>
      </w:pPr>
      <w:r w:rsidRPr="00CF4282">
        <w:rPr>
          <w:rStyle w:val="FootnoteReference"/>
          <w:vertAlign w:val="superscript"/>
        </w:rPr>
        <w:footnoteRef/>
      </w:r>
      <w:r w:rsidRPr="00CF4282">
        <w:rPr>
          <w:rFonts w:ascii="Times New Roman" w:hAnsi="Times New Roman"/>
          <w:vertAlign w:val="superscript"/>
        </w:rPr>
        <w:t xml:space="preserve"> </w:t>
      </w:r>
      <w:r w:rsidRPr="00CF4282">
        <w:rPr>
          <w:rFonts w:ascii="Times New Roman" w:hAnsi="Times New Roman"/>
        </w:rPr>
        <w:t xml:space="preserve">See “Principles for Sound Stress Testing Practices and Supervision,” </w:t>
      </w:r>
      <w:smartTag w:uri="urn:schemas-microsoft-com:office:smarttags" w:element="City">
        <w:smartTag w:uri="urn:schemas-microsoft-com:office:smarttags" w:element="place">
          <w:r w:rsidRPr="00CF4282">
            <w:rPr>
              <w:rFonts w:ascii="Times New Roman" w:hAnsi="Times New Roman"/>
            </w:rPr>
            <w:t>Basel</w:t>
          </w:r>
        </w:smartTag>
      </w:smartTag>
      <w:r w:rsidRPr="00CF4282">
        <w:rPr>
          <w:rFonts w:ascii="Times New Roman" w:hAnsi="Times New Roman"/>
        </w:rPr>
        <w:t xml:space="preserve"> Committee on Banking Supervision, May 2009.  </w:t>
      </w:r>
    </w:p>
  </w:footnote>
  <w:footnote w:id="5">
    <w:p w:rsidR="00D3471F" w:rsidRPr="002109BD" w:rsidRDefault="00D3471F">
      <w:pPr>
        <w:pStyle w:val="FootnoteText"/>
        <w:rPr>
          <w:rFonts w:ascii="Times New Roman" w:hAnsi="Times New Roman"/>
        </w:rPr>
      </w:pPr>
      <w:r w:rsidRPr="002109BD">
        <w:rPr>
          <w:rStyle w:val="FootnoteReference"/>
          <w:vertAlign w:val="superscript"/>
        </w:rPr>
        <w:footnoteRef/>
      </w:r>
      <w:r w:rsidRPr="002109BD">
        <w:rPr>
          <w:rFonts w:ascii="Times New Roman" w:hAnsi="Times New Roman"/>
        </w:rPr>
        <w:t xml:space="preserve"> Of the 1</w:t>
      </w:r>
      <w:r>
        <w:rPr>
          <w:rFonts w:ascii="Times New Roman" w:hAnsi="Times New Roman"/>
        </w:rPr>
        <w:t>54</w:t>
      </w:r>
      <w:r w:rsidRPr="002109BD">
        <w:rPr>
          <w:rFonts w:ascii="Times New Roman" w:hAnsi="Times New Roman"/>
        </w:rPr>
        <w:t xml:space="preserve"> respondents required to comply with this information collection, none are small entities as defined by the Small Business Administration (</w:t>
      </w:r>
      <w:r w:rsidRPr="002109BD">
        <w:rPr>
          <w:rFonts w:ascii="Times New Roman" w:hAnsi="Times New Roman"/>
          <w:i/>
        </w:rPr>
        <w:t>i.e.,</w:t>
      </w:r>
      <w:r w:rsidRPr="002109BD">
        <w:rPr>
          <w:rFonts w:ascii="Times New Roman" w:hAnsi="Times New Roman"/>
        </w:rPr>
        <w:t xml:space="preserve"> entities with less than $175 million in total assets) </w:t>
      </w:r>
      <w:hyperlink r:id="rId1" w:history="1">
        <w:r w:rsidRPr="002109BD">
          <w:rPr>
            <w:rStyle w:val="Hyperlink"/>
            <w:rFonts w:ascii="Times New Roman" w:hAnsi="Times New Roman"/>
          </w:rPr>
          <w:t>www.sba.gov/contractingopportunities/officials/size/table/index.html</w:t>
        </w:r>
      </w:hyperlink>
      <w:r w:rsidRPr="002109BD">
        <w:rPr>
          <w:rFonts w:ascii="Times New Roman" w:hAnsi="Times New Roman"/>
        </w:rPr>
        <w:t>.</w:t>
      </w:r>
    </w:p>
  </w:footnote>
  <w:footnote w:id="6">
    <w:p w:rsidR="00D3471F" w:rsidRPr="003F5D9B" w:rsidRDefault="00D3471F">
      <w:pPr>
        <w:pStyle w:val="FootnoteText"/>
        <w:rPr>
          <w:rFonts w:ascii="Times New Roman" w:hAnsi="Times New Roman"/>
        </w:rPr>
      </w:pPr>
      <w:r w:rsidRPr="002109BD">
        <w:rPr>
          <w:rStyle w:val="FootnoteReference"/>
          <w:vertAlign w:val="superscript"/>
        </w:rPr>
        <w:footnoteRef/>
      </w:r>
      <w:r w:rsidRPr="002109BD">
        <w:rPr>
          <w:rFonts w:ascii="Times New Roman" w:hAnsi="Times New Roman"/>
        </w:rPr>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w:t>
      </w:r>
      <w:r w:rsidRPr="003F5D9B">
        <w:rPr>
          <w:rFonts w:ascii="Times New Roman" w:hAnsi="Times New Roman"/>
        </w:rPr>
        <w:t xml:space="preserve"> and Wages 2011, </w:t>
      </w:r>
      <w:hyperlink r:id="rId2" w:history="1">
        <w:r w:rsidRPr="006D5F14">
          <w:rPr>
            <w:rStyle w:val="Hyperlink"/>
            <w:rFonts w:ascii="Times New Roman" w:hAnsi="Times New Roman"/>
          </w:rPr>
          <w:t>www.bls.gov/news.release/ocwage.nr0.htm</w:t>
        </w:r>
      </w:hyperlink>
      <w:r>
        <w:rPr>
          <w:rFonts w:ascii="Times New Roman" w:hAnsi="Times New Roman"/>
        </w:rPr>
        <w:t xml:space="preserve"> </w:t>
      </w:r>
      <w:r w:rsidRPr="003F5D9B">
        <w:rPr>
          <w:rFonts w:ascii="Times New Roman" w:hAnsi="Times New Roman"/>
        </w:rPr>
        <w:t xml:space="preserve">  Occupations are defined using the BLS Occupational Classification System,  </w:t>
      </w:r>
      <w:hyperlink r:id="rId3" w:history="1">
        <w:r w:rsidRPr="006D5F14">
          <w:rPr>
            <w:rStyle w:val="Hyperlink"/>
            <w:rFonts w:ascii="Times New Roman" w:hAnsi="Times New Roman"/>
          </w:rPr>
          <w:t>www.bls.gov/soc/</w:t>
        </w:r>
      </w:hyperlink>
      <w:r>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6A4"/>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
    <w:nsid w:val="038B2AFB"/>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2">
    <w:nsid w:val="07CD63B2"/>
    <w:multiLevelType w:val="hybridMultilevel"/>
    <w:tmpl w:val="F830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E33690"/>
    <w:multiLevelType w:val="hybridMultilevel"/>
    <w:tmpl w:val="CE484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59385A"/>
    <w:multiLevelType w:val="hybridMultilevel"/>
    <w:tmpl w:val="06E01866"/>
    <w:lvl w:ilvl="0" w:tplc="02F6C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6">
    <w:nsid w:val="33B8619C"/>
    <w:multiLevelType w:val="hybridMultilevel"/>
    <w:tmpl w:val="EE88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A206C9"/>
    <w:multiLevelType w:val="hybridMultilevel"/>
    <w:tmpl w:val="1F5088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9">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0">
    <w:nsid w:val="558062F8"/>
    <w:multiLevelType w:val="hybridMultilevel"/>
    <w:tmpl w:val="05E466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2">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3">
    <w:nsid w:val="6A1203A9"/>
    <w:multiLevelType w:val="hybridMultilevel"/>
    <w:tmpl w:val="40A0A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2B63C1"/>
    <w:multiLevelType w:val="hybridMultilevel"/>
    <w:tmpl w:val="30AC7D36"/>
    <w:lvl w:ilvl="0" w:tplc="0EBA4F58">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12"/>
  </w:num>
  <w:num w:numId="5">
    <w:abstractNumId w:val="0"/>
  </w:num>
  <w:num w:numId="6">
    <w:abstractNumId w:val="9"/>
  </w:num>
  <w:num w:numId="7">
    <w:abstractNumId w:val="1"/>
  </w:num>
  <w:num w:numId="8">
    <w:abstractNumId w:val="4"/>
  </w:num>
  <w:num w:numId="9">
    <w:abstractNumId w:val="6"/>
  </w:num>
  <w:num w:numId="10">
    <w:abstractNumId w:val="7"/>
  </w:num>
  <w:num w:numId="11">
    <w:abstractNumId w:val="10"/>
  </w:num>
  <w:num w:numId="12">
    <w:abstractNumId w:val="3"/>
  </w:num>
  <w:num w:numId="13">
    <w:abstractNumId w:val="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C03B44"/>
    <w:rsid w:val="00006DBF"/>
    <w:rsid w:val="0001410D"/>
    <w:rsid w:val="00015F06"/>
    <w:rsid w:val="0002282D"/>
    <w:rsid w:val="00032A7B"/>
    <w:rsid w:val="0004031D"/>
    <w:rsid w:val="00043C54"/>
    <w:rsid w:val="000478AE"/>
    <w:rsid w:val="00050E58"/>
    <w:rsid w:val="00074733"/>
    <w:rsid w:val="00076ACB"/>
    <w:rsid w:val="00094E90"/>
    <w:rsid w:val="000A3897"/>
    <w:rsid w:val="000B4321"/>
    <w:rsid w:val="000B7BB5"/>
    <w:rsid w:val="000D2372"/>
    <w:rsid w:val="000D268A"/>
    <w:rsid w:val="000E4F85"/>
    <w:rsid w:val="000F0C8C"/>
    <w:rsid w:val="00100B2B"/>
    <w:rsid w:val="00106B80"/>
    <w:rsid w:val="00117E36"/>
    <w:rsid w:val="00117E5F"/>
    <w:rsid w:val="00134E91"/>
    <w:rsid w:val="001360F6"/>
    <w:rsid w:val="001633A7"/>
    <w:rsid w:val="001761B0"/>
    <w:rsid w:val="001826D5"/>
    <w:rsid w:val="001841F7"/>
    <w:rsid w:val="00184260"/>
    <w:rsid w:val="001863A2"/>
    <w:rsid w:val="00187B79"/>
    <w:rsid w:val="0019057F"/>
    <w:rsid w:val="001913A3"/>
    <w:rsid w:val="00191D12"/>
    <w:rsid w:val="00196939"/>
    <w:rsid w:val="00197B83"/>
    <w:rsid w:val="001A1A25"/>
    <w:rsid w:val="001A316D"/>
    <w:rsid w:val="001A679C"/>
    <w:rsid w:val="001B241F"/>
    <w:rsid w:val="001C2796"/>
    <w:rsid w:val="001C6964"/>
    <w:rsid w:val="001C720E"/>
    <w:rsid w:val="001D37BE"/>
    <w:rsid w:val="001D4686"/>
    <w:rsid w:val="001D4C75"/>
    <w:rsid w:val="001E583C"/>
    <w:rsid w:val="001E5B9B"/>
    <w:rsid w:val="001E7BC9"/>
    <w:rsid w:val="001F1E10"/>
    <w:rsid w:val="0020317C"/>
    <w:rsid w:val="002109BD"/>
    <w:rsid w:val="00222A81"/>
    <w:rsid w:val="002274E4"/>
    <w:rsid w:val="00234EC0"/>
    <w:rsid w:val="002404FF"/>
    <w:rsid w:val="00255B37"/>
    <w:rsid w:val="00261E03"/>
    <w:rsid w:val="00275F0C"/>
    <w:rsid w:val="00280D0C"/>
    <w:rsid w:val="00282D50"/>
    <w:rsid w:val="00287838"/>
    <w:rsid w:val="002928BC"/>
    <w:rsid w:val="002A5B76"/>
    <w:rsid w:val="002A6CC9"/>
    <w:rsid w:val="002B1633"/>
    <w:rsid w:val="002B64ED"/>
    <w:rsid w:val="002C3F4E"/>
    <w:rsid w:val="002C410F"/>
    <w:rsid w:val="002C6CA5"/>
    <w:rsid w:val="002D4950"/>
    <w:rsid w:val="002D6C4F"/>
    <w:rsid w:val="002E0D12"/>
    <w:rsid w:val="002F1313"/>
    <w:rsid w:val="003008DC"/>
    <w:rsid w:val="003027DC"/>
    <w:rsid w:val="00307F8D"/>
    <w:rsid w:val="003132AD"/>
    <w:rsid w:val="00322461"/>
    <w:rsid w:val="00322DDD"/>
    <w:rsid w:val="00324A4C"/>
    <w:rsid w:val="00327837"/>
    <w:rsid w:val="00335439"/>
    <w:rsid w:val="00342467"/>
    <w:rsid w:val="00347C91"/>
    <w:rsid w:val="00363E20"/>
    <w:rsid w:val="003643AD"/>
    <w:rsid w:val="0036791E"/>
    <w:rsid w:val="00373820"/>
    <w:rsid w:val="00374BB1"/>
    <w:rsid w:val="003756F7"/>
    <w:rsid w:val="003760A2"/>
    <w:rsid w:val="00386084"/>
    <w:rsid w:val="00391E19"/>
    <w:rsid w:val="003A1600"/>
    <w:rsid w:val="003A307B"/>
    <w:rsid w:val="003A30B9"/>
    <w:rsid w:val="003B501E"/>
    <w:rsid w:val="003C2CF1"/>
    <w:rsid w:val="003C5ADA"/>
    <w:rsid w:val="003D25BB"/>
    <w:rsid w:val="003D47A4"/>
    <w:rsid w:val="003D6833"/>
    <w:rsid w:val="003E3BFA"/>
    <w:rsid w:val="003F5D9B"/>
    <w:rsid w:val="00434C91"/>
    <w:rsid w:val="004417CF"/>
    <w:rsid w:val="00453174"/>
    <w:rsid w:val="00456F73"/>
    <w:rsid w:val="00457CE3"/>
    <w:rsid w:val="0046496D"/>
    <w:rsid w:val="00484BE0"/>
    <w:rsid w:val="0048574D"/>
    <w:rsid w:val="00493E38"/>
    <w:rsid w:val="004A0EC7"/>
    <w:rsid w:val="004A257B"/>
    <w:rsid w:val="004B02C3"/>
    <w:rsid w:val="004B1311"/>
    <w:rsid w:val="004C14D8"/>
    <w:rsid w:val="004C45A2"/>
    <w:rsid w:val="004C7D29"/>
    <w:rsid w:val="004E56BB"/>
    <w:rsid w:val="004E5CF1"/>
    <w:rsid w:val="00501FDF"/>
    <w:rsid w:val="00506918"/>
    <w:rsid w:val="005071F2"/>
    <w:rsid w:val="00507D9C"/>
    <w:rsid w:val="00510634"/>
    <w:rsid w:val="0052333A"/>
    <w:rsid w:val="005251C3"/>
    <w:rsid w:val="005255AF"/>
    <w:rsid w:val="00526D51"/>
    <w:rsid w:val="00542FD8"/>
    <w:rsid w:val="005435E5"/>
    <w:rsid w:val="005502AC"/>
    <w:rsid w:val="00562144"/>
    <w:rsid w:val="005664D9"/>
    <w:rsid w:val="0058391A"/>
    <w:rsid w:val="005839B1"/>
    <w:rsid w:val="0058419F"/>
    <w:rsid w:val="005A13EE"/>
    <w:rsid w:val="005A3142"/>
    <w:rsid w:val="005B017A"/>
    <w:rsid w:val="005B3F61"/>
    <w:rsid w:val="005C58A0"/>
    <w:rsid w:val="005D14D9"/>
    <w:rsid w:val="005D1806"/>
    <w:rsid w:val="005D2FB3"/>
    <w:rsid w:val="005D66C8"/>
    <w:rsid w:val="005E0E03"/>
    <w:rsid w:val="005E6C9A"/>
    <w:rsid w:val="00604C41"/>
    <w:rsid w:val="006219C4"/>
    <w:rsid w:val="00621A46"/>
    <w:rsid w:val="0062586F"/>
    <w:rsid w:val="00625E67"/>
    <w:rsid w:val="006308E1"/>
    <w:rsid w:val="00632B91"/>
    <w:rsid w:val="006436DD"/>
    <w:rsid w:val="00650E65"/>
    <w:rsid w:val="00655671"/>
    <w:rsid w:val="006604E1"/>
    <w:rsid w:val="00665640"/>
    <w:rsid w:val="006662B3"/>
    <w:rsid w:val="00676443"/>
    <w:rsid w:val="00677594"/>
    <w:rsid w:val="00681090"/>
    <w:rsid w:val="00682CAB"/>
    <w:rsid w:val="006836ED"/>
    <w:rsid w:val="006872C2"/>
    <w:rsid w:val="006972A8"/>
    <w:rsid w:val="00697CC5"/>
    <w:rsid w:val="006A3539"/>
    <w:rsid w:val="006B0102"/>
    <w:rsid w:val="006B0157"/>
    <w:rsid w:val="006B04E6"/>
    <w:rsid w:val="006C33EF"/>
    <w:rsid w:val="006D2FE9"/>
    <w:rsid w:val="006D40F3"/>
    <w:rsid w:val="006D6EAB"/>
    <w:rsid w:val="00700372"/>
    <w:rsid w:val="00700731"/>
    <w:rsid w:val="0070548C"/>
    <w:rsid w:val="00726339"/>
    <w:rsid w:val="00727293"/>
    <w:rsid w:val="00731D42"/>
    <w:rsid w:val="007340D9"/>
    <w:rsid w:val="0074569A"/>
    <w:rsid w:val="00762A22"/>
    <w:rsid w:val="00765EF4"/>
    <w:rsid w:val="00773827"/>
    <w:rsid w:val="00774419"/>
    <w:rsid w:val="007876A6"/>
    <w:rsid w:val="00793415"/>
    <w:rsid w:val="007963A0"/>
    <w:rsid w:val="0079691B"/>
    <w:rsid w:val="007A611A"/>
    <w:rsid w:val="007C1A49"/>
    <w:rsid w:val="007C48E5"/>
    <w:rsid w:val="007C6274"/>
    <w:rsid w:val="007C70C3"/>
    <w:rsid w:val="007D57AB"/>
    <w:rsid w:val="007D79CD"/>
    <w:rsid w:val="007E4FDF"/>
    <w:rsid w:val="007F1B2B"/>
    <w:rsid w:val="008003AE"/>
    <w:rsid w:val="0080578C"/>
    <w:rsid w:val="00807C7E"/>
    <w:rsid w:val="00813E94"/>
    <w:rsid w:val="00820754"/>
    <w:rsid w:val="00834329"/>
    <w:rsid w:val="0084446F"/>
    <w:rsid w:val="00861888"/>
    <w:rsid w:val="008645FC"/>
    <w:rsid w:val="008655D8"/>
    <w:rsid w:val="00867821"/>
    <w:rsid w:val="008828FF"/>
    <w:rsid w:val="0089021D"/>
    <w:rsid w:val="008B3C9D"/>
    <w:rsid w:val="008C19D8"/>
    <w:rsid w:val="008C402C"/>
    <w:rsid w:val="008C45B4"/>
    <w:rsid w:val="008C583C"/>
    <w:rsid w:val="008F27ED"/>
    <w:rsid w:val="00915B27"/>
    <w:rsid w:val="0092572B"/>
    <w:rsid w:val="00935A6F"/>
    <w:rsid w:val="00937187"/>
    <w:rsid w:val="00953439"/>
    <w:rsid w:val="00955B9D"/>
    <w:rsid w:val="00957E7E"/>
    <w:rsid w:val="00961201"/>
    <w:rsid w:val="00966127"/>
    <w:rsid w:val="00970F68"/>
    <w:rsid w:val="009763A1"/>
    <w:rsid w:val="00976DDD"/>
    <w:rsid w:val="009879C3"/>
    <w:rsid w:val="009964F6"/>
    <w:rsid w:val="00996F53"/>
    <w:rsid w:val="009A02F1"/>
    <w:rsid w:val="009A53D3"/>
    <w:rsid w:val="009B10CC"/>
    <w:rsid w:val="009B145C"/>
    <w:rsid w:val="009B39C0"/>
    <w:rsid w:val="009C09C0"/>
    <w:rsid w:val="009C1948"/>
    <w:rsid w:val="009C4001"/>
    <w:rsid w:val="009C4CEF"/>
    <w:rsid w:val="009C5E22"/>
    <w:rsid w:val="009D41B7"/>
    <w:rsid w:val="009D5031"/>
    <w:rsid w:val="009E2CA7"/>
    <w:rsid w:val="009F3629"/>
    <w:rsid w:val="00A02B20"/>
    <w:rsid w:val="00A03720"/>
    <w:rsid w:val="00A12699"/>
    <w:rsid w:val="00A1611E"/>
    <w:rsid w:val="00A33474"/>
    <w:rsid w:val="00A36B3D"/>
    <w:rsid w:val="00A449C1"/>
    <w:rsid w:val="00A468E1"/>
    <w:rsid w:val="00A64FB3"/>
    <w:rsid w:val="00A7073C"/>
    <w:rsid w:val="00A7233B"/>
    <w:rsid w:val="00A833BA"/>
    <w:rsid w:val="00A93343"/>
    <w:rsid w:val="00A94E64"/>
    <w:rsid w:val="00A959A3"/>
    <w:rsid w:val="00A95E4A"/>
    <w:rsid w:val="00AA15A4"/>
    <w:rsid w:val="00AB5588"/>
    <w:rsid w:val="00AC6DA6"/>
    <w:rsid w:val="00AD29C0"/>
    <w:rsid w:val="00AD793C"/>
    <w:rsid w:val="00AE556C"/>
    <w:rsid w:val="00AE77DB"/>
    <w:rsid w:val="00AF3F1F"/>
    <w:rsid w:val="00AF6CD8"/>
    <w:rsid w:val="00B0281B"/>
    <w:rsid w:val="00B0342D"/>
    <w:rsid w:val="00B15C37"/>
    <w:rsid w:val="00B24AC5"/>
    <w:rsid w:val="00B31614"/>
    <w:rsid w:val="00B435BD"/>
    <w:rsid w:val="00B53C21"/>
    <w:rsid w:val="00B5650C"/>
    <w:rsid w:val="00B60503"/>
    <w:rsid w:val="00B70CEE"/>
    <w:rsid w:val="00B741A8"/>
    <w:rsid w:val="00B8624A"/>
    <w:rsid w:val="00B9264A"/>
    <w:rsid w:val="00B948CC"/>
    <w:rsid w:val="00BA34D2"/>
    <w:rsid w:val="00BB7B76"/>
    <w:rsid w:val="00BC2D1A"/>
    <w:rsid w:val="00BC7BD7"/>
    <w:rsid w:val="00BD4C09"/>
    <w:rsid w:val="00BE2044"/>
    <w:rsid w:val="00BE3721"/>
    <w:rsid w:val="00BE78E1"/>
    <w:rsid w:val="00BF4C90"/>
    <w:rsid w:val="00C03B44"/>
    <w:rsid w:val="00C05A97"/>
    <w:rsid w:val="00C11D0F"/>
    <w:rsid w:val="00C13954"/>
    <w:rsid w:val="00C21427"/>
    <w:rsid w:val="00C3179C"/>
    <w:rsid w:val="00C4620C"/>
    <w:rsid w:val="00C600D7"/>
    <w:rsid w:val="00C62885"/>
    <w:rsid w:val="00C62EE5"/>
    <w:rsid w:val="00C63D78"/>
    <w:rsid w:val="00C64A28"/>
    <w:rsid w:val="00CA098D"/>
    <w:rsid w:val="00CA15F1"/>
    <w:rsid w:val="00CA362C"/>
    <w:rsid w:val="00CB225E"/>
    <w:rsid w:val="00CB3245"/>
    <w:rsid w:val="00CB35DA"/>
    <w:rsid w:val="00CB79CC"/>
    <w:rsid w:val="00CC5EF0"/>
    <w:rsid w:val="00CD1C10"/>
    <w:rsid w:val="00CD2AAD"/>
    <w:rsid w:val="00CE3A51"/>
    <w:rsid w:val="00CF0151"/>
    <w:rsid w:val="00CF1FE5"/>
    <w:rsid w:val="00CF4282"/>
    <w:rsid w:val="00D16EE6"/>
    <w:rsid w:val="00D3302C"/>
    <w:rsid w:val="00D33C83"/>
    <w:rsid w:val="00D3471F"/>
    <w:rsid w:val="00D505C1"/>
    <w:rsid w:val="00D510AB"/>
    <w:rsid w:val="00D5312D"/>
    <w:rsid w:val="00D5624F"/>
    <w:rsid w:val="00D60DB8"/>
    <w:rsid w:val="00D757AD"/>
    <w:rsid w:val="00D95799"/>
    <w:rsid w:val="00DA666E"/>
    <w:rsid w:val="00DB014F"/>
    <w:rsid w:val="00DC1F95"/>
    <w:rsid w:val="00DC51C6"/>
    <w:rsid w:val="00DC6A76"/>
    <w:rsid w:val="00DD4245"/>
    <w:rsid w:val="00DE51AB"/>
    <w:rsid w:val="00DF3839"/>
    <w:rsid w:val="00DF3FAA"/>
    <w:rsid w:val="00E05FEE"/>
    <w:rsid w:val="00E063C7"/>
    <w:rsid w:val="00E25F12"/>
    <w:rsid w:val="00E33696"/>
    <w:rsid w:val="00E37F60"/>
    <w:rsid w:val="00E45FFC"/>
    <w:rsid w:val="00E47C70"/>
    <w:rsid w:val="00E552B4"/>
    <w:rsid w:val="00E615E5"/>
    <w:rsid w:val="00E63ED5"/>
    <w:rsid w:val="00E72DBF"/>
    <w:rsid w:val="00E779F1"/>
    <w:rsid w:val="00E77E9E"/>
    <w:rsid w:val="00E80A3A"/>
    <w:rsid w:val="00E86E47"/>
    <w:rsid w:val="00E97251"/>
    <w:rsid w:val="00E97AD8"/>
    <w:rsid w:val="00E97F30"/>
    <w:rsid w:val="00EA3FD4"/>
    <w:rsid w:val="00EB036E"/>
    <w:rsid w:val="00EB2A9A"/>
    <w:rsid w:val="00EB3990"/>
    <w:rsid w:val="00EB3C28"/>
    <w:rsid w:val="00EB4DF4"/>
    <w:rsid w:val="00ED4363"/>
    <w:rsid w:val="00ED46BB"/>
    <w:rsid w:val="00ED6762"/>
    <w:rsid w:val="00EE22EE"/>
    <w:rsid w:val="00EE7E47"/>
    <w:rsid w:val="00F042BD"/>
    <w:rsid w:val="00F045A1"/>
    <w:rsid w:val="00F075D3"/>
    <w:rsid w:val="00F11DC8"/>
    <w:rsid w:val="00F129DD"/>
    <w:rsid w:val="00F257F8"/>
    <w:rsid w:val="00F364E3"/>
    <w:rsid w:val="00F37C52"/>
    <w:rsid w:val="00F438A5"/>
    <w:rsid w:val="00F56440"/>
    <w:rsid w:val="00F57E62"/>
    <w:rsid w:val="00F663EA"/>
    <w:rsid w:val="00F715E3"/>
    <w:rsid w:val="00F71A13"/>
    <w:rsid w:val="00F727D8"/>
    <w:rsid w:val="00F9360E"/>
    <w:rsid w:val="00F96274"/>
    <w:rsid w:val="00F964CB"/>
    <w:rsid w:val="00FA5D22"/>
    <w:rsid w:val="00FB0CD0"/>
    <w:rsid w:val="00FB677D"/>
    <w:rsid w:val="00FC29CD"/>
    <w:rsid w:val="00FE0D08"/>
    <w:rsid w:val="00FE2669"/>
    <w:rsid w:val="00FF7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27"/>
    <w:pPr>
      <w:widowControl w:val="0"/>
    </w:pPr>
    <w:rPr>
      <w:rFonts w:ascii="Courier" w:hAnsi="Courier"/>
      <w:snapToGrid w:val="0"/>
      <w:sz w:val="24"/>
    </w:rPr>
  </w:style>
  <w:style w:type="paragraph" w:styleId="Heading1">
    <w:name w:val="heading 1"/>
    <w:basedOn w:val="Normal"/>
    <w:next w:val="Normal"/>
    <w:qFormat/>
    <w:rsid w:val="00915B27"/>
    <w:pPr>
      <w:keepNext/>
      <w:widowControl/>
      <w:outlineLvl w:val="0"/>
    </w:pPr>
    <w:rPr>
      <w:rFonts w:ascii="Times" w:hAnsi="Times"/>
      <w:b/>
    </w:rPr>
  </w:style>
  <w:style w:type="paragraph" w:styleId="Heading2">
    <w:name w:val="heading 2"/>
    <w:basedOn w:val="Normal"/>
    <w:next w:val="Normal"/>
    <w:qFormat/>
    <w:rsid w:val="00915B27"/>
    <w:pPr>
      <w:keepNext/>
      <w:widowControl/>
      <w:ind w:firstLine="720"/>
      <w:outlineLvl w:val="1"/>
    </w:pPr>
    <w:rPr>
      <w:rFonts w:ascii="Times New Roman" w:hAnsi="Times New Roman"/>
      <w:b/>
    </w:rPr>
  </w:style>
  <w:style w:type="paragraph" w:styleId="Heading3">
    <w:name w:val="heading 3"/>
    <w:basedOn w:val="Normal"/>
    <w:next w:val="Normal"/>
    <w:qFormat/>
    <w:rsid w:val="00915B27"/>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5B27"/>
    <w:rPr>
      <w:rFonts w:ascii="Times New Roman" w:hAnsi="Times New Roman"/>
    </w:rPr>
  </w:style>
  <w:style w:type="paragraph" w:styleId="FootnoteText">
    <w:name w:val="footnote text"/>
    <w:basedOn w:val="Normal"/>
    <w:link w:val="FootnoteTextChar"/>
    <w:uiPriority w:val="99"/>
    <w:semiHidden/>
    <w:rsid w:val="00915B27"/>
    <w:rPr>
      <w:sz w:val="20"/>
    </w:rPr>
  </w:style>
  <w:style w:type="paragraph" w:styleId="BodyTextIndent">
    <w:name w:val="Body Text Indent"/>
    <w:basedOn w:val="Normal"/>
    <w:rsid w:val="00915B27"/>
    <w:pPr>
      <w:spacing w:after="240"/>
      <w:ind w:firstLine="720"/>
    </w:pPr>
    <w:rPr>
      <w:rFonts w:ascii="Times New Roman" w:hAnsi="Times New Roman"/>
    </w:rPr>
  </w:style>
  <w:style w:type="paragraph" w:styleId="Header">
    <w:name w:val="header"/>
    <w:basedOn w:val="Normal"/>
    <w:link w:val="HeaderChar"/>
    <w:uiPriority w:val="99"/>
    <w:rsid w:val="00915B27"/>
    <w:pPr>
      <w:tabs>
        <w:tab w:val="center" w:pos="4320"/>
        <w:tab w:val="right" w:pos="8640"/>
      </w:tabs>
    </w:pPr>
  </w:style>
  <w:style w:type="paragraph" w:styleId="Footer">
    <w:name w:val="footer"/>
    <w:basedOn w:val="Normal"/>
    <w:link w:val="FooterChar"/>
    <w:uiPriority w:val="99"/>
    <w:rsid w:val="00915B27"/>
    <w:pPr>
      <w:tabs>
        <w:tab w:val="center" w:pos="4320"/>
        <w:tab w:val="right" w:pos="8640"/>
      </w:tabs>
    </w:pPr>
  </w:style>
  <w:style w:type="character" w:styleId="PageNumber">
    <w:name w:val="page number"/>
    <w:basedOn w:val="DefaultParagraphFont"/>
    <w:rsid w:val="00915B27"/>
  </w:style>
  <w:style w:type="paragraph" w:styleId="DocumentMap">
    <w:name w:val="Document Map"/>
    <w:basedOn w:val="Normal"/>
    <w:semiHidden/>
    <w:rsid w:val="00915B27"/>
    <w:pPr>
      <w:shd w:val="clear" w:color="auto" w:fill="000080"/>
    </w:pPr>
    <w:rPr>
      <w:rFonts w:ascii="Tahoma" w:hAnsi="Tahoma"/>
    </w:rPr>
  </w:style>
  <w:style w:type="paragraph" w:styleId="BodyTextIndent3">
    <w:name w:val="Body Text Indent 3"/>
    <w:basedOn w:val="Normal"/>
    <w:rsid w:val="00915B27"/>
    <w:pPr>
      <w:autoSpaceDE w:val="0"/>
      <w:autoSpaceDN w:val="0"/>
      <w:adjustRightInd w:val="0"/>
      <w:ind w:firstLine="720"/>
      <w:jc w:val="both"/>
    </w:pPr>
    <w:rPr>
      <w:rFonts w:ascii="Times New Roman" w:hAnsi="Times New Roman"/>
      <w:snapToGrid/>
      <w:color w:val="000000"/>
      <w:szCs w:val="24"/>
    </w:rPr>
  </w:style>
  <w:style w:type="paragraph" w:styleId="BalloonText">
    <w:name w:val="Balloon Text"/>
    <w:basedOn w:val="Normal"/>
    <w:semiHidden/>
    <w:rsid w:val="00C62EE5"/>
    <w:rPr>
      <w:rFonts w:ascii="Tahoma" w:hAnsi="Tahoma" w:cs="Tahoma"/>
      <w:sz w:val="16"/>
      <w:szCs w:val="16"/>
    </w:rPr>
  </w:style>
  <w:style w:type="table" w:styleId="TableGrid">
    <w:name w:val="Table Grid"/>
    <w:basedOn w:val="TableNormal"/>
    <w:rsid w:val="00191D1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2A6CC9"/>
    <w:rPr>
      <w:sz w:val="16"/>
      <w:szCs w:val="16"/>
    </w:rPr>
  </w:style>
  <w:style w:type="paragraph" w:styleId="CommentText">
    <w:name w:val="annotation text"/>
    <w:basedOn w:val="Normal"/>
    <w:link w:val="CommentTextChar"/>
    <w:uiPriority w:val="99"/>
    <w:unhideWhenUsed/>
    <w:rsid w:val="002A6CC9"/>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2A6CC9"/>
  </w:style>
  <w:style w:type="character" w:customStyle="1" w:styleId="FootnoteTextChar">
    <w:name w:val="Footnote Text Char"/>
    <w:basedOn w:val="DefaultParagraphFont"/>
    <w:link w:val="FootnoteText"/>
    <w:uiPriority w:val="99"/>
    <w:semiHidden/>
    <w:rsid w:val="002A6CC9"/>
    <w:rPr>
      <w:rFonts w:ascii="Courier" w:hAnsi="Courier"/>
      <w:snapToGrid w:val="0"/>
    </w:rPr>
  </w:style>
  <w:style w:type="paragraph" w:styleId="ListParagraph">
    <w:name w:val="List Paragraph"/>
    <w:basedOn w:val="Normal"/>
    <w:uiPriority w:val="34"/>
    <w:qFormat/>
    <w:rsid w:val="002A6CC9"/>
    <w:pPr>
      <w:widowControl/>
      <w:ind w:left="720"/>
      <w:contextualSpacing/>
    </w:pPr>
    <w:rPr>
      <w:rFonts w:ascii="Times New Roman" w:hAnsi="Times New Roman"/>
      <w:snapToGrid/>
      <w:szCs w:val="24"/>
    </w:rPr>
  </w:style>
  <w:style w:type="character" w:customStyle="1" w:styleId="FooterChar">
    <w:name w:val="Footer Char"/>
    <w:basedOn w:val="DefaultParagraphFont"/>
    <w:link w:val="Footer"/>
    <w:uiPriority w:val="99"/>
    <w:rsid w:val="0038608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36791E"/>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36791E"/>
    <w:rPr>
      <w:rFonts w:ascii="Courier" w:hAnsi="Courier"/>
      <w:b/>
      <w:bCs/>
      <w:snapToGrid w:val="0"/>
    </w:rPr>
  </w:style>
  <w:style w:type="character" w:styleId="Hyperlink">
    <w:name w:val="Hyperlink"/>
    <w:basedOn w:val="DefaultParagraphFont"/>
    <w:rsid w:val="0036791E"/>
    <w:rPr>
      <w:color w:val="0000FF"/>
      <w:u w:val="single"/>
    </w:rPr>
  </w:style>
  <w:style w:type="paragraph" w:styleId="NoSpacing">
    <w:name w:val="No Spacing"/>
    <w:uiPriority w:val="99"/>
    <w:qFormat/>
    <w:rsid w:val="00AA15A4"/>
    <w:rPr>
      <w:rFonts w:ascii="Calibri" w:hAnsi="Calibri"/>
      <w:sz w:val="22"/>
      <w:szCs w:val="22"/>
    </w:rPr>
  </w:style>
  <w:style w:type="character" w:customStyle="1" w:styleId="HeaderChar">
    <w:name w:val="Header Char"/>
    <w:basedOn w:val="DefaultParagraphFont"/>
    <w:link w:val="Header"/>
    <w:uiPriority w:val="99"/>
    <w:rsid w:val="003008DC"/>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5665-5378-4D7C-939B-2B98B231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2024</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FRB _ C&amp;CA</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m1met00</dc:creator>
  <cp:keywords/>
  <dc:description/>
  <cp:lastModifiedBy>frbuser</cp:lastModifiedBy>
  <cp:revision>4</cp:revision>
  <cp:lastPrinted>2012-07-27T18:56:00Z</cp:lastPrinted>
  <dcterms:created xsi:type="dcterms:W3CDTF">2012-07-27T18:51:00Z</dcterms:created>
  <dcterms:modified xsi:type="dcterms:W3CDTF">2012-07-27T19:46:00Z</dcterms:modified>
</cp:coreProperties>
</file>