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318DF" w14:textId="77777777" w:rsidR="00E920CE" w:rsidRDefault="00E920CE" w:rsidP="003A0D60">
      <w:pPr>
        <w:pStyle w:val="ListParagraph"/>
        <w:tabs>
          <w:tab w:val="num" w:pos="450"/>
        </w:tabs>
        <w:ind w:left="446" w:hanging="360"/>
        <w:jc w:val="center"/>
        <w:rPr>
          <w:b/>
          <w:bCs/>
        </w:rPr>
      </w:pPr>
      <w:bookmarkStart w:id="0" w:name="_GoBack"/>
      <w:bookmarkEnd w:id="0"/>
    </w:p>
    <w:p w14:paraId="5037D773" w14:textId="77777777" w:rsidR="007A4E2F" w:rsidRDefault="007A4E2F" w:rsidP="003A0D60">
      <w:pPr>
        <w:pStyle w:val="ListParagraph"/>
        <w:tabs>
          <w:tab w:val="num" w:pos="450"/>
        </w:tabs>
        <w:ind w:left="446" w:hanging="360"/>
        <w:jc w:val="center"/>
        <w:rPr>
          <w:b/>
          <w:bCs/>
        </w:rPr>
      </w:pPr>
      <w:r w:rsidRPr="00FC2483">
        <w:rPr>
          <w:b/>
          <w:bCs/>
        </w:rPr>
        <w:t>Paperwork Reduction Act Information Collection Submission</w:t>
      </w:r>
    </w:p>
    <w:p w14:paraId="09512B9A" w14:textId="77777777" w:rsidR="007A4E2F" w:rsidRDefault="003A0D60" w:rsidP="007A4E2F">
      <w:pPr>
        <w:pStyle w:val="ListParagraph"/>
        <w:tabs>
          <w:tab w:val="num" w:pos="450"/>
        </w:tabs>
        <w:ind w:left="446" w:hanging="360"/>
        <w:jc w:val="center"/>
        <w:rPr>
          <w:b/>
        </w:rPr>
      </w:pPr>
      <w:r w:rsidRPr="00FC2483">
        <w:rPr>
          <w:b/>
          <w:bCs/>
        </w:rPr>
        <w:t>SUPPORTING STATEMENT</w:t>
      </w:r>
      <w:r>
        <w:rPr>
          <w:b/>
          <w:bCs/>
        </w:rPr>
        <w:br/>
      </w:r>
      <w:r w:rsidR="00A70A2D">
        <w:rPr>
          <w:b/>
        </w:rPr>
        <w:t>Generic Clearance for the Collection of Qualitative Feedback</w:t>
      </w:r>
      <w:r w:rsidR="007A4E2F">
        <w:rPr>
          <w:b/>
        </w:rPr>
        <w:t xml:space="preserve"> </w:t>
      </w:r>
    </w:p>
    <w:p w14:paraId="0A0257BD" w14:textId="1A84AE70" w:rsidR="007A4E2F" w:rsidRDefault="00BA7B42" w:rsidP="007A4E2F">
      <w:pPr>
        <w:pStyle w:val="ListParagraph"/>
        <w:tabs>
          <w:tab w:val="num" w:pos="450"/>
        </w:tabs>
        <w:ind w:left="446" w:hanging="360"/>
        <w:jc w:val="center"/>
        <w:rPr>
          <w:b/>
        </w:rPr>
      </w:pPr>
      <w:proofErr w:type="gramStart"/>
      <w:r>
        <w:rPr>
          <w:b/>
        </w:rPr>
        <w:t>o</w:t>
      </w:r>
      <w:r w:rsidR="007A4E2F">
        <w:rPr>
          <w:b/>
        </w:rPr>
        <w:t>n</w:t>
      </w:r>
      <w:proofErr w:type="gramEnd"/>
      <w:r>
        <w:rPr>
          <w:b/>
        </w:rPr>
        <w:t xml:space="preserve"> </w:t>
      </w:r>
      <w:r w:rsidR="007A4E2F">
        <w:rPr>
          <w:b/>
        </w:rPr>
        <w:t>Agency Service Delivery</w:t>
      </w:r>
    </w:p>
    <w:p w14:paraId="16ECA842" w14:textId="77777777" w:rsidR="00A70A2D" w:rsidRDefault="00A70A2D" w:rsidP="003A0D60">
      <w:pPr>
        <w:pStyle w:val="ListParagraph"/>
        <w:tabs>
          <w:tab w:val="num" w:pos="450"/>
        </w:tabs>
        <w:ind w:left="446" w:hanging="360"/>
        <w:jc w:val="center"/>
        <w:rPr>
          <w:b/>
        </w:rPr>
      </w:pPr>
      <w:r>
        <w:rPr>
          <w:b/>
        </w:rPr>
        <w:t>3133-0188</w:t>
      </w:r>
    </w:p>
    <w:p w14:paraId="0FFFA11B" w14:textId="77777777" w:rsidR="00D55E7E" w:rsidRDefault="00D55E7E" w:rsidP="003A0D60">
      <w:pPr>
        <w:pStyle w:val="ListParagraph"/>
        <w:tabs>
          <w:tab w:val="num" w:pos="450"/>
        </w:tabs>
        <w:ind w:left="446" w:hanging="360"/>
        <w:jc w:val="center"/>
        <w:rPr>
          <w:b/>
        </w:rPr>
      </w:pPr>
      <w:r>
        <w:rPr>
          <w:b/>
        </w:rPr>
        <w:t>2015</w:t>
      </w:r>
    </w:p>
    <w:p w14:paraId="5CD433F7" w14:textId="77777777" w:rsidR="00F44C8E" w:rsidRPr="00FC2483" w:rsidRDefault="00F44C8E" w:rsidP="003A0D60">
      <w:pPr>
        <w:pStyle w:val="ListParagraph"/>
        <w:tabs>
          <w:tab w:val="num" w:pos="450"/>
        </w:tabs>
        <w:ind w:left="446" w:hanging="360"/>
        <w:jc w:val="center"/>
        <w:rPr>
          <w:b/>
          <w:bCs/>
        </w:rPr>
      </w:pPr>
      <w:r>
        <w:rPr>
          <w:b/>
        </w:rPr>
        <w:t>Part A</w:t>
      </w:r>
    </w:p>
    <w:p w14:paraId="53DA7C8C" w14:textId="77777777" w:rsidR="003A0D60" w:rsidRDefault="003A0D60" w:rsidP="003A0D60">
      <w:pPr>
        <w:pStyle w:val="ListParagraph"/>
        <w:ind w:left="0"/>
        <w:rPr>
          <w:b/>
        </w:rPr>
      </w:pPr>
    </w:p>
    <w:p w14:paraId="7FE8DD53" w14:textId="77777777" w:rsidR="003A0D60" w:rsidRPr="00A13B41" w:rsidRDefault="003A0D60" w:rsidP="003A0D60">
      <w:pPr>
        <w:pStyle w:val="ListParagraph"/>
        <w:ind w:left="0"/>
        <w:rPr>
          <w:b/>
        </w:rPr>
      </w:pPr>
    </w:p>
    <w:p w14:paraId="237FAA85" w14:textId="77777777" w:rsidR="003A0D60" w:rsidRPr="00E44F63" w:rsidRDefault="003A0D60" w:rsidP="003A0D60">
      <w:pPr>
        <w:pStyle w:val="ListParagraph"/>
        <w:numPr>
          <w:ilvl w:val="0"/>
          <w:numId w:val="2"/>
        </w:numPr>
        <w:ind w:left="0"/>
        <w:rPr>
          <w:b/>
        </w:rPr>
      </w:pPr>
      <w:r w:rsidRPr="00E44F63">
        <w:rPr>
          <w:b/>
        </w:rPr>
        <w:t>JUSTIFICATION</w:t>
      </w:r>
    </w:p>
    <w:p w14:paraId="73BD8369" w14:textId="77777777" w:rsidR="003A0D60" w:rsidRPr="00E44F63" w:rsidRDefault="003A0D60" w:rsidP="003A0D60">
      <w:pPr>
        <w:pStyle w:val="ListParagraph"/>
        <w:ind w:left="0"/>
        <w:rPr>
          <w:b/>
        </w:rPr>
      </w:pPr>
    </w:p>
    <w:p w14:paraId="48673DD8" w14:textId="77777777" w:rsidR="003A0D60" w:rsidRPr="00E44F63" w:rsidRDefault="003A0D60" w:rsidP="003A0D60">
      <w:pPr>
        <w:pStyle w:val="ListParagraph"/>
        <w:numPr>
          <w:ilvl w:val="0"/>
          <w:numId w:val="3"/>
        </w:numPr>
        <w:ind w:left="0"/>
        <w:rPr>
          <w:b/>
        </w:rPr>
      </w:pPr>
      <w:r>
        <w:rPr>
          <w:b/>
        </w:rPr>
        <w:t>Necessity of</w:t>
      </w:r>
      <w:r w:rsidRPr="00E44F63">
        <w:rPr>
          <w:b/>
        </w:rPr>
        <w:t xml:space="preserve"> Information</w:t>
      </w:r>
      <w:r>
        <w:rPr>
          <w:b/>
        </w:rPr>
        <w:t xml:space="preserve"> Collection</w:t>
      </w:r>
    </w:p>
    <w:p w14:paraId="3BBC541F" w14:textId="77777777" w:rsidR="00062D72" w:rsidRDefault="00062D72" w:rsidP="00062D72">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National Credit Union Administration (NCUA) </w:t>
      </w:r>
      <w:r w:rsidR="00D46E16">
        <w:t xml:space="preserve">is proposing to revise the OMB approval of its generic clearance to collect </w:t>
      </w:r>
      <w:r>
        <w:t>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42F3FC22" w14:textId="77777777" w:rsidR="00062D72" w:rsidRPr="00062D72" w:rsidRDefault="00062D72" w:rsidP="00062D72">
      <w:pPr>
        <w:rPr>
          <w:b/>
        </w:rPr>
      </w:pPr>
    </w:p>
    <w:p w14:paraId="251C7A25" w14:textId="77777777" w:rsidR="00062D72" w:rsidRDefault="00062D72" w:rsidP="00062D72">
      <w:r>
        <w:t xml:space="preserve">This collection of information is necessary to enable </w:t>
      </w:r>
      <w:r w:rsidR="008D547C">
        <w:t>NCUA</w:t>
      </w:r>
      <w:r>
        <w:t xml:space="preserve">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w:t>
      </w:r>
      <w:r w:rsidR="008D547C">
        <w:t>NCUA</w:t>
      </w:r>
      <w:r>
        <w:t xml:space="preserve">’s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w:t>
      </w:r>
      <w:r w:rsidR="008D547C">
        <w:t>NCUA</w:t>
      </w:r>
      <w:r>
        <w:t xml:space="preserve"> and its customers and stakeholders.  It will also allow feedback to contribute directly to the improvement of program management. </w:t>
      </w:r>
    </w:p>
    <w:p w14:paraId="5086B675" w14:textId="77777777" w:rsidR="007867E7" w:rsidRDefault="007867E7" w:rsidP="00062D72"/>
    <w:p w14:paraId="5B127840" w14:textId="77777777" w:rsidR="007867E7" w:rsidRDefault="007867E7" w:rsidP="007867E7">
      <w:r>
        <w:t xml:space="preserve">NCUA will only submit a collection for approval under this generic clearance if it meets the following conditions:   </w:t>
      </w:r>
    </w:p>
    <w:p w14:paraId="6E9C0F9B" w14:textId="77777777" w:rsidR="007867E7" w:rsidRDefault="007867E7" w:rsidP="007867E7"/>
    <w:p w14:paraId="740F9DC6" w14:textId="77777777" w:rsidR="007867E7" w:rsidRDefault="007867E7" w:rsidP="007867E7">
      <w:pPr>
        <w:pStyle w:val="ListParagraph"/>
        <w:numPr>
          <w:ilvl w:val="0"/>
          <w:numId w:val="13"/>
        </w:numPr>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14:paraId="1624A77F" w14:textId="77777777" w:rsidR="007867E7" w:rsidRDefault="007867E7" w:rsidP="007867E7">
      <w:pPr>
        <w:pStyle w:val="ListParagraph"/>
        <w:numPr>
          <w:ilvl w:val="0"/>
          <w:numId w:val="15"/>
        </w:numPr>
      </w:pPr>
      <w:r>
        <w:t>Information gathered will not be used for the purpose of substantially informing influential policy decisions;</w:t>
      </w:r>
    </w:p>
    <w:p w14:paraId="173A82A3" w14:textId="77777777" w:rsidR="007867E7" w:rsidRDefault="007867E7" w:rsidP="007867E7">
      <w:pPr>
        <w:pStyle w:val="ListParagraph"/>
        <w:numPr>
          <w:ilvl w:val="0"/>
          <w:numId w:val="12"/>
        </w:numPr>
      </w:pPr>
      <w:r>
        <w:t>Information gathered will yield qualitative information; the collections will not be designed or expected to yield statistically reliable results or used as though the results are generaliz</w:t>
      </w:r>
      <w:r w:rsidR="003A4939">
        <w:t>able to the population of study</w:t>
      </w:r>
      <w:r>
        <w:t xml:space="preserve">;  </w:t>
      </w:r>
    </w:p>
    <w:p w14:paraId="3AB27657" w14:textId="77777777" w:rsidR="007867E7" w:rsidRDefault="007867E7" w:rsidP="007867E7">
      <w:pPr>
        <w:pStyle w:val="ListParagraph"/>
        <w:numPr>
          <w:ilvl w:val="0"/>
          <w:numId w:val="12"/>
        </w:numPr>
      </w:pPr>
      <w:r>
        <w:t>The collections are voluntary;</w:t>
      </w:r>
    </w:p>
    <w:p w14:paraId="6B72BA40" w14:textId="77777777" w:rsidR="007867E7" w:rsidRDefault="007867E7" w:rsidP="007867E7">
      <w:pPr>
        <w:pStyle w:val="ListParagraph"/>
        <w:numPr>
          <w:ilvl w:val="0"/>
          <w:numId w:val="12"/>
        </w:numPr>
      </w:pPr>
      <w:r>
        <w:lastRenderedPageBreak/>
        <w:t>The collections are low-burden for respondents (based on considerations of total burden hours, total number of respondents, or burden-hours per respondent) and are low-cost for both the respondents and the Federal Government;</w:t>
      </w:r>
    </w:p>
    <w:p w14:paraId="2B601081" w14:textId="77777777" w:rsidR="007867E7" w:rsidRDefault="007867E7" w:rsidP="007867E7">
      <w:pPr>
        <w:pStyle w:val="ListParagraph"/>
        <w:numPr>
          <w:ilvl w:val="0"/>
          <w:numId w:val="12"/>
        </w:numPr>
      </w:pPr>
      <w:r>
        <w:t xml:space="preserve">The collections are non-controversial and do not raise issues of concern to other Federal agencies; </w:t>
      </w:r>
    </w:p>
    <w:p w14:paraId="1F65E408" w14:textId="77777777" w:rsidR="007867E7" w:rsidRDefault="007867E7" w:rsidP="007867E7">
      <w:pPr>
        <w:pStyle w:val="ListParagraph"/>
        <w:numPr>
          <w:ilvl w:val="0"/>
          <w:numId w:val="12"/>
        </w:numPr>
      </w:pPr>
      <w:r>
        <w:t>Any collection is targeted to the solicitation of opinions from respondents who have experience with the program or may have experience with the program in the near future; and</w:t>
      </w:r>
    </w:p>
    <w:p w14:paraId="22E9BF1B" w14:textId="77777777" w:rsidR="007867E7" w:rsidRDefault="007867E7" w:rsidP="007867E7">
      <w:pPr>
        <w:pStyle w:val="ListParagraph"/>
        <w:numPr>
          <w:ilvl w:val="0"/>
          <w:numId w:val="12"/>
        </w:numPr>
      </w:pPr>
      <w:r>
        <w:t>With the exception of information needed to provide re</w:t>
      </w:r>
      <w:r w:rsidR="003A4939">
        <w:t>m</w:t>
      </w:r>
      <w:r>
        <w:t>u</w:t>
      </w:r>
      <w:r w:rsidR="003A4939">
        <w:t>n</w:t>
      </w:r>
      <w:r>
        <w:t xml:space="preserve">eration for participants of focus groups and cognitive laboratory studies, personally identifiable information (PII) is collected only to the extent necessary and is not retained. </w:t>
      </w:r>
    </w:p>
    <w:p w14:paraId="7C552B1F" w14:textId="77777777" w:rsidR="007867E7" w:rsidRDefault="007867E7" w:rsidP="007867E7">
      <w:pPr>
        <w:pStyle w:val="ListParagraph"/>
        <w:ind w:left="360"/>
      </w:pPr>
    </w:p>
    <w:p w14:paraId="6A644CEE" w14:textId="77777777" w:rsidR="007867E7" w:rsidRDefault="007867E7" w:rsidP="007867E7">
      <w:r>
        <w:t xml:space="preserve">If these conditions are not met, NCUA will submit an information collection request to OMB for approval through the normal PRA process.  </w:t>
      </w:r>
    </w:p>
    <w:p w14:paraId="24E82C4A" w14:textId="77777777" w:rsidR="007867E7" w:rsidRDefault="007867E7" w:rsidP="007867E7"/>
    <w:p w14:paraId="79F7E6F3" w14:textId="77777777" w:rsidR="007867E7" w:rsidRDefault="007867E7" w:rsidP="007867E7">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3663F0D6" w14:textId="77777777" w:rsidR="007867E7" w:rsidRDefault="007867E7" w:rsidP="007867E7"/>
    <w:p w14:paraId="331B259F" w14:textId="77777777" w:rsidR="007867E7" w:rsidRDefault="007867E7" w:rsidP="007867E7">
      <w:r>
        <w:t>The types of collections that this generic clearance covers include, but are not limited to:</w:t>
      </w:r>
    </w:p>
    <w:p w14:paraId="337F2379" w14:textId="77777777" w:rsidR="007867E7" w:rsidRDefault="007867E7" w:rsidP="007867E7">
      <w:pPr>
        <w:pStyle w:val="ListParagraph"/>
        <w:numPr>
          <w:ilvl w:val="0"/>
          <w:numId w:val="14"/>
        </w:numPr>
        <w:spacing w:after="200" w:line="276" w:lineRule="auto"/>
      </w:pPr>
      <w:r>
        <w:t>Customer comment cards/complaint forms</w:t>
      </w:r>
    </w:p>
    <w:p w14:paraId="2F80A336" w14:textId="77777777" w:rsidR="007867E7" w:rsidRDefault="007867E7" w:rsidP="007867E7">
      <w:pPr>
        <w:pStyle w:val="ListParagraph"/>
        <w:numPr>
          <w:ilvl w:val="0"/>
          <w:numId w:val="14"/>
        </w:numPr>
        <w:spacing w:after="200" w:line="276" w:lineRule="auto"/>
      </w:pPr>
      <w:r>
        <w:t>Small discussion groups</w:t>
      </w:r>
    </w:p>
    <w:p w14:paraId="750228AE" w14:textId="77777777" w:rsidR="007867E7" w:rsidRDefault="007867E7" w:rsidP="007867E7">
      <w:pPr>
        <w:pStyle w:val="ListParagraph"/>
        <w:numPr>
          <w:ilvl w:val="0"/>
          <w:numId w:val="14"/>
        </w:numPr>
      </w:pPr>
      <w:r>
        <w:t xml:space="preserve">Focus </w:t>
      </w:r>
      <w:r w:rsidR="003A4939">
        <w:t>g</w:t>
      </w:r>
      <w:r>
        <w:t>roups of customers, potential customers, delivery partners, or other stakeholders</w:t>
      </w:r>
    </w:p>
    <w:p w14:paraId="6EDF81C9" w14:textId="77777777" w:rsidR="007867E7" w:rsidRDefault="007867E7" w:rsidP="007867E7">
      <w:pPr>
        <w:pStyle w:val="ListParagraph"/>
        <w:numPr>
          <w:ilvl w:val="0"/>
          <w:numId w:val="14"/>
        </w:numPr>
      </w:pPr>
      <w:r>
        <w:t>Cognitive laboratory studies, such as those used to refine questions o</w:t>
      </w:r>
      <w:r w:rsidR="003A4939">
        <w:t>r assess usability of a website</w:t>
      </w:r>
    </w:p>
    <w:p w14:paraId="0F82EF7D" w14:textId="77777777" w:rsidR="007867E7" w:rsidRDefault="007867E7" w:rsidP="007867E7">
      <w:pPr>
        <w:pStyle w:val="ListParagraph"/>
        <w:numPr>
          <w:ilvl w:val="0"/>
          <w:numId w:val="14"/>
        </w:numPr>
        <w:spacing w:after="200" w:line="276" w:lineRule="auto"/>
      </w:pPr>
      <w:r>
        <w:t>Qualitative customer satisfaction surveys (e.g., post-transaction surveys; opt-out web surveys)</w:t>
      </w:r>
    </w:p>
    <w:p w14:paraId="2D2A3E71" w14:textId="77777777" w:rsidR="007867E7" w:rsidRDefault="007867E7" w:rsidP="007867E7">
      <w:pPr>
        <w:pStyle w:val="ListParagraph"/>
        <w:numPr>
          <w:ilvl w:val="0"/>
          <w:numId w:val="14"/>
        </w:numPr>
        <w:spacing w:after="200" w:line="276" w:lineRule="auto"/>
      </w:pPr>
      <w:r>
        <w:t>In-person observation testing (e.g., website or software usability tests)</w:t>
      </w:r>
      <w:r w:rsidR="00390610">
        <w:t>; and</w:t>
      </w:r>
    </w:p>
    <w:p w14:paraId="48AA3916" w14:textId="77777777" w:rsidR="00390610" w:rsidRDefault="00390610" w:rsidP="007867E7">
      <w:pPr>
        <w:pStyle w:val="ListParagraph"/>
        <w:numPr>
          <w:ilvl w:val="0"/>
          <w:numId w:val="14"/>
        </w:numPr>
        <w:spacing w:after="200" w:line="276" w:lineRule="auto"/>
      </w:pPr>
      <w:r>
        <w:t>Usability testing (e.g., website or software usability tests).</w:t>
      </w:r>
    </w:p>
    <w:p w14:paraId="455CD822" w14:textId="77777777" w:rsidR="007867E7" w:rsidRPr="00E44F63" w:rsidRDefault="00390610" w:rsidP="007867E7">
      <w:r>
        <w:t>NCUA</w:t>
      </w:r>
      <w:r w:rsidR="007867E7">
        <w:t xml:space="preserve"> </w:t>
      </w:r>
      <w:r>
        <w:t>w</w:t>
      </w:r>
      <w:r w:rsidR="007867E7">
        <w:t xml:space="preserve">ill conduct an independent review of each information collection to ensure compliance with the terms of this clearance prior to submitting each collection to OMB. </w:t>
      </w:r>
    </w:p>
    <w:p w14:paraId="15DC73B6" w14:textId="77777777" w:rsidR="007867E7" w:rsidRDefault="007867E7" w:rsidP="00062D72"/>
    <w:p w14:paraId="454FBB0C" w14:textId="77777777" w:rsidR="003A0D60" w:rsidRDefault="003A0D60" w:rsidP="003A0D60">
      <w:pPr>
        <w:pStyle w:val="ListParagraph"/>
        <w:numPr>
          <w:ilvl w:val="0"/>
          <w:numId w:val="3"/>
        </w:numPr>
        <w:ind w:left="0"/>
        <w:rPr>
          <w:b/>
        </w:rPr>
      </w:pPr>
      <w:r w:rsidRPr="00E44F63">
        <w:rPr>
          <w:b/>
        </w:rPr>
        <w:t>Purpose and Use of the Information Collection</w:t>
      </w:r>
    </w:p>
    <w:p w14:paraId="1EC7A277" w14:textId="7C9165A3" w:rsidR="00C97A9B" w:rsidRDefault="00C97A9B" w:rsidP="00C97A9B">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062D72">
        <w:t xml:space="preserve">NCUA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w:t>
      </w:r>
      <w:r w:rsidR="00E4682F">
        <w:t>f issues with service delivery.</w:t>
      </w:r>
      <w:r>
        <w:t xml:space="preserve">  Responses will be assessed to plan and inform efforts to improve or maintain the quality of service offered to the public.  If this information is not collected, vital feedback from customers and stakeholders on </w:t>
      </w:r>
      <w:r w:rsidR="00062D72">
        <w:t>NCUA</w:t>
      </w:r>
      <w:r>
        <w:t>’s services will be unavailable.</w:t>
      </w:r>
    </w:p>
    <w:p w14:paraId="6BB0604E" w14:textId="77777777" w:rsidR="00E4682F" w:rsidRDefault="00E4682F" w:rsidP="00C97A9B"/>
    <w:p w14:paraId="686B8F90" w14:textId="77777777" w:rsidR="00E4682F" w:rsidRDefault="00E4682F" w:rsidP="00C97A9B"/>
    <w:p w14:paraId="016F71A4" w14:textId="77777777" w:rsidR="00C97A9B" w:rsidRDefault="00C97A9B" w:rsidP="00C97A9B"/>
    <w:p w14:paraId="2B674A64" w14:textId="77777777" w:rsidR="003A0D60" w:rsidRDefault="003A0D60" w:rsidP="003A0D60">
      <w:pPr>
        <w:pStyle w:val="ListParagraph"/>
        <w:numPr>
          <w:ilvl w:val="0"/>
          <w:numId w:val="3"/>
        </w:numPr>
        <w:ind w:left="0"/>
        <w:rPr>
          <w:b/>
        </w:rPr>
      </w:pPr>
      <w:r w:rsidRPr="00E44F63">
        <w:rPr>
          <w:b/>
        </w:rPr>
        <w:t>Consideration Given to Information Technology</w:t>
      </w:r>
    </w:p>
    <w:p w14:paraId="349D9F71" w14:textId="77777777" w:rsidR="003A0D60" w:rsidRPr="00631257" w:rsidRDefault="00E4682F" w:rsidP="00C97A9B">
      <w:r>
        <w:t xml:space="preserve">To the extent feasible, NCUA </w:t>
      </w:r>
      <w:r w:rsidR="00C97A9B">
        <w:t>will collect information electronically and/or use online collaboration tools to reduce burden.</w:t>
      </w:r>
    </w:p>
    <w:p w14:paraId="1DFA9179" w14:textId="77777777" w:rsidR="003A0D60" w:rsidRPr="00E44F63" w:rsidRDefault="003A0D60" w:rsidP="003A0D60">
      <w:pPr>
        <w:ind w:hanging="360"/>
      </w:pPr>
    </w:p>
    <w:p w14:paraId="30ABA1DE" w14:textId="77777777" w:rsidR="003A0D60" w:rsidRPr="00E44F63" w:rsidRDefault="003A0D60" w:rsidP="003A0D60">
      <w:pPr>
        <w:pStyle w:val="ListParagraph"/>
        <w:numPr>
          <w:ilvl w:val="0"/>
          <w:numId w:val="3"/>
        </w:numPr>
        <w:ind w:left="0"/>
        <w:rPr>
          <w:b/>
        </w:rPr>
      </w:pPr>
      <w:r w:rsidRPr="00E44F63">
        <w:rPr>
          <w:b/>
        </w:rPr>
        <w:t xml:space="preserve">Duplication </w:t>
      </w:r>
    </w:p>
    <w:p w14:paraId="436D87BE" w14:textId="77777777" w:rsidR="00C97A9B" w:rsidRDefault="00C97A9B" w:rsidP="00C97A9B">
      <w:r>
        <w:t>No similar data are gathered or maintained by NCUA or are available from other sources known to NCUA</w:t>
      </w:r>
      <w:r w:rsidRPr="002A35E6">
        <w:t>.</w:t>
      </w:r>
    </w:p>
    <w:p w14:paraId="5BFD6E28" w14:textId="77777777" w:rsidR="003A0D60" w:rsidRPr="00631257" w:rsidRDefault="003A0D60" w:rsidP="00C97A9B">
      <w:pPr>
        <w:tabs>
          <w:tab w:val="left" w:pos="-720"/>
          <w:tab w:val="left" w:pos="286"/>
          <w:tab w:val="left" w:pos="403"/>
        </w:tabs>
        <w:suppressAutoHyphens/>
      </w:pPr>
    </w:p>
    <w:p w14:paraId="2477ECDE" w14:textId="77777777" w:rsidR="003A0D60" w:rsidRPr="00E44F63" w:rsidRDefault="003A0D60" w:rsidP="003A0D60">
      <w:pPr>
        <w:pStyle w:val="ListParagraph"/>
        <w:numPr>
          <w:ilvl w:val="0"/>
          <w:numId w:val="3"/>
        </w:numPr>
        <w:ind w:left="0"/>
        <w:rPr>
          <w:b/>
        </w:rPr>
      </w:pPr>
      <w:r>
        <w:rPr>
          <w:b/>
        </w:rPr>
        <w:t xml:space="preserve">Effect </w:t>
      </w:r>
      <w:r w:rsidRPr="00E44F63">
        <w:rPr>
          <w:b/>
        </w:rPr>
        <w:t>on Small Entities</w:t>
      </w:r>
    </w:p>
    <w:p w14:paraId="27C6CF8D" w14:textId="77777777" w:rsidR="003A0D60" w:rsidRPr="00631257" w:rsidRDefault="00C97A9B" w:rsidP="00C97A9B">
      <w:r>
        <w:t>Small business</w:t>
      </w:r>
      <w:r w:rsidR="00E4682F">
        <w:t>es</w:t>
      </w:r>
      <w:r>
        <w:t xml:space="preserve"> or other small entities may be involved in these efforts</w:t>
      </w:r>
      <w:r w:rsidR="000F6609">
        <w:t xml:space="preserve">.  The burden on these entities as a result of the information collections approved under this clearance will be </w:t>
      </w:r>
      <w:r>
        <w:t>minimize</w:t>
      </w:r>
      <w:r w:rsidR="000F6609">
        <w:t xml:space="preserve">d </w:t>
      </w:r>
      <w:r>
        <w:t xml:space="preserve">by sampling, asking for readily available information, and using short, easy-to-complete information collection instruments.  </w:t>
      </w:r>
    </w:p>
    <w:p w14:paraId="111511F7" w14:textId="77777777" w:rsidR="003A0D60" w:rsidRPr="00631257"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p>
    <w:p w14:paraId="705EFDFB" w14:textId="77777777" w:rsidR="003A0D60" w:rsidRPr="00E44F63" w:rsidRDefault="003A0D60" w:rsidP="003A0D60">
      <w:pPr>
        <w:pStyle w:val="ListParagraph"/>
        <w:numPr>
          <w:ilvl w:val="0"/>
          <w:numId w:val="3"/>
        </w:numPr>
        <w:ind w:left="0"/>
        <w:rPr>
          <w:b/>
        </w:rPr>
      </w:pPr>
      <w:r w:rsidRPr="00E44F63">
        <w:rPr>
          <w:b/>
        </w:rPr>
        <w:t xml:space="preserve">Consequences of Not Conducting Collection </w:t>
      </w:r>
    </w:p>
    <w:p w14:paraId="07426A71" w14:textId="77777777" w:rsidR="003A0D60" w:rsidRPr="00631257"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tab/>
      </w:r>
      <w:r w:rsidR="00C97A9B" w:rsidRPr="00C97A9B">
        <w:t>Wi</w:t>
      </w:r>
      <w:r w:rsidR="00C97A9B">
        <w:t>thout these types of feedback, NCUA</w:t>
      </w:r>
      <w:r w:rsidR="00C97A9B" w:rsidRPr="00C97A9B">
        <w:t xml:space="preserve"> will not have timely information to adjust its services to meet customer needs.</w:t>
      </w:r>
    </w:p>
    <w:p w14:paraId="19FA2607" w14:textId="77777777" w:rsidR="003A0D60" w:rsidRPr="00E44F63" w:rsidRDefault="003A0D60" w:rsidP="003A0D60">
      <w:pPr>
        <w:ind w:hanging="360"/>
      </w:pPr>
    </w:p>
    <w:p w14:paraId="2C919E21" w14:textId="77777777" w:rsidR="003A0D60" w:rsidRDefault="003A0D60" w:rsidP="003A0D60">
      <w:pPr>
        <w:pStyle w:val="ListParagraph"/>
        <w:numPr>
          <w:ilvl w:val="0"/>
          <w:numId w:val="3"/>
        </w:numPr>
        <w:ind w:left="0"/>
        <w:rPr>
          <w:b/>
        </w:rPr>
      </w:pPr>
      <w:r>
        <w:rPr>
          <w:b/>
        </w:rPr>
        <w:t>Inconsistencies with Guidelines in 5 CFR 1320.5(d)(2)</w:t>
      </w:r>
    </w:p>
    <w:p w14:paraId="696C2BAE" w14:textId="77777777" w:rsidR="003A0D60" w:rsidRDefault="003A0D60" w:rsidP="0038426E">
      <w:pPr>
        <w:pStyle w:val="ListParagraph"/>
        <w:ind w:left="0"/>
      </w:pPr>
      <w:r>
        <w:t xml:space="preserve">There are no special circumstances. This collection is consistent with the guidelines in 5 CFR </w:t>
      </w:r>
      <w:r w:rsidR="00C97A9B">
        <w:t>1320.5(d</w:t>
      </w:r>
      <w:proofErr w:type="gramStart"/>
      <w:r w:rsidR="00C97A9B">
        <w:t>)(</w:t>
      </w:r>
      <w:proofErr w:type="gramEnd"/>
      <w:r w:rsidR="00C97A9B">
        <w:t>2).</w:t>
      </w:r>
      <w:r>
        <w:tab/>
      </w:r>
    </w:p>
    <w:p w14:paraId="75D4AE4A" w14:textId="77777777" w:rsidR="003A0D60" w:rsidRPr="00E44F63" w:rsidRDefault="003A0D60" w:rsidP="003A0D60">
      <w:pPr>
        <w:pStyle w:val="ListParagraph"/>
        <w:ind w:left="0" w:hanging="360"/>
        <w:rPr>
          <w:b/>
        </w:rPr>
      </w:pPr>
    </w:p>
    <w:p w14:paraId="7B2F454A" w14:textId="77777777" w:rsidR="003A0D60" w:rsidRPr="00D07A5B" w:rsidRDefault="003A0D60" w:rsidP="003A0D60">
      <w:pPr>
        <w:pStyle w:val="ListParagraph"/>
        <w:numPr>
          <w:ilvl w:val="0"/>
          <w:numId w:val="3"/>
        </w:numPr>
        <w:ind w:left="0"/>
        <w:rPr>
          <w:b/>
        </w:rPr>
      </w:pPr>
      <w:r w:rsidRPr="00E44F63">
        <w:rPr>
          <w:b/>
        </w:rPr>
        <w:t>Consultations Outside the Agency</w:t>
      </w:r>
    </w:p>
    <w:p w14:paraId="5F822430" w14:textId="77777777" w:rsidR="003A0D60" w:rsidRDefault="00870E16" w:rsidP="00D07A5B">
      <w:r>
        <w:t xml:space="preserve">Notice and request for comments was published in the Federal Register </w:t>
      </w:r>
      <w:r>
        <w:rPr>
          <w:rFonts w:cs="Arial"/>
        </w:rPr>
        <w:t>on January 22, 2015</w:t>
      </w:r>
      <w:r w:rsidR="007A4E2F">
        <w:rPr>
          <w:rFonts w:cs="Arial"/>
        </w:rPr>
        <w:t xml:space="preserve"> (80 F.R. 3255) and on May 18, 2015 (80 FR 28305)</w:t>
      </w:r>
      <w:r>
        <w:rPr>
          <w:rFonts w:cs="Arial"/>
        </w:rPr>
        <w:t xml:space="preserve">. </w:t>
      </w:r>
      <w:r w:rsidR="003A0D60">
        <w:t xml:space="preserve">No public </w:t>
      </w:r>
      <w:r w:rsidR="00D07A5B">
        <w:t>comments were received.</w:t>
      </w:r>
    </w:p>
    <w:p w14:paraId="1EB32C77" w14:textId="77777777" w:rsidR="003A0D60" w:rsidRPr="00D07A5B" w:rsidRDefault="003A0D60" w:rsidP="00D07A5B"/>
    <w:p w14:paraId="5ABDA1B4" w14:textId="77777777" w:rsidR="003A0D60" w:rsidRPr="00E44F63" w:rsidRDefault="003A0D60" w:rsidP="003A0D60">
      <w:pPr>
        <w:pStyle w:val="ListParagraph"/>
        <w:numPr>
          <w:ilvl w:val="0"/>
          <w:numId w:val="3"/>
        </w:numPr>
        <w:ind w:left="0"/>
        <w:rPr>
          <w:b/>
        </w:rPr>
      </w:pPr>
      <w:r w:rsidRPr="00E44F63">
        <w:rPr>
          <w:b/>
        </w:rPr>
        <w:t>Payment or Gift</w:t>
      </w:r>
    </w:p>
    <w:p w14:paraId="37F15361" w14:textId="77777777" w:rsidR="00D07A5B" w:rsidRDefault="00D07A5B" w:rsidP="00D07A5B">
      <w:r>
        <w:t>NCUA</w:t>
      </w:r>
      <w:r w:rsidRPr="00AC2497">
        <w:t xml:space="preserve"> </w:t>
      </w:r>
      <w:r>
        <w:t>will not provide payment or other forms of remuneration to respondents</w:t>
      </w:r>
      <w:r w:rsidR="00E4682F">
        <w:t>.</w:t>
      </w:r>
      <w:r>
        <w:t xml:space="preserve"> </w:t>
      </w:r>
    </w:p>
    <w:p w14:paraId="401873AD" w14:textId="77777777" w:rsidR="00D07A5B" w:rsidRDefault="00D07A5B" w:rsidP="00D07A5B">
      <w:r>
        <w:t xml:space="preserve"> </w:t>
      </w:r>
    </w:p>
    <w:p w14:paraId="051A799C" w14:textId="77777777" w:rsidR="006923ED" w:rsidRPr="00D07A5B" w:rsidRDefault="003A0D60" w:rsidP="00D07A5B">
      <w:pPr>
        <w:pStyle w:val="ListParagraph"/>
        <w:numPr>
          <w:ilvl w:val="0"/>
          <w:numId w:val="3"/>
        </w:numPr>
        <w:ind w:left="0"/>
        <w:rPr>
          <w:b/>
        </w:rPr>
      </w:pPr>
      <w:r w:rsidRPr="00E44F63">
        <w:rPr>
          <w:b/>
        </w:rPr>
        <w:t xml:space="preserve">Confidentiality </w:t>
      </w:r>
    </w:p>
    <w:p w14:paraId="63B80D44" w14:textId="77777777" w:rsidR="00E4682F" w:rsidRDefault="00E4682F" w:rsidP="00E4682F">
      <w:pPr>
        <w:tabs>
          <w:tab w:val="left" w:pos="6187"/>
        </w:tabs>
      </w:pPr>
      <w:r>
        <w:t>No assurance of confidentiality is provided.</w:t>
      </w:r>
    </w:p>
    <w:p w14:paraId="26E1E15E" w14:textId="77777777" w:rsidR="003A0D60" w:rsidRPr="00E44F63" w:rsidRDefault="003A0D60" w:rsidP="00E4682F">
      <w:pPr>
        <w:tabs>
          <w:tab w:val="left" w:pos="6187"/>
        </w:tabs>
      </w:pPr>
      <w:r>
        <w:tab/>
      </w:r>
    </w:p>
    <w:p w14:paraId="428F89B2" w14:textId="77777777" w:rsidR="003A0D60" w:rsidRPr="00E44F63" w:rsidRDefault="003A0D60" w:rsidP="003A0D60">
      <w:pPr>
        <w:pStyle w:val="ListParagraph"/>
        <w:numPr>
          <w:ilvl w:val="0"/>
          <w:numId w:val="3"/>
        </w:numPr>
        <w:ind w:left="0"/>
        <w:rPr>
          <w:b/>
        </w:rPr>
      </w:pPr>
      <w:r w:rsidRPr="00E44F63">
        <w:rPr>
          <w:b/>
        </w:rPr>
        <w:t xml:space="preserve">Sensitive </w:t>
      </w:r>
      <w:r>
        <w:rPr>
          <w:b/>
        </w:rPr>
        <w:t>Questions</w:t>
      </w:r>
    </w:p>
    <w:p w14:paraId="45013596" w14:textId="22C528CE" w:rsidR="003A0D60" w:rsidRDefault="003A0D60" w:rsidP="003A0D60">
      <w:r w:rsidRPr="00891304">
        <w:rPr>
          <w:spacing w:val="-3"/>
        </w:rPr>
        <w:t>No questions of a sensitive nature are asked.</w:t>
      </w:r>
      <w:r>
        <w:rPr>
          <w:spacing w:val="-3"/>
        </w:rPr>
        <w:t xml:space="preserve">  </w:t>
      </w:r>
    </w:p>
    <w:p w14:paraId="5A71988D" w14:textId="77777777" w:rsidR="003A0D60" w:rsidRPr="00DB18FA" w:rsidRDefault="003A0D60" w:rsidP="003A0D60">
      <w:pPr>
        <w:ind w:hanging="360"/>
        <w:rPr>
          <w:i/>
        </w:rPr>
      </w:pPr>
    </w:p>
    <w:p w14:paraId="52F649FD" w14:textId="77777777" w:rsidR="003A0D60" w:rsidRDefault="003A0D60" w:rsidP="003A0D60">
      <w:pPr>
        <w:pStyle w:val="ListParagraph"/>
        <w:numPr>
          <w:ilvl w:val="0"/>
          <w:numId w:val="3"/>
        </w:numPr>
        <w:ind w:left="0"/>
        <w:rPr>
          <w:b/>
        </w:rPr>
      </w:pPr>
      <w:r w:rsidRPr="00E44F63">
        <w:rPr>
          <w:b/>
        </w:rPr>
        <w:t>Burden of Information Collection</w:t>
      </w:r>
    </w:p>
    <w:p w14:paraId="67934FF7" w14:textId="41CB376B" w:rsidR="00B309D6" w:rsidRDefault="009A638E" w:rsidP="004B6AE6">
      <w:pPr>
        <w:tabs>
          <w:tab w:val="left" w:pos="-1080"/>
          <w:tab w:val="left" w:pos="-720"/>
          <w:tab w:val="left" w:pos="0"/>
          <w:tab w:val="left" w:pos="449"/>
          <w:tab w:val="left" w:pos="743"/>
          <w:tab w:val="left" w:pos="2161"/>
        </w:tabs>
      </w:pPr>
      <w:r>
        <w:t xml:space="preserve">A variety of instruments and platforms will be used to collect </w:t>
      </w:r>
      <w:r w:rsidR="004B6AE6">
        <w:t xml:space="preserve">feedback from respondents, including web- and paper-based surveys or feedback forms, web-based polls or other interactive responses, comment cards, focus groups and social media.  The response time will vary per form.  </w:t>
      </w:r>
      <w:r>
        <w:t>The annual burden hours requested (</w:t>
      </w:r>
      <w:r w:rsidR="00220767">
        <w:t>42,715</w:t>
      </w:r>
      <w:r>
        <w:t xml:space="preserve">) are based on the number of collections we expect to conduct over the requested period for this clearance. </w:t>
      </w:r>
    </w:p>
    <w:p w14:paraId="05BB1083" w14:textId="77777777" w:rsidR="00E5768B" w:rsidRDefault="00E5768B" w:rsidP="004B6AE6">
      <w:pPr>
        <w:tabs>
          <w:tab w:val="left" w:pos="-1080"/>
          <w:tab w:val="left" w:pos="-720"/>
          <w:tab w:val="left" w:pos="0"/>
          <w:tab w:val="left" w:pos="449"/>
          <w:tab w:val="left" w:pos="743"/>
          <w:tab w:val="left" w:pos="2161"/>
        </w:tabs>
      </w:pPr>
    </w:p>
    <w:p w14:paraId="74752E81" w14:textId="77777777" w:rsidR="00E5768B" w:rsidRDefault="00E5768B" w:rsidP="004B6AE6">
      <w:pPr>
        <w:tabs>
          <w:tab w:val="left" w:pos="-1080"/>
          <w:tab w:val="left" w:pos="-720"/>
          <w:tab w:val="left" w:pos="0"/>
          <w:tab w:val="left" w:pos="449"/>
          <w:tab w:val="left" w:pos="743"/>
          <w:tab w:val="left" w:pos="2161"/>
        </w:tabs>
      </w:pPr>
    </w:p>
    <w:p w14:paraId="196FB49D" w14:textId="77777777" w:rsidR="007356AD" w:rsidRPr="00E44F63" w:rsidRDefault="007356AD" w:rsidP="007356AD">
      <w:pPr>
        <w:tabs>
          <w:tab w:val="left" w:pos="-1080"/>
          <w:tab w:val="left" w:pos="-720"/>
          <w:tab w:val="left" w:pos="0"/>
          <w:tab w:val="left" w:pos="450"/>
          <w:tab w:val="left" w:pos="720"/>
          <w:tab w:val="left" w:pos="2160"/>
        </w:tabs>
      </w:pPr>
    </w:p>
    <w:p w14:paraId="6D70A481" w14:textId="77777777" w:rsidR="003A0D60" w:rsidRPr="00D07A5B" w:rsidRDefault="003A0D60" w:rsidP="00E5768B">
      <w:pPr>
        <w:pStyle w:val="ListParagraph"/>
        <w:numPr>
          <w:ilvl w:val="0"/>
          <w:numId w:val="3"/>
        </w:numPr>
        <w:ind w:left="0"/>
        <w:rPr>
          <w:b/>
        </w:rPr>
      </w:pPr>
      <w:r w:rsidRPr="00E44F63">
        <w:rPr>
          <w:b/>
        </w:rPr>
        <w:t>Costs to Respondents</w:t>
      </w:r>
    </w:p>
    <w:p w14:paraId="1563CEEB" w14:textId="34A53966" w:rsidR="007356AD" w:rsidRDefault="00E5768B" w:rsidP="00585F49">
      <w:pPr>
        <w:pStyle w:val="ListParagraph"/>
        <w:tabs>
          <w:tab w:val="left" w:pos="-720"/>
          <w:tab w:val="left" w:pos="286"/>
          <w:tab w:val="left" w:pos="403"/>
        </w:tabs>
        <w:suppressAutoHyphens/>
        <w:ind w:left="0" w:hanging="360"/>
        <w:rPr>
          <w:b/>
        </w:rPr>
      </w:pPr>
      <w:r>
        <w:tab/>
      </w:r>
      <w:r w:rsidR="009A638E">
        <w:t xml:space="preserve">There are no costs anticipated for this collection. </w:t>
      </w:r>
    </w:p>
    <w:p w14:paraId="3105D022" w14:textId="77777777" w:rsidR="007356AD" w:rsidRPr="009A638E" w:rsidRDefault="007356AD" w:rsidP="009A638E">
      <w:pPr>
        <w:rPr>
          <w:b/>
        </w:rPr>
      </w:pPr>
    </w:p>
    <w:p w14:paraId="470E7C1F" w14:textId="77777777" w:rsidR="003A0D60" w:rsidRPr="00E44F63" w:rsidRDefault="003A0D60" w:rsidP="00E5768B">
      <w:pPr>
        <w:pStyle w:val="ListParagraph"/>
        <w:numPr>
          <w:ilvl w:val="0"/>
          <w:numId w:val="3"/>
        </w:numPr>
        <w:ind w:left="0"/>
        <w:rPr>
          <w:b/>
        </w:rPr>
      </w:pPr>
      <w:r w:rsidRPr="00E44F63">
        <w:rPr>
          <w:b/>
        </w:rPr>
        <w:t>Costs to Federal Government</w:t>
      </w:r>
    </w:p>
    <w:p w14:paraId="11BC8DF3" w14:textId="31A28EE9" w:rsidR="003A0D60" w:rsidRPr="00217864" w:rsidRDefault="009A638E" w:rsidP="00187687">
      <w:pPr>
        <w:pStyle w:val="CommentText"/>
      </w:pPr>
      <w:r w:rsidRPr="00217864">
        <w:rPr>
          <w:sz w:val="24"/>
          <w:szCs w:val="24"/>
        </w:rPr>
        <w:t>The anticipated cost to the Federal Government is approximately $150,000 annually.  These costs are comprised of: operational expenses to print and mail collections; subscription fees to online survey and webinar providers; support staff to tabulate results</w:t>
      </w:r>
      <w:r w:rsidR="00585F49" w:rsidRPr="00217864">
        <w:rPr>
          <w:sz w:val="24"/>
          <w:szCs w:val="24"/>
        </w:rPr>
        <w:t xml:space="preserve">; contractor payments for conducting surveys, </w:t>
      </w:r>
      <w:r w:rsidRPr="00217864">
        <w:rPr>
          <w:sz w:val="24"/>
          <w:szCs w:val="24"/>
        </w:rPr>
        <w:t>host</w:t>
      </w:r>
      <w:r w:rsidR="00585F49" w:rsidRPr="00217864">
        <w:rPr>
          <w:sz w:val="24"/>
          <w:szCs w:val="24"/>
        </w:rPr>
        <w:t>ing</w:t>
      </w:r>
      <w:r w:rsidRPr="00217864">
        <w:rPr>
          <w:sz w:val="24"/>
          <w:szCs w:val="24"/>
        </w:rPr>
        <w:t xml:space="preserve"> meetings to discuss results and </w:t>
      </w:r>
      <w:r w:rsidR="00585F49" w:rsidRPr="00217864">
        <w:rPr>
          <w:sz w:val="24"/>
          <w:szCs w:val="24"/>
        </w:rPr>
        <w:t>helping to inform program responses.</w:t>
      </w:r>
      <w:r w:rsidR="004B6AE6">
        <w:rPr>
          <w:sz w:val="24"/>
          <w:szCs w:val="24"/>
        </w:rPr>
        <w:t xml:space="preserve">  </w:t>
      </w:r>
    </w:p>
    <w:p w14:paraId="099E7135" w14:textId="77777777" w:rsidR="009A638E" w:rsidRPr="00E44F63" w:rsidRDefault="009A638E" w:rsidP="009A638E">
      <w:pPr>
        <w:pStyle w:val="ListParagraph"/>
        <w:ind w:left="0"/>
        <w:rPr>
          <w:b/>
        </w:rPr>
      </w:pPr>
    </w:p>
    <w:p w14:paraId="1E69AE23" w14:textId="77777777" w:rsidR="003A0D60" w:rsidRPr="00E44F63" w:rsidRDefault="003A0D60" w:rsidP="00E5768B">
      <w:pPr>
        <w:pStyle w:val="ListParagraph"/>
        <w:numPr>
          <w:ilvl w:val="0"/>
          <w:numId w:val="3"/>
        </w:numPr>
        <w:ind w:left="0"/>
        <w:rPr>
          <w:b/>
        </w:rPr>
      </w:pPr>
      <w:r w:rsidRPr="00E44F63">
        <w:rPr>
          <w:b/>
        </w:rPr>
        <w:t>Change</w:t>
      </w:r>
      <w:r>
        <w:rPr>
          <w:b/>
        </w:rPr>
        <w:t>s in Burden</w:t>
      </w:r>
    </w:p>
    <w:p w14:paraId="574A2AD0" w14:textId="09647986" w:rsidR="0040508A" w:rsidRDefault="004D6FE3" w:rsidP="00585F49">
      <w:r>
        <w:t>Th</w:t>
      </w:r>
      <w:r w:rsidR="00585F49">
        <w:t>is</w:t>
      </w:r>
      <w:r>
        <w:t xml:space="preserve"> amendment</w:t>
      </w:r>
      <w:r w:rsidR="00585F49">
        <w:t xml:space="preserve"> proposes to </w:t>
      </w:r>
      <w:r>
        <w:t>increase the hours available to obtain feedback on services provided by NCUA offices</w:t>
      </w:r>
      <w:r w:rsidR="00615BEE">
        <w:t>,</w:t>
      </w:r>
      <w:r w:rsidR="00585F49">
        <w:t xml:space="preserve"> in addition to the office that was the subject of the generic information collection submission to OMB in 2014</w:t>
      </w:r>
      <w:r>
        <w:t xml:space="preserve">.  </w:t>
      </w:r>
      <w:r w:rsidR="00585F49">
        <w:t xml:space="preserve">NCUA anticipates that additional offices within NCUA will use </w:t>
      </w:r>
      <w:r>
        <w:t xml:space="preserve">a variety of methods to </w:t>
      </w:r>
      <w:r w:rsidR="00585F49">
        <w:t xml:space="preserve">garner qualitative customer and stakeholder </w:t>
      </w:r>
      <w:r>
        <w:t xml:space="preserve">feedback, including, but not limited to, web and paper-based surveys or feedback forms, web-based polling or other interactive responses, comment cards, </w:t>
      </w:r>
      <w:r w:rsidR="00585F49">
        <w:t>s</w:t>
      </w:r>
      <w:r>
        <w:t>ocial media</w:t>
      </w:r>
      <w:r w:rsidR="00585F49">
        <w:t>, focus groups, small discussion groups, and usability testing</w:t>
      </w:r>
      <w:r>
        <w:t>.</w:t>
      </w:r>
      <w:r w:rsidR="00585F49">
        <w:t xml:space="preserve">  These collections will allow for ongoing, collaborative, and actionable communications between more offices within NCUA and their customers and stakeholders.  This will allow additional feedback in more areas to contribute directly to the improvement of program management.  </w:t>
      </w:r>
    </w:p>
    <w:p w14:paraId="53594CF2" w14:textId="77777777" w:rsidR="00585F49" w:rsidRPr="00E44F63" w:rsidRDefault="00585F49" w:rsidP="00585F49">
      <w:pPr>
        <w:rPr>
          <w:b/>
        </w:rPr>
      </w:pPr>
    </w:p>
    <w:p w14:paraId="23E9C286" w14:textId="77777777" w:rsidR="003A0D60" w:rsidRPr="00E44F63" w:rsidRDefault="003A0D60" w:rsidP="00E5768B">
      <w:pPr>
        <w:pStyle w:val="ListParagraph"/>
        <w:numPr>
          <w:ilvl w:val="0"/>
          <w:numId w:val="3"/>
        </w:numPr>
        <w:ind w:left="0"/>
        <w:rPr>
          <w:b/>
        </w:rPr>
      </w:pPr>
      <w:r>
        <w:rPr>
          <w:b/>
        </w:rPr>
        <w:t>Information Collection Planned for Statistical Purposes</w:t>
      </w:r>
    </w:p>
    <w:p w14:paraId="59D843A7" w14:textId="77777777" w:rsidR="009A638E" w:rsidRDefault="009A638E" w:rsidP="009A638E">
      <w:r>
        <w:t>Feedback collected under this generic clearance provides useful information, but it does not yield data that can be generalized to the overall population.</w:t>
      </w:r>
      <w:r w:rsidR="00585F49">
        <w:t xml:space="preserve"> </w:t>
      </w:r>
      <w:r>
        <w:t xml:space="preserve"> Findings will be used for general service improvement, but are not for publication or other public release.</w:t>
      </w:r>
      <w:r w:rsidRPr="003E339C">
        <w:t xml:space="preserve"> </w:t>
      </w:r>
      <w:r>
        <w:t xml:space="preserve"> </w:t>
      </w:r>
    </w:p>
    <w:p w14:paraId="58A8479E" w14:textId="77777777" w:rsidR="009A638E" w:rsidRDefault="009A638E" w:rsidP="009A638E"/>
    <w:p w14:paraId="4AD04C18" w14:textId="77777777" w:rsidR="009A638E" w:rsidRDefault="009A638E" w:rsidP="009A638E">
      <w:r>
        <w:t xml:space="preserve">Although </w:t>
      </w:r>
      <w:r w:rsidR="00062D72">
        <w:t>NCUA</w:t>
      </w:r>
      <w:r>
        <w:t xml:space="preserve"> does not intend to publish its findings</w:t>
      </w:r>
      <w:r w:rsidRPr="00BA1806">
        <w:t xml:space="preserve">, </w:t>
      </w:r>
      <w:r w:rsidR="00062D72">
        <w:t>NCUA</w:t>
      </w:r>
      <w:r w:rsidRPr="00BA1806">
        <w:t xml:space="preserve"> </w:t>
      </w:r>
      <w:r>
        <w:t>may receive requests to release the information (e.g., congressional inquiry, Freedom of Information Act requests)</w:t>
      </w:r>
      <w:r w:rsidR="00C42DDE">
        <w:t xml:space="preserve"> and, if so, will follow the requirements under those rules.</w:t>
      </w:r>
      <w:r w:rsidRPr="00BA1806">
        <w:t xml:space="preserve"> </w:t>
      </w:r>
    </w:p>
    <w:p w14:paraId="34040A70" w14:textId="77777777" w:rsidR="003A0D60" w:rsidRPr="00E44F63" w:rsidRDefault="003A0D60" w:rsidP="009A638E">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14:paraId="1A113CBD" w14:textId="77777777" w:rsidR="003A0D60" w:rsidRPr="00E44F63" w:rsidRDefault="003A0D60" w:rsidP="00E5768B">
      <w:pPr>
        <w:pStyle w:val="ListParagraph"/>
        <w:keepNext/>
        <w:numPr>
          <w:ilvl w:val="0"/>
          <w:numId w:val="3"/>
        </w:numPr>
        <w:ind w:left="0"/>
        <w:rPr>
          <w:b/>
        </w:rPr>
      </w:pPr>
      <w:r>
        <w:rPr>
          <w:b/>
        </w:rPr>
        <w:t>Approval to Omit OMB Expiration</w:t>
      </w:r>
      <w:r w:rsidRPr="00E44F63">
        <w:rPr>
          <w:b/>
        </w:rPr>
        <w:t xml:space="preserve"> Date</w:t>
      </w:r>
    </w:p>
    <w:p w14:paraId="2253CE2B" w14:textId="77777777" w:rsidR="003A0D60" w:rsidRDefault="003A0D60" w:rsidP="009A638E">
      <w:pPr>
        <w:keepNext/>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r>
        <w:t>NCUA is not seeking approv</w:t>
      </w:r>
      <w:r w:rsidR="009A638E">
        <w:t>al to omit the expiration date.</w:t>
      </w:r>
    </w:p>
    <w:p w14:paraId="0419013F" w14:textId="77777777" w:rsidR="003A0D60" w:rsidRPr="00E44F63" w:rsidRDefault="003A0D60" w:rsidP="009A638E">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p>
    <w:p w14:paraId="4E517526" w14:textId="77777777" w:rsidR="003A0D60" w:rsidRPr="00E44F63" w:rsidRDefault="003A0D60" w:rsidP="00E5768B">
      <w:pPr>
        <w:pStyle w:val="ListParagraph"/>
        <w:numPr>
          <w:ilvl w:val="0"/>
          <w:numId w:val="3"/>
        </w:numPr>
        <w:ind w:left="0"/>
        <w:rPr>
          <w:b/>
        </w:rPr>
      </w:pPr>
      <w:r w:rsidRPr="00E44F63">
        <w:rPr>
          <w:b/>
        </w:rPr>
        <w:t>Exceptions to Certification for Paperwork Reduction Act Submissions</w:t>
      </w:r>
    </w:p>
    <w:p w14:paraId="1EE25BB8" w14:textId="7E422530" w:rsidR="003A0D60" w:rsidRPr="00631257" w:rsidRDefault="009A638E" w:rsidP="00E5768B">
      <w:pPr>
        <w:tabs>
          <w:tab w:val="left" w:pos="-720"/>
          <w:tab w:val="left" w:pos="286"/>
          <w:tab w:val="left" w:pos="403"/>
        </w:tabs>
        <w:suppressAutoHyphens/>
        <w:ind w:hanging="360"/>
      </w:pPr>
      <w:r>
        <w:tab/>
      </w:r>
      <w:r w:rsidR="003A0D60">
        <w:t xml:space="preserve">This collection complies with </w:t>
      </w:r>
      <w:r w:rsidR="00E5768B">
        <w:t>the requirements in 5 CFR 1320.</w:t>
      </w:r>
    </w:p>
    <w:p w14:paraId="6CE5595D" w14:textId="77777777" w:rsidR="003A0D60" w:rsidRDefault="003A0D60" w:rsidP="003A0D60">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caps/>
        </w:rPr>
      </w:pPr>
    </w:p>
    <w:p w14:paraId="35A2357A" w14:textId="77777777" w:rsidR="00B223AF" w:rsidRDefault="00B223AF" w:rsidP="003A0D60">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caps/>
        </w:rPr>
      </w:pPr>
    </w:p>
    <w:p w14:paraId="2AEA6A5B" w14:textId="77777777" w:rsidR="00B223AF" w:rsidRDefault="00B223AF" w:rsidP="003A0D60">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caps/>
        </w:rPr>
      </w:pPr>
    </w:p>
    <w:p w14:paraId="7DFEE126" w14:textId="77777777" w:rsidR="00B223AF" w:rsidRDefault="00B223AF" w:rsidP="003A0D60">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caps/>
        </w:rPr>
      </w:pPr>
    </w:p>
    <w:p w14:paraId="36106292" w14:textId="77777777" w:rsidR="00B223AF" w:rsidRDefault="00B223AF" w:rsidP="003A0D60">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caps/>
        </w:rPr>
      </w:pPr>
    </w:p>
    <w:p w14:paraId="2DA246F1" w14:textId="77777777" w:rsidR="00B223AF" w:rsidRDefault="00B223AF" w:rsidP="003A0D60">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caps/>
        </w:rPr>
      </w:pPr>
    </w:p>
    <w:p w14:paraId="45886577" w14:textId="77777777" w:rsidR="00B223AF" w:rsidRDefault="00B223AF" w:rsidP="003A0D60">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caps/>
        </w:rPr>
      </w:pPr>
    </w:p>
    <w:p w14:paraId="590708F1" w14:textId="0D0E60BE" w:rsidR="00D30A78" w:rsidRDefault="007B4675" w:rsidP="007B4675">
      <w:pPr>
        <w:tabs>
          <w:tab w:val="num" w:pos="450"/>
        </w:tabs>
        <w:rPr>
          <w:b/>
          <w:caps/>
        </w:rPr>
      </w:pPr>
      <w:r>
        <w:rPr>
          <w:b/>
          <w:caps/>
        </w:rPr>
        <w:t xml:space="preserve"> </w:t>
      </w:r>
    </w:p>
    <w:p w14:paraId="7DEEF976" w14:textId="77777777" w:rsidR="00D30A78" w:rsidRDefault="00D30A78" w:rsidP="00D30A78">
      <w:pPr>
        <w:pStyle w:val="ListParagraph"/>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rPr>
          <w:b/>
          <w:caps/>
        </w:rPr>
      </w:pPr>
    </w:p>
    <w:sectPr w:rsidR="00D30A7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78446" w14:textId="77777777" w:rsidR="0054305A" w:rsidRDefault="0054305A" w:rsidP="00C97A9B">
      <w:r>
        <w:separator/>
      </w:r>
    </w:p>
  </w:endnote>
  <w:endnote w:type="continuationSeparator" w:id="0">
    <w:p w14:paraId="5B8FA095" w14:textId="77777777" w:rsidR="0054305A" w:rsidRDefault="0054305A" w:rsidP="00C9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323953"/>
      <w:docPartObj>
        <w:docPartGallery w:val="Page Numbers (Bottom of Page)"/>
        <w:docPartUnique/>
      </w:docPartObj>
    </w:sdtPr>
    <w:sdtEndPr>
      <w:rPr>
        <w:noProof/>
      </w:rPr>
    </w:sdtEndPr>
    <w:sdtContent>
      <w:p w14:paraId="011260A7" w14:textId="77777777" w:rsidR="007A4E2F" w:rsidRDefault="007A4E2F">
        <w:pPr>
          <w:pStyle w:val="Footer"/>
          <w:jc w:val="center"/>
        </w:pPr>
        <w:r>
          <w:fldChar w:fldCharType="begin"/>
        </w:r>
        <w:r>
          <w:instrText xml:space="preserve"> PAGE   \* MERGEFORMAT </w:instrText>
        </w:r>
        <w:r>
          <w:fldChar w:fldCharType="separate"/>
        </w:r>
        <w:r w:rsidR="00A6383F">
          <w:rPr>
            <w:noProof/>
          </w:rPr>
          <w:t>1</w:t>
        </w:r>
        <w:r>
          <w:rPr>
            <w:noProof/>
          </w:rPr>
          <w:fldChar w:fldCharType="end"/>
        </w:r>
      </w:p>
    </w:sdtContent>
  </w:sdt>
  <w:p w14:paraId="39128E88" w14:textId="77777777" w:rsidR="007A4E2F" w:rsidRDefault="007A4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B8387" w14:textId="77777777" w:rsidR="0054305A" w:rsidRDefault="0054305A" w:rsidP="00C97A9B">
      <w:r>
        <w:separator/>
      </w:r>
    </w:p>
  </w:footnote>
  <w:footnote w:type="continuationSeparator" w:id="0">
    <w:p w14:paraId="2A12FD80" w14:textId="77777777" w:rsidR="0054305A" w:rsidRDefault="0054305A" w:rsidP="00C97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412705"/>
    <w:multiLevelType w:val="hybridMultilevel"/>
    <w:tmpl w:val="C33EAF28"/>
    <w:lvl w:ilvl="0" w:tplc="D584C6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14"/>
  </w:num>
  <w:num w:numId="4">
    <w:abstractNumId w:val="4"/>
  </w:num>
  <w:num w:numId="5">
    <w:abstractNumId w:val="0"/>
  </w:num>
  <w:num w:numId="6">
    <w:abstractNumId w:val="8"/>
  </w:num>
  <w:num w:numId="7">
    <w:abstractNumId w:val="6"/>
  </w:num>
  <w:num w:numId="8">
    <w:abstractNumId w:val="3"/>
  </w:num>
  <w:num w:numId="9">
    <w:abstractNumId w:val="11"/>
  </w:num>
  <w:num w:numId="10">
    <w:abstractNumId w:val="13"/>
  </w:num>
  <w:num w:numId="11">
    <w:abstractNumId w:val="12"/>
  </w:num>
  <w:num w:numId="12">
    <w:abstractNumId w:val="10"/>
  </w:num>
  <w:num w:numId="13">
    <w:abstractNumId w:val="1"/>
  </w:num>
  <w:num w:numId="14">
    <w:abstractNumId w:val="2"/>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32833"/>
    <w:rsid w:val="00062D72"/>
    <w:rsid w:val="00067AFC"/>
    <w:rsid w:val="000963F3"/>
    <w:rsid w:val="000A6D6D"/>
    <w:rsid w:val="000F6609"/>
    <w:rsid w:val="00106EDD"/>
    <w:rsid w:val="00151D71"/>
    <w:rsid w:val="00166874"/>
    <w:rsid w:val="00187687"/>
    <w:rsid w:val="001905AD"/>
    <w:rsid w:val="001B288F"/>
    <w:rsid w:val="001F199D"/>
    <w:rsid w:val="00217864"/>
    <w:rsid w:val="00220767"/>
    <w:rsid w:val="00221200"/>
    <w:rsid w:val="002362E2"/>
    <w:rsid w:val="00266300"/>
    <w:rsid w:val="00275B0A"/>
    <w:rsid w:val="002865D0"/>
    <w:rsid w:val="002978A6"/>
    <w:rsid w:val="002B3C34"/>
    <w:rsid w:val="002C11BA"/>
    <w:rsid w:val="002C3934"/>
    <w:rsid w:val="003042D7"/>
    <w:rsid w:val="00306372"/>
    <w:rsid w:val="003331BD"/>
    <w:rsid w:val="00350BE6"/>
    <w:rsid w:val="00352960"/>
    <w:rsid w:val="00381567"/>
    <w:rsid w:val="0038426E"/>
    <w:rsid w:val="00390610"/>
    <w:rsid w:val="0039690A"/>
    <w:rsid w:val="003A0D60"/>
    <w:rsid w:val="003A4939"/>
    <w:rsid w:val="003B159C"/>
    <w:rsid w:val="0040508A"/>
    <w:rsid w:val="00420708"/>
    <w:rsid w:val="004531CD"/>
    <w:rsid w:val="004659FD"/>
    <w:rsid w:val="004A6EE9"/>
    <w:rsid w:val="004B6AE6"/>
    <w:rsid w:val="004D0FCD"/>
    <w:rsid w:val="004D5EDE"/>
    <w:rsid w:val="004D6FE3"/>
    <w:rsid w:val="005070C7"/>
    <w:rsid w:val="0054305A"/>
    <w:rsid w:val="005610CB"/>
    <w:rsid w:val="0057386D"/>
    <w:rsid w:val="00585F49"/>
    <w:rsid w:val="00615BEE"/>
    <w:rsid w:val="006405F2"/>
    <w:rsid w:val="00641F31"/>
    <w:rsid w:val="006502F7"/>
    <w:rsid w:val="00683D1F"/>
    <w:rsid w:val="006923ED"/>
    <w:rsid w:val="006C7FD9"/>
    <w:rsid w:val="006E02B9"/>
    <w:rsid w:val="006E5F44"/>
    <w:rsid w:val="0070234F"/>
    <w:rsid w:val="007356AD"/>
    <w:rsid w:val="00767546"/>
    <w:rsid w:val="007867E7"/>
    <w:rsid w:val="007A4E2F"/>
    <w:rsid w:val="007B4675"/>
    <w:rsid w:val="008357F2"/>
    <w:rsid w:val="00861624"/>
    <w:rsid w:val="00870E16"/>
    <w:rsid w:val="00880680"/>
    <w:rsid w:val="00895BEE"/>
    <w:rsid w:val="008D547C"/>
    <w:rsid w:val="008F1799"/>
    <w:rsid w:val="009257D9"/>
    <w:rsid w:val="00973C30"/>
    <w:rsid w:val="009821B7"/>
    <w:rsid w:val="009A638E"/>
    <w:rsid w:val="00A04265"/>
    <w:rsid w:val="00A6383F"/>
    <w:rsid w:val="00A70A2D"/>
    <w:rsid w:val="00A726E4"/>
    <w:rsid w:val="00A93E11"/>
    <w:rsid w:val="00AD3931"/>
    <w:rsid w:val="00AF3E1F"/>
    <w:rsid w:val="00B223AF"/>
    <w:rsid w:val="00B2796F"/>
    <w:rsid w:val="00B309D6"/>
    <w:rsid w:val="00B3142C"/>
    <w:rsid w:val="00B8719C"/>
    <w:rsid w:val="00BA69CE"/>
    <w:rsid w:val="00BA7B42"/>
    <w:rsid w:val="00BE1CDF"/>
    <w:rsid w:val="00BE2F41"/>
    <w:rsid w:val="00BF0552"/>
    <w:rsid w:val="00C24159"/>
    <w:rsid w:val="00C371A1"/>
    <w:rsid w:val="00C42DDE"/>
    <w:rsid w:val="00C74F5C"/>
    <w:rsid w:val="00C8138F"/>
    <w:rsid w:val="00C97A9B"/>
    <w:rsid w:val="00D01EE0"/>
    <w:rsid w:val="00D07A5B"/>
    <w:rsid w:val="00D30A78"/>
    <w:rsid w:val="00D33963"/>
    <w:rsid w:val="00D46E16"/>
    <w:rsid w:val="00D55E7E"/>
    <w:rsid w:val="00D85B93"/>
    <w:rsid w:val="00DB3C2D"/>
    <w:rsid w:val="00DD0F0E"/>
    <w:rsid w:val="00E228F9"/>
    <w:rsid w:val="00E41B81"/>
    <w:rsid w:val="00E43C79"/>
    <w:rsid w:val="00E4682F"/>
    <w:rsid w:val="00E51A8C"/>
    <w:rsid w:val="00E550DE"/>
    <w:rsid w:val="00E5768B"/>
    <w:rsid w:val="00E70D42"/>
    <w:rsid w:val="00E920CE"/>
    <w:rsid w:val="00EB6929"/>
    <w:rsid w:val="00EC0057"/>
    <w:rsid w:val="00EF629B"/>
    <w:rsid w:val="00F44C8E"/>
    <w:rsid w:val="00F4740F"/>
    <w:rsid w:val="00F6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BECFB"/>
  <w15:docId w15:val="{5174BA23-04F1-4825-A124-0A21CE6C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FootnoteText">
    <w:name w:val="footnote text"/>
    <w:basedOn w:val="Normal"/>
    <w:link w:val="FootnoteTextChar"/>
    <w:uiPriority w:val="99"/>
    <w:semiHidden/>
    <w:unhideWhenUsed/>
    <w:rsid w:val="00C97A9B"/>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C97A9B"/>
    <w:rPr>
      <w:rFonts w:eastAsiaTheme="minorEastAsia"/>
      <w:sz w:val="20"/>
      <w:szCs w:val="20"/>
    </w:rPr>
  </w:style>
  <w:style w:type="character" w:styleId="FootnoteReference">
    <w:name w:val="footnote reference"/>
    <w:basedOn w:val="DefaultParagraphFont"/>
    <w:uiPriority w:val="99"/>
    <w:semiHidden/>
    <w:unhideWhenUsed/>
    <w:rsid w:val="00C97A9B"/>
    <w:rPr>
      <w:vertAlign w:val="superscript"/>
    </w:rPr>
  </w:style>
  <w:style w:type="character" w:styleId="CommentReference">
    <w:name w:val="annotation reference"/>
    <w:basedOn w:val="DefaultParagraphFont"/>
    <w:uiPriority w:val="99"/>
    <w:semiHidden/>
    <w:unhideWhenUsed/>
    <w:rsid w:val="002C11BA"/>
    <w:rPr>
      <w:sz w:val="16"/>
      <w:szCs w:val="16"/>
    </w:rPr>
  </w:style>
  <w:style w:type="paragraph" w:styleId="CommentText">
    <w:name w:val="annotation text"/>
    <w:basedOn w:val="Normal"/>
    <w:link w:val="CommentTextChar"/>
    <w:uiPriority w:val="99"/>
    <w:unhideWhenUsed/>
    <w:rsid w:val="002C11BA"/>
    <w:rPr>
      <w:sz w:val="20"/>
      <w:szCs w:val="20"/>
    </w:rPr>
  </w:style>
  <w:style w:type="character" w:customStyle="1" w:styleId="CommentTextChar">
    <w:name w:val="Comment Text Char"/>
    <w:basedOn w:val="DefaultParagraphFont"/>
    <w:link w:val="CommentText"/>
    <w:uiPriority w:val="99"/>
    <w:rsid w:val="002C11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11BA"/>
    <w:rPr>
      <w:b/>
      <w:bCs/>
    </w:rPr>
  </w:style>
  <w:style w:type="character" w:customStyle="1" w:styleId="CommentSubjectChar">
    <w:name w:val="Comment Subject Char"/>
    <w:basedOn w:val="CommentTextChar"/>
    <w:link w:val="CommentSubject"/>
    <w:uiPriority w:val="99"/>
    <w:semiHidden/>
    <w:rsid w:val="002C11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11BA"/>
    <w:rPr>
      <w:rFonts w:ascii="Tahoma" w:hAnsi="Tahoma" w:cs="Tahoma"/>
      <w:sz w:val="16"/>
      <w:szCs w:val="16"/>
    </w:rPr>
  </w:style>
  <w:style w:type="character" w:customStyle="1" w:styleId="BalloonTextChar">
    <w:name w:val="Balloon Text Char"/>
    <w:basedOn w:val="DefaultParagraphFont"/>
    <w:link w:val="BalloonText"/>
    <w:uiPriority w:val="99"/>
    <w:semiHidden/>
    <w:rsid w:val="002C11BA"/>
    <w:rPr>
      <w:rFonts w:ascii="Tahoma" w:eastAsia="Times New Roman" w:hAnsi="Tahoma" w:cs="Tahoma"/>
      <w:sz w:val="16"/>
      <w:szCs w:val="16"/>
    </w:rPr>
  </w:style>
  <w:style w:type="paragraph" w:styleId="Revision">
    <w:name w:val="Revision"/>
    <w:hidden/>
    <w:uiPriority w:val="99"/>
    <w:semiHidden/>
    <w:rsid w:val="00067AF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4E2F"/>
    <w:pPr>
      <w:tabs>
        <w:tab w:val="center" w:pos="4680"/>
        <w:tab w:val="right" w:pos="9360"/>
      </w:tabs>
    </w:pPr>
  </w:style>
  <w:style w:type="character" w:customStyle="1" w:styleId="HeaderChar">
    <w:name w:val="Header Char"/>
    <w:basedOn w:val="DefaultParagraphFont"/>
    <w:link w:val="Header"/>
    <w:uiPriority w:val="99"/>
    <w:rsid w:val="007A4E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4E2F"/>
    <w:pPr>
      <w:tabs>
        <w:tab w:val="center" w:pos="4680"/>
        <w:tab w:val="right" w:pos="9360"/>
      </w:tabs>
    </w:pPr>
  </w:style>
  <w:style w:type="character" w:customStyle="1" w:styleId="FooterChar">
    <w:name w:val="Footer Char"/>
    <w:basedOn w:val="DefaultParagraphFont"/>
    <w:link w:val="Footer"/>
    <w:uiPriority w:val="99"/>
    <w:rsid w:val="007A4E2F"/>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1F199D"/>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1F199D"/>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387140600">
      <w:bodyDiv w:val="1"/>
      <w:marLeft w:val="0"/>
      <w:marRight w:val="0"/>
      <w:marTop w:val="0"/>
      <w:marBottom w:val="0"/>
      <w:divBdr>
        <w:top w:val="none" w:sz="0" w:space="0" w:color="auto"/>
        <w:left w:val="none" w:sz="0" w:space="0" w:color="auto"/>
        <w:bottom w:val="none" w:sz="0" w:space="0" w:color="auto"/>
        <w:right w:val="none" w:sz="0" w:space="0" w:color="auto"/>
      </w:divBdr>
    </w:div>
    <w:div w:id="155851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Crews, Tracy D</cp:lastModifiedBy>
  <cp:revision>3</cp:revision>
  <cp:lastPrinted>2015-07-21T19:27:00Z</cp:lastPrinted>
  <dcterms:created xsi:type="dcterms:W3CDTF">2015-07-21T19:45:00Z</dcterms:created>
  <dcterms:modified xsi:type="dcterms:W3CDTF">2015-07-21T20:00:00Z</dcterms:modified>
</cp:coreProperties>
</file>