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2D" w:rsidRDefault="007A472D">
      <w:pPr>
        <w:suppressAutoHyphens/>
        <w:jc w:val="center"/>
        <w:rPr>
          <w:b/>
          <w:spacing w:val="-3"/>
          <w:sz w:val="24"/>
        </w:rPr>
      </w:pPr>
      <w:r>
        <w:rPr>
          <w:b/>
          <w:spacing w:val="-3"/>
          <w:sz w:val="24"/>
        </w:rPr>
        <w:t>SUPPORTING STATEMENT</w:t>
      </w:r>
    </w:p>
    <w:p w:rsidR="00360097" w:rsidRDefault="00360097">
      <w:pPr>
        <w:suppressAutoHyphens/>
        <w:jc w:val="center"/>
        <w:rPr>
          <w:b/>
          <w:spacing w:val="-3"/>
          <w:sz w:val="24"/>
        </w:rPr>
      </w:pPr>
    </w:p>
    <w:p w:rsidR="007A472D" w:rsidRPr="002155E6" w:rsidRDefault="007A472D">
      <w:pPr>
        <w:suppressAutoHyphens/>
        <w:jc w:val="both"/>
        <w:rPr>
          <w:b/>
          <w:spacing w:val="-3"/>
          <w:sz w:val="24"/>
          <w:szCs w:val="24"/>
        </w:rPr>
      </w:pPr>
      <w:r w:rsidRPr="002155E6">
        <w:rPr>
          <w:b/>
          <w:spacing w:val="-3"/>
          <w:sz w:val="24"/>
          <w:szCs w:val="24"/>
        </w:rPr>
        <w:t>A.  Justification:</w:t>
      </w:r>
    </w:p>
    <w:p w:rsidR="009C7D0F" w:rsidRPr="002155E6" w:rsidRDefault="009C7D0F">
      <w:pPr>
        <w:suppressAutoHyphens/>
        <w:jc w:val="both"/>
        <w:rPr>
          <w:b/>
          <w:spacing w:val="-3"/>
          <w:sz w:val="24"/>
          <w:szCs w:val="24"/>
        </w:rPr>
      </w:pPr>
    </w:p>
    <w:p w:rsidR="00ED2DAF" w:rsidRPr="002155E6" w:rsidRDefault="001F1925" w:rsidP="00BC5123">
      <w:pPr>
        <w:rPr>
          <w:sz w:val="24"/>
          <w:szCs w:val="24"/>
        </w:rPr>
      </w:pPr>
      <w:r w:rsidRPr="002155E6">
        <w:rPr>
          <w:sz w:val="24"/>
          <w:szCs w:val="24"/>
        </w:rPr>
        <w:t xml:space="preserve">1. </w:t>
      </w:r>
      <w:r w:rsidR="00EB3FE9" w:rsidRPr="002155E6">
        <w:rPr>
          <w:sz w:val="24"/>
          <w:szCs w:val="24"/>
        </w:rPr>
        <w:t xml:space="preserve"> FCC </w:t>
      </w:r>
      <w:r w:rsidR="00BC5123" w:rsidRPr="002155E6">
        <w:rPr>
          <w:sz w:val="24"/>
          <w:szCs w:val="24"/>
        </w:rPr>
        <w:t xml:space="preserve">Form </w:t>
      </w:r>
      <w:r w:rsidR="00EE6BC3" w:rsidRPr="002155E6">
        <w:rPr>
          <w:sz w:val="24"/>
          <w:szCs w:val="24"/>
        </w:rPr>
        <w:t>2100, Schedule E</w:t>
      </w:r>
      <w:r w:rsidR="00B96714" w:rsidRPr="002155E6">
        <w:rPr>
          <w:sz w:val="24"/>
          <w:szCs w:val="24"/>
          <w:vertAlign w:val="superscript"/>
        </w:rPr>
        <w:footnoteReference w:id="1"/>
      </w:r>
      <w:r w:rsidR="00EB3FE9" w:rsidRPr="002155E6">
        <w:rPr>
          <w:sz w:val="24"/>
          <w:szCs w:val="24"/>
        </w:rPr>
        <w:t xml:space="preserve"> is to be used in all cases by a Class A television </w:t>
      </w:r>
      <w:r w:rsidR="009C7D0F" w:rsidRPr="002155E6">
        <w:rPr>
          <w:sz w:val="24"/>
          <w:szCs w:val="24"/>
        </w:rPr>
        <w:t>station licensees</w:t>
      </w:r>
      <w:r w:rsidR="000F62B8" w:rsidRPr="002155E6">
        <w:rPr>
          <w:rStyle w:val="FootnoteReference"/>
          <w:sz w:val="24"/>
          <w:szCs w:val="24"/>
        </w:rPr>
        <w:footnoteReference w:id="2"/>
      </w:r>
      <w:r w:rsidR="00EB3FE9" w:rsidRPr="002155E6">
        <w:rPr>
          <w:sz w:val="24"/>
          <w:szCs w:val="24"/>
        </w:rPr>
        <w:t xml:space="preserve"> </w:t>
      </w:r>
      <w:r w:rsidR="00BC5123" w:rsidRPr="002155E6">
        <w:rPr>
          <w:sz w:val="24"/>
          <w:szCs w:val="24"/>
        </w:rPr>
        <w:t xml:space="preserve"> </w:t>
      </w:r>
      <w:r w:rsidR="00EB3FE9" w:rsidRPr="002155E6">
        <w:rPr>
          <w:sz w:val="24"/>
          <w:szCs w:val="24"/>
        </w:rPr>
        <w:t xml:space="preserve">seeking to make changes in the authorized facilities of such station.  </w:t>
      </w:r>
    </w:p>
    <w:p w:rsidR="00ED2DAF" w:rsidRPr="002155E6" w:rsidRDefault="00ED2DAF" w:rsidP="00BC5123">
      <w:pPr>
        <w:rPr>
          <w:sz w:val="24"/>
          <w:szCs w:val="24"/>
        </w:rPr>
      </w:pPr>
    </w:p>
    <w:p w:rsidR="00EE6BC3" w:rsidRPr="002155E6" w:rsidRDefault="00EE6BC3" w:rsidP="00EE6BC3">
      <w:pPr>
        <w:rPr>
          <w:sz w:val="24"/>
          <w:szCs w:val="24"/>
        </w:rPr>
      </w:pPr>
      <w:r w:rsidRPr="002155E6">
        <w:rPr>
          <w:sz w:val="24"/>
          <w:szCs w:val="24"/>
        </w:rPr>
        <w:t>The FCC Form 2100, Schedule E requires applicants to certify compliance with certain statutory and regulatory requirements.  Detailed instructions on the FCC Form 2100, Schedule E provide additional information regarding Commission rules and policies.  The FCC 2100, Schedule E application is presented primarily in a "Yes/No" certification format.  However, it contains appropriate places for submitting explanations and exhibits where necessary or appropriate.  Each certification constitutes a material representation.</w:t>
      </w:r>
      <w:r w:rsidRPr="002155E6">
        <w:rPr>
          <w:sz w:val="24"/>
          <w:szCs w:val="24"/>
          <w:vertAlign w:val="superscript"/>
        </w:rPr>
        <w:footnoteReference w:id="3"/>
      </w:r>
      <w:r w:rsidRPr="002155E6">
        <w:rPr>
          <w:sz w:val="24"/>
          <w:szCs w:val="24"/>
        </w:rPr>
        <w:t xml:space="preserve">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w:t>
      </w:r>
    </w:p>
    <w:p w:rsidR="00EE6BC3" w:rsidRPr="002155E6" w:rsidRDefault="00EE6BC3" w:rsidP="00EE6BC3">
      <w:pPr>
        <w:rPr>
          <w:sz w:val="24"/>
          <w:szCs w:val="24"/>
        </w:rPr>
      </w:pPr>
    </w:p>
    <w:p w:rsidR="00EE6BC3" w:rsidRPr="002155E6" w:rsidRDefault="00EE6BC3" w:rsidP="00EE6BC3">
      <w:pPr>
        <w:rPr>
          <w:sz w:val="24"/>
          <w:szCs w:val="24"/>
        </w:rPr>
      </w:pPr>
      <w:r w:rsidRPr="002155E6">
        <w:rPr>
          <w:sz w:val="24"/>
          <w:szCs w:val="24"/>
        </w:rPr>
        <w:t>Class A applicants are also subject to third party disclosure requirement of Section 73.3580 which requires local public notice in a newspaper of general circulation of the filing of all applications for major changes in facilities.  This notice must be completed within 30 days of the tendering of the application.  This notice must be published at least twice a week for two consecutive weeks in a three-week period.  A copy of this notice must be placed in the public inspection file along with the application.</w:t>
      </w:r>
      <w:r w:rsidRPr="002155E6">
        <w:rPr>
          <w:sz w:val="24"/>
          <w:szCs w:val="24"/>
          <w:vertAlign w:val="superscript"/>
        </w:rPr>
        <w:footnoteReference w:id="4"/>
      </w:r>
      <w:r w:rsidRPr="002155E6">
        <w:rPr>
          <w:sz w:val="24"/>
          <w:szCs w:val="24"/>
        </w:rPr>
        <w:t xml:space="preserve"> </w:t>
      </w:r>
    </w:p>
    <w:p w:rsidR="00EE6BC3" w:rsidRPr="002155E6" w:rsidRDefault="00EE6BC3" w:rsidP="00EE6BC3">
      <w:pPr>
        <w:rPr>
          <w:sz w:val="24"/>
          <w:szCs w:val="24"/>
        </w:rPr>
      </w:pPr>
    </w:p>
    <w:p w:rsidR="00EE6BC3" w:rsidRPr="002155E6" w:rsidRDefault="00EE6BC3" w:rsidP="00EE6BC3">
      <w:pPr>
        <w:rPr>
          <w:sz w:val="24"/>
          <w:szCs w:val="24"/>
        </w:rPr>
      </w:pPr>
      <w:r w:rsidRPr="002155E6">
        <w:rPr>
          <w:iCs/>
          <w:sz w:val="24"/>
          <w:szCs w:val="24"/>
        </w:rPr>
        <w:t xml:space="preserve">47 CFR 74.793(d) requires that digital low power and TV translator stations shall be required to </w:t>
      </w:r>
      <w:r w:rsidRPr="002155E6">
        <w:rPr>
          <w:sz w:val="24"/>
          <w:szCs w:val="24"/>
        </w:rPr>
        <w:t>submit information as to vertical radiation patterns as part of their applications (FCC Forms 346</w:t>
      </w:r>
      <w:r w:rsidRPr="002155E6">
        <w:rPr>
          <w:sz w:val="24"/>
          <w:szCs w:val="24"/>
          <w:vertAlign w:val="superscript"/>
        </w:rPr>
        <w:footnoteReference w:id="5"/>
      </w:r>
      <w:r w:rsidRPr="002155E6">
        <w:rPr>
          <w:sz w:val="24"/>
          <w:szCs w:val="24"/>
        </w:rPr>
        <w:t xml:space="preserve"> and 301-CA) for new or modified construction permits.</w:t>
      </w:r>
    </w:p>
    <w:p w:rsidR="00EE6BC3" w:rsidRPr="002155E6" w:rsidRDefault="00EE6BC3" w:rsidP="00EE6BC3">
      <w:pPr>
        <w:rPr>
          <w:b/>
          <w:sz w:val="24"/>
          <w:szCs w:val="24"/>
        </w:rPr>
      </w:pPr>
    </w:p>
    <w:p w:rsidR="00EE6BC3" w:rsidRPr="002155E6" w:rsidRDefault="00EE6BC3" w:rsidP="00BC5123">
      <w:pPr>
        <w:rPr>
          <w:b/>
          <w:sz w:val="24"/>
          <w:szCs w:val="24"/>
        </w:rPr>
      </w:pPr>
    </w:p>
    <w:p w:rsidR="00EE6BC3" w:rsidRPr="002155E6" w:rsidRDefault="00EE6BC3" w:rsidP="00BC5123">
      <w:pPr>
        <w:rPr>
          <w:b/>
          <w:sz w:val="24"/>
          <w:szCs w:val="24"/>
        </w:rPr>
      </w:pPr>
    </w:p>
    <w:p w:rsidR="00EE6BC3" w:rsidRPr="002155E6" w:rsidRDefault="00EE6BC3" w:rsidP="00BC5123">
      <w:pPr>
        <w:rPr>
          <w:b/>
          <w:sz w:val="24"/>
          <w:szCs w:val="24"/>
        </w:rPr>
      </w:pPr>
    </w:p>
    <w:p w:rsidR="00ED2DAF" w:rsidRPr="002155E6" w:rsidRDefault="00ED2DAF" w:rsidP="00BC5123">
      <w:pPr>
        <w:rPr>
          <w:b/>
          <w:sz w:val="24"/>
          <w:szCs w:val="24"/>
        </w:rPr>
      </w:pPr>
      <w:r w:rsidRPr="002155E6">
        <w:rPr>
          <w:b/>
          <w:sz w:val="24"/>
          <w:szCs w:val="24"/>
        </w:rPr>
        <w:lastRenderedPageBreak/>
        <w:t>Proposed Information Collection Requirements Which Require Review and Approval from the Office of Management and Budget (OMB)</w:t>
      </w:r>
      <w:r w:rsidR="00FB782A" w:rsidRPr="002155E6">
        <w:rPr>
          <w:b/>
          <w:sz w:val="24"/>
          <w:szCs w:val="24"/>
        </w:rPr>
        <w:t>:</w:t>
      </w:r>
    </w:p>
    <w:p w:rsidR="00ED2DAF" w:rsidRPr="002155E6" w:rsidRDefault="00ED2DAF" w:rsidP="00BC5123">
      <w:pPr>
        <w:rPr>
          <w:b/>
          <w:sz w:val="24"/>
          <w:szCs w:val="24"/>
        </w:rPr>
      </w:pPr>
    </w:p>
    <w:p w:rsidR="00802F80" w:rsidRPr="002155E6" w:rsidRDefault="00802F80" w:rsidP="00802F80">
      <w:pPr>
        <w:suppressAutoHyphens/>
        <w:spacing w:after="220"/>
        <w:outlineLvl w:val="0"/>
        <w:rPr>
          <w:color w:val="000000" w:themeColor="text1"/>
          <w:spacing w:val="-3"/>
          <w:sz w:val="24"/>
          <w:szCs w:val="24"/>
        </w:rPr>
      </w:pPr>
      <w:r w:rsidRPr="002155E6">
        <w:rPr>
          <w:color w:val="000000" w:themeColor="text1"/>
          <w:spacing w:val="-3"/>
          <w:sz w:val="24"/>
          <w:szCs w:val="24"/>
        </w:rPr>
        <w:t xml:space="preserve">On June 12, 2015, the Commission released a </w:t>
      </w:r>
      <w:r w:rsidRPr="002155E6">
        <w:rPr>
          <w:i/>
          <w:color w:val="000000" w:themeColor="text1"/>
          <w:spacing w:val="-3"/>
          <w:sz w:val="24"/>
          <w:szCs w:val="24"/>
        </w:rPr>
        <w:t>First Order on Reconsideration and Notice of Proposed Rulemaking</w:t>
      </w:r>
      <w:r w:rsidRPr="002155E6">
        <w:rPr>
          <w:color w:val="000000" w:themeColor="text1"/>
          <w:spacing w:val="-3"/>
          <w:sz w:val="24"/>
          <w:szCs w:val="24"/>
        </w:rPr>
        <w:t xml:space="preserve">, </w:t>
      </w:r>
      <w:r w:rsidRPr="002155E6">
        <w:rPr>
          <w:i/>
          <w:color w:val="000000" w:themeColor="text1"/>
          <w:spacing w:val="-3"/>
          <w:sz w:val="24"/>
          <w:szCs w:val="24"/>
        </w:rPr>
        <w:t>In the Matter of Expanding the Economic and Innovation Opportunities of Spectrum Through Incentive Auctions</w:t>
      </w:r>
      <w:r w:rsidRPr="002155E6">
        <w:rPr>
          <w:color w:val="000000" w:themeColor="text1"/>
          <w:spacing w:val="-3"/>
          <w:sz w:val="24"/>
          <w:szCs w:val="24"/>
        </w:rPr>
        <w:t>, GN Docket No. 12-268 and MB Docket No. 15-137, FCC 15-67.  This document contains proposed rules for channel sharing by and between full power and Class A television stations outside the context of the incentive auction.</w:t>
      </w:r>
      <w:r w:rsidRPr="002155E6">
        <w:rPr>
          <w:color w:val="000000" w:themeColor="text1"/>
          <w:spacing w:val="-3"/>
          <w:sz w:val="24"/>
          <w:szCs w:val="24"/>
          <w:vertAlign w:val="superscript"/>
        </w:rPr>
        <w:footnoteReference w:id="6"/>
      </w:r>
      <w:r w:rsidRPr="002155E6">
        <w:rPr>
          <w:color w:val="000000" w:themeColor="text1"/>
          <w:spacing w:val="-3"/>
          <w:sz w:val="24"/>
          <w:szCs w:val="24"/>
        </w:rPr>
        <w:t xml:space="preserve">  The proposed rules would allow Class A </w:t>
      </w:r>
      <w:r w:rsidR="00001659" w:rsidRPr="002155E6">
        <w:rPr>
          <w:color w:val="000000" w:themeColor="text1"/>
          <w:spacing w:val="-3"/>
          <w:sz w:val="24"/>
          <w:szCs w:val="24"/>
        </w:rPr>
        <w:t xml:space="preserve">television </w:t>
      </w:r>
      <w:r w:rsidRPr="002155E6">
        <w:rPr>
          <w:color w:val="000000" w:themeColor="text1"/>
          <w:spacing w:val="-3"/>
          <w:sz w:val="24"/>
          <w:szCs w:val="24"/>
        </w:rPr>
        <w:t xml:space="preserve">stations to share a single channel with other full power or Class A stations.  </w:t>
      </w:r>
      <w:r w:rsidR="00001659" w:rsidRPr="002155E6">
        <w:rPr>
          <w:color w:val="000000" w:themeColor="text1"/>
          <w:spacing w:val="-3"/>
          <w:sz w:val="24"/>
          <w:szCs w:val="24"/>
        </w:rPr>
        <w:t xml:space="preserve">Class A </w:t>
      </w:r>
      <w:r w:rsidRPr="002155E6">
        <w:rPr>
          <w:color w:val="000000" w:themeColor="text1"/>
          <w:spacing w:val="-3"/>
          <w:sz w:val="24"/>
          <w:szCs w:val="24"/>
        </w:rPr>
        <w:t xml:space="preserve">stations will use FCC Form 2100, Schedule </w:t>
      </w:r>
      <w:r w:rsidR="00001659" w:rsidRPr="002155E6">
        <w:rPr>
          <w:color w:val="000000" w:themeColor="text1"/>
          <w:spacing w:val="-3"/>
          <w:sz w:val="24"/>
          <w:szCs w:val="24"/>
        </w:rPr>
        <w:t>E</w:t>
      </w:r>
      <w:r w:rsidRPr="002155E6">
        <w:rPr>
          <w:color w:val="000000" w:themeColor="text1"/>
          <w:spacing w:val="-3"/>
          <w:sz w:val="24"/>
          <w:szCs w:val="24"/>
        </w:rPr>
        <w:t xml:space="preserve"> (formerly FCC Form 301</w:t>
      </w:r>
      <w:r w:rsidR="00001659" w:rsidRPr="002155E6">
        <w:rPr>
          <w:color w:val="000000" w:themeColor="text1"/>
          <w:spacing w:val="-3"/>
          <w:sz w:val="24"/>
          <w:szCs w:val="24"/>
        </w:rPr>
        <w:t>-CA</w:t>
      </w:r>
      <w:r w:rsidRPr="002155E6">
        <w:rPr>
          <w:color w:val="000000" w:themeColor="text1"/>
          <w:spacing w:val="-3"/>
          <w:sz w:val="24"/>
          <w:szCs w:val="24"/>
        </w:rPr>
        <w:t xml:space="preserve">) to apply for a construction permit for the technical facilities it proposes to share with another station.  </w:t>
      </w:r>
    </w:p>
    <w:p w:rsidR="00802F80" w:rsidRPr="002155E6" w:rsidRDefault="00802F80" w:rsidP="00802F80">
      <w:pPr>
        <w:suppressAutoHyphens/>
        <w:spacing w:after="220"/>
        <w:outlineLvl w:val="0"/>
        <w:rPr>
          <w:color w:val="000000" w:themeColor="text1"/>
          <w:spacing w:val="-3"/>
          <w:sz w:val="24"/>
          <w:szCs w:val="24"/>
        </w:rPr>
      </w:pPr>
      <w:r w:rsidRPr="002155E6">
        <w:rPr>
          <w:color w:val="000000" w:themeColor="text1"/>
          <w:spacing w:val="-3"/>
          <w:sz w:val="24"/>
          <w:szCs w:val="24"/>
        </w:rPr>
        <w:t xml:space="preserve">The application for a construction permit to channel share must include a copy of the channel sharing agreement (“CSA”) between the stations   Each CSA must include provisions governing certain key aspects of the stations’ operations including: access to facilities; allocation of bandwidth within the shared channel; operation maintenance, repair, and modification of facilities; and termination or transfer/assignment of rights to the shared license.  We propose to treat applications to channel share outside the auction context as minor change applications – that is, they would not be subject to local public notice requirements or a 30-day petition to deny filing window.  </w:t>
      </w:r>
    </w:p>
    <w:p w:rsidR="00802F80" w:rsidRPr="002155E6" w:rsidRDefault="00802F80" w:rsidP="00802F80">
      <w:pPr>
        <w:suppressAutoHyphens/>
        <w:spacing w:after="220"/>
        <w:outlineLvl w:val="0"/>
        <w:rPr>
          <w:color w:val="000000" w:themeColor="text1"/>
          <w:spacing w:val="-3"/>
          <w:sz w:val="24"/>
          <w:szCs w:val="24"/>
        </w:rPr>
      </w:pPr>
      <w:r w:rsidRPr="002155E6">
        <w:rPr>
          <w:color w:val="000000" w:themeColor="text1"/>
          <w:spacing w:val="-3"/>
          <w:sz w:val="24"/>
          <w:szCs w:val="24"/>
        </w:rPr>
        <w:t>The Commission’s proposed rules would also require stations participating in CSAs to provide notice to</w:t>
      </w:r>
      <w:r w:rsidR="0043127B">
        <w:rPr>
          <w:color w:val="000000" w:themeColor="text1"/>
          <w:spacing w:val="-3"/>
          <w:sz w:val="24"/>
          <w:szCs w:val="24"/>
        </w:rPr>
        <w:t xml:space="preserve"> </w:t>
      </w:r>
      <w:r w:rsidR="0043127B" w:rsidRPr="0043127B">
        <w:rPr>
          <w:color w:val="000000" w:themeColor="text1"/>
          <w:spacing w:val="-3"/>
          <w:sz w:val="24"/>
          <w:szCs w:val="24"/>
        </w:rPr>
        <w:t>multichannel video programming distributor</w:t>
      </w:r>
      <w:r w:rsidR="0043127B">
        <w:rPr>
          <w:color w:val="000000" w:themeColor="text1"/>
          <w:spacing w:val="-3"/>
          <w:sz w:val="24"/>
          <w:szCs w:val="24"/>
        </w:rPr>
        <w:t>s</w:t>
      </w:r>
      <w:r w:rsidRPr="002155E6">
        <w:rPr>
          <w:color w:val="000000" w:themeColor="text1"/>
          <w:spacing w:val="-3"/>
          <w:sz w:val="24"/>
          <w:szCs w:val="24"/>
        </w:rPr>
        <w:t xml:space="preserve"> </w:t>
      </w:r>
      <w:r w:rsidR="0043127B">
        <w:rPr>
          <w:color w:val="000000" w:themeColor="text1"/>
          <w:spacing w:val="-3"/>
          <w:sz w:val="24"/>
          <w:szCs w:val="24"/>
        </w:rPr>
        <w:t>(</w:t>
      </w:r>
      <w:r w:rsidRPr="002155E6">
        <w:rPr>
          <w:color w:val="000000" w:themeColor="text1"/>
          <w:spacing w:val="-3"/>
          <w:sz w:val="24"/>
          <w:szCs w:val="24"/>
        </w:rPr>
        <w:t>MVPDs</w:t>
      </w:r>
      <w:r w:rsidR="0043127B">
        <w:rPr>
          <w:color w:val="000000" w:themeColor="text1"/>
          <w:spacing w:val="-3"/>
          <w:sz w:val="24"/>
          <w:szCs w:val="24"/>
        </w:rPr>
        <w:t>)</w:t>
      </w:r>
      <w:r w:rsidRPr="002155E6">
        <w:rPr>
          <w:color w:val="000000" w:themeColor="text1"/>
          <w:spacing w:val="-3"/>
          <w:sz w:val="24"/>
          <w:szCs w:val="24"/>
        </w:rPr>
        <w:t xml:space="preserve"> that: </w:t>
      </w:r>
      <w:r w:rsidRPr="002155E6">
        <w:rPr>
          <w:color w:val="000000" w:themeColor="text1"/>
          <w:sz w:val="24"/>
          <w:szCs w:val="24"/>
        </w:rPr>
        <w:t xml:space="preserve">(1) no longer will be required to carry the station because of the relocation of the station; (2) currently carry and will continue to be obligated to carry a station that will change channels; or (3) will become obligated to carry the station due to a channel sharing relocation.  We propose that the notice contain the following information: (1) date and time of any channel changes; (2) the channel occupied by the station before and after implementation of the CSA; (3) modification, if any, to antenna position, location, or power levels; (4) stream identification information; and (5) engineering staff contact information.  </w:t>
      </w:r>
      <w:r w:rsidR="007D13E5">
        <w:rPr>
          <w:color w:val="000000" w:themeColor="text1"/>
          <w:sz w:val="24"/>
          <w:szCs w:val="24"/>
        </w:rPr>
        <w:t>The Commission</w:t>
      </w:r>
      <w:r w:rsidRPr="002155E6">
        <w:rPr>
          <w:color w:val="000000" w:themeColor="text1"/>
          <w:sz w:val="24"/>
          <w:szCs w:val="24"/>
        </w:rPr>
        <w:t xml:space="preserve"> propose that stations be able to elect whether to provide notice via a letter notification or provide notice electronically, if pre-arranged with the relevant MVPD.  We also propose to require that sharee stations provide notice at least 30 days prior to terminating operations on the sharee’s channel and that both sharer and sharee stations provide notice at least 30 days prior to initiation of operations on the sharer channel.  Should the anticipated date to either cease operations or commence channel sharing operations change, </w:t>
      </w:r>
      <w:r w:rsidR="007D13E5">
        <w:rPr>
          <w:color w:val="000000" w:themeColor="text1"/>
          <w:sz w:val="24"/>
          <w:szCs w:val="24"/>
        </w:rPr>
        <w:t>the Commission</w:t>
      </w:r>
      <w:r w:rsidRPr="002155E6">
        <w:rPr>
          <w:color w:val="000000" w:themeColor="text1"/>
          <w:sz w:val="24"/>
          <w:szCs w:val="24"/>
        </w:rPr>
        <w:t xml:space="preserve"> propose</w:t>
      </w:r>
      <w:r w:rsidR="007D13E5">
        <w:rPr>
          <w:color w:val="000000" w:themeColor="text1"/>
          <w:sz w:val="24"/>
          <w:szCs w:val="24"/>
        </w:rPr>
        <w:t>s</w:t>
      </w:r>
      <w:r w:rsidRPr="002155E6">
        <w:rPr>
          <w:color w:val="000000" w:themeColor="text1"/>
          <w:sz w:val="24"/>
          <w:szCs w:val="24"/>
        </w:rPr>
        <w:t xml:space="preserve"> to require that the station(s) send a further notice to affected MVPDs informing them of the new anticipated date(s).</w:t>
      </w:r>
    </w:p>
    <w:p w:rsidR="00802F80" w:rsidRPr="002155E6" w:rsidRDefault="00802F80" w:rsidP="00802F80">
      <w:pPr>
        <w:suppressAutoHyphens/>
        <w:spacing w:after="220"/>
        <w:outlineLvl w:val="0"/>
        <w:rPr>
          <w:spacing w:val="-3"/>
          <w:sz w:val="24"/>
          <w:szCs w:val="24"/>
        </w:rPr>
      </w:pPr>
      <w:r w:rsidRPr="002155E6">
        <w:rPr>
          <w:spacing w:val="-3"/>
          <w:sz w:val="24"/>
          <w:szCs w:val="24"/>
        </w:rPr>
        <w:t xml:space="preserve">No changes to FCC Form 2100, Schedule </w:t>
      </w:r>
      <w:r w:rsidR="00001659" w:rsidRPr="002155E6">
        <w:rPr>
          <w:spacing w:val="-3"/>
          <w:sz w:val="24"/>
          <w:szCs w:val="24"/>
        </w:rPr>
        <w:t>E</w:t>
      </w:r>
      <w:r w:rsidRPr="002155E6">
        <w:rPr>
          <w:spacing w:val="-3"/>
          <w:sz w:val="24"/>
          <w:szCs w:val="24"/>
        </w:rPr>
        <w:t xml:space="preserve"> are required for it to be used to file applications for channel sharing outside the auction context; this collection is being changed to reflect the proposed use of the form for a new purpose – to propose channel sharing outside the context of the incentive </w:t>
      </w:r>
      <w:r w:rsidRPr="002155E6">
        <w:rPr>
          <w:spacing w:val="-3"/>
          <w:sz w:val="24"/>
          <w:szCs w:val="24"/>
        </w:rPr>
        <w:lastRenderedPageBreak/>
        <w:t>auction.  This collection is also being changed to reflect the burden associated with preparing a CSA in connection with channel sharing as well as the burden associated with providing the required notification to MVPDs.</w:t>
      </w:r>
    </w:p>
    <w:p w:rsidR="00F44092" w:rsidRPr="002155E6" w:rsidRDefault="007A472D" w:rsidP="00164396">
      <w:pPr>
        <w:suppressAutoHyphens/>
        <w:rPr>
          <w:spacing w:val="-3"/>
          <w:sz w:val="24"/>
          <w:szCs w:val="24"/>
        </w:rPr>
      </w:pPr>
      <w:r w:rsidRPr="002155E6">
        <w:rPr>
          <w:sz w:val="24"/>
          <w:szCs w:val="24"/>
        </w:rPr>
        <w:t>Statutory authority</w:t>
      </w:r>
      <w:r w:rsidRPr="002155E6">
        <w:rPr>
          <w:spacing w:val="-3"/>
          <w:sz w:val="24"/>
          <w:szCs w:val="24"/>
        </w:rPr>
        <w:t xml:space="preserve"> for this collection of information is contained in Sections 154(i), 307, 308, 309, and 319 of the Communications Act of 1934, as amended</w:t>
      </w:r>
      <w:r w:rsidR="00001659" w:rsidRPr="002155E6">
        <w:rPr>
          <w:spacing w:val="-3"/>
          <w:sz w:val="24"/>
          <w:szCs w:val="24"/>
        </w:rPr>
        <w:t xml:space="preserve">, </w:t>
      </w:r>
      <w:r w:rsidRPr="002155E6">
        <w:rPr>
          <w:spacing w:val="-3"/>
          <w:sz w:val="24"/>
          <w:szCs w:val="24"/>
        </w:rPr>
        <w:t>the Community Broadcasters Protection Act of 1999</w:t>
      </w:r>
      <w:r w:rsidR="00001659" w:rsidRPr="002155E6">
        <w:rPr>
          <w:spacing w:val="-3"/>
          <w:sz w:val="24"/>
          <w:szCs w:val="24"/>
        </w:rPr>
        <w:t>, and the Middle Class Tax Relief and Job Creation Act of 2012 (“Spectrum Act”).</w:t>
      </w:r>
      <w:r w:rsidRPr="002155E6">
        <w:rPr>
          <w:spacing w:val="-3"/>
          <w:sz w:val="24"/>
          <w:szCs w:val="24"/>
        </w:rPr>
        <w:t xml:space="preserve"> </w:t>
      </w:r>
    </w:p>
    <w:p w:rsidR="00FB782A" w:rsidRPr="002155E6" w:rsidRDefault="00FB782A" w:rsidP="00253B90">
      <w:pPr>
        <w:rPr>
          <w:sz w:val="24"/>
          <w:szCs w:val="24"/>
        </w:rPr>
      </w:pPr>
    </w:p>
    <w:p w:rsidR="00DC7062" w:rsidRPr="002155E6" w:rsidRDefault="00453600" w:rsidP="00253B90">
      <w:pPr>
        <w:rPr>
          <w:sz w:val="24"/>
          <w:szCs w:val="24"/>
        </w:rPr>
      </w:pPr>
      <w:r w:rsidRPr="002155E6">
        <w:rPr>
          <w:sz w:val="24"/>
          <w:szCs w:val="24"/>
        </w:rPr>
        <w:t>T</w:t>
      </w:r>
      <w:r w:rsidR="00DC7062" w:rsidRPr="002155E6">
        <w:rPr>
          <w:sz w:val="24"/>
          <w:szCs w:val="24"/>
        </w:rPr>
        <w:t>his information collection does not affect individuals, thus there are no Privacy Act impacts.</w:t>
      </w:r>
    </w:p>
    <w:p w:rsidR="003F1975" w:rsidRPr="002155E6" w:rsidRDefault="003F1975" w:rsidP="00164396">
      <w:pPr>
        <w:rPr>
          <w:sz w:val="24"/>
          <w:szCs w:val="24"/>
        </w:rPr>
      </w:pPr>
    </w:p>
    <w:p w:rsidR="007A472D" w:rsidRPr="002155E6" w:rsidRDefault="007A472D" w:rsidP="00164396">
      <w:pPr>
        <w:pStyle w:val="BodyText2"/>
        <w:rPr>
          <w:spacing w:val="-2"/>
          <w:szCs w:val="24"/>
        </w:rPr>
      </w:pPr>
      <w:r w:rsidRPr="002155E6">
        <w:rPr>
          <w:spacing w:val="-2"/>
          <w:szCs w:val="24"/>
        </w:rPr>
        <w:t xml:space="preserve">2.  The FCC </w:t>
      </w:r>
      <w:r w:rsidR="00AB3DC8" w:rsidRPr="002155E6">
        <w:rPr>
          <w:spacing w:val="-2"/>
          <w:szCs w:val="24"/>
        </w:rPr>
        <w:t xml:space="preserve">Form </w:t>
      </w:r>
      <w:r w:rsidR="006A2C38" w:rsidRPr="002155E6">
        <w:rPr>
          <w:spacing w:val="-2"/>
          <w:szCs w:val="24"/>
        </w:rPr>
        <w:t xml:space="preserve">2100, Schedule E </w:t>
      </w:r>
      <w:r w:rsidRPr="002155E6">
        <w:rPr>
          <w:spacing w:val="-2"/>
          <w:szCs w:val="24"/>
        </w:rPr>
        <w:t>is designed to track the standards and criteria</w:t>
      </w:r>
      <w:r w:rsidR="004C57C9" w:rsidRPr="002155E6">
        <w:rPr>
          <w:spacing w:val="-2"/>
          <w:szCs w:val="24"/>
        </w:rPr>
        <w:t>,</w:t>
      </w:r>
      <w:r w:rsidRPr="002155E6">
        <w:rPr>
          <w:spacing w:val="-2"/>
          <w:szCs w:val="24"/>
        </w:rPr>
        <w:t xml:space="preserve"> which the Commission applies to determine compliance and to increase the reliability of applicant certifications.  They are not intended to be a substitute for familiarity with the Communications Act and the Commission's regulations, policies, and precedent. </w:t>
      </w:r>
    </w:p>
    <w:p w:rsidR="007A472D" w:rsidRPr="002155E6" w:rsidRDefault="007A472D" w:rsidP="00164396">
      <w:pPr>
        <w:rPr>
          <w:spacing w:val="-2"/>
          <w:sz w:val="24"/>
          <w:szCs w:val="24"/>
        </w:rPr>
      </w:pPr>
    </w:p>
    <w:p w:rsidR="009C7D0F" w:rsidRPr="002155E6" w:rsidRDefault="007A472D" w:rsidP="009C7D0F">
      <w:pPr>
        <w:suppressAutoHyphens/>
        <w:rPr>
          <w:sz w:val="24"/>
          <w:szCs w:val="24"/>
        </w:rPr>
      </w:pPr>
      <w:r w:rsidRPr="002155E6">
        <w:rPr>
          <w:spacing w:val="-3"/>
          <w:sz w:val="24"/>
          <w:szCs w:val="24"/>
        </w:rPr>
        <w:t xml:space="preserve">3. </w:t>
      </w:r>
      <w:bookmarkStart w:id="0" w:name="OLE_LINK3"/>
      <w:r w:rsidR="002548CE" w:rsidRPr="002155E6">
        <w:rPr>
          <w:sz w:val="24"/>
          <w:szCs w:val="24"/>
        </w:rPr>
        <w:t>On May 13, 2002,</w:t>
      </w:r>
      <w:r w:rsidR="00CB6DB0" w:rsidRPr="002155E6">
        <w:rPr>
          <w:sz w:val="24"/>
          <w:szCs w:val="24"/>
        </w:rPr>
        <w:t xml:space="preserve"> </w:t>
      </w:r>
      <w:r w:rsidR="007D13E5">
        <w:rPr>
          <w:sz w:val="24"/>
          <w:szCs w:val="24"/>
        </w:rPr>
        <w:t>the Commission</w:t>
      </w:r>
      <w:r w:rsidR="002548CE" w:rsidRPr="002155E6">
        <w:rPr>
          <w:sz w:val="24"/>
          <w:szCs w:val="24"/>
        </w:rPr>
        <w:t xml:space="preserve"> released Public Notice DA 02-1087 announcing the mandatory electronic filing of </w:t>
      </w:r>
      <w:r w:rsidR="006A2C38" w:rsidRPr="002155E6">
        <w:rPr>
          <w:sz w:val="24"/>
          <w:szCs w:val="24"/>
        </w:rPr>
        <w:t>the form</w:t>
      </w:r>
      <w:r w:rsidR="00CB6DB0" w:rsidRPr="002155E6">
        <w:rPr>
          <w:sz w:val="24"/>
          <w:szCs w:val="24"/>
        </w:rPr>
        <w:t xml:space="preserve"> which </w:t>
      </w:r>
      <w:r w:rsidR="002548CE" w:rsidRPr="002155E6">
        <w:rPr>
          <w:sz w:val="24"/>
          <w:szCs w:val="24"/>
        </w:rPr>
        <w:t>began on November 21, 2002</w:t>
      </w:r>
      <w:r w:rsidR="00CB6DB0" w:rsidRPr="002155E6">
        <w:rPr>
          <w:sz w:val="24"/>
          <w:szCs w:val="24"/>
        </w:rPr>
        <w:t xml:space="preserve"> (copy attached).</w:t>
      </w:r>
      <w:r w:rsidR="009C7D0F" w:rsidRPr="002155E6">
        <w:rPr>
          <w:snapToGrid w:val="0"/>
          <w:sz w:val="24"/>
          <w:szCs w:val="24"/>
        </w:rPr>
        <w:t xml:space="preserve">  Paper-filed copies of </w:t>
      </w:r>
      <w:r w:rsidR="006A2C38" w:rsidRPr="002155E6">
        <w:rPr>
          <w:snapToGrid w:val="0"/>
          <w:sz w:val="24"/>
          <w:szCs w:val="24"/>
        </w:rPr>
        <w:t xml:space="preserve">the form </w:t>
      </w:r>
      <w:r w:rsidR="009C7D0F" w:rsidRPr="002155E6">
        <w:rPr>
          <w:snapToGrid w:val="0"/>
          <w:sz w:val="24"/>
          <w:szCs w:val="24"/>
        </w:rPr>
        <w:t xml:space="preserve">will be accepted only if accompanied by an appropriate request for waiver of the electronic filing requirement.  </w:t>
      </w:r>
      <w:r w:rsidR="009C7D0F" w:rsidRPr="002155E6">
        <w:rPr>
          <w:sz w:val="24"/>
          <w:szCs w:val="24"/>
        </w:rPr>
        <w:t>Filers must plead with particularity the facts and circumstances warranting grant of a waiver.  Waivers will not be routinely granted.</w:t>
      </w:r>
      <w:bookmarkEnd w:id="0"/>
    </w:p>
    <w:p w:rsidR="002548CE" w:rsidRPr="002155E6" w:rsidRDefault="002548CE" w:rsidP="00164396">
      <w:pPr>
        <w:suppressAutoHyphens/>
        <w:rPr>
          <w:sz w:val="24"/>
          <w:szCs w:val="24"/>
        </w:rPr>
      </w:pPr>
    </w:p>
    <w:p w:rsidR="007A472D" w:rsidRPr="002155E6" w:rsidRDefault="007A472D" w:rsidP="00164396">
      <w:pPr>
        <w:suppressAutoHyphens/>
        <w:rPr>
          <w:spacing w:val="-3"/>
          <w:sz w:val="24"/>
          <w:szCs w:val="24"/>
        </w:rPr>
      </w:pPr>
      <w:r w:rsidRPr="002155E6">
        <w:rPr>
          <w:spacing w:val="-3"/>
          <w:sz w:val="24"/>
          <w:szCs w:val="24"/>
        </w:rPr>
        <w:t xml:space="preserve"> 4.  No other agency imposes a similar information collection on the respondents.  There is no similar data available.</w:t>
      </w:r>
    </w:p>
    <w:p w:rsidR="00FB782A" w:rsidRPr="002155E6" w:rsidRDefault="00FB782A" w:rsidP="00164396">
      <w:pPr>
        <w:suppressAutoHyphens/>
        <w:rPr>
          <w:spacing w:val="-3"/>
          <w:sz w:val="24"/>
          <w:szCs w:val="24"/>
        </w:rPr>
      </w:pPr>
    </w:p>
    <w:p w:rsidR="007A472D" w:rsidRPr="002155E6" w:rsidRDefault="007A472D" w:rsidP="00164396">
      <w:pPr>
        <w:suppressAutoHyphens/>
        <w:rPr>
          <w:spacing w:val="-3"/>
          <w:sz w:val="24"/>
          <w:szCs w:val="24"/>
        </w:rPr>
      </w:pPr>
      <w:r w:rsidRPr="002155E6">
        <w:rPr>
          <w:spacing w:val="-3"/>
          <w:sz w:val="24"/>
          <w:szCs w:val="24"/>
        </w:rPr>
        <w:t xml:space="preserve"> 5.  In conformance with the Paperwork Reduction Act of 1995, the Commission is making an effort to minimize the burden on all respondents.</w:t>
      </w:r>
      <w:r w:rsidR="00C7191F" w:rsidRPr="002155E6">
        <w:rPr>
          <w:spacing w:val="-3"/>
          <w:sz w:val="24"/>
          <w:szCs w:val="24"/>
        </w:rPr>
        <w:t xml:space="preserve">  Therefore, this collection of information will not have a significant economic impact on a substantial number of small entities/businesses.</w:t>
      </w:r>
    </w:p>
    <w:p w:rsidR="007A472D" w:rsidRPr="002155E6" w:rsidRDefault="007A472D">
      <w:pPr>
        <w:suppressAutoHyphens/>
        <w:jc w:val="both"/>
        <w:rPr>
          <w:spacing w:val="-3"/>
          <w:sz w:val="24"/>
          <w:szCs w:val="24"/>
        </w:rPr>
      </w:pPr>
    </w:p>
    <w:p w:rsidR="007A472D" w:rsidRPr="002155E6" w:rsidRDefault="007A472D" w:rsidP="009F32ED">
      <w:pPr>
        <w:pStyle w:val="BodyText"/>
        <w:jc w:val="left"/>
        <w:rPr>
          <w:spacing w:val="-3"/>
          <w:szCs w:val="24"/>
        </w:rPr>
      </w:pPr>
      <w:r w:rsidRPr="002155E6">
        <w:rPr>
          <w:spacing w:val="-3"/>
          <w:szCs w:val="24"/>
        </w:rPr>
        <w:t>6.  The frequency for filing is determined by respondents, as necessary.</w:t>
      </w:r>
    </w:p>
    <w:p w:rsidR="007A472D" w:rsidRPr="002155E6" w:rsidRDefault="007A472D" w:rsidP="009F32ED">
      <w:pPr>
        <w:suppressAutoHyphens/>
        <w:rPr>
          <w:spacing w:val="-3"/>
          <w:sz w:val="24"/>
          <w:szCs w:val="24"/>
        </w:rPr>
      </w:pPr>
    </w:p>
    <w:p w:rsidR="007A472D" w:rsidRPr="002155E6" w:rsidRDefault="007A472D" w:rsidP="009F32ED">
      <w:pPr>
        <w:suppressAutoHyphens/>
        <w:rPr>
          <w:spacing w:val="-3"/>
          <w:sz w:val="24"/>
          <w:szCs w:val="24"/>
        </w:rPr>
      </w:pPr>
      <w:r w:rsidRPr="002155E6">
        <w:rPr>
          <w:spacing w:val="-3"/>
          <w:sz w:val="24"/>
          <w:szCs w:val="24"/>
        </w:rPr>
        <w:t>7.  This collection of information is consistent with the guidelines in 5 CFR 1320.5(d)(2).</w:t>
      </w:r>
    </w:p>
    <w:p w:rsidR="007A472D" w:rsidRPr="002155E6" w:rsidRDefault="007A472D" w:rsidP="009F32ED">
      <w:pPr>
        <w:suppressAutoHyphens/>
        <w:rPr>
          <w:spacing w:val="-3"/>
          <w:sz w:val="24"/>
          <w:szCs w:val="24"/>
        </w:rPr>
      </w:pPr>
    </w:p>
    <w:p w:rsidR="007A472D" w:rsidRPr="002155E6" w:rsidRDefault="007A472D" w:rsidP="008906D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r w:rsidRPr="002155E6">
        <w:rPr>
          <w:spacing w:val="-3"/>
          <w:sz w:val="24"/>
          <w:szCs w:val="24"/>
        </w:rPr>
        <w:t xml:space="preserve">8.  </w:t>
      </w:r>
      <w:r w:rsidR="007D13E5">
        <w:rPr>
          <w:spacing w:val="-3"/>
          <w:sz w:val="24"/>
          <w:szCs w:val="24"/>
        </w:rPr>
        <w:t>The Commission</w:t>
      </w:r>
      <w:r w:rsidRPr="002155E6">
        <w:rPr>
          <w:spacing w:val="-3"/>
          <w:sz w:val="24"/>
          <w:szCs w:val="24"/>
        </w:rPr>
        <w:t xml:space="preserve"> published a Notice (</w:t>
      </w:r>
      <w:r w:rsidR="00E66D5C" w:rsidRPr="002155E6">
        <w:rPr>
          <w:spacing w:val="-3"/>
          <w:sz w:val="24"/>
          <w:szCs w:val="24"/>
        </w:rPr>
        <w:t>80</w:t>
      </w:r>
      <w:r w:rsidR="003F2814" w:rsidRPr="002155E6">
        <w:rPr>
          <w:spacing w:val="-3"/>
          <w:sz w:val="24"/>
          <w:szCs w:val="24"/>
        </w:rPr>
        <w:t xml:space="preserve"> FR</w:t>
      </w:r>
      <w:r w:rsidR="00E03FFE">
        <w:rPr>
          <w:spacing w:val="-3"/>
          <w:sz w:val="24"/>
          <w:szCs w:val="24"/>
        </w:rPr>
        <w:t xml:space="preserve"> 40957</w:t>
      </w:r>
      <w:r w:rsidRPr="002155E6">
        <w:rPr>
          <w:spacing w:val="-3"/>
          <w:sz w:val="24"/>
          <w:szCs w:val="24"/>
        </w:rPr>
        <w:t xml:space="preserve">) in the </w:t>
      </w:r>
      <w:r w:rsidRPr="002155E6">
        <w:rPr>
          <w:i/>
          <w:spacing w:val="-3"/>
          <w:sz w:val="24"/>
          <w:szCs w:val="24"/>
        </w:rPr>
        <w:t>Federal Register</w:t>
      </w:r>
      <w:r w:rsidRPr="002155E6">
        <w:rPr>
          <w:spacing w:val="-3"/>
          <w:sz w:val="24"/>
          <w:szCs w:val="24"/>
        </w:rPr>
        <w:t xml:space="preserve"> </w:t>
      </w:r>
      <w:r w:rsidR="00E27BD3" w:rsidRPr="002155E6">
        <w:rPr>
          <w:spacing w:val="-3"/>
          <w:sz w:val="24"/>
          <w:szCs w:val="24"/>
        </w:rPr>
        <w:t xml:space="preserve">on </w:t>
      </w:r>
      <w:r w:rsidR="00E03FFE">
        <w:rPr>
          <w:spacing w:val="-3"/>
          <w:sz w:val="24"/>
          <w:szCs w:val="24"/>
        </w:rPr>
        <w:t>July 14</w:t>
      </w:r>
      <w:r w:rsidR="00F44092" w:rsidRPr="002155E6">
        <w:rPr>
          <w:spacing w:val="-3"/>
          <w:sz w:val="24"/>
          <w:szCs w:val="24"/>
        </w:rPr>
        <w:t>, 201</w:t>
      </w:r>
      <w:r w:rsidR="00E66D5C" w:rsidRPr="002155E6">
        <w:rPr>
          <w:spacing w:val="-3"/>
          <w:sz w:val="24"/>
          <w:szCs w:val="24"/>
        </w:rPr>
        <w:t>5</w:t>
      </w:r>
      <w:r w:rsidR="00F44092" w:rsidRPr="002155E6">
        <w:rPr>
          <w:spacing w:val="-3"/>
          <w:sz w:val="24"/>
          <w:szCs w:val="24"/>
        </w:rPr>
        <w:t xml:space="preserve">, </w:t>
      </w:r>
      <w:r w:rsidR="003F2814" w:rsidRPr="002155E6">
        <w:rPr>
          <w:spacing w:val="-3"/>
          <w:sz w:val="24"/>
          <w:szCs w:val="24"/>
        </w:rPr>
        <w:t xml:space="preserve">seeking public comment on the </w:t>
      </w:r>
      <w:r w:rsidR="00E66D5C" w:rsidRPr="002155E6">
        <w:rPr>
          <w:spacing w:val="-3"/>
          <w:sz w:val="24"/>
          <w:szCs w:val="24"/>
        </w:rPr>
        <w:t>requirements</w:t>
      </w:r>
      <w:r w:rsidR="003F2814" w:rsidRPr="002155E6">
        <w:rPr>
          <w:spacing w:val="-3"/>
          <w:sz w:val="24"/>
          <w:szCs w:val="24"/>
        </w:rPr>
        <w:t xml:space="preserve"> in this </w:t>
      </w:r>
      <w:r w:rsidR="00E66D5C" w:rsidRPr="002155E6">
        <w:rPr>
          <w:spacing w:val="-3"/>
          <w:sz w:val="24"/>
          <w:szCs w:val="24"/>
        </w:rPr>
        <w:t>information collection</w:t>
      </w:r>
      <w:r w:rsidRPr="002155E6">
        <w:rPr>
          <w:spacing w:val="-3"/>
          <w:sz w:val="24"/>
          <w:szCs w:val="24"/>
        </w:rPr>
        <w:t xml:space="preserve">.   </w:t>
      </w:r>
      <w:r w:rsidR="00FB782A" w:rsidRPr="002155E6">
        <w:rPr>
          <w:spacing w:val="-3"/>
          <w:sz w:val="24"/>
          <w:szCs w:val="24"/>
        </w:rPr>
        <w:t>To date, n</w:t>
      </w:r>
      <w:r w:rsidR="0057013F" w:rsidRPr="002155E6">
        <w:rPr>
          <w:spacing w:val="-3"/>
          <w:sz w:val="24"/>
          <w:szCs w:val="24"/>
        </w:rPr>
        <w:t xml:space="preserve">o comments </w:t>
      </w:r>
      <w:r w:rsidR="00FB782A" w:rsidRPr="002155E6">
        <w:rPr>
          <w:spacing w:val="-3"/>
          <w:sz w:val="24"/>
          <w:szCs w:val="24"/>
        </w:rPr>
        <w:t xml:space="preserve">have been </w:t>
      </w:r>
      <w:r w:rsidR="0057013F" w:rsidRPr="002155E6">
        <w:rPr>
          <w:spacing w:val="-3"/>
          <w:sz w:val="24"/>
          <w:szCs w:val="24"/>
        </w:rPr>
        <w:t>received</w:t>
      </w:r>
      <w:r w:rsidR="00FB782A" w:rsidRPr="002155E6">
        <w:rPr>
          <w:spacing w:val="-3"/>
          <w:sz w:val="24"/>
          <w:szCs w:val="24"/>
        </w:rPr>
        <w:t xml:space="preserve"> from the public</w:t>
      </w:r>
      <w:r w:rsidR="00E66D5C" w:rsidRPr="002155E6">
        <w:rPr>
          <w:spacing w:val="-3"/>
          <w:sz w:val="24"/>
          <w:szCs w:val="24"/>
        </w:rPr>
        <w:t>.</w:t>
      </w:r>
      <w:r w:rsidR="0057013F" w:rsidRPr="002155E6">
        <w:rPr>
          <w:spacing w:val="-3"/>
          <w:sz w:val="24"/>
          <w:szCs w:val="24"/>
        </w:rPr>
        <w:t xml:space="preserve"> </w:t>
      </w:r>
      <w:r w:rsidRPr="002155E6">
        <w:rPr>
          <w:spacing w:val="-3"/>
          <w:sz w:val="24"/>
          <w:szCs w:val="24"/>
        </w:rPr>
        <w:t xml:space="preserve">    </w:t>
      </w:r>
    </w:p>
    <w:p w:rsidR="008906DC" w:rsidRPr="002155E6" w:rsidRDefault="007A472D" w:rsidP="009F32ED">
      <w:pPr>
        <w:suppressAutoHyphens/>
        <w:rPr>
          <w:spacing w:val="-3"/>
          <w:sz w:val="24"/>
          <w:szCs w:val="24"/>
        </w:rPr>
      </w:pPr>
      <w:r w:rsidRPr="002155E6">
        <w:rPr>
          <w:spacing w:val="-3"/>
          <w:sz w:val="24"/>
          <w:szCs w:val="24"/>
        </w:rPr>
        <w:t xml:space="preserve"> </w:t>
      </w:r>
    </w:p>
    <w:p w:rsidR="007A472D" w:rsidRPr="002155E6" w:rsidRDefault="007A472D" w:rsidP="009F32ED">
      <w:pPr>
        <w:suppressAutoHyphens/>
        <w:rPr>
          <w:spacing w:val="-3"/>
          <w:sz w:val="24"/>
          <w:szCs w:val="24"/>
        </w:rPr>
      </w:pPr>
      <w:r w:rsidRPr="002155E6">
        <w:rPr>
          <w:spacing w:val="-3"/>
          <w:sz w:val="24"/>
          <w:szCs w:val="24"/>
        </w:rPr>
        <w:t xml:space="preserve">9.  </w:t>
      </w:r>
      <w:r w:rsidR="00AB3DC8" w:rsidRPr="002155E6">
        <w:rPr>
          <w:spacing w:val="-3"/>
          <w:sz w:val="24"/>
          <w:szCs w:val="24"/>
        </w:rPr>
        <w:t xml:space="preserve">  </w:t>
      </w:r>
      <w:r w:rsidRPr="002155E6">
        <w:rPr>
          <w:spacing w:val="-3"/>
          <w:sz w:val="24"/>
          <w:szCs w:val="24"/>
        </w:rPr>
        <w:t>No payment or gift was provided to respondents.</w:t>
      </w:r>
    </w:p>
    <w:p w:rsidR="007A472D" w:rsidRPr="002155E6" w:rsidRDefault="007A472D" w:rsidP="009F32ED">
      <w:pPr>
        <w:suppressAutoHyphens/>
        <w:rPr>
          <w:spacing w:val="-3"/>
          <w:sz w:val="24"/>
          <w:szCs w:val="24"/>
        </w:rPr>
      </w:pPr>
    </w:p>
    <w:p w:rsidR="007A472D" w:rsidRPr="002155E6" w:rsidRDefault="007A472D" w:rsidP="009F32ED">
      <w:pPr>
        <w:suppressAutoHyphens/>
        <w:rPr>
          <w:spacing w:val="-3"/>
          <w:sz w:val="24"/>
          <w:szCs w:val="24"/>
        </w:rPr>
      </w:pPr>
      <w:r w:rsidRPr="002155E6">
        <w:rPr>
          <w:spacing w:val="-3"/>
          <w:sz w:val="24"/>
          <w:szCs w:val="24"/>
        </w:rPr>
        <w:t>10.  There is no need for confidentiality</w:t>
      </w:r>
      <w:r w:rsidR="00C7191F" w:rsidRPr="002155E6">
        <w:rPr>
          <w:spacing w:val="-3"/>
          <w:sz w:val="24"/>
          <w:szCs w:val="24"/>
        </w:rPr>
        <w:t xml:space="preserve"> for this collection of information</w:t>
      </w:r>
      <w:r w:rsidRPr="002155E6">
        <w:rPr>
          <w:spacing w:val="-3"/>
          <w:sz w:val="24"/>
          <w:szCs w:val="24"/>
        </w:rPr>
        <w:t>.</w:t>
      </w:r>
    </w:p>
    <w:p w:rsidR="007A472D" w:rsidRPr="002155E6" w:rsidRDefault="007A472D" w:rsidP="009F32ED">
      <w:pPr>
        <w:suppressAutoHyphens/>
        <w:rPr>
          <w:spacing w:val="-3"/>
          <w:sz w:val="24"/>
          <w:szCs w:val="24"/>
        </w:rPr>
      </w:pPr>
    </w:p>
    <w:p w:rsidR="007A472D" w:rsidRPr="002155E6" w:rsidRDefault="007A472D" w:rsidP="009F32ED">
      <w:pPr>
        <w:suppressAutoHyphens/>
        <w:rPr>
          <w:spacing w:val="-3"/>
          <w:sz w:val="24"/>
          <w:szCs w:val="24"/>
        </w:rPr>
      </w:pPr>
      <w:r w:rsidRPr="002155E6">
        <w:rPr>
          <w:spacing w:val="-3"/>
          <w:sz w:val="24"/>
          <w:szCs w:val="24"/>
        </w:rPr>
        <w:t>11.  This form does not address any private matter.</w:t>
      </w:r>
    </w:p>
    <w:p w:rsidR="007A472D" w:rsidRDefault="007A472D" w:rsidP="009F32ED">
      <w:pPr>
        <w:suppressAutoHyphens/>
        <w:rPr>
          <w:spacing w:val="-3"/>
          <w:sz w:val="24"/>
          <w:szCs w:val="24"/>
        </w:rPr>
      </w:pPr>
    </w:p>
    <w:p w:rsidR="00E03FFE" w:rsidRDefault="00E03FFE" w:rsidP="009F32ED">
      <w:pPr>
        <w:suppressAutoHyphens/>
        <w:rPr>
          <w:spacing w:val="-3"/>
          <w:sz w:val="24"/>
          <w:szCs w:val="24"/>
        </w:rPr>
      </w:pPr>
    </w:p>
    <w:p w:rsidR="00E03FFE" w:rsidRDefault="00E03FFE" w:rsidP="009F32ED">
      <w:pPr>
        <w:suppressAutoHyphens/>
        <w:rPr>
          <w:spacing w:val="-3"/>
          <w:sz w:val="24"/>
          <w:szCs w:val="24"/>
        </w:rPr>
      </w:pPr>
    </w:p>
    <w:p w:rsidR="00E03FFE" w:rsidRPr="002155E6" w:rsidRDefault="00E03FFE" w:rsidP="009F32ED">
      <w:pPr>
        <w:suppressAutoHyphens/>
        <w:rPr>
          <w:spacing w:val="-3"/>
          <w:sz w:val="24"/>
          <w:szCs w:val="24"/>
        </w:rPr>
      </w:pPr>
    </w:p>
    <w:p w:rsidR="00AB3DC8" w:rsidRPr="002155E6" w:rsidRDefault="007A472D" w:rsidP="009F32ED">
      <w:pPr>
        <w:suppressAutoHyphens/>
        <w:rPr>
          <w:spacing w:val="-3"/>
          <w:sz w:val="24"/>
          <w:szCs w:val="24"/>
        </w:rPr>
      </w:pPr>
      <w:r w:rsidRPr="002155E6">
        <w:rPr>
          <w:spacing w:val="-3"/>
          <w:sz w:val="24"/>
          <w:szCs w:val="24"/>
        </w:rPr>
        <w:lastRenderedPageBreak/>
        <w:t>12</w:t>
      </w:r>
      <w:r w:rsidRPr="002155E6">
        <w:rPr>
          <w:b/>
          <w:spacing w:val="-3"/>
          <w:sz w:val="24"/>
          <w:szCs w:val="24"/>
        </w:rPr>
        <w:t xml:space="preserve">.  </w:t>
      </w:r>
      <w:r w:rsidR="00A919F6" w:rsidRPr="002155E6">
        <w:rPr>
          <w:b/>
          <w:spacing w:val="-3"/>
          <w:sz w:val="24"/>
          <w:szCs w:val="24"/>
        </w:rPr>
        <w:t>Estimate of Burden</w:t>
      </w:r>
      <w:r w:rsidR="00A919F6" w:rsidRPr="002155E6">
        <w:rPr>
          <w:spacing w:val="-3"/>
          <w:sz w:val="24"/>
          <w:szCs w:val="24"/>
        </w:rPr>
        <w:t xml:space="preserve">: </w:t>
      </w:r>
      <w:r w:rsidR="00841009" w:rsidRPr="002155E6">
        <w:rPr>
          <w:spacing w:val="-3"/>
          <w:sz w:val="24"/>
          <w:szCs w:val="24"/>
        </w:rPr>
        <w:t>The Commission</w:t>
      </w:r>
      <w:r w:rsidRPr="002155E6">
        <w:rPr>
          <w:spacing w:val="-3"/>
          <w:sz w:val="24"/>
          <w:szCs w:val="24"/>
        </w:rPr>
        <w:t xml:space="preserve"> estimate</w:t>
      </w:r>
      <w:r w:rsidR="00841009" w:rsidRPr="002155E6">
        <w:rPr>
          <w:spacing w:val="-3"/>
          <w:sz w:val="24"/>
          <w:szCs w:val="24"/>
        </w:rPr>
        <w:t xml:space="preserve">s a total of </w:t>
      </w:r>
      <w:r w:rsidR="00CC5939" w:rsidRPr="002155E6">
        <w:rPr>
          <w:spacing w:val="-3"/>
          <w:sz w:val="24"/>
          <w:szCs w:val="24"/>
        </w:rPr>
        <w:t>4</w:t>
      </w:r>
      <w:r w:rsidR="00A763C4" w:rsidRPr="002155E6">
        <w:rPr>
          <w:spacing w:val="-3"/>
          <w:sz w:val="24"/>
          <w:szCs w:val="24"/>
        </w:rPr>
        <w:t>5</w:t>
      </w:r>
      <w:r w:rsidR="00CC5939" w:rsidRPr="002155E6">
        <w:rPr>
          <w:spacing w:val="-3"/>
          <w:sz w:val="24"/>
          <w:szCs w:val="24"/>
        </w:rPr>
        <w:t>0</w:t>
      </w:r>
      <w:r w:rsidR="00A919F6" w:rsidRPr="002155E6">
        <w:rPr>
          <w:spacing w:val="-3"/>
          <w:sz w:val="24"/>
          <w:szCs w:val="24"/>
        </w:rPr>
        <w:t xml:space="preserve"> applications (FCC Form 2100, Schedule E) </w:t>
      </w:r>
      <w:r w:rsidR="00426CF3" w:rsidRPr="002155E6">
        <w:rPr>
          <w:spacing w:val="-3"/>
          <w:sz w:val="24"/>
          <w:szCs w:val="24"/>
        </w:rPr>
        <w:t xml:space="preserve">will be filed and processed which includes </w:t>
      </w:r>
      <w:r w:rsidR="00A919F6" w:rsidRPr="002155E6">
        <w:rPr>
          <w:spacing w:val="-3"/>
          <w:sz w:val="24"/>
          <w:szCs w:val="24"/>
        </w:rPr>
        <w:t>major</w:t>
      </w:r>
      <w:r w:rsidRPr="002155E6">
        <w:rPr>
          <w:spacing w:val="-3"/>
          <w:sz w:val="24"/>
          <w:szCs w:val="24"/>
        </w:rPr>
        <w:t xml:space="preserve"> change </w:t>
      </w:r>
      <w:r w:rsidR="00426CF3" w:rsidRPr="002155E6">
        <w:rPr>
          <w:spacing w:val="-3"/>
          <w:sz w:val="24"/>
          <w:szCs w:val="24"/>
        </w:rPr>
        <w:t xml:space="preserve">applications (400) and minor change </w:t>
      </w:r>
      <w:r w:rsidR="00FF7C93" w:rsidRPr="002155E6">
        <w:rPr>
          <w:spacing w:val="-3"/>
          <w:sz w:val="24"/>
          <w:szCs w:val="24"/>
        </w:rPr>
        <w:t xml:space="preserve">applications </w:t>
      </w:r>
      <w:r w:rsidR="00426CF3" w:rsidRPr="002155E6">
        <w:rPr>
          <w:spacing w:val="-3"/>
          <w:sz w:val="24"/>
          <w:szCs w:val="24"/>
        </w:rPr>
        <w:t>(50).  The estimated time to file and p</w:t>
      </w:r>
      <w:r w:rsidR="00A941D1" w:rsidRPr="002155E6">
        <w:rPr>
          <w:spacing w:val="-3"/>
          <w:sz w:val="24"/>
          <w:szCs w:val="24"/>
        </w:rPr>
        <w:t>rocess</w:t>
      </w:r>
      <w:r w:rsidR="00426CF3" w:rsidRPr="002155E6">
        <w:rPr>
          <w:spacing w:val="-3"/>
          <w:sz w:val="24"/>
          <w:szCs w:val="24"/>
        </w:rPr>
        <w:t xml:space="preserve"> the applications will take </w:t>
      </w:r>
      <w:r w:rsidR="004A4B11" w:rsidRPr="002155E6">
        <w:rPr>
          <w:spacing w:val="-3"/>
          <w:sz w:val="24"/>
          <w:szCs w:val="24"/>
        </w:rPr>
        <w:t>licensee</w:t>
      </w:r>
      <w:r w:rsidR="00426CF3" w:rsidRPr="002155E6">
        <w:rPr>
          <w:spacing w:val="-3"/>
          <w:sz w:val="24"/>
          <w:szCs w:val="24"/>
        </w:rPr>
        <w:t>s</w:t>
      </w:r>
      <w:r w:rsidR="004A4B11" w:rsidRPr="002155E6">
        <w:rPr>
          <w:spacing w:val="-3"/>
          <w:sz w:val="24"/>
          <w:szCs w:val="24"/>
        </w:rPr>
        <w:t xml:space="preserve"> </w:t>
      </w:r>
      <w:r w:rsidR="00426CF3" w:rsidRPr="002155E6">
        <w:rPr>
          <w:spacing w:val="-3"/>
          <w:sz w:val="24"/>
          <w:szCs w:val="24"/>
        </w:rPr>
        <w:t xml:space="preserve">a total of </w:t>
      </w:r>
      <w:r w:rsidR="00F93836" w:rsidRPr="002155E6">
        <w:rPr>
          <w:spacing w:val="-3"/>
          <w:sz w:val="24"/>
          <w:szCs w:val="24"/>
        </w:rPr>
        <w:t>8</w:t>
      </w:r>
      <w:r w:rsidR="000D5D48" w:rsidRPr="002155E6">
        <w:rPr>
          <w:spacing w:val="-3"/>
          <w:sz w:val="24"/>
          <w:szCs w:val="24"/>
        </w:rPr>
        <w:t>.</w:t>
      </w:r>
      <w:r w:rsidR="00F93836" w:rsidRPr="002155E6">
        <w:rPr>
          <w:spacing w:val="-3"/>
          <w:sz w:val="24"/>
          <w:szCs w:val="24"/>
        </w:rPr>
        <w:t>2</w:t>
      </w:r>
      <w:r w:rsidR="000D5D48" w:rsidRPr="002155E6">
        <w:rPr>
          <w:spacing w:val="-3"/>
          <w:sz w:val="24"/>
          <w:szCs w:val="24"/>
        </w:rPr>
        <w:t>5</w:t>
      </w:r>
      <w:r w:rsidR="004A4B11" w:rsidRPr="002155E6">
        <w:rPr>
          <w:spacing w:val="-3"/>
          <w:sz w:val="24"/>
          <w:szCs w:val="24"/>
        </w:rPr>
        <w:t xml:space="preserve"> hours</w:t>
      </w:r>
      <w:r w:rsidR="00426CF3" w:rsidRPr="002155E6">
        <w:rPr>
          <w:spacing w:val="-3"/>
          <w:sz w:val="24"/>
          <w:szCs w:val="24"/>
        </w:rPr>
        <w:t xml:space="preserve"> for the major change applications and </w:t>
      </w:r>
      <w:r w:rsidR="00FF7C93" w:rsidRPr="002155E6">
        <w:rPr>
          <w:spacing w:val="-3"/>
          <w:sz w:val="24"/>
          <w:szCs w:val="24"/>
        </w:rPr>
        <w:t xml:space="preserve">a total of </w:t>
      </w:r>
      <w:r w:rsidR="00426CF3" w:rsidRPr="002155E6">
        <w:rPr>
          <w:spacing w:val="-3"/>
          <w:sz w:val="24"/>
          <w:szCs w:val="24"/>
        </w:rPr>
        <w:t>3 hours for minor change applications</w:t>
      </w:r>
      <w:r w:rsidR="00A919F6" w:rsidRPr="002155E6">
        <w:rPr>
          <w:spacing w:val="-3"/>
          <w:sz w:val="24"/>
          <w:szCs w:val="24"/>
        </w:rPr>
        <w:t>.</w:t>
      </w:r>
      <w:r w:rsidR="00AB3DC8" w:rsidRPr="002155E6">
        <w:rPr>
          <w:spacing w:val="-3"/>
          <w:sz w:val="24"/>
          <w:szCs w:val="24"/>
        </w:rPr>
        <w:t xml:space="preserve"> </w:t>
      </w:r>
      <w:r w:rsidR="00FF7C93" w:rsidRPr="002155E6">
        <w:rPr>
          <w:spacing w:val="-3"/>
          <w:sz w:val="24"/>
          <w:szCs w:val="24"/>
        </w:rPr>
        <w:t xml:space="preserve"> These time estimates also accounts for consulting time.</w:t>
      </w:r>
    </w:p>
    <w:p w:rsidR="00AB3DC8" w:rsidRPr="002155E6" w:rsidRDefault="00AB3DC8" w:rsidP="009F32ED">
      <w:pPr>
        <w:suppressAutoHyphens/>
        <w:rPr>
          <w:spacing w:val="-3"/>
          <w:sz w:val="24"/>
          <w:szCs w:val="24"/>
        </w:rPr>
      </w:pPr>
    </w:p>
    <w:p w:rsidR="00FB782A" w:rsidRPr="002155E6" w:rsidRDefault="00AB3DC8" w:rsidP="009F32ED">
      <w:pPr>
        <w:suppressAutoHyphens/>
        <w:rPr>
          <w:b/>
          <w:spacing w:val="-3"/>
          <w:sz w:val="24"/>
          <w:szCs w:val="24"/>
        </w:rPr>
      </w:pPr>
      <w:r w:rsidRPr="002155E6">
        <w:rPr>
          <w:spacing w:val="-3"/>
          <w:sz w:val="24"/>
          <w:szCs w:val="24"/>
        </w:rPr>
        <w:tab/>
      </w:r>
      <w:r w:rsidRPr="002155E6">
        <w:rPr>
          <w:b/>
          <w:spacing w:val="-3"/>
          <w:sz w:val="24"/>
          <w:szCs w:val="24"/>
        </w:rPr>
        <w:t xml:space="preserve">Total Number of </w:t>
      </w:r>
      <w:r w:rsidR="00C7191F" w:rsidRPr="002155E6">
        <w:rPr>
          <w:b/>
          <w:spacing w:val="-3"/>
          <w:sz w:val="24"/>
          <w:szCs w:val="24"/>
        </w:rPr>
        <w:t xml:space="preserve">Annual </w:t>
      </w:r>
      <w:r w:rsidRPr="002155E6">
        <w:rPr>
          <w:b/>
          <w:spacing w:val="-3"/>
          <w:sz w:val="24"/>
          <w:szCs w:val="24"/>
        </w:rPr>
        <w:t>Respondents</w:t>
      </w:r>
      <w:r w:rsidR="00FB782A" w:rsidRPr="002155E6">
        <w:rPr>
          <w:b/>
          <w:spacing w:val="-3"/>
          <w:sz w:val="24"/>
          <w:szCs w:val="24"/>
        </w:rPr>
        <w:t>:  450 Station Licensees</w:t>
      </w:r>
    </w:p>
    <w:p w:rsidR="00FB782A" w:rsidRPr="002155E6" w:rsidRDefault="00FB782A" w:rsidP="009F32ED">
      <w:pPr>
        <w:suppressAutoHyphens/>
        <w:rPr>
          <w:b/>
          <w:spacing w:val="-3"/>
          <w:sz w:val="24"/>
          <w:szCs w:val="24"/>
        </w:rPr>
      </w:pPr>
    </w:p>
    <w:p w:rsidR="00AB3DC8" w:rsidRPr="002155E6" w:rsidRDefault="00FB782A" w:rsidP="00FB782A">
      <w:pPr>
        <w:suppressAutoHyphens/>
        <w:ind w:firstLine="720"/>
        <w:rPr>
          <w:b/>
          <w:spacing w:val="-3"/>
          <w:sz w:val="24"/>
          <w:szCs w:val="24"/>
        </w:rPr>
      </w:pPr>
      <w:r w:rsidRPr="002155E6">
        <w:rPr>
          <w:b/>
          <w:spacing w:val="-3"/>
          <w:sz w:val="24"/>
          <w:szCs w:val="24"/>
        </w:rPr>
        <w:t xml:space="preserve">Total Number of Annual </w:t>
      </w:r>
      <w:r w:rsidR="00A919F6" w:rsidRPr="002155E6">
        <w:rPr>
          <w:b/>
          <w:spacing w:val="-3"/>
          <w:sz w:val="24"/>
          <w:szCs w:val="24"/>
        </w:rPr>
        <w:t>Responses</w:t>
      </w:r>
      <w:r w:rsidR="00AB3DC8" w:rsidRPr="002155E6">
        <w:rPr>
          <w:b/>
          <w:spacing w:val="-3"/>
          <w:sz w:val="24"/>
          <w:szCs w:val="24"/>
        </w:rPr>
        <w:t xml:space="preserve">:  </w:t>
      </w:r>
      <w:r w:rsidR="003868AB" w:rsidRPr="002155E6">
        <w:rPr>
          <w:b/>
          <w:spacing w:val="-3"/>
          <w:sz w:val="24"/>
          <w:szCs w:val="24"/>
        </w:rPr>
        <w:t>4</w:t>
      </w:r>
      <w:r w:rsidR="00A763C4" w:rsidRPr="002155E6">
        <w:rPr>
          <w:b/>
          <w:spacing w:val="-3"/>
          <w:sz w:val="24"/>
          <w:szCs w:val="24"/>
        </w:rPr>
        <w:t>5</w:t>
      </w:r>
      <w:r w:rsidR="003868AB" w:rsidRPr="002155E6">
        <w:rPr>
          <w:b/>
          <w:spacing w:val="-3"/>
          <w:sz w:val="24"/>
          <w:szCs w:val="24"/>
        </w:rPr>
        <w:t>0</w:t>
      </w:r>
      <w:r w:rsidR="00AB3DC8" w:rsidRPr="002155E6">
        <w:rPr>
          <w:b/>
          <w:spacing w:val="-3"/>
          <w:sz w:val="24"/>
          <w:szCs w:val="24"/>
        </w:rPr>
        <w:t xml:space="preserve"> </w:t>
      </w:r>
      <w:r w:rsidRPr="002155E6">
        <w:rPr>
          <w:b/>
          <w:spacing w:val="-3"/>
          <w:sz w:val="24"/>
          <w:szCs w:val="24"/>
        </w:rPr>
        <w:t>FCC Form 2100, Schedule E Forms</w:t>
      </w:r>
      <w:r w:rsidR="00426CF3" w:rsidRPr="002155E6">
        <w:rPr>
          <w:b/>
          <w:spacing w:val="-3"/>
          <w:sz w:val="24"/>
          <w:szCs w:val="24"/>
        </w:rPr>
        <w:t xml:space="preserve"> + 50 </w:t>
      </w:r>
      <w:r w:rsidR="00476716">
        <w:rPr>
          <w:b/>
          <w:spacing w:val="-3"/>
          <w:sz w:val="24"/>
          <w:szCs w:val="24"/>
        </w:rPr>
        <w:tab/>
      </w:r>
      <w:r w:rsidR="000D4ED2">
        <w:rPr>
          <w:b/>
          <w:spacing w:val="-3"/>
          <w:sz w:val="24"/>
          <w:szCs w:val="24"/>
        </w:rPr>
        <w:t xml:space="preserve">MVPD </w:t>
      </w:r>
      <w:r w:rsidR="00426CF3" w:rsidRPr="002155E6">
        <w:rPr>
          <w:b/>
          <w:spacing w:val="-3"/>
          <w:sz w:val="24"/>
          <w:szCs w:val="24"/>
        </w:rPr>
        <w:t>notifications</w:t>
      </w:r>
      <w:r w:rsidR="00476716">
        <w:rPr>
          <w:b/>
          <w:spacing w:val="-3"/>
          <w:sz w:val="24"/>
          <w:szCs w:val="24"/>
        </w:rPr>
        <w:t xml:space="preserve"> = 500</w:t>
      </w:r>
      <w:r w:rsidR="00426CF3" w:rsidRPr="002155E6">
        <w:rPr>
          <w:b/>
          <w:spacing w:val="-3"/>
          <w:sz w:val="24"/>
          <w:szCs w:val="24"/>
        </w:rPr>
        <w:t xml:space="preserve"> respon</w:t>
      </w:r>
      <w:r w:rsidR="00FF7C93" w:rsidRPr="002155E6">
        <w:rPr>
          <w:b/>
          <w:spacing w:val="-3"/>
          <w:sz w:val="24"/>
          <w:szCs w:val="24"/>
        </w:rPr>
        <w:t>s</w:t>
      </w:r>
      <w:r w:rsidR="00426CF3" w:rsidRPr="002155E6">
        <w:rPr>
          <w:b/>
          <w:spacing w:val="-3"/>
          <w:sz w:val="24"/>
          <w:szCs w:val="24"/>
        </w:rPr>
        <w:t>es</w:t>
      </w:r>
    </w:p>
    <w:p w:rsidR="00AB3DC8" w:rsidRPr="002155E6" w:rsidRDefault="00AB3DC8" w:rsidP="009F32ED">
      <w:pPr>
        <w:suppressAutoHyphens/>
        <w:rPr>
          <w:b/>
          <w:spacing w:val="-3"/>
          <w:sz w:val="24"/>
          <w:szCs w:val="24"/>
        </w:rPr>
      </w:pPr>
    </w:p>
    <w:p w:rsidR="00FB782A" w:rsidRPr="002155E6" w:rsidRDefault="00FB782A" w:rsidP="009F32ED">
      <w:pPr>
        <w:suppressAutoHyphens/>
        <w:rPr>
          <w:b/>
          <w:spacing w:val="-3"/>
          <w:sz w:val="24"/>
          <w:szCs w:val="24"/>
        </w:rPr>
      </w:pPr>
    </w:p>
    <w:p w:rsidR="00C7191F" w:rsidRPr="002155E6" w:rsidRDefault="00C7191F" w:rsidP="009F32ED">
      <w:pPr>
        <w:suppressAutoHyphens/>
        <w:rPr>
          <w:b/>
          <w:spacing w:val="-3"/>
          <w:sz w:val="24"/>
          <w:szCs w:val="24"/>
        </w:rPr>
      </w:pPr>
      <w:r w:rsidRPr="002155E6">
        <w:rPr>
          <w:b/>
          <w:spacing w:val="-3"/>
          <w:sz w:val="24"/>
          <w:szCs w:val="24"/>
        </w:rPr>
        <w:t>Annual Burden Hours:</w:t>
      </w:r>
    </w:p>
    <w:p w:rsidR="00C7191F" w:rsidRPr="002155E6" w:rsidRDefault="00C7191F" w:rsidP="009F32ED">
      <w:pPr>
        <w:suppressAutoHyphens/>
        <w:rPr>
          <w:spacing w:val="-3"/>
          <w:sz w:val="24"/>
          <w:szCs w:val="24"/>
        </w:rPr>
      </w:pPr>
    </w:p>
    <w:p w:rsidR="00B0628A" w:rsidRPr="002155E6" w:rsidRDefault="007D13E5" w:rsidP="009F32ED">
      <w:pPr>
        <w:suppressAutoHyphens/>
        <w:rPr>
          <w:spacing w:val="-3"/>
          <w:sz w:val="24"/>
          <w:szCs w:val="24"/>
        </w:rPr>
      </w:pPr>
      <w:r>
        <w:rPr>
          <w:spacing w:val="-3"/>
          <w:sz w:val="24"/>
          <w:szCs w:val="24"/>
        </w:rPr>
        <w:t>The Commission</w:t>
      </w:r>
      <w:r w:rsidR="0066353C" w:rsidRPr="002155E6">
        <w:rPr>
          <w:spacing w:val="-3"/>
          <w:sz w:val="24"/>
          <w:szCs w:val="24"/>
        </w:rPr>
        <w:t xml:space="preserve"> </w:t>
      </w:r>
      <w:r w:rsidR="00A919F6" w:rsidRPr="002155E6">
        <w:rPr>
          <w:spacing w:val="-3"/>
          <w:sz w:val="24"/>
          <w:szCs w:val="24"/>
        </w:rPr>
        <w:t>expect</w:t>
      </w:r>
      <w:r>
        <w:rPr>
          <w:spacing w:val="-3"/>
          <w:sz w:val="24"/>
          <w:szCs w:val="24"/>
        </w:rPr>
        <w:t>s</w:t>
      </w:r>
      <w:r w:rsidR="00A919F6" w:rsidRPr="002155E6">
        <w:rPr>
          <w:spacing w:val="-3"/>
          <w:sz w:val="24"/>
          <w:szCs w:val="24"/>
        </w:rPr>
        <w:t xml:space="preserve"> th</w:t>
      </w:r>
      <w:r w:rsidR="0022509E" w:rsidRPr="002155E6">
        <w:rPr>
          <w:spacing w:val="-3"/>
          <w:sz w:val="24"/>
          <w:szCs w:val="24"/>
        </w:rPr>
        <w:t>at</w:t>
      </w:r>
      <w:r w:rsidR="00A919F6" w:rsidRPr="002155E6">
        <w:rPr>
          <w:spacing w:val="-3"/>
          <w:sz w:val="24"/>
          <w:szCs w:val="24"/>
        </w:rPr>
        <w:t xml:space="preserve"> respondent</w:t>
      </w:r>
      <w:r w:rsidR="0022509E" w:rsidRPr="002155E6">
        <w:rPr>
          <w:spacing w:val="-3"/>
          <w:sz w:val="24"/>
          <w:szCs w:val="24"/>
        </w:rPr>
        <w:t>s</w:t>
      </w:r>
      <w:r w:rsidR="00A919F6" w:rsidRPr="002155E6">
        <w:rPr>
          <w:spacing w:val="-3"/>
          <w:sz w:val="24"/>
          <w:szCs w:val="24"/>
        </w:rPr>
        <w:t xml:space="preserve"> will require </w:t>
      </w:r>
      <w:r w:rsidR="004D72FA" w:rsidRPr="002155E6">
        <w:rPr>
          <w:spacing w:val="-3"/>
          <w:sz w:val="24"/>
          <w:szCs w:val="24"/>
        </w:rPr>
        <w:t>8</w:t>
      </w:r>
      <w:r w:rsidR="00FB6357" w:rsidRPr="002155E6">
        <w:rPr>
          <w:spacing w:val="-3"/>
          <w:sz w:val="24"/>
          <w:szCs w:val="24"/>
        </w:rPr>
        <w:t>.</w:t>
      </w:r>
      <w:r w:rsidR="004D72FA" w:rsidRPr="002155E6">
        <w:rPr>
          <w:spacing w:val="-3"/>
          <w:sz w:val="24"/>
          <w:szCs w:val="24"/>
        </w:rPr>
        <w:t>2</w:t>
      </w:r>
      <w:r w:rsidR="00FB6357" w:rsidRPr="002155E6">
        <w:rPr>
          <w:spacing w:val="-3"/>
          <w:sz w:val="24"/>
          <w:szCs w:val="24"/>
        </w:rPr>
        <w:t>5 hours</w:t>
      </w:r>
      <w:r w:rsidR="00A919F6" w:rsidRPr="002155E6">
        <w:rPr>
          <w:spacing w:val="-3"/>
          <w:sz w:val="24"/>
          <w:szCs w:val="24"/>
        </w:rPr>
        <w:t xml:space="preserve"> </w:t>
      </w:r>
      <w:r w:rsidR="0066353C" w:rsidRPr="002155E6">
        <w:rPr>
          <w:spacing w:val="-3"/>
          <w:sz w:val="24"/>
          <w:szCs w:val="24"/>
        </w:rPr>
        <w:t xml:space="preserve">to complete the </w:t>
      </w:r>
      <w:r w:rsidR="00A763C4" w:rsidRPr="002155E6">
        <w:rPr>
          <w:b/>
          <w:spacing w:val="-3"/>
          <w:sz w:val="24"/>
          <w:szCs w:val="24"/>
        </w:rPr>
        <w:t xml:space="preserve">major change </w:t>
      </w:r>
      <w:r w:rsidR="0066353C" w:rsidRPr="002155E6">
        <w:rPr>
          <w:b/>
          <w:spacing w:val="-3"/>
          <w:sz w:val="24"/>
          <w:szCs w:val="24"/>
        </w:rPr>
        <w:t>application</w:t>
      </w:r>
      <w:r w:rsidR="0066353C" w:rsidRPr="002155E6">
        <w:rPr>
          <w:spacing w:val="-3"/>
          <w:sz w:val="24"/>
          <w:szCs w:val="24"/>
        </w:rPr>
        <w:t>. T</w:t>
      </w:r>
      <w:r w:rsidR="007A472D" w:rsidRPr="002155E6">
        <w:rPr>
          <w:spacing w:val="-3"/>
          <w:sz w:val="24"/>
          <w:szCs w:val="24"/>
        </w:rPr>
        <w:t>h</w:t>
      </w:r>
      <w:r w:rsidR="00A919F6" w:rsidRPr="002155E6">
        <w:rPr>
          <w:spacing w:val="-3"/>
          <w:sz w:val="24"/>
          <w:szCs w:val="24"/>
        </w:rPr>
        <w:t>is includes</w:t>
      </w:r>
      <w:r w:rsidR="007A472D" w:rsidRPr="002155E6">
        <w:rPr>
          <w:spacing w:val="-3"/>
          <w:sz w:val="24"/>
          <w:szCs w:val="24"/>
        </w:rPr>
        <w:t xml:space="preserve"> </w:t>
      </w:r>
      <w:r w:rsidR="003334F9" w:rsidRPr="002155E6">
        <w:rPr>
          <w:spacing w:val="-3"/>
          <w:sz w:val="24"/>
          <w:szCs w:val="24"/>
        </w:rPr>
        <w:t>6</w:t>
      </w:r>
      <w:r w:rsidR="00A919F6" w:rsidRPr="002155E6">
        <w:rPr>
          <w:spacing w:val="-3"/>
          <w:sz w:val="24"/>
          <w:szCs w:val="24"/>
        </w:rPr>
        <w:t xml:space="preserve"> </w:t>
      </w:r>
      <w:r w:rsidR="0066353C" w:rsidRPr="002155E6">
        <w:rPr>
          <w:spacing w:val="-3"/>
          <w:sz w:val="24"/>
          <w:szCs w:val="24"/>
        </w:rPr>
        <w:t xml:space="preserve">hours to </w:t>
      </w:r>
      <w:r w:rsidR="007A472D" w:rsidRPr="002155E6">
        <w:rPr>
          <w:spacing w:val="-3"/>
          <w:sz w:val="24"/>
          <w:szCs w:val="24"/>
        </w:rPr>
        <w:t xml:space="preserve">complete the legal </w:t>
      </w:r>
      <w:r w:rsidR="00A919F6" w:rsidRPr="002155E6">
        <w:rPr>
          <w:spacing w:val="-3"/>
          <w:sz w:val="24"/>
          <w:szCs w:val="24"/>
        </w:rPr>
        <w:t xml:space="preserve">portion and 2 </w:t>
      </w:r>
      <w:r w:rsidR="00E66D5C" w:rsidRPr="002155E6">
        <w:rPr>
          <w:spacing w:val="-3"/>
          <w:sz w:val="24"/>
          <w:szCs w:val="24"/>
        </w:rPr>
        <w:t>¼ hours</w:t>
      </w:r>
      <w:r w:rsidR="00A919F6" w:rsidRPr="002155E6">
        <w:rPr>
          <w:spacing w:val="-3"/>
          <w:sz w:val="24"/>
          <w:szCs w:val="24"/>
        </w:rPr>
        <w:t xml:space="preserve"> for the </w:t>
      </w:r>
      <w:r w:rsidR="00243B40" w:rsidRPr="002155E6">
        <w:rPr>
          <w:spacing w:val="-3"/>
          <w:sz w:val="24"/>
          <w:szCs w:val="24"/>
        </w:rPr>
        <w:t xml:space="preserve">engineering portion </w:t>
      </w:r>
      <w:r w:rsidR="007A472D" w:rsidRPr="002155E6">
        <w:rPr>
          <w:spacing w:val="-3"/>
          <w:sz w:val="24"/>
          <w:szCs w:val="24"/>
        </w:rPr>
        <w:t>of the form.</w:t>
      </w:r>
      <w:r w:rsidR="00A763C4" w:rsidRPr="002155E6">
        <w:rPr>
          <w:spacing w:val="-3"/>
          <w:sz w:val="24"/>
          <w:szCs w:val="24"/>
        </w:rPr>
        <w:t xml:space="preserve">  </w:t>
      </w:r>
      <w:r w:rsidR="00A919F6" w:rsidRPr="002155E6">
        <w:rPr>
          <w:spacing w:val="-3"/>
          <w:sz w:val="24"/>
          <w:szCs w:val="24"/>
        </w:rPr>
        <w:t>In addition, respondent</w:t>
      </w:r>
      <w:r w:rsidR="0022509E" w:rsidRPr="002155E6">
        <w:rPr>
          <w:spacing w:val="-3"/>
          <w:sz w:val="24"/>
          <w:szCs w:val="24"/>
        </w:rPr>
        <w:t>s</w:t>
      </w:r>
      <w:r w:rsidR="00A919F6" w:rsidRPr="002155E6">
        <w:rPr>
          <w:spacing w:val="-3"/>
          <w:sz w:val="24"/>
          <w:szCs w:val="24"/>
        </w:rPr>
        <w:t xml:space="preserve"> will require 2</w:t>
      </w:r>
      <w:r w:rsidR="00A73727" w:rsidRPr="002155E6">
        <w:rPr>
          <w:spacing w:val="-3"/>
          <w:sz w:val="24"/>
          <w:szCs w:val="24"/>
        </w:rPr>
        <w:t xml:space="preserve"> hours</w:t>
      </w:r>
      <w:r w:rsidR="00F34BC7" w:rsidRPr="002155E6">
        <w:rPr>
          <w:spacing w:val="-3"/>
          <w:sz w:val="24"/>
          <w:szCs w:val="24"/>
        </w:rPr>
        <w:t xml:space="preserve"> (one hour each for in-house attorney and engineer)</w:t>
      </w:r>
      <w:r w:rsidR="00A73727" w:rsidRPr="002155E6">
        <w:rPr>
          <w:spacing w:val="-3"/>
          <w:sz w:val="24"/>
          <w:szCs w:val="24"/>
        </w:rPr>
        <w:t xml:space="preserve"> to prepare a </w:t>
      </w:r>
      <w:r w:rsidR="00A73727" w:rsidRPr="002155E6">
        <w:rPr>
          <w:b/>
          <w:spacing w:val="-3"/>
          <w:sz w:val="24"/>
          <w:szCs w:val="24"/>
        </w:rPr>
        <w:t>minor change application</w:t>
      </w:r>
      <w:r w:rsidR="00F34BC7" w:rsidRPr="002155E6">
        <w:rPr>
          <w:b/>
          <w:spacing w:val="-3"/>
          <w:sz w:val="24"/>
          <w:szCs w:val="24"/>
        </w:rPr>
        <w:t xml:space="preserve"> (</w:t>
      </w:r>
      <w:r w:rsidR="00A73727" w:rsidRPr="002155E6">
        <w:rPr>
          <w:spacing w:val="-3"/>
          <w:sz w:val="24"/>
          <w:szCs w:val="24"/>
        </w:rPr>
        <w:t>channel share</w:t>
      </w:r>
      <w:r w:rsidR="00F34BC7" w:rsidRPr="002155E6">
        <w:rPr>
          <w:spacing w:val="-3"/>
          <w:sz w:val="24"/>
          <w:szCs w:val="24"/>
        </w:rPr>
        <w:t xml:space="preserve">). The respondent will also require </w:t>
      </w:r>
      <w:r w:rsidR="0022509E" w:rsidRPr="002155E6">
        <w:rPr>
          <w:spacing w:val="-3"/>
          <w:sz w:val="24"/>
          <w:szCs w:val="24"/>
        </w:rPr>
        <w:t xml:space="preserve">a total of </w:t>
      </w:r>
      <w:r w:rsidR="00F34BC7" w:rsidRPr="002155E6">
        <w:rPr>
          <w:spacing w:val="-3"/>
          <w:sz w:val="24"/>
          <w:szCs w:val="24"/>
        </w:rPr>
        <w:t xml:space="preserve">one (1) </w:t>
      </w:r>
      <w:r w:rsidR="00A66302" w:rsidRPr="002155E6">
        <w:rPr>
          <w:spacing w:val="-3"/>
          <w:sz w:val="24"/>
          <w:szCs w:val="24"/>
        </w:rPr>
        <w:t xml:space="preserve">hour </w:t>
      </w:r>
      <w:r w:rsidR="0022509E" w:rsidRPr="002155E6">
        <w:rPr>
          <w:spacing w:val="-3"/>
          <w:sz w:val="24"/>
          <w:szCs w:val="24"/>
        </w:rPr>
        <w:t xml:space="preserve">of </w:t>
      </w:r>
      <w:r w:rsidR="00A66302" w:rsidRPr="002155E6">
        <w:rPr>
          <w:spacing w:val="-3"/>
          <w:sz w:val="24"/>
          <w:szCs w:val="24"/>
        </w:rPr>
        <w:t>consultation with an outside</w:t>
      </w:r>
      <w:r w:rsidR="00A73727" w:rsidRPr="002155E6">
        <w:rPr>
          <w:spacing w:val="-3"/>
          <w:sz w:val="24"/>
          <w:szCs w:val="24"/>
        </w:rPr>
        <w:t xml:space="preserve"> engineer </w:t>
      </w:r>
      <w:r w:rsidR="000819DF" w:rsidRPr="002155E6">
        <w:rPr>
          <w:spacing w:val="-3"/>
          <w:sz w:val="24"/>
          <w:szCs w:val="24"/>
        </w:rPr>
        <w:t xml:space="preserve">(1/2 hour) </w:t>
      </w:r>
      <w:r w:rsidR="00A73727" w:rsidRPr="002155E6">
        <w:rPr>
          <w:spacing w:val="-3"/>
          <w:sz w:val="24"/>
          <w:szCs w:val="24"/>
        </w:rPr>
        <w:t xml:space="preserve">and </w:t>
      </w:r>
      <w:r w:rsidR="00F34BC7" w:rsidRPr="002155E6">
        <w:rPr>
          <w:spacing w:val="-3"/>
          <w:sz w:val="24"/>
          <w:szCs w:val="24"/>
        </w:rPr>
        <w:t>an</w:t>
      </w:r>
      <w:r w:rsidR="00A73727" w:rsidRPr="002155E6">
        <w:rPr>
          <w:spacing w:val="-3"/>
          <w:sz w:val="24"/>
          <w:szCs w:val="24"/>
        </w:rPr>
        <w:t xml:space="preserve"> attorney</w:t>
      </w:r>
      <w:r w:rsidR="000819DF" w:rsidRPr="002155E6">
        <w:rPr>
          <w:spacing w:val="-3"/>
          <w:sz w:val="24"/>
          <w:szCs w:val="24"/>
        </w:rPr>
        <w:t xml:space="preserve"> (1/2 hour)</w:t>
      </w:r>
      <w:r w:rsidR="00F34BC7" w:rsidRPr="002155E6">
        <w:rPr>
          <w:spacing w:val="-3"/>
          <w:sz w:val="24"/>
          <w:szCs w:val="24"/>
        </w:rPr>
        <w:t>.</w:t>
      </w:r>
      <w:r w:rsidR="007A472D" w:rsidRPr="002155E6">
        <w:rPr>
          <w:spacing w:val="-3"/>
          <w:sz w:val="24"/>
          <w:szCs w:val="24"/>
        </w:rPr>
        <w:t xml:space="preserve">  </w:t>
      </w:r>
    </w:p>
    <w:p w:rsidR="00164396" w:rsidRPr="002155E6" w:rsidRDefault="007A472D" w:rsidP="009F32ED">
      <w:pPr>
        <w:suppressAutoHyphens/>
        <w:rPr>
          <w:spacing w:val="-3"/>
          <w:sz w:val="24"/>
          <w:szCs w:val="24"/>
        </w:rPr>
      </w:pPr>
      <w:r w:rsidRPr="002155E6">
        <w:rPr>
          <w:spacing w:val="-3"/>
          <w:sz w:val="24"/>
          <w:szCs w:val="24"/>
        </w:rPr>
        <w:t xml:space="preserve"> </w:t>
      </w:r>
    </w:p>
    <w:p w:rsidR="00BE2A34" w:rsidRPr="002155E6" w:rsidRDefault="00B0628A" w:rsidP="009F32ED">
      <w:pPr>
        <w:suppressAutoHyphens/>
        <w:rPr>
          <w:spacing w:val="-3"/>
          <w:sz w:val="24"/>
          <w:szCs w:val="24"/>
        </w:rPr>
      </w:pPr>
      <w:r w:rsidRPr="002155E6">
        <w:rPr>
          <w:spacing w:val="-3"/>
          <w:sz w:val="24"/>
          <w:szCs w:val="24"/>
        </w:rPr>
        <w:t>Applicants for a minor change to channel share must also prepare channel sharing agreement</w:t>
      </w:r>
      <w:r w:rsidR="0022509E" w:rsidRPr="002155E6">
        <w:rPr>
          <w:spacing w:val="-3"/>
          <w:sz w:val="24"/>
          <w:szCs w:val="24"/>
        </w:rPr>
        <w:t>s</w:t>
      </w:r>
      <w:r w:rsidRPr="002155E6">
        <w:rPr>
          <w:spacing w:val="-3"/>
          <w:sz w:val="24"/>
          <w:szCs w:val="24"/>
        </w:rPr>
        <w:t xml:space="preserve"> (C</w:t>
      </w:r>
    </w:p>
    <w:p w:rsidR="00BE2A34" w:rsidRPr="002155E6" w:rsidRDefault="00BE2A34" w:rsidP="009F32ED">
      <w:pPr>
        <w:suppressAutoHyphens/>
        <w:rPr>
          <w:spacing w:val="-3"/>
          <w:sz w:val="24"/>
          <w:szCs w:val="24"/>
        </w:rPr>
      </w:pPr>
    </w:p>
    <w:p w:rsidR="00164396" w:rsidRPr="002155E6" w:rsidRDefault="00B0628A" w:rsidP="009F32ED">
      <w:pPr>
        <w:suppressAutoHyphens/>
        <w:rPr>
          <w:spacing w:val="-3"/>
          <w:sz w:val="24"/>
          <w:szCs w:val="24"/>
        </w:rPr>
      </w:pPr>
      <w:r w:rsidRPr="002155E6">
        <w:rPr>
          <w:spacing w:val="-3"/>
          <w:sz w:val="24"/>
          <w:szCs w:val="24"/>
        </w:rPr>
        <w:t>SA).</w:t>
      </w:r>
      <w:r w:rsidR="008672B8" w:rsidRPr="002155E6">
        <w:rPr>
          <w:rStyle w:val="FootnoteReference"/>
          <w:spacing w:val="-3"/>
          <w:sz w:val="24"/>
          <w:szCs w:val="24"/>
        </w:rPr>
        <w:footnoteReference w:id="7"/>
      </w:r>
      <w:r w:rsidRPr="002155E6">
        <w:rPr>
          <w:spacing w:val="-3"/>
          <w:sz w:val="24"/>
          <w:szCs w:val="24"/>
        </w:rPr>
        <w:t xml:space="preserve">   </w:t>
      </w:r>
      <w:r w:rsidR="007D13E5">
        <w:rPr>
          <w:spacing w:val="-3"/>
          <w:sz w:val="24"/>
          <w:szCs w:val="24"/>
        </w:rPr>
        <w:t xml:space="preserve">The Commission </w:t>
      </w:r>
      <w:r w:rsidRPr="002155E6">
        <w:rPr>
          <w:spacing w:val="-3"/>
          <w:sz w:val="24"/>
          <w:szCs w:val="24"/>
        </w:rPr>
        <w:t>estimate</w:t>
      </w:r>
      <w:r w:rsidR="007D13E5">
        <w:rPr>
          <w:spacing w:val="-3"/>
          <w:sz w:val="24"/>
          <w:szCs w:val="24"/>
        </w:rPr>
        <w:t>s</w:t>
      </w:r>
      <w:r w:rsidRPr="002155E6">
        <w:rPr>
          <w:spacing w:val="-3"/>
          <w:sz w:val="24"/>
          <w:szCs w:val="24"/>
        </w:rPr>
        <w:t xml:space="preserve"> 10 hours to prepare the CSA, including 8 hours </w:t>
      </w:r>
      <w:r w:rsidR="0022509E" w:rsidRPr="002155E6">
        <w:rPr>
          <w:spacing w:val="-3"/>
          <w:sz w:val="24"/>
          <w:szCs w:val="24"/>
        </w:rPr>
        <w:t xml:space="preserve">of preparation time by respondents </w:t>
      </w:r>
      <w:r w:rsidRPr="002155E6">
        <w:rPr>
          <w:spacing w:val="-3"/>
          <w:sz w:val="24"/>
          <w:szCs w:val="24"/>
        </w:rPr>
        <w:t xml:space="preserve">and 2 hours </w:t>
      </w:r>
      <w:r w:rsidR="0022509E" w:rsidRPr="002155E6">
        <w:rPr>
          <w:spacing w:val="-3"/>
          <w:sz w:val="24"/>
          <w:szCs w:val="24"/>
        </w:rPr>
        <w:t xml:space="preserve">for respondents to </w:t>
      </w:r>
      <w:r w:rsidRPr="002155E6">
        <w:rPr>
          <w:spacing w:val="-3"/>
          <w:sz w:val="24"/>
          <w:szCs w:val="24"/>
        </w:rPr>
        <w:t>consult</w:t>
      </w:r>
      <w:r w:rsidR="0022509E" w:rsidRPr="002155E6">
        <w:rPr>
          <w:spacing w:val="-3"/>
          <w:sz w:val="24"/>
          <w:szCs w:val="24"/>
        </w:rPr>
        <w:t xml:space="preserve"> with outside</w:t>
      </w:r>
      <w:r w:rsidRPr="002155E6">
        <w:rPr>
          <w:spacing w:val="-3"/>
          <w:sz w:val="24"/>
          <w:szCs w:val="24"/>
        </w:rPr>
        <w:t xml:space="preserve"> attorney</w:t>
      </w:r>
      <w:r w:rsidR="0022509E" w:rsidRPr="002155E6">
        <w:rPr>
          <w:spacing w:val="-3"/>
          <w:sz w:val="24"/>
          <w:szCs w:val="24"/>
        </w:rPr>
        <w:t>s</w:t>
      </w:r>
      <w:r w:rsidRPr="002155E6">
        <w:rPr>
          <w:spacing w:val="-3"/>
          <w:sz w:val="24"/>
          <w:szCs w:val="24"/>
        </w:rPr>
        <w:t xml:space="preserve">.  These applicants must also notify MVPDs of their channel share.  </w:t>
      </w:r>
      <w:r w:rsidR="007D13E5">
        <w:rPr>
          <w:spacing w:val="-3"/>
          <w:sz w:val="24"/>
          <w:szCs w:val="24"/>
        </w:rPr>
        <w:t>The Commission</w:t>
      </w:r>
      <w:r w:rsidRPr="002155E6">
        <w:rPr>
          <w:spacing w:val="-3"/>
          <w:sz w:val="24"/>
          <w:szCs w:val="24"/>
        </w:rPr>
        <w:t xml:space="preserve"> estimate</w:t>
      </w:r>
      <w:r w:rsidR="007D13E5">
        <w:rPr>
          <w:spacing w:val="-3"/>
          <w:sz w:val="24"/>
          <w:szCs w:val="24"/>
        </w:rPr>
        <w:t>s</w:t>
      </w:r>
      <w:r w:rsidRPr="002155E6">
        <w:rPr>
          <w:spacing w:val="-3"/>
          <w:sz w:val="24"/>
          <w:szCs w:val="24"/>
        </w:rPr>
        <w:t xml:space="preserve"> this notification will take 2 hours </w:t>
      </w:r>
      <w:r w:rsidR="0022509E" w:rsidRPr="002155E6">
        <w:rPr>
          <w:spacing w:val="-3"/>
          <w:sz w:val="24"/>
          <w:szCs w:val="24"/>
        </w:rPr>
        <w:t>for</w:t>
      </w:r>
      <w:r w:rsidRPr="002155E6">
        <w:rPr>
          <w:spacing w:val="-3"/>
          <w:sz w:val="24"/>
          <w:szCs w:val="24"/>
        </w:rPr>
        <w:t xml:space="preserve"> in-house </w:t>
      </w:r>
      <w:r w:rsidR="0022509E" w:rsidRPr="002155E6">
        <w:rPr>
          <w:spacing w:val="-3"/>
          <w:sz w:val="24"/>
          <w:szCs w:val="24"/>
        </w:rPr>
        <w:t>staff</w:t>
      </w:r>
      <w:r w:rsidRPr="002155E6">
        <w:rPr>
          <w:spacing w:val="-3"/>
          <w:sz w:val="24"/>
          <w:szCs w:val="24"/>
        </w:rPr>
        <w:t>.</w:t>
      </w:r>
      <w:r w:rsidR="00617B72">
        <w:rPr>
          <w:spacing w:val="-3"/>
          <w:sz w:val="24"/>
          <w:szCs w:val="24"/>
        </w:rPr>
        <w:t xml:space="preserve">  .</w:t>
      </w:r>
      <w:r w:rsidR="000D4ED2">
        <w:rPr>
          <w:spacing w:val="-3"/>
          <w:sz w:val="24"/>
          <w:szCs w:val="24"/>
        </w:rPr>
        <w:t xml:space="preserve">  </w:t>
      </w:r>
    </w:p>
    <w:p w:rsidR="0082542F" w:rsidRPr="002155E6" w:rsidRDefault="0082542F" w:rsidP="0082542F">
      <w:pPr>
        <w:suppressAutoHyphens/>
        <w:rPr>
          <w:spacing w:val="-3"/>
          <w:sz w:val="24"/>
          <w:szCs w:val="24"/>
        </w:rPr>
      </w:pPr>
    </w:p>
    <w:p w:rsidR="00C7191F" w:rsidRPr="002155E6" w:rsidRDefault="00C7191F" w:rsidP="0082542F">
      <w:pPr>
        <w:suppressAutoHyphens/>
        <w:ind w:left="2160" w:firstLine="720"/>
        <w:rPr>
          <w:spacing w:val="-3"/>
          <w:sz w:val="24"/>
          <w:szCs w:val="24"/>
        </w:rPr>
      </w:pPr>
      <w:r w:rsidRPr="002155E6">
        <w:rPr>
          <w:spacing w:val="-3"/>
          <w:sz w:val="24"/>
          <w:szCs w:val="24"/>
        </w:rPr>
        <w:t>4</w:t>
      </w:r>
      <w:r w:rsidR="00FF7C93" w:rsidRPr="002155E6">
        <w:rPr>
          <w:spacing w:val="-3"/>
          <w:sz w:val="24"/>
          <w:szCs w:val="24"/>
        </w:rPr>
        <w:t>0</w:t>
      </w:r>
      <w:r w:rsidRPr="002155E6">
        <w:rPr>
          <w:spacing w:val="-3"/>
          <w:sz w:val="24"/>
          <w:szCs w:val="24"/>
        </w:rPr>
        <w:t xml:space="preserve">0 major change  x </w:t>
      </w:r>
      <w:r w:rsidR="004D72FA" w:rsidRPr="002155E6">
        <w:rPr>
          <w:spacing w:val="-3"/>
          <w:sz w:val="24"/>
          <w:szCs w:val="24"/>
        </w:rPr>
        <w:t>6</w:t>
      </w:r>
      <w:r w:rsidRPr="002155E6">
        <w:rPr>
          <w:spacing w:val="-3"/>
          <w:sz w:val="24"/>
          <w:szCs w:val="24"/>
        </w:rPr>
        <w:t xml:space="preserve"> hours =    </w:t>
      </w:r>
      <w:r w:rsidR="00FF7C93" w:rsidRPr="002155E6">
        <w:rPr>
          <w:spacing w:val="-3"/>
          <w:sz w:val="24"/>
          <w:szCs w:val="24"/>
        </w:rPr>
        <w:t xml:space="preserve">      </w:t>
      </w:r>
      <w:r w:rsidR="00FF7C93" w:rsidRPr="002155E6">
        <w:rPr>
          <w:spacing w:val="-3"/>
          <w:sz w:val="24"/>
          <w:szCs w:val="24"/>
        </w:rPr>
        <w:tab/>
      </w:r>
      <w:r w:rsidR="000D4ED2">
        <w:rPr>
          <w:spacing w:val="-3"/>
          <w:sz w:val="24"/>
          <w:szCs w:val="24"/>
        </w:rPr>
        <w:tab/>
      </w:r>
      <w:r w:rsidRPr="002155E6">
        <w:rPr>
          <w:spacing w:val="-3"/>
          <w:sz w:val="24"/>
          <w:szCs w:val="24"/>
        </w:rPr>
        <w:t>2</w:t>
      </w:r>
      <w:r w:rsidR="00E66D5C" w:rsidRPr="002155E6">
        <w:rPr>
          <w:spacing w:val="-3"/>
          <w:sz w:val="24"/>
          <w:szCs w:val="24"/>
        </w:rPr>
        <w:t>,</w:t>
      </w:r>
      <w:r w:rsidR="00FF7C93" w:rsidRPr="002155E6">
        <w:rPr>
          <w:spacing w:val="-3"/>
          <w:sz w:val="24"/>
          <w:szCs w:val="24"/>
        </w:rPr>
        <w:t>4</w:t>
      </w:r>
      <w:r w:rsidRPr="002155E6">
        <w:rPr>
          <w:spacing w:val="-3"/>
          <w:sz w:val="24"/>
          <w:szCs w:val="24"/>
        </w:rPr>
        <w:t>00</w:t>
      </w:r>
    </w:p>
    <w:p w:rsidR="0082542F" w:rsidRPr="002155E6" w:rsidRDefault="00C7191F" w:rsidP="0082542F">
      <w:pPr>
        <w:suppressAutoHyphens/>
        <w:ind w:left="2160" w:firstLine="720"/>
        <w:rPr>
          <w:spacing w:val="-3"/>
          <w:sz w:val="24"/>
          <w:szCs w:val="24"/>
        </w:rPr>
      </w:pPr>
      <w:r w:rsidRPr="002155E6">
        <w:rPr>
          <w:spacing w:val="-3"/>
          <w:sz w:val="24"/>
          <w:szCs w:val="24"/>
        </w:rPr>
        <w:t>4</w:t>
      </w:r>
      <w:r w:rsidR="00FF7C93" w:rsidRPr="002155E6">
        <w:rPr>
          <w:spacing w:val="-3"/>
          <w:sz w:val="24"/>
          <w:szCs w:val="24"/>
        </w:rPr>
        <w:t>0</w:t>
      </w:r>
      <w:r w:rsidRPr="002155E6">
        <w:rPr>
          <w:spacing w:val="-3"/>
          <w:sz w:val="24"/>
          <w:szCs w:val="24"/>
        </w:rPr>
        <w:t xml:space="preserve">0 major change </w:t>
      </w:r>
      <w:r w:rsidR="00E66D5C" w:rsidRPr="002155E6">
        <w:rPr>
          <w:spacing w:val="-3"/>
          <w:sz w:val="24"/>
          <w:szCs w:val="24"/>
        </w:rPr>
        <w:t>x</w:t>
      </w:r>
      <w:r w:rsidRPr="002155E6">
        <w:rPr>
          <w:spacing w:val="-3"/>
          <w:sz w:val="24"/>
          <w:szCs w:val="24"/>
        </w:rPr>
        <w:t xml:space="preserve"> </w:t>
      </w:r>
      <w:r w:rsidR="000D5D48" w:rsidRPr="002155E6">
        <w:rPr>
          <w:spacing w:val="-3"/>
          <w:sz w:val="24"/>
          <w:szCs w:val="24"/>
        </w:rPr>
        <w:t>2.</w:t>
      </w:r>
      <w:r w:rsidR="004D72FA" w:rsidRPr="002155E6">
        <w:rPr>
          <w:spacing w:val="-3"/>
          <w:sz w:val="24"/>
          <w:szCs w:val="24"/>
        </w:rPr>
        <w:t>2</w:t>
      </w:r>
      <w:r w:rsidR="000D5D48" w:rsidRPr="002155E6">
        <w:rPr>
          <w:spacing w:val="-3"/>
          <w:sz w:val="24"/>
          <w:szCs w:val="24"/>
        </w:rPr>
        <w:t>5</w:t>
      </w:r>
      <w:r w:rsidRPr="002155E6">
        <w:rPr>
          <w:spacing w:val="-3"/>
          <w:sz w:val="24"/>
          <w:szCs w:val="24"/>
        </w:rPr>
        <w:t xml:space="preserve"> hours =   </w:t>
      </w:r>
      <w:r w:rsidR="0082542F" w:rsidRPr="002155E6">
        <w:rPr>
          <w:spacing w:val="-3"/>
          <w:sz w:val="24"/>
          <w:szCs w:val="24"/>
        </w:rPr>
        <w:tab/>
      </w:r>
      <w:r w:rsidR="000D4ED2">
        <w:rPr>
          <w:spacing w:val="-3"/>
          <w:sz w:val="24"/>
          <w:szCs w:val="24"/>
        </w:rPr>
        <w:tab/>
      </w:r>
      <w:r w:rsidR="00FF7C93" w:rsidRPr="002155E6">
        <w:rPr>
          <w:spacing w:val="-3"/>
          <w:sz w:val="24"/>
          <w:szCs w:val="24"/>
        </w:rPr>
        <w:t>900</w:t>
      </w:r>
    </w:p>
    <w:p w:rsidR="0082542F" w:rsidRPr="002155E6" w:rsidRDefault="0082542F" w:rsidP="0082542F">
      <w:pPr>
        <w:suppressAutoHyphens/>
        <w:ind w:left="2160" w:firstLine="720"/>
        <w:rPr>
          <w:spacing w:val="-3"/>
          <w:sz w:val="24"/>
          <w:szCs w:val="24"/>
        </w:rPr>
      </w:pPr>
      <w:r w:rsidRPr="002155E6">
        <w:rPr>
          <w:spacing w:val="-3"/>
          <w:sz w:val="24"/>
          <w:szCs w:val="24"/>
        </w:rPr>
        <w:t xml:space="preserve">50 minor </w:t>
      </w:r>
      <w:r w:rsidR="00A763C4" w:rsidRPr="002155E6">
        <w:rPr>
          <w:spacing w:val="-3"/>
          <w:sz w:val="24"/>
          <w:szCs w:val="24"/>
        </w:rPr>
        <w:t>change</w:t>
      </w:r>
      <w:r w:rsidR="00A73727" w:rsidRPr="002155E6">
        <w:rPr>
          <w:spacing w:val="-3"/>
          <w:sz w:val="24"/>
          <w:szCs w:val="24"/>
        </w:rPr>
        <w:t xml:space="preserve"> x </w:t>
      </w:r>
      <w:r w:rsidR="00572D6D" w:rsidRPr="002155E6">
        <w:rPr>
          <w:spacing w:val="-3"/>
          <w:sz w:val="24"/>
          <w:szCs w:val="24"/>
        </w:rPr>
        <w:t>2</w:t>
      </w:r>
      <w:r w:rsidR="00A73727" w:rsidRPr="002155E6">
        <w:rPr>
          <w:spacing w:val="-3"/>
          <w:sz w:val="24"/>
          <w:szCs w:val="24"/>
        </w:rPr>
        <w:t xml:space="preserve"> hour</w:t>
      </w:r>
      <w:r w:rsidR="00572D6D" w:rsidRPr="002155E6">
        <w:rPr>
          <w:spacing w:val="-3"/>
          <w:sz w:val="24"/>
          <w:szCs w:val="24"/>
        </w:rPr>
        <w:t>s</w:t>
      </w:r>
      <w:r w:rsidR="00E66D5C" w:rsidRPr="002155E6">
        <w:rPr>
          <w:spacing w:val="-3"/>
          <w:sz w:val="24"/>
          <w:szCs w:val="24"/>
        </w:rPr>
        <w:t xml:space="preserve"> =</w:t>
      </w:r>
      <w:r w:rsidRPr="002155E6">
        <w:rPr>
          <w:spacing w:val="-3"/>
          <w:sz w:val="24"/>
          <w:szCs w:val="24"/>
        </w:rPr>
        <w:t xml:space="preserve">   </w:t>
      </w:r>
      <w:r w:rsidRPr="002155E6">
        <w:rPr>
          <w:spacing w:val="-3"/>
          <w:sz w:val="24"/>
          <w:szCs w:val="24"/>
        </w:rPr>
        <w:tab/>
      </w:r>
      <w:r w:rsidRPr="002155E6">
        <w:rPr>
          <w:spacing w:val="-3"/>
          <w:sz w:val="24"/>
          <w:szCs w:val="24"/>
        </w:rPr>
        <w:tab/>
      </w:r>
      <w:r w:rsidR="000D4ED2">
        <w:rPr>
          <w:spacing w:val="-3"/>
          <w:sz w:val="24"/>
          <w:szCs w:val="24"/>
        </w:rPr>
        <w:tab/>
      </w:r>
      <w:r w:rsidRPr="002155E6">
        <w:rPr>
          <w:spacing w:val="-3"/>
          <w:sz w:val="24"/>
          <w:szCs w:val="24"/>
        </w:rPr>
        <w:t xml:space="preserve">100           </w:t>
      </w:r>
    </w:p>
    <w:p w:rsidR="00A73727" w:rsidRPr="002155E6" w:rsidRDefault="00A73727" w:rsidP="0082542F">
      <w:pPr>
        <w:suppressAutoHyphens/>
        <w:ind w:left="1440" w:firstLine="1440"/>
        <w:rPr>
          <w:spacing w:val="-3"/>
          <w:sz w:val="24"/>
          <w:szCs w:val="24"/>
        </w:rPr>
      </w:pPr>
      <w:r w:rsidRPr="002155E6">
        <w:rPr>
          <w:spacing w:val="-3"/>
          <w:sz w:val="24"/>
          <w:szCs w:val="24"/>
        </w:rPr>
        <w:t xml:space="preserve">50 minor change x 1 hour  =     </w:t>
      </w:r>
      <w:r w:rsidR="00E66D5C" w:rsidRPr="002155E6">
        <w:rPr>
          <w:spacing w:val="-3"/>
          <w:sz w:val="24"/>
          <w:szCs w:val="24"/>
        </w:rPr>
        <w:t xml:space="preserve">          </w:t>
      </w:r>
      <w:r w:rsidR="0082542F" w:rsidRPr="002155E6">
        <w:rPr>
          <w:spacing w:val="-3"/>
          <w:sz w:val="24"/>
          <w:szCs w:val="24"/>
        </w:rPr>
        <w:tab/>
      </w:r>
      <w:r w:rsidR="000D4ED2">
        <w:rPr>
          <w:spacing w:val="-3"/>
          <w:sz w:val="24"/>
          <w:szCs w:val="24"/>
        </w:rPr>
        <w:tab/>
      </w:r>
      <w:r w:rsidRPr="002155E6">
        <w:rPr>
          <w:spacing w:val="-3"/>
          <w:sz w:val="24"/>
          <w:szCs w:val="24"/>
        </w:rPr>
        <w:t>50</w:t>
      </w:r>
    </w:p>
    <w:p w:rsidR="0082542F" w:rsidRPr="002155E6" w:rsidRDefault="0082542F" w:rsidP="00CB6DB0">
      <w:pPr>
        <w:suppressAutoHyphens/>
        <w:rPr>
          <w:spacing w:val="-3"/>
          <w:sz w:val="24"/>
          <w:szCs w:val="24"/>
        </w:rPr>
      </w:pPr>
      <w:r w:rsidRPr="002155E6">
        <w:rPr>
          <w:spacing w:val="-3"/>
          <w:sz w:val="24"/>
          <w:szCs w:val="24"/>
        </w:rPr>
        <w:tab/>
      </w:r>
      <w:r w:rsidRPr="002155E6">
        <w:rPr>
          <w:spacing w:val="-3"/>
          <w:sz w:val="24"/>
          <w:szCs w:val="24"/>
        </w:rPr>
        <w:tab/>
      </w:r>
      <w:r w:rsidRPr="002155E6">
        <w:rPr>
          <w:spacing w:val="-3"/>
          <w:sz w:val="24"/>
          <w:szCs w:val="24"/>
        </w:rPr>
        <w:tab/>
      </w:r>
      <w:r w:rsidRPr="002155E6">
        <w:rPr>
          <w:spacing w:val="-3"/>
          <w:sz w:val="24"/>
          <w:szCs w:val="24"/>
        </w:rPr>
        <w:tab/>
      </w:r>
      <w:r w:rsidR="00CB6DB0" w:rsidRPr="002155E6">
        <w:rPr>
          <w:spacing w:val="-3"/>
          <w:sz w:val="24"/>
          <w:szCs w:val="24"/>
        </w:rPr>
        <w:t xml:space="preserve">50 CSAs x 8 hours     =                        </w:t>
      </w:r>
      <w:r w:rsidRPr="002155E6">
        <w:rPr>
          <w:spacing w:val="-3"/>
          <w:sz w:val="24"/>
          <w:szCs w:val="24"/>
        </w:rPr>
        <w:tab/>
      </w:r>
      <w:r w:rsidR="000D4ED2">
        <w:rPr>
          <w:spacing w:val="-3"/>
          <w:sz w:val="24"/>
          <w:szCs w:val="24"/>
        </w:rPr>
        <w:tab/>
      </w:r>
      <w:r w:rsidR="00CB6DB0" w:rsidRPr="002155E6">
        <w:rPr>
          <w:spacing w:val="-3"/>
          <w:sz w:val="24"/>
          <w:szCs w:val="24"/>
        </w:rPr>
        <w:t>400</w:t>
      </w:r>
    </w:p>
    <w:p w:rsidR="0082542F" w:rsidRPr="002155E6" w:rsidRDefault="0082542F" w:rsidP="00CB6DB0">
      <w:pPr>
        <w:suppressAutoHyphens/>
        <w:rPr>
          <w:spacing w:val="-3"/>
          <w:sz w:val="24"/>
          <w:szCs w:val="24"/>
        </w:rPr>
      </w:pPr>
      <w:r w:rsidRPr="002155E6">
        <w:rPr>
          <w:spacing w:val="-3"/>
          <w:sz w:val="24"/>
          <w:szCs w:val="24"/>
        </w:rPr>
        <w:tab/>
      </w:r>
      <w:r w:rsidRPr="002155E6">
        <w:rPr>
          <w:spacing w:val="-3"/>
          <w:sz w:val="24"/>
          <w:szCs w:val="24"/>
        </w:rPr>
        <w:tab/>
      </w:r>
      <w:r w:rsidRPr="002155E6">
        <w:rPr>
          <w:spacing w:val="-3"/>
          <w:sz w:val="24"/>
          <w:szCs w:val="24"/>
        </w:rPr>
        <w:tab/>
      </w:r>
      <w:r w:rsidRPr="002155E6">
        <w:rPr>
          <w:spacing w:val="-3"/>
          <w:sz w:val="24"/>
          <w:szCs w:val="24"/>
        </w:rPr>
        <w:tab/>
      </w:r>
      <w:r w:rsidR="00994F92" w:rsidRPr="002155E6">
        <w:rPr>
          <w:spacing w:val="-3"/>
          <w:sz w:val="24"/>
          <w:szCs w:val="24"/>
        </w:rPr>
        <w:t>50 CSAs x 2 hours (consulting) =</w:t>
      </w:r>
      <w:r w:rsidR="00994F92" w:rsidRPr="002155E6">
        <w:rPr>
          <w:spacing w:val="-3"/>
          <w:sz w:val="24"/>
          <w:szCs w:val="24"/>
        </w:rPr>
        <w:tab/>
      </w:r>
      <w:r w:rsidR="000D4ED2">
        <w:rPr>
          <w:spacing w:val="-3"/>
          <w:sz w:val="24"/>
          <w:szCs w:val="24"/>
        </w:rPr>
        <w:tab/>
      </w:r>
      <w:r w:rsidR="00994F92" w:rsidRPr="002155E6">
        <w:rPr>
          <w:spacing w:val="-3"/>
          <w:sz w:val="24"/>
          <w:szCs w:val="24"/>
        </w:rPr>
        <w:t xml:space="preserve">100                                 </w:t>
      </w:r>
    </w:p>
    <w:p w:rsidR="00CB6DB0" w:rsidRPr="002155E6" w:rsidRDefault="0082542F" w:rsidP="00CB6DB0">
      <w:pPr>
        <w:suppressAutoHyphens/>
        <w:rPr>
          <w:spacing w:val="-3"/>
          <w:sz w:val="24"/>
          <w:szCs w:val="24"/>
        </w:rPr>
      </w:pPr>
      <w:r w:rsidRPr="002155E6">
        <w:rPr>
          <w:spacing w:val="-3"/>
          <w:sz w:val="24"/>
          <w:szCs w:val="24"/>
        </w:rPr>
        <w:tab/>
      </w:r>
      <w:r w:rsidRPr="002155E6">
        <w:rPr>
          <w:spacing w:val="-3"/>
          <w:sz w:val="24"/>
          <w:szCs w:val="24"/>
        </w:rPr>
        <w:tab/>
      </w:r>
      <w:r w:rsidRPr="002155E6">
        <w:rPr>
          <w:spacing w:val="-3"/>
          <w:sz w:val="24"/>
          <w:szCs w:val="24"/>
        </w:rPr>
        <w:tab/>
      </w:r>
      <w:r w:rsidRPr="002155E6">
        <w:rPr>
          <w:spacing w:val="-3"/>
          <w:sz w:val="24"/>
          <w:szCs w:val="24"/>
        </w:rPr>
        <w:tab/>
      </w:r>
      <w:r w:rsidR="00CB6DB0" w:rsidRPr="002155E6">
        <w:rPr>
          <w:spacing w:val="-3"/>
          <w:sz w:val="24"/>
          <w:szCs w:val="24"/>
        </w:rPr>
        <w:t>50 MVPD notification</w:t>
      </w:r>
      <w:r w:rsidR="00617B72">
        <w:rPr>
          <w:spacing w:val="-3"/>
          <w:sz w:val="24"/>
          <w:szCs w:val="24"/>
        </w:rPr>
        <w:t>s</w:t>
      </w:r>
      <w:r w:rsidR="00CB6DB0" w:rsidRPr="002155E6">
        <w:rPr>
          <w:spacing w:val="-3"/>
          <w:sz w:val="24"/>
          <w:szCs w:val="24"/>
        </w:rPr>
        <w:t xml:space="preserve"> x 2 hours</w:t>
      </w:r>
      <w:r w:rsidR="00994F92" w:rsidRPr="002155E6">
        <w:rPr>
          <w:spacing w:val="-3"/>
          <w:sz w:val="24"/>
          <w:szCs w:val="24"/>
        </w:rPr>
        <w:t xml:space="preserve"> =   </w:t>
      </w:r>
      <w:r w:rsidR="00994F92" w:rsidRPr="002155E6">
        <w:rPr>
          <w:spacing w:val="-3"/>
          <w:sz w:val="24"/>
          <w:szCs w:val="24"/>
        </w:rPr>
        <w:tab/>
      </w:r>
      <w:r w:rsidR="000D4ED2">
        <w:rPr>
          <w:spacing w:val="-3"/>
          <w:sz w:val="24"/>
          <w:szCs w:val="24"/>
        </w:rPr>
        <w:tab/>
      </w:r>
      <w:r w:rsidR="00994F92" w:rsidRPr="002155E6">
        <w:rPr>
          <w:spacing w:val="-3"/>
          <w:sz w:val="24"/>
          <w:szCs w:val="24"/>
          <w:u w:val="single"/>
        </w:rPr>
        <w:t>100</w:t>
      </w:r>
      <w:r w:rsidR="00CB6DB0" w:rsidRPr="002155E6">
        <w:rPr>
          <w:spacing w:val="-3"/>
          <w:sz w:val="24"/>
          <w:szCs w:val="24"/>
        </w:rPr>
        <w:t xml:space="preserve">                          </w:t>
      </w:r>
      <w:r w:rsidR="00C7191F" w:rsidRPr="002155E6">
        <w:rPr>
          <w:spacing w:val="-3"/>
          <w:sz w:val="24"/>
          <w:szCs w:val="24"/>
        </w:rPr>
        <w:t xml:space="preserve">   </w:t>
      </w:r>
      <w:r w:rsidR="000D5D48" w:rsidRPr="002155E6">
        <w:rPr>
          <w:spacing w:val="-3"/>
          <w:sz w:val="24"/>
          <w:szCs w:val="24"/>
        </w:rPr>
        <w:t xml:space="preserve">   </w:t>
      </w:r>
    </w:p>
    <w:p w:rsidR="00C7191F" w:rsidRPr="002155E6" w:rsidRDefault="0006684E" w:rsidP="00C7191F">
      <w:pPr>
        <w:suppressAutoHyphens/>
        <w:rPr>
          <w:spacing w:val="-3"/>
          <w:sz w:val="24"/>
          <w:szCs w:val="24"/>
        </w:rPr>
      </w:pPr>
      <w:r w:rsidRPr="002155E6">
        <w:rPr>
          <w:b/>
          <w:spacing w:val="-3"/>
          <w:sz w:val="24"/>
          <w:szCs w:val="24"/>
        </w:rPr>
        <w:t xml:space="preserve">                                                        </w:t>
      </w:r>
      <w:r w:rsidR="00C7191F" w:rsidRPr="002155E6">
        <w:rPr>
          <w:b/>
          <w:spacing w:val="-3"/>
          <w:sz w:val="24"/>
          <w:szCs w:val="24"/>
        </w:rPr>
        <w:t xml:space="preserve">Total Annual Burden Hours: </w:t>
      </w:r>
      <w:r w:rsidR="000D5D48" w:rsidRPr="002155E6">
        <w:rPr>
          <w:b/>
          <w:spacing w:val="-3"/>
          <w:sz w:val="24"/>
          <w:szCs w:val="24"/>
        </w:rPr>
        <w:t xml:space="preserve"> </w:t>
      </w:r>
      <w:r w:rsidR="0082542F" w:rsidRPr="002155E6">
        <w:rPr>
          <w:b/>
          <w:spacing w:val="-3"/>
          <w:sz w:val="24"/>
          <w:szCs w:val="24"/>
        </w:rPr>
        <w:tab/>
      </w:r>
      <w:r w:rsidR="000D4ED2">
        <w:rPr>
          <w:b/>
          <w:spacing w:val="-3"/>
          <w:sz w:val="24"/>
          <w:szCs w:val="24"/>
        </w:rPr>
        <w:tab/>
      </w:r>
      <w:r w:rsidRPr="002155E6">
        <w:rPr>
          <w:b/>
          <w:spacing w:val="-3"/>
          <w:sz w:val="24"/>
          <w:szCs w:val="24"/>
        </w:rPr>
        <w:t>4</w:t>
      </w:r>
      <w:r w:rsidR="00C7191F" w:rsidRPr="002155E6">
        <w:rPr>
          <w:b/>
          <w:spacing w:val="-3"/>
          <w:sz w:val="24"/>
          <w:szCs w:val="24"/>
        </w:rPr>
        <w:t>,</w:t>
      </w:r>
      <w:r w:rsidR="00FF7C93" w:rsidRPr="002155E6">
        <w:rPr>
          <w:b/>
          <w:spacing w:val="-3"/>
          <w:sz w:val="24"/>
          <w:szCs w:val="24"/>
        </w:rPr>
        <w:t>0</w:t>
      </w:r>
      <w:r w:rsidR="00476716">
        <w:rPr>
          <w:b/>
          <w:spacing w:val="-3"/>
          <w:sz w:val="24"/>
          <w:szCs w:val="24"/>
        </w:rPr>
        <w:t>50</w:t>
      </w:r>
      <w:r w:rsidR="00C7191F" w:rsidRPr="002155E6">
        <w:rPr>
          <w:b/>
          <w:spacing w:val="-3"/>
          <w:sz w:val="24"/>
          <w:szCs w:val="24"/>
        </w:rPr>
        <w:t xml:space="preserve"> hours</w:t>
      </w:r>
    </w:p>
    <w:p w:rsidR="0006684E" w:rsidRDefault="0006684E" w:rsidP="00E97D87">
      <w:pPr>
        <w:suppressAutoHyphens/>
        <w:rPr>
          <w:b/>
          <w:spacing w:val="-3"/>
          <w:sz w:val="24"/>
          <w:szCs w:val="24"/>
        </w:rPr>
      </w:pPr>
    </w:p>
    <w:p w:rsidR="00BB6457" w:rsidRDefault="00BB6457" w:rsidP="00E97D87">
      <w:pPr>
        <w:suppressAutoHyphens/>
        <w:rPr>
          <w:b/>
          <w:spacing w:val="-3"/>
          <w:sz w:val="24"/>
          <w:szCs w:val="24"/>
        </w:rPr>
      </w:pPr>
    </w:p>
    <w:p w:rsidR="00DB5CEF" w:rsidRDefault="00C7191F" w:rsidP="00DB5CEF">
      <w:pPr>
        <w:pStyle w:val="BodyText"/>
        <w:tabs>
          <w:tab w:val="left" w:pos="-1440"/>
          <w:tab w:val="left" w:pos="-720"/>
          <w:tab w:val="left" w:pos="2610"/>
          <w:tab w:val="left" w:pos="3150"/>
          <w:tab w:val="left" w:pos="4680"/>
          <w:tab w:val="left" w:pos="5940"/>
          <w:tab w:val="left" w:pos="6480"/>
        </w:tabs>
        <w:jc w:val="left"/>
        <w:rPr>
          <w:spacing w:val="-3"/>
          <w:szCs w:val="24"/>
        </w:rPr>
      </w:pPr>
      <w:r w:rsidRPr="002155E6">
        <w:rPr>
          <w:b/>
          <w:spacing w:val="-3"/>
          <w:szCs w:val="24"/>
        </w:rPr>
        <w:t>Annual “In House” Cost</w:t>
      </w:r>
      <w:r w:rsidRPr="002155E6">
        <w:rPr>
          <w:spacing w:val="-3"/>
          <w:szCs w:val="24"/>
        </w:rPr>
        <w:t xml:space="preserve">:   The respondent </w:t>
      </w:r>
      <w:r w:rsidR="00DB5CEF" w:rsidRPr="002155E6">
        <w:rPr>
          <w:spacing w:val="-3"/>
          <w:szCs w:val="24"/>
        </w:rPr>
        <w:t>and station engineer are estimat</w:t>
      </w:r>
      <w:r w:rsidRPr="002155E6">
        <w:rPr>
          <w:spacing w:val="-3"/>
          <w:szCs w:val="24"/>
        </w:rPr>
        <w:t>ed to have an average salary of $</w:t>
      </w:r>
      <w:r w:rsidR="000D5D48" w:rsidRPr="002155E6">
        <w:rPr>
          <w:spacing w:val="-3"/>
          <w:szCs w:val="24"/>
        </w:rPr>
        <w:t>10</w:t>
      </w:r>
      <w:r w:rsidRPr="002155E6">
        <w:rPr>
          <w:spacing w:val="-3"/>
          <w:szCs w:val="24"/>
        </w:rPr>
        <w:t>0,000/year ($</w:t>
      </w:r>
      <w:r w:rsidR="000D5D48" w:rsidRPr="002155E6">
        <w:rPr>
          <w:spacing w:val="-3"/>
          <w:szCs w:val="24"/>
        </w:rPr>
        <w:t>48.08</w:t>
      </w:r>
      <w:r w:rsidRPr="002155E6">
        <w:rPr>
          <w:spacing w:val="-3"/>
          <w:szCs w:val="24"/>
        </w:rPr>
        <w:t xml:space="preserve">/hour).   </w:t>
      </w:r>
    </w:p>
    <w:p w:rsidR="00E03FFE" w:rsidRDefault="00E03FFE" w:rsidP="00DB5CEF">
      <w:pPr>
        <w:pStyle w:val="BodyText"/>
        <w:tabs>
          <w:tab w:val="left" w:pos="-1440"/>
          <w:tab w:val="left" w:pos="-720"/>
          <w:tab w:val="left" w:pos="2610"/>
          <w:tab w:val="left" w:pos="3150"/>
          <w:tab w:val="left" w:pos="4680"/>
          <w:tab w:val="left" w:pos="5940"/>
          <w:tab w:val="left" w:pos="6480"/>
        </w:tabs>
        <w:jc w:val="left"/>
        <w:rPr>
          <w:spacing w:val="-3"/>
          <w:szCs w:val="24"/>
        </w:rPr>
      </w:pPr>
    </w:p>
    <w:p w:rsidR="00E03FFE" w:rsidRDefault="00E03FFE" w:rsidP="00DB5CEF">
      <w:pPr>
        <w:pStyle w:val="BodyText"/>
        <w:tabs>
          <w:tab w:val="left" w:pos="-1440"/>
          <w:tab w:val="left" w:pos="-720"/>
          <w:tab w:val="left" w:pos="2610"/>
          <w:tab w:val="left" w:pos="3150"/>
          <w:tab w:val="left" w:pos="4680"/>
          <w:tab w:val="left" w:pos="5940"/>
          <w:tab w:val="left" w:pos="6480"/>
        </w:tabs>
        <w:jc w:val="left"/>
        <w:rPr>
          <w:spacing w:val="-3"/>
          <w:szCs w:val="24"/>
        </w:rPr>
      </w:pPr>
    </w:p>
    <w:p w:rsidR="00E03FFE" w:rsidRPr="002155E6" w:rsidRDefault="00E03FFE" w:rsidP="00DB5CEF">
      <w:pPr>
        <w:pStyle w:val="BodyText"/>
        <w:tabs>
          <w:tab w:val="left" w:pos="-1440"/>
          <w:tab w:val="left" w:pos="-720"/>
          <w:tab w:val="left" w:pos="2610"/>
          <w:tab w:val="left" w:pos="3150"/>
          <w:tab w:val="left" w:pos="4680"/>
          <w:tab w:val="left" w:pos="5940"/>
          <w:tab w:val="left" w:pos="6480"/>
        </w:tabs>
        <w:jc w:val="left"/>
        <w:rPr>
          <w:spacing w:val="-3"/>
          <w:szCs w:val="24"/>
        </w:rPr>
      </w:pPr>
    </w:p>
    <w:p w:rsidR="00C7191F" w:rsidRPr="002155E6" w:rsidRDefault="00C7191F" w:rsidP="009F32ED">
      <w:pPr>
        <w:suppressAutoHyphens/>
        <w:rPr>
          <w:spacing w:val="-3"/>
          <w:sz w:val="24"/>
          <w:szCs w:val="24"/>
        </w:rPr>
      </w:pPr>
    </w:p>
    <w:p w:rsidR="007A472D" w:rsidRPr="002155E6" w:rsidRDefault="003868AB" w:rsidP="009F32ED">
      <w:pPr>
        <w:suppressAutoHyphens/>
        <w:rPr>
          <w:spacing w:val="-3"/>
          <w:sz w:val="24"/>
          <w:szCs w:val="24"/>
        </w:rPr>
      </w:pPr>
      <w:bookmarkStart w:id="1" w:name="OLE_LINK5"/>
      <w:bookmarkStart w:id="2" w:name="OLE_LINK6"/>
      <w:r w:rsidRPr="002155E6">
        <w:rPr>
          <w:spacing w:val="-3"/>
          <w:sz w:val="24"/>
          <w:szCs w:val="24"/>
        </w:rPr>
        <w:t>4</w:t>
      </w:r>
      <w:r w:rsidR="00FF7C93" w:rsidRPr="002155E6">
        <w:rPr>
          <w:spacing w:val="-3"/>
          <w:sz w:val="24"/>
          <w:szCs w:val="24"/>
        </w:rPr>
        <w:t>0</w:t>
      </w:r>
      <w:r w:rsidR="00DB5CEF" w:rsidRPr="002155E6">
        <w:rPr>
          <w:spacing w:val="-3"/>
          <w:sz w:val="24"/>
          <w:szCs w:val="24"/>
        </w:rPr>
        <w:t>0</w:t>
      </w:r>
      <w:r w:rsidRPr="002155E6">
        <w:rPr>
          <w:spacing w:val="-3"/>
          <w:sz w:val="24"/>
          <w:szCs w:val="24"/>
        </w:rPr>
        <w:t xml:space="preserve"> </w:t>
      </w:r>
      <w:r w:rsidR="007A472D" w:rsidRPr="002155E6">
        <w:rPr>
          <w:spacing w:val="-3"/>
          <w:sz w:val="24"/>
          <w:szCs w:val="24"/>
        </w:rPr>
        <w:t xml:space="preserve">major </w:t>
      </w:r>
      <w:r w:rsidR="00DB5CEF" w:rsidRPr="002155E6">
        <w:rPr>
          <w:spacing w:val="-3"/>
          <w:sz w:val="24"/>
          <w:szCs w:val="24"/>
        </w:rPr>
        <w:t>change</w:t>
      </w:r>
      <w:r w:rsidR="007A472D" w:rsidRPr="002155E6">
        <w:rPr>
          <w:spacing w:val="-3"/>
          <w:sz w:val="24"/>
          <w:szCs w:val="24"/>
        </w:rPr>
        <w:t xml:space="preserve"> x </w:t>
      </w:r>
      <w:r w:rsidR="004D72FA" w:rsidRPr="002155E6">
        <w:rPr>
          <w:spacing w:val="-3"/>
          <w:sz w:val="24"/>
          <w:szCs w:val="24"/>
        </w:rPr>
        <w:t>6</w:t>
      </w:r>
      <w:r w:rsidR="007A472D" w:rsidRPr="002155E6">
        <w:rPr>
          <w:spacing w:val="-3"/>
          <w:sz w:val="24"/>
          <w:szCs w:val="24"/>
        </w:rPr>
        <w:t xml:space="preserve"> hour</w:t>
      </w:r>
      <w:r w:rsidR="00C25686" w:rsidRPr="002155E6">
        <w:rPr>
          <w:spacing w:val="-3"/>
          <w:sz w:val="24"/>
          <w:szCs w:val="24"/>
        </w:rPr>
        <w:t>s</w:t>
      </w:r>
      <w:r w:rsidR="00DB5CEF" w:rsidRPr="002155E6">
        <w:rPr>
          <w:spacing w:val="-3"/>
          <w:sz w:val="24"/>
          <w:szCs w:val="24"/>
        </w:rPr>
        <w:t xml:space="preserve"> x </w:t>
      </w:r>
      <w:r w:rsidR="000D5D48" w:rsidRPr="002155E6">
        <w:rPr>
          <w:spacing w:val="-3"/>
          <w:sz w:val="24"/>
          <w:szCs w:val="24"/>
        </w:rPr>
        <w:t>48.08</w:t>
      </w:r>
      <w:r w:rsidR="007A472D" w:rsidRPr="002155E6">
        <w:rPr>
          <w:spacing w:val="-3"/>
          <w:sz w:val="24"/>
          <w:szCs w:val="24"/>
        </w:rPr>
        <w:t xml:space="preserve">/hour = </w:t>
      </w:r>
      <w:r w:rsidR="000D5D48" w:rsidRPr="002155E6">
        <w:rPr>
          <w:spacing w:val="-3"/>
          <w:sz w:val="24"/>
          <w:szCs w:val="24"/>
        </w:rPr>
        <w:t xml:space="preserve">     </w:t>
      </w:r>
      <w:r w:rsidR="00DB5CEF" w:rsidRPr="002155E6">
        <w:rPr>
          <w:spacing w:val="-3"/>
          <w:sz w:val="24"/>
          <w:szCs w:val="24"/>
        </w:rPr>
        <w:t xml:space="preserve">                </w:t>
      </w:r>
      <w:r w:rsidR="007A472D" w:rsidRPr="002155E6">
        <w:rPr>
          <w:spacing w:val="-3"/>
          <w:sz w:val="24"/>
          <w:szCs w:val="24"/>
        </w:rPr>
        <w:t>$</w:t>
      </w:r>
      <w:r w:rsidR="004D72FA" w:rsidRPr="002155E6">
        <w:rPr>
          <w:spacing w:val="-3"/>
          <w:sz w:val="24"/>
          <w:szCs w:val="24"/>
        </w:rPr>
        <w:t>1</w:t>
      </w:r>
      <w:r w:rsidR="00FF7C93" w:rsidRPr="002155E6">
        <w:rPr>
          <w:spacing w:val="-3"/>
          <w:sz w:val="24"/>
          <w:szCs w:val="24"/>
        </w:rPr>
        <w:t>15,392</w:t>
      </w:r>
    </w:p>
    <w:p w:rsidR="007A472D" w:rsidRPr="002155E6" w:rsidRDefault="003868AB" w:rsidP="009F32ED">
      <w:pPr>
        <w:suppressAutoHyphens/>
        <w:rPr>
          <w:spacing w:val="-3"/>
          <w:sz w:val="24"/>
          <w:szCs w:val="24"/>
          <w:u w:val="single"/>
        </w:rPr>
      </w:pPr>
      <w:r w:rsidRPr="002155E6">
        <w:rPr>
          <w:spacing w:val="-3"/>
          <w:sz w:val="24"/>
          <w:szCs w:val="24"/>
        </w:rPr>
        <w:t>4</w:t>
      </w:r>
      <w:r w:rsidR="00FF7C93" w:rsidRPr="002155E6">
        <w:rPr>
          <w:spacing w:val="-3"/>
          <w:sz w:val="24"/>
          <w:szCs w:val="24"/>
        </w:rPr>
        <w:t>0</w:t>
      </w:r>
      <w:r w:rsidR="00DB5CEF" w:rsidRPr="002155E6">
        <w:rPr>
          <w:spacing w:val="-3"/>
          <w:sz w:val="24"/>
          <w:szCs w:val="24"/>
        </w:rPr>
        <w:t>0</w:t>
      </w:r>
      <w:r w:rsidR="007A472D" w:rsidRPr="002155E6">
        <w:rPr>
          <w:spacing w:val="-3"/>
          <w:sz w:val="24"/>
          <w:szCs w:val="24"/>
        </w:rPr>
        <w:t xml:space="preserve"> major </w:t>
      </w:r>
      <w:r w:rsidR="00DB5CEF" w:rsidRPr="002155E6">
        <w:rPr>
          <w:spacing w:val="-3"/>
          <w:sz w:val="24"/>
          <w:szCs w:val="24"/>
        </w:rPr>
        <w:t xml:space="preserve">change </w:t>
      </w:r>
      <w:r w:rsidR="007A472D" w:rsidRPr="002155E6">
        <w:rPr>
          <w:spacing w:val="-3"/>
          <w:sz w:val="24"/>
          <w:szCs w:val="24"/>
        </w:rPr>
        <w:t>x 2</w:t>
      </w:r>
      <w:r w:rsidR="000D5D48" w:rsidRPr="002155E6">
        <w:rPr>
          <w:spacing w:val="-3"/>
          <w:sz w:val="24"/>
          <w:szCs w:val="24"/>
        </w:rPr>
        <w:t>.</w:t>
      </w:r>
      <w:r w:rsidR="004D72FA" w:rsidRPr="002155E6">
        <w:rPr>
          <w:spacing w:val="-3"/>
          <w:sz w:val="24"/>
          <w:szCs w:val="24"/>
        </w:rPr>
        <w:t>2</w:t>
      </w:r>
      <w:r w:rsidR="000D5D48" w:rsidRPr="002155E6">
        <w:rPr>
          <w:spacing w:val="-3"/>
          <w:sz w:val="24"/>
          <w:szCs w:val="24"/>
        </w:rPr>
        <w:t>5</w:t>
      </w:r>
      <w:r w:rsidR="007A472D" w:rsidRPr="002155E6">
        <w:rPr>
          <w:spacing w:val="-3"/>
          <w:sz w:val="24"/>
          <w:szCs w:val="24"/>
        </w:rPr>
        <w:t xml:space="preserve"> hours x $</w:t>
      </w:r>
      <w:r w:rsidR="00DB5CEF" w:rsidRPr="002155E6">
        <w:rPr>
          <w:spacing w:val="-3"/>
          <w:sz w:val="24"/>
          <w:szCs w:val="24"/>
        </w:rPr>
        <w:t>48.08</w:t>
      </w:r>
      <w:r w:rsidR="007A472D" w:rsidRPr="002155E6">
        <w:rPr>
          <w:spacing w:val="-3"/>
          <w:sz w:val="24"/>
          <w:szCs w:val="24"/>
        </w:rPr>
        <w:t xml:space="preserve">/hour = </w:t>
      </w:r>
      <w:r w:rsidR="00E97D87" w:rsidRPr="002155E6">
        <w:rPr>
          <w:spacing w:val="-3"/>
          <w:sz w:val="24"/>
          <w:szCs w:val="24"/>
        </w:rPr>
        <w:t xml:space="preserve">  </w:t>
      </w:r>
      <w:r w:rsidR="004D72FA" w:rsidRPr="002155E6">
        <w:rPr>
          <w:spacing w:val="-3"/>
          <w:sz w:val="24"/>
          <w:szCs w:val="24"/>
        </w:rPr>
        <w:t xml:space="preserve">            </w:t>
      </w:r>
      <w:r w:rsidR="00A66302" w:rsidRPr="002155E6">
        <w:rPr>
          <w:spacing w:val="-3"/>
          <w:sz w:val="24"/>
          <w:szCs w:val="24"/>
        </w:rPr>
        <w:t xml:space="preserve">  </w:t>
      </w:r>
      <w:r w:rsidR="001521C1" w:rsidRPr="002155E6">
        <w:rPr>
          <w:spacing w:val="-3"/>
          <w:sz w:val="24"/>
          <w:szCs w:val="24"/>
        </w:rPr>
        <w:t xml:space="preserve">  </w:t>
      </w:r>
      <w:r w:rsidR="00FF7C93" w:rsidRPr="002155E6">
        <w:rPr>
          <w:spacing w:val="-3"/>
          <w:sz w:val="24"/>
          <w:szCs w:val="24"/>
        </w:rPr>
        <w:t>43,272</w:t>
      </w:r>
      <w:r w:rsidR="00E27BD3" w:rsidRPr="002155E6">
        <w:rPr>
          <w:spacing w:val="-3"/>
          <w:sz w:val="24"/>
          <w:szCs w:val="24"/>
          <w:u w:val="single"/>
        </w:rPr>
        <w:t xml:space="preserve"> </w:t>
      </w:r>
      <w:r w:rsidR="000D5D48" w:rsidRPr="002155E6">
        <w:rPr>
          <w:spacing w:val="-3"/>
          <w:sz w:val="24"/>
          <w:szCs w:val="24"/>
          <w:u w:val="single"/>
        </w:rPr>
        <w:t xml:space="preserve"> </w:t>
      </w:r>
    </w:p>
    <w:p w:rsidR="00A73727" w:rsidRPr="002155E6" w:rsidRDefault="00A73727" w:rsidP="009F32ED">
      <w:pPr>
        <w:suppressAutoHyphens/>
        <w:rPr>
          <w:spacing w:val="-3"/>
          <w:sz w:val="24"/>
          <w:szCs w:val="24"/>
        </w:rPr>
      </w:pPr>
      <w:r w:rsidRPr="002155E6">
        <w:rPr>
          <w:spacing w:val="-3"/>
          <w:sz w:val="24"/>
          <w:szCs w:val="24"/>
        </w:rPr>
        <w:t xml:space="preserve">50 minor </w:t>
      </w:r>
      <w:r w:rsidR="00DB5CEF" w:rsidRPr="002155E6">
        <w:rPr>
          <w:spacing w:val="-3"/>
          <w:sz w:val="24"/>
          <w:szCs w:val="24"/>
        </w:rPr>
        <w:t>change</w:t>
      </w:r>
      <w:r w:rsidRPr="002155E6">
        <w:rPr>
          <w:spacing w:val="-3"/>
          <w:sz w:val="24"/>
          <w:szCs w:val="24"/>
        </w:rPr>
        <w:t xml:space="preserve"> x </w:t>
      </w:r>
      <w:r w:rsidR="001A3A0B" w:rsidRPr="002155E6">
        <w:rPr>
          <w:spacing w:val="-3"/>
          <w:sz w:val="24"/>
          <w:szCs w:val="24"/>
        </w:rPr>
        <w:t>2</w:t>
      </w:r>
      <w:r w:rsidRPr="002155E6">
        <w:rPr>
          <w:spacing w:val="-3"/>
          <w:sz w:val="24"/>
          <w:szCs w:val="24"/>
        </w:rPr>
        <w:t xml:space="preserve"> hour</w:t>
      </w:r>
      <w:r w:rsidR="001A3A0B" w:rsidRPr="002155E6">
        <w:rPr>
          <w:spacing w:val="-3"/>
          <w:sz w:val="24"/>
          <w:szCs w:val="24"/>
        </w:rPr>
        <w:t>s</w:t>
      </w:r>
      <w:r w:rsidRPr="002155E6">
        <w:rPr>
          <w:spacing w:val="-3"/>
          <w:sz w:val="24"/>
          <w:szCs w:val="24"/>
        </w:rPr>
        <w:t xml:space="preserve"> x $48.08/hour =</w:t>
      </w:r>
      <w:r w:rsidR="00DB5CEF" w:rsidRPr="002155E6">
        <w:rPr>
          <w:spacing w:val="-3"/>
          <w:sz w:val="24"/>
          <w:szCs w:val="24"/>
        </w:rPr>
        <w:t xml:space="preserve">                            4,808             </w:t>
      </w:r>
    </w:p>
    <w:p w:rsidR="00A73727" w:rsidRPr="002155E6" w:rsidRDefault="00A66302" w:rsidP="009F32ED">
      <w:pPr>
        <w:suppressAutoHyphens/>
        <w:rPr>
          <w:spacing w:val="-3"/>
          <w:sz w:val="24"/>
          <w:szCs w:val="24"/>
        </w:rPr>
      </w:pPr>
      <w:r w:rsidRPr="002155E6">
        <w:rPr>
          <w:spacing w:val="-3"/>
          <w:sz w:val="24"/>
          <w:szCs w:val="24"/>
        </w:rPr>
        <w:t xml:space="preserve">50 minor change x 1 hour x $48.08 =                                      2,404 </w:t>
      </w:r>
    </w:p>
    <w:p w:rsidR="00643FE1" w:rsidRPr="002155E6" w:rsidRDefault="00643FE1" w:rsidP="00643FE1">
      <w:pPr>
        <w:pStyle w:val="BodyText"/>
        <w:tabs>
          <w:tab w:val="left" w:pos="-1440"/>
          <w:tab w:val="left" w:pos="-720"/>
          <w:tab w:val="left" w:pos="2610"/>
          <w:tab w:val="left" w:pos="3150"/>
          <w:tab w:val="left" w:pos="4680"/>
          <w:tab w:val="left" w:pos="5940"/>
          <w:tab w:val="left" w:pos="6480"/>
        </w:tabs>
        <w:jc w:val="left"/>
        <w:rPr>
          <w:spacing w:val="-3"/>
          <w:szCs w:val="24"/>
        </w:rPr>
      </w:pPr>
      <w:r w:rsidRPr="002155E6">
        <w:rPr>
          <w:spacing w:val="-3"/>
          <w:szCs w:val="24"/>
        </w:rPr>
        <w:t xml:space="preserve">50 CSAs x 8 hours x $48.08/hour = </w:t>
      </w:r>
      <w:r w:rsidR="00A66302" w:rsidRPr="002155E6">
        <w:rPr>
          <w:spacing w:val="-3"/>
          <w:szCs w:val="24"/>
        </w:rPr>
        <w:t xml:space="preserve">                                      19,232</w:t>
      </w:r>
    </w:p>
    <w:p w:rsidR="0082542F" w:rsidRPr="002155E6" w:rsidRDefault="0082542F" w:rsidP="00643FE1">
      <w:pPr>
        <w:pStyle w:val="BodyText"/>
        <w:tabs>
          <w:tab w:val="left" w:pos="-1440"/>
          <w:tab w:val="left" w:pos="-720"/>
          <w:tab w:val="left" w:pos="2610"/>
          <w:tab w:val="left" w:pos="3150"/>
          <w:tab w:val="left" w:pos="4680"/>
          <w:tab w:val="left" w:pos="5940"/>
          <w:tab w:val="left" w:pos="6480"/>
        </w:tabs>
        <w:jc w:val="left"/>
        <w:rPr>
          <w:spacing w:val="-3"/>
          <w:szCs w:val="24"/>
        </w:rPr>
      </w:pPr>
      <w:r w:rsidRPr="002155E6">
        <w:rPr>
          <w:spacing w:val="-3"/>
          <w:szCs w:val="24"/>
        </w:rPr>
        <w:t>50 CSAs x 2 hours (consulting) x $48.08 =</w:t>
      </w:r>
      <w:r w:rsidRPr="002155E6">
        <w:rPr>
          <w:spacing w:val="-3"/>
          <w:szCs w:val="24"/>
        </w:rPr>
        <w:tab/>
        <w:t xml:space="preserve">                 4,808</w:t>
      </w:r>
    </w:p>
    <w:p w:rsidR="00285F62" w:rsidRPr="002155E6" w:rsidRDefault="00285F62" w:rsidP="00643FE1">
      <w:pPr>
        <w:pStyle w:val="BodyText"/>
        <w:tabs>
          <w:tab w:val="left" w:pos="-1440"/>
          <w:tab w:val="left" w:pos="-720"/>
          <w:tab w:val="left" w:pos="2610"/>
          <w:tab w:val="left" w:pos="3150"/>
          <w:tab w:val="left" w:pos="4680"/>
          <w:tab w:val="left" w:pos="5940"/>
          <w:tab w:val="left" w:pos="6480"/>
        </w:tabs>
        <w:jc w:val="left"/>
        <w:rPr>
          <w:spacing w:val="-3"/>
          <w:szCs w:val="24"/>
        </w:rPr>
      </w:pPr>
      <w:r w:rsidRPr="002155E6">
        <w:rPr>
          <w:spacing w:val="-3"/>
          <w:szCs w:val="24"/>
        </w:rPr>
        <w:t>50 MVPD notification x 2 hours x $48.08 =</w:t>
      </w:r>
      <w:r w:rsidR="00A66302" w:rsidRPr="002155E6">
        <w:rPr>
          <w:spacing w:val="-3"/>
          <w:szCs w:val="24"/>
        </w:rPr>
        <w:t xml:space="preserve">                            </w:t>
      </w:r>
      <w:r w:rsidR="00A66302" w:rsidRPr="002155E6">
        <w:rPr>
          <w:spacing w:val="-3"/>
          <w:szCs w:val="24"/>
          <w:u w:val="single"/>
        </w:rPr>
        <w:t>4,808</w:t>
      </w:r>
    </w:p>
    <w:bookmarkEnd w:id="1"/>
    <w:bookmarkEnd w:id="2"/>
    <w:p w:rsidR="007A472D" w:rsidRPr="002155E6" w:rsidRDefault="00783611" w:rsidP="005B69B1">
      <w:pPr>
        <w:tabs>
          <w:tab w:val="left" w:pos="3840"/>
        </w:tabs>
        <w:suppressAutoHyphens/>
        <w:rPr>
          <w:b/>
          <w:spacing w:val="-3"/>
          <w:sz w:val="24"/>
          <w:szCs w:val="24"/>
        </w:rPr>
      </w:pPr>
      <w:r w:rsidRPr="002155E6">
        <w:rPr>
          <w:spacing w:val="-3"/>
          <w:sz w:val="24"/>
          <w:szCs w:val="24"/>
        </w:rPr>
        <w:t xml:space="preserve">                                               </w:t>
      </w:r>
      <w:r w:rsidR="007C3956" w:rsidRPr="002155E6">
        <w:rPr>
          <w:b/>
          <w:spacing w:val="-3"/>
          <w:sz w:val="24"/>
          <w:szCs w:val="24"/>
        </w:rPr>
        <w:t xml:space="preserve">Annual </w:t>
      </w:r>
      <w:r w:rsidR="00E27BD3" w:rsidRPr="002155E6">
        <w:rPr>
          <w:b/>
          <w:spacing w:val="-3"/>
          <w:sz w:val="24"/>
          <w:szCs w:val="24"/>
        </w:rPr>
        <w:t>“</w:t>
      </w:r>
      <w:r w:rsidR="007C3956" w:rsidRPr="002155E6">
        <w:rPr>
          <w:b/>
          <w:spacing w:val="-3"/>
          <w:sz w:val="24"/>
          <w:szCs w:val="24"/>
        </w:rPr>
        <w:t>In House</w:t>
      </w:r>
      <w:r w:rsidR="00E27BD3" w:rsidRPr="002155E6">
        <w:rPr>
          <w:b/>
          <w:spacing w:val="-3"/>
          <w:sz w:val="24"/>
          <w:szCs w:val="24"/>
        </w:rPr>
        <w:t>”</w:t>
      </w:r>
      <w:r w:rsidR="007C3956" w:rsidRPr="002155E6">
        <w:rPr>
          <w:b/>
          <w:spacing w:val="-3"/>
          <w:sz w:val="24"/>
          <w:szCs w:val="24"/>
        </w:rPr>
        <w:t xml:space="preserve"> C</w:t>
      </w:r>
      <w:r w:rsidR="002548CE" w:rsidRPr="002155E6">
        <w:rPr>
          <w:b/>
          <w:spacing w:val="-3"/>
          <w:sz w:val="24"/>
          <w:szCs w:val="24"/>
        </w:rPr>
        <w:t>ost</w:t>
      </w:r>
      <w:r w:rsidR="007A472D" w:rsidRPr="002155E6">
        <w:rPr>
          <w:b/>
          <w:spacing w:val="-3"/>
          <w:sz w:val="24"/>
          <w:szCs w:val="24"/>
        </w:rPr>
        <w:t>:</w:t>
      </w:r>
      <w:r w:rsidR="00E27BD3" w:rsidRPr="002155E6">
        <w:rPr>
          <w:b/>
          <w:spacing w:val="-3"/>
          <w:sz w:val="24"/>
          <w:szCs w:val="24"/>
        </w:rPr>
        <w:t xml:space="preserve"> </w:t>
      </w:r>
      <w:r w:rsidR="007A472D" w:rsidRPr="002155E6">
        <w:rPr>
          <w:b/>
          <w:spacing w:val="-3"/>
          <w:sz w:val="24"/>
          <w:szCs w:val="24"/>
        </w:rPr>
        <w:t xml:space="preserve"> $</w:t>
      </w:r>
      <w:r w:rsidR="00FF7C93" w:rsidRPr="002155E6">
        <w:rPr>
          <w:b/>
          <w:spacing w:val="-3"/>
          <w:sz w:val="24"/>
          <w:szCs w:val="24"/>
        </w:rPr>
        <w:t>19</w:t>
      </w:r>
      <w:r w:rsidR="00476716">
        <w:rPr>
          <w:b/>
          <w:spacing w:val="-3"/>
          <w:sz w:val="24"/>
          <w:szCs w:val="24"/>
        </w:rPr>
        <w:t>4,724</w:t>
      </w:r>
    </w:p>
    <w:p w:rsidR="007A472D" w:rsidRPr="002155E6" w:rsidRDefault="007A472D" w:rsidP="009F32ED">
      <w:pPr>
        <w:suppressAutoHyphens/>
        <w:rPr>
          <w:spacing w:val="-3"/>
          <w:sz w:val="24"/>
          <w:szCs w:val="24"/>
        </w:rPr>
      </w:pPr>
    </w:p>
    <w:p w:rsidR="00926225" w:rsidRPr="002155E6" w:rsidRDefault="00926225" w:rsidP="00926225">
      <w:pPr>
        <w:suppressAutoHyphens/>
        <w:rPr>
          <w:spacing w:val="-3"/>
          <w:sz w:val="24"/>
          <w:szCs w:val="24"/>
        </w:rPr>
      </w:pPr>
      <w:r w:rsidRPr="002155E6">
        <w:rPr>
          <w:spacing w:val="-3"/>
          <w:sz w:val="24"/>
          <w:szCs w:val="24"/>
        </w:rPr>
        <w:t>These estimates are based on FCC staff's knowledge and familiarity with the availability of the data required.</w:t>
      </w:r>
    </w:p>
    <w:p w:rsidR="00C328AB" w:rsidRPr="002155E6" w:rsidRDefault="00C328AB" w:rsidP="009F32ED">
      <w:pPr>
        <w:suppressAutoHyphens/>
        <w:rPr>
          <w:spacing w:val="-3"/>
          <w:sz w:val="24"/>
          <w:szCs w:val="24"/>
        </w:rPr>
      </w:pPr>
    </w:p>
    <w:p w:rsidR="0038091D" w:rsidRPr="002155E6" w:rsidRDefault="007A472D" w:rsidP="009F32ED">
      <w:pPr>
        <w:pStyle w:val="BodyText"/>
        <w:jc w:val="left"/>
        <w:rPr>
          <w:szCs w:val="24"/>
        </w:rPr>
      </w:pPr>
      <w:r w:rsidRPr="002155E6">
        <w:rPr>
          <w:szCs w:val="24"/>
        </w:rPr>
        <w:t xml:space="preserve">13.  </w:t>
      </w:r>
      <w:r w:rsidRPr="002155E6">
        <w:rPr>
          <w:b/>
          <w:szCs w:val="24"/>
        </w:rPr>
        <w:t xml:space="preserve">Annual Cost </w:t>
      </w:r>
      <w:r w:rsidR="003F33A9" w:rsidRPr="002155E6">
        <w:rPr>
          <w:b/>
          <w:szCs w:val="24"/>
        </w:rPr>
        <w:t>Burden</w:t>
      </w:r>
      <w:r w:rsidRPr="002155E6">
        <w:rPr>
          <w:szCs w:val="24"/>
        </w:rPr>
        <w:t xml:space="preserve">:  </w:t>
      </w:r>
      <w:r w:rsidR="00783611" w:rsidRPr="002155E6">
        <w:rPr>
          <w:szCs w:val="24"/>
        </w:rPr>
        <w:t>The r</w:t>
      </w:r>
      <w:r w:rsidRPr="002155E6">
        <w:rPr>
          <w:szCs w:val="24"/>
        </w:rPr>
        <w:t xml:space="preserve">espondent </w:t>
      </w:r>
      <w:r w:rsidR="00783611" w:rsidRPr="002155E6">
        <w:rPr>
          <w:szCs w:val="24"/>
        </w:rPr>
        <w:t xml:space="preserve">will </w:t>
      </w:r>
      <w:r w:rsidR="000819DF" w:rsidRPr="002155E6">
        <w:rPr>
          <w:szCs w:val="24"/>
        </w:rPr>
        <w:t xml:space="preserve">also </w:t>
      </w:r>
      <w:r w:rsidR="00783611" w:rsidRPr="002155E6">
        <w:rPr>
          <w:szCs w:val="24"/>
        </w:rPr>
        <w:t xml:space="preserve">use </w:t>
      </w:r>
      <w:r w:rsidRPr="002155E6">
        <w:rPr>
          <w:szCs w:val="24"/>
        </w:rPr>
        <w:t>a</w:t>
      </w:r>
      <w:r w:rsidR="00783611" w:rsidRPr="002155E6">
        <w:rPr>
          <w:szCs w:val="24"/>
        </w:rPr>
        <w:t xml:space="preserve"> consulting</w:t>
      </w:r>
      <w:r w:rsidRPr="002155E6">
        <w:rPr>
          <w:szCs w:val="24"/>
        </w:rPr>
        <w:t xml:space="preserve"> attorney </w:t>
      </w:r>
      <w:r w:rsidR="00783611" w:rsidRPr="002155E6">
        <w:rPr>
          <w:szCs w:val="24"/>
        </w:rPr>
        <w:t xml:space="preserve">($300/hour) </w:t>
      </w:r>
      <w:r w:rsidRPr="002155E6">
        <w:rPr>
          <w:szCs w:val="24"/>
        </w:rPr>
        <w:t>and engineer</w:t>
      </w:r>
      <w:r w:rsidR="00783611" w:rsidRPr="002155E6">
        <w:rPr>
          <w:szCs w:val="24"/>
        </w:rPr>
        <w:t xml:space="preserve"> ($250/hour)</w:t>
      </w:r>
      <w:r w:rsidRPr="002155E6">
        <w:rPr>
          <w:szCs w:val="24"/>
        </w:rPr>
        <w:t xml:space="preserve"> in </w:t>
      </w:r>
      <w:r w:rsidR="000819DF" w:rsidRPr="002155E6">
        <w:rPr>
          <w:szCs w:val="24"/>
        </w:rPr>
        <w:t xml:space="preserve">the </w:t>
      </w:r>
      <w:r w:rsidRPr="002155E6">
        <w:rPr>
          <w:b/>
          <w:szCs w:val="24"/>
        </w:rPr>
        <w:t xml:space="preserve">preparation and filing of the FCC </w:t>
      </w:r>
      <w:r w:rsidR="00C328AB" w:rsidRPr="002155E6">
        <w:rPr>
          <w:b/>
          <w:szCs w:val="24"/>
        </w:rPr>
        <w:t xml:space="preserve">Form </w:t>
      </w:r>
      <w:r w:rsidR="001521C1" w:rsidRPr="002155E6">
        <w:rPr>
          <w:b/>
          <w:szCs w:val="24"/>
        </w:rPr>
        <w:t xml:space="preserve">2100, Schedule </w:t>
      </w:r>
      <w:r w:rsidR="00AD2457" w:rsidRPr="002155E6">
        <w:rPr>
          <w:b/>
          <w:szCs w:val="24"/>
        </w:rPr>
        <w:t>E (major change applications and minor change applications)</w:t>
      </w:r>
      <w:r w:rsidRPr="002155E6">
        <w:rPr>
          <w:szCs w:val="24"/>
        </w:rPr>
        <w:t xml:space="preserve">.  </w:t>
      </w:r>
      <w:r w:rsidR="00C328AB" w:rsidRPr="002155E6">
        <w:rPr>
          <w:szCs w:val="24"/>
        </w:rPr>
        <w:t>The</w:t>
      </w:r>
      <w:r w:rsidR="007410A0" w:rsidRPr="002155E6">
        <w:rPr>
          <w:szCs w:val="24"/>
        </w:rPr>
        <w:t xml:space="preserve"> attorney will require one </w:t>
      </w:r>
      <w:r w:rsidR="00AD2457" w:rsidRPr="002155E6">
        <w:rPr>
          <w:szCs w:val="24"/>
        </w:rPr>
        <w:t xml:space="preserve">hour </w:t>
      </w:r>
      <w:r w:rsidR="007410A0" w:rsidRPr="002155E6">
        <w:rPr>
          <w:szCs w:val="24"/>
        </w:rPr>
        <w:t xml:space="preserve">of </w:t>
      </w:r>
      <w:r w:rsidR="000819DF" w:rsidRPr="002155E6">
        <w:rPr>
          <w:szCs w:val="24"/>
        </w:rPr>
        <w:t>legal review</w:t>
      </w:r>
      <w:r w:rsidR="007410A0" w:rsidRPr="002155E6">
        <w:rPr>
          <w:szCs w:val="24"/>
        </w:rPr>
        <w:t xml:space="preserve"> time and the engineer requires</w:t>
      </w:r>
      <w:r w:rsidR="00C328AB" w:rsidRPr="002155E6">
        <w:rPr>
          <w:szCs w:val="24"/>
        </w:rPr>
        <w:t xml:space="preserve"> </w:t>
      </w:r>
      <w:r w:rsidR="007E6A69" w:rsidRPr="002155E6">
        <w:rPr>
          <w:szCs w:val="24"/>
        </w:rPr>
        <w:t>12 hours</w:t>
      </w:r>
      <w:r w:rsidR="00AD2457" w:rsidRPr="002155E6">
        <w:rPr>
          <w:szCs w:val="24"/>
        </w:rPr>
        <w:t xml:space="preserve"> of engineering time for </w:t>
      </w:r>
      <w:r w:rsidR="00AD2457" w:rsidRPr="002155E6">
        <w:rPr>
          <w:b/>
          <w:szCs w:val="24"/>
        </w:rPr>
        <w:t xml:space="preserve">major change applications.  For minor change applications, </w:t>
      </w:r>
      <w:r w:rsidR="00AD2457" w:rsidRPr="002155E6">
        <w:rPr>
          <w:szCs w:val="24"/>
        </w:rPr>
        <w:t>the processing time needed is 0.5 hours for the attorney and 0.5 for the engineer</w:t>
      </w:r>
      <w:r w:rsidR="007410A0" w:rsidRPr="002155E6">
        <w:rPr>
          <w:szCs w:val="24"/>
        </w:rPr>
        <w:t>.</w:t>
      </w:r>
      <w:r w:rsidRPr="002155E6">
        <w:rPr>
          <w:szCs w:val="24"/>
        </w:rPr>
        <w:t xml:space="preserve">  </w:t>
      </w:r>
      <w:r w:rsidR="00B0628A" w:rsidRPr="002155E6">
        <w:rPr>
          <w:b/>
          <w:szCs w:val="24"/>
        </w:rPr>
        <w:t>For CSA</w:t>
      </w:r>
      <w:r w:rsidR="000819DF" w:rsidRPr="002155E6">
        <w:rPr>
          <w:b/>
          <w:szCs w:val="24"/>
        </w:rPr>
        <w:t>s</w:t>
      </w:r>
      <w:r w:rsidR="00B0628A" w:rsidRPr="002155E6">
        <w:rPr>
          <w:b/>
          <w:szCs w:val="24"/>
        </w:rPr>
        <w:t xml:space="preserve">, </w:t>
      </w:r>
      <w:r w:rsidR="00B0628A" w:rsidRPr="002155E6">
        <w:rPr>
          <w:szCs w:val="24"/>
        </w:rPr>
        <w:t xml:space="preserve">the </w:t>
      </w:r>
      <w:r w:rsidR="00B0628A" w:rsidRPr="002155E6">
        <w:rPr>
          <w:spacing w:val="-3"/>
          <w:szCs w:val="24"/>
        </w:rPr>
        <w:t xml:space="preserve">consulting attorney will require </w:t>
      </w:r>
      <w:r w:rsidR="00285F62" w:rsidRPr="002155E6">
        <w:rPr>
          <w:spacing w:val="-3"/>
          <w:szCs w:val="24"/>
        </w:rPr>
        <w:t>2 hours</w:t>
      </w:r>
      <w:r w:rsidR="000819DF" w:rsidRPr="002155E6">
        <w:rPr>
          <w:spacing w:val="-3"/>
          <w:szCs w:val="24"/>
        </w:rPr>
        <w:t xml:space="preserve"> to prepare these responses</w:t>
      </w:r>
      <w:r w:rsidR="00B0628A" w:rsidRPr="002155E6">
        <w:rPr>
          <w:spacing w:val="-3"/>
          <w:szCs w:val="24"/>
        </w:rPr>
        <w:t>.</w:t>
      </w:r>
      <w:r w:rsidR="00285F62" w:rsidRPr="002155E6">
        <w:rPr>
          <w:spacing w:val="-3"/>
          <w:szCs w:val="24"/>
        </w:rPr>
        <w:t xml:space="preserve"> </w:t>
      </w:r>
    </w:p>
    <w:p w:rsidR="0038091D" w:rsidRPr="002155E6" w:rsidRDefault="0038091D" w:rsidP="009F32ED">
      <w:pPr>
        <w:pStyle w:val="BodyText"/>
        <w:jc w:val="left"/>
        <w:rPr>
          <w:szCs w:val="24"/>
        </w:rPr>
      </w:pPr>
    </w:p>
    <w:p w:rsidR="007A472D" w:rsidRPr="002155E6" w:rsidRDefault="00B0628A" w:rsidP="009F32ED">
      <w:pPr>
        <w:pStyle w:val="BodyText"/>
        <w:jc w:val="left"/>
        <w:rPr>
          <w:szCs w:val="24"/>
        </w:rPr>
      </w:pPr>
      <w:r w:rsidRPr="002155E6">
        <w:rPr>
          <w:szCs w:val="24"/>
        </w:rPr>
        <w:t xml:space="preserve">An </w:t>
      </w:r>
      <w:r w:rsidRPr="002155E6">
        <w:rPr>
          <w:b/>
          <w:szCs w:val="24"/>
        </w:rPr>
        <w:t>application fee of $3,245</w:t>
      </w:r>
      <w:r w:rsidRPr="002155E6">
        <w:rPr>
          <w:szCs w:val="24"/>
        </w:rPr>
        <w:t xml:space="preserve"> is required </w:t>
      </w:r>
      <w:r w:rsidR="007E6A69" w:rsidRPr="002155E6">
        <w:rPr>
          <w:szCs w:val="24"/>
        </w:rPr>
        <w:t>for</w:t>
      </w:r>
      <w:r w:rsidR="007A472D" w:rsidRPr="002155E6">
        <w:rPr>
          <w:szCs w:val="24"/>
        </w:rPr>
        <w:t xml:space="preserve"> a </w:t>
      </w:r>
      <w:r w:rsidR="007A472D" w:rsidRPr="002155E6">
        <w:rPr>
          <w:b/>
          <w:szCs w:val="24"/>
        </w:rPr>
        <w:t>major change</w:t>
      </w:r>
      <w:r w:rsidR="007A472D" w:rsidRPr="002155E6">
        <w:rPr>
          <w:szCs w:val="24"/>
        </w:rPr>
        <w:t xml:space="preserve"> </w:t>
      </w:r>
      <w:r w:rsidR="000819DF" w:rsidRPr="002155E6">
        <w:rPr>
          <w:b/>
          <w:szCs w:val="24"/>
        </w:rPr>
        <w:t>applications</w:t>
      </w:r>
      <w:r w:rsidR="000819DF" w:rsidRPr="002155E6">
        <w:rPr>
          <w:szCs w:val="24"/>
        </w:rPr>
        <w:t xml:space="preserve"> </w:t>
      </w:r>
      <w:r w:rsidR="007A472D" w:rsidRPr="002155E6">
        <w:rPr>
          <w:szCs w:val="24"/>
        </w:rPr>
        <w:t>in a Class A television.  The</w:t>
      </w:r>
      <w:r w:rsidRPr="002155E6">
        <w:rPr>
          <w:szCs w:val="24"/>
        </w:rPr>
        <w:t xml:space="preserve"> application fee of </w:t>
      </w:r>
      <w:r w:rsidR="007E6A69" w:rsidRPr="002155E6">
        <w:rPr>
          <w:b/>
          <w:szCs w:val="24"/>
        </w:rPr>
        <w:t xml:space="preserve">$725 </w:t>
      </w:r>
      <w:r w:rsidR="007A472D" w:rsidRPr="002155E6">
        <w:rPr>
          <w:b/>
          <w:szCs w:val="24"/>
        </w:rPr>
        <w:t>fee</w:t>
      </w:r>
      <w:r w:rsidR="007A472D" w:rsidRPr="002155E6">
        <w:rPr>
          <w:szCs w:val="24"/>
        </w:rPr>
        <w:t xml:space="preserve"> </w:t>
      </w:r>
      <w:r w:rsidRPr="002155E6">
        <w:rPr>
          <w:szCs w:val="24"/>
        </w:rPr>
        <w:t xml:space="preserve">is </w:t>
      </w:r>
      <w:r w:rsidR="007E6A69" w:rsidRPr="002155E6">
        <w:rPr>
          <w:szCs w:val="24"/>
        </w:rPr>
        <w:t xml:space="preserve">required for a </w:t>
      </w:r>
      <w:r w:rsidR="007E6A69" w:rsidRPr="002155E6">
        <w:rPr>
          <w:b/>
          <w:szCs w:val="24"/>
        </w:rPr>
        <w:t>minor change</w:t>
      </w:r>
      <w:r w:rsidR="000819DF" w:rsidRPr="002155E6">
        <w:rPr>
          <w:b/>
          <w:szCs w:val="24"/>
        </w:rPr>
        <w:t xml:space="preserve"> applications</w:t>
      </w:r>
      <w:r w:rsidR="00A73727" w:rsidRPr="002155E6">
        <w:rPr>
          <w:szCs w:val="24"/>
        </w:rPr>
        <w:t xml:space="preserve"> to channel share.</w:t>
      </w:r>
      <w:r w:rsidR="007A472D" w:rsidRPr="002155E6">
        <w:rPr>
          <w:szCs w:val="24"/>
        </w:rPr>
        <w:t xml:space="preserve">  </w:t>
      </w:r>
    </w:p>
    <w:p w:rsidR="007A472D" w:rsidRPr="002155E6" w:rsidRDefault="007A472D" w:rsidP="009F32ED">
      <w:pPr>
        <w:suppressAutoHyphens/>
        <w:rPr>
          <w:spacing w:val="-3"/>
          <w:sz w:val="24"/>
          <w:szCs w:val="24"/>
        </w:rPr>
      </w:pPr>
    </w:p>
    <w:p w:rsidR="007A472D" w:rsidRPr="002155E6" w:rsidRDefault="00740345" w:rsidP="009F32ED">
      <w:pPr>
        <w:pStyle w:val="BodyText"/>
        <w:tabs>
          <w:tab w:val="left" w:pos="-1440"/>
          <w:tab w:val="left" w:pos="-720"/>
          <w:tab w:val="left" w:pos="2610"/>
          <w:tab w:val="left" w:pos="3150"/>
          <w:tab w:val="left" w:pos="4680"/>
          <w:tab w:val="left" w:pos="5940"/>
          <w:tab w:val="left" w:pos="6480"/>
        </w:tabs>
        <w:jc w:val="left"/>
        <w:rPr>
          <w:spacing w:val="-3"/>
          <w:szCs w:val="24"/>
        </w:rPr>
      </w:pPr>
      <w:r w:rsidRPr="002155E6">
        <w:rPr>
          <w:b/>
          <w:spacing w:val="-3"/>
          <w:szCs w:val="24"/>
        </w:rPr>
        <w:t xml:space="preserve">For </w:t>
      </w:r>
      <w:r w:rsidR="007A472D" w:rsidRPr="002155E6">
        <w:rPr>
          <w:b/>
          <w:spacing w:val="-3"/>
          <w:szCs w:val="24"/>
        </w:rPr>
        <w:t>Class A applicant</w:t>
      </w:r>
      <w:r w:rsidRPr="002155E6">
        <w:rPr>
          <w:b/>
          <w:spacing w:val="-3"/>
          <w:szCs w:val="24"/>
        </w:rPr>
        <w:t>s</w:t>
      </w:r>
      <w:r w:rsidR="000819DF" w:rsidRPr="002155E6">
        <w:rPr>
          <w:b/>
          <w:spacing w:val="-3"/>
          <w:szCs w:val="24"/>
        </w:rPr>
        <w:t xml:space="preserve"> (major applicants</w:t>
      </w:r>
      <w:r w:rsidR="00476716">
        <w:rPr>
          <w:b/>
          <w:spacing w:val="-3"/>
          <w:szCs w:val="24"/>
        </w:rPr>
        <w:t xml:space="preserve"> only</w:t>
      </w:r>
      <w:r w:rsidR="000819DF" w:rsidRPr="002155E6">
        <w:rPr>
          <w:b/>
          <w:spacing w:val="-3"/>
          <w:szCs w:val="24"/>
        </w:rPr>
        <w:t>)</w:t>
      </w:r>
      <w:r w:rsidRPr="002155E6">
        <w:rPr>
          <w:b/>
          <w:spacing w:val="-3"/>
          <w:szCs w:val="24"/>
        </w:rPr>
        <w:t xml:space="preserve">, </w:t>
      </w:r>
      <w:r w:rsidRPr="002155E6">
        <w:rPr>
          <w:spacing w:val="-3"/>
          <w:szCs w:val="24"/>
        </w:rPr>
        <w:t>they</w:t>
      </w:r>
      <w:r w:rsidR="007A472D" w:rsidRPr="002155E6">
        <w:rPr>
          <w:spacing w:val="-3"/>
          <w:szCs w:val="24"/>
        </w:rPr>
        <w:t xml:space="preserve"> must give local public notice of the filing of its application</w:t>
      </w:r>
      <w:r w:rsidRPr="002155E6">
        <w:rPr>
          <w:spacing w:val="-3"/>
          <w:szCs w:val="24"/>
        </w:rPr>
        <w:t xml:space="preserve"> </w:t>
      </w:r>
      <w:r w:rsidR="007A472D" w:rsidRPr="002155E6">
        <w:rPr>
          <w:spacing w:val="-3"/>
          <w:szCs w:val="24"/>
        </w:rPr>
        <w:t xml:space="preserve">in a local newspaper of general circulation at least twice a week for two consecutive weeks in a three-week period.  The </w:t>
      </w:r>
      <w:r w:rsidR="007E6A69" w:rsidRPr="002155E6">
        <w:rPr>
          <w:spacing w:val="-3"/>
          <w:szCs w:val="24"/>
        </w:rPr>
        <w:t>cost is</w:t>
      </w:r>
      <w:r w:rsidR="007A472D" w:rsidRPr="002155E6">
        <w:rPr>
          <w:spacing w:val="-3"/>
          <w:szCs w:val="24"/>
        </w:rPr>
        <w:t xml:space="preserve"> estimated</w:t>
      </w:r>
      <w:r w:rsidR="007E6A69" w:rsidRPr="002155E6">
        <w:rPr>
          <w:spacing w:val="-3"/>
          <w:szCs w:val="24"/>
        </w:rPr>
        <w:t xml:space="preserve"> at</w:t>
      </w:r>
      <w:r w:rsidR="007A472D" w:rsidRPr="002155E6">
        <w:rPr>
          <w:spacing w:val="-3"/>
          <w:szCs w:val="24"/>
        </w:rPr>
        <w:t xml:space="preserve"> $113.25/publication.</w:t>
      </w:r>
    </w:p>
    <w:p w:rsidR="00643FE1" w:rsidRPr="002155E6" w:rsidRDefault="00643FE1" w:rsidP="009F32ED">
      <w:pPr>
        <w:pStyle w:val="BodyText"/>
        <w:tabs>
          <w:tab w:val="left" w:pos="-1440"/>
          <w:tab w:val="left" w:pos="-720"/>
          <w:tab w:val="left" w:pos="2610"/>
          <w:tab w:val="left" w:pos="3150"/>
          <w:tab w:val="left" w:pos="4680"/>
          <w:tab w:val="left" w:pos="5940"/>
          <w:tab w:val="left" w:pos="6480"/>
        </w:tabs>
        <w:jc w:val="left"/>
        <w:rPr>
          <w:spacing w:val="-3"/>
          <w:szCs w:val="24"/>
        </w:rPr>
      </w:pPr>
    </w:p>
    <w:p w:rsidR="007A472D" w:rsidRPr="002155E6" w:rsidRDefault="007A472D" w:rsidP="009F32ED">
      <w:pPr>
        <w:tabs>
          <w:tab w:val="left" w:pos="-1440"/>
          <w:tab w:val="left" w:pos="-720"/>
          <w:tab w:val="left" w:pos="2610"/>
          <w:tab w:val="left" w:pos="3150"/>
          <w:tab w:val="left" w:pos="4680"/>
          <w:tab w:val="left" w:pos="5940"/>
          <w:tab w:val="left" w:pos="6480"/>
        </w:tabs>
        <w:suppressAutoHyphens/>
        <w:rPr>
          <w:spacing w:val="-3"/>
          <w:sz w:val="24"/>
          <w:szCs w:val="24"/>
        </w:rPr>
      </w:pPr>
    </w:p>
    <w:tbl>
      <w:tblPr>
        <w:tblW w:w="8700" w:type="dxa"/>
        <w:tblLook w:val="04A0" w:firstRow="1" w:lastRow="0" w:firstColumn="1" w:lastColumn="0" w:noHBand="0" w:noVBand="1"/>
      </w:tblPr>
      <w:tblGrid>
        <w:gridCol w:w="5300"/>
        <w:gridCol w:w="480"/>
        <w:gridCol w:w="480"/>
        <w:gridCol w:w="480"/>
        <w:gridCol w:w="480"/>
        <w:gridCol w:w="1480"/>
      </w:tblGrid>
      <w:tr w:rsidR="00520E2F" w:rsidRPr="002155E6" w:rsidTr="00520E2F">
        <w:trPr>
          <w:trHeight w:val="300"/>
        </w:trPr>
        <w:tc>
          <w:tcPr>
            <w:tcW w:w="7220" w:type="dxa"/>
            <w:gridSpan w:val="5"/>
            <w:tcBorders>
              <w:top w:val="nil"/>
              <w:left w:val="nil"/>
              <w:bottom w:val="nil"/>
              <w:right w:val="nil"/>
            </w:tcBorders>
            <w:shd w:val="clear" w:color="auto" w:fill="auto"/>
            <w:noWrap/>
            <w:vAlign w:val="bottom"/>
            <w:hideMark/>
          </w:tcPr>
          <w:p w:rsidR="00520E2F" w:rsidRPr="002155E6" w:rsidRDefault="00520E2F" w:rsidP="00AD2457">
            <w:pPr>
              <w:rPr>
                <w:color w:val="000000"/>
                <w:sz w:val="24"/>
                <w:szCs w:val="24"/>
              </w:rPr>
            </w:pPr>
            <w:bookmarkStart w:id="3" w:name="OLE_LINK7"/>
            <w:r w:rsidRPr="002155E6">
              <w:rPr>
                <w:color w:val="000000"/>
                <w:sz w:val="24"/>
                <w:szCs w:val="24"/>
              </w:rPr>
              <w:t>4</w:t>
            </w:r>
            <w:r w:rsidR="00AD2457" w:rsidRPr="002155E6">
              <w:rPr>
                <w:color w:val="000000"/>
                <w:sz w:val="24"/>
                <w:szCs w:val="24"/>
              </w:rPr>
              <w:t>0</w:t>
            </w:r>
            <w:r w:rsidRPr="002155E6">
              <w:rPr>
                <w:color w:val="000000"/>
                <w:sz w:val="24"/>
                <w:szCs w:val="24"/>
              </w:rPr>
              <w:t xml:space="preserve">0 major change  x 1 hour x $300/hour  =               </w:t>
            </w: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rPr>
            </w:pPr>
            <w:r w:rsidRPr="002155E6">
              <w:rPr>
                <w:color w:val="000000"/>
                <w:sz w:val="24"/>
                <w:szCs w:val="24"/>
              </w:rPr>
              <w:t>$</w:t>
            </w:r>
            <w:r w:rsidR="00F97175" w:rsidRPr="002155E6">
              <w:rPr>
                <w:color w:val="000000"/>
                <w:sz w:val="24"/>
                <w:szCs w:val="24"/>
              </w:rPr>
              <w:t>120,0</w:t>
            </w:r>
            <w:r w:rsidRPr="002155E6">
              <w:rPr>
                <w:color w:val="000000"/>
                <w:sz w:val="24"/>
                <w:szCs w:val="24"/>
              </w:rPr>
              <w:t>00</w:t>
            </w:r>
          </w:p>
        </w:tc>
      </w:tr>
      <w:tr w:rsidR="00520E2F" w:rsidRPr="002155E6" w:rsidTr="00520E2F">
        <w:trPr>
          <w:trHeight w:val="300"/>
        </w:trPr>
        <w:tc>
          <w:tcPr>
            <w:tcW w:w="6740" w:type="dxa"/>
            <w:gridSpan w:val="4"/>
            <w:tcBorders>
              <w:top w:val="nil"/>
              <w:left w:val="nil"/>
              <w:bottom w:val="nil"/>
              <w:right w:val="nil"/>
            </w:tcBorders>
            <w:shd w:val="clear" w:color="auto" w:fill="auto"/>
            <w:noWrap/>
            <w:vAlign w:val="bottom"/>
            <w:hideMark/>
          </w:tcPr>
          <w:p w:rsidR="00520E2F" w:rsidRPr="002155E6" w:rsidRDefault="00520E2F" w:rsidP="00AD2457">
            <w:pPr>
              <w:rPr>
                <w:color w:val="000000"/>
                <w:sz w:val="24"/>
                <w:szCs w:val="24"/>
              </w:rPr>
            </w:pPr>
            <w:r w:rsidRPr="002155E6">
              <w:rPr>
                <w:color w:val="000000"/>
                <w:sz w:val="24"/>
                <w:szCs w:val="24"/>
              </w:rPr>
              <w:t>4</w:t>
            </w:r>
            <w:r w:rsidR="00AD2457" w:rsidRPr="002155E6">
              <w:rPr>
                <w:color w:val="000000"/>
                <w:sz w:val="24"/>
                <w:szCs w:val="24"/>
              </w:rPr>
              <w:t>0</w:t>
            </w:r>
            <w:r w:rsidRPr="002155E6">
              <w:rPr>
                <w:color w:val="000000"/>
                <w:sz w:val="24"/>
                <w:szCs w:val="24"/>
              </w:rPr>
              <w:t xml:space="preserve">0 major change x 12 hours x $250/hour  =  </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rPr>
            </w:pPr>
            <w:r w:rsidRPr="002155E6">
              <w:rPr>
                <w:color w:val="000000"/>
                <w:sz w:val="24"/>
                <w:szCs w:val="24"/>
              </w:rPr>
              <w:t>$1,</w:t>
            </w:r>
            <w:r w:rsidR="00F97175" w:rsidRPr="002155E6">
              <w:rPr>
                <w:color w:val="000000"/>
                <w:sz w:val="24"/>
                <w:szCs w:val="24"/>
              </w:rPr>
              <w:t>200,000</w:t>
            </w:r>
          </w:p>
        </w:tc>
      </w:tr>
      <w:tr w:rsidR="00520E2F" w:rsidRPr="002155E6" w:rsidTr="00520E2F">
        <w:trPr>
          <w:trHeight w:val="300"/>
        </w:trPr>
        <w:tc>
          <w:tcPr>
            <w:tcW w:w="7220" w:type="dxa"/>
            <w:gridSpan w:val="5"/>
            <w:tcBorders>
              <w:top w:val="nil"/>
              <w:left w:val="nil"/>
              <w:bottom w:val="nil"/>
              <w:right w:val="nil"/>
            </w:tcBorders>
            <w:shd w:val="clear" w:color="auto" w:fill="auto"/>
            <w:noWrap/>
            <w:vAlign w:val="bottom"/>
            <w:hideMark/>
          </w:tcPr>
          <w:p w:rsidR="00520E2F" w:rsidRPr="002155E6" w:rsidRDefault="00520E2F" w:rsidP="00AD2457">
            <w:pPr>
              <w:rPr>
                <w:color w:val="000000"/>
                <w:sz w:val="24"/>
                <w:szCs w:val="24"/>
              </w:rPr>
            </w:pPr>
            <w:r w:rsidRPr="002155E6">
              <w:rPr>
                <w:color w:val="000000"/>
                <w:sz w:val="24"/>
                <w:szCs w:val="24"/>
              </w:rPr>
              <w:t>4</w:t>
            </w:r>
            <w:r w:rsidR="00AD2457" w:rsidRPr="002155E6">
              <w:rPr>
                <w:color w:val="000000"/>
                <w:sz w:val="24"/>
                <w:szCs w:val="24"/>
              </w:rPr>
              <w:t>0</w:t>
            </w:r>
            <w:r w:rsidRPr="002155E6">
              <w:rPr>
                <w:color w:val="000000"/>
                <w:sz w:val="24"/>
                <w:szCs w:val="24"/>
              </w:rPr>
              <w:t xml:space="preserve">0 major change applications x $3,245 fee =                                         </w:t>
            </w:r>
          </w:p>
        </w:tc>
        <w:tc>
          <w:tcPr>
            <w:tcW w:w="1480" w:type="dxa"/>
            <w:tcBorders>
              <w:top w:val="nil"/>
              <w:left w:val="nil"/>
              <w:bottom w:val="nil"/>
              <w:right w:val="nil"/>
            </w:tcBorders>
            <w:shd w:val="clear" w:color="auto" w:fill="auto"/>
            <w:noWrap/>
            <w:vAlign w:val="bottom"/>
            <w:hideMark/>
          </w:tcPr>
          <w:p w:rsidR="00520E2F" w:rsidRPr="002155E6" w:rsidRDefault="00520E2F" w:rsidP="00CC0E0A">
            <w:pPr>
              <w:jc w:val="right"/>
              <w:rPr>
                <w:color w:val="000000"/>
                <w:sz w:val="24"/>
                <w:szCs w:val="24"/>
              </w:rPr>
            </w:pPr>
            <w:r w:rsidRPr="002155E6">
              <w:rPr>
                <w:color w:val="000000"/>
                <w:sz w:val="24"/>
                <w:szCs w:val="24"/>
              </w:rPr>
              <w:t>$1</w:t>
            </w:r>
            <w:r w:rsidR="00F97175" w:rsidRPr="002155E6">
              <w:rPr>
                <w:color w:val="000000"/>
                <w:sz w:val="24"/>
                <w:szCs w:val="24"/>
              </w:rPr>
              <w:t>,298</w:t>
            </w:r>
            <w:r w:rsidRPr="002155E6">
              <w:rPr>
                <w:color w:val="000000"/>
                <w:sz w:val="24"/>
                <w:szCs w:val="24"/>
              </w:rPr>
              <w:t>,</w:t>
            </w:r>
            <w:r w:rsidR="00F97175" w:rsidRPr="002155E6">
              <w:rPr>
                <w:color w:val="000000"/>
                <w:sz w:val="24"/>
                <w:szCs w:val="24"/>
              </w:rPr>
              <w:t>000</w:t>
            </w:r>
          </w:p>
        </w:tc>
      </w:tr>
      <w:tr w:rsidR="00520E2F" w:rsidRPr="002155E6" w:rsidTr="00520E2F">
        <w:trPr>
          <w:trHeight w:val="300"/>
        </w:trPr>
        <w:tc>
          <w:tcPr>
            <w:tcW w:w="7220" w:type="dxa"/>
            <w:gridSpan w:val="5"/>
            <w:tcBorders>
              <w:top w:val="nil"/>
              <w:left w:val="nil"/>
              <w:bottom w:val="nil"/>
              <w:right w:val="nil"/>
            </w:tcBorders>
            <w:shd w:val="clear" w:color="auto" w:fill="auto"/>
            <w:noWrap/>
            <w:vAlign w:val="bottom"/>
            <w:hideMark/>
          </w:tcPr>
          <w:p w:rsidR="00520E2F" w:rsidRPr="002155E6" w:rsidRDefault="00520E2F" w:rsidP="00AD2457">
            <w:pPr>
              <w:rPr>
                <w:color w:val="000000"/>
                <w:sz w:val="24"/>
                <w:szCs w:val="24"/>
              </w:rPr>
            </w:pPr>
            <w:r w:rsidRPr="002155E6">
              <w:rPr>
                <w:color w:val="000000"/>
                <w:sz w:val="24"/>
                <w:szCs w:val="24"/>
              </w:rPr>
              <w:t>4</w:t>
            </w:r>
            <w:r w:rsidR="00AD2457" w:rsidRPr="002155E6">
              <w:rPr>
                <w:color w:val="000000"/>
                <w:sz w:val="24"/>
                <w:szCs w:val="24"/>
              </w:rPr>
              <w:t>0</w:t>
            </w:r>
            <w:r w:rsidRPr="002155E6">
              <w:rPr>
                <w:color w:val="000000"/>
                <w:sz w:val="24"/>
                <w:szCs w:val="24"/>
              </w:rPr>
              <w:t xml:space="preserve">0 major applications x 4 x $113.25/publication cost =                                            </w:t>
            </w: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rPr>
            </w:pPr>
            <w:r w:rsidRPr="002155E6">
              <w:rPr>
                <w:color w:val="000000"/>
                <w:sz w:val="24"/>
                <w:szCs w:val="24"/>
              </w:rPr>
              <w:t>$</w:t>
            </w:r>
            <w:r w:rsidR="00F97175" w:rsidRPr="002155E6">
              <w:rPr>
                <w:color w:val="000000"/>
                <w:sz w:val="24"/>
                <w:szCs w:val="24"/>
              </w:rPr>
              <w:t>181,200</w:t>
            </w:r>
          </w:p>
        </w:tc>
      </w:tr>
      <w:tr w:rsidR="00520E2F" w:rsidRPr="002155E6" w:rsidTr="00520E2F">
        <w:trPr>
          <w:trHeight w:val="300"/>
        </w:trPr>
        <w:tc>
          <w:tcPr>
            <w:tcW w:w="6740" w:type="dxa"/>
            <w:gridSpan w:val="4"/>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r w:rsidRPr="002155E6">
              <w:rPr>
                <w:color w:val="000000"/>
                <w:sz w:val="24"/>
                <w:szCs w:val="24"/>
              </w:rPr>
              <w:t xml:space="preserve">50 minor change x 0.5 hours x $300 = </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rPr>
            </w:pPr>
            <w:r w:rsidRPr="002155E6">
              <w:rPr>
                <w:color w:val="000000"/>
                <w:sz w:val="24"/>
                <w:szCs w:val="24"/>
              </w:rPr>
              <w:t>$7,500</w:t>
            </w:r>
          </w:p>
        </w:tc>
      </w:tr>
      <w:tr w:rsidR="00520E2F" w:rsidRPr="002155E6" w:rsidTr="00520E2F">
        <w:trPr>
          <w:trHeight w:val="300"/>
        </w:trPr>
        <w:tc>
          <w:tcPr>
            <w:tcW w:w="6740" w:type="dxa"/>
            <w:gridSpan w:val="4"/>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r w:rsidRPr="002155E6">
              <w:rPr>
                <w:color w:val="000000"/>
                <w:sz w:val="24"/>
                <w:szCs w:val="24"/>
              </w:rPr>
              <w:t xml:space="preserve">50 minor change x 0.5 hours x $250  = </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rPr>
            </w:pPr>
            <w:r w:rsidRPr="002155E6">
              <w:rPr>
                <w:color w:val="000000"/>
                <w:sz w:val="24"/>
                <w:szCs w:val="24"/>
              </w:rPr>
              <w:t>$6,250</w:t>
            </w:r>
          </w:p>
        </w:tc>
      </w:tr>
      <w:tr w:rsidR="00520E2F" w:rsidRPr="002155E6" w:rsidTr="00520E2F">
        <w:trPr>
          <w:trHeight w:val="300"/>
        </w:trPr>
        <w:tc>
          <w:tcPr>
            <w:tcW w:w="6260" w:type="dxa"/>
            <w:gridSpan w:val="3"/>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r w:rsidRPr="002155E6">
              <w:rPr>
                <w:color w:val="000000"/>
                <w:sz w:val="24"/>
                <w:szCs w:val="24"/>
              </w:rPr>
              <w:t xml:space="preserve">50 minor change x $725 fee = </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F97175" w:rsidP="00520E2F">
            <w:pPr>
              <w:jc w:val="right"/>
              <w:rPr>
                <w:color w:val="000000"/>
                <w:sz w:val="24"/>
                <w:szCs w:val="24"/>
              </w:rPr>
            </w:pPr>
            <w:r w:rsidRPr="002155E6">
              <w:rPr>
                <w:color w:val="000000"/>
                <w:sz w:val="24"/>
                <w:szCs w:val="24"/>
              </w:rPr>
              <w:t>$36,250</w:t>
            </w:r>
          </w:p>
        </w:tc>
      </w:tr>
      <w:tr w:rsidR="00520E2F" w:rsidRPr="002155E6" w:rsidTr="00520E2F">
        <w:trPr>
          <w:trHeight w:val="300"/>
        </w:trPr>
        <w:tc>
          <w:tcPr>
            <w:tcW w:w="6740" w:type="dxa"/>
            <w:gridSpan w:val="4"/>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r w:rsidRPr="002155E6">
              <w:rPr>
                <w:color w:val="000000"/>
                <w:sz w:val="24"/>
                <w:szCs w:val="24"/>
              </w:rPr>
              <w:t xml:space="preserve">50 CSAs x 2 hours  x $300/hour = </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color w:val="000000"/>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520E2F" w:rsidP="00F97175">
            <w:pPr>
              <w:jc w:val="right"/>
              <w:rPr>
                <w:color w:val="000000"/>
                <w:sz w:val="24"/>
                <w:szCs w:val="24"/>
                <w:u w:val="single"/>
              </w:rPr>
            </w:pPr>
            <w:r w:rsidRPr="002155E6">
              <w:rPr>
                <w:color w:val="000000"/>
                <w:sz w:val="24"/>
                <w:szCs w:val="24"/>
                <w:u w:val="single"/>
              </w:rPr>
              <w:t>$</w:t>
            </w:r>
            <w:r w:rsidR="00CC0E0A" w:rsidRPr="002155E6">
              <w:rPr>
                <w:color w:val="000000"/>
                <w:sz w:val="24"/>
                <w:szCs w:val="24"/>
                <w:u w:val="single"/>
              </w:rPr>
              <w:t>30,000</w:t>
            </w:r>
          </w:p>
        </w:tc>
      </w:tr>
      <w:tr w:rsidR="00520E2F" w:rsidRPr="002155E6" w:rsidTr="00520E2F">
        <w:trPr>
          <w:trHeight w:val="300"/>
        </w:trPr>
        <w:tc>
          <w:tcPr>
            <w:tcW w:w="5300" w:type="dxa"/>
            <w:tcBorders>
              <w:top w:val="nil"/>
              <w:left w:val="nil"/>
              <w:bottom w:val="nil"/>
              <w:right w:val="nil"/>
            </w:tcBorders>
            <w:shd w:val="clear" w:color="auto" w:fill="auto"/>
            <w:noWrap/>
            <w:vAlign w:val="bottom"/>
            <w:hideMark/>
          </w:tcPr>
          <w:p w:rsidR="00520E2F" w:rsidRPr="002155E6" w:rsidRDefault="00520E2F" w:rsidP="00520E2F">
            <w:pPr>
              <w:jc w:val="right"/>
              <w:rPr>
                <w:color w:val="000000"/>
                <w:sz w:val="24"/>
                <w:szCs w:val="24"/>
              </w:rPr>
            </w:pPr>
            <w:r w:rsidRPr="002155E6">
              <w:rPr>
                <w:b/>
                <w:spacing w:val="-3"/>
                <w:sz w:val="24"/>
                <w:szCs w:val="24"/>
              </w:rPr>
              <w:t>Total Annual Cost Burden:</w:t>
            </w: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hideMark/>
          </w:tcPr>
          <w:p w:rsidR="00520E2F" w:rsidRPr="002155E6" w:rsidRDefault="00520E2F" w:rsidP="00520E2F">
            <w:pPr>
              <w:rPr>
                <w:sz w:val="24"/>
                <w:szCs w:val="24"/>
              </w:rPr>
            </w:pPr>
          </w:p>
        </w:tc>
        <w:tc>
          <w:tcPr>
            <w:tcW w:w="1480" w:type="dxa"/>
            <w:tcBorders>
              <w:top w:val="nil"/>
              <w:left w:val="nil"/>
              <w:bottom w:val="nil"/>
              <w:right w:val="nil"/>
            </w:tcBorders>
            <w:shd w:val="clear" w:color="auto" w:fill="auto"/>
            <w:noWrap/>
            <w:vAlign w:val="bottom"/>
            <w:hideMark/>
          </w:tcPr>
          <w:p w:rsidR="00520E2F" w:rsidRPr="002155E6" w:rsidRDefault="00CC0E0A" w:rsidP="00520E2F">
            <w:pPr>
              <w:jc w:val="right"/>
              <w:rPr>
                <w:b/>
                <w:color w:val="000000"/>
                <w:sz w:val="24"/>
                <w:szCs w:val="24"/>
              </w:rPr>
            </w:pPr>
            <w:r w:rsidRPr="002155E6">
              <w:rPr>
                <w:b/>
                <w:color w:val="000000"/>
                <w:sz w:val="24"/>
                <w:szCs w:val="24"/>
              </w:rPr>
              <w:t>$2,879,200</w:t>
            </w:r>
          </w:p>
        </w:tc>
      </w:tr>
      <w:tr w:rsidR="00520E2F" w:rsidRPr="002155E6" w:rsidTr="00520E2F">
        <w:trPr>
          <w:trHeight w:val="300"/>
        </w:trPr>
        <w:tc>
          <w:tcPr>
            <w:tcW w:w="5300" w:type="dxa"/>
            <w:tcBorders>
              <w:top w:val="nil"/>
              <w:left w:val="nil"/>
              <w:bottom w:val="nil"/>
              <w:right w:val="nil"/>
            </w:tcBorders>
            <w:shd w:val="clear" w:color="auto" w:fill="auto"/>
            <w:noWrap/>
            <w:vAlign w:val="bottom"/>
          </w:tcPr>
          <w:p w:rsidR="00520E2F" w:rsidRDefault="00520E2F" w:rsidP="00520E2F">
            <w:pPr>
              <w:jc w:val="right"/>
              <w:rPr>
                <w:color w:val="000000"/>
                <w:sz w:val="24"/>
                <w:szCs w:val="24"/>
              </w:rPr>
            </w:pPr>
          </w:p>
          <w:p w:rsidR="00476716" w:rsidRDefault="00476716" w:rsidP="00520E2F">
            <w:pPr>
              <w:jc w:val="right"/>
              <w:rPr>
                <w:color w:val="000000"/>
                <w:sz w:val="24"/>
                <w:szCs w:val="24"/>
              </w:rPr>
            </w:pPr>
          </w:p>
          <w:p w:rsidR="00476716" w:rsidRDefault="00476716" w:rsidP="00520E2F">
            <w:pPr>
              <w:jc w:val="right"/>
              <w:rPr>
                <w:color w:val="000000"/>
                <w:sz w:val="24"/>
                <w:szCs w:val="24"/>
              </w:rPr>
            </w:pPr>
          </w:p>
          <w:p w:rsidR="00476716" w:rsidRDefault="00476716" w:rsidP="00520E2F">
            <w:pPr>
              <w:jc w:val="right"/>
              <w:rPr>
                <w:color w:val="000000"/>
                <w:sz w:val="24"/>
                <w:szCs w:val="24"/>
              </w:rPr>
            </w:pPr>
          </w:p>
          <w:p w:rsidR="00476716" w:rsidRDefault="00476716" w:rsidP="00520E2F">
            <w:pPr>
              <w:jc w:val="right"/>
              <w:rPr>
                <w:color w:val="000000"/>
                <w:sz w:val="24"/>
                <w:szCs w:val="24"/>
              </w:rPr>
            </w:pPr>
          </w:p>
          <w:p w:rsidR="00476716" w:rsidRPr="002155E6" w:rsidRDefault="00476716" w:rsidP="00520E2F">
            <w:pPr>
              <w:jc w:val="right"/>
              <w:rPr>
                <w:color w:val="000000"/>
                <w:sz w:val="24"/>
                <w:szCs w:val="24"/>
              </w:rPr>
            </w:pPr>
            <w:bookmarkStart w:id="4" w:name="_GoBack"/>
            <w:bookmarkEnd w:id="4"/>
          </w:p>
        </w:tc>
        <w:tc>
          <w:tcPr>
            <w:tcW w:w="480" w:type="dxa"/>
            <w:tcBorders>
              <w:top w:val="nil"/>
              <w:left w:val="nil"/>
              <w:bottom w:val="nil"/>
              <w:right w:val="nil"/>
            </w:tcBorders>
            <w:shd w:val="clear" w:color="auto" w:fill="auto"/>
            <w:noWrap/>
            <w:vAlign w:val="bottom"/>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tcPr>
          <w:p w:rsidR="00520E2F" w:rsidRPr="002155E6" w:rsidRDefault="00520E2F" w:rsidP="00520E2F">
            <w:pPr>
              <w:rPr>
                <w:sz w:val="24"/>
                <w:szCs w:val="24"/>
              </w:rPr>
            </w:pPr>
          </w:p>
        </w:tc>
        <w:tc>
          <w:tcPr>
            <w:tcW w:w="480" w:type="dxa"/>
            <w:tcBorders>
              <w:top w:val="nil"/>
              <w:left w:val="nil"/>
              <w:bottom w:val="nil"/>
              <w:right w:val="nil"/>
            </w:tcBorders>
            <w:shd w:val="clear" w:color="auto" w:fill="auto"/>
            <w:noWrap/>
            <w:vAlign w:val="bottom"/>
          </w:tcPr>
          <w:p w:rsidR="00520E2F" w:rsidRPr="002155E6" w:rsidRDefault="00520E2F" w:rsidP="00520E2F">
            <w:pPr>
              <w:rPr>
                <w:sz w:val="24"/>
                <w:szCs w:val="24"/>
              </w:rPr>
            </w:pPr>
          </w:p>
        </w:tc>
        <w:tc>
          <w:tcPr>
            <w:tcW w:w="1480" w:type="dxa"/>
            <w:tcBorders>
              <w:top w:val="nil"/>
              <w:left w:val="nil"/>
              <w:bottom w:val="nil"/>
              <w:right w:val="nil"/>
            </w:tcBorders>
            <w:shd w:val="clear" w:color="auto" w:fill="auto"/>
            <w:noWrap/>
            <w:vAlign w:val="bottom"/>
          </w:tcPr>
          <w:p w:rsidR="00520E2F" w:rsidRPr="002155E6" w:rsidRDefault="00520E2F" w:rsidP="00520E2F">
            <w:pPr>
              <w:jc w:val="right"/>
              <w:rPr>
                <w:color w:val="000000"/>
                <w:sz w:val="24"/>
                <w:szCs w:val="24"/>
              </w:rPr>
            </w:pPr>
          </w:p>
          <w:p w:rsidR="0077667A" w:rsidRPr="002155E6" w:rsidRDefault="0077667A" w:rsidP="00520E2F">
            <w:pPr>
              <w:jc w:val="right"/>
              <w:rPr>
                <w:color w:val="000000"/>
                <w:sz w:val="24"/>
                <w:szCs w:val="24"/>
              </w:rPr>
            </w:pPr>
          </w:p>
          <w:p w:rsidR="0077667A" w:rsidRPr="002155E6" w:rsidRDefault="0077667A" w:rsidP="00520E2F">
            <w:pPr>
              <w:jc w:val="right"/>
              <w:rPr>
                <w:color w:val="000000"/>
                <w:sz w:val="24"/>
                <w:szCs w:val="24"/>
              </w:rPr>
            </w:pPr>
          </w:p>
        </w:tc>
      </w:tr>
    </w:tbl>
    <w:bookmarkEnd w:id="3"/>
    <w:p w:rsidR="005045D0" w:rsidRPr="002155E6" w:rsidRDefault="007A472D" w:rsidP="00F97175">
      <w:pPr>
        <w:rPr>
          <w:b/>
          <w:sz w:val="24"/>
          <w:szCs w:val="24"/>
        </w:rPr>
      </w:pPr>
      <w:r w:rsidRPr="002155E6">
        <w:rPr>
          <w:sz w:val="24"/>
          <w:szCs w:val="24"/>
        </w:rPr>
        <w:lastRenderedPageBreak/>
        <w:t xml:space="preserve">14.  </w:t>
      </w:r>
      <w:r w:rsidRPr="002155E6">
        <w:rPr>
          <w:b/>
          <w:sz w:val="24"/>
          <w:szCs w:val="24"/>
        </w:rPr>
        <w:t>Cost to the Federal Government</w:t>
      </w:r>
      <w:r w:rsidRPr="002155E6">
        <w:rPr>
          <w:sz w:val="24"/>
          <w:szCs w:val="24"/>
        </w:rPr>
        <w:t xml:space="preserve">:  </w:t>
      </w:r>
      <w:r w:rsidR="007D13E5">
        <w:rPr>
          <w:sz w:val="24"/>
          <w:szCs w:val="24"/>
        </w:rPr>
        <w:t>The Commission</w:t>
      </w:r>
      <w:r w:rsidRPr="002155E6">
        <w:rPr>
          <w:sz w:val="24"/>
          <w:szCs w:val="24"/>
        </w:rPr>
        <w:t xml:space="preserve"> will use legal</w:t>
      </w:r>
      <w:r w:rsidR="00EB06D6" w:rsidRPr="002155E6">
        <w:rPr>
          <w:sz w:val="24"/>
          <w:szCs w:val="24"/>
        </w:rPr>
        <w:t xml:space="preserve"> and engineering</w:t>
      </w:r>
      <w:r w:rsidRPr="002155E6">
        <w:rPr>
          <w:sz w:val="24"/>
          <w:szCs w:val="24"/>
        </w:rPr>
        <w:t xml:space="preserve"> staff at the GS-11, step 5 level ($</w:t>
      </w:r>
      <w:r w:rsidR="00EB06D6" w:rsidRPr="002155E6">
        <w:rPr>
          <w:sz w:val="24"/>
          <w:szCs w:val="24"/>
        </w:rPr>
        <w:t>3</w:t>
      </w:r>
      <w:r w:rsidR="006A2C38" w:rsidRPr="002155E6">
        <w:rPr>
          <w:sz w:val="24"/>
          <w:szCs w:val="24"/>
        </w:rPr>
        <w:t>4.</w:t>
      </w:r>
      <w:r w:rsidR="00CB6DA1" w:rsidRPr="002155E6">
        <w:rPr>
          <w:sz w:val="24"/>
          <w:szCs w:val="24"/>
        </w:rPr>
        <w:t>60</w:t>
      </w:r>
      <w:r w:rsidRPr="002155E6">
        <w:rPr>
          <w:sz w:val="24"/>
          <w:szCs w:val="24"/>
        </w:rPr>
        <w:t>/hour), clerical staff at the GS-5, step 5 level ($1</w:t>
      </w:r>
      <w:r w:rsidR="00B6668A" w:rsidRPr="002155E6">
        <w:rPr>
          <w:sz w:val="24"/>
          <w:szCs w:val="24"/>
        </w:rPr>
        <w:t>8.</w:t>
      </w:r>
      <w:r w:rsidR="00CB6DA1" w:rsidRPr="002155E6">
        <w:rPr>
          <w:sz w:val="24"/>
          <w:szCs w:val="24"/>
        </w:rPr>
        <w:t>88</w:t>
      </w:r>
      <w:r w:rsidRPr="002155E6">
        <w:rPr>
          <w:sz w:val="24"/>
          <w:szCs w:val="24"/>
        </w:rPr>
        <w:t>/hour) and paraprofessional staff at the GS-9, step 5 level ($</w:t>
      </w:r>
      <w:r w:rsidR="003F33A9" w:rsidRPr="002155E6">
        <w:rPr>
          <w:sz w:val="24"/>
          <w:szCs w:val="24"/>
        </w:rPr>
        <w:t>2</w:t>
      </w:r>
      <w:r w:rsidR="00B6668A" w:rsidRPr="002155E6">
        <w:rPr>
          <w:sz w:val="24"/>
          <w:szCs w:val="24"/>
        </w:rPr>
        <w:t>8.</w:t>
      </w:r>
      <w:r w:rsidR="00CB6DA1" w:rsidRPr="002155E6">
        <w:rPr>
          <w:sz w:val="24"/>
          <w:szCs w:val="24"/>
        </w:rPr>
        <w:t>60</w:t>
      </w:r>
      <w:r w:rsidR="00B6668A" w:rsidRPr="002155E6">
        <w:rPr>
          <w:sz w:val="24"/>
          <w:szCs w:val="24"/>
        </w:rPr>
        <w:t>/</w:t>
      </w:r>
      <w:r w:rsidRPr="002155E6">
        <w:rPr>
          <w:sz w:val="24"/>
          <w:szCs w:val="24"/>
        </w:rPr>
        <w:t>hour) to process these applications.</w:t>
      </w:r>
      <w:r w:rsidR="00A917E9" w:rsidRPr="002155E6">
        <w:rPr>
          <w:sz w:val="24"/>
          <w:szCs w:val="24"/>
        </w:rPr>
        <w:t xml:space="preserve">  </w:t>
      </w:r>
    </w:p>
    <w:p w:rsidR="008D10B3" w:rsidRPr="002155E6" w:rsidRDefault="008D10B3" w:rsidP="009F32ED">
      <w:pPr>
        <w:suppressAutoHyphens/>
        <w:rPr>
          <w:spacing w:val="-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399"/>
        <w:gridCol w:w="4580"/>
        <w:gridCol w:w="2159"/>
      </w:tblGrid>
      <w:tr w:rsidR="003631DC" w:rsidRPr="002155E6" w:rsidTr="00F97175">
        <w:trPr>
          <w:trHeight w:val="300"/>
        </w:trPr>
        <w:tc>
          <w:tcPr>
            <w:tcW w:w="1767" w:type="dxa"/>
            <w:noWrap/>
            <w:hideMark/>
          </w:tcPr>
          <w:p w:rsidR="003631DC" w:rsidRPr="002155E6" w:rsidRDefault="003631DC" w:rsidP="003631DC">
            <w:pPr>
              <w:suppressAutoHyphens/>
              <w:rPr>
                <w:spacing w:val="-3"/>
                <w:sz w:val="24"/>
                <w:szCs w:val="24"/>
              </w:rPr>
            </w:pPr>
            <w:bookmarkStart w:id="5" w:name="OLE_LINK8"/>
            <w:r w:rsidRPr="002155E6">
              <w:rPr>
                <w:spacing w:val="-3"/>
                <w:sz w:val="24"/>
                <w:szCs w:val="24"/>
              </w:rPr>
              <w:t>Attorney</w:t>
            </w:r>
          </w:p>
        </w:tc>
        <w:tc>
          <w:tcPr>
            <w:tcW w:w="399" w:type="dxa"/>
            <w:noWrap/>
            <w:hideMark/>
          </w:tcPr>
          <w:p w:rsidR="003631DC" w:rsidRPr="002155E6" w:rsidRDefault="003631DC" w:rsidP="003631DC">
            <w:pPr>
              <w:suppressAutoHyphens/>
              <w:rPr>
                <w:spacing w:val="-3"/>
                <w:sz w:val="24"/>
                <w:szCs w:val="24"/>
              </w:rPr>
            </w:pPr>
          </w:p>
        </w:tc>
        <w:tc>
          <w:tcPr>
            <w:tcW w:w="4580" w:type="dxa"/>
            <w:noWrap/>
            <w:hideMark/>
          </w:tcPr>
          <w:p w:rsidR="003631DC" w:rsidRPr="002155E6" w:rsidRDefault="003631DC" w:rsidP="003631DC">
            <w:pPr>
              <w:suppressAutoHyphens/>
              <w:rPr>
                <w:spacing w:val="-3"/>
                <w:sz w:val="24"/>
                <w:szCs w:val="24"/>
              </w:rPr>
            </w:pPr>
            <w:r w:rsidRPr="002155E6">
              <w:rPr>
                <w:spacing w:val="-3"/>
                <w:sz w:val="24"/>
                <w:szCs w:val="24"/>
              </w:rPr>
              <w:t xml:space="preserve">3 hrs. x $34.60/hour x 450 applications    =  </w:t>
            </w:r>
          </w:p>
        </w:tc>
        <w:tc>
          <w:tcPr>
            <w:tcW w:w="2159" w:type="dxa"/>
            <w:noWrap/>
            <w:hideMark/>
          </w:tcPr>
          <w:p w:rsidR="003631DC" w:rsidRPr="002155E6" w:rsidRDefault="003631DC" w:rsidP="00F1007C">
            <w:pPr>
              <w:suppressAutoHyphens/>
              <w:rPr>
                <w:spacing w:val="-3"/>
                <w:sz w:val="24"/>
                <w:szCs w:val="24"/>
              </w:rPr>
            </w:pPr>
            <w:r w:rsidRPr="002155E6">
              <w:rPr>
                <w:spacing w:val="-3"/>
                <w:sz w:val="24"/>
                <w:szCs w:val="24"/>
              </w:rPr>
              <w:t xml:space="preserve">$ </w:t>
            </w:r>
            <w:r w:rsidR="005B69B1" w:rsidRPr="002155E6">
              <w:rPr>
                <w:spacing w:val="-3"/>
                <w:sz w:val="24"/>
                <w:szCs w:val="24"/>
              </w:rPr>
              <w:t xml:space="preserve"> </w:t>
            </w:r>
            <w:r w:rsidRPr="002155E6">
              <w:rPr>
                <w:spacing w:val="-3"/>
                <w:sz w:val="24"/>
                <w:szCs w:val="24"/>
              </w:rPr>
              <w:t>46,710</w:t>
            </w:r>
          </w:p>
        </w:tc>
      </w:tr>
      <w:tr w:rsidR="003631DC" w:rsidRPr="002155E6" w:rsidTr="00F97175">
        <w:trPr>
          <w:trHeight w:val="300"/>
        </w:trPr>
        <w:tc>
          <w:tcPr>
            <w:tcW w:w="1767" w:type="dxa"/>
            <w:noWrap/>
            <w:hideMark/>
          </w:tcPr>
          <w:p w:rsidR="003631DC" w:rsidRPr="002155E6" w:rsidRDefault="003631DC" w:rsidP="003631DC">
            <w:pPr>
              <w:suppressAutoHyphens/>
              <w:rPr>
                <w:spacing w:val="-3"/>
                <w:sz w:val="24"/>
                <w:szCs w:val="24"/>
              </w:rPr>
            </w:pPr>
            <w:r w:rsidRPr="002155E6">
              <w:rPr>
                <w:spacing w:val="-3"/>
                <w:sz w:val="24"/>
                <w:szCs w:val="24"/>
              </w:rPr>
              <w:t xml:space="preserve">Engineer </w:t>
            </w:r>
          </w:p>
        </w:tc>
        <w:tc>
          <w:tcPr>
            <w:tcW w:w="399" w:type="dxa"/>
            <w:noWrap/>
            <w:hideMark/>
          </w:tcPr>
          <w:p w:rsidR="003631DC" w:rsidRPr="002155E6" w:rsidRDefault="003631DC" w:rsidP="003631DC">
            <w:pPr>
              <w:suppressAutoHyphens/>
              <w:rPr>
                <w:spacing w:val="-3"/>
                <w:sz w:val="24"/>
                <w:szCs w:val="24"/>
              </w:rPr>
            </w:pPr>
          </w:p>
        </w:tc>
        <w:tc>
          <w:tcPr>
            <w:tcW w:w="4580" w:type="dxa"/>
            <w:noWrap/>
            <w:hideMark/>
          </w:tcPr>
          <w:p w:rsidR="003631DC" w:rsidRPr="002155E6" w:rsidRDefault="003631DC" w:rsidP="003631DC">
            <w:pPr>
              <w:suppressAutoHyphens/>
              <w:rPr>
                <w:spacing w:val="-3"/>
                <w:sz w:val="24"/>
                <w:szCs w:val="24"/>
              </w:rPr>
            </w:pPr>
            <w:r w:rsidRPr="002155E6">
              <w:rPr>
                <w:spacing w:val="-3"/>
                <w:sz w:val="24"/>
                <w:szCs w:val="24"/>
              </w:rPr>
              <w:t xml:space="preserve">11 hrs. x $34.60/hour x 450 applications  =  </w:t>
            </w:r>
          </w:p>
        </w:tc>
        <w:tc>
          <w:tcPr>
            <w:tcW w:w="2159" w:type="dxa"/>
            <w:noWrap/>
            <w:hideMark/>
          </w:tcPr>
          <w:p w:rsidR="003631DC" w:rsidRPr="002155E6" w:rsidRDefault="003631DC" w:rsidP="00F1007C">
            <w:pPr>
              <w:suppressAutoHyphens/>
              <w:rPr>
                <w:spacing w:val="-3"/>
                <w:sz w:val="24"/>
                <w:szCs w:val="24"/>
              </w:rPr>
            </w:pPr>
            <w:r w:rsidRPr="002155E6">
              <w:rPr>
                <w:spacing w:val="-3"/>
                <w:sz w:val="24"/>
                <w:szCs w:val="24"/>
              </w:rPr>
              <w:t>$171,270</w:t>
            </w:r>
          </w:p>
        </w:tc>
      </w:tr>
      <w:tr w:rsidR="003631DC" w:rsidRPr="002155E6" w:rsidTr="00F97175">
        <w:trPr>
          <w:trHeight w:val="300"/>
        </w:trPr>
        <w:tc>
          <w:tcPr>
            <w:tcW w:w="1767" w:type="dxa"/>
            <w:noWrap/>
            <w:hideMark/>
          </w:tcPr>
          <w:p w:rsidR="003631DC" w:rsidRPr="002155E6" w:rsidRDefault="003631DC" w:rsidP="003631DC">
            <w:pPr>
              <w:suppressAutoHyphens/>
              <w:rPr>
                <w:spacing w:val="-3"/>
                <w:sz w:val="24"/>
                <w:szCs w:val="24"/>
              </w:rPr>
            </w:pPr>
            <w:r w:rsidRPr="002155E6">
              <w:rPr>
                <w:spacing w:val="-3"/>
                <w:sz w:val="24"/>
                <w:szCs w:val="24"/>
              </w:rPr>
              <w:t xml:space="preserve">Clerical </w:t>
            </w:r>
          </w:p>
        </w:tc>
        <w:tc>
          <w:tcPr>
            <w:tcW w:w="399" w:type="dxa"/>
            <w:noWrap/>
            <w:hideMark/>
          </w:tcPr>
          <w:p w:rsidR="003631DC" w:rsidRPr="002155E6" w:rsidRDefault="003631DC" w:rsidP="003631DC">
            <w:pPr>
              <w:suppressAutoHyphens/>
              <w:rPr>
                <w:spacing w:val="-3"/>
                <w:sz w:val="24"/>
                <w:szCs w:val="24"/>
              </w:rPr>
            </w:pPr>
          </w:p>
        </w:tc>
        <w:tc>
          <w:tcPr>
            <w:tcW w:w="4580" w:type="dxa"/>
            <w:noWrap/>
            <w:hideMark/>
          </w:tcPr>
          <w:p w:rsidR="003631DC" w:rsidRPr="002155E6" w:rsidRDefault="003631DC" w:rsidP="003631DC">
            <w:pPr>
              <w:suppressAutoHyphens/>
              <w:rPr>
                <w:spacing w:val="-3"/>
                <w:sz w:val="24"/>
                <w:szCs w:val="24"/>
              </w:rPr>
            </w:pPr>
            <w:r w:rsidRPr="002155E6">
              <w:rPr>
                <w:spacing w:val="-3"/>
                <w:sz w:val="24"/>
                <w:szCs w:val="24"/>
              </w:rPr>
              <w:t xml:space="preserve">5 hrs. x $18.88/hour x 450 applications    =  </w:t>
            </w:r>
          </w:p>
        </w:tc>
        <w:tc>
          <w:tcPr>
            <w:tcW w:w="2159" w:type="dxa"/>
            <w:noWrap/>
            <w:hideMark/>
          </w:tcPr>
          <w:p w:rsidR="003631DC" w:rsidRPr="002155E6" w:rsidRDefault="003631DC" w:rsidP="00F1007C">
            <w:pPr>
              <w:suppressAutoHyphens/>
              <w:rPr>
                <w:spacing w:val="-3"/>
                <w:sz w:val="24"/>
                <w:szCs w:val="24"/>
              </w:rPr>
            </w:pPr>
            <w:r w:rsidRPr="002155E6">
              <w:rPr>
                <w:spacing w:val="-3"/>
                <w:sz w:val="24"/>
                <w:szCs w:val="24"/>
              </w:rPr>
              <w:t>$  42,480</w:t>
            </w:r>
          </w:p>
        </w:tc>
      </w:tr>
      <w:tr w:rsidR="003631DC" w:rsidRPr="002155E6" w:rsidTr="00F97175">
        <w:trPr>
          <w:trHeight w:val="300"/>
        </w:trPr>
        <w:tc>
          <w:tcPr>
            <w:tcW w:w="1767" w:type="dxa"/>
            <w:noWrap/>
            <w:hideMark/>
          </w:tcPr>
          <w:p w:rsidR="003631DC" w:rsidRPr="002155E6" w:rsidRDefault="003631DC" w:rsidP="003631DC">
            <w:pPr>
              <w:suppressAutoHyphens/>
              <w:rPr>
                <w:spacing w:val="-3"/>
                <w:sz w:val="24"/>
                <w:szCs w:val="24"/>
              </w:rPr>
            </w:pPr>
            <w:r w:rsidRPr="002155E6">
              <w:rPr>
                <w:spacing w:val="-3"/>
                <w:sz w:val="24"/>
                <w:szCs w:val="24"/>
              </w:rPr>
              <w:t xml:space="preserve">Paraprofessional </w:t>
            </w:r>
          </w:p>
        </w:tc>
        <w:tc>
          <w:tcPr>
            <w:tcW w:w="399" w:type="dxa"/>
            <w:noWrap/>
            <w:hideMark/>
          </w:tcPr>
          <w:p w:rsidR="003631DC" w:rsidRPr="002155E6" w:rsidRDefault="003631DC" w:rsidP="003631DC">
            <w:pPr>
              <w:suppressAutoHyphens/>
              <w:rPr>
                <w:spacing w:val="-3"/>
                <w:sz w:val="24"/>
                <w:szCs w:val="24"/>
              </w:rPr>
            </w:pPr>
          </w:p>
        </w:tc>
        <w:tc>
          <w:tcPr>
            <w:tcW w:w="4580" w:type="dxa"/>
            <w:noWrap/>
            <w:hideMark/>
          </w:tcPr>
          <w:p w:rsidR="003631DC" w:rsidRPr="002155E6" w:rsidRDefault="003631DC" w:rsidP="003631DC">
            <w:pPr>
              <w:suppressAutoHyphens/>
              <w:rPr>
                <w:spacing w:val="-3"/>
                <w:sz w:val="24"/>
                <w:szCs w:val="24"/>
              </w:rPr>
            </w:pPr>
            <w:r w:rsidRPr="002155E6">
              <w:rPr>
                <w:spacing w:val="-3"/>
                <w:sz w:val="24"/>
                <w:szCs w:val="24"/>
              </w:rPr>
              <w:t xml:space="preserve">4 hrs. x $28.60/hour x  450 applications   =  </w:t>
            </w:r>
          </w:p>
        </w:tc>
        <w:tc>
          <w:tcPr>
            <w:tcW w:w="2159" w:type="dxa"/>
            <w:noWrap/>
            <w:hideMark/>
          </w:tcPr>
          <w:p w:rsidR="003631DC" w:rsidRPr="002155E6" w:rsidRDefault="003631DC" w:rsidP="00F1007C">
            <w:pPr>
              <w:suppressAutoHyphens/>
              <w:rPr>
                <w:spacing w:val="-3"/>
                <w:sz w:val="24"/>
                <w:szCs w:val="24"/>
                <w:u w:val="single"/>
              </w:rPr>
            </w:pPr>
            <w:r w:rsidRPr="002155E6">
              <w:rPr>
                <w:spacing w:val="-3"/>
                <w:sz w:val="24"/>
                <w:szCs w:val="24"/>
                <w:u w:val="single"/>
              </w:rPr>
              <w:t>$  51,480</w:t>
            </w:r>
          </w:p>
        </w:tc>
      </w:tr>
      <w:tr w:rsidR="003631DC" w:rsidRPr="002155E6" w:rsidTr="00F97175">
        <w:trPr>
          <w:trHeight w:val="300"/>
        </w:trPr>
        <w:tc>
          <w:tcPr>
            <w:tcW w:w="6746" w:type="dxa"/>
            <w:gridSpan w:val="3"/>
            <w:noWrap/>
            <w:hideMark/>
          </w:tcPr>
          <w:p w:rsidR="003631DC" w:rsidRPr="002155E6" w:rsidRDefault="003631DC" w:rsidP="003631DC">
            <w:pPr>
              <w:suppressAutoHyphens/>
              <w:rPr>
                <w:b/>
                <w:spacing w:val="-3"/>
                <w:sz w:val="24"/>
                <w:szCs w:val="24"/>
              </w:rPr>
            </w:pPr>
            <w:r w:rsidRPr="002155E6">
              <w:rPr>
                <w:b/>
                <w:spacing w:val="-3"/>
                <w:sz w:val="24"/>
                <w:szCs w:val="24"/>
              </w:rPr>
              <w:t xml:space="preserve">                                          Total Cost to Federal Government:       </w:t>
            </w:r>
          </w:p>
        </w:tc>
        <w:tc>
          <w:tcPr>
            <w:tcW w:w="2159" w:type="dxa"/>
            <w:noWrap/>
            <w:hideMark/>
          </w:tcPr>
          <w:p w:rsidR="003631DC" w:rsidRPr="002155E6" w:rsidRDefault="003631DC" w:rsidP="00F1007C">
            <w:pPr>
              <w:suppressAutoHyphens/>
              <w:rPr>
                <w:b/>
                <w:spacing w:val="-3"/>
                <w:sz w:val="24"/>
                <w:szCs w:val="24"/>
              </w:rPr>
            </w:pPr>
            <w:r w:rsidRPr="002155E6">
              <w:rPr>
                <w:b/>
                <w:spacing w:val="-3"/>
                <w:sz w:val="24"/>
                <w:szCs w:val="24"/>
              </w:rPr>
              <w:t>$311,940</w:t>
            </w:r>
          </w:p>
        </w:tc>
      </w:tr>
    </w:tbl>
    <w:bookmarkEnd w:id="5"/>
    <w:p w:rsidR="007A472D" w:rsidRPr="002155E6" w:rsidRDefault="007A472D" w:rsidP="009F32ED">
      <w:pPr>
        <w:suppressAutoHyphens/>
        <w:ind w:left="1440"/>
        <w:rPr>
          <w:spacing w:val="-3"/>
          <w:sz w:val="24"/>
          <w:szCs w:val="24"/>
        </w:rPr>
      </w:pPr>
      <w:r w:rsidRPr="002155E6">
        <w:rPr>
          <w:spacing w:val="-3"/>
          <w:sz w:val="24"/>
          <w:szCs w:val="24"/>
        </w:rPr>
        <w:t xml:space="preserve">                                         </w:t>
      </w:r>
    </w:p>
    <w:p w:rsidR="007A472D" w:rsidRPr="002155E6" w:rsidRDefault="009B2469" w:rsidP="009B2469">
      <w:pPr>
        <w:suppressAutoHyphens/>
        <w:ind w:left="2880" w:firstLine="720"/>
        <w:rPr>
          <w:spacing w:val="-3"/>
          <w:sz w:val="24"/>
          <w:szCs w:val="24"/>
        </w:rPr>
      </w:pPr>
      <w:r w:rsidRPr="002155E6">
        <w:rPr>
          <w:b/>
          <w:spacing w:val="-3"/>
          <w:sz w:val="24"/>
          <w:szCs w:val="24"/>
        </w:rPr>
        <w:t xml:space="preserve">    </w:t>
      </w:r>
    </w:p>
    <w:p w:rsidR="002155E6" w:rsidRPr="002155E6" w:rsidRDefault="007A472D" w:rsidP="009F32ED">
      <w:pPr>
        <w:suppressAutoHyphens/>
        <w:rPr>
          <w:spacing w:val="-3"/>
          <w:sz w:val="24"/>
          <w:szCs w:val="24"/>
          <w:shd w:val="clear" w:color="auto" w:fill="FFFFFF"/>
        </w:rPr>
      </w:pPr>
      <w:r w:rsidRPr="002155E6">
        <w:rPr>
          <w:spacing w:val="-3"/>
          <w:sz w:val="24"/>
          <w:szCs w:val="24"/>
        </w:rPr>
        <w:t xml:space="preserve">15. </w:t>
      </w:r>
      <w:r w:rsidR="00001659" w:rsidRPr="002155E6">
        <w:rPr>
          <w:spacing w:val="-3"/>
          <w:sz w:val="24"/>
          <w:szCs w:val="24"/>
          <w:shd w:val="clear" w:color="auto" w:fill="FFFFFF"/>
        </w:rPr>
        <w:t xml:space="preserve"> </w:t>
      </w:r>
      <w:r w:rsidR="00D44882" w:rsidRPr="002155E6">
        <w:rPr>
          <w:spacing w:val="-3"/>
          <w:sz w:val="24"/>
          <w:szCs w:val="24"/>
          <w:shd w:val="clear" w:color="auto" w:fill="FFFFFF"/>
        </w:rPr>
        <w:t xml:space="preserve">If the proposed requirements in FCC 15-67 are adopted in a final rulemaking by the Commission the following program changes/increases will be added to the OMB inventory: 50 to the number of respondents, </w:t>
      </w:r>
      <w:r w:rsidR="00F1007C" w:rsidRPr="002155E6">
        <w:rPr>
          <w:spacing w:val="-3"/>
          <w:sz w:val="24"/>
          <w:szCs w:val="24"/>
          <w:shd w:val="clear" w:color="auto" w:fill="FFFFFF"/>
        </w:rPr>
        <w:t>10</w:t>
      </w:r>
      <w:r w:rsidR="00D44882" w:rsidRPr="002155E6">
        <w:rPr>
          <w:spacing w:val="-3"/>
          <w:sz w:val="24"/>
          <w:szCs w:val="24"/>
          <w:shd w:val="clear" w:color="auto" w:fill="FFFFFF"/>
        </w:rPr>
        <w:t xml:space="preserve">0 to the number of responses, </w:t>
      </w:r>
      <w:r w:rsidR="002155E6" w:rsidRPr="002155E6">
        <w:rPr>
          <w:spacing w:val="-3"/>
          <w:sz w:val="24"/>
          <w:szCs w:val="24"/>
          <w:shd w:val="clear" w:color="auto" w:fill="FFFFFF"/>
        </w:rPr>
        <w:t>75</w:t>
      </w:r>
      <w:r w:rsidR="001B2F19" w:rsidRPr="002155E6">
        <w:rPr>
          <w:spacing w:val="-3"/>
          <w:sz w:val="24"/>
          <w:szCs w:val="24"/>
          <w:shd w:val="clear" w:color="auto" w:fill="FFFFFF"/>
        </w:rPr>
        <w:t>0</w:t>
      </w:r>
      <w:r w:rsidR="00D44882" w:rsidRPr="002155E6">
        <w:rPr>
          <w:spacing w:val="-3"/>
          <w:sz w:val="24"/>
          <w:szCs w:val="24"/>
          <w:shd w:val="clear" w:color="auto" w:fill="FFFFFF"/>
        </w:rPr>
        <w:t xml:space="preserve"> to the annual burden hours, and $</w:t>
      </w:r>
      <w:r w:rsidR="002155E6" w:rsidRPr="002155E6">
        <w:rPr>
          <w:spacing w:val="-3"/>
          <w:sz w:val="24"/>
          <w:szCs w:val="24"/>
          <w:shd w:val="clear" w:color="auto" w:fill="FFFFFF"/>
        </w:rPr>
        <w:t>80,000</w:t>
      </w:r>
      <w:r w:rsidR="001B2F19" w:rsidRPr="002155E6">
        <w:rPr>
          <w:spacing w:val="-3"/>
          <w:sz w:val="24"/>
          <w:szCs w:val="24"/>
          <w:shd w:val="clear" w:color="auto" w:fill="FFFFFF"/>
        </w:rPr>
        <w:t xml:space="preserve"> to the annual cost burden</w:t>
      </w:r>
      <w:r w:rsidR="00D44882" w:rsidRPr="002155E6">
        <w:rPr>
          <w:spacing w:val="-3"/>
          <w:sz w:val="24"/>
          <w:szCs w:val="24"/>
          <w:shd w:val="clear" w:color="auto" w:fill="FFFFFF"/>
        </w:rPr>
        <w:t>.</w:t>
      </w:r>
    </w:p>
    <w:p w:rsidR="002155E6" w:rsidRPr="002155E6" w:rsidRDefault="002155E6" w:rsidP="009F32ED">
      <w:pPr>
        <w:suppressAutoHyphens/>
        <w:rPr>
          <w:spacing w:val="-3"/>
          <w:sz w:val="24"/>
          <w:szCs w:val="24"/>
          <w:shd w:val="clear" w:color="auto" w:fill="FFFFFF"/>
        </w:rPr>
      </w:pPr>
    </w:p>
    <w:p w:rsidR="00C767B0" w:rsidRPr="002155E6" w:rsidRDefault="002155E6" w:rsidP="009F32ED">
      <w:pPr>
        <w:suppressAutoHyphens/>
        <w:rPr>
          <w:spacing w:val="-3"/>
          <w:sz w:val="24"/>
          <w:szCs w:val="24"/>
        </w:rPr>
      </w:pPr>
      <w:r w:rsidRPr="002155E6">
        <w:rPr>
          <w:spacing w:val="-3"/>
          <w:sz w:val="24"/>
          <w:szCs w:val="24"/>
          <w:shd w:val="clear" w:color="auto" w:fill="FFFFFF"/>
        </w:rPr>
        <w:t>There are adjustments/decreases to the Commission’s cost estimate of $400,000.  This is due to the Commission reevaluating its cost estimate for the consulting engineer.</w:t>
      </w:r>
      <w:r w:rsidR="00D44882" w:rsidRPr="002155E6">
        <w:rPr>
          <w:spacing w:val="-3"/>
          <w:sz w:val="24"/>
          <w:szCs w:val="24"/>
          <w:shd w:val="clear" w:color="auto" w:fill="FFFFFF"/>
        </w:rPr>
        <w:t xml:space="preserve"> </w:t>
      </w:r>
      <w:r w:rsidR="00C767B0" w:rsidRPr="002155E6">
        <w:rPr>
          <w:spacing w:val="-3"/>
          <w:sz w:val="24"/>
          <w:szCs w:val="24"/>
        </w:rPr>
        <w:t xml:space="preserve">  </w:t>
      </w:r>
    </w:p>
    <w:p w:rsidR="00C767B0" w:rsidRPr="002155E6" w:rsidRDefault="00C767B0" w:rsidP="009F32ED">
      <w:pPr>
        <w:suppressAutoHyphens/>
        <w:rPr>
          <w:spacing w:val="-3"/>
          <w:sz w:val="24"/>
          <w:szCs w:val="24"/>
        </w:rPr>
      </w:pPr>
    </w:p>
    <w:p w:rsidR="007A472D" w:rsidRPr="002155E6" w:rsidRDefault="007A472D" w:rsidP="009F32ED">
      <w:pPr>
        <w:suppressAutoHyphens/>
        <w:rPr>
          <w:spacing w:val="-3"/>
          <w:sz w:val="24"/>
          <w:szCs w:val="24"/>
        </w:rPr>
      </w:pPr>
      <w:r w:rsidRPr="002155E6">
        <w:rPr>
          <w:spacing w:val="-3"/>
          <w:sz w:val="24"/>
          <w:szCs w:val="24"/>
        </w:rPr>
        <w:t xml:space="preserve">16.  The data will not be published.  </w:t>
      </w:r>
    </w:p>
    <w:p w:rsidR="007A472D" w:rsidRPr="002155E6" w:rsidRDefault="007A472D" w:rsidP="009F32ED">
      <w:pPr>
        <w:suppressAutoHyphens/>
        <w:rPr>
          <w:spacing w:val="-3"/>
          <w:sz w:val="24"/>
          <w:szCs w:val="24"/>
        </w:rPr>
      </w:pPr>
    </w:p>
    <w:p w:rsidR="007A472D" w:rsidRPr="002155E6" w:rsidRDefault="007A472D" w:rsidP="009F32ED">
      <w:pPr>
        <w:suppressAutoHyphens/>
        <w:rPr>
          <w:spacing w:val="-3"/>
          <w:sz w:val="24"/>
          <w:szCs w:val="24"/>
        </w:rPr>
      </w:pPr>
      <w:r w:rsidRPr="002155E6">
        <w:rPr>
          <w:spacing w:val="-3"/>
          <w:sz w:val="24"/>
          <w:szCs w:val="24"/>
        </w:rPr>
        <w:t>17. An extension of the waiver not to publish the expiration date on the form is requested.  This will obviate the need for the Commission to update electronic forms upon the expiration of the clearance.  OMB approval of the expiration date of the information collection will be displayed at 47 CFR Section 0.408.</w:t>
      </w:r>
    </w:p>
    <w:p w:rsidR="007A472D" w:rsidRPr="002155E6" w:rsidRDefault="007A472D" w:rsidP="009F32ED">
      <w:pPr>
        <w:suppressAutoHyphens/>
        <w:rPr>
          <w:spacing w:val="-3"/>
          <w:sz w:val="24"/>
          <w:szCs w:val="24"/>
        </w:rPr>
      </w:pPr>
    </w:p>
    <w:p w:rsidR="007A472D" w:rsidRPr="002155E6" w:rsidRDefault="007A472D" w:rsidP="009F32ED">
      <w:pPr>
        <w:suppressAutoHyphens/>
        <w:jc w:val="both"/>
        <w:rPr>
          <w:sz w:val="24"/>
          <w:szCs w:val="24"/>
        </w:rPr>
      </w:pPr>
      <w:r w:rsidRPr="002155E6">
        <w:rPr>
          <w:spacing w:val="-3"/>
          <w:sz w:val="24"/>
          <w:szCs w:val="24"/>
        </w:rPr>
        <w:t>18.</w:t>
      </w:r>
      <w:r w:rsidR="00E27BD3" w:rsidRPr="002155E6">
        <w:rPr>
          <w:spacing w:val="-3"/>
          <w:sz w:val="24"/>
          <w:szCs w:val="24"/>
        </w:rPr>
        <w:t xml:space="preserve"> </w:t>
      </w:r>
      <w:r w:rsidR="002535DC" w:rsidRPr="002155E6">
        <w:rPr>
          <w:spacing w:val="-3"/>
          <w:sz w:val="24"/>
          <w:szCs w:val="24"/>
        </w:rPr>
        <w:t xml:space="preserve">There are no exceptions to the </w:t>
      </w:r>
      <w:r w:rsidRPr="002155E6">
        <w:rPr>
          <w:sz w:val="24"/>
          <w:szCs w:val="24"/>
        </w:rPr>
        <w:t xml:space="preserve">Certification </w:t>
      </w:r>
      <w:r w:rsidR="002535DC" w:rsidRPr="002155E6">
        <w:rPr>
          <w:sz w:val="24"/>
          <w:szCs w:val="24"/>
        </w:rPr>
        <w:t>Statement</w:t>
      </w:r>
      <w:r w:rsidRPr="002155E6">
        <w:rPr>
          <w:sz w:val="24"/>
          <w:szCs w:val="24"/>
        </w:rPr>
        <w:t>.</w:t>
      </w:r>
    </w:p>
    <w:p w:rsidR="007A472D" w:rsidRPr="002155E6" w:rsidRDefault="007A472D" w:rsidP="009F32ED">
      <w:pPr>
        <w:tabs>
          <w:tab w:val="left" w:pos="0"/>
          <w:tab w:val="left" w:pos="360"/>
          <w:tab w:val="left" w:pos="720"/>
        </w:tabs>
        <w:suppressAutoHyphens/>
        <w:jc w:val="both"/>
        <w:rPr>
          <w:b/>
          <w:spacing w:val="-3"/>
          <w:sz w:val="24"/>
          <w:szCs w:val="24"/>
        </w:rPr>
      </w:pPr>
    </w:p>
    <w:p w:rsidR="007A472D" w:rsidRPr="002155E6" w:rsidRDefault="007A472D" w:rsidP="009F32ED">
      <w:pPr>
        <w:tabs>
          <w:tab w:val="left" w:pos="0"/>
          <w:tab w:val="left" w:pos="360"/>
          <w:tab w:val="left" w:pos="720"/>
        </w:tabs>
        <w:suppressAutoHyphens/>
        <w:jc w:val="both"/>
        <w:rPr>
          <w:b/>
          <w:spacing w:val="-3"/>
          <w:sz w:val="24"/>
          <w:szCs w:val="24"/>
        </w:rPr>
      </w:pPr>
      <w:r w:rsidRPr="002155E6">
        <w:rPr>
          <w:b/>
          <w:spacing w:val="-3"/>
          <w:sz w:val="24"/>
          <w:szCs w:val="24"/>
        </w:rPr>
        <w:t>B.  Collections of Information Employing Statistical Methods:</w:t>
      </w:r>
    </w:p>
    <w:p w:rsidR="007A472D" w:rsidRPr="002155E6" w:rsidRDefault="007A472D" w:rsidP="009F32ED">
      <w:pPr>
        <w:suppressAutoHyphens/>
        <w:rPr>
          <w:spacing w:val="-3"/>
          <w:sz w:val="24"/>
          <w:szCs w:val="24"/>
        </w:rPr>
      </w:pPr>
    </w:p>
    <w:p w:rsidR="007A472D" w:rsidRPr="002155E6" w:rsidRDefault="00440E71" w:rsidP="009F32ED">
      <w:pPr>
        <w:suppressAutoHyphens/>
        <w:rPr>
          <w:spacing w:val="-3"/>
          <w:sz w:val="24"/>
          <w:szCs w:val="24"/>
        </w:rPr>
      </w:pPr>
      <w:r w:rsidRPr="002155E6">
        <w:rPr>
          <w:spacing w:val="-3"/>
          <w:sz w:val="24"/>
          <w:szCs w:val="24"/>
        </w:rPr>
        <w:t xml:space="preserve">This information collection does not employ any </w:t>
      </w:r>
      <w:r w:rsidR="007A472D" w:rsidRPr="002155E6">
        <w:rPr>
          <w:spacing w:val="-3"/>
          <w:sz w:val="24"/>
          <w:szCs w:val="24"/>
        </w:rPr>
        <w:t>statistical methods.</w:t>
      </w:r>
    </w:p>
    <w:p w:rsidR="007A472D" w:rsidRDefault="007A472D" w:rsidP="009F32ED">
      <w:pPr>
        <w:jc w:val="both"/>
      </w:pPr>
    </w:p>
    <w:p w:rsidR="00253B90" w:rsidRDefault="00253B90" w:rsidP="009F32ED">
      <w:pPr>
        <w:jc w:val="both"/>
      </w:pPr>
    </w:p>
    <w:p w:rsidR="00253B90" w:rsidRDefault="00253B90" w:rsidP="009F32ED">
      <w:pPr>
        <w:jc w:val="both"/>
      </w:pPr>
      <w:r>
        <w:object w:dxaOrig="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7" o:title=""/>
          </v:shape>
          <o:OLEObject Type="Embed" ProgID="WestCheck.Citations.1" ShapeID="_x0000_i1025" DrawAspect="Content" ObjectID="_1498372627" r:id="rId8">
            <o:FieldCodes>\s</o:FieldCodes>
          </o:OLEObject>
        </w:object>
      </w:r>
    </w:p>
    <w:p w:rsidR="007A472D" w:rsidRDefault="007A472D" w:rsidP="009F32ED">
      <w:pPr>
        <w:jc w:val="both"/>
      </w:pPr>
    </w:p>
    <w:sectPr w:rsidR="007A472D">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9E" w:rsidRDefault="0046629E">
      <w:r>
        <w:separator/>
      </w:r>
    </w:p>
  </w:endnote>
  <w:endnote w:type="continuationSeparator" w:id="0">
    <w:p w:rsidR="0046629E" w:rsidRDefault="0046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7C" w:rsidRDefault="00F10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07C" w:rsidRDefault="00F10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7C" w:rsidRDefault="00F100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FFE">
      <w:rPr>
        <w:rStyle w:val="PageNumber"/>
        <w:noProof/>
      </w:rPr>
      <w:t>5</w:t>
    </w:r>
    <w:r>
      <w:rPr>
        <w:rStyle w:val="PageNumber"/>
      </w:rPr>
      <w:fldChar w:fldCharType="end"/>
    </w:r>
  </w:p>
  <w:p w:rsidR="00F1007C" w:rsidRDefault="00F10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9E" w:rsidRDefault="0046629E">
      <w:r>
        <w:separator/>
      </w:r>
    </w:p>
  </w:footnote>
  <w:footnote w:type="continuationSeparator" w:id="0">
    <w:p w:rsidR="0046629E" w:rsidRDefault="0046629E">
      <w:r>
        <w:continuationSeparator/>
      </w:r>
    </w:p>
  </w:footnote>
  <w:footnote w:id="1">
    <w:p w:rsidR="00F1007C" w:rsidRDefault="00F1007C" w:rsidP="00B96714">
      <w:pPr>
        <w:pStyle w:val="FootnoteText"/>
      </w:pPr>
      <w:r>
        <w:rPr>
          <w:rStyle w:val="FootnoteReference"/>
        </w:rPr>
        <w:footnoteRef/>
      </w:r>
      <w:r>
        <w:t xml:space="preserve"> In a previous </w:t>
      </w:r>
      <w:r w:rsidRPr="00040120">
        <w:t>non-</w:t>
      </w:r>
      <w:r>
        <w:t>substantive change, FCC Form 301-CA</w:t>
      </w:r>
      <w:r w:rsidRPr="00040120">
        <w:t xml:space="preserve"> </w:t>
      </w:r>
      <w:r>
        <w:t>was</w:t>
      </w:r>
      <w:r w:rsidRPr="00040120">
        <w:t xml:space="preserve"> </w:t>
      </w:r>
      <w:r>
        <w:t>r</w:t>
      </w:r>
      <w:r w:rsidRPr="00040120">
        <w:t xml:space="preserve">enamed and encompassed by FCC Form 2100 and the electronic “Licensing Modernization” </w:t>
      </w:r>
      <w:r>
        <w:t>system.  The former FCC Form 301-CA</w:t>
      </w:r>
      <w:r w:rsidRPr="00040120">
        <w:t xml:space="preserve"> no longer exists, and its contents are fully contained within FCC Form 2100 and the “Licensing Modernization” system.  </w:t>
      </w:r>
    </w:p>
  </w:footnote>
  <w:footnote w:id="2">
    <w:p w:rsidR="00F1007C" w:rsidRDefault="00F1007C">
      <w:pPr>
        <w:pStyle w:val="FootnoteText"/>
      </w:pPr>
      <w:r>
        <w:rPr>
          <w:rStyle w:val="FootnoteReference"/>
        </w:rPr>
        <w:footnoteRef/>
      </w:r>
      <w:r>
        <w:t xml:space="preserve"> Class A television stations are low power television licensees which, during the 90-day period ending </w:t>
      </w:r>
      <w:smartTag w:uri="urn:schemas-microsoft-com:office:smarttags" w:element="date">
        <w:smartTagPr>
          <w:attr w:name="Year" w:val="1999"/>
          <w:attr w:name="Day" w:val="28"/>
          <w:attr w:name="Month" w:val="11"/>
          <w:attr w:name="ls" w:val="trans"/>
        </w:smartTagPr>
        <w:r>
          <w:t>November 28, 1999</w:t>
        </w:r>
      </w:smartTag>
      <w:r>
        <w:t xml:space="preserve">, operated their stations in a manner consistent with the programming and operational standards set forth in the Community Broadcasters Protection Act of 1999, and thus, were accorded primary status as Class A television licensees.  </w:t>
      </w:r>
      <w:r w:rsidRPr="000F62B8">
        <w:rPr>
          <w:i/>
        </w:rPr>
        <w:t>See</w:t>
      </w:r>
      <w:r>
        <w:t xml:space="preserve"> 47 C.F.R. Section 73.6001(a).</w:t>
      </w:r>
    </w:p>
  </w:footnote>
  <w:footnote w:id="3">
    <w:p w:rsidR="00F1007C" w:rsidRDefault="00F1007C" w:rsidP="00EE6BC3">
      <w:pPr>
        <w:pStyle w:val="FootnoteText"/>
      </w:pPr>
      <w:r>
        <w:rPr>
          <w:rStyle w:val="FootnoteReference"/>
        </w:rPr>
        <w:footnoteRef/>
      </w:r>
      <w:r>
        <w:t xml:space="preserve"> A “material representation” has been defined as one “relating to matter which is so substantial or important as to influence the party to whom it is made.”  </w:t>
      </w:r>
      <w:r w:rsidRPr="000F62B8">
        <w:rPr>
          <w:i/>
        </w:rPr>
        <w:t>See</w:t>
      </w:r>
      <w:r>
        <w:t xml:space="preserve"> In the Matter of Amendment of Section 1.17 of the Commission’s Rules Concerning Truthful Statements to the Commission, 18 F.C.C.R. 4016 (2003), citing </w:t>
      </w:r>
      <w:r w:rsidRPr="000F62B8">
        <w:t>the</w:t>
      </w:r>
      <w:r w:rsidRPr="000F62B8">
        <w:rPr>
          <w:u w:val="single"/>
        </w:rPr>
        <w:t xml:space="preserve"> Matter of Mark E. Wagner, 744 N.E. 2d 418, 421 (</w:t>
      </w:r>
      <w:smartTag w:uri="urn:schemas-microsoft-com:office:smarttags" w:element="place">
        <w:smartTag w:uri="urn:schemas-microsoft-com:office:smarttags" w:element="City">
          <w:r w:rsidRPr="000F62B8">
            <w:rPr>
              <w:u w:val="single"/>
            </w:rPr>
            <w:t>Ind.</w:t>
          </w:r>
        </w:smartTag>
      </w:smartTag>
      <w:r w:rsidRPr="000F62B8">
        <w:rPr>
          <w:u w:val="single"/>
        </w:rPr>
        <w:t xml:space="preserve"> 2001)</w:t>
      </w:r>
      <w:r>
        <w:t>.</w:t>
      </w:r>
    </w:p>
  </w:footnote>
  <w:footnote w:id="4">
    <w:p w:rsidR="00F1007C" w:rsidRDefault="00F1007C" w:rsidP="00EE6BC3">
      <w:pPr>
        <w:pStyle w:val="FootnoteText"/>
      </w:pPr>
      <w:r>
        <w:rPr>
          <w:rStyle w:val="FootnoteReference"/>
        </w:rPr>
        <w:footnoteRef/>
      </w:r>
      <w:r>
        <w:t xml:space="preserve"> </w:t>
      </w:r>
      <w:r w:rsidRPr="006762D5">
        <w:rPr>
          <w:i/>
        </w:rPr>
        <w:t>See</w:t>
      </w:r>
      <w:r w:rsidRPr="006762D5">
        <w:t xml:space="preserve"> OMB control number 3060-0214 for the burden associated with the recordkeeping requirement for the newspaper notices </w:t>
      </w:r>
      <w:r>
        <w:t xml:space="preserve">and application </w:t>
      </w:r>
      <w:r w:rsidRPr="006762D5">
        <w:t>pursuant to Section 73.3527.</w:t>
      </w:r>
    </w:p>
  </w:footnote>
  <w:footnote w:id="5">
    <w:p w:rsidR="00F1007C" w:rsidRDefault="00F1007C" w:rsidP="00EE6BC3">
      <w:pPr>
        <w:pStyle w:val="FootnoteText"/>
      </w:pPr>
      <w:r>
        <w:rPr>
          <w:rStyle w:val="FootnoteReference"/>
        </w:rPr>
        <w:footnoteRef/>
      </w:r>
      <w:r>
        <w:t xml:space="preserve"> </w:t>
      </w:r>
      <w:r w:rsidRPr="003F2814">
        <w:rPr>
          <w:i/>
        </w:rPr>
        <w:t>See</w:t>
      </w:r>
      <w:r>
        <w:t xml:space="preserve"> OMB control number 3060-0016 for the associated burden for FCC Form 346 as it relates to Section 74.793(d). </w:t>
      </w:r>
    </w:p>
  </w:footnote>
  <w:footnote w:id="6">
    <w:p w:rsidR="00F1007C" w:rsidRPr="00D44882" w:rsidRDefault="00F1007C" w:rsidP="00D44882">
      <w:pPr>
        <w:pStyle w:val="FootnoteText"/>
      </w:pPr>
      <w:r>
        <w:rPr>
          <w:rStyle w:val="FootnoteReference"/>
        </w:rPr>
        <w:footnoteRef/>
      </w:r>
      <w:r>
        <w:t xml:space="preserve"> Proposed new rule 47 CFR 73.6028 proposes to require that a Class A TV channel sharing station relinquishing its channel file an application for the initial channel sharing construction permit (FCC Form 2100, Schedule E – formerly FCC Form 301-CA), include a copy of the channel sharing agreement as an exhibit, and cross reference the other sharing station(s).  Any engineering changes necessitated by the channel sharing arrangement may be included in the station’s application.  </w:t>
      </w:r>
    </w:p>
    <w:p w:rsidR="00F1007C" w:rsidRDefault="00F1007C" w:rsidP="00802F80">
      <w:pPr>
        <w:pStyle w:val="FootnoteText"/>
      </w:pPr>
    </w:p>
  </w:footnote>
  <w:footnote w:id="7">
    <w:p w:rsidR="00F1007C" w:rsidRDefault="00F1007C">
      <w:pPr>
        <w:pStyle w:val="FootnoteText"/>
      </w:pPr>
      <w:r>
        <w:rPr>
          <w:rStyle w:val="FootnoteReference"/>
        </w:rPr>
        <w:footnoteRef/>
      </w:r>
      <w:r>
        <w:rPr>
          <w:rStyle w:val="FootnoteReference"/>
        </w:rPr>
        <w:footnoteRef/>
      </w:r>
      <w:r>
        <w:t xml:space="preserve"> The CSAs are filed as attachments to the minor change applications so they are not counted as separate responses</w:t>
      </w:r>
      <w:r w:rsidR="00712F26">
        <w:t xml:space="preserve"> from the minor change applications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7C" w:rsidRPr="00000C6D" w:rsidRDefault="00F1007C" w:rsidP="00000C6D">
    <w:pPr>
      <w:suppressAutoHyphens/>
      <w:jc w:val="both"/>
      <w:rPr>
        <w:b/>
        <w:spacing w:val="-3"/>
        <w:sz w:val="24"/>
        <w:szCs w:val="24"/>
      </w:rPr>
    </w:pPr>
    <w:r w:rsidRPr="00000C6D">
      <w:rPr>
        <w:b/>
        <w:spacing w:val="-3"/>
        <w:sz w:val="24"/>
        <w:szCs w:val="24"/>
      </w:rPr>
      <w:t>OMB Control Number:  3060-0932</w:t>
    </w:r>
    <w:r w:rsidRPr="00000C6D">
      <w:rPr>
        <w:b/>
        <w:spacing w:val="-3"/>
        <w:sz w:val="24"/>
        <w:szCs w:val="24"/>
      </w:rPr>
      <w:tab/>
    </w:r>
    <w:r w:rsidRPr="00000C6D">
      <w:rPr>
        <w:b/>
        <w:spacing w:val="-3"/>
        <w:sz w:val="24"/>
        <w:szCs w:val="24"/>
      </w:rPr>
      <w:tab/>
    </w:r>
    <w:r w:rsidRPr="00000C6D">
      <w:rPr>
        <w:b/>
        <w:spacing w:val="-3"/>
        <w:sz w:val="24"/>
        <w:szCs w:val="24"/>
      </w:rPr>
      <w:tab/>
    </w:r>
    <w:r w:rsidRPr="00000C6D">
      <w:rPr>
        <w:b/>
        <w:spacing w:val="-3"/>
        <w:sz w:val="24"/>
        <w:szCs w:val="24"/>
      </w:rPr>
      <w:tab/>
    </w:r>
    <w:r w:rsidRPr="00000C6D">
      <w:rPr>
        <w:b/>
        <w:spacing w:val="-3"/>
        <w:sz w:val="24"/>
        <w:szCs w:val="24"/>
      </w:rPr>
      <w:tab/>
      <w:t xml:space="preserve">                      </w:t>
    </w:r>
    <w:r>
      <w:rPr>
        <w:b/>
        <w:spacing w:val="-3"/>
        <w:sz w:val="24"/>
        <w:szCs w:val="24"/>
      </w:rPr>
      <w:t>June 2015</w:t>
    </w:r>
    <w:r w:rsidRPr="00000C6D">
      <w:rPr>
        <w:b/>
        <w:spacing w:val="-3"/>
        <w:sz w:val="24"/>
        <w:szCs w:val="24"/>
      </w:rPr>
      <w:t xml:space="preserve">           </w:t>
    </w:r>
  </w:p>
  <w:p w:rsidR="00F1007C" w:rsidRPr="00000C6D" w:rsidRDefault="00F1007C" w:rsidP="005B69B1">
    <w:pPr>
      <w:suppressAutoHyphens/>
      <w:rPr>
        <w:b/>
        <w:color w:val="000000"/>
        <w:sz w:val="24"/>
        <w:szCs w:val="24"/>
      </w:rPr>
    </w:pPr>
    <w:r w:rsidRPr="00000C6D">
      <w:rPr>
        <w:b/>
        <w:spacing w:val="-3"/>
        <w:sz w:val="24"/>
        <w:szCs w:val="24"/>
      </w:rPr>
      <w:t>Title:</w:t>
    </w:r>
    <w:r w:rsidRPr="006A2C38">
      <w:rPr>
        <w:b/>
        <w:snapToGrid w:val="0"/>
        <w:sz w:val="24"/>
        <w:szCs w:val="24"/>
      </w:rPr>
      <w:t xml:space="preserve"> </w:t>
    </w:r>
    <w:r w:rsidRPr="006A2C38">
      <w:rPr>
        <w:b/>
        <w:spacing w:val="-3"/>
        <w:sz w:val="24"/>
        <w:szCs w:val="24"/>
      </w:rPr>
      <w:t>FCC Form 2100</w:t>
    </w:r>
    <w:r>
      <w:rPr>
        <w:b/>
        <w:spacing w:val="-3"/>
        <w:sz w:val="24"/>
        <w:szCs w:val="24"/>
      </w:rPr>
      <w:t>,</w:t>
    </w:r>
    <w:r w:rsidRPr="006A2C38">
      <w:rPr>
        <w:b/>
        <w:spacing w:val="-3"/>
        <w:sz w:val="24"/>
        <w:szCs w:val="24"/>
      </w:rPr>
      <w:t xml:space="preserve"> Application for Media Bureau Audio and Video Service Authorization, Schedule E (Former FCC Form 301-CA)</w:t>
    </w:r>
    <w:r w:rsidRPr="00000C6D">
      <w:rPr>
        <w:b/>
        <w:sz w:val="24"/>
        <w:szCs w:val="24"/>
      </w:rPr>
      <w:t xml:space="preserve">; </w:t>
    </w:r>
    <w:r w:rsidRPr="00000C6D">
      <w:rPr>
        <w:b/>
        <w:iCs/>
        <w:color w:val="000000"/>
        <w:sz w:val="24"/>
        <w:szCs w:val="24"/>
      </w:rPr>
      <w:t>47 CFR 74.793(d)</w:t>
    </w:r>
  </w:p>
  <w:p w:rsidR="00F1007C" w:rsidRPr="00000C6D" w:rsidRDefault="00F1007C">
    <w:pPr>
      <w:pStyle w:val="BodyText2"/>
      <w:rPr>
        <w:b/>
        <w:szCs w:val="24"/>
      </w:rPr>
    </w:pPr>
    <w:r w:rsidRPr="00000C6D">
      <w:rPr>
        <w:b/>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CE"/>
    <w:rsid w:val="00000C6D"/>
    <w:rsid w:val="00001659"/>
    <w:rsid w:val="0000648E"/>
    <w:rsid w:val="000633FB"/>
    <w:rsid w:val="0006684E"/>
    <w:rsid w:val="0008022B"/>
    <w:rsid w:val="000819DF"/>
    <w:rsid w:val="00086E6B"/>
    <w:rsid w:val="0009246C"/>
    <w:rsid w:val="000D02FB"/>
    <w:rsid w:val="000D4ED2"/>
    <w:rsid w:val="000D5D48"/>
    <w:rsid w:val="000E789B"/>
    <w:rsid w:val="000F62B8"/>
    <w:rsid w:val="00130756"/>
    <w:rsid w:val="00144D0A"/>
    <w:rsid w:val="001521C1"/>
    <w:rsid w:val="00161917"/>
    <w:rsid w:val="00164396"/>
    <w:rsid w:val="001809B9"/>
    <w:rsid w:val="00197972"/>
    <w:rsid w:val="001A3A0B"/>
    <w:rsid w:val="001B2F19"/>
    <w:rsid w:val="001F1925"/>
    <w:rsid w:val="002155E6"/>
    <w:rsid w:val="0022509E"/>
    <w:rsid w:val="0023408C"/>
    <w:rsid w:val="00234392"/>
    <w:rsid w:val="00243B40"/>
    <w:rsid w:val="002535DC"/>
    <w:rsid w:val="00253B90"/>
    <w:rsid w:val="002548CE"/>
    <w:rsid w:val="00256B6A"/>
    <w:rsid w:val="00274DF1"/>
    <w:rsid w:val="00276372"/>
    <w:rsid w:val="00281C21"/>
    <w:rsid w:val="00285F62"/>
    <w:rsid w:val="00297B9B"/>
    <w:rsid w:val="002A2946"/>
    <w:rsid w:val="002B671A"/>
    <w:rsid w:val="002C4350"/>
    <w:rsid w:val="002C728B"/>
    <w:rsid w:val="002D1D38"/>
    <w:rsid w:val="002E2935"/>
    <w:rsid w:val="00315E99"/>
    <w:rsid w:val="003334F9"/>
    <w:rsid w:val="003475B4"/>
    <w:rsid w:val="00350438"/>
    <w:rsid w:val="003558BB"/>
    <w:rsid w:val="00360097"/>
    <w:rsid w:val="003631DC"/>
    <w:rsid w:val="00367B46"/>
    <w:rsid w:val="00380896"/>
    <w:rsid w:val="0038091D"/>
    <w:rsid w:val="003868AB"/>
    <w:rsid w:val="00393836"/>
    <w:rsid w:val="003B2C2F"/>
    <w:rsid w:val="003B3FA6"/>
    <w:rsid w:val="003C5F07"/>
    <w:rsid w:val="003D3DCA"/>
    <w:rsid w:val="003F1975"/>
    <w:rsid w:val="003F2814"/>
    <w:rsid w:val="003F33A9"/>
    <w:rsid w:val="004162C8"/>
    <w:rsid w:val="00426CF3"/>
    <w:rsid w:val="0043127B"/>
    <w:rsid w:val="00440E71"/>
    <w:rsid w:val="004460DA"/>
    <w:rsid w:val="00453600"/>
    <w:rsid w:val="0046629E"/>
    <w:rsid w:val="00476716"/>
    <w:rsid w:val="004A4B11"/>
    <w:rsid w:val="004C57C9"/>
    <w:rsid w:val="004D72FA"/>
    <w:rsid w:val="004E6C24"/>
    <w:rsid w:val="005045D0"/>
    <w:rsid w:val="00520E2F"/>
    <w:rsid w:val="0054242B"/>
    <w:rsid w:val="0056723F"/>
    <w:rsid w:val="005676A4"/>
    <w:rsid w:val="0057013F"/>
    <w:rsid w:val="005722F2"/>
    <w:rsid w:val="00572D6D"/>
    <w:rsid w:val="00584515"/>
    <w:rsid w:val="005B69B1"/>
    <w:rsid w:val="006070CB"/>
    <w:rsid w:val="00617B72"/>
    <w:rsid w:val="006273BD"/>
    <w:rsid w:val="00643FE1"/>
    <w:rsid w:val="0066353C"/>
    <w:rsid w:val="00664C80"/>
    <w:rsid w:val="00682C3A"/>
    <w:rsid w:val="00684DE3"/>
    <w:rsid w:val="0069760C"/>
    <w:rsid w:val="006A2C38"/>
    <w:rsid w:val="006C0971"/>
    <w:rsid w:val="0070010A"/>
    <w:rsid w:val="00712F26"/>
    <w:rsid w:val="00740345"/>
    <w:rsid w:val="007410A0"/>
    <w:rsid w:val="0074727A"/>
    <w:rsid w:val="00761F91"/>
    <w:rsid w:val="007756C1"/>
    <w:rsid w:val="007762CB"/>
    <w:rsid w:val="0077667A"/>
    <w:rsid w:val="00783611"/>
    <w:rsid w:val="00787483"/>
    <w:rsid w:val="007A472D"/>
    <w:rsid w:val="007C3956"/>
    <w:rsid w:val="007D13E5"/>
    <w:rsid w:val="007D6B6A"/>
    <w:rsid w:val="007E3BB6"/>
    <w:rsid w:val="007E6A69"/>
    <w:rsid w:val="00802F80"/>
    <w:rsid w:val="0082542F"/>
    <w:rsid w:val="00841009"/>
    <w:rsid w:val="00846F56"/>
    <w:rsid w:val="008672B8"/>
    <w:rsid w:val="00887CB1"/>
    <w:rsid w:val="008906DC"/>
    <w:rsid w:val="008D10B3"/>
    <w:rsid w:val="008D2631"/>
    <w:rsid w:val="008F4343"/>
    <w:rsid w:val="00904A00"/>
    <w:rsid w:val="00926225"/>
    <w:rsid w:val="009352C9"/>
    <w:rsid w:val="00946F7E"/>
    <w:rsid w:val="00947808"/>
    <w:rsid w:val="00984961"/>
    <w:rsid w:val="00994F92"/>
    <w:rsid w:val="009B1A18"/>
    <w:rsid w:val="009B2469"/>
    <w:rsid w:val="009C7D0F"/>
    <w:rsid w:val="009D0EC1"/>
    <w:rsid w:val="009D2E9F"/>
    <w:rsid w:val="009E146C"/>
    <w:rsid w:val="009F32ED"/>
    <w:rsid w:val="00A02163"/>
    <w:rsid w:val="00A2245F"/>
    <w:rsid w:val="00A22C1C"/>
    <w:rsid w:val="00A231CF"/>
    <w:rsid w:val="00A350D7"/>
    <w:rsid w:val="00A47D98"/>
    <w:rsid w:val="00A62AD7"/>
    <w:rsid w:val="00A66302"/>
    <w:rsid w:val="00A7201D"/>
    <w:rsid w:val="00A73727"/>
    <w:rsid w:val="00A763C4"/>
    <w:rsid w:val="00A84715"/>
    <w:rsid w:val="00A917E9"/>
    <w:rsid w:val="00A919F6"/>
    <w:rsid w:val="00A941D1"/>
    <w:rsid w:val="00AA11C4"/>
    <w:rsid w:val="00AB3DC8"/>
    <w:rsid w:val="00AB665F"/>
    <w:rsid w:val="00AD2457"/>
    <w:rsid w:val="00AF05E8"/>
    <w:rsid w:val="00B01BE6"/>
    <w:rsid w:val="00B0628A"/>
    <w:rsid w:val="00B348C3"/>
    <w:rsid w:val="00B50FF6"/>
    <w:rsid w:val="00B5355F"/>
    <w:rsid w:val="00B611C6"/>
    <w:rsid w:val="00B6668A"/>
    <w:rsid w:val="00B96714"/>
    <w:rsid w:val="00BA087F"/>
    <w:rsid w:val="00BA70B9"/>
    <w:rsid w:val="00BB6457"/>
    <w:rsid w:val="00BC5123"/>
    <w:rsid w:val="00BE2A34"/>
    <w:rsid w:val="00BF483B"/>
    <w:rsid w:val="00C1017D"/>
    <w:rsid w:val="00C25686"/>
    <w:rsid w:val="00C328AB"/>
    <w:rsid w:val="00C4121D"/>
    <w:rsid w:val="00C60BF7"/>
    <w:rsid w:val="00C7191F"/>
    <w:rsid w:val="00C767B0"/>
    <w:rsid w:val="00CB6DA1"/>
    <w:rsid w:val="00CB6DB0"/>
    <w:rsid w:val="00CC0E0A"/>
    <w:rsid w:val="00CC5939"/>
    <w:rsid w:val="00CD49BE"/>
    <w:rsid w:val="00CF6001"/>
    <w:rsid w:val="00D01599"/>
    <w:rsid w:val="00D35DD9"/>
    <w:rsid w:val="00D4398E"/>
    <w:rsid w:val="00D44882"/>
    <w:rsid w:val="00D94C6F"/>
    <w:rsid w:val="00D953C6"/>
    <w:rsid w:val="00DA41C3"/>
    <w:rsid w:val="00DA42E5"/>
    <w:rsid w:val="00DB5CEF"/>
    <w:rsid w:val="00DC7062"/>
    <w:rsid w:val="00DF674B"/>
    <w:rsid w:val="00E03FFE"/>
    <w:rsid w:val="00E27BD3"/>
    <w:rsid w:val="00E509B0"/>
    <w:rsid w:val="00E66D5C"/>
    <w:rsid w:val="00E76CB8"/>
    <w:rsid w:val="00E8318E"/>
    <w:rsid w:val="00E91FF7"/>
    <w:rsid w:val="00E92A74"/>
    <w:rsid w:val="00E97D87"/>
    <w:rsid w:val="00EB06D6"/>
    <w:rsid w:val="00EB2A1C"/>
    <w:rsid w:val="00EB3FE9"/>
    <w:rsid w:val="00ED2DAF"/>
    <w:rsid w:val="00EE6BC3"/>
    <w:rsid w:val="00EF0779"/>
    <w:rsid w:val="00F1007C"/>
    <w:rsid w:val="00F10607"/>
    <w:rsid w:val="00F23C88"/>
    <w:rsid w:val="00F34BC7"/>
    <w:rsid w:val="00F37967"/>
    <w:rsid w:val="00F44092"/>
    <w:rsid w:val="00F854FD"/>
    <w:rsid w:val="00F93836"/>
    <w:rsid w:val="00F9696A"/>
    <w:rsid w:val="00F97175"/>
    <w:rsid w:val="00FA3EB5"/>
    <w:rsid w:val="00FA57F9"/>
    <w:rsid w:val="00FB6357"/>
    <w:rsid w:val="00FB782A"/>
    <w:rsid w:val="00FE5C84"/>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1027"/>
    <o:shapelayout v:ext="edit">
      <o:idmap v:ext="edit" data="1"/>
    </o:shapelayout>
  </w:shapeDefaults>
  <w:decimalSymbol w:val="."/>
  <w:listSeparator w:val=","/>
  <w15:docId w15:val="{356EB80C-8C7B-4535-A405-2F29576A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left" w:pos="-1440"/>
        <w:tab w:val="left" w:pos="-720"/>
        <w:tab w:val="left" w:pos="0"/>
        <w:tab w:val="left" w:pos="360"/>
        <w:tab w:val="left" w:pos="1080"/>
        <w:tab w:val="left" w:pos="1350"/>
        <w:tab w:val="left" w:pos="2160"/>
      </w:tabs>
      <w:suppressAutoHyphens/>
      <w:ind w:left="360"/>
      <w:jc w:val="both"/>
    </w:pPr>
    <w:rPr>
      <w:snapToGrid w:val="0"/>
      <w:spacing w:val="-2"/>
    </w:rPr>
  </w:style>
  <w:style w:type="paragraph" w:styleId="BodyText">
    <w:name w:val="Body Text"/>
    <w:basedOn w:val="Normal"/>
    <w:pPr>
      <w:suppressAutoHyphens/>
      <w:jc w:val="both"/>
    </w:pPr>
    <w:rPr>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548CE"/>
    <w:rPr>
      <w:rFonts w:ascii="Tahoma" w:hAnsi="Tahoma" w:cs="Tahoma"/>
      <w:sz w:val="16"/>
      <w:szCs w:val="16"/>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f"/>
    <w:basedOn w:val="Normal"/>
    <w:link w:val="FootnoteTextChar1"/>
    <w:semiHidden/>
    <w:rsid w:val="009C7D0F"/>
  </w:style>
  <w:style w:type="character" w:styleId="FootnoteReference">
    <w:name w:val="footnote reference"/>
    <w:aliases w:val="(NECG) Footnote Reference,Appel note de bas de p,Style 124,o,fr"/>
    <w:semiHidden/>
    <w:rsid w:val="000F62B8"/>
    <w:rPr>
      <w:vertAlign w:val="superscript"/>
    </w:rPr>
  </w:style>
  <w:style w:type="character" w:customStyle="1" w:styleId="FootnoteTextChar1">
    <w:name w:val="Footnote Text Char1"/>
    <w:aliases w:val="Footnote Text Char4 Char,Footnote Text Char2 Char Char,Footnote Text Char Char1 Char Char,Footnote Text Char3 Char Char1 Char Char,Footnote Text Char Char1 Char Char Char Char,Footnote Text Char2 Char Char1 Char Char Char Char,f Char"/>
    <w:link w:val="FootnoteText"/>
    <w:rsid w:val="00453600"/>
    <w:rPr>
      <w:lang w:val="en-US" w:eastAsia="en-US" w:bidi="ar-SA"/>
    </w:rPr>
  </w:style>
  <w:style w:type="table" w:styleId="TableGrid">
    <w:name w:val="Table Grid"/>
    <w:basedOn w:val="TableNormal"/>
    <w:rsid w:val="0036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74008">
      <w:bodyDiv w:val="1"/>
      <w:marLeft w:val="0"/>
      <w:marRight w:val="0"/>
      <w:marTop w:val="0"/>
      <w:marBottom w:val="0"/>
      <w:divBdr>
        <w:top w:val="none" w:sz="0" w:space="0" w:color="auto"/>
        <w:left w:val="none" w:sz="0" w:space="0" w:color="auto"/>
        <w:bottom w:val="none" w:sz="0" w:space="0" w:color="auto"/>
        <w:right w:val="none" w:sz="0" w:space="0" w:color="auto"/>
      </w:divBdr>
    </w:div>
    <w:div w:id="13244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8F1C-15F3-4D74-8FFB-36922060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FCC 301-CA is to be used in all cases by a Class A television station  licensee to make changes in the authorized facilities of such station</vt:lpstr>
    </vt:vector>
  </TitlesOfParts>
  <Company>FCC</Company>
  <LinksUpToDate>false</LinksUpToDate>
  <CharactersWithSpaces>13912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FCC 301-CA is to be used in all cases by a Class A television station  licensee to make changes in the authorized facilities of such station</dc:title>
  <dc:creator>JSWANK</dc:creator>
  <cp:lastModifiedBy>Cathy Williams</cp:lastModifiedBy>
  <cp:revision>4</cp:revision>
  <cp:lastPrinted>2015-06-30T13:57:00Z</cp:lastPrinted>
  <dcterms:created xsi:type="dcterms:W3CDTF">2015-06-30T13:59:00Z</dcterms:created>
  <dcterms:modified xsi:type="dcterms:W3CDTF">2015-07-14T13:51:00Z</dcterms:modified>
</cp:coreProperties>
</file>