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76020" w14:textId="77777777" w:rsidR="00871E47" w:rsidRDefault="009B4E2E">
      <w:pPr>
        <w:suppressAutoHyphens/>
        <w:jc w:val="center"/>
        <w:rPr>
          <w:rFonts w:ascii="Times New Roman" w:hAnsi="Times New Roman"/>
          <w:b/>
        </w:rPr>
      </w:pPr>
      <w:bookmarkStart w:id="0" w:name="_GoBack"/>
      <w:bookmarkEnd w:id="0"/>
      <w:r>
        <w:rPr>
          <w:rFonts w:ascii="Times New Roman" w:hAnsi="Times New Roman"/>
          <w:b/>
        </w:rPr>
        <w:t>SUPPORTING STATEMENT FOR NEW AND</w:t>
      </w:r>
    </w:p>
    <w:p w14:paraId="00676021" w14:textId="77777777" w:rsidR="00871E47" w:rsidRDefault="009B4E2E">
      <w:pPr>
        <w:suppressAutoHyphens/>
        <w:spacing w:after="240"/>
        <w:jc w:val="center"/>
        <w:rPr>
          <w:rFonts w:ascii="Times New Roman" w:hAnsi="Times New Roman"/>
          <w:b/>
        </w:rPr>
      </w:pPr>
      <w:r>
        <w:rPr>
          <w:rFonts w:ascii="Times New Roman" w:hAnsi="Times New Roman"/>
          <w:b/>
        </w:rPr>
        <w:t>REVISED INFORMATION COLLECTIONS</w:t>
      </w:r>
    </w:p>
    <w:p w14:paraId="00676022" w14:textId="77777777" w:rsidR="00935362" w:rsidRPr="00935362" w:rsidRDefault="00935362">
      <w:pPr>
        <w:tabs>
          <w:tab w:val="center" w:pos="4680"/>
        </w:tabs>
        <w:suppressAutoHyphens/>
        <w:spacing w:after="240"/>
        <w:jc w:val="center"/>
        <w:rPr>
          <w:rFonts w:ascii="Times New Roman" w:hAnsi="Times New Roman"/>
          <w:u w:val="single"/>
        </w:rPr>
      </w:pPr>
      <w:r w:rsidRPr="00935362">
        <w:rPr>
          <w:rFonts w:ascii="Times New Roman" w:hAnsi="Times New Roman"/>
          <w:u w:val="single"/>
        </w:rPr>
        <w:t>Customer Clearing Documentation and Timing of Acceptance for Clearing</w:t>
      </w:r>
    </w:p>
    <w:p w14:paraId="00676023" w14:textId="77777777" w:rsidR="00871E47" w:rsidRDefault="009B4E2E">
      <w:pPr>
        <w:tabs>
          <w:tab w:val="center" w:pos="4680"/>
        </w:tabs>
        <w:suppressAutoHyphens/>
        <w:spacing w:after="240"/>
        <w:jc w:val="center"/>
        <w:rPr>
          <w:rFonts w:ascii="Times New Roman" w:hAnsi="Times New Roman"/>
          <w:b/>
        </w:rPr>
      </w:pPr>
      <w:r>
        <w:rPr>
          <w:rFonts w:ascii="Times New Roman" w:hAnsi="Times New Roman"/>
          <w:b/>
        </w:rPr>
        <w:t>OMB CONTROL NUMBER 3038-</w:t>
      </w:r>
      <w:r w:rsidR="005F3B35">
        <w:rPr>
          <w:rFonts w:ascii="Times New Roman" w:hAnsi="Times New Roman"/>
          <w:b/>
        </w:rPr>
        <w:t>0092</w:t>
      </w:r>
    </w:p>
    <w:p w14:paraId="00676024" w14:textId="77777777" w:rsidR="00871E47" w:rsidRDefault="009B4E2E">
      <w:pPr>
        <w:pStyle w:val="Heading1"/>
        <w:keepNext w:val="0"/>
        <w:rPr>
          <w:rFonts w:ascii="Times New Roman" w:hAnsi="Times New Roman"/>
          <w:szCs w:val="24"/>
        </w:rPr>
      </w:pPr>
      <w:r>
        <w:rPr>
          <w:rFonts w:ascii="Times New Roman" w:hAnsi="Times New Roman"/>
          <w:szCs w:val="24"/>
        </w:rPr>
        <w:t>Justification</w:t>
      </w:r>
    </w:p>
    <w:p w14:paraId="00676025" w14:textId="77777777" w:rsidR="00871E47" w:rsidRDefault="00871E47">
      <w:pPr>
        <w:jc w:val="both"/>
      </w:pPr>
    </w:p>
    <w:p w14:paraId="00676026" w14:textId="77777777" w:rsidR="00871E47" w:rsidRDefault="009B4E2E">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0676027" w14:textId="77777777" w:rsidR="00871E47" w:rsidRDefault="00871E47">
      <w:pPr>
        <w:pStyle w:val="Default"/>
        <w:jc w:val="both"/>
        <w:rPr>
          <w:rFonts w:ascii="Times New Roman" w:hAnsi="Times New Roman" w:cs="Times New Roman"/>
        </w:rPr>
      </w:pPr>
    </w:p>
    <w:p w14:paraId="00676028" w14:textId="77777777" w:rsidR="00E00E56" w:rsidRDefault="001E00AD" w:rsidP="001E00AD">
      <w:pPr>
        <w:pStyle w:val="Default"/>
        <w:jc w:val="both"/>
        <w:rPr>
          <w:rFonts w:ascii="Times New Roman" w:hAnsi="Times New Roman" w:cs="Times New Roman"/>
        </w:rPr>
      </w:pPr>
      <w:r w:rsidRPr="001E00AD">
        <w:rPr>
          <w:rFonts w:ascii="Times New Roman" w:hAnsi="Times New Roman" w:cs="Times New Roman"/>
        </w:rPr>
        <w:t xml:space="preserve">Section 4d(c) of the CEA, as amended by the Dodd-Frank Act, directs the Commission to require </w:t>
      </w:r>
      <w:r>
        <w:rPr>
          <w:rFonts w:ascii="Times New Roman" w:hAnsi="Times New Roman" w:cs="Times New Roman"/>
        </w:rPr>
        <w:t>futures commission merchants</w:t>
      </w:r>
      <w:r w:rsidRPr="001E00AD">
        <w:rPr>
          <w:rFonts w:ascii="Times New Roman" w:hAnsi="Times New Roman" w:cs="Times New Roman"/>
        </w:rPr>
        <w:t xml:space="preserve"> to implement conflict of interest procedures that address such issues the Commission determines to be appropriate.  Similarly, section 4s(j)(5), as added by the Dodd-Frank Act, requires </w:t>
      </w:r>
      <w:r>
        <w:rPr>
          <w:rFonts w:ascii="Times New Roman" w:hAnsi="Times New Roman" w:cs="Times New Roman"/>
        </w:rPr>
        <w:t>swap dealers and major swap participants</w:t>
      </w:r>
      <w:r w:rsidRPr="001E00AD">
        <w:rPr>
          <w:rFonts w:ascii="Times New Roman" w:hAnsi="Times New Roman" w:cs="Times New Roman"/>
        </w:rPr>
        <w:t xml:space="preserve"> to implement conflict of interest procedures that address such issues the Commission determines to be appropriate.   Section 4s(j)(5) also requires </w:t>
      </w:r>
      <w:r>
        <w:rPr>
          <w:rFonts w:ascii="Times New Roman" w:hAnsi="Times New Roman" w:cs="Times New Roman"/>
        </w:rPr>
        <w:t>swap dealers and major swap participants</w:t>
      </w:r>
      <w:r w:rsidRPr="001E00AD">
        <w:rPr>
          <w:rFonts w:ascii="Times New Roman" w:hAnsi="Times New Roman" w:cs="Times New Roman"/>
        </w:rPr>
        <w:t xml:space="preserve"> to ensure that any persons providing clearing activities or making determinations as to accepting clearing customers are separated by appropriate informational partitions from persons whose involvement in pricing, trading, or clearing activities might bias their judgment or contravene the core principle of open access.</w:t>
      </w:r>
      <w:r>
        <w:rPr>
          <w:rFonts w:ascii="Times New Roman" w:hAnsi="Times New Roman" w:cs="Times New Roman"/>
        </w:rPr>
        <w:t xml:space="preserve">  </w:t>
      </w:r>
      <w:r w:rsidRPr="001E00AD">
        <w:rPr>
          <w:rFonts w:ascii="Times New Roman" w:hAnsi="Times New Roman" w:cs="Times New Roman"/>
        </w:rPr>
        <w:t xml:space="preserve">Section </w:t>
      </w:r>
      <w:r>
        <w:rPr>
          <w:rFonts w:ascii="Times New Roman" w:hAnsi="Times New Roman" w:cs="Times New Roman"/>
        </w:rPr>
        <w:t>4s(j)(6) of the CEA prohibits a</w:t>
      </w:r>
      <w:r w:rsidRPr="001E00AD">
        <w:rPr>
          <w:rFonts w:ascii="Times New Roman" w:hAnsi="Times New Roman" w:cs="Times New Roman"/>
        </w:rPr>
        <w:t xml:space="preserve"> </w:t>
      </w:r>
      <w:r>
        <w:rPr>
          <w:rFonts w:ascii="Times New Roman" w:hAnsi="Times New Roman" w:cs="Times New Roman"/>
        </w:rPr>
        <w:t>swap dealer and major swap participant</w:t>
      </w:r>
      <w:r w:rsidRPr="001E00AD">
        <w:rPr>
          <w:rFonts w:ascii="Times New Roman" w:hAnsi="Times New Roman" w:cs="Times New Roman"/>
        </w:rPr>
        <w:t xml:space="preserve"> from adopting any process or taking any action that results in any unreasonable restraint on trade or imposes any material anticompetitive burden on trading or clearing, unless necessary or appropriate to achieve the purposes of the Act.  Section 2(h)(1)(B)(ii) of the CEA requires that </w:t>
      </w:r>
      <w:r>
        <w:rPr>
          <w:rFonts w:ascii="Times New Roman" w:hAnsi="Times New Roman" w:cs="Times New Roman"/>
        </w:rPr>
        <w:t>derivatives clearing organization</w:t>
      </w:r>
      <w:r w:rsidRPr="001E00AD">
        <w:rPr>
          <w:rFonts w:ascii="Times New Roman" w:hAnsi="Times New Roman" w:cs="Times New Roman"/>
        </w:rPr>
        <w:t xml:space="preserve"> rules provide for the non-discriminatory clearing of swaps executed bilaterally or through an unaffiliat</w:t>
      </w:r>
      <w:r>
        <w:rPr>
          <w:rFonts w:ascii="Times New Roman" w:hAnsi="Times New Roman" w:cs="Times New Roman"/>
        </w:rPr>
        <w:t>ed  designated contract market or swap execution facility</w:t>
      </w:r>
      <w:r w:rsidRPr="001E00AD">
        <w:rPr>
          <w:rFonts w:ascii="Times New Roman" w:hAnsi="Times New Roman" w:cs="Times New Roman"/>
        </w:rPr>
        <w:t xml:space="preserve">.  </w:t>
      </w:r>
    </w:p>
    <w:p w14:paraId="00676029" w14:textId="77777777" w:rsidR="001E00AD" w:rsidRDefault="001E00AD" w:rsidP="001E00AD">
      <w:pPr>
        <w:pStyle w:val="Default"/>
        <w:jc w:val="both"/>
        <w:rPr>
          <w:rFonts w:ascii="Times New Roman" w:hAnsi="Times New Roman" w:cs="Times New Roman"/>
          <w:highlight w:val="yellow"/>
        </w:rPr>
      </w:pPr>
    </w:p>
    <w:p w14:paraId="0067602A" w14:textId="7F005D6C" w:rsidR="001E00AD" w:rsidRPr="001E00AD" w:rsidRDefault="001E00AD" w:rsidP="001E00AD">
      <w:pPr>
        <w:pStyle w:val="Default"/>
        <w:jc w:val="both"/>
        <w:rPr>
          <w:rFonts w:ascii="Times New Roman" w:hAnsi="Times New Roman" w:cs="Times New Roman"/>
        </w:rPr>
      </w:pPr>
      <w:r w:rsidRPr="001E00AD">
        <w:rPr>
          <w:rFonts w:ascii="Times New Roman" w:hAnsi="Times New Roman" w:cs="Times New Roman"/>
        </w:rPr>
        <w:t xml:space="preserve">Pursuant to these provisions, the Commission </w:t>
      </w:r>
      <w:r w:rsidR="00B57E8F">
        <w:rPr>
          <w:rFonts w:ascii="Times New Roman" w:hAnsi="Times New Roman" w:cs="Times New Roman"/>
        </w:rPr>
        <w:t>adopted</w:t>
      </w:r>
      <w:r w:rsidRPr="001E00AD">
        <w:rPr>
          <w:rFonts w:ascii="Times New Roman" w:hAnsi="Times New Roman" w:cs="Times New Roman"/>
        </w:rPr>
        <w:t xml:space="preserve"> § 1.71(d)(1) relating to FCMs and § 23.605(d)(1) relating to </w:t>
      </w:r>
      <w:r>
        <w:rPr>
          <w:rFonts w:ascii="Times New Roman" w:hAnsi="Times New Roman" w:cs="Times New Roman"/>
        </w:rPr>
        <w:t>swap dealers and major swap participants</w:t>
      </w:r>
      <w:r w:rsidR="00B57E8F">
        <w:rPr>
          <w:rFonts w:ascii="Times New Roman" w:hAnsi="Times New Roman" w:cs="Times New Roman"/>
        </w:rPr>
        <w:t xml:space="preserve">.  </w:t>
      </w:r>
      <w:r w:rsidRPr="001E00AD">
        <w:rPr>
          <w:rFonts w:ascii="Times New Roman" w:hAnsi="Times New Roman" w:cs="Times New Roman"/>
        </w:rPr>
        <w:t xml:space="preserve">These regulations prohibit </w:t>
      </w:r>
      <w:r>
        <w:rPr>
          <w:rFonts w:ascii="Times New Roman" w:hAnsi="Times New Roman" w:cs="Times New Roman"/>
        </w:rPr>
        <w:t>swap dealers and major swap participants</w:t>
      </w:r>
      <w:r w:rsidRPr="001E00AD">
        <w:rPr>
          <w:rFonts w:ascii="Times New Roman" w:hAnsi="Times New Roman" w:cs="Times New Roman"/>
        </w:rPr>
        <w:t xml:space="preserve"> from interfering or attempting to influence the decisions of affiliated FCMs with regard to the provision of clearing services and activities and prohibit FCMs from permitting them to do so.</w:t>
      </w:r>
      <w:r>
        <w:rPr>
          <w:rFonts w:ascii="Times New Roman" w:hAnsi="Times New Roman" w:cs="Times New Roman"/>
        </w:rPr>
        <w:t xml:space="preserve">  </w:t>
      </w:r>
      <w:r w:rsidRPr="001E00AD">
        <w:rPr>
          <w:rFonts w:ascii="Times New Roman" w:hAnsi="Times New Roman" w:cs="Times New Roman"/>
        </w:rPr>
        <w:t xml:space="preserve">The Commission has </w:t>
      </w:r>
      <w:r>
        <w:rPr>
          <w:rFonts w:ascii="Times New Roman" w:hAnsi="Times New Roman" w:cs="Times New Roman"/>
        </w:rPr>
        <w:t xml:space="preserve">also </w:t>
      </w:r>
      <w:r w:rsidR="00B57E8F">
        <w:rPr>
          <w:rFonts w:ascii="Times New Roman" w:hAnsi="Times New Roman" w:cs="Times New Roman"/>
        </w:rPr>
        <w:t>adopted</w:t>
      </w:r>
      <w:r w:rsidRPr="001E00AD">
        <w:rPr>
          <w:rFonts w:ascii="Times New Roman" w:hAnsi="Times New Roman" w:cs="Times New Roman"/>
        </w:rPr>
        <w:t xml:space="preserve"> § 23.607 to</w:t>
      </w:r>
      <w:r>
        <w:rPr>
          <w:rFonts w:ascii="Times New Roman" w:hAnsi="Times New Roman" w:cs="Times New Roman"/>
        </w:rPr>
        <w:t xml:space="preserve"> </w:t>
      </w:r>
      <w:r w:rsidR="00B57E8F">
        <w:rPr>
          <w:rFonts w:ascii="Times New Roman" w:hAnsi="Times New Roman" w:cs="Times New Roman"/>
        </w:rPr>
        <w:t>prohibit</w:t>
      </w:r>
      <w:r w:rsidRPr="001E00AD">
        <w:rPr>
          <w:rFonts w:ascii="Times New Roman" w:hAnsi="Times New Roman" w:cs="Times New Roman"/>
        </w:rPr>
        <w:t xml:space="preserve"> a </w:t>
      </w:r>
      <w:r>
        <w:rPr>
          <w:rFonts w:ascii="Times New Roman" w:hAnsi="Times New Roman" w:cs="Times New Roman"/>
        </w:rPr>
        <w:t>swap dealer and major swap participant</w:t>
      </w:r>
      <w:r w:rsidRPr="001E00AD">
        <w:rPr>
          <w:rFonts w:ascii="Times New Roman" w:hAnsi="Times New Roman" w:cs="Times New Roman"/>
        </w:rPr>
        <w:t xml:space="preserve"> from adopting any process or taking any action that results in any unreasonable restraint on trade or imposes any material anticompetitive burden on trading or clearing, unless necessary or appropriate to achieve the purposes of the Act. </w:t>
      </w:r>
      <w:r>
        <w:rPr>
          <w:rFonts w:ascii="Times New Roman" w:hAnsi="Times New Roman" w:cs="Times New Roman"/>
        </w:rPr>
        <w:t xml:space="preserve"> </w:t>
      </w:r>
      <w:r w:rsidRPr="001E00AD">
        <w:rPr>
          <w:rFonts w:ascii="Times New Roman" w:hAnsi="Times New Roman" w:cs="Times New Roman"/>
        </w:rPr>
        <w:t xml:space="preserve">The Commission has </w:t>
      </w:r>
      <w:r w:rsidR="00B57E8F">
        <w:rPr>
          <w:rFonts w:ascii="Times New Roman" w:hAnsi="Times New Roman" w:cs="Times New Roman"/>
        </w:rPr>
        <w:t>adopted</w:t>
      </w:r>
      <w:r w:rsidRPr="001E00AD">
        <w:rPr>
          <w:rFonts w:ascii="Times New Roman" w:hAnsi="Times New Roman" w:cs="Times New Roman"/>
        </w:rPr>
        <w:t xml:space="preserve"> § 39.12(b)(2) to</w:t>
      </w:r>
      <w:r>
        <w:rPr>
          <w:rFonts w:ascii="Times New Roman" w:hAnsi="Times New Roman" w:cs="Times New Roman"/>
        </w:rPr>
        <w:t xml:space="preserve"> </w:t>
      </w:r>
      <w:r w:rsidRPr="001E00AD">
        <w:rPr>
          <w:rFonts w:ascii="Times New Roman" w:hAnsi="Times New Roman" w:cs="Times New Roman"/>
        </w:rPr>
        <w:t xml:space="preserve">require that </w:t>
      </w:r>
      <w:r>
        <w:rPr>
          <w:rFonts w:ascii="Times New Roman" w:hAnsi="Times New Roman" w:cs="Times New Roman"/>
        </w:rPr>
        <w:t>derivatives clearing organization</w:t>
      </w:r>
      <w:r w:rsidRPr="001E00AD">
        <w:rPr>
          <w:rFonts w:ascii="Times New Roman" w:hAnsi="Times New Roman" w:cs="Times New Roman"/>
        </w:rPr>
        <w:t xml:space="preserve"> rules provide for the non-discriminatory clearing of swaps executed bilaterally or through an unaffiliat</w:t>
      </w:r>
      <w:r>
        <w:rPr>
          <w:rFonts w:ascii="Times New Roman" w:hAnsi="Times New Roman" w:cs="Times New Roman"/>
        </w:rPr>
        <w:t xml:space="preserve">ed  designated contract market </w:t>
      </w:r>
      <w:r w:rsidRPr="001E00AD">
        <w:rPr>
          <w:rFonts w:ascii="Times New Roman" w:hAnsi="Times New Roman" w:cs="Times New Roman"/>
        </w:rPr>
        <w:t xml:space="preserve">or swap execution facility.    </w:t>
      </w:r>
    </w:p>
    <w:p w14:paraId="0067602B" w14:textId="77777777" w:rsidR="001E00AD" w:rsidRPr="00950BC8" w:rsidRDefault="001E00AD" w:rsidP="001E00AD">
      <w:pPr>
        <w:pStyle w:val="Default"/>
        <w:jc w:val="both"/>
        <w:rPr>
          <w:rFonts w:ascii="Times New Roman" w:hAnsi="Times New Roman" w:cs="Times New Roman"/>
          <w:highlight w:val="yellow"/>
        </w:rPr>
      </w:pPr>
    </w:p>
    <w:p w14:paraId="0067602C" w14:textId="4C0CE8B4" w:rsidR="00836BA0" w:rsidRDefault="00E00E56" w:rsidP="00836BA0">
      <w:pPr>
        <w:widowControl w:val="0"/>
        <w:jc w:val="both"/>
        <w:rPr>
          <w:rFonts w:ascii="Times New Roman" w:hAnsi="Times New Roman"/>
        </w:rPr>
      </w:pPr>
      <w:r w:rsidRPr="00E00E56">
        <w:rPr>
          <w:rFonts w:ascii="Times New Roman" w:hAnsi="Times New Roman"/>
        </w:rPr>
        <w:t xml:space="preserve">As discussed further below, the additional information collection burden arising from the regulations primarily is restricted to the costs associated with the affected registrants’ obligation to </w:t>
      </w:r>
      <w:r w:rsidRPr="001E00AD">
        <w:rPr>
          <w:rFonts w:ascii="Times New Roman" w:hAnsi="Times New Roman"/>
        </w:rPr>
        <w:t>maintain record</w:t>
      </w:r>
      <w:r w:rsidR="001E00AD" w:rsidRPr="001E00AD">
        <w:rPr>
          <w:rFonts w:ascii="Times New Roman" w:hAnsi="Times New Roman"/>
        </w:rPr>
        <w:t xml:space="preserve">s related to clearing documentation between the customer and </w:t>
      </w:r>
      <w:r w:rsidR="00836BA0">
        <w:rPr>
          <w:rFonts w:ascii="Times New Roman" w:hAnsi="Times New Roman"/>
        </w:rPr>
        <w:t>the customer’s</w:t>
      </w:r>
      <w:r w:rsidR="001E00AD" w:rsidRPr="001E00AD">
        <w:rPr>
          <w:rFonts w:ascii="Times New Roman" w:hAnsi="Times New Roman"/>
        </w:rPr>
        <w:t xml:space="preserve"> clearing member</w:t>
      </w:r>
      <w:r w:rsidR="00836BA0">
        <w:rPr>
          <w:rFonts w:ascii="Times New Roman" w:hAnsi="Times New Roman"/>
        </w:rPr>
        <w:t xml:space="preserve">.  </w:t>
      </w:r>
    </w:p>
    <w:p w14:paraId="0067602D" w14:textId="77777777" w:rsidR="00836BA0" w:rsidRDefault="00836BA0" w:rsidP="00836BA0">
      <w:pPr>
        <w:widowControl w:val="0"/>
        <w:jc w:val="both"/>
        <w:rPr>
          <w:rFonts w:ascii="Times New Roman" w:hAnsi="Times New Roman"/>
        </w:rPr>
      </w:pPr>
    </w:p>
    <w:p w14:paraId="0067602E" w14:textId="16FF1FC5" w:rsidR="00E00E56" w:rsidRDefault="00E00E56" w:rsidP="00836BA0">
      <w:pPr>
        <w:widowControl w:val="0"/>
        <w:jc w:val="both"/>
        <w:rPr>
          <w:rFonts w:ascii="Times New Roman" w:hAnsi="Times New Roman"/>
        </w:rPr>
      </w:pPr>
      <w:r w:rsidRPr="00E00E56">
        <w:rPr>
          <w:rFonts w:ascii="Times New Roman" w:hAnsi="Times New Roman"/>
        </w:rPr>
        <w:t>The information collection obligations imposed by the regulations are necessary to implement certain provisions of the CEA, including ensuring that registrants exercise effective risk management and for the efficient operation of trading venues among SDs, MSPs, FCMs, and DCOs.</w:t>
      </w:r>
      <w:r>
        <w:rPr>
          <w:rFonts w:ascii="Times New Roman" w:hAnsi="Times New Roman"/>
        </w:rPr>
        <w:t xml:space="preserve">  </w:t>
      </w:r>
    </w:p>
    <w:p w14:paraId="0067602F" w14:textId="77777777" w:rsidR="00E00E56" w:rsidRDefault="00E00E56">
      <w:pPr>
        <w:pStyle w:val="Default"/>
        <w:jc w:val="both"/>
        <w:rPr>
          <w:rFonts w:ascii="Times New Roman" w:hAnsi="Times New Roman" w:cs="Times New Roman"/>
        </w:rPr>
      </w:pPr>
    </w:p>
    <w:p w14:paraId="00676030" w14:textId="77777777" w:rsidR="00871E47" w:rsidRDefault="009B4E2E">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14:paraId="00676031" w14:textId="77777777" w:rsidR="00871E47" w:rsidRDefault="00871E47">
      <w:pPr>
        <w:jc w:val="both"/>
        <w:rPr>
          <w:rFonts w:ascii="Times New Roman" w:hAnsi="Times New Roman"/>
        </w:rPr>
      </w:pPr>
    </w:p>
    <w:p w14:paraId="00676032" w14:textId="483BD6D9" w:rsidR="00871E47" w:rsidRDefault="009B4E2E">
      <w:pPr>
        <w:pStyle w:val="Default"/>
        <w:jc w:val="both"/>
        <w:rPr>
          <w:rFonts w:ascii="Times New Roman" w:hAnsi="Times New Roman" w:cs="Times New Roman"/>
        </w:rPr>
      </w:pPr>
      <w:r>
        <w:rPr>
          <w:rFonts w:ascii="Times New Roman" w:hAnsi="Times New Roman"/>
        </w:rPr>
        <w:t xml:space="preserve">The regulations </w:t>
      </w:r>
      <w:r w:rsidR="00B57E8F">
        <w:rPr>
          <w:rFonts w:ascii="Times New Roman" w:hAnsi="Times New Roman"/>
        </w:rPr>
        <w:t>are</w:t>
      </w:r>
      <w:r>
        <w:rPr>
          <w:rFonts w:ascii="Times New Roman" w:hAnsi="Times New Roman"/>
        </w:rPr>
        <w:t xml:space="preserve"> an important part of the Commission’s regulatory program for </w:t>
      </w:r>
      <w:r w:rsidRPr="0018668F">
        <w:rPr>
          <w:rFonts w:ascii="Times New Roman" w:hAnsi="Times New Roman"/>
        </w:rPr>
        <w:t>swap dealers</w:t>
      </w:r>
      <w:r w:rsidR="0018668F" w:rsidRPr="0018668F">
        <w:rPr>
          <w:rFonts w:ascii="Times New Roman" w:hAnsi="Times New Roman"/>
        </w:rPr>
        <w:t>,</w:t>
      </w:r>
      <w:r w:rsidRPr="0018668F">
        <w:rPr>
          <w:rFonts w:ascii="Times New Roman" w:hAnsi="Times New Roman"/>
        </w:rPr>
        <w:t xml:space="preserve"> major swap participants</w:t>
      </w:r>
      <w:r w:rsidR="0018668F">
        <w:rPr>
          <w:rFonts w:ascii="Times New Roman" w:hAnsi="Times New Roman"/>
        </w:rPr>
        <w:t>, futures commission merchants, and derivatives clearing organizations</w:t>
      </w:r>
      <w:r>
        <w:rPr>
          <w:rFonts w:ascii="Times New Roman" w:hAnsi="Times New Roman"/>
        </w:rPr>
        <w:t>.  The information required to be preserved would be used by representatives of the Commission to ensure compliance with the CEA and applicable Commission regulations.</w:t>
      </w:r>
      <w:r>
        <w:rPr>
          <w:rFonts w:ascii="Times New Roman" w:hAnsi="Times New Roman" w:cs="Times New Roman"/>
        </w:rPr>
        <w:t xml:space="preserve"> </w:t>
      </w:r>
    </w:p>
    <w:p w14:paraId="00676033" w14:textId="77777777" w:rsidR="00871E47" w:rsidRDefault="00871E47">
      <w:pPr>
        <w:jc w:val="both"/>
        <w:rPr>
          <w:rFonts w:ascii="Times New Roman" w:hAnsi="Times New Roman"/>
        </w:rPr>
      </w:pPr>
    </w:p>
    <w:p w14:paraId="00676034" w14:textId="77777777" w:rsidR="00871E47" w:rsidRDefault="009B4E2E">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0676035" w14:textId="3AAE29B6" w:rsidR="00871E47" w:rsidRDefault="009B4E2E">
      <w:pPr>
        <w:tabs>
          <w:tab w:val="left" w:pos="-720"/>
          <w:tab w:val="left" w:pos="0"/>
        </w:tabs>
        <w:spacing w:after="240"/>
        <w:jc w:val="both"/>
        <w:rPr>
          <w:rFonts w:ascii="Times New Roman" w:hAnsi="Times New Roman"/>
        </w:rPr>
      </w:pPr>
      <w:r w:rsidRPr="00CB268D">
        <w:rPr>
          <w:rFonts w:ascii="Times New Roman" w:hAnsi="Times New Roman"/>
        </w:rPr>
        <w:t>The regulations require that recordkeeping generally be performed in accordance with Commission regulation 1.31, which permits the use of electronic storage media.</w:t>
      </w:r>
    </w:p>
    <w:p w14:paraId="00676036"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14:paraId="00676037" w14:textId="77777777" w:rsidR="00871E47" w:rsidRDefault="009B4E2E">
      <w:pPr>
        <w:tabs>
          <w:tab w:val="left" w:pos="-720"/>
        </w:tabs>
        <w:spacing w:after="240"/>
        <w:jc w:val="both"/>
        <w:rPr>
          <w:rFonts w:ascii="Times New Roman" w:hAnsi="Times New Roman"/>
        </w:rPr>
      </w:pPr>
      <w:r w:rsidRPr="00CB268D">
        <w:rPr>
          <w:rFonts w:ascii="Times New Roman" w:hAnsi="Times New Roman"/>
        </w:rPr>
        <w:t xml:space="preserve">Swap dealers and major swap participants are new categories of registrants under the Dodd-Frank Act.  Accordingly, the required information is not already collected by the Commission for any other purpose.  </w:t>
      </w:r>
      <w:r w:rsidR="00CB268D">
        <w:rPr>
          <w:rFonts w:ascii="Times New Roman" w:hAnsi="Times New Roman"/>
        </w:rPr>
        <w:t xml:space="preserve">Additionally, the required information is not already collected by the Commission for any other purpose with respect to futures commission merchants or derivatives clearing organizations. </w:t>
      </w:r>
      <w:r w:rsidR="00CB268D" w:rsidRPr="00CB268D">
        <w:rPr>
          <w:rFonts w:ascii="Times New Roman" w:hAnsi="Times New Roman"/>
        </w:rPr>
        <w:t xml:space="preserve"> </w:t>
      </w:r>
      <w:r w:rsidRPr="00CB268D">
        <w:rPr>
          <w:rFonts w:ascii="Times New Roman" w:hAnsi="Times New Roman"/>
        </w:rPr>
        <w:t>It also is not collected by any other agency or available for public disclosure through any other source.</w:t>
      </w:r>
      <w:r>
        <w:rPr>
          <w:rFonts w:ascii="Times New Roman" w:hAnsi="Times New Roman"/>
        </w:rPr>
        <w:t xml:space="preserve"> </w:t>
      </w:r>
    </w:p>
    <w:p w14:paraId="00676038"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14:paraId="00676039" w14:textId="77777777" w:rsidR="00871E47" w:rsidRDefault="009B4E2E">
      <w:pPr>
        <w:tabs>
          <w:tab w:val="left" w:pos="-720"/>
        </w:tabs>
        <w:spacing w:after="240"/>
        <w:jc w:val="both"/>
        <w:rPr>
          <w:rFonts w:ascii="Times New Roman" w:hAnsi="Times New Roman"/>
        </w:rPr>
      </w:pPr>
      <w:r>
        <w:rPr>
          <w:rFonts w:ascii="Times New Roman" w:hAnsi="Times New Roman"/>
        </w:rPr>
        <w:t xml:space="preserve">The collection of the required information does not involve any small businesses or small entities. </w:t>
      </w:r>
    </w:p>
    <w:p w14:paraId="0067603A"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14:paraId="0067603B" w14:textId="08FE547E" w:rsidR="00871E47" w:rsidRDefault="009B4E2E">
      <w:pPr>
        <w:pStyle w:val="Default"/>
        <w:jc w:val="both"/>
        <w:rPr>
          <w:rFonts w:ascii="Times New Roman" w:hAnsi="Times New Roman" w:cs="Times New Roman"/>
        </w:rPr>
      </w:pPr>
      <w:r>
        <w:rPr>
          <w:rFonts w:ascii="Times New Roman" w:hAnsi="Times New Roman" w:cs="Times New Roman"/>
        </w:rPr>
        <w:t>Failure to maint</w:t>
      </w:r>
      <w:r w:rsidR="001163BD">
        <w:rPr>
          <w:rFonts w:ascii="Times New Roman" w:hAnsi="Times New Roman" w:cs="Times New Roman"/>
        </w:rPr>
        <w:t xml:space="preserve">ain the records required by the </w:t>
      </w:r>
      <w:r>
        <w:rPr>
          <w:rFonts w:ascii="Times New Roman" w:hAnsi="Times New Roman" w:cs="Times New Roman"/>
        </w:rPr>
        <w:t xml:space="preserve">regulations would adversely affect the Commission’s ability to ensure that </w:t>
      </w:r>
      <w:r w:rsidRPr="00CB268D">
        <w:rPr>
          <w:rFonts w:ascii="Times New Roman" w:hAnsi="Times New Roman" w:cs="Times New Roman"/>
        </w:rPr>
        <w:t>swap dealers</w:t>
      </w:r>
      <w:r w:rsidR="00CB268D" w:rsidRPr="00CB268D">
        <w:rPr>
          <w:rFonts w:ascii="Times New Roman" w:hAnsi="Times New Roman" w:cs="Times New Roman"/>
        </w:rPr>
        <w:t>,</w:t>
      </w:r>
      <w:r w:rsidRPr="00CB268D">
        <w:rPr>
          <w:rFonts w:ascii="Times New Roman" w:hAnsi="Times New Roman" w:cs="Times New Roman"/>
        </w:rPr>
        <w:t xml:space="preserve"> major swap participants</w:t>
      </w:r>
      <w:r w:rsidR="00CB268D">
        <w:rPr>
          <w:rFonts w:ascii="Times New Roman" w:hAnsi="Times New Roman" w:cs="Times New Roman"/>
        </w:rPr>
        <w:t xml:space="preserve">, futures commission </w:t>
      </w:r>
      <w:r w:rsidR="00CB268D">
        <w:rPr>
          <w:rFonts w:ascii="Times New Roman" w:hAnsi="Times New Roman" w:cs="Times New Roman"/>
        </w:rPr>
        <w:lastRenderedPageBreak/>
        <w:t>merchants, and derivatives clearing organizations</w:t>
      </w:r>
      <w:r>
        <w:rPr>
          <w:rFonts w:ascii="Times New Roman" w:hAnsi="Times New Roman" w:cs="Times New Roman"/>
        </w:rPr>
        <w:t xml:space="preserve"> comply with their </w:t>
      </w:r>
      <w:r w:rsidR="00CB268D">
        <w:rPr>
          <w:rFonts w:ascii="Times New Roman" w:hAnsi="Times New Roman" w:cs="Times New Roman"/>
        </w:rPr>
        <w:t>recordkeeping and documentation</w:t>
      </w:r>
      <w:r>
        <w:rPr>
          <w:rFonts w:ascii="Times New Roman" w:hAnsi="Times New Roman" w:cs="Times New Roman"/>
        </w:rPr>
        <w:t xml:space="preserve"> obligations under the CEA and Commission regulations and to ensure compliance with the mandatory clearing requirements of the CEA and Commission regulations.  </w:t>
      </w:r>
      <w:r w:rsidRPr="0018668F">
        <w:rPr>
          <w:rFonts w:ascii="Times New Roman" w:hAnsi="Times New Roman" w:cs="Times New Roman"/>
        </w:rPr>
        <w:t xml:space="preserve">Failure to comply with the </w:t>
      </w:r>
      <w:r w:rsidR="00CB268D" w:rsidRPr="0018668F">
        <w:rPr>
          <w:rFonts w:ascii="Times New Roman" w:hAnsi="Times New Roman" w:cs="Times New Roman"/>
        </w:rPr>
        <w:t>recordkeeping and</w:t>
      </w:r>
      <w:r w:rsidRPr="0018668F">
        <w:rPr>
          <w:rFonts w:ascii="Times New Roman" w:hAnsi="Times New Roman" w:cs="Times New Roman"/>
        </w:rPr>
        <w:t xml:space="preserve"> requirements established by the </w:t>
      </w:r>
      <w:r w:rsidR="001163BD">
        <w:rPr>
          <w:rFonts w:ascii="Times New Roman" w:hAnsi="Times New Roman" w:cs="Times New Roman"/>
        </w:rPr>
        <w:t xml:space="preserve"> </w:t>
      </w:r>
      <w:r w:rsidRPr="0018668F">
        <w:rPr>
          <w:rFonts w:ascii="Times New Roman" w:hAnsi="Times New Roman" w:cs="Times New Roman"/>
        </w:rPr>
        <w:t xml:space="preserve">regulation would prohibit the Commission from </w:t>
      </w:r>
      <w:r w:rsidR="0018668F">
        <w:rPr>
          <w:rFonts w:ascii="Times New Roman" w:hAnsi="Times New Roman" w:cs="Times New Roman"/>
        </w:rPr>
        <w:t xml:space="preserve">ensuring that registrants exercise </w:t>
      </w:r>
      <w:r w:rsidR="0018668F" w:rsidRPr="0018668F">
        <w:rPr>
          <w:rFonts w:ascii="Times New Roman" w:hAnsi="Times New Roman" w:cs="Times New Roman"/>
        </w:rPr>
        <w:t>effective risk management and for the efficient operation of trading venues among SDs, MSPs, FCMs, and DCOs</w:t>
      </w:r>
      <w:r w:rsidRPr="0018668F">
        <w:rPr>
          <w:rFonts w:ascii="Times New Roman" w:hAnsi="Times New Roman" w:cs="Times New Roman"/>
        </w:rPr>
        <w:t>.</w:t>
      </w:r>
    </w:p>
    <w:p w14:paraId="0067603C" w14:textId="77777777" w:rsidR="00871E47" w:rsidRDefault="00871E47">
      <w:pPr>
        <w:pStyle w:val="Default"/>
        <w:jc w:val="both"/>
        <w:rPr>
          <w:rFonts w:ascii="Times New Roman" w:hAnsi="Times New Roman" w:cs="Times New Roman"/>
        </w:rPr>
      </w:pPr>
    </w:p>
    <w:p w14:paraId="0067603D" w14:textId="77777777" w:rsidR="00871E47" w:rsidRDefault="009B4E2E">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14:paraId="0067603E"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14:paraId="0067603F" w14:textId="4682EDA7"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w:t>
      </w:r>
      <w:r w:rsidRPr="00CB268D">
        <w:rPr>
          <w:rFonts w:ascii="Times New Roman" w:hAnsi="Times New Roman"/>
        </w:rPr>
        <w:t>question does not apply.  The sole reporting requirement contained in the regulations is event-based.</w:t>
      </w:r>
      <w:r>
        <w:rPr>
          <w:rFonts w:ascii="Times New Roman" w:hAnsi="Times New Roman"/>
        </w:rPr>
        <w:t xml:space="preserve"> </w:t>
      </w:r>
    </w:p>
    <w:p w14:paraId="00676040"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14:paraId="00676041" w14:textId="77777777"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14:paraId="00676042"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14:paraId="00676043" w14:textId="27E404E6"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regulations do not impose a reporting requirement that would obligate a respondent to submit more than an original and two copies of any document.</w:t>
      </w:r>
    </w:p>
    <w:p w14:paraId="00676044"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14:paraId="00676045" w14:textId="77777777"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Commission regulation 1.31 expressly requires that:</w:t>
      </w:r>
    </w:p>
    <w:p w14:paraId="00676046" w14:textId="77777777" w:rsidR="00871E47" w:rsidRDefault="009B4E2E">
      <w:pPr>
        <w:tabs>
          <w:tab w:val="left" w:pos="-720"/>
          <w:tab w:val="left" w:pos="0"/>
          <w:tab w:val="left" w:pos="720"/>
        </w:tabs>
        <w:spacing w:after="240"/>
        <w:ind w:left="720" w:right="720"/>
        <w:jc w:val="both"/>
        <w:rPr>
          <w:rFonts w:ascii="Times New Roman" w:hAnsi="Times New Roman"/>
        </w:rPr>
      </w:pPr>
      <w:r>
        <w:rPr>
          <w:rFonts w:ascii="Times New Roman" w:hAnsi="Times New Roman"/>
        </w:rPr>
        <w:t>All books and records required to be kept by the [CEA] or by [Commission] regulations shall be kept for a period of five years from the date thereof and shall be readily accessible during the first 2 years of the five-year period.  All such books and records shall be open to inspection by any representative of the commission or the United States Department of Justice.</w:t>
      </w:r>
    </w:p>
    <w:p w14:paraId="00676047"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14:paraId="00676048" w14:textId="719CAE3D"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nor involve any statistical surveys.</w:t>
      </w:r>
    </w:p>
    <w:p w14:paraId="00676049"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14:paraId="0067604A" w14:textId="22D54D54"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nor involve the use of any statistical data classification.</w:t>
      </w:r>
    </w:p>
    <w:p w14:paraId="0067604B"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0067604C" w14:textId="6C044A08"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a pledge of confidentiality.</w:t>
      </w:r>
    </w:p>
    <w:p w14:paraId="0067604D"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0067604E" w14:textId="77777777"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In any event, the Commission has promulgated regulations to protect the confidentiality of any information collected from respondents.  Such regulations are set forth in 17 CFR Part 145.  </w:t>
      </w:r>
    </w:p>
    <w:p w14:paraId="0067604F"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0676050" w14:textId="241F8C69" w:rsidR="00871E47" w:rsidRDefault="001163BD">
      <w:pPr>
        <w:pStyle w:val="TOC6"/>
        <w:tabs>
          <w:tab w:val="clear" w:pos="9360"/>
          <w:tab w:val="left" w:pos="-720"/>
          <w:tab w:val="left" w:pos="0"/>
        </w:tabs>
        <w:suppressAutoHyphens w:val="0"/>
        <w:spacing w:after="240"/>
        <w:ind w:left="0" w:firstLine="0"/>
        <w:jc w:val="both"/>
        <w:rPr>
          <w:rFonts w:ascii="Times New Roman" w:hAnsi="Times New Roman"/>
          <w:szCs w:val="24"/>
        </w:rPr>
      </w:pPr>
      <w:r>
        <w:rPr>
          <w:rFonts w:ascii="Times New Roman" w:hAnsi="Times New Roman"/>
          <w:szCs w:val="24"/>
        </w:rPr>
        <w:t xml:space="preserve">The Federal Register notice providing a 60-day public comment period was published May 15, 2015, (80 FR 27930).  </w:t>
      </w:r>
      <w:r w:rsidR="00211DA6" w:rsidRPr="00211DA6">
        <w:rPr>
          <w:rFonts w:ascii="Times New Roman" w:hAnsi="Times New Roman"/>
          <w:szCs w:val="24"/>
        </w:rPr>
        <w:t xml:space="preserve">The Commission did not receive any </w:t>
      </w:r>
      <w:r>
        <w:rPr>
          <w:rFonts w:ascii="Times New Roman" w:hAnsi="Times New Roman"/>
          <w:szCs w:val="24"/>
        </w:rPr>
        <w:t xml:space="preserve">relevant </w:t>
      </w:r>
      <w:r w:rsidR="00211DA6" w:rsidRPr="00211DA6">
        <w:rPr>
          <w:rFonts w:ascii="Times New Roman" w:hAnsi="Times New Roman"/>
          <w:szCs w:val="24"/>
        </w:rPr>
        <w:t>comments in response to the notice required by 5 CFR 1320.8(d)</w:t>
      </w:r>
      <w:r w:rsidR="009B4E2E" w:rsidRPr="00211DA6">
        <w:rPr>
          <w:rFonts w:ascii="Times New Roman" w:hAnsi="Times New Roman"/>
          <w:szCs w:val="24"/>
        </w:rPr>
        <w:t>.</w:t>
      </w:r>
      <w:r w:rsidR="009B4E2E">
        <w:rPr>
          <w:rFonts w:ascii="Times New Roman" w:hAnsi="Times New Roman"/>
          <w:szCs w:val="24"/>
        </w:rPr>
        <w:t xml:space="preserve">    </w:t>
      </w:r>
    </w:p>
    <w:p w14:paraId="00676051" w14:textId="77777777" w:rsidR="00871E47" w:rsidRDefault="009B4E2E">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0676052" w14:textId="77777777" w:rsidR="00871E47" w:rsidRDefault="009B4E2E">
      <w:pPr>
        <w:pStyle w:val="TOC6"/>
        <w:tabs>
          <w:tab w:val="clear" w:pos="9360"/>
          <w:tab w:val="left" w:pos="-720"/>
          <w:tab w:val="left" w:pos="0"/>
        </w:tabs>
        <w:suppressAutoHyphens w:val="0"/>
        <w:spacing w:after="240"/>
        <w:ind w:left="0" w:firstLine="0"/>
        <w:jc w:val="both"/>
        <w:rPr>
          <w:rFonts w:ascii="Times New Roman" w:hAnsi="Times New Roman"/>
          <w:szCs w:val="24"/>
        </w:rPr>
      </w:pPr>
      <w:r w:rsidRPr="00211DA6">
        <w:rPr>
          <w:rFonts w:ascii="Times New Roman" w:hAnsi="Times New Roman"/>
          <w:i/>
        </w:rPr>
        <w:t>See</w:t>
      </w:r>
      <w:r w:rsidRPr="00211DA6">
        <w:rPr>
          <w:rFonts w:ascii="Times New Roman" w:hAnsi="Times New Roman"/>
        </w:rPr>
        <w:t xml:space="preserve"> response to question 8.  </w:t>
      </w:r>
    </w:p>
    <w:p w14:paraId="00676053" w14:textId="77777777" w:rsidR="00871E47" w:rsidRDefault="009B4E2E">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0676054" w14:textId="77777777" w:rsidR="00871E47" w:rsidRDefault="009B4E2E">
      <w:pPr>
        <w:tabs>
          <w:tab w:val="left" w:pos="-720"/>
        </w:tabs>
        <w:spacing w:after="240"/>
        <w:jc w:val="both"/>
        <w:rPr>
          <w:rFonts w:ascii="Times New Roman" w:hAnsi="Times New Roman"/>
        </w:rPr>
      </w:pPr>
      <w:r>
        <w:rPr>
          <w:rFonts w:ascii="Times New Roman" w:hAnsi="Times New Roman"/>
        </w:rPr>
        <w:t xml:space="preserve">No such circumstances are anticipated.  </w:t>
      </w:r>
    </w:p>
    <w:p w14:paraId="00676055"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14:paraId="00676056"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  No decision to provide any payment or gift to respondents has been made.</w:t>
      </w:r>
    </w:p>
    <w:p w14:paraId="00676057"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lastRenderedPageBreak/>
        <w:t>10.</w:t>
      </w:r>
      <w:r>
        <w:rPr>
          <w:rFonts w:ascii="Times New Roman" w:hAnsi="Times New Roman"/>
          <w:b/>
        </w:rPr>
        <w:tab/>
        <w:t>Describe any assurance of confidentiality provided to respondents and the basis for the assurance in statute, regulations, or agency policy.</w:t>
      </w:r>
    </w:p>
    <w:p w14:paraId="00676058" w14:textId="3525B321" w:rsidR="00871E47" w:rsidRDefault="001163BD">
      <w:pPr>
        <w:tabs>
          <w:tab w:val="left" w:pos="-720"/>
          <w:tab w:val="left" w:pos="0"/>
          <w:tab w:val="left" w:pos="720"/>
        </w:tabs>
        <w:spacing w:after="240"/>
        <w:jc w:val="both"/>
        <w:rPr>
          <w:rFonts w:ascii="Times New Roman" w:hAnsi="Times New Roman"/>
        </w:rPr>
      </w:pPr>
      <w:r>
        <w:rPr>
          <w:rFonts w:ascii="Times New Roman" w:hAnsi="Times New Roman"/>
        </w:rPr>
        <w:t>The Commission does not provide respondents with an assurance of confidentiality beyond that provided by applicable law</w:t>
      </w:r>
      <w:r w:rsidR="00EE3051">
        <w:rPr>
          <w:rFonts w:ascii="Times New Roman" w:hAnsi="Times New Roman"/>
        </w:rPr>
        <w:t>.</w:t>
      </w:r>
      <w:r w:rsidR="009B4E2E">
        <w:rPr>
          <w:rFonts w:ascii="Times New Roman" w:hAnsi="Times New Roman"/>
        </w:rPr>
        <w:t xml:space="preserve">  </w:t>
      </w:r>
      <w:r w:rsidR="00EE3051">
        <w:rPr>
          <w:rFonts w:ascii="Times New Roman" w:hAnsi="Times New Roman"/>
        </w:rPr>
        <w:t xml:space="preserve"> </w:t>
      </w:r>
      <w:r w:rsidR="009B4E2E">
        <w:rPr>
          <w:rFonts w:ascii="Times New Roman" w:hAnsi="Times New Roman"/>
        </w:rPr>
        <w:t xml:space="preserve">In addition, section 8(a) of the CEA provides for the confidentiality of data and information, except under the limited circumstances delineated therein.  </w:t>
      </w:r>
      <w:r w:rsidR="00EE3051">
        <w:rPr>
          <w:rFonts w:ascii="Times New Roman" w:hAnsi="Times New Roman"/>
        </w:rPr>
        <w:t xml:space="preserve"> </w:t>
      </w:r>
    </w:p>
    <w:p w14:paraId="00676059"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067605A" w14:textId="02CCF096" w:rsidR="00871E47" w:rsidRDefault="009B4E2E">
      <w:pPr>
        <w:tabs>
          <w:tab w:val="left" w:pos="-720"/>
        </w:tabs>
        <w:spacing w:after="240"/>
        <w:jc w:val="both"/>
        <w:rPr>
          <w:rFonts w:ascii="Times New Roman" w:hAnsi="Times New Roman"/>
        </w:rPr>
      </w:pPr>
      <w:r>
        <w:rPr>
          <w:rFonts w:ascii="Times New Roman" w:hAnsi="Times New Roman"/>
        </w:rPr>
        <w:t>Thi</w:t>
      </w:r>
      <w:r w:rsidR="00DE645C">
        <w:rPr>
          <w:rFonts w:ascii="Times New Roman" w:hAnsi="Times New Roman"/>
        </w:rPr>
        <w:t>s question does not apply.  The</w:t>
      </w:r>
      <w:r>
        <w:rPr>
          <w:rFonts w:ascii="Times New Roman" w:hAnsi="Times New Roman"/>
        </w:rPr>
        <w:t xml:space="preserve"> regulations do not request nor require the provision of sensitive information, as that term is used in question 11.</w:t>
      </w:r>
    </w:p>
    <w:p w14:paraId="0067605B"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14:paraId="0067605C"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067605D"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14:paraId="0067605E"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0067605F" w14:textId="2B38EEA6" w:rsidR="005F3B35" w:rsidRDefault="009B4E2E" w:rsidP="005F3B35">
      <w:pPr>
        <w:pStyle w:val="PlainText"/>
        <w:jc w:val="both"/>
        <w:rPr>
          <w:rFonts w:ascii="Times New Roman" w:hAnsi="Times New Roman"/>
          <w:color w:val="auto"/>
          <w:sz w:val="24"/>
          <w:szCs w:val="24"/>
        </w:rPr>
      </w:pPr>
      <w:r w:rsidRPr="00903801">
        <w:rPr>
          <w:rFonts w:ascii="Times New Roman" w:hAnsi="Times New Roman"/>
          <w:i/>
          <w:color w:val="auto"/>
          <w:sz w:val="24"/>
          <w:szCs w:val="24"/>
        </w:rPr>
        <w:t>See</w:t>
      </w:r>
      <w:r w:rsidRPr="00903801">
        <w:rPr>
          <w:rFonts w:ascii="Times New Roman" w:hAnsi="Times New Roman"/>
          <w:color w:val="auto"/>
          <w:sz w:val="24"/>
          <w:szCs w:val="24"/>
        </w:rPr>
        <w:t xml:space="preserve"> Attachment A.  </w:t>
      </w:r>
      <w:r w:rsidR="005F3B35" w:rsidRPr="005F3B35">
        <w:rPr>
          <w:rFonts w:ascii="Times New Roman" w:hAnsi="Times New Roman"/>
          <w:color w:val="auto"/>
          <w:sz w:val="24"/>
          <w:szCs w:val="24"/>
        </w:rPr>
        <w:t>The annual burden associated with these regulations is estimated to be 16 hours, at an annual cost of $</w:t>
      </w:r>
      <w:r w:rsidR="00DE645C">
        <w:rPr>
          <w:rFonts w:ascii="Times New Roman" w:hAnsi="Times New Roman"/>
          <w:color w:val="auto"/>
          <w:sz w:val="24"/>
          <w:szCs w:val="24"/>
        </w:rPr>
        <w:t>736</w:t>
      </w:r>
      <w:r w:rsidR="005F3B35" w:rsidRPr="005F3B35">
        <w:rPr>
          <w:rFonts w:ascii="Times New Roman" w:hAnsi="Times New Roman"/>
          <w:color w:val="auto"/>
          <w:sz w:val="24"/>
          <w:szCs w:val="24"/>
        </w:rPr>
        <w:t xml:space="preserve"> for each FCM, SD, and MSP.  Burden means the total time, effort, or financial resources expended by persons to generate, maintain, retain, disclose, or provide information to or for a federal agency.  The Commission has characterized the annual costs as initial costs because the Commission anticipates that the cost burdens will be reduced dramatically over time as the documentation and procedures required by these regulations become increasingly standardized within the industry.</w:t>
      </w:r>
    </w:p>
    <w:p w14:paraId="00676060" w14:textId="77777777" w:rsidR="005F3B35" w:rsidRPr="005F3B35" w:rsidRDefault="005F3B35" w:rsidP="005F3B35">
      <w:pPr>
        <w:pStyle w:val="PlainText"/>
        <w:jc w:val="both"/>
        <w:rPr>
          <w:rFonts w:ascii="Times New Roman" w:hAnsi="Times New Roman"/>
          <w:color w:val="auto"/>
          <w:sz w:val="24"/>
          <w:szCs w:val="24"/>
        </w:rPr>
      </w:pPr>
    </w:p>
    <w:p w14:paraId="00676061" w14:textId="77777777"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lastRenderedPageBreak/>
        <w:t>Regulations 1.72 and 23.608 require each FCM, SD, and MSP to ensure compliance with these regulations.  Maintenance of contracts is prudent business practice and the Commission anticipates that SDs and MSPs already maintain some form of this documentation.  Additionally, the Commission believes that much of the existing customer clearing documentation already complies with these rules, and therefore that compliance will require a minimal burden.</w:t>
      </w:r>
    </w:p>
    <w:p w14:paraId="00676062" w14:textId="77777777" w:rsidR="005F3B35" w:rsidRPr="005F3B35" w:rsidRDefault="005F3B35" w:rsidP="005F3B35">
      <w:pPr>
        <w:pStyle w:val="PlainText"/>
        <w:jc w:val="both"/>
        <w:rPr>
          <w:rFonts w:ascii="Times New Roman" w:hAnsi="Times New Roman"/>
          <w:color w:val="auto"/>
          <w:sz w:val="24"/>
          <w:szCs w:val="24"/>
        </w:rPr>
      </w:pPr>
    </w:p>
    <w:p w14:paraId="00676063" w14:textId="77777777"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In addition to the above, the Commission anticipates that FCMs, SDs, and MSPs will spend an average of 16 hours per year drafting and, as needed, updating customer clearing documentation to ensure compliance required by §§ 1.72 and 23.608.</w:t>
      </w:r>
    </w:p>
    <w:p w14:paraId="00676064" w14:textId="77777777" w:rsidR="005F3B35" w:rsidRPr="005F3B35" w:rsidRDefault="005F3B35" w:rsidP="005F3B35">
      <w:pPr>
        <w:pStyle w:val="PlainText"/>
        <w:jc w:val="both"/>
        <w:rPr>
          <w:rFonts w:ascii="Times New Roman" w:hAnsi="Times New Roman"/>
          <w:color w:val="auto"/>
          <w:sz w:val="24"/>
          <w:szCs w:val="24"/>
        </w:rPr>
      </w:pPr>
    </w:p>
    <w:p w14:paraId="00676065" w14:textId="11D3FEBC"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For each DCO, the annual burden associated with these regulations is estimated to be 40 hours, at an annual cost of $</w:t>
      </w:r>
      <w:r w:rsidR="00DE645C">
        <w:rPr>
          <w:rFonts w:ascii="Times New Roman" w:hAnsi="Times New Roman"/>
          <w:color w:val="auto"/>
          <w:sz w:val="24"/>
          <w:szCs w:val="24"/>
        </w:rPr>
        <w:t>1,840</w:t>
      </w:r>
      <w:r w:rsidRPr="005F3B35">
        <w:rPr>
          <w:rFonts w:ascii="Times New Roman" w:hAnsi="Times New Roman"/>
          <w:color w:val="auto"/>
          <w:sz w:val="24"/>
          <w:szCs w:val="24"/>
        </w:rPr>
        <w:t>.  Burden means the total time, effort, or financial resources expended by persons to generate, maintain, retain, disclose, or provide information to or for a federal agency.  The Commission has characterized the annual costs as initial costs as the Commission anticipates that the cost burdens will be reduced dramatically over time as once the documentation and procedures required by the regulations are implemented, any additional expenditure related to § 39.12 likely would be limited to the time required to review -- and, as needed, amend -- existing documentation and procedures.</w:t>
      </w:r>
    </w:p>
    <w:p w14:paraId="00676066" w14:textId="77777777" w:rsidR="005F3B35" w:rsidRPr="005F3B35" w:rsidRDefault="005F3B35" w:rsidP="005F3B35">
      <w:pPr>
        <w:pStyle w:val="PlainText"/>
        <w:jc w:val="both"/>
        <w:rPr>
          <w:rFonts w:ascii="Times New Roman" w:hAnsi="Times New Roman"/>
          <w:color w:val="auto"/>
          <w:sz w:val="24"/>
          <w:szCs w:val="24"/>
        </w:rPr>
      </w:pPr>
    </w:p>
    <w:p w14:paraId="00676067" w14:textId="77777777"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Section 39.12(b)(7) requires each DCO to coordinate with clearing members to establish systems for prompt processing of trades.  The Commission believes that this is currently a practice of DCOs.  Accordingly, any additional expenditure related to § 39.12(b)(7) likely would be limited to the time initially required to review -- and, as needed, amend -- existing trade processing procedures to ensure that they conform to all of the required elements and to coordinate with FCMs, SDs, and MSPs to establish reciprocal procedures.</w:t>
      </w:r>
    </w:p>
    <w:p w14:paraId="00676068" w14:textId="77777777" w:rsidR="005F3B35" w:rsidRPr="005F3B35" w:rsidRDefault="005F3B35" w:rsidP="005F3B35">
      <w:pPr>
        <w:pStyle w:val="PlainText"/>
        <w:jc w:val="both"/>
        <w:rPr>
          <w:rFonts w:ascii="Times New Roman" w:hAnsi="Times New Roman"/>
          <w:color w:val="auto"/>
          <w:sz w:val="24"/>
          <w:szCs w:val="24"/>
        </w:rPr>
      </w:pPr>
    </w:p>
    <w:p w14:paraId="00676069"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The Commission anticipates that DCOs will spend an average of 20 hours per year drafting -- and, as needed, updating -- the written policies and procedures to ensure compliance required by § 39.12, and 20 hours per year coordinating with FCMs, SDs, and MSPs on reciprocal procedures.</w:t>
      </w:r>
    </w:p>
    <w:p w14:paraId="0067606A"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The hour burden calculations below are based upon a number of variables such as the number of FCMs, SDs, MSPs, and DCOs in the marketplace and the average hourly wage of the employees of these registrants that would be responsible for satisfying the obligations established by the proposed regulation.  </w:t>
      </w:r>
    </w:p>
    <w:p w14:paraId="0067606B" w14:textId="1DA3EE8B"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There are currently 134 FCMs and 14 DCOs based on industry data.  </w:t>
      </w:r>
      <w:r w:rsidR="0092317E">
        <w:rPr>
          <w:rFonts w:ascii="Times New Roman" w:hAnsi="Times New Roman"/>
          <w:color w:val="auto"/>
          <w:sz w:val="24"/>
          <w:szCs w:val="24"/>
        </w:rPr>
        <w:t>There are currently 105 provisionally registered SDs and MSPs</w:t>
      </w:r>
      <w:r w:rsidRPr="005F3B35">
        <w:rPr>
          <w:rFonts w:ascii="Times New Roman" w:hAnsi="Times New Roman"/>
          <w:color w:val="auto"/>
          <w:sz w:val="24"/>
          <w:szCs w:val="24"/>
        </w:rPr>
        <w:t>.  The Commission estimated the number of affected entities based on industry data.</w:t>
      </w:r>
    </w:p>
    <w:p w14:paraId="0067606C" w14:textId="77777777" w:rsidR="005F3B35" w:rsidRPr="005F3B35" w:rsidRDefault="005F3B35" w:rsidP="005F3B35">
      <w:pPr>
        <w:pStyle w:val="PlainText"/>
        <w:jc w:val="both"/>
        <w:rPr>
          <w:rFonts w:ascii="Times New Roman" w:hAnsi="Times New Roman"/>
          <w:color w:val="auto"/>
          <w:sz w:val="24"/>
          <w:szCs w:val="24"/>
        </w:rPr>
      </w:pPr>
    </w:p>
    <w:p w14:paraId="5F80E67A" w14:textId="77777777" w:rsidR="0057482A" w:rsidRPr="0057482A" w:rsidRDefault="0057482A" w:rsidP="0057482A">
      <w:pPr>
        <w:pStyle w:val="PlainText"/>
        <w:jc w:val="both"/>
        <w:rPr>
          <w:rFonts w:ascii="Times New Roman" w:hAnsi="Times New Roman"/>
          <w:color w:val="auto"/>
          <w:sz w:val="24"/>
          <w:szCs w:val="24"/>
        </w:rPr>
      </w:pPr>
      <w:r w:rsidRPr="0057482A">
        <w:rPr>
          <w:rFonts w:ascii="Times New Roman" w:hAnsi="Times New Roman"/>
          <w:color w:val="auto"/>
          <w:sz w:val="24"/>
          <w:szCs w:val="24"/>
        </w:rPr>
        <w:t>In arriving at a wage rate for the hourly costs imposed, Commission staff used the Management &amp; Professional Earnings in the Securities Industry Report, published in 2013 by the Securities Industry and Financial Markets Association (2013 Report).  For the cost calculations, as noted below, Commission staff used a composite (blended) wage rate by averaging the mean annual salaries of a Compliance Manager and a Programmer as published in the 2013 Report, and divided that figure by 1800 annual working hours to arrive at the hourly wage rate of $46.</w:t>
      </w:r>
    </w:p>
    <w:p w14:paraId="6F16CCA1" w14:textId="77777777" w:rsidR="0057482A" w:rsidRPr="0057482A" w:rsidRDefault="0057482A" w:rsidP="0057482A">
      <w:pPr>
        <w:pStyle w:val="PlainText"/>
        <w:jc w:val="both"/>
        <w:rPr>
          <w:rFonts w:ascii="Times New Roman" w:hAnsi="Times New Roman"/>
          <w:color w:val="auto"/>
          <w:sz w:val="24"/>
          <w:szCs w:val="24"/>
        </w:rPr>
      </w:pPr>
    </w:p>
    <w:p w14:paraId="0067606E" w14:textId="58B5356C" w:rsidR="005F3B35" w:rsidRDefault="0057482A" w:rsidP="0057482A">
      <w:pPr>
        <w:pStyle w:val="PlainText"/>
        <w:jc w:val="both"/>
        <w:rPr>
          <w:rFonts w:ascii="Times New Roman" w:hAnsi="Times New Roman"/>
          <w:color w:val="auto"/>
          <w:sz w:val="24"/>
          <w:szCs w:val="24"/>
        </w:rPr>
      </w:pPr>
      <w:r w:rsidRPr="0057482A">
        <w:rPr>
          <w:rFonts w:ascii="Times New Roman" w:hAnsi="Times New Roman"/>
          <w:color w:val="auto"/>
          <w:sz w:val="24"/>
          <w:szCs w:val="24"/>
        </w:rPr>
        <w:lastRenderedPageBreak/>
        <w:t>Commission staff chose this methodology to account for the variance in skill sets that may be used to accomplish the collection of information.  It is important to note that although the hourly wage referenced above does take bonuses into account, it does not consider certain variables such as employee benefits which can increase the cost of labor.</w:t>
      </w:r>
    </w:p>
    <w:p w14:paraId="3ACF5085" w14:textId="77777777" w:rsidR="0057482A" w:rsidRPr="005F3B35" w:rsidRDefault="0057482A" w:rsidP="0057482A">
      <w:pPr>
        <w:pStyle w:val="PlainText"/>
        <w:jc w:val="both"/>
        <w:rPr>
          <w:rFonts w:ascii="Times New Roman" w:hAnsi="Times New Roman"/>
          <w:color w:val="auto"/>
          <w:sz w:val="24"/>
          <w:szCs w:val="24"/>
        </w:rPr>
      </w:pPr>
    </w:p>
    <w:p w14:paraId="0067606F" w14:textId="77777777"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Accordingly, the estimated hour burden was calculated as follows:</w:t>
      </w:r>
    </w:p>
    <w:p w14:paraId="00676070" w14:textId="77777777" w:rsidR="005F3B35" w:rsidRPr="005F3B35" w:rsidRDefault="005F3B35" w:rsidP="005F3B35">
      <w:pPr>
        <w:pStyle w:val="PlainText"/>
        <w:jc w:val="both"/>
        <w:rPr>
          <w:rFonts w:ascii="Times New Roman" w:hAnsi="Times New Roman"/>
          <w:color w:val="auto"/>
          <w:sz w:val="24"/>
          <w:szCs w:val="24"/>
        </w:rPr>
      </w:pPr>
    </w:p>
    <w:p w14:paraId="00676071"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Developing Written Procedures for Compliance, and Maintaining Records Documenting Compliance for SDs and MSPs.  This hourly burden arises from the requirement that SDs and MSPs make and maintain records documenting compliance related to client clearing documentation.</w:t>
      </w:r>
    </w:p>
    <w:p w14:paraId="00676072" w14:textId="2AB72C39" w:rsidR="005F3B35" w:rsidRPr="005F3B35" w:rsidRDefault="0092317E" w:rsidP="005F3B35">
      <w:pPr>
        <w:pStyle w:val="PlainText"/>
        <w:jc w:val="both"/>
        <w:rPr>
          <w:rFonts w:ascii="Times New Roman" w:hAnsi="Times New Roman"/>
          <w:color w:val="auto"/>
          <w:sz w:val="24"/>
          <w:szCs w:val="24"/>
        </w:rPr>
      </w:pPr>
      <w:r>
        <w:rPr>
          <w:rFonts w:ascii="Times New Roman" w:hAnsi="Times New Roman"/>
          <w:color w:val="auto"/>
          <w:sz w:val="24"/>
          <w:szCs w:val="24"/>
        </w:rPr>
        <w:t>Number of registrants:  105</w:t>
      </w:r>
    </w:p>
    <w:p w14:paraId="00676073"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Frequency of collection:  as needed</w:t>
      </w:r>
    </w:p>
    <w:p w14:paraId="00676074"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number of annual responses per registrant: 1</w:t>
      </w:r>
    </w:p>
    <w:p w14:paraId="00676075" w14:textId="0828B115"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Estimated aggregate </w:t>
      </w:r>
      <w:r w:rsidR="0092317E">
        <w:rPr>
          <w:rFonts w:ascii="Times New Roman" w:hAnsi="Times New Roman"/>
          <w:color w:val="auto"/>
          <w:sz w:val="24"/>
          <w:szCs w:val="24"/>
        </w:rPr>
        <w:t>number of annual responses:  105</w:t>
      </w:r>
    </w:p>
    <w:p w14:paraId="00676076"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annual hour burden per registrant:  16 hours</w:t>
      </w:r>
    </w:p>
    <w:p w14:paraId="00676077" w14:textId="68E9A539"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Estimated aggregate annual hour </w:t>
      </w:r>
      <w:r w:rsidR="0092317E">
        <w:rPr>
          <w:rFonts w:ascii="Times New Roman" w:hAnsi="Times New Roman"/>
          <w:color w:val="auto"/>
          <w:sz w:val="24"/>
          <w:szCs w:val="24"/>
        </w:rPr>
        <w:t>burden:  1,680 burden hours [105</w:t>
      </w:r>
      <w:r w:rsidRPr="005F3B35">
        <w:rPr>
          <w:rFonts w:ascii="Times New Roman" w:hAnsi="Times New Roman"/>
          <w:color w:val="auto"/>
          <w:sz w:val="24"/>
          <w:szCs w:val="24"/>
        </w:rPr>
        <w:t xml:space="preserve"> registrants x 16 hours per registrant]</w:t>
      </w:r>
    </w:p>
    <w:p w14:paraId="00676078" w14:textId="77777777" w:rsidR="005F3B35" w:rsidRPr="005F3B35" w:rsidRDefault="005F3B35" w:rsidP="005F3B35">
      <w:pPr>
        <w:pStyle w:val="PlainText"/>
        <w:jc w:val="both"/>
        <w:rPr>
          <w:rFonts w:ascii="Times New Roman" w:hAnsi="Times New Roman"/>
          <w:color w:val="auto"/>
          <w:sz w:val="24"/>
          <w:szCs w:val="24"/>
        </w:rPr>
      </w:pPr>
    </w:p>
    <w:p w14:paraId="00676079"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Developing Written Procedures for Compliance, and Maintaining Records Documenting Compliance for FCMs.  This hourly burden arises from the requirement that FCMs make and maintain records documenting compliance related to client clearing documentation.</w:t>
      </w:r>
    </w:p>
    <w:p w14:paraId="0067607A"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Number of registrants:  134</w:t>
      </w:r>
    </w:p>
    <w:p w14:paraId="0067607B"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Frequency of collection:  as needed</w:t>
      </w:r>
    </w:p>
    <w:p w14:paraId="0067607C"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number of annual responses per registrant: 1</w:t>
      </w:r>
    </w:p>
    <w:p w14:paraId="0067607D"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aggregate number of annual responses:  134</w:t>
      </w:r>
    </w:p>
    <w:p w14:paraId="0067607E"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annual hour burden per registrant:  16 hours</w:t>
      </w:r>
    </w:p>
    <w:p w14:paraId="0067607F" w14:textId="77777777"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aggregate annual hour burden:  2,144 burden hours [134 registrants x 16 hours per registrant]</w:t>
      </w:r>
    </w:p>
    <w:p w14:paraId="00676080" w14:textId="77777777" w:rsidR="005F3B35" w:rsidRPr="005F3B35" w:rsidRDefault="005F3B35" w:rsidP="005F3B35">
      <w:pPr>
        <w:pStyle w:val="PlainText"/>
        <w:jc w:val="both"/>
        <w:rPr>
          <w:rFonts w:ascii="Times New Roman" w:hAnsi="Times New Roman"/>
          <w:color w:val="auto"/>
          <w:sz w:val="24"/>
          <w:szCs w:val="24"/>
        </w:rPr>
      </w:pPr>
    </w:p>
    <w:p w14:paraId="00676081"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Drafting and Updating Trade Processing Procedures for DCOs.  This hour burden arises from the time necessary to develop and periodically update the trade processing procedures required by the regulations.</w:t>
      </w:r>
    </w:p>
    <w:p w14:paraId="00676082"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Number of registrants:  14</w:t>
      </w:r>
    </w:p>
    <w:p w14:paraId="00676083"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Frequency of collection:  Initial drafting, updating as needed</w:t>
      </w:r>
    </w:p>
    <w:p w14:paraId="00676084"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number of annual responses per registrant:  1</w:t>
      </w:r>
    </w:p>
    <w:p w14:paraId="00676085"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aggregate number of annual responses:  14</w:t>
      </w:r>
    </w:p>
    <w:p w14:paraId="00676086"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annual hour burden per registrant:  40 hours</w:t>
      </w:r>
    </w:p>
    <w:p w14:paraId="00676087" w14:textId="77777777" w:rsidR="00D77987" w:rsidRPr="00D77987"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aggregate annual hour burden:  560 burden hours [14 registrants x 40 hours per registrant]</w:t>
      </w:r>
    </w:p>
    <w:p w14:paraId="00676088" w14:textId="77777777" w:rsidR="00871E47" w:rsidRDefault="00871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14:paraId="00676089" w14:textId="77777777" w:rsidR="00871E47" w:rsidRDefault="009B4E2E">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14:paraId="0067608A"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w:t>
      </w:r>
      <w:r>
        <w:rPr>
          <w:rFonts w:ascii="Times New Roman" w:hAnsi="Times New Roman"/>
          <w:b/>
        </w:rPr>
        <w:lastRenderedPageBreak/>
        <w:t>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067608B"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0067608C"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067608D" w14:textId="73F2CCB4" w:rsidR="00871E47" w:rsidRDefault="00D77987">
      <w:pPr>
        <w:jc w:val="both"/>
        <w:rPr>
          <w:rFonts w:ascii="Times New Roman" w:hAnsi="Times New Roman"/>
        </w:rPr>
      </w:pPr>
      <w:r w:rsidRPr="00702F04">
        <w:rPr>
          <w:rFonts w:ascii="Times New Roman" w:hAnsi="Times New Roman"/>
        </w:rPr>
        <w:t xml:space="preserve">See response to question 12 and Attachment A.  The information collection required by the regulations </w:t>
      </w:r>
      <w:r w:rsidR="000072AB">
        <w:rPr>
          <w:rFonts w:ascii="Times New Roman" w:hAnsi="Times New Roman"/>
        </w:rPr>
        <w:t>does</w:t>
      </w:r>
      <w:r w:rsidRPr="00702F04">
        <w:rPr>
          <w:rFonts w:ascii="Times New Roman" w:hAnsi="Times New Roman"/>
        </w:rPr>
        <w:t xml:space="preserve"> not involve any capital or start-up capital or operations or maintenance costs as the Commission anticipates that swap dealers, major swap participants</w:t>
      </w:r>
      <w:r w:rsidR="00702F04" w:rsidRPr="00702F04">
        <w:rPr>
          <w:rFonts w:ascii="Times New Roman" w:hAnsi="Times New Roman"/>
        </w:rPr>
        <w:t>,</w:t>
      </w:r>
      <w:r w:rsidRPr="00702F04">
        <w:rPr>
          <w:rFonts w:ascii="Times New Roman" w:hAnsi="Times New Roman"/>
        </w:rPr>
        <w:t xml:space="preserve"> futures commission merchants</w:t>
      </w:r>
      <w:r w:rsidR="00702F04" w:rsidRPr="00702F04">
        <w:rPr>
          <w:rFonts w:ascii="Times New Roman" w:hAnsi="Times New Roman"/>
        </w:rPr>
        <w:t>, and derivatives clearing organizations</w:t>
      </w:r>
      <w:r w:rsidRPr="00702F04">
        <w:rPr>
          <w:rFonts w:ascii="Times New Roman" w:hAnsi="Times New Roman"/>
        </w:rPr>
        <w:t xml:space="preserve"> already maintain sufficient compliance personnel and systems for the regulatory reporting and recordkeeping that would be required.</w:t>
      </w:r>
      <w:r w:rsidRPr="00D77987">
        <w:rPr>
          <w:rFonts w:ascii="Times New Roman" w:hAnsi="Times New Roman"/>
        </w:rPr>
        <w:t xml:space="preserve"> </w:t>
      </w:r>
      <w:r w:rsidRPr="00D77987">
        <w:rPr>
          <w:rFonts w:ascii="Times New Roman" w:hAnsi="Times New Roman"/>
        </w:rPr>
        <w:tab/>
      </w:r>
      <w:r w:rsidRPr="00D77987">
        <w:rPr>
          <w:rFonts w:ascii="Times New Roman" w:hAnsi="Times New Roman"/>
        </w:rPr>
        <w:tab/>
      </w:r>
    </w:p>
    <w:p w14:paraId="0067608E" w14:textId="77777777" w:rsidR="00D77987" w:rsidRDefault="00D77987">
      <w:pPr>
        <w:jc w:val="both"/>
        <w:rPr>
          <w:rFonts w:ascii="Times New Roman" w:hAnsi="Times New Roman"/>
        </w:rPr>
      </w:pPr>
    </w:p>
    <w:p w14:paraId="0067608F"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00676090" w14:textId="5EA1EF1C" w:rsidR="00871E47" w:rsidRDefault="009B4E2E">
      <w:pPr>
        <w:tabs>
          <w:tab w:val="left" w:pos="-720"/>
        </w:tabs>
        <w:spacing w:after="240"/>
        <w:jc w:val="both"/>
        <w:rPr>
          <w:rFonts w:ascii="Times New Roman" w:hAnsi="Times New Roman"/>
        </w:rPr>
      </w:pPr>
      <w:r>
        <w:rPr>
          <w:rFonts w:ascii="Times New Roman" w:hAnsi="Times New Roman"/>
        </w:rPr>
        <w:t>It is not anticipated that the regulations would impose any additional costs to the Federal Government.</w:t>
      </w:r>
    </w:p>
    <w:p w14:paraId="00676091"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14:paraId="00676092" w14:textId="77777777" w:rsidR="00D77987" w:rsidRDefault="00D77987" w:rsidP="00D77987">
      <w:pPr>
        <w:tabs>
          <w:tab w:val="left" w:pos="-720"/>
        </w:tabs>
        <w:spacing w:after="240"/>
        <w:jc w:val="both"/>
        <w:rPr>
          <w:rFonts w:ascii="Times New Roman" w:hAnsi="Times New Roman"/>
        </w:rPr>
      </w:pPr>
      <w:r w:rsidRPr="00FA72E7">
        <w:rPr>
          <w:rFonts w:ascii="Times New Roman" w:hAnsi="Times New Roman"/>
        </w:rPr>
        <w:t>The program changes or adjustments are necessary to implement certain provisions of the CEA, as amended by the Dodd-Frank Act, which established a new regulatory scheme.</w:t>
      </w:r>
      <w:r>
        <w:rPr>
          <w:rFonts w:ascii="Times New Roman" w:hAnsi="Times New Roman"/>
        </w:rPr>
        <w:t xml:space="preserve">  </w:t>
      </w:r>
    </w:p>
    <w:p w14:paraId="00676093"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lastRenderedPageBreak/>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00676094"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14:paraId="00676095"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14:paraId="00676096"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14:paraId="00676097" w14:textId="77777777" w:rsidR="00871E47" w:rsidRDefault="009B4E2E">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14:paraId="00676098"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14:paraId="00676099" w14:textId="77777777" w:rsidR="00871E47" w:rsidRDefault="009B4E2E">
      <w:pPr>
        <w:rPr>
          <w:rFonts w:ascii="Times New Roman" w:hAnsi="Times New Roman"/>
          <w:b/>
        </w:rPr>
      </w:pPr>
      <w:r>
        <w:br w:type="page"/>
      </w:r>
    </w:p>
    <w:p w14:paraId="0067609A" w14:textId="77777777" w:rsidR="00871E47" w:rsidRDefault="009B4E2E">
      <w:pPr>
        <w:pStyle w:val="Title"/>
        <w:spacing w:after="240"/>
        <w:rPr>
          <w:sz w:val="24"/>
          <w:szCs w:val="24"/>
        </w:rPr>
      </w:pPr>
      <w:r>
        <w:rPr>
          <w:sz w:val="24"/>
          <w:szCs w:val="24"/>
        </w:rPr>
        <w:lastRenderedPageBreak/>
        <w:t>Attachment A</w:t>
      </w:r>
    </w:p>
    <w:p w14:paraId="0067609B" w14:textId="77777777" w:rsidR="00871E47" w:rsidRDefault="009B4E2E">
      <w:pPr>
        <w:pStyle w:val="Title"/>
        <w:spacing w:after="240"/>
        <w:rPr>
          <w:sz w:val="24"/>
          <w:szCs w:val="24"/>
        </w:rPr>
      </w:pPr>
      <w:r>
        <w:rPr>
          <w:sz w:val="24"/>
          <w:szCs w:val="24"/>
        </w:rPr>
        <w:t>Part 23 – Swap Trading Relationship Documentation Requirements for Swap Dealers and Major Swap Participants</w:t>
      </w:r>
    </w:p>
    <w:p w14:paraId="0067609C" w14:textId="77777777" w:rsidR="00871E47" w:rsidRDefault="009B4E2E">
      <w:pPr>
        <w:pStyle w:val="Title"/>
        <w:spacing w:after="240"/>
        <w:rPr>
          <w:sz w:val="24"/>
          <w:szCs w:val="24"/>
        </w:rPr>
      </w:pPr>
      <w:r>
        <w:rPr>
          <w:sz w:val="24"/>
          <w:szCs w:val="24"/>
        </w:rPr>
        <w:t>OMB Collection File 3038-</w:t>
      </w:r>
      <w:r w:rsidR="005F3B35">
        <w:rPr>
          <w:sz w:val="24"/>
          <w:szCs w:val="24"/>
        </w:rPr>
        <w:t>0092</w:t>
      </w:r>
    </w:p>
    <w:p w14:paraId="0067609D" w14:textId="3C0183F2" w:rsidR="00871E47" w:rsidRPr="009B7244" w:rsidRDefault="009B4E2E">
      <w:pPr>
        <w:pStyle w:val="Title"/>
        <w:spacing w:line="360" w:lineRule="auto"/>
        <w:jc w:val="left"/>
        <w:rPr>
          <w:sz w:val="24"/>
          <w:szCs w:val="24"/>
        </w:rPr>
      </w:pPr>
      <w:r w:rsidRPr="009B7244">
        <w:rPr>
          <w:b w:val="0"/>
          <w:sz w:val="24"/>
          <w:szCs w:val="24"/>
        </w:rPr>
        <w:t xml:space="preserve">Number of Registrants:  </w:t>
      </w:r>
      <w:r w:rsidR="0092317E">
        <w:rPr>
          <w:b w:val="0"/>
          <w:sz w:val="24"/>
          <w:szCs w:val="24"/>
        </w:rPr>
        <w:t>239</w:t>
      </w:r>
      <w:r w:rsidR="00D77987" w:rsidRPr="009B7244">
        <w:rPr>
          <w:b w:val="0"/>
          <w:sz w:val="24"/>
          <w:szCs w:val="24"/>
        </w:rPr>
        <w:t xml:space="preserve"> / 14</w:t>
      </w:r>
    </w:p>
    <w:p w14:paraId="0067609E" w14:textId="77777777" w:rsidR="00871E47" w:rsidRPr="009B7244" w:rsidRDefault="009B4E2E">
      <w:pPr>
        <w:pStyle w:val="Title"/>
        <w:tabs>
          <w:tab w:val="center" w:pos="7200"/>
        </w:tabs>
        <w:spacing w:line="360" w:lineRule="auto"/>
        <w:jc w:val="left"/>
        <w:rPr>
          <w:b w:val="0"/>
          <w:sz w:val="24"/>
          <w:szCs w:val="24"/>
        </w:rPr>
      </w:pPr>
      <w:r w:rsidRPr="009B7244">
        <w:rPr>
          <w:b w:val="0"/>
          <w:sz w:val="24"/>
          <w:szCs w:val="24"/>
        </w:rPr>
        <w:t xml:space="preserve">Frequency of Recordkeeping/Reporting: </w:t>
      </w:r>
      <w:r w:rsidRPr="009B7244">
        <w:rPr>
          <w:b w:val="0"/>
          <w:i/>
          <w:sz w:val="24"/>
          <w:szCs w:val="24"/>
        </w:rPr>
        <w:t>See</w:t>
      </w:r>
      <w:r w:rsidRPr="009B7244">
        <w:rPr>
          <w:b w:val="0"/>
          <w:sz w:val="24"/>
          <w:szCs w:val="24"/>
        </w:rPr>
        <w:t xml:space="preserve"> table below (daily, annually, or as needed)</w:t>
      </w:r>
    </w:p>
    <w:p w14:paraId="0067609F" w14:textId="77777777" w:rsidR="00871E47" w:rsidRPr="009B7244" w:rsidRDefault="009B4E2E">
      <w:pPr>
        <w:spacing w:line="360" w:lineRule="auto"/>
        <w:jc w:val="both"/>
        <w:rPr>
          <w:rFonts w:ascii="Times New Roman" w:hAnsi="Times New Roman"/>
        </w:rPr>
      </w:pPr>
      <w:r w:rsidRPr="009B7244">
        <w:rPr>
          <w:rFonts w:ascii="Times New Roman" w:hAnsi="Times New Roman"/>
        </w:rPr>
        <w:t xml:space="preserve">Estimated Average Burden Hours Per Registrant: </w:t>
      </w:r>
      <w:r w:rsidR="004E0B65" w:rsidRPr="009B7244">
        <w:rPr>
          <w:rFonts w:ascii="Times New Roman" w:hAnsi="Times New Roman"/>
        </w:rPr>
        <w:t>16 / 40</w:t>
      </w:r>
    </w:p>
    <w:p w14:paraId="006760A0" w14:textId="0FD56FA8" w:rsidR="00871E47" w:rsidRPr="009B7244" w:rsidRDefault="009B4E2E">
      <w:pPr>
        <w:spacing w:line="360" w:lineRule="auto"/>
        <w:jc w:val="both"/>
        <w:rPr>
          <w:rFonts w:ascii="Times New Roman" w:hAnsi="Times New Roman"/>
        </w:rPr>
      </w:pPr>
      <w:r w:rsidRPr="009B7244">
        <w:rPr>
          <w:rFonts w:ascii="Times New Roman" w:hAnsi="Times New Roman"/>
        </w:rPr>
        <w:t xml:space="preserve">Estimated Aggregate Burden Hours:  </w:t>
      </w:r>
      <w:r w:rsidR="0092317E">
        <w:rPr>
          <w:rFonts w:ascii="Times New Roman" w:hAnsi="Times New Roman"/>
        </w:rPr>
        <w:t>3</w:t>
      </w:r>
      <w:r w:rsidR="004E0B65" w:rsidRPr="009B7244">
        <w:rPr>
          <w:rFonts w:ascii="Times New Roman" w:hAnsi="Times New Roman"/>
        </w:rPr>
        <w:t>,</w:t>
      </w:r>
      <w:r w:rsidR="0092317E">
        <w:rPr>
          <w:rFonts w:ascii="Times New Roman" w:hAnsi="Times New Roman"/>
        </w:rPr>
        <w:t>82</w:t>
      </w:r>
      <w:r w:rsidR="004E0B65" w:rsidRPr="009B7244">
        <w:rPr>
          <w:rFonts w:ascii="Times New Roman" w:hAnsi="Times New Roman"/>
        </w:rPr>
        <w:t>4 / 560</w:t>
      </w:r>
    </w:p>
    <w:p w14:paraId="006760A1" w14:textId="25332E20" w:rsidR="00871E47" w:rsidRPr="009B7244" w:rsidRDefault="009B4E2E">
      <w:pPr>
        <w:spacing w:line="360" w:lineRule="auto"/>
        <w:jc w:val="both"/>
        <w:rPr>
          <w:rFonts w:ascii="Times New Roman" w:hAnsi="Times New Roman"/>
        </w:rPr>
      </w:pPr>
      <w:r w:rsidRPr="009B7244">
        <w:rPr>
          <w:rFonts w:ascii="Times New Roman" w:hAnsi="Times New Roman"/>
        </w:rPr>
        <w:t>Estimated Annual Cost Per Registrant:   $</w:t>
      </w:r>
      <w:r w:rsidR="00635845">
        <w:rPr>
          <w:rFonts w:ascii="Times New Roman" w:hAnsi="Times New Roman"/>
        </w:rPr>
        <w:t>736</w:t>
      </w:r>
      <w:r w:rsidR="004E0B65" w:rsidRPr="009B7244">
        <w:rPr>
          <w:rFonts w:ascii="Times New Roman" w:hAnsi="Times New Roman"/>
        </w:rPr>
        <w:t xml:space="preserve"> / $</w:t>
      </w:r>
      <w:r w:rsidR="00635845">
        <w:rPr>
          <w:rFonts w:ascii="Times New Roman" w:hAnsi="Times New Roman"/>
        </w:rPr>
        <w:t>1,840</w:t>
      </w:r>
    </w:p>
    <w:p w14:paraId="006760A2" w14:textId="3FBC0C0A" w:rsidR="00871E47" w:rsidRPr="009B7244" w:rsidRDefault="009B4E2E">
      <w:pPr>
        <w:spacing w:line="360" w:lineRule="auto"/>
        <w:jc w:val="both"/>
        <w:rPr>
          <w:rFonts w:ascii="Times New Roman" w:hAnsi="Times New Roman"/>
        </w:rPr>
      </w:pPr>
      <w:r w:rsidRPr="009B7244">
        <w:rPr>
          <w:rFonts w:ascii="Times New Roman" w:hAnsi="Times New Roman"/>
        </w:rPr>
        <w:t>Estimated Aggregate Annual Cost:   $</w:t>
      </w:r>
      <w:r w:rsidR="00635845">
        <w:rPr>
          <w:rFonts w:ascii="Times New Roman" w:hAnsi="Times New Roman"/>
        </w:rPr>
        <w:t>1</w:t>
      </w:r>
      <w:r w:rsidR="0092317E">
        <w:rPr>
          <w:rFonts w:ascii="Times New Roman" w:hAnsi="Times New Roman"/>
        </w:rPr>
        <w:t>75,90</w:t>
      </w:r>
      <w:r w:rsidR="00635845">
        <w:rPr>
          <w:rFonts w:ascii="Times New Roman" w:hAnsi="Times New Roman"/>
        </w:rPr>
        <w:t>4</w:t>
      </w:r>
      <w:r w:rsidR="004E0B65" w:rsidRPr="009B7244">
        <w:rPr>
          <w:rFonts w:ascii="Times New Roman" w:hAnsi="Times New Roman"/>
        </w:rPr>
        <w:t xml:space="preserve"> / $</w:t>
      </w:r>
      <w:r w:rsidR="00930C37">
        <w:rPr>
          <w:rFonts w:ascii="Times New Roman" w:hAnsi="Times New Roman"/>
        </w:rPr>
        <w:t>25,760</w:t>
      </w:r>
    </w:p>
    <w:p w14:paraId="006760A3" w14:textId="77777777" w:rsidR="00871E47" w:rsidRPr="009B7244" w:rsidRDefault="009B4E2E">
      <w:pPr>
        <w:spacing w:line="360" w:lineRule="auto"/>
        <w:jc w:val="both"/>
        <w:rPr>
          <w:rFonts w:ascii="Times New Roman" w:hAnsi="Times New Roman"/>
        </w:rPr>
      </w:pPr>
      <w:r w:rsidRPr="009B7244">
        <w:rPr>
          <w:rFonts w:ascii="Times New Roman" w:hAnsi="Times New Roman"/>
        </w:rPr>
        <w:t>% of Responses Collected Electronically:  100%</w:t>
      </w:r>
      <w:r w:rsidRPr="009B7244">
        <w:rPr>
          <w:rFonts w:ascii="Times New Roman" w:hAnsi="Times New Roman"/>
        </w:rPr>
        <w:tab/>
      </w: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116"/>
        <w:gridCol w:w="1227"/>
        <w:gridCol w:w="1061"/>
        <w:gridCol w:w="1061"/>
        <w:gridCol w:w="1016"/>
        <w:gridCol w:w="1039"/>
        <w:gridCol w:w="1063"/>
        <w:gridCol w:w="1039"/>
        <w:gridCol w:w="1202"/>
      </w:tblGrid>
      <w:tr w:rsidR="00871E47" w:rsidRPr="009B7244" w14:paraId="006760B6" w14:textId="77777777" w:rsidTr="0092317E">
        <w:trPr>
          <w:trHeight w:val="1655"/>
          <w:jc w:val="center"/>
        </w:trPr>
        <w:tc>
          <w:tcPr>
            <w:tcW w:w="1572" w:type="dxa"/>
          </w:tcPr>
          <w:p w14:paraId="006760A4"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Requirement</w:t>
            </w:r>
          </w:p>
        </w:tc>
        <w:tc>
          <w:tcPr>
            <w:tcW w:w="1116" w:type="dxa"/>
          </w:tcPr>
          <w:p w14:paraId="006760A5"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Number of Registrants Per Year</w:t>
            </w:r>
          </w:p>
        </w:tc>
        <w:tc>
          <w:tcPr>
            <w:tcW w:w="1227" w:type="dxa"/>
          </w:tcPr>
          <w:p w14:paraId="006760A6"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Frequency of Response</w:t>
            </w:r>
          </w:p>
        </w:tc>
        <w:tc>
          <w:tcPr>
            <w:tcW w:w="1061" w:type="dxa"/>
          </w:tcPr>
          <w:p w14:paraId="006760A7"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Number of Responses Per Registrant</w:t>
            </w:r>
          </w:p>
          <w:p w14:paraId="006760A8"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Annually</w:t>
            </w:r>
          </w:p>
        </w:tc>
        <w:tc>
          <w:tcPr>
            <w:tcW w:w="1061" w:type="dxa"/>
          </w:tcPr>
          <w:p w14:paraId="006760A9"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Aggregate</w:t>
            </w:r>
          </w:p>
          <w:p w14:paraId="006760AA"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Number of  Responses</w:t>
            </w:r>
          </w:p>
          <w:p w14:paraId="006760AB"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Annually</w:t>
            </w:r>
          </w:p>
          <w:p w14:paraId="006760AC" w14:textId="77777777" w:rsidR="00871E47" w:rsidRPr="009B7244" w:rsidRDefault="00871E47">
            <w:pPr>
              <w:jc w:val="center"/>
              <w:rPr>
                <w:rFonts w:ascii="Times New Roman" w:hAnsi="Times New Roman"/>
                <w:sz w:val="20"/>
                <w:szCs w:val="20"/>
              </w:rPr>
            </w:pPr>
          </w:p>
        </w:tc>
        <w:tc>
          <w:tcPr>
            <w:tcW w:w="1016" w:type="dxa"/>
          </w:tcPr>
          <w:p w14:paraId="006760AD"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Average Number of Hours Per Response</w:t>
            </w:r>
          </w:p>
          <w:p w14:paraId="006760AE" w14:textId="77777777" w:rsidR="00871E47" w:rsidRPr="009B7244" w:rsidRDefault="00871E47">
            <w:pPr>
              <w:jc w:val="center"/>
              <w:rPr>
                <w:rFonts w:ascii="Times New Roman" w:hAnsi="Times New Roman"/>
                <w:sz w:val="20"/>
                <w:szCs w:val="20"/>
              </w:rPr>
            </w:pPr>
          </w:p>
        </w:tc>
        <w:tc>
          <w:tcPr>
            <w:tcW w:w="1039" w:type="dxa"/>
          </w:tcPr>
          <w:p w14:paraId="006760AF"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Annual Hour Burden Per Registrant</w:t>
            </w:r>
          </w:p>
          <w:p w14:paraId="006760B0" w14:textId="77777777" w:rsidR="00871E47" w:rsidRPr="009B7244" w:rsidRDefault="00871E47">
            <w:pPr>
              <w:jc w:val="center"/>
              <w:rPr>
                <w:rFonts w:ascii="Times New Roman" w:hAnsi="Times New Roman"/>
                <w:sz w:val="20"/>
                <w:szCs w:val="20"/>
              </w:rPr>
            </w:pPr>
          </w:p>
        </w:tc>
        <w:tc>
          <w:tcPr>
            <w:tcW w:w="1049" w:type="dxa"/>
          </w:tcPr>
          <w:p w14:paraId="006760B1"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Aggregate Hour Burden</w:t>
            </w:r>
          </w:p>
        </w:tc>
        <w:tc>
          <w:tcPr>
            <w:tcW w:w="1039" w:type="dxa"/>
          </w:tcPr>
          <w:p w14:paraId="006760B2"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Annual Cost Per Registrant</w:t>
            </w:r>
          </w:p>
          <w:p w14:paraId="006760B3" w14:textId="77777777" w:rsidR="00871E47" w:rsidRPr="009B7244" w:rsidRDefault="00871E47">
            <w:pPr>
              <w:jc w:val="center"/>
              <w:rPr>
                <w:rFonts w:ascii="Times New Roman" w:hAnsi="Times New Roman"/>
                <w:sz w:val="20"/>
                <w:szCs w:val="20"/>
              </w:rPr>
            </w:pPr>
          </w:p>
        </w:tc>
        <w:tc>
          <w:tcPr>
            <w:tcW w:w="1216" w:type="dxa"/>
          </w:tcPr>
          <w:p w14:paraId="006760B4"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Aggregate Annual Cost</w:t>
            </w:r>
          </w:p>
          <w:p w14:paraId="006760B5" w14:textId="77777777" w:rsidR="00871E47" w:rsidRPr="009B7244" w:rsidRDefault="00871E47">
            <w:pPr>
              <w:jc w:val="center"/>
              <w:rPr>
                <w:rFonts w:ascii="Times New Roman" w:hAnsi="Times New Roman"/>
                <w:sz w:val="20"/>
                <w:szCs w:val="20"/>
              </w:rPr>
            </w:pPr>
          </w:p>
        </w:tc>
      </w:tr>
      <w:tr w:rsidR="00871E47" w:rsidRPr="009B7244" w14:paraId="006760C3" w14:textId="77777777">
        <w:trPr>
          <w:jc w:val="center"/>
        </w:trPr>
        <w:tc>
          <w:tcPr>
            <w:tcW w:w="1572" w:type="dxa"/>
          </w:tcPr>
          <w:p w14:paraId="006760B7" w14:textId="77777777" w:rsidR="00871E47" w:rsidRPr="009B7244" w:rsidRDefault="009B4E2E">
            <w:pPr>
              <w:rPr>
                <w:rFonts w:ascii="Times New Roman" w:hAnsi="Times New Roman"/>
                <w:b/>
                <w:sz w:val="20"/>
                <w:szCs w:val="20"/>
              </w:rPr>
            </w:pPr>
            <w:r w:rsidRPr="009B7244">
              <w:rPr>
                <w:rFonts w:ascii="Times New Roman" w:hAnsi="Times New Roman"/>
                <w:b/>
                <w:sz w:val="20"/>
                <w:szCs w:val="20"/>
                <w:u w:val="single"/>
              </w:rPr>
              <w:t>Recordkeeping</w:t>
            </w:r>
            <w:r w:rsidRPr="009B7244">
              <w:rPr>
                <w:rFonts w:ascii="Times New Roman" w:hAnsi="Times New Roman"/>
                <w:b/>
                <w:sz w:val="20"/>
                <w:szCs w:val="20"/>
              </w:rPr>
              <w:t>:</w:t>
            </w:r>
          </w:p>
          <w:p w14:paraId="006760B8" w14:textId="77777777" w:rsidR="00871E47" w:rsidRPr="009B7244" w:rsidRDefault="004E0B65">
            <w:pPr>
              <w:rPr>
                <w:rFonts w:ascii="Times New Roman" w:hAnsi="Times New Roman"/>
                <w:sz w:val="20"/>
                <w:szCs w:val="20"/>
              </w:rPr>
            </w:pPr>
            <w:r w:rsidRPr="009B7244">
              <w:rPr>
                <w:rFonts w:ascii="Times New Roman" w:hAnsi="Times New Roman"/>
                <w:b/>
                <w:sz w:val="20"/>
                <w:szCs w:val="20"/>
              </w:rPr>
              <w:t xml:space="preserve">Developing Written Procedures for Compliance, and Maintaining Records Documenting Compliance </w:t>
            </w:r>
          </w:p>
        </w:tc>
        <w:tc>
          <w:tcPr>
            <w:tcW w:w="1116" w:type="dxa"/>
          </w:tcPr>
          <w:p w14:paraId="006760B9" w14:textId="329741A8" w:rsidR="004E0B65" w:rsidRPr="009B7244" w:rsidRDefault="0092317E">
            <w:pPr>
              <w:rPr>
                <w:rFonts w:ascii="Times New Roman" w:hAnsi="Times New Roman"/>
                <w:sz w:val="20"/>
                <w:szCs w:val="20"/>
              </w:rPr>
            </w:pPr>
            <w:r>
              <w:rPr>
                <w:rFonts w:ascii="Times New Roman" w:hAnsi="Times New Roman"/>
                <w:sz w:val="20"/>
                <w:szCs w:val="20"/>
              </w:rPr>
              <w:t>239</w:t>
            </w:r>
          </w:p>
          <w:p w14:paraId="006760BA" w14:textId="77777777" w:rsidR="00871E47" w:rsidRPr="009B7244" w:rsidRDefault="00871E47" w:rsidP="004E0B65">
            <w:pPr>
              <w:rPr>
                <w:rFonts w:ascii="Times New Roman" w:hAnsi="Times New Roman"/>
                <w:sz w:val="20"/>
                <w:szCs w:val="20"/>
              </w:rPr>
            </w:pPr>
          </w:p>
        </w:tc>
        <w:tc>
          <w:tcPr>
            <w:tcW w:w="1227" w:type="dxa"/>
          </w:tcPr>
          <w:p w14:paraId="006760BB" w14:textId="77777777" w:rsidR="00871E47" w:rsidRPr="009B7244" w:rsidRDefault="009B4E2E">
            <w:pPr>
              <w:rPr>
                <w:rFonts w:ascii="Times New Roman" w:hAnsi="Times New Roman"/>
                <w:sz w:val="20"/>
                <w:szCs w:val="20"/>
              </w:rPr>
            </w:pPr>
            <w:r w:rsidRPr="009B7244">
              <w:rPr>
                <w:rFonts w:ascii="Times New Roman" w:hAnsi="Times New Roman"/>
                <w:sz w:val="20"/>
                <w:szCs w:val="20"/>
              </w:rPr>
              <w:t>Initial drafting, updating as needed</w:t>
            </w:r>
          </w:p>
        </w:tc>
        <w:tc>
          <w:tcPr>
            <w:tcW w:w="1061" w:type="dxa"/>
          </w:tcPr>
          <w:p w14:paraId="006760BC" w14:textId="77777777" w:rsidR="00871E47" w:rsidRPr="009B7244" w:rsidRDefault="009B4E2E">
            <w:pPr>
              <w:rPr>
                <w:rFonts w:ascii="Times New Roman" w:hAnsi="Times New Roman"/>
                <w:sz w:val="20"/>
                <w:szCs w:val="20"/>
              </w:rPr>
            </w:pPr>
            <w:r w:rsidRPr="009B7244">
              <w:rPr>
                <w:rFonts w:ascii="Times New Roman" w:hAnsi="Times New Roman"/>
                <w:sz w:val="20"/>
                <w:szCs w:val="20"/>
              </w:rPr>
              <w:t>1</w:t>
            </w:r>
          </w:p>
        </w:tc>
        <w:tc>
          <w:tcPr>
            <w:tcW w:w="1061" w:type="dxa"/>
          </w:tcPr>
          <w:p w14:paraId="006760BD" w14:textId="02541ECB" w:rsidR="00871E47" w:rsidRPr="009B7244" w:rsidRDefault="005F3B35">
            <w:pPr>
              <w:rPr>
                <w:rFonts w:ascii="Times New Roman" w:hAnsi="Times New Roman"/>
                <w:sz w:val="20"/>
                <w:szCs w:val="20"/>
              </w:rPr>
            </w:pPr>
            <w:r>
              <w:rPr>
                <w:rFonts w:ascii="Times New Roman" w:hAnsi="Times New Roman"/>
                <w:sz w:val="20"/>
                <w:szCs w:val="20"/>
              </w:rPr>
              <w:t>2</w:t>
            </w:r>
            <w:r w:rsidR="0092317E">
              <w:rPr>
                <w:rFonts w:ascii="Times New Roman" w:hAnsi="Times New Roman"/>
                <w:sz w:val="20"/>
                <w:szCs w:val="20"/>
              </w:rPr>
              <w:t>39</w:t>
            </w:r>
          </w:p>
        </w:tc>
        <w:tc>
          <w:tcPr>
            <w:tcW w:w="1016" w:type="dxa"/>
          </w:tcPr>
          <w:p w14:paraId="006760BE" w14:textId="77777777" w:rsidR="00871E47" w:rsidRPr="009B7244" w:rsidRDefault="009B4E2E">
            <w:pPr>
              <w:rPr>
                <w:rFonts w:ascii="Times New Roman" w:hAnsi="Times New Roman"/>
                <w:sz w:val="20"/>
                <w:szCs w:val="20"/>
              </w:rPr>
            </w:pPr>
            <w:r w:rsidRPr="009B7244">
              <w:rPr>
                <w:rFonts w:ascii="Times New Roman" w:hAnsi="Times New Roman"/>
                <w:sz w:val="20"/>
                <w:szCs w:val="20"/>
              </w:rPr>
              <w:t>16</w:t>
            </w:r>
          </w:p>
        </w:tc>
        <w:tc>
          <w:tcPr>
            <w:tcW w:w="1039" w:type="dxa"/>
          </w:tcPr>
          <w:p w14:paraId="006760BF" w14:textId="77777777" w:rsidR="00871E47" w:rsidRPr="009B7244" w:rsidRDefault="009B4E2E">
            <w:pPr>
              <w:rPr>
                <w:rFonts w:ascii="Times New Roman" w:hAnsi="Times New Roman"/>
                <w:sz w:val="20"/>
                <w:szCs w:val="20"/>
              </w:rPr>
            </w:pPr>
            <w:r w:rsidRPr="009B7244">
              <w:rPr>
                <w:rFonts w:ascii="Times New Roman" w:hAnsi="Times New Roman"/>
                <w:sz w:val="20"/>
                <w:szCs w:val="20"/>
              </w:rPr>
              <w:t xml:space="preserve"> 16 hours</w:t>
            </w:r>
          </w:p>
        </w:tc>
        <w:tc>
          <w:tcPr>
            <w:tcW w:w="1049" w:type="dxa"/>
          </w:tcPr>
          <w:p w14:paraId="006760C0" w14:textId="76064EAA" w:rsidR="00871E47" w:rsidRPr="009B7244" w:rsidRDefault="0092317E" w:rsidP="005F3B35">
            <w:pPr>
              <w:rPr>
                <w:rFonts w:ascii="Times New Roman" w:hAnsi="Times New Roman"/>
                <w:sz w:val="20"/>
                <w:szCs w:val="20"/>
              </w:rPr>
            </w:pPr>
            <w:r>
              <w:rPr>
                <w:rFonts w:ascii="Times New Roman" w:hAnsi="Times New Roman"/>
                <w:sz w:val="20"/>
                <w:szCs w:val="20"/>
              </w:rPr>
              <w:t>3,824</w:t>
            </w:r>
            <w:r w:rsidR="009B4E2E" w:rsidRPr="009B7244">
              <w:rPr>
                <w:rFonts w:ascii="Times New Roman" w:hAnsi="Times New Roman"/>
                <w:sz w:val="20"/>
                <w:szCs w:val="20"/>
              </w:rPr>
              <w:t xml:space="preserve"> hours</w:t>
            </w:r>
          </w:p>
        </w:tc>
        <w:tc>
          <w:tcPr>
            <w:tcW w:w="1039" w:type="dxa"/>
          </w:tcPr>
          <w:p w14:paraId="006760C1" w14:textId="067A00EE" w:rsidR="00871E47" w:rsidRPr="009B7244" w:rsidRDefault="00930C37">
            <w:pPr>
              <w:rPr>
                <w:rFonts w:ascii="Times New Roman" w:hAnsi="Times New Roman"/>
                <w:sz w:val="20"/>
                <w:szCs w:val="20"/>
              </w:rPr>
            </w:pPr>
            <w:r>
              <w:rPr>
                <w:rFonts w:ascii="Times New Roman" w:hAnsi="Times New Roman"/>
                <w:sz w:val="20"/>
                <w:szCs w:val="20"/>
              </w:rPr>
              <w:t>736</w:t>
            </w:r>
          </w:p>
        </w:tc>
        <w:tc>
          <w:tcPr>
            <w:tcW w:w="1216" w:type="dxa"/>
          </w:tcPr>
          <w:p w14:paraId="006760C2" w14:textId="74F9FD21" w:rsidR="00871E47" w:rsidRPr="009B7244" w:rsidRDefault="0092317E" w:rsidP="005F3B35">
            <w:pPr>
              <w:rPr>
                <w:rFonts w:ascii="Times New Roman" w:hAnsi="Times New Roman"/>
                <w:sz w:val="20"/>
                <w:szCs w:val="20"/>
              </w:rPr>
            </w:pPr>
            <w:r>
              <w:rPr>
                <w:rFonts w:ascii="Times New Roman" w:hAnsi="Times New Roman"/>
                <w:sz w:val="20"/>
                <w:szCs w:val="20"/>
              </w:rPr>
              <w:t>175</w:t>
            </w:r>
            <w:r w:rsidR="00930C37">
              <w:rPr>
                <w:rFonts w:ascii="Times New Roman" w:hAnsi="Times New Roman"/>
                <w:sz w:val="20"/>
                <w:szCs w:val="20"/>
              </w:rPr>
              <w:t>,</w:t>
            </w:r>
            <w:r>
              <w:rPr>
                <w:rFonts w:ascii="Times New Roman" w:hAnsi="Times New Roman"/>
                <w:sz w:val="20"/>
                <w:szCs w:val="20"/>
              </w:rPr>
              <w:t>904</w:t>
            </w:r>
          </w:p>
        </w:tc>
      </w:tr>
      <w:tr w:rsidR="00871E47" w:rsidRPr="009B7244" w14:paraId="006760D0" w14:textId="77777777">
        <w:trPr>
          <w:jc w:val="center"/>
        </w:trPr>
        <w:tc>
          <w:tcPr>
            <w:tcW w:w="1572" w:type="dxa"/>
          </w:tcPr>
          <w:p w14:paraId="006760C4" w14:textId="77777777" w:rsidR="00871E47" w:rsidRPr="009B7244" w:rsidRDefault="009B4E2E">
            <w:pPr>
              <w:rPr>
                <w:rFonts w:ascii="Times New Roman" w:hAnsi="Times New Roman"/>
                <w:b/>
                <w:sz w:val="20"/>
                <w:szCs w:val="20"/>
              </w:rPr>
            </w:pPr>
            <w:r w:rsidRPr="009B7244">
              <w:rPr>
                <w:rFonts w:ascii="Times New Roman" w:hAnsi="Times New Roman"/>
                <w:b/>
                <w:sz w:val="20"/>
                <w:szCs w:val="20"/>
                <w:u w:val="single"/>
              </w:rPr>
              <w:t>Recordkeeping</w:t>
            </w:r>
            <w:r w:rsidRPr="009B7244">
              <w:rPr>
                <w:rFonts w:ascii="Times New Roman" w:hAnsi="Times New Roman"/>
                <w:b/>
                <w:sz w:val="20"/>
                <w:szCs w:val="20"/>
              </w:rPr>
              <w:t>:</w:t>
            </w:r>
          </w:p>
          <w:p w14:paraId="006760C5" w14:textId="77777777" w:rsidR="00871E47" w:rsidRPr="009B7244" w:rsidRDefault="004E0B65">
            <w:pPr>
              <w:rPr>
                <w:rFonts w:ascii="Times New Roman" w:hAnsi="Times New Roman"/>
                <w:b/>
                <w:sz w:val="20"/>
                <w:szCs w:val="20"/>
              </w:rPr>
            </w:pPr>
            <w:r w:rsidRPr="009B7244">
              <w:rPr>
                <w:rFonts w:ascii="Times New Roman" w:hAnsi="Times New Roman"/>
                <w:b/>
                <w:sz w:val="20"/>
                <w:szCs w:val="20"/>
              </w:rPr>
              <w:t>Drafting and Updating Trade Processing Procedures</w:t>
            </w:r>
          </w:p>
        </w:tc>
        <w:tc>
          <w:tcPr>
            <w:tcW w:w="1116" w:type="dxa"/>
          </w:tcPr>
          <w:p w14:paraId="006760C6" w14:textId="77777777" w:rsidR="00871E47" w:rsidRPr="009B7244" w:rsidRDefault="004E0B65">
            <w:pPr>
              <w:rPr>
                <w:rFonts w:ascii="Times New Roman" w:hAnsi="Times New Roman"/>
                <w:sz w:val="20"/>
                <w:szCs w:val="20"/>
              </w:rPr>
            </w:pPr>
            <w:r w:rsidRPr="009B7244">
              <w:rPr>
                <w:rFonts w:ascii="Times New Roman" w:hAnsi="Times New Roman"/>
                <w:sz w:val="20"/>
                <w:szCs w:val="20"/>
              </w:rPr>
              <w:t>14</w:t>
            </w:r>
          </w:p>
        </w:tc>
        <w:tc>
          <w:tcPr>
            <w:tcW w:w="1227" w:type="dxa"/>
          </w:tcPr>
          <w:p w14:paraId="006760C7" w14:textId="77777777" w:rsidR="00871E47" w:rsidRPr="009B7244" w:rsidRDefault="009B4E2E">
            <w:pPr>
              <w:rPr>
                <w:rFonts w:ascii="Times New Roman" w:hAnsi="Times New Roman"/>
                <w:sz w:val="20"/>
                <w:szCs w:val="20"/>
              </w:rPr>
            </w:pPr>
            <w:r w:rsidRPr="009B7244">
              <w:rPr>
                <w:rFonts w:ascii="Times New Roman" w:hAnsi="Times New Roman"/>
                <w:sz w:val="20"/>
                <w:szCs w:val="20"/>
              </w:rPr>
              <w:t>At least once per counterparty</w:t>
            </w:r>
          </w:p>
        </w:tc>
        <w:tc>
          <w:tcPr>
            <w:tcW w:w="1061" w:type="dxa"/>
          </w:tcPr>
          <w:p w14:paraId="006760C8" w14:textId="77777777" w:rsidR="00871E47" w:rsidRPr="009B7244" w:rsidRDefault="004E0B65">
            <w:pPr>
              <w:rPr>
                <w:rFonts w:ascii="Times New Roman" w:hAnsi="Times New Roman"/>
                <w:sz w:val="20"/>
                <w:szCs w:val="20"/>
              </w:rPr>
            </w:pPr>
            <w:r w:rsidRPr="009B7244">
              <w:rPr>
                <w:rFonts w:ascii="Times New Roman" w:hAnsi="Times New Roman"/>
                <w:sz w:val="20"/>
                <w:szCs w:val="20"/>
              </w:rPr>
              <w:t>1</w:t>
            </w:r>
          </w:p>
        </w:tc>
        <w:tc>
          <w:tcPr>
            <w:tcW w:w="1061" w:type="dxa"/>
          </w:tcPr>
          <w:p w14:paraId="006760C9" w14:textId="77777777" w:rsidR="004E0B65" w:rsidRPr="009B7244" w:rsidRDefault="004E0B65">
            <w:pPr>
              <w:rPr>
                <w:rFonts w:ascii="Times New Roman" w:hAnsi="Times New Roman"/>
                <w:sz w:val="20"/>
                <w:szCs w:val="20"/>
              </w:rPr>
            </w:pPr>
            <w:r w:rsidRPr="009B7244">
              <w:rPr>
                <w:rFonts w:ascii="Times New Roman" w:hAnsi="Times New Roman"/>
                <w:sz w:val="20"/>
                <w:szCs w:val="20"/>
              </w:rPr>
              <w:t>14</w:t>
            </w:r>
          </w:p>
          <w:p w14:paraId="006760CA" w14:textId="77777777" w:rsidR="00871E47" w:rsidRPr="009B7244" w:rsidRDefault="00871E47" w:rsidP="004E0B65">
            <w:pPr>
              <w:rPr>
                <w:rFonts w:ascii="Times New Roman" w:hAnsi="Times New Roman"/>
                <w:sz w:val="20"/>
                <w:szCs w:val="20"/>
              </w:rPr>
            </w:pPr>
          </w:p>
        </w:tc>
        <w:tc>
          <w:tcPr>
            <w:tcW w:w="1016" w:type="dxa"/>
          </w:tcPr>
          <w:p w14:paraId="006760CB" w14:textId="77777777" w:rsidR="00871E47" w:rsidRPr="009B7244" w:rsidRDefault="004E0B65">
            <w:pPr>
              <w:rPr>
                <w:rFonts w:ascii="Times New Roman" w:hAnsi="Times New Roman"/>
                <w:sz w:val="20"/>
                <w:szCs w:val="20"/>
              </w:rPr>
            </w:pPr>
            <w:r w:rsidRPr="009B7244">
              <w:rPr>
                <w:rFonts w:ascii="Times New Roman" w:hAnsi="Times New Roman"/>
                <w:sz w:val="20"/>
                <w:szCs w:val="20"/>
              </w:rPr>
              <w:t>40</w:t>
            </w:r>
          </w:p>
        </w:tc>
        <w:tc>
          <w:tcPr>
            <w:tcW w:w="1039" w:type="dxa"/>
          </w:tcPr>
          <w:p w14:paraId="006760CC" w14:textId="77777777" w:rsidR="00871E47" w:rsidRPr="009B7244" w:rsidRDefault="009B7244" w:rsidP="004E0B65">
            <w:pPr>
              <w:rPr>
                <w:rFonts w:ascii="Times New Roman" w:hAnsi="Times New Roman"/>
                <w:sz w:val="20"/>
                <w:szCs w:val="20"/>
              </w:rPr>
            </w:pPr>
            <w:r w:rsidRPr="009B7244">
              <w:rPr>
                <w:rFonts w:ascii="Times New Roman" w:hAnsi="Times New Roman"/>
                <w:sz w:val="20"/>
                <w:szCs w:val="20"/>
              </w:rPr>
              <w:t>40</w:t>
            </w:r>
            <w:r w:rsidR="009B4E2E" w:rsidRPr="009B7244">
              <w:rPr>
                <w:rFonts w:ascii="Times New Roman" w:hAnsi="Times New Roman"/>
                <w:sz w:val="20"/>
                <w:szCs w:val="20"/>
              </w:rPr>
              <w:t xml:space="preserve"> hours</w:t>
            </w:r>
          </w:p>
        </w:tc>
        <w:tc>
          <w:tcPr>
            <w:tcW w:w="1064" w:type="dxa"/>
          </w:tcPr>
          <w:p w14:paraId="006760CD" w14:textId="77777777" w:rsidR="00871E47" w:rsidRPr="009B7244" w:rsidRDefault="009B7244">
            <w:pPr>
              <w:rPr>
                <w:rFonts w:ascii="Times New Roman" w:hAnsi="Times New Roman"/>
                <w:sz w:val="20"/>
                <w:szCs w:val="20"/>
              </w:rPr>
            </w:pPr>
            <w:r w:rsidRPr="009B7244">
              <w:rPr>
                <w:rFonts w:ascii="Times New Roman" w:hAnsi="Times New Roman"/>
                <w:sz w:val="20"/>
                <w:szCs w:val="20"/>
              </w:rPr>
              <w:t>560</w:t>
            </w:r>
            <w:r w:rsidR="009B4E2E" w:rsidRPr="009B7244">
              <w:rPr>
                <w:rFonts w:ascii="Times New Roman" w:hAnsi="Times New Roman"/>
                <w:sz w:val="20"/>
                <w:szCs w:val="20"/>
              </w:rPr>
              <w:t xml:space="preserve"> hours</w:t>
            </w:r>
          </w:p>
        </w:tc>
        <w:tc>
          <w:tcPr>
            <w:tcW w:w="1024" w:type="dxa"/>
          </w:tcPr>
          <w:p w14:paraId="006760CE" w14:textId="4D7E13A8" w:rsidR="00871E47" w:rsidRPr="009B7244" w:rsidRDefault="00930C37">
            <w:pPr>
              <w:rPr>
                <w:rFonts w:ascii="Times New Roman" w:hAnsi="Times New Roman"/>
                <w:sz w:val="20"/>
                <w:szCs w:val="20"/>
              </w:rPr>
            </w:pPr>
            <w:r>
              <w:rPr>
                <w:rFonts w:ascii="Times New Roman" w:hAnsi="Times New Roman"/>
                <w:sz w:val="20"/>
                <w:szCs w:val="20"/>
              </w:rPr>
              <w:t>1,840</w:t>
            </w:r>
          </w:p>
        </w:tc>
        <w:tc>
          <w:tcPr>
            <w:tcW w:w="1216" w:type="dxa"/>
          </w:tcPr>
          <w:p w14:paraId="006760CF" w14:textId="78C4F49C" w:rsidR="00871E47" w:rsidRPr="009B7244" w:rsidRDefault="00930C37">
            <w:pPr>
              <w:rPr>
                <w:rFonts w:ascii="Times New Roman" w:hAnsi="Times New Roman"/>
                <w:sz w:val="20"/>
                <w:szCs w:val="20"/>
              </w:rPr>
            </w:pPr>
            <w:r>
              <w:rPr>
                <w:rFonts w:ascii="Times New Roman" w:hAnsi="Times New Roman"/>
                <w:sz w:val="20"/>
                <w:szCs w:val="20"/>
              </w:rPr>
              <w:t>25,760</w:t>
            </w:r>
          </w:p>
        </w:tc>
      </w:tr>
    </w:tbl>
    <w:p w14:paraId="006760D1" w14:textId="77777777" w:rsidR="00871E47" w:rsidRDefault="00871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R="00871E47" w:rsidSect="00871E47">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760D4" w14:textId="77777777" w:rsidR="005F3B35" w:rsidRDefault="005F3B35">
      <w:r>
        <w:separator/>
      </w:r>
    </w:p>
  </w:endnote>
  <w:endnote w:type="continuationSeparator" w:id="0">
    <w:p w14:paraId="006760D5" w14:textId="77777777" w:rsidR="005F3B35" w:rsidRDefault="005F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760D6" w14:textId="77777777" w:rsidR="005F3B35" w:rsidRDefault="005F3B35">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712FD4">
      <w:rPr>
        <w:rFonts w:ascii="Times New Roman" w:hAnsi="Times New Roman"/>
        <w:noProof/>
        <w:sz w:val="20"/>
        <w:szCs w:val="20"/>
      </w:rPr>
      <w:t>1</w:t>
    </w:r>
    <w:r>
      <w:rPr>
        <w:rFonts w:ascii="Times New Roman" w:hAnsi="Times New Roman"/>
        <w:sz w:val="20"/>
        <w:szCs w:val="20"/>
      </w:rPr>
      <w:fldChar w:fldCharType="end"/>
    </w:r>
  </w:p>
  <w:p w14:paraId="006760D7" w14:textId="77777777" w:rsidR="005F3B35" w:rsidRDefault="005F3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760D2" w14:textId="77777777" w:rsidR="005F3B35" w:rsidRDefault="005F3B35">
      <w:r>
        <w:separator/>
      </w:r>
    </w:p>
  </w:footnote>
  <w:footnote w:type="continuationSeparator" w:id="0">
    <w:p w14:paraId="006760D3" w14:textId="77777777" w:rsidR="005F3B35" w:rsidRDefault="005F3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E47"/>
    <w:rsid w:val="000072AB"/>
    <w:rsid w:val="00007511"/>
    <w:rsid w:val="001163BD"/>
    <w:rsid w:val="00122435"/>
    <w:rsid w:val="0018668F"/>
    <w:rsid w:val="001E00AD"/>
    <w:rsid w:val="00211DA6"/>
    <w:rsid w:val="004E0B65"/>
    <w:rsid w:val="004F708F"/>
    <w:rsid w:val="005631A3"/>
    <w:rsid w:val="0057482A"/>
    <w:rsid w:val="005F3B35"/>
    <w:rsid w:val="00635845"/>
    <w:rsid w:val="00692FCF"/>
    <w:rsid w:val="00702F04"/>
    <w:rsid w:val="00712FD4"/>
    <w:rsid w:val="00836BA0"/>
    <w:rsid w:val="00871E47"/>
    <w:rsid w:val="00903801"/>
    <w:rsid w:val="0092317E"/>
    <w:rsid w:val="00930C37"/>
    <w:rsid w:val="00935362"/>
    <w:rsid w:val="009B4E2E"/>
    <w:rsid w:val="009B7244"/>
    <w:rsid w:val="009D4786"/>
    <w:rsid w:val="00A12491"/>
    <w:rsid w:val="00B57E8F"/>
    <w:rsid w:val="00B730DD"/>
    <w:rsid w:val="00CB268D"/>
    <w:rsid w:val="00CE4C1F"/>
    <w:rsid w:val="00D1488B"/>
    <w:rsid w:val="00D77987"/>
    <w:rsid w:val="00DE645C"/>
    <w:rsid w:val="00E00E56"/>
    <w:rsid w:val="00EE3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7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39106-7381-4EAD-8C46-CEE84FE917CB}">
  <ds:schemaRef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30A80E1-460B-4D2E-8796-52E016F413D3}">
  <ds:schemaRefs>
    <ds:schemaRef ds:uri="http://schemas.microsoft.com/sharepoint/v3/contenttype/forms"/>
  </ds:schemaRefs>
</ds:datastoreItem>
</file>

<file path=customXml/itemProps3.xml><?xml version="1.0" encoding="utf-8"?>
<ds:datastoreItem xmlns:ds="http://schemas.openxmlformats.org/officeDocument/2006/customXml" ds:itemID="{7FEAF27B-5DD2-43E9-9A1A-0C4C7F3B7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92D36F-9F34-41A6-9768-155A4201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3605</Words>
  <Characters>20700</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Hudson, Sheila</cp:lastModifiedBy>
  <cp:revision>2</cp:revision>
  <cp:lastPrinted>2011-01-25T17:22:00Z</cp:lastPrinted>
  <dcterms:created xsi:type="dcterms:W3CDTF">2015-08-06T12:31:00Z</dcterms:created>
  <dcterms:modified xsi:type="dcterms:W3CDTF">2015-08-06T12:31:00Z</dcterms:modified>
</cp:coreProperties>
</file>