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8B" w:rsidRDefault="0056798B" w:rsidP="0056798B">
      <w:pPr>
        <w:jc w:val="right"/>
        <w:rPr>
          <w:b/>
        </w:rPr>
      </w:pPr>
    </w:p>
    <w:p w:rsidR="00D54635" w:rsidRPr="00173937" w:rsidRDefault="00D54635">
      <w:pPr>
        <w:pStyle w:val="Heading2"/>
        <w:ind w:right="-270"/>
        <w:rPr>
          <w:smallCaps/>
          <w:u w:val="single"/>
        </w:rPr>
      </w:pPr>
      <w:r w:rsidRPr="00173937">
        <w:rPr>
          <w:smallCaps/>
          <w:u w:val="single"/>
        </w:rPr>
        <w:t>Statement of Accredited Representative in Appealed Case</w:t>
      </w:r>
    </w:p>
    <w:p w:rsidR="00D54635" w:rsidRPr="00173937" w:rsidRDefault="00D54635">
      <w:pPr>
        <w:pStyle w:val="Heading2"/>
        <w:ind w:right="-270"/>
        <w:rPr>
          <w:smallCaps/>
          <w:u w:val="single"/>
        </w:rPr>
      </w:pPr>
    </w:p>
    <w:p w:rsidR="00B7769D" w:rsidRPr="00173937" w:rsidRDefault="00B7769D">
      <w:pPr>
        <w:pStyle w:val="Heading2"/>
        <w:ind w:right="-270"/>
        <w:rPr>
          <w:smallCaps/>
          <w:u w:val="single"/>
        </w:rPr>
      </w:pPr>
      <w:r w:rsidRPr="00173937">
        <w:rPr>
          <w:smallCaps/>
          <w:u w:val="single"/>
        </w:rPr>
        <w:t xml:space="preserve">A.  </w:t>
      </w:r>
      <w:r w:rsidR="00D54635" w:rsidRPr="00173937">
        <w:rPr>
          <w:smallCaps/>
          <w:u w:val="single"/>
        </w:rPr>
        <w:t xml:space="preserve"> Justification</w:t>
      </w:r>
    </w:p>
    <w:p w:rsidR="00B7769D" w:rsidRPr="00173937" w:rsidRDefault="00B7769D">
      <w:pPr>
        <w:ind w:right="-270"/>
        <w:rPr>
          <w:b/>
          <w:bCs/>
          <w:szCs w:val="20"/>
          <w:u w:val="single"/>
        </w:rPr>
      </w:pPr>
    </w:p>
    <w:p w:rsidR="00B7769D" w:rsidRPr="00173937" w:rsidRDefault="00B7769D">
      <w:pPr>
        <w:ind w:right="-270"/>
        <w:rPr>
          <w:szCs w:val="20"/>
        </w:rPr>
      </w:pPr>
      <w:r w:rsidRPr="00173937">
        <w:rPr>
          <w:b/>
          <w:bCs/>
        </w:rPr>
        <w:t xml:space="preserve">1.  </w:t>
      </w:r>
      <w:r w:rsidRPr="00173937">
        <w:rPr>
          <w:b/>
          <w:bCs/>
          <w:u w:val="single"/>
        </w:rPr>
        <w:t>Necessity</w:t>
      </w:r>
    </w:p>
    <w:p w:rsidR="00B7769D" w:rsidRPr="00173937" w:rsidRDefault="00B7769D">
      <w:pPr>
        <w:ind w:right="-270"/>
        <w:rPr>
          <w:szCs w:val="20"/>
        </w:rPr>
      </w:pPr>
    </w:p>
    <w:p w:rsidR="00B7769D" w:rsidRPr="00173937" w:rsidRDefault="00C20408" w:rsidP="00973AD8">
      <w:pPr>
        <w:tabs>
          <w:tab w:val="left" w:pos="540"/>
          <w:tab w:val="left" w:pos="1080"/>
          <w:tab w:val="left" w:pos="1680"/>
          <w:tab w:val="left" w:pos="2160"/>
          <w:tab w:val="left" w:pos="4680"/>
        </w:tabs>
        <w:ind w:right="270"/>
        <w:rPr>
          <w:b/>
        </w:rPr>
      </w:pPr>
      <w:r w:rsidRPr="00173937">
        <w:tab/>
      </w:r>
      <w:r w:rsidR="001A0F6E" w:rsidRPr="00173937">
        <w:t xml:space="preserve">Department of </w:t>
      </w:r>
      <w:r w:rsidR="00B045C8" w:rsidRPr="00173937">
        <w:t>Veteran</w:t>
      </w:r>
      <w:r w:rsidR="001A0F6E" w:rsidRPr="00173937">
        <w:t>s Affairs (</w:t>
      </w:r>
      <w:r w:rsidR="00F270D4" w:rsidRPr="00173937">
        <w:t>VA</w:t>
      </w:r>
      <w:r w:rsidR="001A0F6E" w:rsidRPr="00173937">
        <w:t>)</w:t>
      </w:r>
      <w:r w:rsidR="00F270D4" w:rsidRPr="00173937">
        <w:t xml:space="preserve"> </w:t>
      </w:r>
      <w:r w:rsidR="001A0F6E" w:rsidRPr="00173937">
        <w:t>appellants</w:t>
      </w:r>
      <w:r w:rsidR="00F270D4" w:rsidRPr="00173937">
        <w:t xml:space="preserve"> have a right to representation in all </w:t>
      </w:r>
      <w:r w:rsidR="001A0F6E" w:rsidRPr="00173937">
        <w:t xml:space="preserve">stages of an appeal by a recognized organization, attorney, agent, or other authorized person. </w:t>
      </w:r>
      <w:r w:rsidR="00F270D4" w:rsidRPr="00173937">
        <w:rPr>
          <w:i/>
          <w:iCs/>
        </w:rPr>
        <w:t xml:space="preserve"> </w:t>
      </w:r>
      <w:proofErr w:type="gramStart"/>
      <w:r w:rsidR="00F270D4" w:rsidRPr="00173937">
        <w:t>38 U.S.C. § 7105(a); 38 C.F.R. § 20.600.</w:t>
      </w:r>
      <w:proofErr w:type="gramEnd"/>
      <w:r w:rsidR="00F270D4" w:rsidRPr="00173937">
        <w:t xml:space="preserve">  The </w:t>
      </w:r>
      <w:r w:rsidR="00973AD8" w:rsidRPr="00173937">
        <w:t>VA Form 646, “Statement of Accredited Representative in Appealed Case,” provides a convenient form that a</w:t>
      </w:r>
      <w:r w:rsidR="00A475FF" w:rsidRPr="00173937">
        <w:t>n appellant</w:t>
      </w:r>
      <w:r w:rsidR="00973AD8" w:rsidRPr="00173937">
        <w:t>’s representative may use to</w:t>
      </w:r>
      <w:r w:rsidR="00A475FF" w:rsidRPr="00173937">
        <w:t xml:space="preserve"> present written argument on behalf of their client</w:t>
      </w:r>
      <w:r w:rsidR="00F270D4" w:rsidRPr="00173937">
        <w:t xml:space="preserve"> in support of </w:t>
      </w:r>
      <w:r w:rsidR="00912509" w:rsidRPr="00173937">
        <w:t xml:space="preserve">an </w:t>
      </w:r>
      <w:r w:rsidR="00973AD8" w:rsidRPr="00173937">
        <w:t xml:space="preserve">appeal before the Board of </w:t>
      </w:r>
      <w:r w:rsidR="00B045C8" w:rsidRPr="00173937">
        <w:t>Veteran</w:t>
      </w:r>
      <w:r w:rsidR="00973AD8" w:rsidRPr="00173937">
        <w:t xml:space="preserve">s’ Appeals (BVA or Board). </w:t>
      </w:r>
      <w:r w:rsidR="000D6176" w:rsidRPr="00173937">
        <w:rPr>
          <w:b/>
        </w:rPr>
        <w:t xml:space="preserve"> </w:t>
      </w:r>
      <w:r w:rsidR="000D6176" w:rsidRPr="00173937">
        <w:t>The information requested on this form is solicited under 38 U.S.C. § 7105(a) and (b</w:t>
      </w:r>
      <w:proofErr w:type="gramStart"/>
      <w:r w:rsidR="000D6176" w:rsidRPr="00173937">
        <w:t>)(</w:t>
      </w:r>
      <w:proofErr w:type="gramEnd"/>
      <w:r w:rsidR="000D6176" w:rsidRPr="00173937">
        <w:t>2).</w:t>
      </w: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2.  </w:t>
      </w:r>
      <w:r w:rsidRPr="00173937">
        <w:rPr>
          <w:b/>
          <w:bCs/>
          <w:u w:val="single"/>
        </w:rPr>
        <w:t xml:space="preserve">How, by </w:t>
      </w:r>
      <w:proofErr w:type="gramStart"/>
      <w:r w:rsidRPr="00173937">
        <w:rPr>
          <w:b/>
          <w:bCs/>
          <w:u w:val="single"/>
        </w:rPr>
        <w:t>Whom</w:t>
      </w:r>
      <w:proofErr w:type="gramEnd"/>
      <w:r w:rsidRPr="00173937">
        <w:rPr>
          <w:b/>
          <w:bCs/>
          <w:u w:val="single"/>
        </w:rPr>
        <w:t>, and for What Purpose the Information is to be Used</w:t>
      </w:r>
    </w:p>
    <w:p w:rsidR="00B7769D" w:rsidRPr="00173937" w:rsidRDefault="00B7769D">
      <w:pPr>
        <w:ind w:right="-270"/>
        <w:rPr>
          <w:szCs w:val="20"/>
        </w:rPr>
      </w:pPr>
    </w:p>
    <w:p w:rsidR="00B7769D" w:rsidRPr="00173937" w:rsidRDefault="008E1229" w:rsidP="008E1229">
      <w:pPr>
        <w:tabs>
          <w:tab w:val="left" w:pos="540"/>
        </w:tabs>
        <w:ind w:right="-270"/>
        <w:rPr>
          <w:szCs w:val="20"/>
        </w:rPr>
      </w:pPr>
      <w:r w:rsidRPr="00173937">
        <w:tab/>
      </w:r>
      <w:r w:rsidR="003A2B26" w:rsidRPr="00173937">
        <w:t xml:space="preserve">The information is used by the Board to identify the issues in dispute and </w:t>
      </w:r>
      <w:r w:rsidR="002A73A7" w:rsidRPr="00173937">
        <w:t xml:space="preserve">to </w:t>
      </w:r>
      <w:r w:rsidR="003A2B26" w:rsidRPr="00173937">
        <w:t xml:space="preserve">prepare a decision </w:t>
      </w:r>
      <w:r w:rsidR="002A73A7" w:rsidRPr="00173937">
        <w:t xml:space="preserve">that is </w:t>
      </w:r>
      <w:r w:rsidR="003A2B26" w:rsidRPr="00173937">
        <w:t>responsive to the appellant’s contentions and the legal and factual issues raised</w:t>
      </w:r>
      <w:r w:rsidR="00912509" w:rsidRPr="00173937">
        <w:t xml:space="preserve"> by the </w:t>
      </w:r>
      <w:r w:rsidR="00B045C8" w:rsidRPr="00173937">
        <w:t>Veteran</w:t>
      </w:r>
      <w:r w:rsidR="00912509" w:rsidRPr="00173937">
        <w:t xml:space="preserve"> and his/her representative</w:t>
      </w:r>
      <w:r w:rsidR="003A2B26" w:rsidRPr="00173937">
        <w:t xml:space="preserve">.  </w:t>
      </w:r>
      <w:r w:rsidR="00912509" w:rsidRPr="00173937">
        <w:t xml:space="preserve">This information is also used by </w:t>
      </w:r>
      <w:r w:rsidR="00B7769D" w:rsidRPr="00173937">
        <w:t>the B</w:t>
      </w:r>
      <w:r w:rsidR="00107FD2" w:rsidRPr="00173937">
        <w:t>oard</w:t>
      </w:r>
      <w:r w:rsidR="00B7769D" w:rsidRPr="00173937">
        <w:t xml:space="preserve"> </w:t>
      </w:r>
      <w:r w:rsidR="00FB6CE6" w:rsidRPr="00173937">
        <w:t>to ensure</w:t>
      </w:r>
      <w:r w:rsidR="00A475FF" w:rsidRPr="00173937">
        <w:t xml:space="preserve"> </w:t>
      </w:r>
      <w:r w:rsidR="00B7769D" w:rsidRPr="00173937">
        <w:t>that</w:t>
      </w:r>
      <w:r w:rsidR="00912509" w:rsidRPr="00173937">
        <w:t xml:space="preserve"> a claimant’s</w:t>
      </w:r>
      <w:r w:rsidR="00B7769D" w:rsidRPr="00173937">
        <w:t xml:space="preserve"> right to representation ha</w:t>
      </w:r>
      <w:r w:rsidR="00912509" w:rsidRPr="00173937">
        <w:t>s</w:t>
      </w:r>
      <w:r w:rsidR="00B7769D" w:rsidRPr="00173937">
        <w:t xml:space="preserve"> been honored by establishing that the record has been made available to the representative for review </w:t>
      </w:r>
      <w:r w:rsidR="00912509" w:rsidRPr="00173937">
        <w:t xml:space="preserve">when </w:t>
      </w:r>
      <w:r w:rsidR="00B7769D" w:rsidRPr="00173937">
        <w:t>present</w:t>
      </w:r>
      <w:r w:rsidR="00FB6CE6" w:rsidRPr="00173937">
        <w:t>ing</w:t>
      </w:r>
      <w:r w:rsidR="00B7769D" w:rsidRPr="00173937">
        <w:t xml:space="preserve"> argument</w:t>
      </w:r>
      <w:r w:rsidR="00912509" w:rsidRPr="00173937">
        <w:t xml:space="preserve"> on their client’s behalf</w:t>
      </w:r>
      <w:r w:rsidR="00B7769D" w:rsidRPr="00173937">
        <w:t>.</w:t>
      </w:r>
    </w:p>
    <w:p w:rsidR="00B7769D" w:rsidRPr="00173937" w:rsidRDefault="00B7769D">
      <w:pPr>
        <w:ind w:right="-270"/>
        <w:rPr>
          <w:szCs w:val="20"/>
        </w:rPr>
      </w:pPr>
    </w:p>
    <w:p w:rsidR="00B7769D" w:rsidRPr="00173937" w:rsidRDefault="00B7769D">
      <w:pPr>
        <w:ind w:right="-270"/>
        <w:rPr>
          <w:szCs w:val="20"/>
        </w:rPr>
      </w:pPr>
      <w:r w:rsidRPr="00173937">
        <w:rPr>
          <w:b/>
          <w:bCs/>
        </w:rPr>
        <w:t xml:space="preserve">3.  </w:t>
      </w:r>
      <w:r w:rsidRPr="00173937">
        <w:rPr>
          <w:b/>
          <w:bCs/>
          <w:u w:val="single"/>
        </w:rPr>
        <w:t>Use of Information Technology</w:t>
      </w:r>
    </w:p>
    <w:p w:rsidR="00B7769D" w:rsidRPr="00173937" w:rsidRDefault="00B7769D">
      <w:pPr>
        <w:ind w:right="-270"/>
        <w:rPr>
          <w:szCs w:val="20"/>
        </w:rPr>
      </w:pPr>
    </w:p>
    <w:p w:rsidR="00F270D4" w:rsidRPr="00173937" w:rsidRDefault="008E1229" w:rsidP="008E1229">
      <w:pPr>
        <w:tabs>
          <w:tab w:val="left" w:pos="540"/>
          <w:tab w:val="left" w:pos="1080"/>
          <w:tab w:val="left" w:pos="1680"/>
          <w:tab w:val="left" w:pos="2160"/>
          <w:tab w:val="left" w:pos="4680"/>
        </w:tabs>
        <w:ind w:right="270"/>
      </w:pPr>
      <w:r w:rsidRPr="00173937">
        <w:tab/>
      </w:r>
      <w:r w:rsidR="00912509" w:rsidRPr="00173937">
        <w:t>An appellant’s representative may</w:t>
      </w:r>
      <w:r w:rsidR="00912509" w:rsidRPr="00173937">
        <w:rPr>
          <w:snapToGrid w:val="0"/>
        </w:rPr>
        <w:t xml:space="preserve"> fill out the form </w:t>
      </w:r>
      <w:r w:rsidR="00A64DEA">
        <w:rPr>
          <w:snapToGrid w:val="0"/>
        </w:rPr>
        <w:t>electronically</w:t>
      </w:r>
      <w:r w:rsidR="00912509" w:rsidRPr="00173937">
        <w:rPr>
          <w:snapToGrid w:val="0"/>
        </w:rPr>
        <w:t xml:space="preserve"> before printing it and </w:t>
      </w:r>
      <w:r w:rsidR="00E46492">
        <w:rPr>
          <w:snapToGrid w:val="0"/>
        </w:rPr>
        <w:t>submitting</w:t>
      </w:r>
      <w:r w:rsidR="00912509" w:rsidRPr="00173937">
        <w:rPr>
          <w:snapToGrid w:val="0"/>
        </w:rPr>
        <w:t xml:space="preserve"> it to </w:t>
      </w:r>
      <w:r w:rsidR="00A64DEA">
        <w:rPr>
          <w:snapToGrid w:val="0"/>
        </w:rPr>
        <w:t>VA</w:t>
      </w:r>
      <w:r w:rsidR="00912509" w:rsidRPr="00173937">
        <w:rPr>
          <w:snapToGrid w:val="0"/>
        </w:rPr>
        <w:t>.</w:t>
      </w:r>
      <w:r w:rsidR="00912509" w:rsidRPr="00173937">
        <w:rPr>
          <w:szCs w:val="20"/>
        </w:rPr>
        <w:t xml:space="preserve">  </w:t>
      </w:r>
      <w:r w:rsidR="00EE468E" w:rsidRPr="00173937">
        <w:t>T</w:t>
      </w:r>
      <w:r w:rsidR="003A2B26" w:rsidRPr="00173937">
        <w:t xml:space="preserve">he form is </w:t>
      </w:r>
      <w:r w:rsidR="00FB6CE6" w:rsidRPr="00173937">
        <w:t>available for filling out and printing, via the Internet, at the following web address</w:t>
      </w:r>
      <w:r w:rsidR="003A2B26" w:rsidRPr="00173937">
        <w:t>:</w:t>
      </w:r>
    </w:p>
    <w:p w:rsidR="00F270D4" w:rsidRPr="00173937" w:rsidRDefault="00F270D4" w:rsidP="008E1229">
      <w:pPr>
        <w:tabs>
          <w:tab w:val="left" w:pos="540"/>
          <w:tab w:val="left" w:pos="1080"/>
          <w:tab w:val="left" w:pos="1680"/>
          <w:tab w:val="left" w:pos="2160"/>
          <w:tab w:val="left" w:pos="4680"/>
        </w:tabs>
        <w:ind w:right="270"/>
      </w:pPr>
    </w:p>
    <w:p w:rsidR="003A2B26" w:rsidRDefault="00AC2626" w:rsidP="00F270D4">
      <w:pPr>
        <w:tabs>
          <w:tab w:val="left" w:pos="540"/>
          <w:tab w:val="left" w:pos="1080"/>
          <w:tab w:val="left" w:pos="1680"/>
          <w:tab w:val="left" w:pos="2160"/>
          <w:tab w:val="left" w:pos="4680"/>
        </w:tabs>
        <w:ind w:right="270"/>
        <w:jc w:val="center"/>
      </w:pPr>
      <w:hyperlink r:id="rId9" w:history="1">
        <w:r w:rsidR="00BD1C2F" w:rsidRPr="00F81989">
          <w:rPr>
            <w:rStyle w:val="Hyperlink"/>
          </w:rPr>
          <w:t>http://www.va.gov/vaforms/</w:t>
        </w:r>
      </w:hyperlink>
    </w:p>
    <w:p w:rsidR="00BD1C2F" w:rsidRPr="00173937" w:rsidRDefault="00BD1C2F" w:rsidP="00F270D4">
      <w:pPr>
        <w:tabs>
          <w:tab w:val="left" w:pos="540"/>
          <w:tab w:val="left" w:pos="1080"/>
          <w:tab w:val="left" w:pos="1680"/>
          <w:tab w:val="left" w:pos="2160"/>
          <w:tab w:val="left" w:pos="4680"/>
        </w:tabs>
        <w:ind w:right="270"/>
        <w:jc w:val="center"/>
      </w:pPr>
    </w:p>
    <w:p w:rsidR="00912509" w:rsidRPr="00173937" w:rsidRDefault="005608E7" w:rsidP="00F817EA">
      <w:pPr>
        <w:tabs>
          <w:tab w:val="left" w:pos="540"/>
          <w:tab w:val="left" w:pos="1080"/>
          <w:tab w:val="left" w:pos="1680"/>
          <w:tab w:val="left" w:pos="2160"/>
          <w:tab w:val="left" w:pos="4680"/>
        </w:tabs>
        <w:ind w:right="270"/>
      </w:pPr>
      <w:r w:rsidRPr="00173937">
        <w:tab/>
      </w:r>
      <w:r w:rsidR="00F817EA">
        <w:t xml:space="preserve">While VA </w:t>
      </w:r>
      <w:r w:rsidR="00A64DEA">
        <w:t xml:space="preserve">is currently working to improve its information technology systems to allow for the </w:t>
      </w:r>
      <w:r w:rsidR="005E564C">
        <w:t xml:space="preserve">electronic </w:t>
      </w:r>
      <w:r w:rsidR="00A64DEA">
        <w:t xml:space="preserve">submission of the VA Form 646, such systems do not currently allow the Form 646 to be submitted digitally.  </w:t>
      </w:r>
      <w:r w:rsidR="00F817EA">
        <w:rPr>
          <w:snapToGrid w:val="0"/>
        </w:rPr>
        <w:t>Thus, t</w:t>
      </w:r>
      <w:r w:rsidR="00912509" w:rsidRPr="00173937">
        <w:rPr>
          <w:snapToGrid w:val="0"/>
        </w:rPr>
        <w:t xml:space="preserve">he current claims processing system requires the Form </w:t>
      </w:r>
      <w:r w:rsidR="00AB3F16" w:rsidRPr="00173937">
        <w:rPr>
          <w:snapToGrid w:val="0"/>
        </w:rPr>
        <w:t>646</w:t>
      </w:r>
      <w:r w:rsidR="00912509" w:rsidRPr="00173937">
        <w:rPr>
          <w:snapToGrid w:val="0"/>
        </w:rPr>
        <w:t xml:space="preserve"> to be in paper form</w:t>
      </w:r>
      <w:r w:rsidR="00F817EA">
        <w:rPr>
          <w:snapToGrid w:val="0"/>
        </w:rPr>
        <w:t xml:space="preserve">, upon which it may then be scanned and uploaded to </w:t>
      </w:r>
      <w:r w:rsidR="00F817EA">
        <w:t>the Veter</w:t>
      </w:r>
      <w:r w:rsidR="00E46492">
        <w:t>ans Benefits Management System (which houses the Veteran’s electronic claims file</w:t>
      </w:r>
      <w:r w:rsidR="00F817EA">
        <w:t>) for electronic viewing</w:t>
      </w:r>
      <w:r w:rsidR="007B19D3">
        <w:t xml:space="preserve"> by VA adjudicators</w:t>
      </w:r>
      <w:r w:rsidR="00912509" w:rsidRPr="00173937">
        <w:rPr>
          <w:snapToGrid w:val="0"/>
        </w:rPr>
        <w:t xml:space="preserve">.  </w:t>
      </w:r>
    </w:p>
    <w:p w:rsidR="00F817EA" w:rsidRDefault="00F817EA">
      <w:pPr>
        <w:ind w:right="-270"/>
        <w:rPr>
          <w:b/>
          <w:bCs/>
        </w:rPr>
      </w:pPr>
    </w:p>
    <w:p w:rsidR="00B7769D" w:rsidRPr="00173937" w:rsidRDefault="00B7769D">
      <w:pPr>
        <w:ind w:right="-270"/>
        <w:rPr>
          <w:szCs w:val="20"/>
        </w:rPr>
      </w:pPr>
      <w:r w:rsidRPr="00173937">
        <w:rPr>
          <w:b/>
          <w:bCs/>
        </w:rPr>
        <w:t xml:space="preserve">4.  </w:t>
      </w:r>
      <w:r w:rsidRPr="00173937">
        <w:rPr>
          <w:b/>
          <w:bCs/>
          <w:u w:val="single"/>
        </w:rPr>
        <w:t>Description of Effort to Identify Duplication</w:t>
      </w:r>
    </w:p>
    <w:p w:rsidR="00B7769D" w:rsidRPr="00173937" w:rsidRDefault="00B7769D">
      <w:pPr>
        <w:ind w:right="-270"/>
        <w:rPr>
          <w:szCs w:val="20"/>
        </w:rPr>
      </w:pPr>
    </w:p>
    <w:p w:rsidR="00EE468E" w:rsidRPr="00173937" w:rsidRDefault="00B7769D">
      <w:pPr>
        <w:ind w:right="-270"/>
      </w:pPr>
      <w:r w:rsidRPr="00173937">
        <w:tab/>
      </w:r>
      <w:r w:rsidR="00AB3F16" w:rsidRPr="00173937">
        <w:t>The information in this collection is unique to each case and can only be obtained from the respondent.  Information that is only “similar,” should it exist, would be irrelevant.</w:t>
      </w:r>
    </w:p>
    <w:p w:rsidR="00B7769D" w:rsidRPr="00173937" w:rsidRDefault="00B7769D">
      <w:pPr>
        <w:ind w:right="-270"/>
        <w:rPr>
          <w:szCs w:val="20"/>
        </w:rPr>
      </w:pPr>
    </w:p>
    <w:p w:rsidR="00F817EA" w:rsidRDefault="00F817EA">
      <w:pPr>
        <w:rPr>
          <w:b/>
          <w:bCs/>
        </w:rPr>
      </w:pPr>
      <w:r>
        <w:rPr>
          <w:b/>
          <w:bCs/>
        </w:rPr>
        <w:br w:type="page"/>
      </w:r>
    </w:p>
    <w:p w:rsidR="004F2796" w:rsidRDefault="004F2796">
      <w:pPr>
        <w:ind w:right="-270"/>
        <w:rPr>
          <w:b/>
          <w:bCs/>
        </w:rPr>
      </w:pPr>
    </w:p>
    <w:p w:rsidR="00B7769D" w:rsidRPr="00173937" w:rsidRDefault="00B7769D">
      <w:pPr>
        <w:ind w:right="-270"/>
        <w:rPr>
          <w:szCs w:val="20"/>
        </w:rPr>
      </w:pPr>
      <w:r w:rsidRPr="00173937">
        <w:rPr>
          <w:b/>
          <w:bCs/>
        </w:rPr>
        <w:t xml:space="preserve">5.  </w:t>
      </w:r>
      <w:smartTag w:uri="urn:schemas-microsoft-com:office:smarttags" w:element="PersonName">
        <w:r w:rsidRPr="00173937">
          <w:rPr>
            <w:b/>
            <w:bCs/>
            <w:u w:val="single"/>
          </w:rPr>
          <w:t>De</w:t>
        </w:r>
      </w:smartTag>
      <w:r w:rsidRPr="00173937">
        <w:rPr>
          <w:b/>
          <w:bCs/>
          <w:u w:val="single"/>
        </w:rPr>
        <w:t>scription of Methods Used to Minimize Burden</w:t>
      </w:r>
    </w:p>
    <w:p w:rsidR="00B7769D" w:rsidRPr="00173937" w:rsidRDefault="00B7769D">
      <w:pPr>
        <w:ind w:right="-270"/>
        <w:rPr>
          <w:szCs w:val="20"/>
        </w:rPr>
      </w:pPr>
    </w:p>
    <w:p w:rsidR="00B7769D" w:rsidRPr="00173937" w:rsidRDefault="00B7769D">
      <w:pPr>
        <w:ind w:right="-270"/>
        <w:rPr>
          <w:szCs w:val="20"/>
        </w:rPr>
      </w:pPr>
      <w:r w:rsidRPr="00173937">
        <w:tab/>
      </w:r>
      <w:r w:rsidR="00AB3F16" w:rsidRPr="00173937">
        <w:t xml:space="preserve">Some appellant’s representatives, such as small service organizations or attorneys-at-law doing business as solo practitioners or at small firms, might qualify as small entities.  However, insofar as the information requested is minimal and is the least required for the protection of an appellant’s rights and the fulfillment of statutory requirements, the burden on these small entities is considered to be minimal. </w:t>
      </w:r>
      <w:r w:rsidR="00230597" w:rsidRPr="00173937">
        <w:t xml:space="preserve"> </w:t>
      </w:r>
      <w:r w:rsidR="00AB3F16" w:rsidRPr="00173937">
        <w:t>Specifically</w:t>
      </w:r>
      <w:r w:rsidRPr="00173937">
        <w:t xml:space="preserve">, </w:t>
      </w:r>
      <w:r w:rsidR="00EE468E" w:rsidRPr="00173937">
        <w:t>the form</w:t>
      </w:r>
      <w:r w:rsidRPr="00173937">
        <w:t xml:space="preserve"> </w:t>
      </w:r>
      <w:r w:rsidR="00FA7A10" w:rsidRPr="00173937">
        <w:t xml:space="preserve">requests </w:t>
      </w:r>
      <w:r w:rsidRPr="00173937">
        <w:t xml:space="preserve">only </w:t>
      </w:r>
      <w:r w:rsidR="00FA7A10" w:rsidRPr="00173937">
        <w:t xml:space="preserve">the </w:t>
      </w:r>
      <w:r w:rsidRPr="00173937">
        <w:t xml:space="preserve">essential data </w:t>
      </w:r>
      <w:r w:rsidR="00FA7A10" w:rsidRPr="00173937">
        <w:t xml:space="preserve">necessary </w:t>
      </w:r>
      <w:r w:rsidRPr="00173937">
        <w:t xml:space="preserve">to identify the particular case to which </w:t>
      </w:r>
      <w:r w:rsidR="00FA7A10" w:rsidRPr="00173937">
        <w:t>the completed form</w:t>
      </w:r>
      <w:r w:rsidRPr="00173937">
        <w:t xml:space="preserve"> pertains and any argument that a representative voluntarily chooses to submit.  </w:t>
      </w:r>
      <w:r w:rsidR="002F4023" w:rsidRPr="00173937">
        <w:t>Moreover,</w:t>
      </w:r>
      <w:r w:rsidR="00FA7A10" w:rsidRPr="00173937">
        <w:t xml:space="preserve"> f</w:t>
      </w:r>
      <w:r w:rsidRPr="00173937">
        <w:t>ailure to provide the form would</w:t>
      </w:r>
      <w:r w:rsidR="00FA7A10" w:rsidRPr="00173937">
        <w:t xml:space="preserve"> actually </w:t>
      </w:r>
      <w:r w:rsidRPr="00173937">
        <w:t xml:space="preserve">increase </w:t>
      </w:r>
      <w:r w:rsidR="00FA7A10" w:rsidRPr="00173937">
        <w:t xml:space="preserve">the burden on </w:t>
      </w:r>
      <w:r w:rsidRPr="00173937">
        <w:t>respondent</w:t>
      </w:r>
      <w:r w:rsidR="00FA7A10" w:rsidRPr="00173937">
        <w:t>s</w:t>
      </w:r>
      <w:r w:rsidRPr="00173937">
        <w:t xml:space="preserve">, </w:t>
      </w:r>
      <w:r w:rsidR="00FA7A10" w:rsidRPr="00173937">
        <w:t>who</w:t>
      </w:r>
      <w:r w:rsidRPr="00173937">
        <w:t xml:space="preserve"> would then </w:t>
      </w:r>
      <w:r w:rsidR="00EE468E" w:rsidRPr="00173937">
        <w:t>be re</w:t>
      </w:r>
      <w:r w:rsidR="00FA7A10" w:rsidRPr="00173937">
        <w:t xml:space="preserve">quired </w:t>
      </w:r>
      <w:r w:rsidRPr="00173937">
        <w:t>to devise other methods of conveying desired argument to VA and</w:t>
      </w:r>
      <w:r w:rsidR="00EE468E" w:rsidRPr="00173937">
        <w:t>/or</w:t>
      </w:r>
      <w:r w:rsidRPr="00173937">
        <w:t xml:space="preserve"> the Board.</w:t>
      </w:r>
    </w:p>
    <w:p w:rsidR="00B7769D" w:rsidRPr="00173937" w:rsidRDefault="00B7769D">
      <w:pPr>
        <w:ind w:right="-270"/>
        <w:rPr>
          <w:szCs w:val="20"/>
        </w:rPr>
      </w:pPr>
      <w:r w:rsidRPr="00173937">
        <w:t> </w:t>
      </w:r>
    </w:p>
    <w:p w:rsidR="00B7769D" w:rsidRPr="00173937" w:rsidRDefault="00B7769D">
      <w:pPr>
        <w:ind w:right="-270"/>
        <w:rPr>
          <w:b/>
          <w:bCs/>
          <w:szCs w:val="20"/>
          <w:u w:val="single"/>
        </w:rPr>
      </w:pPr>
      <w:r w:rsidRPr="00173937">
        <w:rPr>
          <w:b/>
          <w:bCs/>
        </w:rPr>
        <w:t xml:space="preserve">6.  </w:t>
      </w:r>
      <w:r w:rsidRPr="00173937">
        <w:rPr>
          <w:b/>
          <w:bCs/>
          <w:u w:val="single"/>
        </w:rPr>
        <w:t>Description of the Consequence if the Collection were Conducted Less Frequently</w:t>
      </w:r>
    </w:p>
    <w:p w:rsidR="00B7769D" w:rsidRPr="00173937" w:rsidRDefault="00B7769D">
      <w:pPr>
        <w:ind w:right="-270"/>
        <w:rPr>
          <w:b/>
          <w:bCs/>
          <w:szCs w:val="20"/>
          <w:u w:val="single"/>
        </w:rPr>
      </w:pPr>
    </w:p>
    <w:p w:rsidR="00B7769D" w:rsidRPr="00173937" w:rsidRDefault="00B7769D">
      <w:pPr>
        <w:ind w:right="-270"/>
        <w:rPr>
          <w:szCs w:val="20"/>
        </w:rPr>
      </w:pPr>
      <w:r w:rsidRPr="00173937">
        <w:tab/>
        <w:t xml:space="preserve">The failure to provide this form could </w:t>
      </w:r>
      <w:r w:rsidR="00E52AF8" w:rsidRPr="00173937">
        <w:t>result in</w:t>
      </w:r>
      <w:r w:rsidRPr="00173937">
        <w:t xml:space="preserve"> due process defects in appeals reaching the Board</w:t>
      </w:r>
      <w:r w:rsidR="00E52AF8" w:rsidRPr="00173937">
        <w:t>, thereby causing</w:t>
      </w:r>
      <w:r w:rsidRPr="00173937">
        <w:t xml:space="preserve"> </w:t>
      </w:r>
      <w:r w:rsidR="00254D52" w:rsidRPr="00173937">
        <w:t>time-</w:t>
      </w:r>
      <w:r w:rsidRPr="00173937">
        <w:t>consuming de</w:t>
      </w:r>
      <w:r w:rsidR="00254D52" w:rsidRPr="00173937">
        <w:t>lays in the appellate process</w:t>
      </w:r>
      <w:r w:rsidR="00E52AF8" w:rsidRPr="00173937">
        <w:t xml:space="preserve">, such as requiring cases to be </w:t>
      </w:r>
      <w:r w:rsidRPr="00173937">
        <w:t>remand</w:t>
      </w:r>
      <w:r w:rsidR="00E52AF8" w:rsidRPr="00173937">
        <w:t>ed</w:t>
      </w:r>
      <w:r w:rsidRPr="00173937">
        <w:t xml:space="preserve"> </w:t>
      </w:r>
      <w:r w:rsidR="00E52AF8" w:rsidRPr="00173937">
        <w:t xml:space="preserve">in order </w:t>
      </w:r>
      <w:r w:rsidRPr="00173937">
        <w:t xml:space="preserve">to document that </w:t>
      </w:r>
      <w:r w:rsidR="00254D52" w:rsidRPr="00173937">
        <w:t>a</w:t>
      </w:r>
      <w:r w:rsidR="00E52AF8" w:rsidRPr="00173937">
        <w:t xml:space="preserve">n appellant’s </w:t>
      </w:r>
      <w:r w:rsidR="00254D52" w:rsidRPr="00173937">
        <w:t>representative has</w:t>
      </w:r>
      <w:r w:rsidRPr="00173937">
        <w:t xml:space="preserve"> been extended an opportunity to make a pre</w:t>
      </w:r>
      <w:r w:rsidR="00254D52" w:rsidRPr="00173937">
        <w:t xml:space="preserve">sentation on the </w:t>
      </w:r>
      <w:r w:rsidR="00E52AF8" w:rsidRPr="00173937">
        <w:t xml:space="preserve">appellant’s </w:t>
      </w:r>
      <w:r w:rsidRPr="00173937">
        <w:t xml:space="preserve">behalf.  </w:t>
      </w:r>
      <w:r w:rsidR="00230597" w:rsidRPr="00173937">
        <w:t>Moreover</w:t>
      </w:r>
      <w:r w:rsidR="00E52AF8" w:rsidRPr="00173937">
        <w:t xml:space="preserve">, insofar as </w:t>
      </w:r>
      <w:r w:rsidR="003B7DD7" w:rsidRPr="00173937">
        <w:t xml:space="preserve">generally only one VA Form 646 is collected per appeal, the frequency of collection is the least required </w:t>
      </w:r>
      <w:r w:rsidR="00E52AF8" w:rsidRPr="00173937">
        <w:t>under the circumstances</w:t>
      </w:r>
      <w:r w:rsidR="003B7DD7" w:rsidRPr="00173937">
        <w:t xml:space="preserve"> and </w:t>
      </w:r>
      <w:r w:rsidR="00E52AF8" w:rsidRPr="00173937">
        <w:t>t</w:t>
      </w:r>
      <w:r w:rsidRPr="00173937">
        <w:t xml:space="preserve">he burden to individual respondents is </w:t>
      </w:r>
      <w:r w:rsidR="00E52AF8" w:rsidRPr="00173937">
        <w:t>minimal</w:t>
      </w:r>
      <w:r w:rsidRPr="00173937">
        <w:t>.</w:t>
      </w:r>
    </w:p>
    <w:p w:rsidR="00B7769D" w:rsidRPr="00173937" w:rsidRDefault="00B7769D">
      <w:pPr>
        <w:ind w:right="-270"/>
        <w:rPr>
          <w:szCs w:val="20"/>
        </w:rPr>
      </w:pPr>
    </w:p>
    <w:p w:rsidR="00B7769D" w:rsidRPr="00173937" w:rsidRDefault="00B7769D">
      <w:pPr>
        <w:ind w:right="-270"/>
        <w:rPr>
          <w:szCs w:val="20"/>
        </w:rPr>
      </w:pPr>
      <w:r w:rsidRPr="00173937">
        <w:rPr>
          <w:b/>
          <w:bCs/>
        </w:rPr>
        <w:t xml:space="preserve">7.  </w:t>
      </w:r>
      <w:r w:rsidRPr="00173937">
        <w:rPr>
          <w:b/>
          <w:bCs/>
          <w:u w:val="single"/>
        </w:rPr>
        <w:t>Special Circumstances</w:t>
      </w:r>
    </w:p>
    <w:p w:rsidR="00B7769D" w:rsidRPr="00173937" w:rsidRDefault="00B7769D">
      <w:pPr>
        <w:ind w:right="-270"/>
        <w:rPr>
          <w:szCs w:val="20"/>
        </w:rPr>
      </w:pPr>
    </w:p>
    <w:p w:rsidR="00B7769D" w:rsidRPr="00173937" w:rsidRDefault="00B7769D">
      <w:pPr>
        <w:ind w:right="-270"/>
        <w:rPr>
          <w:szCs w:val="20"/>
        </w:rPr>
      </w:pPr>
      <w:r w:rsidRPr="00173937">
        <w:tab/>
        <w:t>This collection complies with 5 C</w:t>
      </w:r>
      <w:r w:rsidR="00230597" w:rsidRPr="00173937">
        <w:t>.</w:t>
      </w:r>
      <w:r w:rsidRPr="00173937">
        <w:t>F</w:t>
      </w:r>
      <w:r w:rsidR="00230597" w:rsidRPr="00173937">
        <w:t>.</w:t>
      </w:r>
      <w:r w:rsidRPr="00173937">
        <w:t>R</w:t>
      </w:r>
      <w:r w:rsidR="00230597" w:rsidRPr="00173937">
        <w:t>.</w:t>
      </w:r>
      <w:r w:rsidRPr="00173937">
        <w:t xml:space="preserve"> </w:t>
      </w:r>
      <w:r w:rsidR="002A5B6E" w:rsidRPr="00173937">
        <w:t>§ </w:t>
      </w:r>
      <w:r w:rsidRPr="00173937">
        <w:t>1320.5(d)(2) criteria.</w:t>
      </w:r>
    </w:p>
    <w:p w:rsidR="00B7769D" w:rsidRPr="00173937" w:rsidRDefault="00B7769D">
      <w:pPr>
        <w:ind w:right="-270"/>
        <w:rPr>
          <w:szCs w:val="20"/>
        </w:rPr>
      </w:pPr>
    </w:p>
    <w:p w:rsidR="00B7769D" w:rsidRPr="00173937" w:rsidRDefault="00B7769D">
      <w:pPr>
        <w:ind w:right="-270"/>
        <w:rPr>
          <w:szCs w:val="20"/>
        </w:rPr>
      </w:pPr>
      <w:r w:rsidRPr="00173937">
        <w:rPr>
          <w:b/>
          <w:bCs/>
        </w:rPr>
        <w:t xml:space="preserve">8.  </w:t>
      </w:r>
      <w:r w:rsidRPr="00173937">
        <w:rPr>
          <w:b/>
          <w:bCs/>
          <w:u w:val="single"/>
        </w:rPr>
        <w:t>Consultation Outside the Agency</w:t>
      </w:r>
    </w:p>
    <w:p w:rsidR="00B7769D" w:rsidRPr="00173937" w:rsidRDefault="00B7769D">
      <w:pPr>
        <w:ind w:right="-270"/>
        <w:rPr>
          <w:szCs w:val="20"/>
        </w:rPr>
      </w:pPr>
    </w:p>
    <w:p w:rsidR="00F31466" w:rsidRPr="00197B81" w:rsidRDefault="00B7769D" w:rsidP="00BD1C2F">
      <w:pPr>
        <w:tabs>
          <w:tab w:val="left" w:pos="540"/>
          <w:tab w:val="left" w:pos="1080"/>
          <w:tab w:val="left" w:pos="1680"/>
          <w:tab w:val="left" w:pos="2160"/>
          <w:tab w:val="left" w:pos="4680"/>
        </w:tabs>
        <w:ind w:right="270"/>
        <w:rPr>
          <w:b/>
          <w:bCs/>
          <w:u w:val="single"/>
        </w:rPr>
      </w:pPr>
      <w:r w:rsidRPr="00173937">
        <w:tab/>
      </w:r>
      <w:r w:rsidR="00197B81" w:rsidRPr="00197B81">
        <w:t>Public comments were solicited during the 60-day comment period as required by 5 C</w:t>
      </w:r>
      <w:r w:rsidR="007F1CE9">
        <w:t>.</w:t>
      </w:r>
      <w:r w:rsidR="00197B81" w:rsidRPr="00197B81">
        <w:t>F</w:t>
      </w:r>
      <w:r w:rsidR="007F1CE9">
        <w:t>.</w:t>
      </w:r>
      <w:r w:rsidR="00197B81" w:rsidRPr="00197B81">
        <w:t>R</w:t>
      </w:r>
      <w:r w:rsidR="007F1CE9">
        <w:t xml:space="preserve">. </w:t>
      </w:r>
      <w:r w:rsidR="00197B81" w:rsidRPr="00197B81">
        <w:t xml:space="preserve"> </w:t>
      </w:r>
      <w:proofErr w:type="gramStart"/>
      <w:r w:rsidR="007F1CE9" w:rsidRPr="00173937">
        <w:t xml:space="preserve">§ </w:t>
      </w:r>
      <w:r w:rsidR="00197B81" w:rsidRPr="00197B81">
        <w:t>1320.8(d) (80 Fed.</w:t>
      </w:r>
      <w:proofErr w:type="gramEnd"/>
      <w:r w:rsidR="00197B81" w:rsidRPr="00197B81">
        <w:t xml:space="preserve"> Reg. 48138 dated August 11, 2015). </w:t>
      </w:r>
      <w:r w:rsidR="00197B81">
        <w:t xml:space="preserve"> </w:t>
      </w:r>
      <w:r w:rsidR="00197B81" w:rsidRPr="00197B81">
        <w:t>No comments were received in response to this notice</w:t>
      </w:r>
      <w:r w:rsidR="008619DC" w:rsidRPr="00197B81">
        <w:t xml:space="preserve"> </w:t>
      </w:r>
    </w:p>
    <w:p w:rsidR="00F31466" w:rsidRPr="00173937" w:rsidRDefault="00F31466">
      <w:pPr>
        <w:ind w:right="-270"/>
        <w:rPr>
          <w:b/>
          <w:bCs/>
          <w:u w:val="single"/>
        </w:rPr>
      </w:pPr>
    </w:p>
    <w:p w:rsidR="00B7769D" w:rsidRPr="00173937" w:rsidRDefault="00F31466">
      <w:pPr>
        <w:ind w:right="-270"/>
        <w:rPr>
          <w:szCs w:val="20"/>
        </w:rPr>
      </w:pPr>
      <w:r w:rsidRPr="00173937">
        <w:rPr>
          <w:b/>
          <w:bCs/>
        </w:rPr>
        <w:t xml:space="preserve">9.  </w:t>
      </w:r>
      <w:r w:rsidRPr="00173937">
        <w:rPr>
          <w:b/>
          <w:bCs/>
          <w:u w:val="single"/>
        </w:rPr>
        <w:t>Payment o</w:t>
      </w:r>
      <w:r w:rsidR="00B7769D" w:rsidRPr="00173937">
        <w:rPr>
          <w:b/>
          <w:bCs/>
          <w:u w:val="single"/>
        </w:rPr>
        <w:t>r Gifts to Respondents</w:t>
      </w:r>
    </w:p>
    <w:p w:rsidR="00B7769D" w:rsidRPr="00173937" w:rsidRDefault="00B7769D">
      <w:pPr>
        <w:ind w:right="-270"/>
        <w:rPr>
          <w:szCs w:val="20"/>
        </w:rPr>
      </w:pPr>
    </w:p>
    <w:p w:rsidR="007F1CE9" w:rsidRDefault="00B7769D">
      <w:pPr>
        <w:ind w:right="-270"/>
      </w:pPr>
      <w:r w:rsidRPr="00173937">
        <w:tab/>
      </w:r>
      <w:proofErr w:type="gramStart"/>
      <w:r w:rsidRPr="00173937">
        <w:t>No</w:t>
      </w:r>
      <w:r w:rsidR="00FA7A10" w:rsidRPr="00173937">
        <w:t>ne.</w:t>
      </w:r>
      <w:proofErr w:type="gramEnd"/>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10.  </w:t>
      </w:r>
      <w:r w:rsidRPr="00173937">
        <w:rPr>
          <w:b/>
          <w:bCs/>
          <w:u w:val="single"/>
        </w:rPr>
        <w:t xml:space="preserve">Description of </w:t>
      </w:r>
      <w:r w:rsidR="00E243D9">
        <w:rPr>
          <w:b/>
          <w:bCs/>
          <w:u w:val="single"/>
        </w:rPr>
        <w:t>Privacy Assurance</w:t>
      </w:r>
    </w:p>
    <w:p w:rsidR="00FA7A10" w:rsidRPr="00173937" w:rsidRDefault="00B7769D" w:rsidP="00BC4A27">
      <w:pPr>
        <w:ind w:right="-270"/>
      </w:pPr>
      <w:r w:rsidRPr="00173937">
        <w:t> </w:t>
      </w:r>
    </w:p>
    <w:p w:rsidR="00197B81" w:rsidRDefault="00197B81" w:rsidP="00197B81">
      <w:pPr>
        <w:tabs>
          <w:tab w:val="left" w:pos="540"/>
          <w:tab w:val="left" w:pos="1080"/>
          <w:tab w:val="left" w:pos="1680"/>
          <w:tab w:val="left" w:pos="2160"/>
          <w:tab w:val="left" w:pos="4680"/>
        </w:tabs>
        <w:ind w:right="270"/>
      </w:pPr>
      <w:r>
        <w:tab/>
        <w:t xml:space="preserve">Under 38 U.S.C. </w:t>
      </w:r>
      <w:r w:rsidRPr="00173937">
        <w:t xml:space="preserve">§ </w:t>
      </w:r>
      <w:r>
        <w:t>5701(a), VA 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197B81" w:rsidRDefault="00197B81" w:rsidP="00197B81">
      <w:pPr>
        <w:tabs>
          <w:tab w:val="left" w:pos="540"/>
          <w:tab w:val="left" w:pos="1080"/>
          <w:tab w:val="left" w:pos="1680"/>
          <w:tab w:val="left" w:pos="2160"/>
          <w:tab w:val="left" w:pos="4680"/>
        </w:tabs>
        <w:ind w:right="270"/>
      </w:pPr>
    </w:p>
    <w:p w:rsidR="004F2796" w:rsidRDefault="00197B81" w:rsidP="00197B81">
      <w:pPr>
        <w:tabs>
          <w:tab w:val="left" w:pos="540"/>
          <w:tab w:val="left" w:pos="1080"/>
          <w:tab w:val="left" w:pos="1680"/>
          <w:tab w:val="left" w:pos="2160"/>
          <w:tab w:val="left" w:pos="4680"/>
        </w:tabs>
        <w:ind w:right="270"/>
        <w:rPr>
          <w:b/>
          <w:bCs/>
        </w:rPr>
      </w:pPr>
      <w:r>
        <w:tab/>
        <w:t xml:space="preserve">VA also complies with the Privacy Act of 1974 (5 U.S.C. </w:t>
      </w:r>
      <w:r w:rsidRPr="00173937">
        <w:t xml:space="preserve">§ </w:t>
      </w:r>
      <w:r w:rsidR="007F1CE9">
        <w:t>552a).</w:t>
      </w:r>
      <w:r w:rsidR="004F2796">
        <w:rPr>
          <w:b/>
          <w:bCs/>
        </w:rPr>
        <w:br w:type="page"/>
      </w:r>
    </w:p>
    <w:p w:rsidR="004F2796" w:rsidRDefault="004F2796">
      <w:pPr>
        <w:ind w:right="-270"/>
        <w:rPr>
          <w:b/>
          <w:bCs/>
        </w:rPr>
      </w:pPr>
    </w:p>
    <w:p w:rsidR="00B7769D" w:rsidRPr="00173937" w:rsidRDefault="00B7769D">
      <w:pPr>
        <w:ind w:right="-270"/>
        <w:rPr>
          <w:szCs w:val="20"/>
        </w:rPr>
      </w:pPr>
      <w:r w:rsidRPr="00173937">
        <w:rPr>
          <w:b/>
          <w:bCs/>
        </w:rPr>
        <w:t xml:space="preserve">11.  </w:t>
      </w:r>
      <w:r w:rsidRPr="00173937">
        <w:rPr>
          <w:b/>
          <w:bCs/>
          <w:u w:val="single"/>
        </w:rPr>
        <w:t>Sensitive Questions</w:t>
      </w:r>
    </w:p>
    <w:p w:rsidR="00FA7A10" w:rsidRPr="00173937" w:rsidRDefault="00B7769D" w:rsidP="00BC4A27">
      <w:pPr>
        <w:ind w:right="-270"/>
      </w:pPr>
      <w:r w:rsidRPr="00173937">
        <w:t> </w:t>
      </w:r>
      <w:r w:rsidR="00FC14A8" w:rsidRPr="00173937">
        <w:tab/>
      </w:r>
    </w:p>
    <w:p w:rsidR="00FA7A10" w:rsidRPr="00173937" w:rsidRDefault="00FA7A10" w:rsidP="00FA7A10">
      <w:pPr>
        <w:tabs>
          <w:tab w:val="left" w:pos="540"/>
          <w:tab w:val="left" w:pos="1080"/>
          <w:tab w:val="left" w:pos="1680"/>
          <w:tab w:val="left" w:pos="2160"/>
          <w:tab w:val="left" w:pos="4680"/>
        </w:tabs>
        <w:ind w:right="270"/>
        <w:outlineLvl w:val="0"/>
      </w:pPr>
      <w:r w:rsidRPr="00173937">
        <w:tab/>
        <w:t>None of the questions on this form is considered to be of a sensitive nature.</w:t>
      </w:r>
    </w:p>
    <w:p w:rsidR="00B7769D" w:rsidRPr="00173937" w:rsidRDefault="00B7769D">
      <w:pPr>
        <w:ind w:right="-270"/>
        <w:rPr>
          <w:szCs w:val="20"/>
        </w:rPr>
      </w:pPr>
      <w:r w:rsidRPr="00173937">
        <w:t> </w:t>
      </w:r>
    </w:p>
    <w:p w:rsidR="00B7769D" w:rsidRPr="00173937" w:rsidRDefault="00B7769D">
      <w:pPr>
        <w:ind w:right="-270"/>
        <w:rPr>
          <w:b/>
          <w:bCs/>
          <w:szCs w:val="20"/>
        </w:rPr>
      </w:pPr>
      <w:r w:rsidRPr="00173937">
        <w:rPr>
          <w:b/>
          <w:bCs/>
        </w:rPr>
        <w:t xml:space="preserve">12.  </w:t>
      </w:r>
      <w:r w:rsidRPr="00173937">
        <w:rPr>
          <w:b/>
          <w:bCs/>
          <w:u w:val="single"/>
        </w:rPr>
        <w:t>Estimation of Respondent’s Reporting Burden</w:t>
      </w:r>
    </w:p>
    <w:p w:rsidR="00B7769D" w:rsidRPr="00173937" w:rsidRDefault="00B7769D">
      <w:pPr>
        <w:ind w:right="-270"/>
        <w:rPr>
          <w:b/>
          <w:bCs/>
          <w:szCs w:val="20"/>
        </w:rPr>
      </w:pPr>
      <w:r w:rsidRPr="00173937">
        <w:rPr>
          <w:b/>
          <w:bCs/>
        </w:rPr>
        <w:t> </w:t>
      </w:r>
    </w:p>
    <w:p w:rsidR="00EA6456" w:rsidRPr="00173937" w:rsidRDefault="00B7769D" w:rsidP="00EC04B3">
      <w:pPr>
        <w:tabs>
          <w:tab w:val="left" w:pos="540"/>
          <w:tab w:val="left" w:pos="1080"/>
          <w:tab w:val="left" w:pos="1680"/>
          <w:tab w:val="left" w:pos="2160"/>
          <w:tab w:val="left" w:pos="4680"/>
        </w:tabs>
        <w:ind w:right="270"/>
      </w:pPr>
      <w:r w:rsidRPr="00173937">
        <w:tab/>
      </w:r>
      <w:r w:rsidR="00173937" w:rsidRPr="00173937">
        <w:t xml:space="preserve">Approximately </w:t>
      </w:r>
      <w:r w:rsidR="004339AE">
        <w:t>50,286</w:t>
      </w:r>
      <w:r w:rsidR="00EC04B3" w:rsidRPr="00173937">
        <w:t xml:space="preserve"> VA Form 646s are filed each year.</w:t>
      </w:r>
      <w:r w:rsidR="001260C9" w:rsidRPr="00173937">
        <w:rPr>
          <w:rStyle w:val="FootnoteReference"/>
        </w:rPr>
        <w:footnoteReference w:id="1"/>
      </w:r>
      <w:r w:rsidR="00A92D85" w:rsidRPr="00173937">
        <w:t xml:space="preserve">  </w:t>
      </w:r>
      <w:r w:rsidR="00EC04B3" w:rsidRPr="00173937">
        <w:t xml:space="preserve">Forms may be completed by an appellant’s representative, whose earning capacity covers an extremely wide spectrum.  </w:t>
      </w:r>
      <w:r w:rsidR="00EA6456" w:rsidRPr="00173937">
        <w:t xml:space="preserve">An appellant’s representative may be an employee of a recognized </w:t>
      </w:r>
      <w:r w:rsidR="00B045C8" w:rsidRPr="00173937">
        <w:t>Veteran</w:t>
      </w:r>
      <w:r w:rsidR="00EA6456" w:rsidRPr="00173937">
        <w:t xml:space="preserve">s’ service organization who provides appellate services as part of their overall free services to </w:t>
      </w:r>
      <w:r w:rsidR="00B045C8" w:rsidRPr="00173937">
        <w:t>Veteran</w:t>
      </w:r>
      <w:r w:rsidR="00EA6456" w:rsidRPr="00173937">
        <w:t xml:space="preserve">s, or may be an attorney-at-law or accredited agent that charges a fee.  </w:t>
      </w:r>
      <w:r w:rsidR="00E1730A">
        <w:t xml:space="preserve">For the most part, the VA Form 646 is filled out by Veterans’ service organization, as this form is submitted to by the Agency of Original Jurisdiction to the Veterans’ service organization before the case comes to the Board.  </w:t>
      </w:r>
      <w:r w:rsidR="00EA6456" w:rsidRPr="00173937">
        <w:t>In light of the foregoing, VA has used $</w:t>
      </w:r>
      <w:r w:rsidR="005D70C8">
        <w:t>33.13</w:t>
      </w:r>
      <w:r w:rsidR="00EA6456" w:rsidRPr="00173937">
        <w:t xml:space="preserve"> as the estimated hourly cost of completing the form.</w:t>
      </w:r>
      <w:r w:rsidR="00BC4A27" w:rsidRPr="00173937">
        <w:rPr>
          <w:rStyle w:val="FootnoteReference"/>
        </w:rPr>
        <w:footnoteReference w:id="2"/>
      </w:r>
      <w:r w:rsidR="00E1730A">
        <w:t xml:space="preserve">  </w:t>
      </w:r>
      <w:r w:rsidR="00E1730A">
        <w:t xml:space="preserve">However, VA notes that the hourly rate would be higher if an attorney filled out the form.  </w:t>
      </w:r>
    </w:p>
    <w:p w:rsidR="00A92D85" w:rsidRPr="00173937" w:rsidRDefault="00A92D85" w:rsidP="00EC04B3">
      <w:pPr>
        <w:tabs>
          <w:tab w:val="left" w:pos="540"/>
          <w:tab w:val="left" w:pos="1080"/>
          <w:tab w:val="left" w:pos="1680"/>
          <w:tab w:val="left" w:pos="2160"/>
          <w:tab w:val="left" w:pos="4680"/>
        </w:tabs>
        <w:ind w:right="270"/>
      </w:pPr>
    </w:p>
    <w:p w:rsidR="00A92D85" w:rsidRPr="00173937" w:rsidRDefault="00A92D85" w:rsidP="00EC04B3">
      <w:pPr>
        <w:tabs>
          <w:tab w:val="left" w:pos="540"/>
          <w:tab w:val="left" w:pos="1080"/>
          <w:tab w:val="left" w:pos="1680"/>
          <w:tab w:val="left" w:pos="2160"/>
          <w:tab w:val="left" w:pos="4680"/>
        </w:tabs>
        <w:ind w:right="270"/>
      </w:pPr>
      <w:r w:rsidRPr="00173937">
        <w:tab/>
        <w:t>Representatives have wide discretio</w:t>
      </w:r>
      <w:r w:rsidR="00BC4A27" w:rsidRPr="00173937">
        <w:t>n i</w:t>
      </w:r>
      <w:bookmarkStart w:id="0" w:name="_GoBack"/>
      <w:bookmarkEnd w:id="0"/>
      <w:r w:rsidR="00BC4A27" w:rsidRPr="00173937">
        <w:t>n the amount of time spent</w:t>
      </w:r>
      <w:r w:rsidRPr="00173937">
        <w:t xml:space="preserve"> preparing the form.  A majority of representatives simply provide identifying data and furnish a few brief paragraphs describing the basis of their client’s disagreement w</w:t>
      </w:r>
      <w:r w:rsidR="00FA3823" w:rsidRPr="00173937">
        <w:t xml:space="preserve">ith the denial of VA benefits.  </w:t>
      </w:r>
      <w:r w:rsidRPr="00173937">
        <w:t xml:space="preserve">Alternatively, some representatives choose to spend several days researching the facts and the law and writing a detailed appellate memorandum.  With this in mind, </w:t>
      </w:r>
      <w:r w:rsidR="00BC4A27" w:rsidRPr="00173937">
        <w:t>VA’s</w:t>
      </w:r>
      <w:r w:rsidRPr="00173937">
        <w:t xml:space="preserve"> best estimate </w:t>
      </w:r>
      <w:r w:rsidR="00BC4A27" w:rsidRPr="00173937">
        <w:t>is</w:t>
      </w:r>
      <w:r w:rsidRPr="00173937">
        <w:t xml:space="preserve"> that an average of one hour is spent preparing the form.</w:t>
      </w:r>
    </w:p>
    <w:p w:rsidR="00A92D85" w:rsidRPr="00173937" w:rsidRDefault="00A92D85" w:rsidP="00EC04B3">
      <w:pPr>
        <w:tabs>
          <w:tab w:val="left" w:pos="540"/>
          <w:tab w:val="left" w:pos="1080"/>
          <w:tab w:val="left" w:pos="1680"/>
          <w:tab w:val="left" w:pos="2160"/>
          <w:tab w:val="left" w:pos="4680"/>
        </w:tabs>
        <w:ind w:right="270"/>
      </w:pPr>
    </w:p>
    <w:p w:rsidR="00EC04B3" w:rsidRPr="00173937" w:rsidRDefault="00EA6456" w:rsidP="00EC04B3">
      <w:pPr>
        <w:tabs>
          <w:tab w:val="left" w:pos="540"/>
          <w:tab w:val="left" w:pos="1080"/>
          <w:tab w:val="left" w:pos="1680"/>
          <w:tab w:val="left" w:pos="2160"/>
          <w:tab w:val="left" w:pos="4680"/>
        </w:tabs>
        <w:ind w:right="270"/>
      </w:pPr>
      <w:r w:rsidRPr="00173937">
        <w:tab/>
      </w:r>
      <w:r w:rsidR="00A92D85" w:rsidRPr="00173937">
        <w:t>Based on the foregoing, VA estimates that the annual cost burden to respondents for com</w:t>
      </w:r>
      <w:r w:rsidR="00FA3823" w:rsidRPr="00173937">
        <w:t>pleting the form is as follows:</w:t>
      </w:r>
    </w:p>
    <w:p w:rsidR="00EC04B3" w:rsidRPr="00173937" w:rsidRDefault="00EC04B3" w:rsidP="00EC04B3">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911"/>
        <w:gridCol w:w="1912"/>
        <w:gridCol w:w="1911"/>
        <w:gridCol w:w="1912"/>
        <w:gridCol w:w="1912"/>
      </w:tblGrid>
      <w:tr w:rsidR="00EC04B3" w:rsidRPr="00173937">
        <w:tc>
          <w:tcPr>
            <w:tcW w:w="1911" w:type="dxa"/>
          </w:tcPr>
          <w:p w:rsidR="00EC04B3" w:rsidRPr="00173937" w:rsidRDefault="00EC04B3" w:rsidP="007D1080">
            <w:pPr>
              <w:pStyle w:val="Heading1"/>
            </w:pPr>
            <w:r w:rsidRPr="00173937">
              <w:t>No. of Responses</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Hours per Response</w:t>
            </w:r>
          </w:p>
        </w:tc>
        <w:tc>
          <w:tcPr>
            <w:tcW w:w="1911"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Total Hours</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Cost per hour</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Total Cost</w:t>
            </w:r>
          </w:p>
        </w:tc>
      </w:tr>
      <w:tr w:rsidR="00EC04B3" w:rsidRPr="00173937">
        <w:tc>
          <w:tcPr>
            <w:tcW w:w="1911" w:type="dxa"/>
          </w:tcPr>
          <w:p w:rsidR="00EC04B3" w:rsidRPr="00173937" w:rsidRDefault="009D6971" w:rsidP="009D6971">
            <w:pPr>
              <w:tabs>
                <w:tab w:val="left" w:pos="540"/>
                <w:tab w:val="left" w:pos="1080"/>
                <w:tab w:val="left" w:pos="1680"/>
                <w:tab w:val="left" w:pos="2160"/>
                <w:tab w:val="left" w:pos="4680"/>
              </w:tabs>
              <w:ind w:right="270"/>
              <w:jc w:val="center"/>
            </w:pPr>
            <w:r>
              <w:t>50,286</w:t>
            </w:r>
          </w:p>
        </w:tc>
        <w:tc>
          <w:tcPr>
            <w:tcW w:w="1912" w:type="dxa"/>
          </w:tcPr>
          <w:p w:rsidR="00EC04B3" w:rsidRPr="00173937" w:rsidRDefault="00EC04B3" w:rsidP="007D1080">
            <w:pPr>
              <w:tabs>
                <w:tab w:val="left" w:pos="540"/>
                <w:tab w:val="left" w:pos="1080"/>
                <w:tab w:val="left" w:pos="1680"/>
                <w:tab w:val="left" w:pos="2160"/>
                <w:tab w:val="left" w:pos="4680"/>
              </w:tabs>
              <w:ind w:right="270"/>
              <w:jc w:val="center"/>
            </w:pPr>
            <w:r w:rsidRPr="00173937">
              <w:t>1</w:t>
            </w:r>
          </w:p>
        </w:tc>
        <w:tc>
          <w:tcPr>
            <w:tcW w:w="1911" w:type="dxa"/>
          </w:tcPr>
          <w:p w:rsidR="00EC04B3" w:rsidRPr="00173937" w:rsidRDefault="009D6971" w:rsidP="007D1080">
            <w:pPr>
              <w:tabs>
                <w:tab w:val="left" w:pos="540"/>
                <w:tab w:val="left" w:pos="1080"/>
                <w:tab w:val="left" w:pos="1680"/>
                <w:tab w:val="left" w:pos="2160"/>
                <w:tab w:val="left" w:pos="4680"/>
              </w:tabs>
              <w:ind w:right="270"/>
              <w:jc w:val="center"/>
            </w:pPr>
            <w:r>
              <w:t>50,286</w:t>
            </w:r>
          </w:p>
        </w:tc>
        <w:tc>
          <w:tcPr>
            <w:tcW w:w="1912" w:type="dxa"/>
          </w:tcPr>
          <w:p w:rsidR="00EC04B3" w:rsidRPr="00173937" w:rsidRDefault="00BF34AC" w:rsidP="009D6971">
            <w:pPr>
              <w:tabs>
                <w:tab w:val="left" w:pos="540"/>
                <w:tab w:val="left" w:pos="1080"/>
                <w:tab w:val="left" w:pos="1680"/>
                <w:tab w:val="left" w:pos="2160"/>
                <w:tab w:val="left" w:pos="4680"/>
              </w:tabs>
              <w:ind w:right="270"/>
              <w:jc w:val="center"/>
            </w:pPr>
            <w:r w:rsidRPr="00173937">
              <w:t>$</w:t>
            </w:r>
            <w:r w:rsidR="009D6971">
              <w:t>33.13</w:t>
            </w:r>
          </w:p>
        </w:tc>
        <w:tc>
          <w:tcPr>
            <w:tcW w:w="1912" w:type="dxa"/>
          </w:tcPr>
          <w:p w:rsidR="00EC04B3" w:rsidRPr="00173937" w:rsidRDefault="00BF34AC" w:rsidP="009D6971">
            <w:pPr>
              <w:tabs>
                <w:tab w:val="left" w:pos="540"/>
                <w:tab w:val="left" w:pos="1080"/>
                <w:tab w:val="left" w:pos="1680"/>
                <w:tab w:val="left" w:pos="2160"/>
                <w:tab w:val="left" w:pos="4680"/>
              </w:tabs>
              <w:ind w:right="270"/>
              <w:jc w:val="center"/>
            </w:pPr>
            <w:r w:rsidRPr="00173937">
              <w:t>$</w:t>
            </w:r>
            <w:r w:rsidR="006B7E9D" w:rsidRPr="00173937">
              <w:t>1,</w:t>
            </w:r>
            <w:r w:rsidR="009D6971">
              <w:t>665</w:t>
            </w:r>
            <w:r w:rsidR="00EA6456" w:rsidRPr="00173937">
              <w:t>,</w:t>
            </w:r>
            <w:r w:rsidR="009D6971">
              <w:t>975</w:t>
            </w:r>
            <w:r w:rsidR="00EA6456" w:rsidRPr="00173937">
              <w:t>.</w:t>
            </w:r>
            <w:r w:rsidR="009D6971">
              <w:t>1</w:t>
            </w:r>
            <w:r w:rsidR="00EA6456" w:rsidRPr="00173937">
              <w:t>8</w:t>
            </w:r>
          </w:p>
        </w:tc>
      </w:tr>
    </w:tbl>
    <w:p w:rsidR="00B7769D" w:rsidRPr="00173937" w:rsidRDefault="00B7769D">
      <w:pPr>
        <w:ind w:left="720" w:right="-270"/>
        <w:rPr>
          <w:szCs w:val="20"/>
        </w:rPr>
      </w:pP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13.</w:t>
      </w:r>
      <w:r w:rsidRPr="00173937">
        <w:t xml:space="preserve">  </w:t>
      </w:r>
      <w:r w:rsidRPr="00173937">
        <w:rPr>
          <w:b/>
          <w:bCs/>
          <w:u w:val="single"/>
        </w:rPr>
        <w:t xml:space="preserve">Estimate of Annual Cost Burden to Respondents or </w:t>
      </w:r>
      <w:proofErr w:type="spellStart"/>
      <w:r w:rsidRPr="00173937">
        <w:rPr>
          <w:b/>
          <w:bCs/>
          <w:u w:val="single"/>
        </w:rPr>
        <w:t>Recordkeepers</w:t>
      </w:r>
      <w:proofErr w:type="spellEnd"/>
      <w:r w:rsidRPr="00173937">
        <w:rPr>
          <w:b/>
          <w:bCs/>
          <w:u w:val="single"/>
        </w:rPr>
        <w:t xml:space="preserve"> from Collection of Information</w:t>
      </w:r>
    </w:p>
    <w:p w:rsidR="00FA3823" w:rsidRPr="00173937" w:rsidRDefault="00FA3823" w:rsidP="00FA3823">
      <w:pPr>
        <w:ind w:right="-270"/>
      </w:pPr>
    </w:p>
    <w:p w:rsidR="00A92D85" w:rsidRPr="00173937" w:rsidRDefault="00FA3823" w:rsidP="00FA3823">
      <w:pPr>
        <w:ind w:right="-270"/>
      </w:pPr>
      <w:r w:rsidRPr="00173937">
        <w:tab/>
      </w:r>
      <w:r w:rsidR="00EC04B3" w:rsidRPr="00173937">
        <w:t>There should be no costs to respondents other than those</w:t>
      </w:r>
      <w:r w:rsidR="002C3309" w:rsidRPr="00173937">
        <w:t xml:space="preserve"> identified in question 12.  </w:t>
      </w:r>
    </w:p>
    <w:p w:rsidR="00A92D85" w:rsidRPr="00173937" w:rsidRDefault="00A92D85" w:rsidP="00A92D85">
      <w:pPr>
        <w:tabs>
          <w:tab w:val="left" w:pos="540"/>
          <w:tab w:val="left" w:pos="1080"/>
          <w:tab w:val="left" w:pos="1680"/>
          <w:tab w:val="left" w:pos="2160"/>
          <w:tab w:val="left" w:pos="4680"/>
        </w:tabs>
        <w:ind w:right="270"/>
      </w:pPr>
      <w:r w:rsidRPr="00173937">
        <w:t>Completion of the form requires no ongoing accumulation of information, and no special purchase of services, supplies, or equipment.</w:t>
      </w:r>
    </w:p>
    <w:p w:rsidR="00B7769D" w:rsidRPr="00173937" w:rsidRDefault="00B7769D">
      <w:pPr>
        <w:ind w:right="-270"/>
      </w:pPr>
    </w:p>
    <w:p w:rsidR="00FA3823" w:rsidRPr="00173937" w:rsidRDefault="00B7769D">
      <w:pPr>
        <w:ind w:right="-270"/>
      </w:pPr>
      <w:r w:rsidRPr="00173937">
        <w:rPr>
          <w:b/>
          <w:bCs/>
        </w:rPr>
        <w:t xml:space="preserve">14.  </w:t>
      </w:r>
      <w:r w:rsidRPr="00173937">
        <w:rPr>
          <w:b/>
          <w:bCs/>
          <w:u w:val="single"/>
        </w:rPr>
        <w:t>Annual Cost to the Federal Government</w:t>
      </w:r>
      <w:r w:rsidRPr="00173937">
        <w:rPr>
          <w:b/>
          <w:bCs/>
        </w:rPr>
        <w:t xml:space="preserve">  </w:t>
      </w:r>
    </w:p>
    <w:p w:rsidR="00FA3823" w:rsidRPr="00173937" w:rsidRDefault="00FA3823">
      <w:pPr>
        <w:ind w:right="-270"/>
        <w:rPr>
          <w:b/>
          <w:bCs/>
        </w:rPr>
      </w:pPr>
    </w:p>
    <w:p w:rsidR="00535FB0" w:rsidRPr="00173937" w:rsidRDefault="00FA3823" w:rsidP="00FA3823">
      <w:pPr>
        <w:pStyle w:val="FootnoteText"/>
        <w:rPr>
          <w:sz w:val="24"/>
          <w:szCs w:val="24"/>
        </w:rPr>
      </w:pPr>
      <w:r w:rsidRPr="00173937">
        <w:rPr>
          <w:b/>
          <w:bCs/>
        </w:rPr>
        <w:tab/>
      </w:r>
      <w:r w:rsidRPr="00173937">
        <w:rPr>
          <w:sz w:val="24"/>
          <w:szCs w:val="24"/>
        </w:rPr>
        <w:t xml:space="preserve">A member of the VA publication staff is required to maintain an electronic version of the VA Form 646 on the internet.  VA estimates that such maintenance </w:t>
      </w:r>
      <w:r w:rsidR="00AF58B8" w:rsidRPr="00173937">
        <w:rPr>
          <w:sz w:val="24"/>
          <w:szCs w:val="24"/>
        </w:rPr>
        <w:t xml:space="preserve">requires approximately </w:t>
      </w:r>
      <w:r w:rsidRPr="00173937">
        <w:rPr>
          <w:sz w:val="24"/>
          <w:szCs w:val="24"/>
        </w:rPr>
        <w:t>a quarter of an hour per year</w:t>
      </w:r>
      <w:r w:rsidR="00535FB0" w:rsidRPr="00173937">
        <w:rPr>
          <w:sz w:val="24"/>
          <w:szCs w:val="24"/>
        </w:rPr>
        <w:t xml:space="preserve">.  </w:t>
      </w:r>
    </w:p>
    <w:p w:rsidR="00535FB0" w:rsidRPr="00173937" w:rsidRDefault="00535FB0" w:rsidP="00FA3823">
      <w:pPr>
        <w:pStyle w:val="FootnoteText"/>
        <w:rPr>
          <w:sz w:val="24"/>
          <w:szCs w:val="24"/>
        </w:rPr>
      </w:pPr>
      <w:r w:rsidRPr="00173937">
        <w:rPr>
          <w:sz w:val="24"/>
          <w:szCs w:val="24"/>
        </w:rPr>
        <w:tab/>
      </w:r>
    </w:p>
    <w:p w:rsidR="00FA3823" w:rsidRPr="00173937" w:rsidRDefault="00535FB0" w:rsidP="00535FB0">
      <w:pPr>
        <w:ind w:right="-270"/>
      </w:pPr>
      <w:r w:rsidRPr="00173937">
        <w:tab/>
        <w:t xml:space="preserve">Further, in the course </w:t>
      </w:r>
      <w:r w:rsidR="00A92D85" w:rsidRPr="00173937">
        <w:t>of the initial adjudication of claims, r</w:t>
      </w:r>
      <w:r w:rsidR="00EC04B3" w:rsidRPr="00173937">
        <w:t>esponses are reviewed by VA Regional Office Rating Specialists</w:t>
      </w:r>
      <w:r w:rsidR="00A92D85" w:rsidRPr="00173937">
        <w:t>.</w:t>
      </w:r>
      <w:r w:rsidR="00FA3823" w:rsidRPr="00173937">
        <w:t xml:space="preserve"> </w:t>
      </w:r>
      <w:r w:rsidR="00A92D85" w:rsidRPr="00173937">
        <w:t xml:space="preserve"> Additionally, in deciding appeals, responses are reviewed by BVA attorneys</w:t>
      </w:r>
      <w:r w:rsidR="00FA3823" w:rsidRPr="00173937">
        <w:t xml:space="preserve"> and BVA </w:t>
      </w:r>
      <w:r w:rsidR="00B045C8" w:rsidRPr="00173937">
        <w:t>Veteran</w:t>
      </w:r>
      <w:r w:rsidR="00FA3823" w:rsidRPr="00173937">
        <w:t>s Law Judges.</w:t>
      </w:r>
      <w:r w:rsidR="00A92D85" w:rsidRPr="00173937">
        <w:t xml:space="preserve"> </w:t>
      </w:r>
      <w:r w:rsidR="003267B9" w:rsidRPr="00173937">
        <w:t xml:space="preserve"> As discussed in the answer to question 12, most completed forms are no longer than a few sentences; however, some forms are several pages long.  As such, VA estimates that the average time required to review each VA Form 646 is 15 minutes.  </w:t>
      </w:r>
      <w:r w:rsidR="00FA3823" w:rsidRPr="00173937">
        <w:t>Responses are maintained in preexisting VA claims files.</w:t>
      </w:r>
    </w:p>
    <w:p w:rsidR="00EC04B3" w:rsidRPr="00173937" w:rsidRDefault="00EC04B3" w:rsidP="00535FB0">
      <w:pPr>
        <w:ind w:right="-270"/>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915"/>
        <w:gridCol w:w="1915"/>
        <w:gridCol w:w="1915"/>
        <w:gridCol w:w="1915"/>
        <w:gridCol w:w="1915"/>
      </w:tblGrid>
      <w:tr w:rsidR="00EC04B3" w:rsidRPr="00173937">
        <w:trPr>
          <w:tblHeader/>
        </w:trPr>
        <w:tc>
          <w:tcPr>
            <w:tcW w:w="1915" w:type="dxa"/>
          </w:tcPr>
          <w:p w:rsidR="00EC04B3" w:rsidRPr="00173937" w:rsidRDefault="00EC04B3" w:rsidP="007D1080">
            <w:pPr>
              <w:pStyle w:val="Heading1"/>
            </w:pPr>
            <w:r w:rsidRPr="00173937">
              <w:t>Position &amp; Grade</w:t>
            </w:r>
          </w:p>
        </w:tc>
        <w:tc>
          <w:tcPr>
            <w:tcW w:w="1915" w:type="dxa"/>
          </w:tcPr>
          <w:p w:rsidR="00EC04B3" w:rsidRPr="00173937" w:rsidRDefault="00EC04B3" w:rsidP="007D1080">
            <w:pPr>
              <w:pStyle w:val="Heading1"/>
            </w:pPr>
            <w:r w:rsidRPr="00173937">
              <w:t>Hourly Rate</w:t>
            </w:r>
          </w:p>
        </w:tc>
        <w:tc>
          <w:tcPr>
            <w:tcW w:w="1915" w:type="dxa"/>
          </w:tcPr>
          <w:p w:rsidR="00EC04B3" w:rsidRPr="00173937" w:rsidRDefault="00EC04B3" w:rsidP="007D1080">
            <w:pPr>
              <w:pStyle w:val="Heading1"/>
            </w:pPr>
            <w:r w:rsidRPr="00173937">
              <w:t>Hours</w:t>
            </w:r>
          </w:p>
        </w:tc>
        <w:tc>
          <w:tcPr>
            <w:tcW w:w="1915" w:type="dxa"/>
          </w:tcPr>
          <w:p w:rsidR="00EC04B3" w:rsidRPr="00173937" w:rsidRDefault="00EC04B3" w:rsidP="007D1080">
            <w:pPr>
              <w:pStyle w:val="Heading1"/>
            </w:pPr>
            <w:r w:rsidRPr="00173937">
              <w:t>Other Cost</w:t>
            </w:r>
          </w:p>
        </w:tc>
        <w:tc>
          <w:tcPr>
            <w:tcW w:w="1915" w:type="dxa"/>
          </w:tcPr>
          <w:p w:rsidR="00EC04B3" w:rsidRPr="00173937" w:rsidRDefault="00EC04B3" w:rsidP="007D1080">
            <w:pPr>
              <w:tabs>
                <w:tab w:val="left" w:pos="540"/>
                <w:tab w:val="left" w:pos="1080"/>
                <w:tab w:val="left" w:pos="1680"/>
                <w:tab w:val="left" w:pos="2160"/>
                <w:tab w:val="left" w:pos="4680"/>
              </w:tabs>
              <w:ind w:right="270"/>
              <w:jc w:val="center"/>
              <w:rPr>
                <w:b/>
              </w:rPr>
            </w:pPr>
            <w:r w:rsidRPr="00173937">
              <w:rPr>
                <w:b/>
              </w:rPr>
              <w:t>Total</w:t>
            </w:r>
          </w:p>
        </w:tc>
      </w:tr>
      <w:tr w:rsidR="00EC04B3" w:rsidRPr="00173937">
        <w:tc>
          <w:tcPr>
            <w:tcW w:w="1915" w:type="dxa"/>
          </w:tcPr>
          <w:p w:rsidR="00EC04B3" w:rsidRPr="00173937" w:rsidRDefault="00EC04B3" w:rsidP="00A92D85">
            <w:pPr>
              <w:tabs>
                <w:tab w:val="left" w:pos="540"/>
                <w:tab w:val="left" w:pos="1080"/>
                <w:tab w:val="left" w:pos="1680"/>
                <w:tab w:val="left" w:pos="2160"/>
                <w:tab w:val="left" w:pos="4680"/>
              </w:tabs>
              <w:ind w:right="270"/>
              <w:jc w:val="center"/>
            </w:pPr>
            <w:r w:rsidRPr="00173937">
              <w:t>VA Regional Office Rating Specialist-GS 12/3</w:t>
            </w:r>
          </w:p>
        </w:tc>
        <w:tc>
          <w:tcPr>
            <w:tcW w:w="1915" w:type="dxa"/>
          </w:tcPr>
          <w:p w:rsidR="00EC04B3" w:rsidRPr="00173937" w:rsidRDefault="00EC04B3" w:rsidP="00D74EDE">
            <w:pPr>
              <w:tabs>
                <w:tab w:val="left" w:pos="540"/>
                <w:tab w:val="left" w:pos="1080"/>
                <w:tab w:val="left" w:pos="1680"/>
                <w:tab w:val="left" w:pos="2160"/>
                <w:tab w:val="left" w:pos="4680"/>
              </w:tabs>
              <w:ind w:right="270"/>
              <w:jc w:val="right"/>
            </w:pPr>
            <w:r w:rsidRPr="00173937">
              <w:t>$</w:t>
            </w:r>
            <w:r w:rsidR="00A92D85" w:rsidRPr="00173937">
              <w:t>35.</w:t>
            </w:r>
            <w:r w:rsidR="00D74EDE">
              <w:t>52</w:t>
            </w:r>
            <w:r w:rsidRPr="00173937">
              <w:rPr>
                <w:rStyle w:val="FootnoteReference"/>
              </w:rPr>
              <w:footnoteReference w:id="3"/>
            </w:r>
          </w:p>
        </w:tc>
        <w:tc>
          <w:tcPr>
            <w:tcW w:w="1915" w:type="dxa"/>
          </w:tcPr>
          <w:p w:rsidR="00EC04B3" w:rsidRPr="00173937" w:rsidRDefault="0092710A" w:rsidP="003A3B38">
            <w:pPr>
              <w:tabs>
                <w:tab w:val="left" w:pos="540"/>
                <w:tab w:val="left" w:pos="1080"/>
                <w:tab w:val="left" w:pos="1680"/>
                <w:tab w:val="left" w:pos="2160"/>
                <w:tab w:val="left" w:pos="4680"/>
              </w:tabs>
              <w:ind w:right="270"/>
              <w:jc w:val="center"/>
            </w:pPr>
            <w:r>
              <w:t>1</w:t>
            </w:r>
            <w:r w:rsidR="003A3B38">
              <w:t>2</w:t>
            </w:r>
            <w:r>
              <w:t>,</w:t>
            </w:r>
            <w:r w:rsidR="003A3B38">
              <w:t>572</w:t>
            </w:r>
            <w:r w:rsidR="00EC04B3" w:rsidRPr="00173937">
              <w:t xml:space="preserve"> (re</w:t>
            </w:r>
            <w:r w:rsidR="00AA47BB" w:rsidRPr="00173937">
              <w:t xml:space="preserve">viewing </w:t>
            </w:r>
            <w:r w:rsidR="003A3B38">
              <w:t>50,286</w:t>
            </w:r>
            <w:r w:rsidR="003A3B38" w:rsidRPr="00173937">
              <w:t xml:space="preserve"> </w:t>
            </w:r>
            <w:r w:rsidR="00EC04B3" w:rsidRPr="00173937">
              <w:t>responses at 1/4 hour each)</w:t>
            </w:r>
          </w:p>
        </w:tc>
        <w:tc>
          <w:tcPr>
            <w:tcW w:w="1915" w:type="dxa"/>
          </w:tcPr>
          <w:p w:rsidR="00EC04B3" w:rsidRPr="00173937" w:rsidRDefault="00EC04B3" w:rsidP="007D1080">
            <w:pPr>
              <w:tabs>
                <w:tab w:val="left" w:pos="540"/>
                <w:tab w:val="left" w:pos="1080"/>
                <w:tab w:val="left" w:pos="1680"/>
                <w:tab w:val="left" w:pos="2160"/>
                <w:tab w:val="left" w:pos="4680"/>
              </w:tabs>
              <w:ind w:right="270"/>
            </w:pPr>
          </w:p>
        </w:tc>
        <w:tc>
          <w:tcPr>
            <w:tcW w:w="1915" w:type="dxa"/>
          </w:tcPr>
          <w:p w:rsidR="00EC04B3" w:rsidRPr="00173937" w:rsidRDefault="00BF34AC" w:rsidP="00D74EDE">
            <w:pPr>
              <w:tabs>
                <w:tab w:val="left" w:pos="540"/>
                <w:tab w:val="left" w:pos="1080"/>
                <w:tab w:val="left" w:pos="1680"/>
                <w:tab w:val="left" w:pos="2160"/>
                <w:tab w:val="left" w:pos="4680"/>
              </w:tabs>
              <w:ind w:right="270"/>
              <w:jc w:val="right"/>
            </w:pPr>
            <w:r w:rsidRPr="00173937">
              <w:t>$</w:t>
            </w:r>
            <w:r w:rsidR="00D74EDE">
              <w:t>446,557</w:t>
            </w:r>
            <w:r w:rsidR="003A3B38">
              <w:t>.</w:t>
            </w:r>
            <w:r w:rsidR="00D74EDE">
              <w:t>44</w:t>
            </w:r>
          </w:p>
        </w:tc>
      </w:tr>
      <w:tr w:rsidR="00EC04B3" w:rsidRPr="00173937">
        <w:tc>
          <w:tcPr>
            <w:tcW w:w="1915" w:type="dxa"/>
          </w:tcPr>
          <w:p w:rsidR="00EC04B3" w:rsidRPr="00173937" w:rsidRDefault="00EC04B3" w:rsidP="00A92D85">
            <w:pPr>
              <w:tabs>
                <w:tab w:val="left" w:pos="540"/>
                <w:tab w:val="left" w:pos="1080"/>
                <w:tab w:val="left" w:pos="1680"/>
                <w:tab w:val="left" w:pos="2160"/>
                <w:tab w:val="left" w:pos="4680"/>
              </w:tabs>
              <w:ind w:right="270"/>
              <w:jc w:val="center"/>
            </w:pPr>
            <w:r w:rsidRPr="00173937">
              <w:t>BVA Attorney/ Adviser-GS 13/3</w:t>
            </w:r>
          </w:p>
        </w:tc>
        <w:tc>
          <w:tcPr>
            <w:tcW w:w="1915" w:type="dxa"/>
          </w:tcPr>
          <w:p w:rsidR="00EC04B3" w:rsidRPr="00173937" w:rsidRDefault="00EC04B3" w:rsidP="00D74EDE">
            <w:pPr>
              <w:tabs>
                <w:tab w:val="left" w:pos="540"/>
                <w:tab w:val="left" w:pos="1080"/>
                <w:tab w:val="left" w:pos="1680"/>
                <w:tab w:val="left" w:pos="2160"/>
                <w:tab w:val="left" w:pos="4680"/>
              </w:tabs>
              <w:ind w:right="270"/>
              <w:jc w:val="right"/>
            </w:pPr>
            <w:r w:rsidRPr="00173937">
              <w:t>$</w:t>
            </w:r>
            <w:r w:rsidR="00A92D85" w:rsidRPr="00173937">
              <w:t>4</w:t>
            </w:r>
            <w:r w:rsidR="00D74EDE">
              <w:t>5.96</w:t>
            </w:r>
            <w:r w:rsidR="00BF34AC" w:rsidRPr="00173937">
              <w:rPr>
                <w:rStyle w:val="FootnoteReference"/>
              </w:rPr>
              <w:footnoteReference w:id="4"/>
            </w:r>
          </w:p>
        </w:tc>
        <w:tc>
          <w:tcPr>
            <w:tcW w:w="1915" w:type="dxa"/>
          </w:tcPr>
          <w:p w:rsidR="00EC04B3" w:rsidRPr="00173937" w:rsidRDefault="003A3B38" w:rsidP="007D1080">
            <w:pPr>
              <w:tabs>
                <w:tab w:val="left" w:pos="540"/>
                <w:tab w:val="left" w:pos="1080"/>
                <w:tab w:val="left" w:pos="1680"/>
                <w:tab w:val="left" w:pos="2160"/>
                <w:tab w:val="left" w:pos="4680"/>
              </w:tabs>
              <w:ind w:right="270"/>
              <w:jc w:val="center"/>
            </w:pPr>
            <w:r w:rsidRPr="003A3B38">
              <w:t xml:space="preserve">12,572 </w:t>
            </w:r>
            <w:r w:rsidR="00EC04B3" w:rsidRPr="00173937">
              <w:t>(re</w:t>
            </w:r>
            <w:r w:rsidR="00BF34AC" w:rsidRPr="00173937">
              <w:t xml:space="preserve">viewing </w:t>
            </w:r>
            <w:r>
              <w:t>50,286</w:t>
            </w:r>
            <w:r w:rsidRPr="00173937">
              <w:t xml:space="preserve"> </w:t>
            </w:r>
            <w:r w:rsidR="00EC04B3" w:rsidRPr="00173937">
              <w:t>responses at 1/4 hour each)</w:t>
            </w:r>
          </w:p>
        </w:tc>
        <w:tc>
          <w:tcPr>
            <w:tcW w:w="1915" w:type="dxa"/>
          </w:tcPr>
          <w:p w:rsidR="00EC04B3" w:rsidRPr="00173937" w:rsidRDefault="00EC04B3" w:rsidP="007D1080">
            <w:pPr>
              <w:tabs>
                <w:tab w:val="left" w:pos="540"/>
                <w:tab w:val="left" w:pos="1080"/>
                <w:tab w:val="left" w:pos="1680"/>
                <w:tab w:val="left" w:pos="2160"/>
                <w:tab w:val="left" w:pos="4680"/>
              </w:tabs>
              <w:ind w:right="270"/>
            </w:pPr>
          </w:p>
        </w:tc>
        <w:tc>
          <w:tcPr>
            <w:tcW w:w="1915" w:type="dxa"/>
          </w:tcPr>
          <w:p w:rsidR="00EC04B3" w:rsidRPr="00173937" w:rsidRDefault="00CF688A" w:rsidP="00D74EDE">
            <w:pPr>
              <w:tabs>
                <w:tab w:val="left" w:pos="540"/>
                <w:tab w:val="left" w:pos="1080"/>
                <w:tab w:val="left" w:pos="1680"/>
                <w:tab w:val="left" w:pos="2160"/>
                <w:tab w:val="left" w:pos="4680"/>
              </w:tabs>
              <w:ind w:right="270"/>
              <w:jc w:val="right"/>
            </w:pPr>
            <w:r w:rsidRPr="00173937">
              <w:t>$</w:t>
            </w:r>
            <w:r w:rsidR="00672DDA" w:rsidRPr="00173937">
              <w:t>5</w:t>
            </w:r>
            <w:r w:rsidR="00D74EDE">
              <w:t>77</w:t>
            </w:r>
            <w:r w:rsidR="00672DDA" w:rsidRPr="00173937">
              <w:t>,</w:t>
            </w:r>
            <w:r w:rsidR="00D74EDE">
              <w:t>809</w:t>
            </w:r>
            <w:r w:rsidR="00672DDA" w:rsidRPr="00173937">
              <w:t>.</w:t>
            </w:r>
            <w:r w:rsidR="00D74EDE">
              <w:t>1</w:t>
            </w:r>
            <w:r w:rsidR="003A3B38">
              <w:t>2</w:t>
            </w:r>
          </w:p>
        </w:tc>
      </w:tr>
      <w:tr w:rsidR="00EC04B3" w:rsidRPr="00173937">
        <w:tc>
          <w:tcPr>
            <w:tcW w:w="1915" w:type="dxa"/>
          </w:tcPr>
          <w:p w:rsidR="00EC04B3" w:rsidRPr="00173937" w:rsidRDefault="00EC04B3" w:rsidP="00672DDA">
            <w:pPr>
              <w:tabs>
                <w:tab w:val="left" w:pos="540"/>
                <w:tab w:val="left" w:pos="1080"/>
                <w:tab w:val="left" w:pos="1680"/>
                <w:tab w:val="left" w:pos="2160"/>
                <w:tab w:val="left" w:pos="4680"/>
              </w:tabs>
              <w:ind w:right="270"/>
              <w:jc w:val="center"/>
            </w:pPr>
            <w:r w:rsidRPr="00173937">
              <w:t xml:space="preserve">BVA </w:t>
            </w:r>
            <w:r w:rsidR="00B045C8" w:rsidRPr="00173937">
              <w:t>Veteran</w:t>
            </w:r>
            <w:r w:rsidR="00672DDA" w:rsidRPr="00173937">
              <w:t>s Law Judge</w:t>
            </w:r>
            <w:r w:rsidRPr="00173937">
              <w:t>-AL3/B</w:t>
            </w:r>
          </w:p>
        </w:tc>
        <w:tc>
          <w:tcPr>
            <w:tcW w:w="1915" w:type="dxa"/>
          </w:tcPr>
          <w:p w:rsidR="00EC04B3" w:rsidRPr="00173937" w:rsidRDefault="00EC04B3" w:rsidP="00D74EDE">
            <w:pPr>
              <w:tabs>
                <w:tab w:val="left" w:pos="540"/>
                <w:tab w:val="left" w:pos="1080"/>
                <w:tab w:val="left" w:pos="1680"/>
                <w:tab w:val="left" w:pos="2160"/>
                <w:tab w:val="left" w:pos="4680"/>
              </w:tabs>
              <w:ind w:right="270"/>
              <w:jc w:val="right"/>
            </w:pPr>
            <w:r w:rsidRPr="00173937">
              <w:t>$</w:t>
            </w:r>
            <w:r w:rsidR="00D74EDE">
              <w:t>67.43</w:t>
            </w:r>
            <w:r w:rsidR="00BF34AC" w:rsidRPr="00173937">
              <w:rPr>
                <w:rStyle w:val="FootnoteReference"/>
              </w:rPr>
              <w:footnoteReference w:id="5"/>
            </w:r>
          </w:p>
        </w:tc>
        <w:tc>
          <w:tcPr>
            <w:tcW w:w="1915" w:type="dxa"/>
          </w:tcPr>
          <w:p w:rsidR="00EC04B3" w:rsidRPr="00173937" w:rsidRDefault="003A3B38" w:rsidP="007D1080">
            <w:pPr>
              <w:tabs>
                <w:tab w:val="left" w:pos="540"/>
                <w:tab w:val="left" w:pos="1080"/>
                <w:tab w:val="left" w:pos="1680"/>
                <w:tab w:val="left" w:pos="2160"/>
                <w:tab w:val="left" w:pos="4680"/>
              </w:tabs>
              <w:ind w:right="270"/>
              <w:jc w:val="center"/>
            </w:pPr>
            <w:r>
              <w:t>12,572</w:t>
            </w:r>
            <w:r w:rsidRPr="00173937">
              <w:t xml:space="preserve"> </w:t>
            </w:r>
            <w:r w:rsidR="00EC04B3" w:rsidRPr="00173937">
              <w:t>(re</w:t>
            </w:r>
            <w:r w:rsidR="00CF688A" w:rsidRPr="00173937">
              <w:t xml:space="preserve">viewing </w:t>
            </w:r>
            <w:r>
              <w:t>50,286</w:t>
            </w:r>
            <w:r w:rsidRPr="00173937">
              <w:t xml:space="preserve"> </w:t>
            </w:r>
            <w:r w:rsidR="00EC04B3" w:rsidRPr="00173937">
              <w:t>responses at 1/4 hour each)</w:t>
            </w:r>
          </w:p>
        </w:tc>
        <w:tc>
          <w:tcPr>
            <w:tcW w:w="1915" w:type="dxa"/>
          </w:tcPr>
          <w:p w:rsidR="00EC04B3" w:rsidRPr="00173937" w:rsidRDefault="00EC04B3" w:rsidP="007D1080">
            <w:pPr>
              <w:tabs>
                <w:tab w:val="left" w:pos="540"/>
                <w:tab w:val="left" w:pos="1080"/>
                <w:tab w:val="left" w:pos="1680"/>
                <w:tab w:val="left" w:pos="2160"/>
                <w:tab w:val="left" w:pos="4680"/>
              </w:tabs>
              <w:ind w:right="270"/>
            </w:pPr>
          </w:p>
        </w:tc>
        <w:tc>
          <w:tcPr>
            <w:tcW w:w="1915" w:type="dxa"/>
          </w:tcPr>
          <w:p w:rsidR="00EC04B3" w:rsidRPr="00173937" w:rsidRDefault="00CF688A" w:rsidP="00D74EDE">
            <w:pPr>
              <w:tabs>
                <w:tab w:val="left" w:pos="540"/>
                <w:tab w:val="left" w:pos="1080"/>
                <w:tab w:val="left" w:pos="1680"/>
                <w:tab w:val="left" w:pos="2160"/>
                <w:tab w:val="left" w:pos="4680"/>
              </w:tabs>
              <w:ind w:right="270"/>
              <w:jc w:val="right"/>
            </w:pPr>
            <w:r w:rsidRPr="00173937">
              <w:t>$</w:t>
            </w:r>
            <w:r w:rsidR="003A3B38">
              <w:t>8</w:t>
            </w:r>
            <w:r w:rsidR="00D74EDE">
              <w:t>47</w:t>
            </w:r>
            <w:r w:rsidR="003A3B38">
              <w:t>,</w:t>
            </w:r>
            <w:r w:rsidR="00D74EDE">
              <w:t>729</w:t>
            </w:r>
            <w:r w:rsidR="00672DDA" w:rsidRPr="00173937">
              <w:t>.</w:t>
            </w:r>
            <w:r w:rsidR="00D74EDE">
              <w:t>9</w:t>
            </w:r>
            <w:r w:rsidR="00672DDA" w:rsidRPr="00173937">
              <w:t>6</w:t>
            </w:r>
          </w:p>
        </w:tc>
      </w:tr>
      <w:tr w:rsidR="00EC04B3" w:rsidRPr="00173937">
        <w:tc>
          <w:tcPr>
            <w:tcW w:w="1915" w:type="dxa"/>
          </w:tcPr>
          <w:p w:rsidR="00EC04B3" w:rsidRPr="00173937" w:rsidRDefault="00C14EF8" w:rsidP="00A92D85">
            <w:pPr>
              <w:tabs>
                <w:tab w:val="left" w:pos="540"/>
                <w:tab w:val="left" w:pos="1080"/>
                <w:tab w:val="left" w:pos="1680"/>
                <w:tab w:val="left" w:pos="2160"/>
                <w:tab w:val="left" w:pos="4680"/>
              </w:tabs>
              <w:ind w:right="270"/>
              <w:jc w:val="center"/>
            </w:pPr>
            <w:r w:rsidRPr="00173937">
              <w:t>VA Pub</w:t>
            </w:r>
            <w:r w:rsidR="00EE38CA" w:rsidRPr="00173937">
              <w:t>l</w:t>
            </w:r>
            <w:r w:rsidRPr="00173937">
              <w:t>ication Staff – GS 13/8</w:t>
            </w:r>
          </w:p>
        </w:tc>
        <w:tc>
          <w:tcPr>
            <w:tcW w:w="1915" w:type="dxa"/>
          </w:tcPr>
          <w:p w:rsidR="00EC04B3" w:rsidRPr="00173937" w:rsidRDefault="00C14EF8" w:rsidP="00D74EDE">
            <w:pPr>
              <w:tabs>
                <w:tab w:val="left" w:pos="540"/>
                <w:tab w:val="left" w:pos="1080"/>
                <w:tab w:val="left" w:pos="1680"/>
                <w:tab w:val="left" w:pos="2160"/>
                <w:tab w:val="left" w:pos="4680"/>
              </w:tabs>
              <w:ind w:right="270"/>
              <w:jc w:val="right"/>
            </w:pPr>
            <w:r w:rsidRPr="00173937">
              <w:t>$</w:t>
            </w:r>
            <w:r w:rsidR="00357EC3">
              <w:t>4</w:t>
            </w:r>
            <w:r w:rsidR="00D74EDE">
              <w:t>8.84</w:t>
            </w:r>
            <w:r w:rsidRPr="00173937">
              <w:rPr>
                <w:rStyle w:val="FootnoteReference"/>
              </w:rPr>
              <w:footnoteReference w:id="6"/>
            </w:r>
          </w:p>
        </w:tc>
        <w:tc>
          <w:tcPr>
            <w:tcW w:w="1915" w:type="dxa"/>
          </w:tcPr>
          <w:p w:rsidR="00EC04B3" w:rsidRPr="00173937" w:rsidRDefault="0011045E" w:rsidP="00672DDA">
            <w:pPr>
              <w:tabs>
                <w:tab w:val="left" w:pos="540"/>
                <w:tab w:val="left" w:pos="1080"/>
                <w:tab w:val="left" w:pos="1680"/>
                <w:tab w:val="left" w:pos="2160"/>
                <w:tab w:val="left" w:pos="4680"/>
              </w:tabs>
              <w:ind w:right="270"/>
              <w:jc w:val="center"/>
            </w:pPr>
            <w:r w:rsidRPr="00173937">
              <w:t xml:space="preserve">¼ hour </w:t>
            </w:r>
          </w:p>
        </w:tc>
        <w:tc>
          <w:tcPr>
            <w:tcW w:w="1915" w:type="dxa"/>
          </w:tcPr>
          <w:p w:rsidR="00EC04B3" w:rsidRPr="00173937" w:rsidRDefault="00EC04B3" w:rsidP="007D1080">
            <w:pPr>
              <w:tabs>
                <w:tab w:val="left" w:pos="540"/>
                <w:tab w:val="left" w:pos="1080"/>
                <w:tab w:val="left" w:pos="1680"/>
                <w:tab w:val="left" w:pos="2160"/>
                <w:tab w:val="left" w:pos="4680"/>
              </w:tabs>
              <w:ind w:right="270"/>
              <w:jc w:val="center"/>
            </w:pPr>
          </w:p>
        </w:tc>
        <w:tc>
          <w:tcPr>
            <w:tcW w:w="1915" w:type="dxa"/>
          </w:tcPr>
          <w:p w:rsidR="00EC04B3" w:rsidRPr="00173937" w:rsidRDefault="00C14EF8" w:rsidP="00D74EDE">
            <w:pPr>
              <w:tabs>
                <w:tab w:val="left" w:pos="540"/>
                <w:tab w:val="left" w:pos="1080"/>
                <w:tab w:val="left" w:pos="1680"/>
                <w:tab w:val="left" w:pos="2160"/>
                <w:tab w:val="left" w:pos="4680"/>
              </w:tabs>
              <w:ind w:right="270"/>
              <w:jc w:val="right"/>
            </w:pPr>
            <w:r w:rsidRPr="00173937">
              <w:t>$</w:t>
            </w:r>
            <w:r w:rsidR="00672DDA" w:rsidRPr="00173937">
              <w:t>12.</w:t>
            </w:r>
            <w:r w:rsidR="00D74EDE">
              <w:t>21</w:t>
            </w:r>
          </w:p>
        </w:tc>
      </w:tr>
      <w:tr w:rsidR="00EC04B3" w:rsidRPr="00173937">
        <w:trPr>
          <w:cantSplit/>
        </w:trPr>
        <w:tc>
          <w:tcPr>
            <w:tcW w:w="7660" w:type="dxa"/>
            <w:gridSpan w:val="4"/>
          </w:tcPr>
          <w:p w:rsidR="00EC04B3" w:rsidRPr="00173937" w:rsidRDefault="00EC04B3" w:rsidP="007D1080">
            <w:pPr>
              <w:pStyle w:val="Heading5"/>
            </w:pPr>
            <w:r w:rsidRPr="00173937">
              <w:lastRenderedPageBreak/>
              <w:t>Total Costs</w:t>
            </w:r>
          </w:p>
        </w:tc>
        <w:tc>
          <w:tcPr>
            <w:tcW w:w="1915" w:type="dxa"/>
          </w:tcPr>
          <w:p w:rsidR="00EC04B3" w:rsidRPr="00173937" w:rsidRDefault="008619DC" w:rsidP="00881AEA">
            <w:pPr>
              <w:tabs>
                <w:tab w:val="left" w:pos="540"/>
                <w:tab w:val="left" w:pos="1080"/>
                <w:tab w:val="left" w:pos="1680"/>
                <w:tab w:val="left" w:pos="2160"/>
                <w:tab w:val="left" w:pos="4680"/>
              </w:tabs>
              <w:ind w:right="270"/>
              <w:jc w:val="right"/>
            </w:pPr>
            <w:r>
              <w:fldChar w:fldCharType="begin"/>
            </w:r>
            <w:r>
              <w:instrText xml:space="preserve"> =SUM(ABOVE) </w:instrText>
            </w:r>
            <w:r>
              <w:fldChar w:fldCharType="separate"/>
            </w:r>
            <w:r w:rsidR="00EC04B3" w:rsidRPr="00173937">
              <w:rPr>
                <w:noProof/>
              </w:rPr>
              <w:t>$</w:t>
            </w:r>
            <w:r>
              <w:rPr>
                <w:noProof/>
              </w:rPr>
              <w:fldChar w:fldCharType="end"/>
            </w:r>
            <w:r w:rsidR="00AA47BB" w:rsidRPr="00173937">
              <w:t>1</w:t>
            </w:r>
            <w:r w:rsidR="00C14EF8" w:rsidRPr="00173937">
              <w:t>,</w:t>
            </w:r>
            <w:r w:rsidR="00881AEA">
              <w:t>872,108.73</w:t>
            </w:r>
          </w:p>
        </w:tc>
      </w:tr>
    </w:tbl>
    <w:p w:rsidR="002C3309" w:rsidRPr="00173937" w:rsidRDefault="002C3309">
      <w:pPr>
        <w:ind w:left="720" w:right="-270" w:firstLine="720"/>
      </w:pPr>
    </w:p>
    <w:p w:rsidR="00B7769D" w:rsidRPr="00173937" w:rsidRDefault="00B7769D">
      <w:pPr>
        <w:ind w:right="-270"/>
        <w:rPr>
          <w:szCs w:val="20"/>
        </w:rPr>
      </w:pPr>
      <w:r w:rsidRPr="00173937">
        <w:rPr>
          <w:b/>
          <w:bCs/>
        </w:rPr>
        <w:t xml:space="preserve">15.  </w:t>
      </w:r>
      <w:r w:rsidRPr="00173937">
        <w:rPr>
          <w:b/>
          <w:bCs/>
          <w:u w:val="single"/>
        </w:rPr>
        <w:t>Explanation for Program Changes or Adjustments</w:t>
      </w:r>
    </w:p>
    <w:p w:rsidR="00B7769D" w:rsidRPr="00173937" w:rsidRDefault="00B7769D">
      <w:pPr>
        <w:ind w:right="-270"/>
        <w:rPr>
          <w:szCs w:val="20"/>
        </w:rPr>
      </w:pPr>
      <w:r w:rsidRPr="00173937">
        <w:t> </w:t>
      </w:r>
    </w:p>
    <w:p w:rsidR="00B7769D" w:rsidRPr="00173937" w:rsidRDefault="00B7769D">
      <w:pPr>
        <w:ind w:right="-270"/>
      </w:pPr>
      <w:r w:rsidRPr="00173937">
        <w:tab/>
      </w:r>
      <w:r w:rsidR="00D044F6">
        <w:t>T</w:t>
      </w:r>
      <w:r w:rsidR="0061609D" w:rsidRPr="00173937">
        <w:t>here is a</w:t>
      </w:r>
      <w:r w:rsidR="008E1229" w:rsidRPr="00173937">
        <w:t xml:space="preserve">n </w:t>
      </w:r>
      <w:r w:rsidR="0061609D" w:rsidRPr="00173937">
        <w:t>adjustment</w:t>
      </w:r>
      <w:r w:rsidR="00AF58B8" w:rsidRPr="00173937">
        <w:t xml:space="preserve"> </w:t>
      </w:r>
      <w:r w:rsidR="00BE2B7B" w:rsidRPr="00173937">
        <w:t>in burden</w:t>
      </w:r>
      <w:r w:rsidR="00AF58B8" w:rsidRPr="00173937">
        <w:t>, which</w:t>
      </w:r>
      <w:r w:rsidR="00672DDA" w:rsidRPr="00173937">
        <w:t xml:space="preserve"> reflects</w:t>
      </w:r>
      <w:r w:rsidR="00BE2B7B" w:rsidRPr="00173937">
        <w:t xml:space="preserve"> </w:t>
      </w:r>
      <w:r w:rsidR="00396D7E" w:rsidRPr="00173937">
        <w:t>an</w:t>
      </w:r>
      <w:r w:rsidR="00BE2B7B" w:rsidRPr="00173937">
        <w:t xml:space="preserve"> in</w:t>
      </w:r>
      <w:r w:rsidRPr="00173937">
        <w:t xml:space="preserve">crease in the number of appeals filed by </w:t>
      </w:r>
      <w:r w:rsidR="001137D9" w:rsidRPr="00173937">
        <w:t>represented appellants</w:t>
      </w:r>
      <w:r w:rsidRPr="00173937">
        <w:t>.</w:t>
      </w:r>
      <w:r w:rsidR="00D044F6">
        <w:t xml:space="preserve">  Additionally, the expiration date has been added to the form.</w:t>
      </w:r>
    </w:p>
    <w:p w:rsidR="00872213" w:rsidRPr="00173937" w:rsidRDefault="00872213">
      <w:pPr>
        <w:ind w:right="-270"/>
        <w:rPr>
          <w:szCs w:val="20"/>
        </w:rPr>
      </w:pPr>
    </w:p>
    <w:p w:rsidR="00B7769D" w:rsidRPr="00173937" w:rsidRDefault="00B7769D">
      <w:pPr>
        <w:ind w:right="-270"/>
        <w:rPr>
          <w:szCs w:val="20"/>
        </w:rPr>
      </w:pPr>
      <w:r w:rsidRPr="00173937">
        <w:t> </w:t>
      </w:r>
      <w:r w:rsidRPr="00173937">
        <w:rPr>
          <w:b/>
          <w:bCs/>
        </w:rPr>
        <w:t xml:space="preserve">16.  </w:t>
      </w:r>
      <w:r w:rsidRPr="00173937">
        <w:rPr>
          <w:b/>
          <w:bCs/>
          <w:u w:val="single"/>
        </w:rPr>
        <w:t>Tabulation, Statistical Analysis, and Publication Plans</w:t>
      </w:r>
    </w:p>
    <w:p w:rsidR="00B7769D" w:rsidRPr="00173937" w:rsidRDefault="00B7769D">
      <w:pPr>
        <w:ind w:right="-270"/>
        <w:rPr>
          <w:szCs w:val="20"/>
        </w:rPr>
      </w:pPr>
      <w:r w:rsidRPr="00173937">
        <w:t> </w:t>
      </w:r>
    </w:p>
    <w:p w:rsidR="00B7769D" w:rsidRPr="00173937" w:rsidRDefault="00B7769D">
      <w:pPr>
        <w:ind w:right="-270"/>
        <w:rPr>
          <w:szCs w:val="20"/>
        </w:rPr>
      </w:pPr>
      <w:r w:rsidRPr="00173937">
        <w:tab/>
      </w:r>
      <w:r w:rsidR="00EC04B3" w:rsidRPr="00173937">
        <w:t>The results of this information collection will not be published for statistical use.  Board decisions are made available through the Internet to assist in complying with 5 U.S.C. § 552(a)(2).</w:t>
      </w: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17.  </w:t>
      </w:r>
      <w:r w:rsidRPr="00173937">
        <w:rPr>
          <w:b/>
          <w:bCs/>
          <w:u w:val="single"/>
        </w:rPr>
        <w:t>Reason for Seeking Approval Not to Display Expiration Date for OMB Approval of the Information Collection</w:t>
      </w:r>
    </w:p>
    <w:p w:rsidR="00B7769D" w:rsidRPr="00173937" w:rsidRDefault="00B7769D">
      <w:pPr>
        <w:ind w:right="-270"/>
        <w:rPr>
          <w:szCs w:val="20"/>
        </w:rPr>
      </w:pPr>
      <w:r w:rsidRPr="00173937">
        <w:t> </w:t>
      </w:r>
    </w:p>
    <w:p w:rsidR="00AE3731" w:rsidRPr="00173937" w:rsidRDefault="00B7769D" w:rsidP="00AE3731">
      <w:pPr>
        <w:tabs>
          <w:tab w:val="left" w:pos="540"/>
          <w:tab w:val="left" w:pos="1080"/>
          <w:tab w:val="left" w:pos="1680"/>
          <w:tab w:val="left" w:pos="2160"/>
          <w:tab w:val="left" w:pos="4680"/>
        </w:tabs>
        <w:ind w:right="270"/>
      </w:pPr>
      <w:r w:rsidRPr="00173937">
        <w:tab/>
      </w:r>
      <w:r w:rsidR="00D044F6">
        <w:t>The expiration date has been added to the form.</w:t>
      </w:r>
      <w:r w:rsidR="00AE3731" w:rsidRPr="00173937">
        <w:rPr>
          <w:snapToGrid w:val="0"/>
        </w:rPr>
        <w:t xml:space="preserve"> </w:t>
      </w:r>
    </w:p>
    <w:p w:rsidR="00B7769D" w:rsidRPr="00173937" w:rsidRDefault="00B7769D">
      <w:pPr>
        <w:ind w:right="-270"/>
        <w:rPr>
          <w:szCs w:val="20"/>
        </w:rPr>
      </w:pPr>
      <w:r w:rsidRPr="00173937">
        <w:t> </w:t>
      </w:r>
    </w:p>
    <w:p w:rsidR="00B7769D" w:rsidRPr="00173937" w:rsidRDefault="00B7769D">
      <w:pPr>
        <w:ind w:right="-270"/>
        <w:rPr>
          <w:szCs w:val="20"/>
        </w:rPr>
      </w:pPr>
      <w:r w:rsidRPr="00173937">
        <w:rPr>
          <w:b/>
          <w:bCs/>
        </w:rPr>
        <w:t xml:space="preserve">18.  </w:t>
      </w:r>
      <w:r w:rsidRPr="00173937">
        <w:rPr>
          <w:b/>
          <w:bCs/>
          <w:u w:val="single"/>
        </w:rPr>
        <w:t>Exception to the Certification Statement</w:t>
      </w:r>
    </w:p>
    <w:p w:rsidR="00B7769D" w:rsidRPr="00173937" w:rsidRDefault="00B7769D">
      <w:pPr>
        <w:ind w:right="-270"/>
        <w:rPr>
          <w:b/>
          <w:bCs/>
          <w:szCs w:val="20"/>
          <w:u w:val="single"/>
        </w:rPr>
      </w:pPr>
    </w:p>
    <w:p w:rsidR="00B01E63" w:rsidRPr="00173937" w:rsidRDefault="00B7769D" w:rsidP="00B01E63">
      <w:pPr>
        <w:tabs>
          <w:tab w:val="left" w:pos="540"/>
          <w:tab w:val="left" w:pos="1080"/>
          <w:tab w:val="left" w:pos="1680"/>
          <w:tab w:val="left" w:pos="2160"/>
          <w:tab w:val="left" w:pos="4680"/>
        </w:tabs>
        <w:ind w:right="270"/>
      </w:pPr>
      <w:r w:rsidRPr="00173937">
        <w:tab/>
      </w:r>
      <w:r w:rsidR="00B01E63" w:rsidRPr="00173937">
        <w:t xml:space="preserve">There were no exceptions.  The retention period for recordkeeping requirements is not stated in this collection because there are no such requirements.  </w:t>
      </w:r>
    </w:p>
    <w:p w:rsidR="0058713C" w:rsidRPr="00173937" w:rsidRDefault="0058713C">
      <w:pPr>
        <w:ind w:right="-270"/>
        <w:rPr>
          <w:b/>
          <w:bCs/>
        </w:rPr>
      </w:pPr>
    </w:p>
    <w:p w:rsidR="009635D8" w:rsidRPr="00173937" w:rsidRDefault="009635D8">
      <w:pPr>
        <w:ind w:right="-270"/>
        <w:rPr>
          <w:b/>
          <w:bCs/>
        </w:rPr>
      </w:pPr>
    </w:p>
    <w:p w:rsidR="00B7769D" w:rsidRPr="00173937" w:rsidRDefault="00B7769D">
      <w:pPr>
        <w:ind w:right="-270"/>
        <w:rPr>
          <w:smallCaps/>
          <w:szCs w:val="20"/>
          <w:u w:val="single"/>
        </w:rPr>
      </w:pPr>
      <w:r w:rsidRPr="00173937">
        <w:rPr>
          <w:b/>
          <w:bCs/>
          <w:smallCaps/>
          <w:u w:val="single"/>
        </w:rPr>
        <w:t>B.  Collection of Information Employing Statistical Methods</w:t>
      </w:r>
    </w:p>
    <w:p w:rsidR="00B01E63" w:rsidRPr="00173937" w:rsidRDefault="00B7769D" w:rsidP="009635D8">
      <w:pPr>
        <w:ind w:right="-270"/>
      </w:pPr>
      <w:r w:rsidRPr="00173937">
        <w:tab/>
      </w:r>
    </w:p>
    <w:p w:rsidR="00B01E63" w:rsidRDefault="00B01E63" w:rsidP="00B01E63">
      <w:pPr>
        <w:tabs>
          <w:tab w:val="left" w:pos="540"/>
          <w:tab w:val="left" w:pos="1080"/>
          <w:tab w:val="left" w:pos="1680"/>
          <w:tab w:val="left" w:pos="2160"/>
          <w:tab w:val="left" w:pos="4680"/>
        </w:tabs>
        <w:ind w:right="270"/>
      </w:pPr>
      <w:r w:rsidRPr="00173937">
        <w:tab/>
        <w:t>Statistical survey methodology does not apply.</w:t>
      </w:r>
    </w:p>
    <w:p w:rsidR="00B7769D" w:rsidRDefault="00B7769D">
      <w:pPr>
        <w:ind w:right="-270"/>
      </w:pPr>
    </w:p>
    <w:sectPr w:rsidR="00B7769D" w:rsidSect="00AC2626">
      <w:headerReference w:type="default" r:id="rId10"/>
      <w:footerReference w:type="default" r:id="rId11"/>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E7" w:rsidRDefault="00526EE7">
      <w:r>
        <w:separator/>
      </w:r>
    </w:p>
  </w:endnote>
  <w:endnote w:type="continuationSeparator" w:id="0">
    <w:p w:rsidR="00526EE7" w:rsidRDefault="0052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18A" w:rsidRDefault="00B9518A">
    <w:pPr>
      <w:pStyle w:val="Footer"/>
      <w:jc w:val="center"/>
    </w:pPr>
    <w:r>
      <w:t>[</w:t>
    </w:r>
    <w:r w:rsidR="008619DC">
      <w:fldChar w:fldCharType="begin"/>
    </w:r>
    <w:r w:rsidR="008619DC">
      <w:instrText xml:space="preserve"> PAGE   \* MERGEFORMAT </w:instrText>
    </w:r>
    <w:r w:rsidR="008619DC">
      <w:fldChar w:fldCharType="separate"/>
    </w:r>
    <w:r w:rsidR="00AC2626">
      <w:rPr>
        <w:noProof/>
      </w:rPr>
      <w:t>5</w:t>
    </w:r>
    <w:r w:rsidR="008619DC">
      <w:rPr>
        <w:noProof/>
      </w:rPr>
      <w:fldChar w:fldCharType="end"/>
    </w:r>
    <w:r>
      <w:t>]</w:t>
    </w:r>
  </w:p>
  <w:p w:rsidR="00B9518A" w:rsidRDefault="00B95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E7" w:rsidRDefault="00526EE7">
      <w:r>
        <w:separator/>
      </w:r>
    </w:p>
  </w:footnote>
  <w:footnote w:type="continuationSeparator" w:id="0">
    <w:p w:rsidR="00526EE7" w:rsidRDefault="00526EE7">
      <w:r>
        <w:continuationSeparator/>
      </w:r>
    </w:p>
  </w:footnote>
  <w:footnote w:id="1">
    <w:p w:rsidR="001260C9" w:rsidRDefault="001260C9">
      <w:pPr>
        <w:pStyle w:val="FootnoteText"/>
      </w:pPr>
      <w:r>
        <w:rPr>
          <w:rStyle w:val="FootnoteReference"/>
        </w:rPr>
        <w:footnoteRef/>
      </w:r>
      <w:r>
        <w:t xml:space="preserve"> This figure is equal to the total number of decisions issued by the Board in Fiscal Year 201</w:t>
      </w:r>
      <w:r w:rsidR="004339AE">
        <w:t>4</w:t>
      </w:r>
      <w:r>
        <w:t xml:space="preserve"> (</w:t>
      </w:r>
      <w:r w:rsidRPr="00FA7A10">
        <w:rPr>
          <w:i/>
        </w:rPr>
        <w:t>i.e.</w:t>
      </w:r>
      <w:r>
        <w:t xml:space="preserve">, </w:t>
      </w:r>
      <w:r w:rsidR="004339AE">
        <w:t>55,532</w:t>
      </w:r>
      <w:r>
        <w:t>), less the total number of cases in which the appellant was unrepresented in Fiscal Year 201</w:t>
      </w:r>
      <w:r w:rsidR="004339AE">
        <w:t>4</w:t>
      </w:r>
      <w:r>
        <w:t xml:space="preserve"> (</w:t>
      </w:r>
      <w:r w:rsidRPr="00FA7A10">
        <w:rPr>
          <w:i/>
        </w:rPr>
        <w:t>i.e.</w:t>
      </w:r>
      <w:r>
        <w:t xml:space="preserve">, </w:t>
      </w:r>
      <w:r w:rsidR="004339AE">
        <w:t>5,246</w:t>
      </w:r>
      <w:r>
        <w:t xml:space="preserve">).  </w:t>
      </w:r>
      <w:proofErr w:type="gramStart"/>
      <w:r>
        <w:t xml:space="preserve">Board of </w:t>
      </w:r>
      <w:r w:rsidR="00B045C8">
        <w:t>Veteran</w:t>
      </w:r>
      <w:r>
        <w:t xml:space="preserve">s’ Appeals, </w:t>
      </w:r>
      <w:r w:rsidRPr="00DB3CA6">
        <w:rPr>
          <w:i/>
        </w:rPr>
        <w:t>Report of the Chairman</w:t>
      </w:r>
      <w:r>
        <w:t>, Fiscal Year 201</w:t>
      </w:r>
      <w:r w:rsidR="004339AE">
        <w:t>4</w:t>
      </w:r>
      <w:r>
        <w:t>, at 2</w:t>
      </w:r>
      <w:r w:rsidR="004339AE">
        <w:t>8</w:t>
      </w:r>
      <w:r>
        <w:t>.</w:t>
      </w:r>
      <w:proofErr w:type="gramEnd"/>
    </w:p>
  </w:footnote>
  <w:footnote w:id="2">
    <w:p w:rsidR="00BC4A27" w:rsidRDefault="00BC4A27">
      <w:pPr>
        <w:pStyle w:val="FootnoteText"/>
      </w:pPr>
      <w:r>
        <w:rPr>
          <w:rStyle w:val="FootnoteReference"/>
        </w:rPr>
        <w:footnoteRef/>
      </w:r>
      <w:r>
        <w:t xml:space="preserve"> </w:t>
      </w:r>
      <w:r w:rsidRPr="00722B60">
        <w:t xml:space="preserve">This figure is equal to the wage and salary component of the average employer costs for employee compensation for civilian workers in the United States, which includes private industry workers and State and local government workers.  </w:t>
      </w:r>
      <w:proofErr w:type="gramStart"/>
      <w:r w:rsidRPr="00722B60">
        <w:t xml:space="preserve">United States Department of Labor, Bureau of Labor Statistics, News Release </w:t>
      </w:r>
      <w:r w:rsidR="005D70C8">
        <w:t>15-0386</w:t>
      </w:r>
      <w:r w:rsidRPr="00722B60">
        <w:t xml:space="preserve">, </w:t>
      </w:r>
      <w:r w:rsidR="005D70C8">
        <w:t>March, 11, 2015</w:t>
      </w:r>
      <w:r w:rsidRPr="00722B60">
        <w:t xml:space="preserve">, </w:t>
      </w:r>
      <w:r w:rsidRPr="00722B60">
        <w:rPr>
          <w:i/>
        </w:rPr>
        <w:t>available at</w:t>
      </w:r>
      <w:r w:rsidRPr="00722B60">
        <w:t xml:space="preserve"> </w:t>
      </w:r>
      <w:hyperlink r:id="rId1" w:history="1">
        <w:r w:rsidR="007222A1">
          <w:rPr>
            <w:rStyle w:val="Hyperlink"/>
          </w:rPr>
          <w:t>http://www.bls.gov/news.release/archives/ecec_03112015.pdf</w:t>
        </w:r>
      </w:hyperlink>
      <w:r w:rsidRPr="00722B60">
        <w:t>.</w:t>
      </w:r>
      <w:proofErr w:type="gramEnd"/>
    </w:p>
  </w:footnote>
  <w:footnote w:id="3">
    <w:p w:rsidR="00421864" w:rsidRDefault="00421864" w:rsidP="00EC04B3">
      <w:pPr>
        <w:pStyle w:val="FootnoteText"/>
      </w:pPr>
      <w:r>
        <w:rPr>
          <w:rStyle w:val="FootnoteReference"/>
        </w:rPr>
        <w:footnoteRef/>
      </w:r>
      <w:r>
        <w:t xml:space="preserve"> </w:t>
      </w:r>
      <w:proofErr w:type="gramStart"/>
      <w:r w:rsidR="00A92D85">
        <w:t xml:space="preserve">U.S. Office of Personnel Management, </w:t>
      </w:r>
      <w:r w:rsidR="00A92D85" w:rsidRPr="0071096B">
        <w:rPr>
          <w:i/>
        </w:rPr>
        <w:t>Salary Table 201</w:t>
      </w:r>
      <w:r w:rsidR="003A3B38">
        <w:rPr>
          <w:i/>
        </w:rPr>
        <w:t>4</w:t>
      </w:r>
      <w:r w:rsidR="00A92D85" w:rsidRPr="0071096B">
        <w:rPr>
          <w:i/>
        </w:rPr>
        <w:t>-RUS for the Locality Pay Area of Rest of U.S.</w:t>
      </w:r>
      <w:r w:rsidR="00A92D85">
        <w:t>, 201</w:t>
      </w:r>
      <w:r w:rsidR="00125B35">
        <w:t>4</w:t>
      </w:r>
      <w:r w:rsidR="00A92D85">
        <w:t xml:space="preserve">, </w:t>
      </w:r>
      <w:r w:rsidR="00A92D85" w:rsidRPr="0071096B">
        <w:rPr>
          <w:i/>
        </w:rPr>
        <w:t>available at</w:t>
      </w:r>
      <w:r w:rsidR="00A92D85">
        <w:t xml:space="preserve"> </w:t>
      </w:r>
      <w:hyperlink r:id="rId2" w:history="1">
        <w:r w:rsidR="00DC4317" w:rsidRPr="00F81989">
          <w:rPr>
            <w:rStyle w:val="Hyperlink"/>
          </w:rPr>
          <w:t>http://www.opm.gov/policy-data-oversight/pay-leave/salaries-wages/salary-tables/pdf/2014/RUS_h.pdf</w:t>
        </w:r>
      </w:hyperlink>
      <w:r w:rsidR="00CA291C">
        <w:t>.</w:t>
      </w:r>
      <w:proofErr w:type="gramEnd"/>
      <w:r w:rsidR="00357EC3">
        <w:t xml:space="preserve"> </w:t>
      </w:r>
    </w:p>
  </w:footnote>
  <w:footnote w:id="4">
    <w:p w:rsidR="00421864" w:rsidRDefault="00421864">
      <w:pPr>
        <w:pStyle w:val="FootnoteText"/>
      </w:pPr>
      <w:r>
        <w:rPr>
          <w:rStyle w:val="FootnoteReference"/>
        </w:rPr>
        <w:footnoteRef/>
      </w:r>
      <w:r>
        <w:t xml:space="preserve"> </w:t>
      </w:r>
      <w:r w:rsidR="00A92D85">
        <w:t xml:space="preserve">U.S. Office of Personnel Management, </w:t>
      </w:r>
      <w:r w:rsidR="00A92D85" w:rsidRPr="0071096B">
        <w:rPr>
          <w:i/>
        </w:rPr>
        <w:t>Salary Table 201</w:t>
      </w:r>
      <w:r w:rsidR="003A3B38">
        <w:rPr>
          <w:i/>
        </w:rPr>
        <w:t>4</w:t>
      </w:r>
      <w:r w:rsidR="00A92D85" w:rsidRPr="0071096B">
        <w:rPr>
          <w:i/>
        </w:rPr>
        <w:t>-DCB for the Locality Pay Area of Washington-Baltimore, DC-MD-VA-WV</w:t>
      </w:r>
      <w:r w:rsidR="00A92D85">
        <w:t>, 201</w:t>
      </w:r>
      <w:r w:rsidR="00A11A54">
        <w:t>5</w:t>
      </w:r>
      <w:r w:rsidR="00A92D85">
        <w:t xml:space="preserve">, </w:t>
      </w:r>
      <w:r w:rsidR="00A92D85" w:rsidRPr="0071096B">
        <w:rPr>
          <w:i/>
        </w:rPr>
        <w:t>available at</w:t>
      </w:r>
      <w:r w:rsidR="00A92D85">
        <w:t xml:space="preserve"> </w:t>
      </w:r>
      <w:hyperlink r:id="rId3" w:history="1">
        <w:r w:rsidR="00DC4317" w:rsidRPr="00F81989">
          <w:rPr>
            <w:rStyle w:val="Hyperlink"/>
          </w:rPr>
          <w:t>http://www.opm.gov/policy-data-oversight/pay-leave/salaries-wages/salary-tables/pdf/2014/DCB_h.pdf</w:t>
        </w:r>
      </w:hyperlink>
      <w:r w:rsidR="00BC4A27">
        <w:t xml:space="preserve">. </w:t>
      </w:r>
    </w:p>
  </w:footnote>
  <w:footnote w:id="5">
    <w:p w:rsidR="00421864" w:rsidRDefault="00421864" w:rsidP="00BF34AC">
      <w:pPr>
        <w:pStyle w:val="FootnoteText"/>
      </w:pPr>
      <w:r>
        <w:rPr>
          <w:rStyle w:val="FootnoteReference"/>
        </w:rPr>
        <w:footnoteRef/>
      </w:r>
      <w:r>
        <w:t xml:space="preserve"> </w:t>
      </w:r>
      <w:r w:rsidR="00A92D85">
        <w:t xml:space="preserve">This figure is equal </w:t>
      </w:r>
      <w:r w:rsidR="00A92D85" w:rsidRPr="00BA3A0D">
        <w:t>to the annual rate paid to an Administrative Law Judge in DC-MD-VA-WV at the AL-3/B level of $</w:t>
      </w:r>
      <w:r w:rsidR="00125B35">
        <w:t>140,244</w:t>
      </w:r>
      <w:r w:rsidR="00A92D85" w:rsidRPr="00BA3A0D">
        <w:t xml:space="preserve"> divided by 2,080 hours.  Office of Personnel</w:t>
      </w:r>
      <w:r w:rsidR="00A92D85">
        <w:t xml:space="preserve"> Management, </w:t>
      </w:r>
      <w:r w:rsidR="00A92D85" w:rsidRPr="006F02D3">
        <w:rPr>
          <w:i/>
        </w:rPr>
        <w:t>201</w:t>
      </w:r>
      <w:r w:rsidR="00125B35">
        <w:rPr>
          <w:i/>
        </w:rPr>
        <w:t>4</w:t>
      </w:r>
      <w:r w:rsidR="00A92D85" w:rsidRPr="006F02D3">
        <w:rPr>
          <w:i/>
        </w:rPr>
        <w:t xml:space="preserve"> Locality Rates of Pay for Administrative Law Judges for the Locality Pay Area of Washington-Baltimore, DC-MD-VA-WV</w:t>
      </w:r>
      <w:r w:rsidR="00A92D85">
        <w:t>, 201</w:t>
      </w:r>
      <w:r w:rsidR="00881AEA">
        <w:t>4</w:t>
      </w:r>
      <w:r w:rsidR="00A92D85">
        <w:t xml:space="preserve">, </w:t>
      </w:r>
      <w:r w:rsidR="00A92D85" w:rsidRPr="006F02D3">
        <w:rPr>
          <w:i/>
        </w:rPr>
        <w:t>available at</w:t>
      </w:r>
      <w:r w:rsidR="00A92D85">
        <w:t xml:space="preserve"> </w:t>
      </w:r>
      <w:hyperlink r:id="rId4" w:history="1">
        <w:r w:rsidR="00D74EDE" w:rsidRPr="00F81989">
          <w:rPr>
            <w:rStyle w:val="Hyperlink"/>
          </w:rPr>
          <w:t>http://www.opm.gov/policy-data-oversight/pay-leave/salaries-wages/salary-tables/pdf/2014/ALJ_LOC.pdf</w:t>
        </w:r>
      </w:hyperlink>
      <w:r w:rsidR="00BC4A27">
        <w:t>.</w:t>
      </w:r>
    </w:p>
  </w:footnote>
  <w:footnote w:id="6">
    <w:p w:rsidR="00421864" w:rsidRDefault="00421864">
      <w:pPr>
        <w:pStyle w:val="FootnoteText"/>
      </w:pPr>
      <w:r>
        <w:rPr>
          <w:rStyle w:val="FootnoteReference"/>
        </w:rPr>
        <w:footnoteRef/>
      </w:r>
      <w:r>
        <w:t xml:space="preserve"> </w:t>
      </w:r>
      <w:r w:rsidR="00A92D85" w:rsidRPr="00A92D85">
        <w:rPr>
          <w:i/>
        </w:rPr>
        <w:t>Supra</w:t>
      </w:r>
      <w:r w:rsidR="00A92D85">
        <w:t xml:space="preserve">, note </w:t>
      </w:r>
      <w:r w:rsidR="00357EC3">
        <w:t>3</w:t>
      </w:r>
      <w:r w:rsidR="00A92D8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3E" w:rsidRPr="0045473E" w:rsidRDefault="0045473E" w:rsidP="0045473E">
    <w:pPr>
      <w:jc w:val="center"/>
      <w:rPr>
        <w:b/>
        <w:u w:val="single"/>
      </w:rPr>
    </w:pPr>
    <w:r w:rsidRPr="0045473E">
      <w:rPr>
        <w:b/>
        <w:u w:val="single"/>
      </w:rPr>
      <w:t>SUPPORTING STATEMENT FOR</w:t>
    </w:r>
  </w:p>
  <w:p w:rsidR="0045473E" w:rsidRPr="0045473E" w:rsidRDefault="0045473E" w:rsidP="0045473E">
    <w:pPr>
      <w:jc w:val="center"/>
      <w:rPr>
        <w:b/>
        <w:u w:val="single"/>
      </w:rPr>
    </w:pPr>
  </w:p>
  <w:p w:rsidR="0045473E" w:rsidRPr="0045473E" w:rsidRDefault="0045473E" w:rsidP="0045473E">
    <w:pPr>
      <w:jc w:val="center"/>
      <w:rPr>
        <w:b/>
        <w:u w:val="single"/>
      </w:rPr>
    </w:pPr>
    <w:r w:rsidRPr="0045473E">
      <w:rPr>
        <w:b/>
        <w:u w:val="single"/>
      </w:rPr>
      <w:t>OMB CONTROL NUMBER 2900-0042</w:t>
    </w:r>
  </w:p>
  <w:p w:rsidR="0045473E" w:rsidRPr="0045473E" w:rsidRDefault="0045473E">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005FC"/>
    <w:multiLevelType w:val="hybridMultilevel"/>
    <w:tmpl w:val="4E6ACE14"/>
    <w:lvl w:ilvl="0" w:tplc="7BC82D24">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E9"/>
    <w:rsid w:val="00004D73"/>
    <w:rsid w:val="00025842"/>
    <w:rsid w:val="00032B79"/>
    <w:rsid w:val="0004238F"/>
    <w:rsid w:val="0005414C"/>
    <w:rsid w:val="00096185"/>
    <w:rsid w:val="000D6176"/>
    <w:rsid w:val="000D6F28"/>
    <w:rsid w:val="00107FD2"/>
    <w:rsid w:val="0011045E"/>
    <w:rsid w:val="001137D9"/>
    <w:rsid w:val="00125B35"/>
    <w:rsid w:val="001260C9"/>
    <w:rsid w:val="001310EA"/>
    <w:rsid w:val="00135685"/>
    <w:rsid w:val="00173937"/>
    <w:rsid w:val="00197B81"/>
    <w:rsid w:val="001A0F6E"/>
    <w:rsid w:val="001A622A"/>
    <w:rsid w:val="001A7573"/>
    <w:rsid w:val="001B7840"/>
    <w:rsid w:val="001C5CE9"/>
    <w:rsid w:val="001F39A0"/>
    <w:rsid w:val="00230597"/>
    <w:rsid w:val="00230C73"/>
    <w:rsid w:val="002448B3"/>
    <w:rsid w:val="00254D52"/>
    <w:rsid w:val="002556D2"/>
    <w:rsid w:val="002831D2"/>
    <w:rsid w:val="002A5B6E"/>
    <w:rsid w:val="002A73A7"/>
    <w:rsid w:val="002C3309"/>
    <w:rsid w:val="002D2C81"/>
    <w:rsid w:val="002F4023"/>
    <w:rsid w:val="002F40E0"/>
    <w:rsid w:val="00314905"/>
    <w:rsid w:val="00325113"/>
    <w:rsid w:val="003267B9"/>
    <w:rsid w:val="003316A2"/>
    <w:rsid w:val="00357EC3"/>
    <w:rsid w:val="00395F37"/>
    <w:rsid w:val="00396D7E"/>
    <w:rsid w:val="003A2B26"/>
    <w:rsid w:val="003A3B38"/>
    <w:rsid w:val="003B7DD7"/>
    <w:rsid w:val="003C65FD"/>
    <w:rsid w:val="00407D11"/>
    <w:rsid w:val="00416A1D"/>
    <w:rsid w:val="00421671"/>
    <w:rsid w:val="00421864"/>
    <w:rsid w:val="00430039"/>
    <w:rsid w:val="004339AE"/>
    <w:rsid w:val="0045473E"/>
    <w:rsid w:val="00476CBD"/>
    <w:rsid w:val="004A7110"/>
    <w:rsid w:val="004B3B30"/>
    <w:rsid w:val="004D0D1E"/>
    <w:rsid w:val="004D48DB"/>
    <w:rsid w:val="004F2796"/>
    <w:rsid w:val="00502704"/>
    <w:rsid w:val="00514ADB"/>
    <w:rsid w:val="00516783"/>
    <w:rsid w:val="005178F6"/>
    <w:rsid w:val="00526EE7"/>
    <w:rsid w:val="00535FB0"/>
    <w:rsid w:val="00543C25"/>
    <w:rsid w:val="005608E7"/>
    <w:rsid w:val="0056798B"/>
    <w:rsid w:val="005803EB"/>
    <w:rsid w:val="0058713C"/>
    <w:rsid w:val="005974EF"/>
    <w:rsid w:val="005A2DB5"/>
    <w:rsid w:val="005D70C8"/>
    <w:rsid w:val="005E564C"/>
    <w:rsid w:val="0061609D"/>
    <w:rsid w:val="00626148"/>
    <w:rsid w:val="0063408D"/>
    <w:rsid w:val="00653997"/>
    <w:rsid w:val="00672DDA"/>
    <w:rsid w:val="00682ECF"/>
    <w:rsid w:val="006946D4"/>
    <w:rsid w:val="006B7E9D"/>
    <w:rsid w:val="006F699F"/>
    <w:rsid w:val="006F7A48"/>
    <w:rsid w:val="00707969"/>
    <w:rsid w:val="00721365"/>
    <w:rsid w:val="007222A1"/>
    <w:rsid w:val="00760D40"/>
    <w:rsid w:val="00781118"/>
    <w:rsid w:val="00787C12"/>
    <w:rsid w:val="00793014"/>
    <w:rsid w:val="007B19D3"/>
    <w:rsid w:val="007B2D38"/>
    <w:rsid w:val="007B3F81"/>
    <w:rsid w:val="007C2EAE"/>
    <w:rsid w:val="007D1080"/>
    <w:rsid w:val="007E34B8"/>
    <w:rsid w:val="007F13DD"/>
    <w:rsid w:val="007F1CE9"/>
    <w:rsid w:val="00816C23"/>
    <w:rsid w:val="00834F32"/>
    <w:rsid w:val="00857DBB"/>
    <w:rsid w:val="008619DC"/>
    <w:rsid w:val="00863D4D"/>
    <w:rsid w:val="00872213"/>
    <w:rsid w:val="00873A75"/>
    <w:rsid w:val="00881AEA"/>
    <w:rsid w:val="00885C5C"/>
    <w:rsid w:val="008A1E1F"/>
    <w:rsid w:val="008D2D62"/>
    <w:rsid w:val="008E0892"/>
    <w:rsid w:val="008E1229"/>
    <w:rsid w:val="008F2058"/>
    <w:rsid w:val="00912509"/>
    <w:rsid w:val="0092710A"/>
    <w:rsid w:val="0093543C"/>
    <w:rsid w:val="009635D8"/>
    <w:rsid w:val="00970CFF"/>
    <w:rsid w:val="00973AD8"/>
    <w:rsid w:val="009853B1"/>
    <w:rsid w:val="00993548"/>
    <w:rsid w:val="009B1510"/>
    <w:rsid w:val="009D6971"/>
    <w:rsid w:val="009D6A6B"/>
    <w:rsid w:val="009F4BEE"/>
    <w:rsid w:val="00A11A54"/>
    <w:rsid w:val="00A27585"/>
    <w:rsid w:val="00A278F2"/>
    <w:rsid w:val="00A37540"/>
    <w:rsid w:val="00A475FF"/>
    <w:rsid w:val="00A5675D"/>
    <w:rsid w:val="00A64DEA"/>
    <w:rsid w:val="00A92D85"/>
    <w:rsid w:val="00AA2C7C"/>
    <w:rsid w:val="00AA47BB"/>
    <w:rsid w:val="00AB3F16"/>
    <w:rsid w:val="00AC2626"/>
    <w:rsid w:val="00AE3731"/>
    <w:rsid w:val="00AF58B8"/>
    <w:rsid w:val="00AF6992"/>
    <w:rsid w:val="00B01E63"/>
    <w:rsid w:val="00B045C8"/>
    <w:rsid w:val="00B13EB2"/>
    <w:rsid w:val="00B23578"/>
    <w:rsid w:val="00B54136"/>
    <w:rsid w:val="00B60092"/>
    <w:rsid w:val="00B7769D"/>
    <w:rsid w:val="00B9518A"/>
    <w:rsid w:val="00BA7DFF"/>
    <w:rsid w:val="00BC4A27"/>
    <w:rsid w:val="00BD1255"/>
    <w:rsid w:val="00BD1C2F"/>
    <w:rsid w:val="00BD1EC4"/>
    <w:rsid w:val="00BE2B7B"/>
    <w:rsid w:val="00BE3E97"/>
    <w:rsid w:val="00BE735F"/>
    <w:rsid w:val="00BF34AC"/>
    <w:rsid w:val="00BF56D0"/>
    <w:rsid w:val="00C14EF8"/>
    <w:rsid w:val="00C176A4"/>
    <w:rsid w:val="00C20408"/>
    <w:rsid w:val="00C21229"/>
    <w:rsid w:val="00C70747"/>
    <w:rsid w:val="00C75095"/>
    <w:rsid w:val="00C81017"/>
    <w:rsid w:val="00C94B9C"/>
    <w:rsid w:val="00CA291C"/>
    <w:rsid w:val="00CE11EE"/>
    <w:rsid w:val="00CE3745"/>
    <w:rsid w:val="00CE424A"/>
    <w:rsid w:val="00CF688A"/>
    <w:rsid w:val="00D044F6"/>
    <w:rsid w:val="00D37110"/>
    <w:rsid w:val="00D54635"/>
    <w:rsid w:val="00D74EDE"/>
    <w:rsid w:val="00D90EAD"/>
    <w:rsid w:val="00DA05C5"/>
    <w:rsid w:val="00DA3344"/>
    <w:rsid w:val="00DB777E"/>
    <w:rsid w:val="00DC4317"/>
    <w:rsid w:val="00DE0659"/>
    <w:rsid w:val="00E1730A"/>
    <w:rsid w:val="00E21A4D"/>
    <w:rsid w:val="00E243D9"/>
    <w:rsid w:val="00E353E8"/>
    <w:rsid w:val="00E45691"/>
    <w:rsid w:val="00E46492"/>
    <w:rsid w:val="00E464C7"/>
    <w:rsid w:val="00E52AF8"/>
    <w:rsid w:val="00E60899"/>
    <w:rsid w:val="00E9630D"/>
    <w:rsid w:val="00EA4288"/>
    <w:rsid w:val="00EA6456"/>
    <w:rsid w:val="00EC04B3"/>
    <w:rsid w:val="00EE38CA"/>
    <w:rsid w:val="00EE468E"/>
    <w:rsid w:val="00EF5FFD"/>
    <w:rsid w:val="00F270D4"/>
    <w:rsid w:val="00F31466"/>
    <w:rsid w:val="00F4384A"/>
    <w:rsid w:val="00F817EA"/>
    <w:rsid w:val="00F97996"/>
    <w:rsid w:val="00FA3823"/>
    <w:rsid w:val="00FA7979"/>
    <w:rsid w:val="00FA7A10"/>
    <w:rsid w:val="00FB6CE6"/>
    <w:rsid w:val="00FC14A8"/>
    <w:rsid w:val="00FF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eastAsia="Arial Unicode MS"/>
      <w:b/>
      <w:szCs w:val="20"/>
      <w:u w:val="single"/>
    </w:rPr>
  </w:style>
  <w:style w:type="paragraph" w:styleId="Heading2">
    <w:name w:val="heading 2"/>
    <w:basedOn w:val="Normal"/>
    <w:next w:val="Normal"/>
    <w:qFormat/>
    <w:pPr>
      <w:keepNext/>
      <w:outlineLvl w:val="1"/>
    </w:pPr>
    <w:rPr>
      <w:rFonts w:eastAsia="Arial Unicode MS"/>
      <w:b/>
      <w:szCs w:val="20"/>
    </w:rPr>
  </w:style>
  <w:style w:type="paragraph" w:styleId="Heading3">
    <w:name w:val="heading 3"/>
    <w:basedOn w:val="Normal"/>
    <w:next w:val="Normal"/>
    <w:qFormat/>
    <w:pPr>
      <w:keepNext/>
      <w:ind w:left="720" w:right="-270"/>
      <w:outlineLvl w:val="2"/>
    </w:pPr>
    <w:rPr>
      <w:b/>
      <w:bCs/>
    </w:rPr>
  </w:style>
  <w:style w:type="paragraph" w:styleId="Heading5">
    <w:name w:val="heading 5"/>
    <w:basedOn w:val="Normal"/>
    <w:next w:val="Normal"/>
    <w:qFormat/>
    <w:rsid w:val="00EC04B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ind w:right="-270"/>
    </w:pPr>
  </w:style>
  <w:style w:type="paragraph" w:styleId="FootnoteText">
    <w:name w:val="footnote text"/>
    <w:basedOn w:val="Normal"/>
    <w:link w:val="FootnoteTextChar"/>
    <w:uiPriority w:val="99"/>
    <w:semiHidden/>
    <w:rsid w:val="00EC04B3"/>
    <w:rPr>
      <w:sz w:val="20"/>
      <w:szCs w:val="20"/>
    </w:rPr>
  </w:style>
  <w:style w:type="character" w:styleId="FootnoteReference">
    <w:name w:val="footnote reference"/>
    <w:basedOn w:val="DefaultParagraphFont"/>
    <w:semiHidden/>
    <w:rsid w:val="00EC04B3"/>
    <w:rPr>
      <w:vertAlign w:val="superscript"/>
    </w:rPr>
  </w:style>
  <w:style w:type="paragraph" w:styleId="BalloonText">
    <w:name w:val="Balloon Text"/>
    <w:basedOn w:val="Normal"/>
    <w:semiHidden/>
    <w:rsid w:val="00407D11"/>
    <w:rPr>
      <w:rFonts w:ascii="Tahoma" w:hAnsi="Tahoma" w:cs="Tahoma"/>
      <w:sz w:val="16"/>
      <w:szCs w:val="16"/>
    </w:rPr>
  </w:style>
  <w:style w:type="character" w:styleId="FollowedHyperlink">
    <w:name w:val="FollowedHyperlink"/>
    <w:basedOn w:val="DefaultParagraphFont"/>
    <w:rsid w:val="00107FD2"/>
    <w:rPr>
      <w:color w:val="800080"/>
      <w:u w:val="single"/>
    </w:rPr>
  </w:style>
  <w:style w:type="character" w:styleId="Strong">
    <w:name w:val="Strong"/>
    <w:basedOn w:val="DefaultParagraphFont"/>
    <w:uiPriority w:val="22"/>
    <w:qFormat/>
    <w:rsid w:val="00FA7A10"/>
    <w:rPr>
      <w:rFonts w:cs="Times New Roman"/>
      <w:b/>
    </w:rPr>
  </w:style>
  <w:style w:type="character" w:customStyle="1" w:styleId="FootnoteTextChar">
    <w:name w:val="Footnote Text Char"/>
    <w:basedOn w:val="DefaultParagraphFont"/>
    <w:link w:val="FootnoteText"/>
    <w:uiPriority w:val="99"/>
    <w:semiHidden/>
    <w:rsid w:val="00FA7A10"/>
  </w:style>
  <w:style w:type="paragraph" w:styleId="EndnoteText">
    <w:name w:val="endnote text"/>
    <w:basedOn w:val="Normal"/>
    <w:link w:val="EndnoteTextChar"/>
    <w:rsid w:val="001260C9"/>
    <w:rPr>
      <w:sz w:val="20"/>
      <w:szCs w:val="20"/>
    </w:rPr>
  </w:style>
  <w:style w:type="character" w:customStyle="1" w:styleId="EndnoteTextChar">
    <w:name w:val="Endnote Text Char"/>
    <w:basedOn w:val="DefaultParagraphFont"/>
    <w:link w:val="EndnoteText"/>
    <w:rsid w:val="001260C9"/>
  </w:style>
  <w:style w:type="character" w:styleId="EndnoteReference">
    <w:name w:val="endnote reference"/>
    <w:basedOn w:val="DefaultParagraphFont"/>
    <w:rsid w:val="001260C9"/>
    <w:rPr>
      <w:vertAlign w:val="superscript"/>
    </w:rPr>
  </w:style>
  <w:style w:type="paragraph" w:styleId="Header">
    <w:name w:val="header"/>
    <w:basedOn w:val="Normal"/>
    <w:link w:val="HeaderChar"/>
    <w:rsid w:val="0056798B"/>
    <w:pPr>
      <w:tabs>
        <w:tab w:val="center" w:pos="4680"/>
        <w:tab w:val="right" w:pos="9360"/>
      </w:tabs>
    </w:pPr>
  </w:style>
  <w:style w:type="character" w:customStyle="1" w:styleId="HeaderChar">
    <w:name w:val="Header Char"/>
    <w:basedOn w:val="DefaultParagraphFont"/>
    <w:link w:val="Header"/>
    <w:rsid w:val="0056798B"/>
    <w:rPr>
      <w:sz w:val="24"/>
      <w:szCs w:val="24"/>
    </w:rPr>
  </w:style>
  <w:style w:type="paragraph" w:styleId="Footer">
    <w:name w:val="footer"/>
    <w:basedOn w:val="Normal"/>
    <w:link w:val="FooterChar"/>
    <w:uiPriority w:val="99"/>
    <w:rsid w:val="0056798B"/>
    <w:pPr>
      <w:tabs>
        <w:tab w:val="center" w:pos="4680"/>
        <w:tab w:val="right" w:pos="9360"/>
      </w:tabs>
    </w:pPr>
  </w:style>
  <w:style w:type="character" w:customStyle="1" w:styleId="FooterChar">
    <w:name w:val="Footer Char"/>
    <w:basedOn w:val="DefaultParagraphFont"/>
    <w:link w:val="Footer"/>
    <w:uiPriority w:val="99"/>
    <w:rsid w:val="0056798B"/>
    <w:rPr>
      <w:sz w:val="24"/>
      <w:szCs w:val="24"/>
    </w:rPr>
  </w:style>
  <w:style w:type="paragraph" w:styleId="Title">
    <w:name w:val="Title"/>
    <w:basedOn w:val="Normal"/>
    <w:link w:val="TitleChar"/>
    <w:qFormat/>
    <w:rsid w:val="0056798B"/>
    <w:pPr>
      <w:spacing w:line="360" w:lineRule="auto"/>
      <w:jc w:val="center"/>
    </w:pPr>
    <w:rPr>
      <w:b/>
    </w:rPr>
  </w:style>
  <w:style w:type="character" w:customStyle="1" w:styleId="TitleChar">
    <w:name w:val="Title Char"/>
    <w:basedOn w:val="DefaultParagraphFont"/>
    <w:link w:val="Title"/>
    <w:rsid w:val="0056798B"/>
    <w:rPr>
      <w:b/>
      <w:sz w:val="24"/>
      <w:szCs w:val="24"/>
    </w:rPr>
  </w:style>
  <w:style w:type="character" w:styleId="CommentReference">
    <w:name w:val="annotation reference"/>
    <w:basedOn w:val="DefaultParagraphFont"/>
    <w:rsid w:val="00535FB0"/>
    <w:rPr>
      <w:sz w:val="16"/>
      <w:szCs w:val="16"/>
    </w:rPr>
  </w:style>
  <w:style w:type="paragraph" w:styleId="CommentText">
    <w:name w:val="annotation text"/>
    <w:basedOn w:val="Normal"/>
    <w:link w:val="CommentTextChar"/>
    <w:rsid w:val="00535FB0"/>
    <w:rPr>
      <w:sz w:val="20"/>
      <w:szCs w:val="20"/>
    </w:rPr>
  </w:style>
  <w:style w:type="character" w:customStyle="1" w:styleId="CommentTextChar">
    <w:name w:val="Comment Text Char"/>
    <w:basedOn w:val="DefaultParagraphFont"/>
    <w:link w:val="CommentText"/>
    <w:rsid w:val="00535FB0"/>
  </w:style>
  <w:style w:type="paragraph" w:styleId="CommentSubject">
    <w:name w:val="annotation subject"/>
    <w:basedOn w:val="CommentText"/>
    <w:next w:val="CommentText"/>
    <w:link w:val="CommentSubjectChar"/>
    <w:rsid w:val="00535FB0"/>
    <w:rPr>
      <w:b/>
      <w:bCs/>
    </w:rPr>
  </w:style>
  <w:style w:type="character" w:customStyle="1" w:styleId="CommentSubjectChar">
    <w:name w:val="Comment Subject Char"/>
    <w:basedOn w:val="CommentTextChar"/>
    <w:link w:val="CommentSubject"/>
    <w:rsid w:val="00535FB0"/>
    <w:rPr>
      <w:b/>
      <w:bCs/>
    </w:rPr>
  </w:style>
  <w:style w:type="paragraph" w:styleId="Revision">
    <w:name w:val="Revision"/>
    <w:hidden/>
    <w:uiPriority w:val="99"/>
    <w:semiHidden/>
    <w:rsid w:val="00535F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eastAsia="Arial Unicode MS"/>
      <w:b/>
      <w:szCs w:val="20"/>
      <w:u w:val="single"/>
    </w:rPr>
  </w:style>
  <w:style w:type="paragraph" w:styleId="Heading2">
    <w:name w:val="heading 2"/>
    <w:basedOn w:val="Normal"/>
    <w:next w:val="Normal"/>
    <w:qFormat/>
    <w:pPr>
      <w:keepNext/>
      <w:outlineLvl w:val="1"/>
    </w:pPr>
    <w:rPr>
      <w:rFonts w:eastAsia="Arial Unicode MS"/>
      <w:b/>
      <w:szCs w:val="20"/>
    </w:rPr>
  </w:style>
  <w:style w:type="paragraph" w:styleId="Heading3">
    <w:name w:val="heading 3"/>
    <w:basedOn w:val="Normal"/>
    <w:next w:val="Normal"/>
    <w:qFormat/>
    <w:pPr>
      <w:keepNext/>
      <w:ind w:left="720" w:right="-270"/>
      <w:outlineLvl w:val="2"/>
    </w:pPr>
    <w:rPr>
      <w:b/>
      <w:bCs/>
    </w:rPr>
  </w:style>
  <w:style w:type="paragraph" w:styleId="Heading5">
    <w:name w:val="heading 5"/>
    <w:basedOn w:val="Normal"/>
    <w:next w:val="Normal"/>
    <w:qFormat/>
    <w:rsid w:val="00EC04B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ind w:right="-270"/>
    </w:pPr>
  </w:style>
  <w:style w:type="paragraph" w:styleId="FootnoteText">
    <w:name w:val="footnote text"/>
    <w:basedOn w:val="Normal"/>
    <w:link w:val="FootnoteTextChar"/>
    <w:uiPriority w:val="99"/>
    <w:semiHidden/>
    <w:rsid w:val="00EC04B3"/>
    <w:rPr>
      <w:sz w:val="20"/>
      <w:szCs w:val="20"/>
    </w:rPr>
  </w:style>
  <w:style w:type="character" w:styleId="FootnoteReference">
    <w:name w:val="footnote reference"/>
    <w:basedOn w:val="DefaultParagraphFont"/>
    <w:semiHidden/>
    <w:rsid w:val="00EC04B3"/>
    <w:rPr>
      <w:vertAlign w:val="superscript"/>
    </w:rPr>
  </w:style>
  <w:style w:type="paragraph" w:styleId="BalloonText">
    <w:name w:val="Balloon Text"/>
    <w:basedOn w:val="Normal"/>
    <w:semiHidden/>
    <w:rsid w:val="00407D11"/>
    <w:rPr>
      <w:rFonts w:ascii="Tahoma" w:hAnsi="Tahoma" w:cs="Tahoma"/>
      <w:sz w:val="16"/>
      <w:szCs w:val="16"/>
    </w:rPr>
  </w:style>
  <w:style w:type="character" w:styleId="FollowedHyperlink">
    <w:name w:val="FollowedHyperlink"/>
    <w:basedOn w:val="DefaultParagraphFont"/>
    <w:rsid w:val="00107FD2"/>
    <w:rPr>
      <w:color w:val="800080"/>
      <w:u w:val="single"/>
    </w:rPr>
  </w:style>
  <w:style w:type="character" w:styleId="Strong">
    <w:name w:val="Strong"/>
    <w:basedOn w:val="DefaultParagraphFont"/>
    <w:uiPriority w:val="22"/>
    <w:qFormat/>
    <w:rsid w:val="00FA7A10"/>
    <w:rPr>
      <w:rFonts w:cs="Times New Roman"/>
      <w:b/>
    </w:rPr>
  </w:style>
  <w:style w:type="character" w:customStyle="1" w:styleId="FootnoteTextChar">
    <w:name w:val="Footnote Text Char"/>
    <w:basedOn w:val="DefaultParagraphFont"/>
    <w:link w:val="FootnoteText"/>
    <w:uiPriority w:val="99"/>
    <w:semiHidden/>
    <w:rsid w:val="00FA7A10"/>
  </w:style>
  <w:style w:type="paragraph" w:styleId="EndnoteText">
    <w:name w:val="endnote text"/>
    <w:basedOn w:val="Normal"/>
    <w:link w:val="EndnoteTextChar"/>
    <w:rsid w:val="001260C9"/>
    <w:rPr>
      <w:sz w:val="20"/>
      <w:szCs w:val="20"/>
    </w:rPr>
  </w:style>
  <w:style w:type="character" w:customStyle="1" w:styleId="EndnoteTextChar">
    <w:name w:val="Endnote Text Char"/>
    <w:basedOn w:val="DefaultParagraphFont"/>
    <w:link w:val="EndnoteText"/>
    <w:rsid w:val="001260C9"/>
  </w:style>
  <w:style w:type="character" w:styleId="EndnoteReference">
    <w:name w:val="endnote reference"/>
    <w:basedOn w:val="DefaultParagraphFont"/>
    <w:rsid w:val="001260C9"/>
    <w:rPr>
      <w:vertAlign w:val="superscript"/>
    </w:rPr>
  </w:style>
  <w:style w:type="paragraph" w:styleId="Header">
    <w:name w:val="header"/>
    <w:basedOn w:val="Normal"/>
    <w:link w:val="HeaderChar"/>
    <w:rsid w:val="0056798B"/>
    <w:pPr>
      <w:tabs>
        <w:tab w:val="center" w:pos="4680"/>
        <w:tab w:val="right" w:pos="9360"/>
      </w:tabs>
    </w:pPr>
  </w:style>
  <w:style w:type="character" w:customStyle="1" w:styleId="HeaderChar">
    <w:name w:val="Header Char"/>
    <w:basedOn w:val="DefaultParagraphFont"/>
    <w:link w:val="Header"/>
    <w:rsid w:val="0056798B"/>
    <w:rPr>
      <w:sz w:val="24"/>
      <w:szCs w:val="24"/>
    </w:rPr>
  </w:style>
  <w:style w:type="paragraph" w:styleId="Footer">
    <w:name w:val="footer"/>
    <w:basedOn w:val="Normal"/>
    <w:link w:val="FooterChar"/>
    <w:uiPriority w:val="99"/>
    <w:rsid w:val="0056798B"/>
    <w:pPr>
      <w:tabs>
        <w:tab w:val="center" w:pos="4680"/>
        <w:tab w:val="right" w:pos="9360"/>
      </w:tabs>
    </w:pPr>
  </w:style>
  <w:style w:type="character" w:customStyle="1" w:styleId="FooterChar">
    <w:name w:val="Footer Char"/>
    <w:basedOn w:val="DefaultParagraphFont"/>
    <w:link w:val="Footer"/>
    <w:uiPriority w:val="99"/>
    <w:rsid w:val="0056798B"/>
    <w:rPr>
      <w:sz w:val="24"/>
      <w:szCs w:val="24"/>
    </w:rPr>
  </w:style>
  <w:style w:type="paragraph" w:styleId="Title">
    <w:name w:val="Title"/>
    <w:basedOn w:val="Normal"/>
    <w:link w:val="TitleChar"/>
    <w:qFormat/>
    <w:rsid w:val="0056798B"/>
    <w:pPr>
      <w:spacing w:line="360" w:lineRule="auto"/>
      <w:jc w:val="center"/>
    </w:pPr>
    <w:rPr>
      <w:b/>
    </w:rPr>
  </w:style>
  <w:style w:type="character" w:customStyle="1" w:styleId="TitleChar">
    <w:name w:val="Title Char"/>
    <w:basedOn w:val="DefaultParagraphFont"/>
    <w:link w:val="Title"/>
    <w:rsid w:val="0056798B"/>
    <w:rPr>
      <w:b/>
      <w:sz w:val="24"/>
      <w:szCs w:val="24"/>
    </w:rPr>
  </w:style>
  <w:style w:type="character" w:styleId="CommentReference">
    <w:name w:val="annotation reference"/>
    <w:basedOn w:val="DefaultParagraphFont"/>
    <w:rsid w:val="00535FB0"/>
    <w:rPr>
      <w:sz w:val="16"/>
      <w:szCs w:val="16"/>
    </w:rPr>
  </w:style>
  <w:style w:type="paragraph" w:styleId="CommentText">
    <w:name w:val="annotation text"/>
    <w:basedOn w:val="Normal"/>
    <w:link w:val="CommentTextChar"/>
    <w:rsid w:val="00535FB0"/>
    <w:rPr>
      <w:sz w:val="20"/>
      <w:szCs w:val="20"/>
    </w:rPr>
  </w:style>
  <w:style w:type="character" w:customStyle="1" w:styleId="CommentTextChar">
    <w:name w:val="Comment Text Char"/>
    <w:basedOn w:val="DefaultParagraphFont"/>
    <w:link w:val="CommentText"/>
    <w:rsid w:val="00535FB0"/>
  </w:style>
  <w:style w:type="paragraph" w:styleId="CommentSubject">
    <w:name w:val="annotation subject"/>
    <w:basedOn w:val="CommentText"/>
    <w:next w:val="CommentText"/>
    <w:link w:val="CommentSubjectChar"/>
    <w:rsid w:val="00535FB0"/>
    <w:rPr>
      <w:b/>
      <w:bCs/>
    </w:rPr>
  </w:style>
  <w:style w:type="character" w:customStyle="1" w:styleId="CommentSubjectChar">
    <w:name w:val="Comment Subject Char"/>
    <w:basedOn w:val="CommentTextChar"/>
    <w:link w:val="CommentSubject"/>
    <w:rsid w:val="00535FB0"/>
    <w:rPr>
      <w:b/>
      <w:bCs/>
    </w:rPr>
  </w:style>
  <w:style w:type="paragraph" w:styleId="Revision">
    <w:name w:val="Revision"/>
    <w:hidden/>
    <w:uiPriority w:val="99"/>
    <w:semiHidden/>
    <w:rsid w:val="00535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18996">
      <w:bodyDiv w:val="1"/>
      <w:marLeft w:val="0"/>
      <w:marRight w:val="0"/>
      <w:marTop w:val="0"/>
      <w:marBottom w:val="0"/>
      <w:divBdr>
        <w:top w:val="none" w:sz="0" w:space="0" w:color="auto"/>
        <w:left w:val="none" w:sz="0" w:space="0" w:color="auto"/>
        <w:bottom w:val="none" w:sz="0" w:space="0" w:color="auto"/>
        <w:right w:val="none" w:sz="0" w:space="0" w:color="auto"/>
      </w:divBdr>
    </w:div>
    <w:div w:id="12287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a.gov/vafor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pdf/2014/DCB_h.pdf" TargetMode="External"/><Relationship Id="rId2" Type="http://schemas.openxmlformats.org/officeDocument/2006/relationships/hyperlink" Target="http://www.opm.gov/policy-data-oversight/pay-leave/salaries-wages/salary-tables/pdf/2014/RUS_h.pdf" TargetMode="External"/><Relationship Id="rId1" Type="http://schemas.openxmlformats.org/officeDocument/2006/relationships/hyperlink" Target="http://www.bls.gov/news.release/archives/ecec_03112015.pdf" TargetMode="External"/><Relationship Id="rId4" Type="http://schemas.openxmlformats.org/officeDocument/2006/relationships/hyperlink" Target="http://www.opm.gov/policy-data-oversight/pay-leave/salaries-wages/salary-tables/pdf/2014/ALJ_L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AEF0-9D44-43BE-84BB-D2750045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EC78671F</Template>
  <TotalTime>6</TotalTime>
  <Pages>5</Pages>
  <Words>1364</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Dept Veterans Affairs</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bvaccrawfor</dc:creator>
  <cp:lastModifiedBy>Simpson, Alexandra P</cp:lastModifiedBy>
  <cp:revision>4</cp:revision>
  <cp:lastPrinted>2015-04-29T18:17:00Z</cp:lastPrinted>
  <dcterms:created xsi:type="dcterms:W3CDTF">2016-02-02T18:02:00Z</dcterms:created>
  <dcterms:modified xsi:type="dcterms:W3CDTF">2016-02-02T18:07:00Z</dcterms:modified>
</cp:coreProperties>
</file>