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E4E49" w14:textId="77777777" w:rsidR="00D8790E" w:rsidRDefault="00427EF9" w:rsidP="00C62115">
      <w:pPr>
        <w:jc w:val="center"/>
        <w:rPr>
          <w:b/>
          <w:sz w:val="32"/>
          <w:szCs w:val="32"/>
        </w:rPr>
      </w:pPr>
      <w:bookmarkStart w:id="0" w:name="_GoBack"/>
      <w:bookmarkEnd w:id="0"/>
      <w:r w:rsidRPr="002340F1">
        <w:rPr>
          <w:b/>
          <w:sz w:val="32"/>
          <w:szCs w:val="32"/>
        </w:rPr>
        <w:t xml:space="preserve">Request for a Non-Substantive Change </w:t>
      </w:r>
    </w:p>
    <w:p w14:paraId="3D5DFDD1" w14:textId="77777777" w:rsidR="001162E5" w:rsidRDefault="00C914DE" w:rsidP="00C62115">
      <w:pPr>
        <w:jc w:val="center"/>
        <w:rPr>
          <w:b/>
          <w:sz w:val="32"/>
          <w:szCs w:val="32"/>
        </w:rPr>
      </w:pPr>
      <w:proofErr w:type="gramStart"/>
      <w:r>
        <w:rPr>
          <w:b/>
          <w:sz w:val="32"/>
          <w:szCs w:val="32"/>
        </w:rPr>
        <w:t>to</w:t>
      </w:r>
      <w:proofErr w:type="gramEnd"/>
      <w:r>
        <w:rPr>
          <w:b/>
          <w:sz w:val="32"/>
          <w:szCs w:val="32"/>
        </w:rPr>
        <w:t xml:space="preserve"> </w:t>
      </w:r>
      <w:r w:rsidR="00427EF9" w:rsidRPr="002340F1">
        <w:rPr>
          <w:b/>
          <w:sz w:val="32"/>
          <w:szCs w:val="32"/>
        </w:rPr>
        <w:t>an Existing Approved Information Collection</w:t>
      </w:r>
    </w:p>
    <w:p w14:paraId="31D5C48B" w14:textId="77777777" w:rsidR="00BE051B" w:rsidRDefault="00BE051B" w:rsidP="00BE051B">
      <w:pPr>
        <w:outlineLvl w:val="0"/>
        <w:rPr>
          <w:b/>
          <w:sz w:val="28"/>
          <w:szCs w:val="28"/>
        </w:rPr>
      </w:pPr>
      <w:bookmarkStart w:id="1" w:name="_Toc258935214"/>
      <w:r>
        <w:rPr>
          <w:b/>
          <w:sz w:val="28"/>
          <w:szCs w:val="28"/>
        </w:rPr>
        <w:t>I.  Introduction</w:t>
      </w:r>
    </w:p>
    <w:p w14:paraId="70E1E362" w14:textId="77777777" w:rsidR="00BE051B" w:rsidRDefault="00BE051B" w:rsidP="00BE051B">
      <w:pPr>
        <w:rPr>
          <w:i/>
        </w:rPr>
      </w:pPr>
    </w:p>
    <w:p w14:paraId="24DD0D1B" w14:textId="77777777" w:rsidR="00BE051B" w:rsidRDefault="00BE051B" w:rsidP="00BE051B">
      <w:pPr>
        <w:outlineLvl w:val="1"/>
        <w:rPr>
          <w:b/>
          <w:i/>
        </w:rPr>
      </w:pPr>
      <w:r>
        <w:rPr>
          <w:b/>
          <w:i/>
        </w:rPr>
        <w:t>Why is EPA Requesting a Non-Substantive Change?</w:t>
      </w:r>
    </w:p>
    <w:p w14:paraId="0E925BDF" w14:textId="36EC8DF5" w:rsidR="005B60B4" w:rsidRDefault="005B60B4" w:rsidP="00BE051B">
      <w:r>
        <w:t xml:space="preserve">EPA is requesting a non-substantive change in order to implement changes to the e-PMN electronic reporting tool and related </w:t>
      </w:r>
      <w:r w:rsidRPr="005B60B4">
        <w:t>instructions</w:t>
      </w:r>
      <w:r>
        <w:t xml:space="preserve">. </w:t>
      </w:r>
      <w:r w:rsidR="00A0781B">
        <w:t>The</w:t>
      </w:r>
      <w:r w:rsidR="00A0781B" w:rsidRPr="00F961F4">
        <w:t xml:space="preserve"> action is intended to further streamline and reduce the administrative costs and burdens of TSCA section 5 notifica</w:t>
      </w:r>
      <w:r w:rsidR="00A0781B">
        <w:t>tions for both industry and EPA.</w:t>
      </w:r>
      <w:r w:rsidR="00A0781B" w:rsidRPr="00A0781B">
        <w:t xml:space="preserve"> </w:t>
      </w:r>
      <w:r w:rsidR="00A0781B">
        <w:t>However, EPA is not modifying the information collection requirements or adjusting Agency paperwork burden estimates.</w:t>
      </w:r>
    </w:p>
    <w:p w14:paraId="3C02C918" w14:textId="77777777" w:rsidR="005B60B4" w:rsidRDefault="005B60B4" w:rsidP="00BE051B">
      <w:pPr>
        <w:rPr>
          <w:b/>
        </w:rPr>
      </w:pPr>
    </w:p>
    <w:p w14:paraId="7321C8C9" w14:textId="77777777" w:rsidR="005B60B4" w:rsidRDefault="005B60B4" w:rsidP="005B60B4">
      <w:pPr>
        <w:outlineLvl w:val="0"/>
        <w:rPr>
          <w:b/>
          <w:sz w:val="28"/>
          <w:szCs w:val="28"/>
        </w:rPr>
      </w:pPr>
      <w:r>
        <w:rPr>
          <w:b/>
          <w:sz w:val="28"/>
          <w:szCs w:val="28"/>
        </w:rPr>
        <w:t xml:space="preserve">II. </w:t>
      </w:r>
      <w:r w:rsidRPr="002340F1">
        <w:rPr>
          <w:b/>
          <w:sz w:val="28"/>
          <w:szCs w:val="28"/>
        </w:rPr>
        <w:t>Description of Non-</w:t>
      </w:r>
      <w:r>
        <w:rPr>
          <w:b/>
          <w:sz w:val="28"/>
          <w:szCs w:val="28"/>
        </w:rPr>
        <w:t>S</w:t>
      </w:r>
      <w:r w:rsidRPr="002340F1">
        <w:rPr>
          <w:b/>
          <w:sz w:val="28"/>
          <w:szCs w:val="28"/>
        </w:rPr>
        <w:t>ubstantive Changes</w:t>
      </w:r>
    </w:p>
    <w:p w14:paraId="7220B443" w14:textId="77777777" w:rsidR="005B60B4" w:rsidRDefault="005B60B4" w:rsidP="005B60B4">
      <w:pPr>
        <w:rPr>
          <w:i/>
        </w:rPr>
      </w:pPr>
    </w:p>
    <w:p w14:paraId="6BB0683F" w14:textId="77777777" w:rsidR="005B60B4" w:rsidRPr="00203D61" w:rsidRDefault="005B60B4" w:rsidP="005B60B4">
      <w:pPr>
        <w:outlineLvl w:val="1"/>
        <w:rPr>
          <w:b/>
          <w:i/>
        </w:rPr>
      </w:pPr>
      <w:r w:rsidRPr="00203D61">
        <w:rPr>
          <w:b/>
          <w:i/>
        </w:rPr>
        <w:t>What Information Collection Request (ICR) is EPA changing?</w:t>
      </w:r>
    </w:p>
    <w:p w14:paraId="699C271B" w14:textId="77777777" w:rsidR="005B60B4" w:rsidRDefault="005B60B4" w:rsidP="005B60B4">
      <w:pPr>
        <w:rPr>
          <w:b/>
        </w:rPr>
      </w:pPr>
    </w:p>
    <w:tbl>
      <w:tblPr>
        <w:tblW w:w="0" w:type="auto"/>
        <w:tblInd w:w="450" w:type="dxa"/>
        <w:tblLook w:val="01E0" w:firstRow="1" w:lastRow="1" w:firstColumn="1" w:lastColumn="1" w:noHBand="0" w:noVBand="0"/>
      </w:tblPr>
      <w:tblGrid>
        <w:gridCol w:w="1800"/>
        <w:gridCol w:w="7326"/>
      </w:tblGrid>
      <w:tr w:rsidR="005B60B4" w14:paraId="6B848A46" w14:textId="77777777" w:rsidTr="005B60B4">
        <w:trPr>
          <w:trHeight w:val="432"/>
        </w:trPr>
        <w:tc>
          <w:tcPr>
            <w:tcW w:w="1800" w:type="dxa"/>
            <w:vAlign w:val="center"/>
          </w:tcPr>
          <w:p w14:paraId="26951824" w14:textId="77777777" w:rsidR="005B60B4" w:rsidRDefault="005B60B4" w:rsidP="005B60B4">
            <w:r w:rsidRPr="000416B8">
              <w:rPr>
                <w:b/>
              </w:rPr>
              <w:t>ICR Title:</w:t>
            </w:r>
          </w:p>
        </w:tc>
        <w:tc>
          <w:tcPr>
            <w:tcW w:w="7326" w:type="dxa"/>
            <w:vAlign w:val="center"/>
          </w:tcPr>
          <w:p w14:paraId="40CBF50B" w14:textId="4C1061FF" w:rsidR="005B60B4" w:rsidRDefault="005B60B4" w:rsidP="005B60B4">
            <w:r>
              <w:rPr>
                <w:bCs/>
              </w:rPr>
              <w:t>TSCA Section 5(a)(2) Significant New Use Rules for Existing Chemicals</w:t>
            </w:r>
          </w:p>
        </w:tc>
      </w:tr>
      <w:tr w:rsidR="005B60B4" w14:paraId="4C5C6954" w14:textId="77777777" w:rsidTr="005B60B4">
        <w:trPr>
          <w:trHeight w:val="432"/>
        </w:trPr>
        <w:tc>
          <w:tcPr>
            <w:tcW w:w="1800" w:type="dxa"/>
            <w:vAlign w:val="center"/>
          </w:tcPr>
          <w:p w14:paraId="56B9931E" w14:textId="77777777" w:rsidR="005B60B4" w:rsidRDefault="005B60B4" w:rsidP="005B60B4">
            <w:r w:rsidRPr="000416B8">
              <w:rPr>
                <w:b/>
              </w:rPr>
              <w:t>ICR Numbers:</w:t>
            </w:r>
          </w:p>
        </w:tc>
        <w:tc>
          <w:tcPr>
            <w:tcW w:w="7326" w:type="dxa"/>
            <w:vAlign w:val="center"/>
          </w:tcPr>
          <w:p w14:paraId="284DD11F" w14:textId="3234F6DC" w:rsidR="005B60B4" w:rsidRDefault="005B60B4" w:rsidP="005B60B4">
            <w:r w:rsidRPr="009D187B">
              <w:rPr>
                <w:lang w:val="es-DO"/>
              </w:rPr>
              <w:t xml:space="preserve">EPA ICR No. </w:t>
            </w:r>
            <w:r>
              <w:rPr>
                <w:lang w:val="es-DO"/>
              </w:rPr>
              <w:t>1188.12</w:t>
            </w:r>
            <w:r w:rsidRPr="009D187B">
              <w:rPr>
                <w:lang w:val="es-DO"/>
              </w:rPr>
              <w:t xml:space="preserve">; </w:t>
            </w:r>
            <w:hyperlink r:id="rId8" w:history="1">
              <w:r w:rsidRPr="009D187B">
                <w:rPr>
                  <w:rStyle w:val="Hyperlink"/>
                  <w:color w:val="auto"/>
                  <w:u w:val="none"/>
                  <w:lang w:val="es-DO"/>
                </w:rPr>
                <w:t>OMB Control No. 2070-</w:t>
              </w:r>
            </w:hyperlink>
            <w:r w:rsidRPr="009D187B">
              <w:rPr>
                <w:lang w:val="es-DO"/>
              </w:rPr>
              <w:t>00</w:t>
            </w:r>
            <w:r>
              <w:rPr>
                <w:lang w:val="es-DO"/>
              </w:rPr>
              <w:t>38</w:t>
            </w:r>
            <w:r w:rsidR="00FA5DFE">
              <w:rPr>
                <w:rStyle w:val="FootnoteReference"/>
                <w:lang w:val="es-DO"/>
              </w:rPr>
              <w:footnoteReference w:id="1"/>
            </w:r>
          </w:p>
        </w:tc>
      </w:tr>
    </w:tbl>
    <w:p w14:paraId="104197E8" w14:textId="77777777" w:rsidR="005B60B4" w:rsidRDefault="005B60B4" w:rsidP="005B60B4"/>
    <w:p w14:paraId="3F6D5155" w14:textId="77777777" w:rsidR="005B60B4" w:rsidRPr="00203D61" w:rsidRDefault="005B60B4" w:rsidP="005B60B4">
      <w:pPr>
        <w:outlineLvl w:val="1"/>
        <w:rPr>
          <w:b/>
          <w:i/>
        </w:rPr>
      </w:pPr>
      <w:r w:rsidRPr="00203D61">
        <w:rPr>
          <w:b/>
          <w:i/>
        </w:rPr>
        <w:t>What is the current status of this ICR?</w:t>
      </w:r>
    </w:p>
    <w:p w14:paraId="5FD6109B" w14:textId="23A74F4B" w:rsidR="005B60B4" w:rsidRDefault="005B60B4" w:rsidP="005B60B4">
      <w:r w:rsidRPr="0009025C">
        <w:t>This ICR is currently approved</w:t>
      </w:r>
      <w:r>
        <w:t xml:space="preserve"> through </w:t>
      </w:r>
      <w:r w:rsidR="00FA5DFE">
        <w:t>July 31</w:t>
      </w:r>
      <w:r>
        <w:t>, 201</w:t>
      </w:r>
      <w:r w:rsidR="00FA5DFE">
        <w:t>6</w:t>
      </w:r>
      <w:r>
        <w:t>.</w:t>
      </w:r>
    </w:p>
    <w:p w14:paraId="3247E546" w14:textId="77777777" w:rsidR="005B60B4" w:rsidRDefault="005B60B4" w:rsidP="005B60B4">
      <w:pPr>
        <w:outlineLvl w:val="0"/>
        <w:rPr>
          <w:b/>
          <w:sz w:val="28"/>
          <w:szCs w:val="28"/>
        </w:rPr>
      </w:pPr>
    </w:p>
    <w:p w14:paraId="0B33758A" w14:textId="77777777" w:rsidR="005B60B4" w:rsidRPr="00203D61" w:rsidRDefault="005B60B4" w:rsidP="005B60B4">
      <w:pPr>
        <w:outlineLvl w:val="1"/>
        <w:rPr>
          <w:b/>
        </w:rPr>
      </w:pPr>
      <w:r w:rsidRPr="00203D61">
        <w:rPr>
          <w:b/>
          <w:i/>
        </w:rPr>
        <w:t>What are the changes that EPA is making to this collection of information?</w:t>
      </w:r>
    </w:p>
    <w:p w14:paraId="153F0778" w14:textId="1683AC8F" w:rsidR="002858F9" w:rsidRDefault="00062299" w:rsidP="005B60B4">
      <w:pPr>
        <w:rPr>
          <w:rFonts w:ascii="TimesNewRoman" w:hAnsi="TimesNewRoman" w:cs="TimesNewRoman"/>
        </w:rPr>
      </w:pPr>
      <w:r>
        <w:t xml:space="preserve">Respondents who must submit a significant new use notice to EPA, in compliance with a </w:t>
      </w:r>
      <w:r w:rsidR="006F48F1">
        <w:t xml:space="preserve">Significant New Use Rule, are already required to sign and submit them electronically. </w:t>
      </w:r>
      <w:r w:rsidR="006F48F1">
        <w:rPr>
          <w:rFonts w:ascii="TimesNewRoman" w:hAnsi="TimesNewRoman" w:cs="TimesNewRoman"/>
        </w:rPr>
        <w:t>T</w:t>
      </w:r>
      <w:r w:rsidR="006F48F1" w:rsidRPr="00AB409E">
        <w:rPr>
          <w:rFonts w:ascii="TimesNewRoman" w:hAnsi="TimesNewRoman" w:cs="TimesNewRoman"/>
        </w:rPr>
        <w:t xml:space="preserve">he </w:t>
      </w:r>
      <w:r w:rsidR="006F48F1">
        <w:rPr>
          <w:rFonts w:ascii="TimesNewRoman" w:hAnsi="TimesNewRoman" w:cs="TimesNewRoman"/>
        </w:rPr>
        <w:t>January 2010 e-PMN final rule</w:t>
      </w:r>
      <w:r w:rsidR="006F48F1">
        <w:rPr>
          <w:rStyle w:val="FootnoteReference"/>
          <w:rFonts w:ascii="TimesNewRoman" w:hAnsi="TimesNewRoman" w:cs="TimesNewRoman"/>
        </w:rPr>
        <w:footnoteReference w:id="2"/>
      </w:r>
      <w:r w:rsidR="006F48F1">
        <w:rPr>
          <w:rFonts w:ascii="TimesNewRoman" w:hAnsi="TimesNewRoman" w:cs="TimesNewRoman"/>
        </w:rPr>
        <w:t xml:space="preserve"> </w:t>
      </w:r>
      <w:r w:rsidR="00FE3827">
        <w:rPr>
          <w:rFonts w:ascii="TimesNewRoman" w:hAnsi="TimesNewRoman" w:cs="TimesNewRoman"/>
        </w:rPr>
        <w:t xml:space="preserve">directs respondents </w:t>
      </w:r>
      <w:r w:rsidR="002858F9">
        <w:rPr>
          <w:rFonts w:ascii="TimesNewRoman" w:hAnsi="TimesNewRoman" w:cs="TimesNewRoman"/>
        </w:rPr>
        <w:t xml:space="preserve">prepare their </w:t>
      </w:r>
      <w:r w:rsidR="004C5D0B">
        <w:t>Significant New Use Notice (</w:t>
      </w:r>
      <w:r w:rsidR="002858F9">
        <w:rPr>
          <w:rFonts w:ascii="TimesNewRoman" w:hAnsi="TimesNewRoman" w:cs="TimesNewRoman"/>
        </w:rPr>
        <w:t>SNUN</w:t>
      </w:r>
      <w:r w:rsidR="004C5D0B">
        <w:rPr>
          <w:rFonts w:ascii="TimesNewRoman" w:hAnsi="TimesNewRoman" w:cs="TimesNewRoman"/>
        </w:rPr>
        <w:t>)</w:t>
      </w:r>
      <w:r w:rsidR="002858F9">
        <w:rPr>
          <w:rFonts w:ascii="TimesNewRoman" w:hAnsi="TimesNewRoman" w:cs="TimesNewRoman"/>
        </w:rPr>
        <w:t xml:space="preserve"> filings using </w:t>
      </w:r>
      <w:r w:rsidR="004C5D0B">
        <w:rPr>
          <w:rFonts w:ascii="TimesNewRoman" w:hAnsi="TimesNewRoman" w:cs="TimesNewRoman"/>
        </w:rPr>
        <w:t xml:space="preserve">a thick </w:t>
      </w:r>
      <w:r w:rsidR="002858F9">
        <w:rPr>
          <w:rFonts w:ascii="TimesNewRoman" w:hAnsi="TimesNewRoman" w:cs="TimesNewRoman"/>
        </w:rPr>
        <w:t xml:space="preserve">client version of the </w:t>
      </w:r>
      <w:r w:rsidR="00FE3827">
        <w:rPr>
          <w:rFonts w:ascii="TimesNewRoman" w:hAnsi="TimesNewRoman" w:cs="TimesNewRoman"/>
        </w:rPr>
        <w:t>e-PMN software</w:t>
      </w:r>
      <w:r w:rsidR="002858F9">
        <w:rPr>
          <w:rFonts w:ascii="TimesNewRoman" w:hAnsi="TimesNewRoman" w:cs="TimesNewRoman"/>
        </w:rPr>
        <w:t xml:space="preserve"> (i.e., the software is installed on their</w:t>
      </w:r>
      <w:r w:rsidR="00FE3827">
        <w:rPr>
          <w:rFonts w:ascii="TimesNewRoman" w:hAnsi="TimesNewRoman" w:cs="TimesNewRoman"/>
        </w:rPr>
        <w:t xml:space="preserve"> </w:t>
      </w:r>
      <w:r w:rsidR="002858F9">
        <w:rPr>
          <w:rFonts w:ascii="TimesNewRoman" w:hAnsi="TimesNewRoman" w:cs="TimesNewRoman"/>
        </w:rPr>
        <w:t xml:space="preserve">computers) before submitting them to EPA electronically through EPA’s Central Data Exchange (CDX). </w:t>
      </w:r>
      <w:r w:rsidR="002858F9" w:rsidRPr="00AB409E">
        <w:rPr>
          <w:rFonts w:ascii="TimesNewRoman" w:hAnsi="TimesNewRoman" w:cs="TimesNewRoman"/>
        </w:rPr>
        <w:t xml:space="preserve">Following promulgation of that rule, EPA announced </w:t>
      </w:r>
      <w:r w:rsidR="002858F9">
        <w:rPr>
          <w:rFonts w:ascii="TimesNewRoman" w:hAnsi="TimesNewRoman" w:cs="TimesNewRoman"/>
        </w:rPr>
        <w:t xml:space="preserve">online, </w:t>
      </w:r>
      <w:r w:rsidR="002858F9" w:rsidRPr="00AB409E">
        <w:rPr>
          <w:rFonts w:ascii="TimesNewRoman" w:hAnsi="TimesNewRoman" w:cs="TimesNewRoman"/>
        </w:rPr>
        <w:t xml:space="preserve">web-based </w:t>
      </w:r>
      <w:r w:rsidR="002858F9">
        <w:rPr>
          <w:rFonts w:ascii="TimesNewRoman" w:hAnsi="TimesNewRoman" w:cs="TimesNewRoman"/>
        </w:rPr>
        <w:t>(thin</w:t>
      </w:r>
      <w:r w:rsidR="004C5D0B">
        <w:rPr>
          <w:rFonts w:ascii="TimesNewRoman" w:hAnsi="TimesNewRoman" w:cs="TimesNewRoman"/>
        </w:rPr>
        <w:t xml:space="preserve"> </w:t>
      </w:r>
      <w:r w:rsidR="002858F9">
        <w:rPr>
          <w:rFonts w:ascii="TimesNewRoman" w:hAnsi="TimesNewRoman" w:cs="TimesNewRoman"/>
        </w:rPr>
        <w:t xml:space="preserve">client) </w:t>
      </w:r>
      <w:r w:rsidR="002858F9" w:rsidRPr="00AB409E">
        <w:rPr>
          <w:rFonts w:ascii="TimesNewRoman" w:hAnsi="TimesNewRoman" w:cs="TimesNewRoman"/>
        </w:rPr>
        <w:t>electronic reporting workflows for TSCA Chemical Data Reporting, TSCA section 4 test data submissions, TSCA section 8(a) preliminary assessment information rules, TSCA section 8(d) health and safety data reporting rules, and mandatory notifications of substantial risk under TSCA section 8(e) along with related, voluntary “For Your Information” submissions.</w:t>
      </w:r>
    </w:p>
    <w:p w14:paraId="74F8BDA3" w14:textId="77777777" w:rsidR="002858F9" w:rsidRDefault="002858F9" w:rsidP="005B60B4">
      <w:pPr>
        <w:rPr>
          <w:rFonts w:ascii="TimesNewRoman" w:hAnsi="TimesNewRoman" w:cs="TimesNewRoman"/>
        </w:rPr>
      </w:pPr>
    </w:p>
    <w:p w14:paraId="7452D8E0" w14:textId="287B5E30" w:rsidR="007A5B48" w:rsidRDefault="00062299" w:rsidP="007A5B48">
      <w:r w:rsidRPr="00F961F4">
        <w:t xml:space="preserve">EPA </w:t>
      </w:r>
      <w:r w:rsidR="002858F9">
        <w:t xml:space="preserve">is implementing </w:t>
      </w:r>
      <w:r w:rsidR="004C5D0B">
        <w:t xml:space="preserve">a thin </w:t>
      </w:r>
      <w:r w:rsidR="002858F9">
        <w:t xml:space="preserve">client version of the e-PMN software and will require its use by respondents instead of the </w:t>
      </w:r>
      <w:r w:rsidR="003A65C5">
        <w:t xml:space="preserve">thick-client version. </w:t>
      </w:r>
      <w:r w:rsidR="004C5D0B">
        <w:t>T</w:t>
      </w:r>
      <w:r w:rsidR="004C5D0B" w:rsidRPr="004C5D0B">
        <w:t xml:space="preserve">he </w:t>
      </w:r>
      <w:r w:rsidR="004C5D0B">
        <w:t xml:space="preserve">thin client </w:t>
      </w:r>
      <w:r w:rsidR="004C5D0B" w:rsidRPr="004C5D0B">
        <w:t xml:space="preserve">e-PMN </w:t>
      </w:r>
      <w:r w:rsidR="004C5D0B">
        <w:t xml:space="preserve">software will reside as a </w:t>
      </w:r>
      <w:r w:rsidR="004C5D0B" w:rsidRPr="004C5D0B">
        <w:t xml:space="preserve">module within Chemical Information Submission System (CISS) </w:t>
      </w:r>
      <w:r w:rsidR="004C5D0B">
        <w:t xml:space="preserve">in CDX. </w:t>
      </w:r>
      <w:r w:rsidR="00A0781B">
        <w:t xml:space="preserve">The thin client version of the e-PMN software will eliminate certain firewall and file submission size limitations, as well as reduce the potential for invalid submissions through built-in validation procedures. In addition, </w:t>
      </w:r>
      <w:r w:rsidR="007A5B48" w:rsidRPr="00D45EA9">
        <w:t>EPA</w:t>
      </w:r>
      <w:r w:rsidR="007A5B48">
        <w:t xml:space="preserve"> is offering </w:t>
      </w:r>
      <w:r w:rsidR="007A5B48" w:rsidRPr="00D45EA9">
        <w:t xml:space="preserve">an XML schema to submitters who choose to work on their submissions offline rather than online, which allows them to later upload their information to the </w:t>
      </w:r>
      <w:r w:rsidR="007A5B48">
        <w:t>t</w:t>
      </w:r>
      <w:r w:rsidR="007A5B48" w:rsidRPr="00D45EA9">
        <w:t xml:space="preserve">hin </w:t>
      </w:r>
      <w:r w:rsidR="007A5B48">
        <w:t>c</w:t>
      </w:r>
      <w:r w:rsidR="007A5B48" w:rsidRPr="00D45EA9">
        <w:t xml:space="preserve">lient </w:t>
      </w:r>
      <w:r w:rsidR="007A5B48">
        <w:t>v</w:t>
      </w:r>
      <w:r w:rsidR="007A5B48" w:rsidRPr="00D45EA9">
        <w:t xml:space="preserve">ersion of the e-PMN software for submission using CDX. </w:t>
      </w:r>
    </w:p>
    <w:p w14:paraId="381F60D5" w14:textId="77777777" w:rsidR="00C860CB" w:rsidRDefault="00C860CB" w:rsidP="007A5B48"/>
    <w:p w14:paraId="6F71B1A1" w14:textId="3CB471A7" w:rsidR="00A0781B" w:rsidRDefault="004C5D0B" w:rsidP="005B60B4">
      <w:r w:rsidRPr="004C5D0B">
        <w:t xml:space="preserve">EPA expects that most TSCA section 5 submitters are already registered in CDX. Those users do not need to re-register with CDX, nor will they need to re-verify their identities. In order to use the Thin </w:t>
      </w:r>
      <w:r w:rsidRPr="004C5D0B">
        <w:lastRenderedPageBreak/>
        <w:t xml:space="preserve">Client Version of the e-PMN software required under this direct final rule, users who have previously registered with CDX under the TSCA workflow to submit TSCA section 5 submissions, or other CDX workflows will only need to add the “Submission for Chemical Safety and Pesticide Program (CSPP)” CDX workflow to their user profiles. </w:t>
      </w:r>
      <w:r>
        <w:t xml:space="preserve">New </w:t>
      </w:r>
      <w:r w:rsidRPr="004C5D0B">
        <w:t xml:space="preserve">TSCA section 5 </w:t>
      </w:r>
      <w:r>
        <w:t>file</w:t>
      </w:r>
      <w:r w:rsidRPr="004C5D0B">
        <w:t xml:space="preserve">rs </w:t>
      </w:r>
      <w:r>
        <w:t xml:space="preserve">would also </w:t>
      </w:r>
      <w:r w:rsidRPr="004C5D0B">
        <w:t xml:space="preserve">be able to take advantage of a more streamlined CDX registration process that </w:t>
      </w:r>
      <w:r w:rsidR="00A0781B">
        <w:t xml:space="preserve">also allows many respondents to use an online LexisNexis identity-proofing tool instead of submitting </w:t>
      </w:r>
      <w:r w:rsidRPr="004C5D0B">
        <w:t>does not involve the submission of signed forms to EPA</w:t>
      </w:r>
      <w:r w:rsidR="00A0781B">
        <w:t xml:space="preserve">. </w:t>
      </w:r>
    </w:p>
    <w:p w14:paraId="7A324703" w14:textId="77777777" w:rsidR="00A0781B" w:rsidRDefault="00A0781B" w:rsidP="005B60B4"/>
    <w:p w14:paraId="688402E3" w14:textId="2C0ECE6A" w:rsidR="00062299" w:rsidRDefault="004C5D0B" w:rsidP="005B60B4">
      <w:r w:rsidRPr="00AF6489">
        <w:rPr>
          <w:rFonts w:ascii="TimesNewRoman" w:hAnsi="TimesNewRoman" w:cs="TimesNewRoman"/>
        </w:rPr>
        <w:t xml:space="preserve">EPA has prepared a comprehensive user guide for CISS users </w:t>
      </w:r>
      <w:r w:rsidRPr="008B6224">
        <w:rPr>
          <w:rFonts w:ascii="TimesNewRoman" w:hAnsi="TimesNewRoman" w:cs="TimesNewRoman"/>
        </w:rPr>
        <w:t>(Attachment 2)</w:t>
      </w:r>
      <w:r>
        <w:rPr>
          <w:rFonts w:ascii="TimesNewRoman" w:hAnsi="TimesNewRoman" w:cs="TimesNewRoman"/>
        </w:rPr>
        <w:t xml:space="preserve"> </w:t>
      </w:r>
      <w:r w:rsidRPr="00AF6489">
        <w:rPr>
          <w:rFonts w:ascii="TimesNewRoman" w:hAnsi="TimesNewRoman" w:cs="TimesNewRoman"/>
        </w:rPr>
        <w:t xml:space="preserve">that addresses CDX registration and electronic signatures, general submission preparation and completion, and submission status tracking notifications. This user guide </w:t>
      </w:r>
      <w:r>
        <w:rPr>
          <w:rFonts w:ascii="TimesNewRoman" w:hAnsi="TimesNewRoman" w:cs="TimesNewRoman"/>
        </w:rPr>
        <w:t>will</w:t>
      </w:r>
      <w:r w:rsidRPr="00AF6489">
        <w:rPr>
          <w:rFonts w:ascii="TimesNewRoman" w:hAnsi="TimesNewRoman" w:cs="TimesNewRoman"/>
        </w:rPr>
        <w:t xml:space="preserve"> available at </w:t>
      </w:r>
      <w:hyperlink r:id="rId9" w:history="1">
        <w:r w:rsidRPr="00AF6489">
          <w:rPr>
            <w:rStyle w:val="Hyperlink"/>
            <w:rFonts w:ascii="TimesNewRoman" w:hAnsi="TimesNewRoman" w:cs="TimesNewRoman"/>
            <w:i/>
          </w:rPr>
          <w:t>http://www.epa.gov/oppt/chemtest/ereporting</w:t>
        </w:r>
      </w:hyperlink>
      <w:r w:rsidRPr="00AF6489">
        <w:rPr>
          <w:rFonts w:ascii="TimesNewRoman" w:hAnsi="TimesNewRoman" w:cs="TimesNewRoman"/>
        </w:rPr>
        <w:t>. EPA has also prepared separate</w:t>
      </w:r>
      <w:r>
        <w:rPr>
          <w:rFonts w:ascii="TimesNewRoman" w:hAnsi="TimesNewRoman" w:cs="TimesNewRoman"/>
        </w:rPr>
        <w:t>, role-specific</w:t>
      </w:r>
      <w:r w:rsidRPr="00AF6489">
        <w:rPr>
          <w:rFonts w:ascii="TimesNewRoman" w:hAnsi="TimesNewRoman" w:cs="TimesNewRoman"/>
        </w:rPr>
        <w:t xml:space="preserve"> user guide</w:t>
      </w:r>
      <w:r>
        <w:rPr>
          <w:rFonts w:ascii="TimesNewRoman" w:hAnsi="TimesNewRoman" w:cs="TimesNewRoman"/>
        </w:rPr>
        <w:t>s</w:t>
      </w:r>
      <w:r w:rsidRPr="00AF6489">
        <w:rPr>
          <w:rFonts w:ascii="TimesNewRoman" w:hAnsi="TimesNewRoman" w:cs="TimesNewRoman"/>
        </w:rPr>
        <w:t xml:space="preserve"> for the e-PMN software module in CISS (i.e., the Thin Client Version) </w:t>
      </w:r>
      <w:r w:rsidRPr="008B6224">
        <w:rPr>
          <w:rFonts w:ascii="TimesNewRoman" w:hAnsi="TimesNewRoman" w:cs="TimesNewRoman"/>
        </w:rPr>
        <w:t>(Attachments 3-8)</w:t>
      </w:r>
      <w:r w:rsidRPr="00AF6489">
        <w:rPr>
          <w:rFonts w:ascii="TimesNewRoman" w:hAnsi="TimesNewRoman" w:cs="TimesNewRoman"/>
        </w:rPr>
        <w:t xml:space="preserve">, which </w:t>
      </w:r>
      <w:r>
        <w:rPr>
          <w:rFonts w:ascii="TimesNewRoman" w:hAnsi="TimesNewRoman" w:cs="TimesNewRoman"/>
        </w:rPr>
        <w:t>will be</w:t>
      </w:r>
      <w:r w:rsidRPr="00AF6489">
        <w:rPr>
          <w:rFonts w:ascii="TimesNewRoman" w:hAnsi="TimesNewRoman" w:cs="TimesNewRoman"/>
        </w:rPr>
        <w:t xml:space="preserve"> available at </w:t>
      </w:r>
      <w:hyperlink r:id="rId10" w:history="1">
        <w:r w:rsidRPr="00AF6489">
          <w:rPr>
            <w:rStyle w:val="Hyperlink"/>
            <w:rFonts w:ascii="TimesNewRoman" w:hAnsi="TimesNewRoman" w:cs="TimesNewRoman"/>
            <w:i/>
          </w:rPr>
          <w:t>http://epa.gov/oppt/newchems/epmn/epmn-index.htm</w:t>
        </w:r>
      </w:hyperlink>
      <w:r w:rsidRPr="00AF6489">
        <w:rPr>
          <w:rFonts w:ascii="TimesNewRoman" w:hAnsi="TimesNewRoman" w:cs="TimesNewRoman"/>
        </w:rPr>
        <w:t>.</w:t>
      </w:r>
      <w:r>
        <w:rPr>
          <w:rFonts w:ascii="TimesNewRoman" w:hAnsi="TimesNewRoman" w:cs="TimesNewRoman"/>
        </w:rPr>
        <w:t xml:space="preserve"> </w:t>
      </w:r>
    </w:p>
    <w:p w14:paraId="743E0DFA" w14:textId="77777777" w:rsidR="00062299" w:rsidRDefault="00062299" w:rsidP="005B60B4"/>
    <w:p w14:paraId="7C65A786" w14:textId="77777777" w:rsidR="00FA5DFE" w:rsidRPr="00FA5DFE" w:rsidRDefault="00FA5DFE" w:rsidP="00FA5DFE">
      <w:pPr>
        <w:rPr>
          <w:b/>
          <w:i/>
        </w:rPr>
      </w:pPr>
      <w:r w:rsidRPr="00FA5DFE">
        <w:rPr>
          <w:b/>
          <w:i/>
        </w:rPr>
        <w:t>Does this change require a rulemaking?</w:t>
      </w:r>
    </w:p>
    <w:p w14:paraId="62D8BA1C" w14:textId="5BEF3822" w:rsidR="00FA5DFE" w:rsidRDefault="00FA5DFE" w:rsidP="00FA5DFE">
      <w:r>
        <w:t>Yes. T</w:t>
      </w:r>
      <w:r w:rsidRPr="00F961F4">
        <w:t xml:space="preserve">he </w:t>
      </w:r>
      <w:r>
        <w:t xml:space="preserve">existing </w:t>
      </w:r>
      <w:r w:rsidRPr="00F961F4">
        <w:t xml:space="preserve">TSCA </w:t>
      </w:r>
      <w:r>
        <w:t>section 5</w:t>
      </w:r>
      <w:r w:rsidRPr="00F961F4">
        <w:t xml:space="preserve"> electronic reporting regulations at 40 CFR Parts </w:t>
      </w:r>
      <w:r>
        <w:t>720</w:t>
      </w:r>
      <w:r>
        <w:rPr>
          <w:rStyle w:val="FootnoteReference"/>
        </w:rPr>
        <w:footnoteReference w:id="3"/>
      </w:r>
      <w:r>
        <w:t>, 721</w:t>
      </w:r>
      <w:r>
        <w:rPr>
          <w:rStyle w:val="FootnoteReference"/>
        </w:rPr>
        <w:footnoteReference w:id="4"/>
      </w:r>
      <w:r>
        <w:t>, 723</w:t>
      </w:r>
      <w:r>
        <w:rPr>
          <w:rStyle w:val="FootnoteReference"/>
        </w:rPr>
        <w:footnoteReference w:id="5"/>
      </w:r>
      <w:r>
        <w:t xml:space="preserve"> and 725</w:t>
      </w:r>
      <w:r>
        <w:rPr>
          <w:rStyle w:val="FootnoteReference"/>
        </w:rPr>
        <w:footnoteReference w:id="6"/>
      </w:r>
      <w:r>
        <w:t xml:space="preserve"> </w:t>
      </w:r>
      <w:r w:rsidRPr="00F961F4">
        <w:t xml:space="preserve">establish standards and requirements for use of EPA’s Central Data Exchange (CDX) to electronically submit </w:t>
      </w:r>
      <w:r>
        <w:t>SNUNs</w:t>
      </w:r>
      <w:r w:rsidRPr="00F961F4">
        <w:t>, other TSCA section 5 notices, and suppo</w:t>
      </w:r>
      <w:r>
        <w:t>rt documents to the Agency</w:t>
      </w:r>
      <w:r w:rsidR="007E7675">
        <w:t xml:space="preserve">, </w:t>
      </w:r>
      <w:r w:rsidR="00B7294A">
        <w:t>and requires users to obtain the thick client version of the software</w:t>
      </w:r>
      <w:r w:rsidR="007E7675">
        <w:t xml:space="preserve"> </w:t>
      </w:r>
      <w:r>
        <w:t xml:space="preserve">. EPA is issuing a direct final rule to amend the premanufacture notification regulations to mandate </w:t>
      </w:r>
      <w:r w:rsidRPr="00F961F4">
        <w:t xml:space="preserve">the use of </w:t>
      </w:r>
      <w:r w:rsidR="00CD76C9">
        <w:t>the thin-client</w:t>
      </w:r>
      <w:r w:rsidRPr="00F961F4">
        <w:t xml:space="preserve"> version of the e-PMN reporting software</w:t>
      </w:r>
      <w:r w:rsidR="00CD76C9">
        <w:t xml:space="preserve"> instead of the thick-client version</w:t>
      </w:r>
      <w:r>
        <w:t>.</w:t>
      </w:r>
    </w:p>
    <w:p w14:paraId="2F68BCE2" w14:textId="77777777" w:rsidR="00FA5DFE" w:rsidRDefault="00FA5DFE" w:rsidP="00FA5DFE"/>
    <w:p w14:paraId="350B125E" w14:textId="0C4AFCDC" w:rsidR="005B60B4" w:rsidRPr="00203D61" w:rsidRDefault="005B60B4" w:rsidP="005B60B4">
      <w:pPr>
        <w:rPr>
          <w:b/>
          <w:i/>
        </w:rPr>
      </w:pPr>
      <w:r w:rsidRPr="00203D61">
        <w:rPr>
          <w:b/>
          <w:i/>
        </w:rPr>
        <w:t xml:space="preserve">Did EPA consult with stakeholders about this </w:t>
      </w:r>
      <w:r w:rsidR="004C5D0B">
        <w:rPr>
          <w:b/>
          <w:i/>
        </w:rPr>
        <w:t xml:space="preserve">electronic reporting </w:t>
      </w:r>
      <w:r>
        <w:rPr>
          <w:b/>
          <w:i/>
        </w:rPr>
        <w:t>approach</w:t>
      </w:r>
      <w:r w:rsidRPr="00203D61">
        <w:rPr>
          <w:b/>
          <w:i/>
        </w:rPr>
        <w:t>?</w:t>
      </w:r>
    </w:p>
    <w:p w14:paraId="4D9D31CB" w14:textId="77777777" w:rsidR="00CD76C9" w:rsidRDefault="00CD76C9" w:rsidP="00CD76C9">
      <w:pPr>
        <w:widowControl w:val="0"/>
        <w:tabs>
          <w:tab w:val="left" w:pos="-360"/>
        </w:tabs>
      </w:pPr>
      <w:r>
        <w:t xml:space="preserve">Yes. </w:t>
      </w:r>
      <w:r>
        <w:rPr>
          <w:color w:val="000000"/>
        </w:rPr>
        <w:t>The EPA conducted several webinars for industry to explain the new e-PMN software. The agency also gave a presentation on the new software on February 25, 2013 at the Global Chemicals Conference in Baltimore, MD. C</w:t>
      </w:r>
      <w:r>
        <w:t>omments received in response to the webinars and public presentation strongly supported the agency’s effort to move to the Thin Client Version of the e-PMN software.</w:t>
      </w:r>
    </w:p>
    <w:p w14:paraId="228C1E33" w14:textId="77777777" w:rsidR="00CD76C9" w:rsidRDefault="00CD76C9" w:rsidP="00CD76C9">
      <w:pPr>
        <w:widowControl w:val="0"/>
        <w:tabs>
          <w:tab w:val="left" w:pos="-360"/>
        </w:tabs>
      </w:pPr>
    </w:p>
    <w:p w14:paraId="04CC684F" w14:textId="746F621E" w:rsidR="005B60B4" w:rsidRDefault="00CD76C9" w:rsidP="00CD76C9">
      <w:r>
        <w:t>In addition, the EPA has established a 180-day time frame between the publication date and effective date of this direct final rule to allow companies time to prepare to submit TSCA section notices to the agency through CDX using the e-PMN module in CISS. During this time, the EPA will offer testing and training opportunities for the electronic reporting tool and schedule webinars for stakeholders to further gain experience with its use. The EPA also plans to hold further training and outreach sessions at which industry representatives and others who will submit materials under TSCA may express remaining questions and concerns regarding operation of the reporting tool.</w:t>
      </w:r>
    </w:p>
    <w:p w14:paraId="30CA4F1B" w14:textId="77777777" w:rsidR="005B60B4" w:rsidRDefault="005B60B4" w:rsidP="005B60B4"/>
    <w:p w14:paraId="5C497F52" w14:textId="77777777" w:rsidR="005B60B4" w:rsidRPr="00203D61" w:rsidRDefault="005B60B4" w:rsidP="005B60B4">
      <w:pPr>
        <w:rPr>
          <w:b/>
          <w:i/>
        </w:rPr>
      </w:pPr>
      <w:r w:rsidRPr="00203D61">
        <w:rPr>
          <w:b/>
          <w:i/>
        </w:rPr>
        <w:t xml:space="preserve">Will this change impact the annual ICR burden estimate? </w:t>
      </w:r>
    </w:p>
    <w:p w14:paraId="390F61C6" w14:textId="77777777" w:rsidR="00C860CB" w:rsidRDefault="005B60B4" w:rsidP="007A5B48">
      <w:pPr>
        <w:sectPr w:rsidR="00C860CB" w:rsidSect="00C62115">
          <w:headerReference w:type="default" r:id="rId11"/>
          <w:footerReference w:type="default" r:id="rId12"/>
          <w:pgSz w:w="12240" w:h="15840"/>
          <w:pgMar w:top="1080" w:right="1080" w:bottom="1080" w:left="1080" w:header="720" w:footer="490" w:gutter="0"/>
          <w:cols w:space="720"/>
          <w:docGrid w:linePitch="360"/>
        </w:sectPr>
      </w:pPr>
      <w:r>
        <w:t xml:space="preserve">No.  The </w:t>
      </w:r>
      <w:r w:rsidR="00062299">
        <w:t>changes do not affect the estimated annual burden</w:t>
      </w:r>
      <w:r w:rsidR="00FA5DFE">
        <w:t>.</w:t>
      </w:r>
      <w:r w:rsidR="00062299">
        <w:t xml:space="preserve"> Although EPA is implementing a new reporting tool, the respondent activities are the same.</w:t>
      </w:r>
      <w:bookmarkEnd w:id="1"/>
    </w:p>
    <w:p w14:paraId="6F64BACC" w14:textId="4E8F624F" w:rsidR="00A0781B" w:rsidRPr="00C860CB" w:rsidRDefault="00C860CB" w:rsidP="00C860CB">
      <w:pPr>
        <w:jc w:val="center"/>
        <w:rPr>
          <w:b/>
        </w:rPr>
      </w:pPr>
      <w:r w:rsidRPr="00C860CB">
        <w:rPr>
          <w:b/>
        </w:rPr>
        <w:lastRenderedPageBreak/>
        <w:t>List of Attachments</w:t>
      </w:r>
    </w:p>
    <w:p w14:paraId="1E26B8E1" w14:textId="77777777" w:rsidR="00C860CB" w:rsidRDefault="00C860CB" w:rsidP="007A5B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1549"/>
        <w:gridCol w:w="7801"/>
      </w:tblGrid>
      <w:tr w:rsidR="00C860CB" w:rsidRPr="00680AF3" w14:paraId="507271BC" w14:textId="77777777" w:rsidTr="00B64A37">
        <w:trPr>
          <w:trHeight w:val="388"/>
        </w:trPr>
        <w:tc>
          <w:tcPr>
            <w:tcW w:w="1549" w:type="dxa"/>
          </w:tcPr>
          <w:p w14:paraId="461E96AF" w14:textId="77777777" w:rsidR="00C860CB" w:rsidRPr="00680AF3" w:rsidRDefault="00C860CB" w:rsidP="00B64A37">
            <w:pPr>
              <w:ind w:left="-180" w:right="-115"/>
              <w:jc w:val="center"/>
              <w:rPr>
                <w:b/>
                <w:bCs/>
                <w:sz w:val="22"/>
                <w:szCs w:val="22"/>
              </w:rPr>
            </w:pPr>
            <w:r w:rsidRPr="00680AF3">
              <w:rPr>
                <w:b/>
                <w:bCs/>
                <w:sz w:val="22"/>
                <w:szCs w:val="22"/>
              </w:rPr>
              <w:t>Attachment 1:</w:t>
            </w:r>
          </w:p>
        </w:tc>
        <w:tc>
          <w:tcPr>
            <w:tcW w:w="7801" w:type="dxa"/>
          </w:tcPr>
          <w:p w14:paraId="1E8787D3" w14:textId="77777777" w:rsidR="00C860CB" w:rsidRPr="008B6224" w:rsidRDefault="00C860CB" w:rsidP="00B64A37">
            <w:pPr>
              <w:rPr>
                <w:sz w:val="22"/>
                <w:szCs w:val="22"/>
              </w:rPr>
            </w:pPr>
            <w:r w:rsidRPr="008B6224">
              <w:rPr>
                <w:sz w:val="22"/>
                <w:szCs w:val="22"/>
              </w:rPr>
              <w:t>TSCA Section 5 Premanufacture and Significant New Use Notification Electronic Reporting; Revisions to Notification Regulations; Direct Final Rule [RIN 2070</w:t>
            </w:r>
            <w:r w:rsidRPr="008B6224">
              <w:t>-</w:t>
            </w:r>
            <w:r w:rsidRPr="008B6224">
              <w:rPr>
                <w:sz w:val="22"/>
                <w:szCs w:val="22"/>
              </w:rPr>
              <w:t>AJ98]</w:t>
            </w:r>
          </w:p>
        </w:tc>
      </w:tr>
      <w:tr w:rsidR="00C860CB" w:rsidRPr="00680AF3" w14:paraId="1A57FD02" w14:textId="77777777" w:rsidTr="00B64A37">
        <w:tc>
          <w:tcPr>
            <w:tcW w:w="1549" w:type="dxa"/>
          </w:tcPr>
          <w:p w14:paraId="51820918" w14:textId="77777777" w:rsidR="00C860CB" w:rsidRPr="00680AF3" w:rsidRDefault="00C860CB" w:rsidP="00B64A37">
            <w:pPr>
              <w:ind w:left="-180" w:right="-115"/>
              <w:jc w:val="center"/>
              <w:rPr>
                <w:b/>
                <w:bCs/>
                <w:sz w:val="22"/>
                <w:szCs w:val="22"/>
              </w:rPr>
            </w:pPr>
            <w:r w:rsidRPr="00680AF3">
              <w:rPr>
                <w:b/>
                <w:bCs/>
                <w:sz w:val="22"/>
                <w:szCs w:val="22"/>
              </w:rPr>
              <w:t>Attachment 2:</w:t>
            </w:r>
          </w:p>
        </w:tc>
        <w:tc>
          <w:tcPr>
            <w:tcW w:w="7801" w:type="dxa"/>
          </w:tcPr>
          <w:p w14:paraId="04A3C8B8" w14:textId="77777777" w:rsidR="00C860CB" w:rsidRPr="008B6224" w:rsidRDefault="00C860CB" w:rsidP="00B64A37">
            <w:pPr>
              <w:rPr>
                <w:bCs/>
                <w:sz w:val="22"/>
                <w:szCs w:val="22"/>
              </w:rPr>
            </w:pPr>
            <w:r w:rsidRPr="008B6224">
              <w:rPr>
                <w:bCs/>
                <w:sz w:val="22"/>
                <w:szCs w:val="22"/>
              </w:rPr>
              <w:t>CDX Chemical Safety and Pesticide Programs (CSPP) Registration User Guide</w:t>
            </w:r>
          </w:p>
        </w:tc>
      </w:tr>
      <w:tr w:rsidR="00C860CB" w:rsidRPr="00680AF3" w14:paraId="58185AF1" w14:textId="77777777" w:rsidTr="00B64A37">
        <w:tc>
          <w:tcPr>
            <w:tcW w:w="1549" w:type="dxa"/>
          </w:tcPr>
          <w:p w14:paraId="3C91F81D" w14:textId="77777777" w:rsidR="00C860CB" w:rsidRPr="00680AF3" w:rsidRDefault="00C860CB" w:rsidP="00B64A37">
            <w:pPr>
              <w:ind w:left="-180" w:right="-115"/>
              <w:jc w:val="center"/>
              <w:rPr>
                <w:b/>
                <w:bCs/>
                <w:sz w:val="22"/>
                <w:szCs w:val="22"/>
              </w:rPr>
            </w:pPr>
            <w:r w:rsidRPr="00680AF3">
              <w:rPr>
                <w:b/>
                <w:bCs/>
                <w:sz w:val="22"/>
                <w:szCs w:val="22"/>
              </w:rPr>
              <w:t>Attachment 3:</w:t>
            </w:r>
          </w:p>
        </w:tc>
        <w:tc>
          <w:tcPr>
            <w:tcW w:w="7801" w:type="dxa"/>
          </w:tcPr>
          <w:p w14:paraId="46E847D4" w14:textId="77777777" w:rsidR="00C860CB" w:rsidRPr="008B6224" w:rsidRDefault="00C860CB" w:rsidP="00B64A37">
            <w:pPr>
              <w:rPr>
                <w:bCs/>
                <w:sz w:val="22"/>
                <w:szCs w:val="22"/>
              </w:rPr>
            </w:pPr>
            <w:r w:rsidRPr="002421C1">
              <w:rPr>
                <w:bCs/>
                <w:sz w:val="22"/>
                <w:szCs w:val="22"/>
              </w:rPr>
              <w:t>Section 5 Notices and Supports User Guide – Primary Authorized Official</w:t>
            </w:r>
          </w:p>
        </w:tc>
      </w:tr>
      <w:tr w:rsidR="00C860CB" w:rsidRPr="00680AF3" w14:paraId="14890C88" w14:textId="77777777" w:rsidTr="00B64A37">
        <w:tc>
          <w:tcPr>
            <w:tcW w:w="1549" w:type="dxa"/>
          </w:tcPr>
          <w:p w14:paraId="3965C1F8" w14:textId="77777777" w:rsidR="00C860CB" w:rsidRPr="00680AF3" w:rsidRDefault="00C860CB" w:rsidP="00B64A37">
            <w:pPr>
              <w:ind w:left="-180" w:right="-115"/>
              <w:jc w:val="center"/>
              <w:rPr>
                <w:b/>
                <w:bCs/>
                <w:sz w:val="22"/>
                <w:szCs w:val="22"/>
              </w:rPr>
            </w:pPr>
            <w:r w:rsidRPr="00680AF3">
              <w:rPr>
                <w:b/>
                <w:bCs/>
                <w:sz w:val="22"/>
                <w:szCs w:val="22"/>
              </w:rPr>
              <w:t xml:space="preserve">Attachment </w:t>
            </w:r>
            <w:r>
              <w:rPr>
                <w:b/>
                <w:bCs/>
                <w:sz w:val="22"/>
                <w:szCs w:val="22"/>
              </w:rPr>
              <w:t>4</w:t>
            </w:r>
            <w:r w:rsidRPr="00680AF3">
              <w:rPr>
                <w:b/>
                <w:bCs/>
                <w:sz w:val="22"/>
                <w:szCs w:val="22"/>
              </w:rPr>
              <w:t>:</w:t>
            </w:r>
          </w:p>
        </w:tc>
        <w:tc>
          <w:tcPr>
            <w:tcW w:w="7801" w:type="dxa"/>
          </w:tcPr>
          <w:p w14:paraId="0FCF0896" w14:textId="77777777" w:rsidR="00C860CB" w:rsidRPr="008B6224" w:rsidRDefault="00C860CB" w:rsidP="00B64A37">
            <w:pPr>
              <w:rPr>
                <w:bCs/>
                <w:sz w:val="22"/>
                <w:szCs w:val="22"/>
              </w:rPr>
            </w:pPr>
            <w:r w:rsidRPr="008B6224">
              <w:rPr>
                <w:bCs/>
                <w:sz w:val="22"/>
                <w:szCs w:val="22"/>
              </w:rPr>
              <w:t xml:space="preserve">Section 5 Notices and Supports User Guide </w:t>
            </w:r>
            <w:r>
              <w:rPr>
                <w:bCs/>
                <w:sz w:val="22"/>
                <w:szCs w:val="22"/>
              </w:rPr>
              <w:t>–</w:t>
            </w:r>
            <w:r w:rsidRPr="008B6224">
              <w:rPr>
                <w:bCs/>
                <w:sz w:val="22"/>
                <w:szCs w:val="22"/>
              </w:rPr>
              <w:t xml:space="preserve"> Primary Agent/Consultant</w:t>
            </w:r>
          </w:p>
        </w:tc>
      </w:tr>
      <w:tr w:rsidR="00C860CB" w:rsidRPr="00680AF3" w14:paraId="71DCEFE5" w14:textId="77777777" w:rsidTr="00B64A37">
        <w:tc>
          <w:tcPr>
            <w:tcW w:w="1549" w:type="dxa"/>
          </w:tcPr>
          <w:p w14:paraId="68B26D0F" w14:textId="77777777" w:rsidR="00C860CB" w:rsidRPr="00680AF3" w:rsidRDefault="00C860CB" w:rsidP="00B64A37">
            <w:pPr>
              <w:ind w:left="-180" w:right="-115"/>
              <w:jc w:val="center"/>
              <w:rPr>
                <w:b/>
                <w:bCs/>
                <w:sz w:val="22"/>
                <w:szCs w:val="22"/>
              </w:rPr>
            </w:pPr>
            <w:r w:rsidRPr="00680AF3">
              <w:rPr>
                <w:b/>
                <w:bCs/>
                <w:sz w:val="22"/>
                <w:szCs w:val="22"/>
              </w:rPr>
              <w:t xml:space="preserve">Attachment </w:t>
            </w:r>
            <w:r>
              <w:rPr>
                <w:b/>
                <w:bCs/>
                <w:sz w:val="22"/>
                <w:szCs w:val="22"/>
              </w:rPr>
              <w:t>5</w:t>
            </w:r>
            <w:r w:rsidRPr="00680AF3">
              <w:rPr>
                <w:b/>
                <w:bCs/>
                <w:sz w:val="22"/>
                <w:szCs w:val="22"/>
              </w:rPr>
              <w:t>:</w:t>
            </w:r>
          </w:p>
        </w:tc>
        <w:tc>
          <w:tcPr>
            <w:tcW w:w="7801" w:type="dxa"/>
          </w:tcPr>
          <w:p w14:paraId="200EC65F" w14:textId="77777777" w:rsidR="00C860CB" w:rsidRPr="008B6224" w:rsidRDefault="00C860CB" w:rsidP="00B64A37">
            <w:pPr>
              <w:rPr>
                <w:bCs/>
                <w:sz w:val="22"/>
                <w:szCs w:val="22"/>
              </w:rPr>
            </w:pPr>
            <w:r w:rsidRPr="008B6224">
              <w:rPr>
                <w:bCs/>
                <w:sz w:val="22"/>
                <w:szCs w:val="22"/>
              </w:rPr>
              <w:t xml:space="preserve">Section 5 Notices and Supports User Guide </w:t>
            </w:r>
            <w:r>
              <w:rPr>
                <w:bCs/>
                <w:sz w:val="22"/>
                <w:szCs w:val="22"/>
              </w:rPr>
              <w:t>–</w:t>
            </w:r>
            <w:r w:rsidRPr="008B6224">
              <w:rPr>
                <w:bCs/>
                <w:sz w:val="22"/>
                <w:szCs w:val="22"/>
              </w:rPr>
              <w:t xml:space="preserve"> Primary Support</w:t>
            </w:r>
          </w:p>
        </w:tc>
      </w:tr>
      <w:tr w:rsidR="00C860CB" w:rsidRPr="00680AF3" w14:paraId="04B3F9E1" w14:textId="77777777" w:rsidTr="00B64A37">
        <w:tc>
          <w:tcPr>
            <w:tcW w:w="1549" w:type="dxa"/>
          </w:tcPr>
          <w:p w14:paraId="43EC05AC" w14:textId="77777777" w:rsidR="00C860CB" w:rsidRPr="00680AF3" w:rsidRDefault="00C860CB" w:rsidP="00B64A37">
            <w:pPr>
              <w:ind w:left="-180" w:right="-115"/>
              <w:jc w:val="center"/>
              <w:rPr>
                <w:b/>
                <w:bCs/>
                <w:sz w:val="22"/>
                <w:szCs w:val="22"/>
              </w:rPr>
            </w:pPr>
            <w:r w:rsidRPr="00680AF3">
              <w:rPr>
                <w:b/>
                <w:bCs/>
                <w:sz w:val="22"/>
                <w:szCs w:val="22"/>
              </w:rPr>
              <w:t xml:space="preserve">Attachment </w:t>
            </w:r>
            <w:r>
              <w:rPr>
                <w:b/>
                <w:bCs/>
                <w:sz w:val="22"/>
                <w:szCs w:val="22"/>
              </w:rPr>
              <w:t>6</w:t>
            </w:r>
            <w:r w:rsidRPr="00680AF3">
              <w:rPr>
                <w:b/>
                <w:bCs/>
                <w:sz w:val="22"/>
                <w:szCs w:val="22"/>
              </w:rPr>
              <w:t>:</w:t>
            </w:r>
          </w:p>
        </w:tc>
        <w:tc>
          <w:tcPr>
            <w:tcW w:w="7801" w:type="dxa"/>
          </w:tcPr>
          <w:p w14:paraId="50A27D76" w14:textId="77777777" w:rsidR="00C860CB" w:rsidRPr="008B6224" w:rsidRDefault="00C860CB" w:rsidP="00B64A37">
            <w:pPr>
              <w:rPr>
                <w:bCs/>
                <w:sz w:val="22"/>
                <w:szCs w:val="22"/>
              </w:rPr>
            </w:pPr>
            <w:r w:rsidRPr="008B6224">
              <w:rPr>
                <w:bCs/>
                <w:sz w:val="22"/>
                <w:szCs w:val="22"/>
              </w:rPr>
              <w:t xml:space="preserve">Section 5 Notices and Supports User Guide </w:t>
            </w:r>
            <w:r>
              <w:rPr>
                <w:bCs/>
                <w:sz w:val="22"/>
                <w:szCs w:val="22"/>
              </w:rPr>
              <w:t>–</w:t>
            </w:r>
            <w:r w:rsidRPr="008B6224">
              <w:rPr>
                <w:bCs/>
                <w:sz w:val="22"/>
                <w:szCs w:val="22"/>
              </w:rPr>
              <w:t xml:space="preserve"> Secondary Authorized Official</w:t>
            </w:r>
          </w:p>
        </w:tc>
      </w:tr>
      <w:tr w:rsidR="00C860CB" w:rsidRPr="00680AF3" w14:paraId="1E33823D" w14:textId="77777777" w:rsidTr="00B64A37">
        <w:tc>
          <w:tcPr>
            <w:tcW w:w="1549" w:type="dxa"/>
          </w:tcPr>
          <w:p w14:paraId="0785D055" w14:textId="77777777" w:rsidR="00C860CB" w:rsidRPr="00680AF3" w:rsidRDefault="00C860CB" w:rsidP="00B64A37">
            <w:pPr>
              <w:ind w:left="-180" w:right="-115"/>
              <w:jc w:val="center"/>
              <w:rPr>
                <w:b/>
                <w:bCs/>
                <w:sz w:val="22"/>
                <w:szCs w:val="22"/>
              </w:rPr>
            </w:pPr>
            <w:r w:rsidRPr="00680AF3">
              <w:rPr>
                <w:b/>
                <w:bCs/>
                <w:sz w:val="22"/>
                <w:szCs w:val="22"/>
              </w:rPr>
              <w:t xml:space="preserve">Attachment </w:t>
            </w:r>
            <w:r>
              <w:rPr>
                <w:b/>
                <w:bCs/>
                <w:sz w:val="22"/>
                <w:szCs w:val="22"/>
              </w:rPr>
              <w:t>7</w:t>
            </w:r>
            <w:r w:rsidRPr="00680AF3">
              <w:rPr>
                <w:b/>
                <w:bCs/>
                <w:sz w:val="22"/>
                <w:szCs w:val="22"/>
              </w:rPr>
              <w:t>:</w:t>
            </w:r>
          </w:p>
        </w:tc>
        <w:tc>
          <w:tcPr>
            <w:tcW w:w="7801" w:type="dxa"/>
          </w:tcPr>
          <w:p w14:paraId="33960B12" w14:textId="77777777" w:rsidR="00C860CB" w:rsidRPr="008B6224" w:rsidRDefault="00C860CB" w:rsidP="00B64A37">
            <w:pPr>
              <w:rPr>
                <w:bCs/>
                <w:sz w:val="22"/>
                <w:szCs w:val="22"/>
              </w:rPr>
            </w:pPr>
            <w:r w:rsidRPr="008B6224">
              <w:rPr>
                <w:bCs/>
                <w:sz w:val="22"/>
                <w:szCs w:val="22"/>
              </w:rPr>
              <w:t xml:space="preserve">Section 5 Notices and Supports User Guide </w:t>
            </w:r>
            <w:r>
              <w:rPr>
                <w:bCs/>
                <w:sz w:val="22"/>
                <w:szCs w:val="22"/>
              </w:rPr>
              <w:t>–</w:t>
            </w:r>
            <w:r w:rsidRPr="008B6224">
              <w:rPr>
                <w:bCs/>
                <w:sz w:val="22"/>
                <w:szCs w:val="22"/>
              </w:rPr>
              <w:t xml:space="preserve"> Secondary Agent/Consultant</w:t>
            </w:r>
          </w:p>
        </w:tc>
      </w:tr>
      <w:tr w:rsidR="00C860CB" w:rsidRPr="00680AF3" w14:paraId="0CA783C3" w14:textId="77777777" w:rsidTr="00B64A37">
        <w:tc>
          <w:tcPr>
            <w:tcW w:w="1549" w:type="dxa"/>
          </w:tcPr>
          <w:p w14:paraId="391829B0" w14:textId="77777777" w:rsidR="00C860CB" w:rsidRPr="00680AF3" w:rsidRDefault="00C860CB" w:rsidP="00B64A37">
            <w:pPr>
              <w:ind w:left="-180" w:right="-115"/>
              <w:jc w:val="center"/>
              <w:rPr>
                <w:b/>
                <w:bCs/>
                <w:sz w:val="22"/>
                <w:szCs w:val="22"/>
              </w:rPr>
            </w:pPr>
            <w:r w:rsidRPr="00680AF3">
              <w:rPr>
                <w:b/>
                <w:bCs/>
                <w:sz w:val="22"/>
                <w:szCs w:val="22"/>
              </w:rPr>
              <w:t xml:space="preserve">Attachment </w:t>
            </w:r>
            <w:r>
              <w:rPr>
                <w:b/>
                <w:bCs/>
                <w:sz w:val="22"/>
                <w:szCs w:val="22"/>
              </w:rPr>
              <w:t>8</w:t>
            </w:r>
            <w:r w:rsidRPr="00680AF3">
              <w:rPr>
                <w:b/>
                <w:bCs/>
                <w:sz w:val="22"/>
                <w:szCs w:val="22"/>
              </w:rPr>
              <w:t>:</w:t>
            </w:r>
          </w:p>
        </w:tc>
        <w:tc>
          <w:tcPr>
            <w:tcW w:w="7801" w:type="dxa"/>
          </w:tcPr>
          <w:p w14:paraId="6F04225F" w14:textId="77777777" w:rsidR="00C860CB" w:rsidRPr="008B6224" w:rsidRDefault="00C860CB" w:rsidP="00B64A37">
            <w:pPr>
              <w:rPr>
                <w:bCs/>
                <w:sz w:val="22"/>
                <w:szCs w:val="22"/>
              </w:rPr>
            </w:pPr>
            <w:r w:rsidRPr="008B6224">
              <w:rPr>
                <w:bCs/>
                <w:sz w:val="22"/>
                <w:szCs w:val="22"/>
              </w:rPr>
              <w:t>Section 5 Notices and Supports User Guide – Secondary Support</w:t>
            </w:r>
          </w:p>
        </w:tc>
      </w:tr>
    </w:tbl>
    <w:p w14:paraId="6DBB50FB" w14:textId="77777777" w:rsidR="00C860CB" w:rsidRDefault="00C860CB" w:rsidP="007A5B48"/>
    <w:sectPr w:rsidR="00C860CB" w:rsidSect="00C62115">
      <w:pgSz w:w="12240" w:h="15840"/>
      <w:pgMar w:top="1080" w:right="1080" w:bottom="1080" w:left="1080"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30A21" w14:textId="77777777" w:rsidR="00FA4331" w:rsidRDefault="00FA4331">
      <w:r>
        <w:separator/>
      </w:r>
    </w:p>
  </w:endnote>
  <w:endnote w:type="continuationSeparator" w:id="0">
    <w:p w14:paraId="2EADEF43" w14:textId="77777777" w:rsidR="00FA4331" w:rsidRDefault="00FA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2016"/>
      <w:docPartObj>
        <w:docPartGallery w:val="Page Numbers (Bottom of Page)"/>
        <w:docPartUnique/>
      </w:docPartObj>
    </w:sdtPr>
    <w:sdtEndPr/>
    <w:sdtContent>
      <w:sdt>
        <w:sdtPr>
          <w:id w:val="565050477"/>
          <w:docPartObj>
            <w:docPartGallery w:val="Page Numbers (Top of Page)"/>
            <w:docPartUnique/>
          </w:docPartObj>
        </w:sdtPr>
        <w:sdtEndPr/>
        <w:sdtContent>
          <w:p w14:paraId="0CDC0AAA" w14:textId="77777777" w:rsidR="00D832E4" w:rsidRDefault="00D832E4">
            <w:pPr>
              <w:pStyle w:val="Footer"/>
              <w:jc w:val="center"/>
            </w:pPr>
            <w:r w:rsidRPr="00FC6D9C">
              <w:t xml:space="preserve">Page </w:t>
            </w:r>
            <w:r>
              <w:fldChar w:fldCharType="begin"/>
            </w:r>
            <w:r>
              <w:instrText xml:space="preserve"> PAGE </w:instrText>
            </w:r>
            <w:r>
              <w:fldChar w:fldCharType="separate"/>
            </w:r>
            <w:r w:rsidR="00E01933">
              <w:rPr>
                <w:noProof/>
              </w:rPr>
              <w:t>3</w:t>
            </w:r>
            <w:r>
              <w:rPr>
                <w:noProof/>
              </w:rPr>
              <w:fldChar w:fldCharType="end"/>
            </w:r>
            <w:r w:rsidRPr="00FC6D9C">
              <w:t xml:space="preserve"> of </w:t>
            </w:r>
            <w:fldSimple w:instr=" NUMPAGES  ">
              <w:r w:rsidR="00E01933">
                <w:rPr>
                  <w:noProof/>
                </w:rPr>
                <w:t>3</w:t>
              </w:r>
            </w:fldSimple>
          </w:p>
        </w:sdtContent>
      </w:sdt>
    </w:sdtContent>
  </w:sdt>
  <w:p w14:paraId="7091D261" w14:textId="77777777" w:rsidR="00D832E4" w:rsidRDefault="00D83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11733" w14:textId="77777777" w:rsidR="00FA4331" w:rsidRDefault="00FA4331">
      <w:r>
        <w:separator/>
      </w:r>
    </w:p>
  </w:footnote>
  <w:footnote w:type="continuationSeparator" w:id="0">
    <w:p w14:paraId="686069FE" w14:textId="77777777" w:rsidR="00FA4331" w:rsidRDefault="00FA4331">
      <w:r>
        <w:continuationSeparator/>
      </w:r>
    </w:p>
  </w:footnote>
  <w:footnote w:id="1">
    <w:p w14:paraId="34EF34EF" w14:textId="2F156C04" w:rsidR="00FA5DFE" w:rsidRDefault="00FA5DFE">
      <w:pPr>
        <w:pStyle w:val="FootnoteText"/>
      </w:pPr>
      <w:r>
        <w:rPr>
          <w:rStyle w:val="FootnoteReference"/>
        </w:rPr>
        <w:footnoteRef/>
      </w:r>
      <w:r>
        <w:t xml:space="preserve"> See: </w:t>
      </w:r>
      <w:hyperlink r:id="rId1" w:history="1">
        <w:r w:rsidRPr="00083FDF">
          <w:rPr>
            <w:rStyle w:val="Hyperlink"/>
            <w:i/>
          </w:rPr>
          <w:t>http://www.reginfo.gov/public/do/PRAViewICR?ref_nbr=201210-2070-001</w:t>
        </w:r>
      </w:hyperlink>
      <w:r>
        <w:rPr>
          <w:i/>
        </w:rPr>
        <w:t xml:space="preserve"> </w:t>
      </w:r>
    </w:p>
  </w:footnote>
  <w:footnote w:id="2">
    <w:p w14:paraId="0F2094B7" w14:textId="77777777" w:rsidR="006F48F1" w:rsidRDefault="006F48F1" w:rsidP="006F48F1">
      <w:pPr>
        <w:pStyle w:val="FootnoteText"/>
      </w:pPr>
      <w:r>
        <w:rPr>
          <w:rStyle w:val="FootnoteReference"/>
        </w:rPr>
        <w:footnoteRef/>
      </w:r>
      <w:r>
        <w:t xml:space="preserve"> 75 FR 773, January 6, 2010. See: </w:t>
      </w:r>
      <w:hyperlink r:id="rId2" w:history="1">
        <w:r w:rsidRPr="00E7626C">
          <w:rPr>
            <w:rStyle w:val="Hyperlink"/>
            <w:i/>
          </w:rPr>
          <w:t>http://www.gpo.gov/fdsys/pkg/FR-2010-01-06/pdf/E9-31004.pdf</w:t>
        </w:r>
      </w:hyperlink>
    </w:p>
  </w:footnote>
  <w:footnote w:id="3">
    <w:p w14:paraId="6F8213A7" w14:textId="77777777" w:rsidR="00FA5DFE" w:rsidRPr="008B6224" w:rsidRDefault="00FA5DFE" w:rsidP="00FA5DFE">
      <w:pPr>
        <w:pStyle w:val="FootnoteText"/>
        <w:rPr>
          <w:i/>
        </w:rPr>
      </w:pPr>
      <w:r>
        <w:rPr>
          <w:rStyle w:val="FootnoteReference"/>
        </w:rPr>
        <w:footnoteRef/>
      </w:r>
      <w:r>
        <w:t xml:space="preserve"> See: </w:t>
      </w:r>
      <w:hyperlink r:id="rId3" w:history="1">
        <w:r w:rsidRPr="008B6224">
          <w:rPr>
            <w:rStyle w:val="Hyperlink"/>
            <w:i/>
          </w:rPr>
          <w:t>http://www.gpo.gov/fdsys/pkg/CFR-2014-title40-vol31/pdf/CFR-2014-title40-vol31-part720.pdf</w:t>
        </w:r>
      </w:hyperlink>
      <w:r>
        <w:t xml:space="preserve"> </w:t>
      </w:r>
    </w:p>
  </w:footnote>
  <w:footnote w:id="4">
    <w:p w14:paraId="6C38D0A6" w14:textId="77777777" w:rsidR="00FA5DFE" w:rsidRDefault="00FA5DFE" w:rsidP="00FA5DFE">
      <w:pPr>
        <w:pStyle w:val="FootnoteText"/>
      </w:pPr>
      <w:r>
        <w:rPr>
          <w:rStyle w:val="FootnoteReference"/>
        </w:rPr>
        <w:footnoteRef/>
      </w:r>
      <w:r>
        <w:t xml:space="preserve"> See:</w:t>
      </w:r>
      <w:r w:rsidRPr="00884C1C">
        <w:t xml:space="preserve"> </w:t>
      </w:r>
      <w:hyperlink r:id="rId4" w:history="1">
        <w:r w:rsidRPr="008B6224">
          <w:rPr>
            <w:rStyle w:val="Hyperlink"/>
            <w:i/>
          </w:rPr>
          <w:t>http://www.gpo.gov/fdsys/pkg/CFR-2014-title40-vol31/pdf/CFR-2014-title40-vol31-part721.pdf</w:t>
        </w:r>
      </w:hyperlink>
      <w:r>
        <w:rPr>
          <w:i/>
        </w:rPr>
        <w:t xml:space="preserve"> </w:t>
      </w:r>
    </w:p>
  </w:footnote>
  <w:footnote w:id="5">
    <w:p w14:paraId="5AA95F1F" w14:textId="77777777" w:rsidR="00FA5DFE" w:rsidRDefault="00FA5DFE" w:rsidP="00FA5DFE">
      <w:pPr>
        <w:pStyle w:val="FootnoteText"/>
      </w:pPr>
      <w:r>
        <w:rPr>
          <w:rStyle w:val="FootnoteReference"/>
        </w:rPr>
        <w:footnoteRef/>
      </w:r>
      <w:r>
        <w:t xml:space="preserve"> See: </w:t>
      </w:r>
      <w:hyperlink r:id="rId5" w:history="1">
        <w:r w:rsidRPr="008C7FD7">
          <w:rPr>
            <w:rStyle w:val="Hyperlink"/>
            <w:i/>
          </w:rPr>
          <w:t>http://www.gpo.gov/fdsys/pkg/CFR-2014-title40-vol31/pdf/CFR-2014-title40-vol31-part723.pdf</w:t>
        </w:r>
      </w:hyperlink>
      <w:r>
        <w:t xml:space="preserve"> </w:t>
      </w:r>
    </w:p>
  </w:footnote>
  <w:footnote w:id="6">
    <w:p w14:paraId="2EB31AFA" w14:textId="77777777" w:rsidR="00FA5DFE" w:rsidRDefault="00FA5DFE" w:rsidP="00FA5DFE">
      <w:pPr>
        <w:pStyle w:val="FootnoteText"/>
      </w:pPr>
      <w:r>
        <w:rPr>
          <w:rStyle w:val="FootnoteReference"/>
        </w:rPr>
        <w:footnoteRef/>
      </w:r>
      <w:r>
        <w:t xml:space="preserve"> See: </w:t>
      </w:r>
      <w:hyperlink r:id="rId6" w:history="1">
        <w:r w:rsidRPr="008B6224">
          <w:rPr>
            <w:rStyle w:val="Hyperlink"/>
            <w:i/>
          </w:rPr>
          <w:t>http://www.gpo.gov/fdsys/pkg/CFR-2014-title40-vol31/pdf/CFR-2014-title40-vol31-part725.pdf</w:t>
        </w:r>
      </w:hyperlink>
      <w:r>
        <w:rPr>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59BFE" w14:textId="6AAC7942" w:rsidR="00D832E4" w:rsidRPr="002340F1" w:rsidRDefault="00D832E4" w:rsidP="00C860CB">
    <w:pPr>
      <w:jc w:val="center"/>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F707A6A"/>
    <w:multiLevelType w:val="hybridMultilevel"/>
    <w:tmpl w:val="5A04D4B4"/>
    <w:lvl w:ilvl="0" w:tplc="AB403438">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BE30920"/>
    <w:multiLevelType w:val="hybridMultilevel"/>
    <w:tmpl w:val="8B32A3C2"/>
    <w:lvl w:ilvl="0" w:tplc="91144528">
      <w:start w:val="1"/>
      <w:numFmt w:val="bullet"/>
      <w:lvlText w:val=""/>
      <w:lvlJc w:val="left"/>
      <w:pPr>
        <w:tabs>
          <w:tab w:val="num" w:pos="2160"/>
        </w:tabs>
        <w:ind w:left="2160" w:hanging="360"/>
      </w:pPr>
      <w:rPr>
        <w:rFonts w:ascii="Symbol" w:hAnsi="Symbol" w:hint="default"/>
      </w:rPr>
    </w:lvl>
    <w:lvl w:ilvl="1" w:tplc="FB72E8B8">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5674AA"/>
    <w:multiLevelType w:val="hybridMultilevel"/>
    <w:tmpl w:val="82D23476"/>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0C248E5"/>
    <w:multiLevelType w:val="hybridMultilevel"/>
    <w:tmpl w:val="E2E65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3F87278"/>
    <w:multiLevelType w:val="hybridMultilevel"/>
    <w:tmpl w:val="3A8CA0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EF2F06"/>
    <w:multiLevelType w:val="hybridMultilevel"/>
    <w:tmpl w:val="82E065B6"/>
    <w:lvl w:ilvl="0" w:tplc="10C4A82E">
      <w:start w:val="1"/>
      <w:numFmt w:val="bullet"/>
      <w:lvlText w:val=""/>
      <w:lvlJc w:val="left"/>
      <w:pPr>
        <w:tabs>
          <w:tab w:val="num" w:pos="2160"/>
        </w:tabs>
        <w:ind w:left="2160" w:hanging="360"/>
      </w:pPr>
      <w:rPr>
        <w:rFonts w:ascii="Symbol" w:hAnsi="Symbol" w:hint="default"/>
      </w:rPr>
    </w:lvl>
    <w:lvl w:ilvl="1" w:tplc="EFF4188C">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4FE50C2"/>
    <w:multiLevelType w:val="hybridMultilevel"/>
    <w:tmpl w:val="E7C4E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FC59E8"/>
    <w:multiLevelType w:val="hybridMultilevel"/>
    <w:tmpl w:val="F22C1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4"/>
  </w:num>
  <w:num w:numId="6">
    <w:abstractNumId w:val="2"/>
  </w:num>
  <w:num w:numId="7">
    <w:abstractNumId w:val="6"/>
  </w:num>
  <w:num w:numId="8">
    <w:abstractNumId w:val="1"/>
    <w:lvlOverride w:ilvl="0"/>
    <w:lvlOverride w:ilvl="1">
      <w:startOverride w:val="1"/>
    </w:lvlOverride>
    <w:lvlOverride w:ilvl="2"/>
    <w:lvlOverride w:ilvl="3"/>
    <w:lvlOverride w:ilvl="4"/>
    <w:lvlOverride w:ilvl="5"/>
    <w:lvlOverride w:ilvl="6"/>
    <w:lvlOverride w:ilvl="7"/>
    <w:lvlOverride w:ilvl="8"/>
  </w:num>
  <w:num w:numId="9">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F9"/>
    <w:rsid w:val="00001153"/>
    <w:rsid w:val="000027DF"/>
    <w:rsid w:val="00006A7A"/>
    <w:rsid w:val="00007884"/>
    <w:rsid w:val="00010014"/>
    <w:rsid w:val="00013B16"/>
    <w:rsid w:val="00030305"/>
    <w:rsid w:val="00030CE8"/>
    <w:rsid w:val="0003532A"/>
    <w:rsid w:val="000361B2"/>
    <w:rsid w:val="00036C4D"/>
    <w:rsid w:val="000377A2"/>
    <w:rsid w:val="00041318"/>
    <w:rsid w:val="000416B8"/>
    <w:rsid w:val="0004462F"/>
    <w:rsid w:val="00046A1A"/>
    <w:rsid w:val="0004772A"/>
    <w:rsid w:val="00050F26"/>
    <w:rsid w:val="0005297F"/>
    <w:rsid w:val="00055829"/>
    <w:rsid w:val="0006004D"/>
    <w:rsid w:val="000610DE"/>
    <w:rsid w:val="00062299"/>
    <w:rsid w:val="0006603A"/>
    <w:rsid w:val="00066892"/>
    <w:rsid w:val="0007148F"/>
    <w:rsid w:val="00073694"/>
    <w:rsid w:val="00073A7B"/>
    <w:rsid w:val="00077978"/>
    <w:rsid w:val="00080769"/>
    <w:rsid w:val="00081C40"/>
    <w:rsid w:val="000836CE"/>
    <w:rsid w:val="00085545"/>
    <w:rsid w:val="00085DFD"/>
    <w:rsid w:val="000924ED"/>
    <w:rsid w:val="000948CF"/>
    <w:rsid w:val="00096021"/>
    <w:rsid w:val="00096C8B"/>
    <w:rsid w:val="000A0CC6"/>
    <w:rsid w:val="000A15A1"/>
    <w:rsid w:val="000A25E2"/>
    <w:rsid w:val="000A7D22"/>
    <w:rsid w:val="000B50F0"/>
    <w:rsid w:val="000B7E2A"/>
    <w:rsid w:val="000C381C"/>
    <w:rsid w:val="000C3899"/>
    <w:rsid w:val="000C55B0"/>
    <w:rsid w:val="000C5FC9"/>
    <w:rsid w:val="000C6AB8"/>
    <w:rsid w:val="000C7E83"/>
    <w:rsid w:val="000D091B"/>
    <w:rsid w:val="000D6122"/>
    <w:rsid w:val="000D791C"/>
    <w:rsid w:val="000E234E"/>
    <w:rsid w:val="000E2546"/>
    <w:rsid w:val="000E358B"/>
    <w:rsid w:val="000F16F0"/>
    <w:rsid w:val="000F6848"/>
    <w:rsid w:val="00102167"/>
    <w:rsid w:val="00102689"/>
    <w:rsid w:val="00103983"/>
    <w:rsid w:val="00103E22"/>
    <w:rsid w:val="00105C9E"/>
    <w:rsid w:val="00110165"/>
    <w:rsid w:val="00115209"/>
    <w:rsid w:val="001162E5"/>
    <w:rsid w:val="00116BEC"/>
    <w:rsid w:val="00117937"/>
    <w:rsid w:val="0011797B"/>
    <w:rsid w:val="00117F56"/>
    <w:rsid w:val="00120154"/>
    <w:rsid w:val="0012532F"/>
    <w:rsid w:val="0013272B"/>
    <w:rsid w:val="001332AE"/>
    <w:rsid w:val="00137C11"/>
    <w:rsid w:val="00141806"/>
    <w:rsid w:val="001428D4"/>
    <w:rsid w:val="00142C4B"/>
    <w:rsid w:val="0014369B"/>
    <w:rsid w:val="0014398C"/>
    <w:rsid w:val="00147C76"/>
    <w:rsid w:val="00147F6C"/>
    <w:rsid w:val="00151F4D"/>
    <w:rsid w:val="00160CA5"/>
    <w:rsid w:val="00171014"/>
    <w:rsid w:val="00186873"/>
    <w:rsid w:val="00186C51"/>
    <w:rsid w:val="001907F5"/>
    <w:rsid w:val="00197E8F"/>
    <w:rsid w:val="001A35C0"/>
    <w:rsid w:val="001A3835"/>
    <w:rsid w:val="001A4001"/>
    <w:rsid w:val="001A6B78"/>
    <w:rsid w:val="001A72F6"/>
    <w:rsid w:val="001A7AD1"/>
    <w:rsid w:val="001B1771"/>
    <w:rsid w:val="001B4F67"/>
    <w:rsid w:val="001C0633"/>
    <w:rsid w:val="001C3331"/>
    <w:rsid w:val="001C544E"/>
    <w:rsid w:val="001C646A"/>
    <w:rsid w:val="001D0FB6"/>
    <w:rsid w:val="001D30A7"/>
    <w:rsid w:val="001D3208"/>
    <w:rsid w:val="001D62C9"/>
    <w:rsid w:val="001F0DFD"/>
    <w:rsid w:val="001F35D6"/>
    <w:rsid w:val="001F563C"/>
    <w:rsid w:val="001F6CD6"/>
    <w:rsid w:val="0020567E"/>
    <w:rsid w:val="0020684D"/>
    <w:rsid w:val="00211521"/>
    <w:rsid w:val="0021159C"/>
    <w:rsid w:val="00215092"/>
    <w:rsid w:val="00215C6E"/>
    <w:rsid w:val="00216463"/>
    <w:rsid w:val="00221B03"/>
    <w:rsid w:val="00222FF0"/>
    <w:rsid w:val="00226186"/>
    <w:rsid w:val="002338F3"/>
    <w:rsid w:val="002340F1"/>
    <w:rsid w:val="00234659"/>
    <w:rsid w:val="00234D23"/>
    <w:rsid w:val="00241A6C"/>
    <w:rsid w:val="0024406F"/>
    <w:rsid w:val="00246C6A"/>
    <w:rsid w:val="00250DF9"/>
    <w:rsid w:val="00250FF7"/>
    <w:rsid w:val="00252B3A"/>
    <w:rsid w:val="002533E3"/>
    <w:rsid w:val="002534C4"/>
    <w:rsid w:val="00266791"/>
    <w:rsid w:val="00272F83"/>
    <w:rsid w:val="00275480"/>
    <w:rsid w:val="00283D85"/>
    <w:rsid w:val="002858F9"/>
    <w:rsid w:val="00287D5C"/>
    <w:rsid w:val="0029264E"/>
    <w:rsid w:val="0029361A"/>
    <w:rsid w:val="0029485E"/>
    <w:rsid w:val="0029490C"/>
    <w:rsid w:val="00296801"/>
    <w:rsid w:val="00297190"/>
    <w:rsid w:val="002A1678"/>
    <w:rsid w:val="002A2B90"/>
    <w:rsid w:val="002A3601"/>
    <w:rsid w:val="002A5024"/>
    <w:rsid w:val="002A6101"/>
    <w:rsid w:val="002A77F3"/>
    <w:rsid w:val="002B0552"/>
    <w:rsid w:val="002B1A87"/>
    <w:rsid w:val="002B5990"/>
    <w:rsid w:val="002B5E34"/>
    <w:rsid w:val="002B7B83"/>
    <w:rsid w:val="002C3A80"/>
    <w:rsid w:val="002C4AC1"/>
    <w:rsid w:val="002C557D"/>
    <w:rsid w:val="002C56EE"/>
    <w:rsid w:val="002D05A9"/>
    <w:rsid w:val="002D2502"/>
    <w:rsid w:val="002D3B86"/>
    <w:rsid w:val="002D4A07"/>
    <w:rsid w:val="002E0DDB"/>
    <w:rsid w:val="002E3103"/>
    <w:rsid w:val="002E3198"/>
    <w:rsid w:val="002E5156"/>
    <w:rsid w:val="002E5416"/>
    <w:rsid w:val="002E586E"/>
    <w:rsid w:val="002E5CE1"/>
    <w:rsid w:val="002E68A3"/>
    <w:rsid w:val="002F6B38"/>
    <w:rsid w:val="002F7CF2"/>
    <w:rsid w:val="003002E4"/>
    <w:rsid w:val="003008B8"/>
    <w:rsid w:val="00301217"/>
    <w:rsid w:val="00303F44"/>
    <w:rsid w:val="0031183F"/>
    <w:rsid w:val="00311E13"/>
    <w:rsid w:val="00312D4B"/>
    <w:rsid w:val="00312FA8"/>
    <w:rsid w:val="00313D3F"/>
    <w:rsid w:val="0031663D"/>
    <w:rsid w:val="00316B05"/>
    <w:rsid w:val="00321D5D"/>
    <w:rsid w:val="0032293F"/>
    <w:rsid w:val="00322EE9"/>
    <w:rsid w:val="00323BD3"/>
    <w:rsid w:val="00326DE6"/>
    <w:rsid w:val="00327D10"/>
    <w:rsid w:val="0033298C"/>
    <w:rsid w:val="003339D3"/>
    <w:rsid w:val="0033513F"/>
    <w:rsid w:val="0033747E"/>
    <w:rsid w:val="00340521"/>
    <w:rsid w:val="00340C43"/>
    <w:rsid w:val="00340F9D"/>
    <w:rsid w:val="00341A41"/>
    <w:rsid w:val="00354BF5"/>
    <w:rsid w:val="00354EF2"/>
    <w:rsid w:val="00357520"/>
    <w:rsid w:val="0036389B"/>
    <w:rsid w:val="00364E13"/>
    <w:rsid w:val="00365AD6"/>
    <w:rsid w:val="00365EA4"/>
    <w:rsid w:val="00367CAE"/>
    <w:rsid w:val="00371656"/>
    <w:rsid w:val="0037506C"/>
    <w:rsid w:val="003812E2"/>
    <w:rsid w:val="00385965"/>
    <w:rsid w:val="003876D8"/>
    <w:rsid w:val="00390DCA"/>
    <w:rsid w:val="00392B6C"/>
    <w:rsid w:val="00397576"/>
    <w:rsid w:val="003A1E13"/>
    <w:rsid w:val="003A4438"/>
    <w:rsid w:val="003A65C5"/>
    <w:rsid w:val="003A6658"/>
    <w:rsid w:val="003B0041"/>
    <w:rsid w:val="003B6247"/>
    <w:rsid w:val="003C08E3"/>
    <w:rsid w:val="003C0C77"/>
    <w:rsid w:val="003C185A"/>
    <w:rsid w:val="003C2ACF"/>
    <w:rsid w:val="003C3F44"/>
    <w:rsid w:val="003C5881"/>
    <w:rsid w:val="003C61B7"/>
    <w:rsid w:val="003D28D5"/>
    <w:rsid w:val="003D31E2"/>
    <w:rsid w:val="003D32CF"/>
    <w:rsid w:val="003D575C"/>
    <w:rsid w:val="003D6FBA"/>
    <w:rsid w:val="003E503A"/>
    <w:rsid w:val="003E50C1"/>
    <w:rsid w:val="003E794E"/>
    <w:rsid w:val="003F2EEA"/>
    <w:rsid w:val="003F50E4"/>
    <w:rsid w:val="003F7219"/>
    <w:rsid w:val="00400EB6"/>
    <w:rsid w:val="0040154F"/>
    <w:rsid w:val="00402399"/>
    <w:rsid w:val="0040310D"/>
    <w:rsid w:val="00404AE1"/>
    <w:rsid w:val="004053AF"/>
    <w:rsid w:val="0040706D"/>
    <w:rsid w:val="0041545D"/>
    <w:rsid w:val="004249F2"/>
    <w:rsid w:val="00424DAF"/>
    <w:rsid w:val="004277E1"/>
    <w:rsid w:val="00427EF9"/>
    <w:rsid w:val="00430025"/>
    <w:rsid w:val="00430245"/>
    <w:rsid w:val="0043328B"/>
    <w:rsid w:val="00434694"/>
    <w:rsid w:val="00435ED3"/>
    <w:rsid w:val="00440311"/>
    <w:rsid w:val="00440BA6"/>
    <w:rsid w:val="00442621"/>
    <w:rsid w:val="00442BC7"/>
    <w:rsid w:val="004443B4"/>
    <w:rsid w:val="00445873"/>
    <w:rsid w:val="004463FC"/>
    <w:rsid w:val="0044700D"/>
    <w:rsid w:val="0045271F"/>
    <w:rsid w:val="00453703"/>
    <w:rsid w:val="0045744C"/>
    <w:rsid w:val="00460C84"/>
    <w:rsid w:val="004632E1"/>
    <w:rsid w:val="00466B8C"/>
    <w:rsid w:val="0047093F"/>
    <w:rsid w:val="00480312"/>
    <w:rsid w:val="004819B2"/>
    <w:rsid w:val="00490A8B"/>
    <w:rsid w:val="00492D3C"/>
    <w:rsid w:val="004A4396"/>
    <w:rsid w:val="004A490E"/>
    <w:rsid w:val="004B19C3"/>
    <w:rsid w:val="004B20D9"/>
    <w:rsid w:val="004B26F0"/>
    <w:rsid w:val="004B301E"/>
    <w:rsid w:val="004B36E4"/>
    <w:rsid w:val="004B3DD7"/>
    <w:rsid w:val="004B45D6"/>
    <w:rsid w:val="004B4D40"/>
    <w:rsid w:val="004B6DCE"/>
    <w:rsid w:val="004C3C73"/>
    <w:rsid w:val="004C516B"/>
    <w:rsid w:val="004C5D0B"/>
    <w:rsid w:val="004D053B"/>
    <w:rsid w:val="004D0CB2"/>
    <w:rsid w:val="004D2FDA"/>
    <w:rsid w:val="004D5DE6"/>
    <w:rsid w:val="004D71FD"/>
    <w:rsid w:val="004E165B"/>
    <w:rsid w:val="004E394A"/>
    <w:rsid w:val="004E41E0"/>
    <w:rsid w:val="004E5382"/>
    <w:rsid w:val="004E7245"/>
    <w:rsid w:val="004F0FD9"/>
    <w:rsid w:val="004F7148"/>
    <w:rsid w:val="005004DF"/>
    <w:rsid w:val="00504785"/>
    <w:rsid w:val="00511876"/>
    <w:rsid w:val="00514841"/>
    <w:rsid w:val="00515328"/>
    <w:rsid w:val="00516946"/>
    <w:rsid w:val="00520745"/>
    <w:rsid w:val="005222B6"/>
    <w:rsid w:val="00523844"/>
    <w:rsid w:val="005247C6"/>
    <w:rsid w:val="00527C84"/>
    <w:rsid w:val="00531F33"/>
    <w:rsid w:val="005339E3"/>
    <w:rsid w:val="00534D3B"/>
    <w:rsid w:val="00536125"/>
    <w:rsid w:val="0053683E"/>
    <w:rsid w:val="005373D6"/>
    <w:rsid w:val="00542213"/>
    <w:rsid w:val="00546796"/>
    <w:rsid w:val="0055252F"/>
    <w:rsid w:val="00552AAF"/>
    <w:rsid w:val="0055330F"/>
    <w:rsid w:val="0055477F"/>
    <w:rsid w:val="00557230"/>
    <w:rsid w:val="0056392F"/>
    <w:rsid w:val="00571216"/>
    <w:rsid w:val="00573890"/>
    <w:rsid w:val="00573A65"/>
    <w:rsid w:val="00573EFC"/>
    <w:rsid w:val="00576C92"/>
    <w:rsid w:val="0057737F"/>
    <w:rsid w:val="005776FB"/>
    <w:rsid w:val="00577721"/>
    <w:rsid w:val="00580138"/>
    <w:rsid w:val="00587608"/>
    <w:rsid w:val="0059154B"/>
    <w:rsid w:val="00591B0C"/>
    <w:rsid w:val="005936F2"/>
    <w:rsid w:val="00593B27"/>
    <w:rsid w:val="00595CBF"/>
    <w:rsid w:val="00595FC2"/>
    <w:rsid w:val="005A5A3B"/>
    <w:rsid w:val="005B5A02"/>
    <w:rsid w:val="005B5FF6"/>
    <w:rsid w:val="005B60B4"/>
    <w:rsid w:val="005C042A"/>
    <w:rsid w:val="005C604C"/>
    <w:rsid w:val="005D0408"/>
    <w:rsid w:val="005D1FF8"/>
    <w:rsid w:val="005D5568"/>
    <w:rsid w:val="005E0992"/>
    <w:rsid w:val="005E13B8"/>
    <w:rsid w:val="005E2C01"/>
    <w:rsid w:val="005E3A40"/>
    <w:rsid w:val="005E3FA1"/>
    <w:rsid w:val="005E415D"/>
    <w:rsid w:val="005E537D"/>
    <w:rsid w:val="005E5A95"/>
    <w:rsid w:val="005E77AC"/>
    <w:rsid w:val="005F1098"/>
    <w:rsid w:val="005F210D"/>
    <w:rsid w:val="005F651C"/>
    <w:rsid w:val="005F6CA6"/>
    <w:rsid w:val="00600A60"/>
    <w:rsid w:val="006011E0"/>
    <w:rsid w:val="0060435D"/>
    <w:rsid w:val="006076C0"/>
    <w:rsid w:val="006079CA"/>
    <w:rsid w:val="00607AB4"/>
    <w:rsid w:val="006106B0"/>
    <w:rsid w:val="006118D8"/>
    <w:rsid w:val="00612970"/>
    <w:rsid w:val="00612A29"/>
    <w:rsid w:val="006168EC"/>
    <w:rsid w:val="00616B05"/>
    <w:rsid w:val="00623721"/>
    <w:rsid w:val="00624183"/>
    <w:rsid w:val="00631281"/>
    <w:rsid w:val="006320C4"/>
    <w:rsid w:val="00632C3F"/>
    <w:rsid w:val="0063322F"/>
    <w:rsid w:val="00634456"/>
    <w:rsid w:val="0063471C"/>
    <w:rsid w:val="00640674"/>
    <w:rsid w:val="00641029"/>
    <w:rsid w:val="00642030"/>
    <w:rsid w:val="006424DF"/>
    <w:rsid w:val="00642A40"/>
    <w:rsid w:val="00642E85"/>
    <w:rsid w:val="00645758"/>
    <w:rsid w:val="00645C90"/>
    <w:rsid w:val="00646036"/>
    <w:rsid w:val="00657764"/>
    <w:rsid w:val="00657828"/>
    <w:rsid w:val="006671CD"/>
    <w:rsid w:val="006673B8"/>
    <w:rsid w:val="00670CEA"/>
    <w:rsid w:val="006714DE"/>
    <w:rsid w:val="00671999"/>
    <w:rsid w:val="00687A9A"/>
    <w:rsid w:val="0069434E"/>
    <w:rsid w:val="006954B4"/>
    <w:rsid w:val="00695820"/>
    <w:rsid w:val="00696916"/>
    <w:rsid w:val="006A00FD"/>
    <w:rsid w:val="006A3909"/>
    <w:rsid w:val="006A3D4A"/>
    <w:rsid w:val="006B189F"/>
    <w:rsid w:val="006B3CEF"/>
    <w:rsid w:val="006B52D7"/>
    <w:rsid w:val="006C072F"/>
    <w:rsid w:val="006C0D30"/>
    <w:rsid w:val="006C28D9"/>
    <w:rsid w:val="006C443D"/>
    <w:rsid w:val="006D5EDC"/>
    <w:rsid w:val="006D5F99"/>
    <w:rsid w:val="006D67E4"/>
    <w:rsid w:val="006E0DE1"/>
    <w:rsid w:val="006E107C"/>
    <w:rsid w:val="006E1F21"/>
    <w:rsid w:val="006F48F1"/>
    <w:rsid w:val="00700691"/>
    <w:rsid w:val="0070260A"/>
    <w:rsid w:val="0070588E"/>
    <w:rsid w:val="00706681"/>
    <w:rsid w:val="00706899"/>
    <w:rsid w:val="0071436F"/>
    <w:rsid w:val="00715CE5"/>
    <w:rsid w:val="007164F8"/>
    <w:rsid w:val="00716F35"/>
    <w:rsid w:val="007220B6"/>
    <w:rsid w:val="007232A0"/>
    <w:rsid w:val="007246FF"/>
    <w:rsid w:val="007247CE"/>
    <w:rsid w:val="007267DF"/>
    <w:rsid w:val="00730D6F"/>
    <w:rsid w:val="00733C94"/>
    <w:rsid w:val="00736787"/>
    <w:rsid w:val="0074062E"/>
    <w:rsid w:val="00752A48"/>
    <w:rsid w:val="00755D95"/>
    <w:rsid w:val="00761A4D"/>
    <w:rsid w:val="00761FC0"/>
    <w:rsid w:val="007649E5"/>
    <w:rsid w:val="00766D67"/>
    <w:rsid w:val="00767FD5"/>
    <w:rsid w:val="00772533"/>
    <w:rsid w:val="00775602"/>
    <w:rsid w:val="00775EFB"/>
    <w:rsid w:val="00781B62"/>
    <w:rsid w:val="00783E2E"/>
    <w:rsid w:val="00784447"/>
    <w:rsid w:val="0078764A"/>
    <w:rsid w:val="00790C9D"/>
    <w:rsid w:val="00795399"/>
    <w:rsid w:val="007A09B9"/>
    <w:rsid w:val="007A3EBA"/>
    <w:rsid w:val="007A5B48"/>
    <w:rsid w:val="007A6A82"/>
    <w:rsid w:val="007B39BE"/>
    <w:rsid w:val="007B6CD8"/>
    <w:rsid w:val="007B726C"/>
    <w:rsid w:val="007C1EFC"/>
    <w:rsid w:val="007C3A18"/>
    <w:rsid w:val="007C48D3"/>
    <w:rsid w:val="007D0158"/>
    <w:rsid w:val="007D136D"/>
    <w:rsid w:val="007D2073"/>
    <w:rsid w:val="007E2CAE"/>
    <w:rsid w:val="007E42B1"/>
    <w:rsid w:val="007E5B8C"/>
    <w:rsid w:val="007E7675"/>
    <w:rsid w:val="007F0DE8"/>
    <w:rsid w:val="007F2876"/>
    <w:rsid w:val="007F2A2D"/>
    <w:rsid w:val="007F34CA"/>
    <w:rsid w:val="007F3AA8"/>
    <w:rsid w:val="007F5FDC"/>
    <w:rsid w:val="00804784"/>
    <w:rsid w:val="00805DA0"/>
    <w:rsid w:val="00810D07"/>
    <w:rsid w:val="00811657"/>
    <w:rsid w:val="00817598"/>
    <w:rsid w:val="00817DB9"/>
    <w:rsid w:val="00821AFD"/>
    <w:rsid w:val="00821D9D"/>
    <w:rsid w:val="00823D7D"/>
    <w:rsid w:val="00825A5F"/>
    <w:rsid w:val="00827355"/>
    <w:rsid w:val="008302AC"/>
    <w:rsid w:val="00831B17"/>
    <w:rsid w:val="00841A81"/>
    <w:rsid w:val="00843647"/>
    <w:rsid w:val="0084387B"/>
    <w:rsid w:val="008470D5"/>
    <w:rsid w:val="00852B0E"/>
    <w:rsid w:val="00852DE5"/>
    <w:rsid w:val="00855708"/>
    <w:rsid w:val="00856E61"/>
    <w:rsid w:val="00863B00"/>
    <w:rsid w:val="00870E72"/>
    <w:rsid w:val="008748CC"/>
    <w:rsid w:val="00874A13"/>
    <w:rsid w:val="00876434"/>
    <w:rsid w:val="00876F89"/>
    <w:rsid w:val="00880747"/>
    <w:rsid w:val="00893FD6"/>
    <w:rsid w:val="0089513A"/>
    <w:rsid w:val="00897870"/>
    <w:rsid w:val="008A156C"/>
    <w:rsid w:val="008A271E"/>
    <w:rsid w:val="008A2C36"/>
    <w:rsid w:val="008A5B25"/>
    <w:rsid w:val="008B5BEE"/>
    <w:rsid w:val="008C0D44"/>
    <w:rsid w:val="008C3C61"/>
    <w:rsid w:val="008C4669"/>
    <w:rsid w:val="008D035E"/>
    <w:rsid w:val="008E7206"/>
    <w:rsid w:val="008F0C2F"/>
    <w:rsid w:val="008F1F17"/>
    <w:rsid w:val="008F24F8"/>
    <w:rsid w:val="008F4669"/>
    <w:rsid w:val="00900AC6"/>
    <w:rsid w:val="00900C21"/>
    <w:rsid w:val="00904523"/>
    <w:rsid w:val="009058F7"/>
    <w:rsid w:val="00907E75"/>
    <w:rsid w:val="00913504"/>
    <w:rsid w:val="009161EA"/>
    <w:rsid w:val="009177CD"/>
    <w:rsid w:val="00920702"/>
    <w:rsid w:val="00924142"/>
    <w:rsid w:val="00932292"/>
    <w:rsid w:val="00932C64"/>
    <w:rsid w:val="0093322E"/>
    <w:rsid w:val="00933794"/>
    <w:rsid w:val="00933D91"/>
    <w:rsid w:val="00936D4F"/>
    <w:rsid w:val="00940893"/>
    <w:rsid w:val="009424D7"/>
    <w:rsid w:val="009429D4"/>
    <w:rsid w:val="00942C54"/>
    <w:rsid w:val="00944071"/>
    <w:rsid w:val="00945CF9"/>
    <w:rsid w:val="00950784"/>
    <w:rsid w:val="00950CD3"/>
    <w:rsid w:val="00952965"/>
    <w:rsid w:val="00956497"/>
    <w:rsid w:val="009566BF"/>
    <w:rsid w:val="00963709"/>
    <w:rsid w:val="00965643"/>
    <w:rsid w:val="00965A06"/>
    <w:rsid w:val="0096727B"/>
    <w:rsid w:val="00973C6E"/>
    <w:rsid w:val="0098077D"/>
    <w:rsid w:val="009824B9"/>
    <w:rsid w:val="00985042"/>
    <w:rsid w:val="009866CD"/>
    <w:rsid w:val="0099415B"/>
    <w:rsid w:val="00996BD0"/>
    <w:rsid w:val="009A1B82"/>
    <w:rsid w:val="009A25A8"/>
    <w:rsid w:val="009A5C6D"/>
    <w:rsid w:val="009A6408"/>
    <w:rsid w:val="009A701C"/>
    <w:rsid w:val="009B087B"/>
    <w:rsid w:val="009B0C32"/>
    <w:rsid w:val="009B1C98"/>
    <w:rsid w:val="009B2039"/>
    <w:rsid w:val="009B59DA"/>
    <w:rsid w:val="009B713D"/>
    <w:rsid w:val="009C0EC7"/>
    <w:rsid w:val="009C2065"/>
    <w:rsid w:val="009C30DB"/>
    <w:rsid w:val="009C7854"/>
    <w:rsid w:val="009D03D1"/>
    <w:rsid w:val="009D12D3"/>
    <w:rsid w:val="009D187B"/>
    <w:rsid w:val="009D5722"/>
    <w:rsid w:val="009E0F35"/>
    <w:rsid w:val="009E2F58"/>
    <w:rsid w:val="009E384D"/>
    <w:rsid w:val="009E3CFE"/>
    <w:rsid w:val="009E47F6"/>
    <w:rsid w:val="009E55CE"/>
    <w:rsid w:val="009E5E44"/>
    <w:rsid w:val="009E62DC"/>
    <w:rsid w:val="009E7890"/>
    <w:rsid w:val="009F0CAA"/>
    <w:rsid w:val="009F4F71"/>
    <w:rsid w:val="009F56E7"/>
    <w:rsid w:val="009F6401"/>
    <w:rsid w:val="009F7DC5"/>
    <w:rsid w:val="00A015F3"/>
    <w:rsid w:val="00A03DC5"/>
    <w:rsid w:val="00A040C2"/>
    <w:rsid w:val="00A0448C"/>
    <w:rsid w:val="00A05B4D"/>
    <w:rsid w:val="00A06F58"/>
    <w:rsid w:val="00A073C5"/>
    <w:rsid w:val="00A0781B"/>
    <w:rsid w:val="00A20F5E"/>
    <w:rsid w:val="00A3123E"/>
    <w:rsid w:val="00A3715B"/>
    <w:rsid w:val="00A41D35"/>
    <w:rsid w:val="00A45149"/>
    <w:rsid w:val="00A47325"/>
    <w:rsid w:val="00A47B7F"/>
    <w:rsid w:val="00A50760"/>
    <w:rsid w:val="00A54B70"/>
    <w:rsid w:val="00A609F5"/>
    <w:rsid w:val="00A7184B"/>
    <w:rsid w:val="00A76A6D"/>
    <w:rsid w:val="00A76D29"/>
    <w:rsid w:val="00A813E4"/>
    <w:rsid w:val="00A81D53"/>
    <w:rsid w:val="00A82A86"/>
    <w:rsid w:val="00A864E0"/>
    <w:rsid w:val="00A86DDE"/>
    <w:rsid w:val="00A87368"/>
    <w:rsid w:val="00A92140"/>
    <w:rsid w:val="00A9299D"/>
    <w:rsid w:val="00A95E2C"/>
    <w:rsid w:val="00A96ABB"/>
    <w:rsid w:val="00A977E2"/>
    <w:rsid w:val="00A97DBF"/>
    <w:rsid w:val="00AA2013"/>
    <w:rsid w:val="00AA3A5B"/>
    <w:rsid w:val="00AA6B5B"/>
    <w:rsid w:val="00AA7465"/>
    <w:rsid w:val="00AB6863"/>
    <w:rsid w:val="00AB6AF0"/>
    <w:rsid w:val="00AB6DB1"/>
    <w:rsid w:val="00AC0791"/>
    <w:rsid w:val="00AC304A"/>
    <w:rsid w:val="00AC542D"/>
    <w:rsid w:val="00AD17B2"/>
    <w:rsid w:val="00AD34E7"/>
    <w:rsid w:val="00AD4788"/>
    <w:rsid w:val="00AD6A3D"/>
    <w:rsid w:val="00AE1145"/>
    <w:rsid w:val="00AE37E8"/>
    <w:rsid w:val="00AE37F3"/>
    <w:rsid w:val="00AF0A7D"/>
    <w:rsid w:val="00AF17FE"/>
    <w:rsid w:val="00AF28FE"/>
    <w:rsid w:val="00AF4262"/>
    <w:rsid w:val="00AF5E67"/>
    <w:rsid w:val="00B00941"/>
    <w:rsid w:val="00B015CE"/>
    <w:rsid w:val="00B03406"/>
    <w:rsid w:val="00B10FBF"/>
    <w:rsid w:val="00B11F7B"/>
    <w:rsid w:val="00B140ED"/>
    <w:rsid w:val="00B17B55"/>
    <w:rsid w:val="00B21281"/>
    <w:rsid w:val="00B23148"/>
    <w:rsid w:val="00B23CFA"/>
    <w:rsid w:val="00B27C74"/>
    <w:rsid w:val="00B32B6B"/>
    <w:rsid w:val="00B35459"/>
    <w:rsid w:val="00B37E64"/>
    <w:rsid w:val="00B42D43"/>
    <w:rsid w:val="00B44200"/>
    <w:rsid w:val="00B4568A"/>
    <w:rsid w:val="00B458D7"/>
    <w:rsid w:val="00B511C2"/>
    <w:rsid w:val="00B5194C"/>
    <w:rsid w:val="00B52BB6"/>
    <w:rsid w:val="00B57B5B"/>
    <w:rsid w:val="00B617AF"/>
    <w:rsid w:val="00B62A13"/>
    <w:rsid w:val="00B62DEF"/>
    <w:rsid w:val="00B6338E"/>
    <w:rsid w:val="00B658A0"/>
    <w:rsid w:val="00B66751"/>
    <w:rsid w:val="00B66CAF"/>
    <w:rsid w:val="00B67CFB"/>
    <w:rsid w:val="00B70735"/>
    <w:rsid w:val="00B7294A"/>
    <w:rsid w:val="00B72B3C"/>
    <w:rsid w:val="00B76BBA"/>
    <w:rsid w:val="00B77794"/>
    <w:rsid w:val="00B810E3"/>
    <w:rsid w:val="00B81D64"/>
    <w:rsid w:val="00B85C97"/>
    <w:rsid w:val="00B86D0E"/>
    <w:rsid w:val="00B949A3"/>
    <w:rsid w:val="00B95F63"/>
    <w:rsid w:val="00BA6E19"/>
    <w:rsid w:val="00BA714F"/>
    <w:rsid w:val="00BA7B22"/>
    <w:rsid w:val="00BB7536"/>
    <w:rsid w:val="00BC04ED"/>
    <w:rsid w:val="00BC0890"/>
    <w:rsid w:val="00BD007C"/>
    <w:rsid w:val="00BD15B0"/>
    <w:rsid w:val="00BD2304"/>
    <w:rsid w:val="00BD4C6A"/>
    <w:rsid w:val="00BD77A4"/>
    <w:rsid w:val="00BD79AC"/>
    <w:rsid w:val="00BE051B"/>
    <w:rsid w:val="00BE5072"/>
    <w:rsid w:val="00BF3683"/>
    <w:rsid w:val="00BF7553"/>
    <w:rsid w:val="00BF75A6"/>
    <w:rsid w:val="00BF790C"/>
    <w:rsid w:val="00C0221F"/>
    <w:rsid w:val="00C0342B"/>
    <w:rsid w:val="00C0629A"/>
    <w:rsid w:val="00C079D2"/>
    <w:rsid w:val="00C10DA2"/>
    <w:rsid w:val="00C207D4"/>
    <w:rsid w:val="00C22476"/>
    <w:rsid w:val="00C23C5B"/>
    <w:rsid w:val="00C30515"/>
    <w:rsid w:val="00C311A2"/>
    <w:rsid w:val="00C34D8F"/>
    <w:rsid w:val="00C40E08"/>
    <w:rsid w:val="00C411FC"/>
    <w:rsid w:val="00C476F0"/>
    <w:rsid w:val="00C52F6C"/>
    <w:rsid w:val="00C5456D"/>
    <w:rsid w:val="00C547B2"/>
    <w:rsid w:val="00C5570B"/>
    <w:rsid w:val="00C56FDB"/>
    <w:rsid w:val="00C618FA"/>
    <w:rsid w:val="00C62115"/>
    <w:rsid w:val="00C658E7"/>
    <w:rsid w:val="00C67482"/>
    <w:rsid w:val="00C71FF4"/>
    <w:rsid w:val="00C724FE"/>
    <w:rsid w:val="00C73940"/>
    <w:rsid w:val="00C74BA4"/>
    <w:rsid w:val="00C750F7"/>
    <w:rsid w:val="00C75A5B"/>
    <w:rsid w:val="00C76087"/>
    <w:rsid w:val="00C8052C"/>
    <w:rsid w:val="00C8396E"/>
    <w:rsid w:val="00C849CA"/>
    <w:rsid w:val="00C84A04"/>
    <w:rsid w:val="00C84BF9"/>
    <w:rsid w:val="00C860CB"/>
    <w:rsid w:val="00C8623F"/>
    <w:rsid w:val="00C914DE"/>
    <w:rsid w:val="00C91B8A"/>
    <w:rsid w:val="00C95DF3"/>
    <w:rsid w:val="00C96314"/>
    <w:rsid w:val="00CA1467"/>
    <w:rsid w:val="00CA3DCA"/>
    <w:rsid w:val="00CA427F"/>
    <w:rsid w:val="00CA45B1"/>
    <w:rsid w:val="00CA581D"/>
    <w:rsid w:val="00CA7A2C"/>
    <w:rsid w:val="00CB3A75"/>
    <w:rsid w:val="00CB6BEF"/>
    <w:rsid w:val="00CC5EFF"/>
    <w:rsid w:val="00CC65EC"/>
    <w:rsid w:val="00CD0657"/>
    <w:rsid w:val="00CD09D5"/>
    <w:rsid w:val="00CD0BD2"/>
    <w:rsid w:val="00CD1F49"/>
    <w:rsid w:val="00CD76C9"/>
    <w:rsid w:val="00CE00BD"/>
    <w:rsid w:val="00CE41BB"/>
    <w:rsid w:val="00CE5A3D"/>
    <w:rsid w:val="00CE5D4E"/>
    <w:rsid w:val="00CF0D66"/>
    <w:rsid w:val="00CF1839"/>
    <w:rsid w:val="00CF34C4"/>
    <w:rsid w:val="00D02781"/>
    <w:rsid w:val="00D02BB5"/>
    <w:rsid w:val="00D03E01"/>
    <w:rsid w:val="00D0532D"/>
    <w:rsid w:val="00D05D96"/>
    <w:rsid w:val="00D07AB4"/>
    <w:rsid w:val="00D11FDF"/>
    <w:rsid w:val="00D14516"/>
    <w:rsid w:val="00D15558"/>
    <w:rsid w:val="00D1598B"/>
    <w:rsid w:val="00D26314"/>
    <w:rsid w:val="00D27189"/>
    <w:rsid w:val="00D3542D"/>
    <w:rsid w:val="00D35F58"/>
    <w:rsid w:val="00D36BC0"/>
    <w:rsid w:val="00D421D4"/>
    <w:rsid w:val="00D53DB9"/>
    <w:rsid w:val="00D55D98"/>
    <w:rsid w:val="00D603EF"/>
    <w:rsid w:val="00D61EF6"/>
    <w:rsid w:val="00D6211F"/>
    <w:rsid w:val="00D627A2"/>
    <w:rsid w:val="00D6296D"/>
    <w:rsid w:val="00D66BCE"/>
    <w:rsid w:val="00D70F6A"/>
    <w:rsid w:val="00D73AEE"/>
    <w:rsid w:val="00D76766"/>
    <w:rsid w:val="00D76FAB"/>
    <w:rsid w:val="00D807A5"/>
    <w:rsid w:val="00D832E4"/>
    <w:rsid w:val="00D846ED"/>
    <w:rsid w:val="00D86DB3"/>
    <w:rsid w:val="00D8790E"/>
    <w:rsid w:val="00D87DD4"/>
    <w:rsid w:val="00D9308A"/>
    <w:rsid w:val="00D935B0"/>
    <w:rsid w:val="00D93D89"/>
    <w:rsid w:val="00D95757"/>
    <w:rsid w:val="00DA223E"/>
    <w:rsid w:val="00DA3A4A"/>
    <w:rsid w:val="00DA5315"/>
    <w:rsid w:val="00DA5DF8"/>
    <w:rsid w:val="00DA6CD6"/>
    <w:rsid w:val="00DB330B"/>
    <w:rsid w:val="00DB3427"/>
    <w:rsid w:val="00DB7A6E"/>
    <w:rsid w:val="00DB7D81"/>
    <w:rsid w:val="00DC22EF"/>
    <w:rsid w:val="00DC453E"/>
    <w:rsid w:val="00DC4644"/>
    <w:rsid w:val="00DC4F65"/>
    <w:rsid w:val="00DC6C05"/>
    <w:rsid w:val="00DD0842"/>
    <w:rsid w:val="00DD0F18"/>
    <w:rsid w:val="00DD3961"/>
    <w:rsid w:val="00DD4608"/>
    <w:rsid w:val="00DD66BF"/>
    <w:rsid w:val="00DD6724"/>
    <w:rsid w:val="00DE44AC"/>
    <w:rsid w:val="00DF0B5B"/>
    <w:rsid w:val="00DF3549"/>
    <w:rsid w:val="00DF5230"/>
    <w:rsid w:val="00E00A25"/>
    <w:rsid w:val="00E01933"/>
    <w:rsid w:val="00E056CD"/>
    <w:rsid w:val="00E107B4"/>
    <w:rsid w:val="00E114DD"/>
    <w:rsid w:val="00E14D01"/>
    <w:rsid w:val="00E2178B"/>
    <w:rsid w:val="00E23E58"/>
    <w:rsid w:val="00E26ABA"/>
    <w:rsid w:val="00E27EF5"/>
    <w:rsid w:val="00E31E97"/>
    <w:rsid w:val="00E37852"/>
    <w:rsid w:val="00E40AFC"/>
    <w:rsid w:val="00E40BD8"/>
    <w:rsid w:val="00E41013"/>
    <w:rsid w:val="00E42B98"/>
    <w:rsid w:val="00E43CD0"/>
    <w:rsid w:val="00E45969"/>
    <w:rsid w:val="00E45AA4"/>
    <w:rsid w:val="00E479E4"/>
    <w:rsid w:val="00E51126"/>
    <w:rsid w:val="00E5217D"/>
    <w:rsid w:val="00E53155"/>
    <w:rsid w:val="00E53399"/>
    <w:rsid w:val="00E61E38"/>
    <w:rsid w:val="00E63FBB"/>
    <w:rsid w:val="00E7366B"/>
    <w:rsid w:val="00E74C7F"/>
    <w:rsid w:val="00E75B64"/>
    <w:rsid w:val="00E8209C"/>
    <w:rsid w:val="00E8230F"/>
    <w:rsid w:val="00E83644"/>
    <w:rsid w:val="00E83A32"/>
    <w:rsid w:val="00E875E0"/>
    <w:rsid w:val="00E879EE"/>
    <w:rsid w:val="00E95362"/>
    <w:rsid w:val="00E97A89"/>
    <w:rsid w:val="00EA49E8"/>
    <w:rsid w:val="00EA597D"/>
    <w:rsid w:val="00EA5CB1"/>
    <w:rsid w:val="00EB2BF4"/>
    <w:rsid w:val="00EC3EA0"/>
    <w:rsid w:val="00EC65D0"/>
    <w:rsid w:val="00ED64E6"/>
    <w:rsid w:val="00EE19ED"/>
    <w:rsid w:val="00EE3B17"/>
    <w:rsid w:val="00EE77B2"/>
    <w:rsid w:val="00EF6C67"/>
    <w:rsid w:val="00EF6C93"/>
    <w:rsid w:val="00EF7031"/>
    <w:rsid w:val="00F03F35"/>
    <w:rsid w:val="00F04D48"/>
    <w:rsid w:val="00F06C65"/>
    <w:rsid w:val="00F07236"/>
    <w:rsid w:val="00F074E9"/>
    <w:rsid w:val="00F16371"/>
    <w:rsid w:val="00F16F80"/>
    <w:rsid w:val="00F20F58"/>
    <w:rsid w:val="00F224AF"/>
    <w:rsid w:val="00F22D46"/>
    <w:rsid w:val="00F22EEB"/>
    <w:rsid w:val="00F24908"/>
    <w:rsid w:val="00F268DB"/>
    <w:rsid w:val="00F27DE8"/>
    <w:rsid w:val="00F319D0"/>
    <w:rsid w:val="00F34BCC"/>
    <w:rsid w:val="00F37287"/>
    <w:rsid w:val="00F37502"/>
    <w:rsid w:val="00F40353"/>
    <w:rsid w:val="00F40AA5"/>
    <w:rsid w:val="00F4262C"/>
    <w:rsid w:val="00F46408"/>
    <w:rsid w:val="00F46819"/>
    <w:rsid w:val="00F5236F"/>
    <w:rsid w:val="00F52E28"/>
    <w:rsid w:val="00F53937"/>
    <w:rsid w:val="00F56D41"/>
    <w:rsid w:val="00F5776E"/>
    <w:rsid w:val="00F600A1"/>
    <w:rsid w:val="00F64972"/>
    <w:rsid w:val="00F64E6D"/>
    <w:rsid w:val="00F65AF1"/>
    <w:rsid w:val="00F710DC"/>
    <w:rsid w:val="00F73226"/>
    <w:rsid w:val="00F737AC"/>
    <w:rsid w:val="00F74552"/>
    <w:rsid w:val="00F8142F"/>
    <w:rsid w:val="00F82D42"/>
    <w:rsid w:val="00F8566A"/>
    <w:rsid w:val="00F87571"/>
    <w:rsid w:val="00F8759D"/>
    <w:rsid w:val="00F875AD"/>
    <w:rsid w:val="00F95186"/>
    <w:rsid w:val="00F961F4"/>
    <w:rsid w:val="00FA01EB"/>
    <w:rsid w:val="00FA0F38"/>
    <w:rsid w:val="00FA11FC"/>
    <w:rsid w:val="00FA2740"/>
    <w:rsid w:val="00FA2F7B"/>
    <w:rsid w:val="00FA4331"/>
    <w:rsid w:val="00FA5DFE"/>
    <w:rsid w:val="00FA618B"/>
    <w:rsid w:val="00FB0302"/>
    <w:rsid w:val="00FB0345"/>
    <w:rsid w:val="00FB0C62"/>
    <w:rsid w:val="00FB2C4A"/>
    <w:rsid w:val="00FB300D"/>
    <w:rsid w:val="00FB3AEA"/>
    <w:rsid w:val="00FC2E7E"/>
    <w:rsid w:val="00FC6D9C"/>
    <w:rsid w:val="00FC788D"/>
    <w:rsid w:val="00FD3FA0"/>
    <w:rsid w:val="00FD500C"/>
    <w:rsid w:val="00FD6D43"/>
    <w:rsid w:val="00FE0C7C"/>
    <w:rsid w:val="00FE1133"/>
    <w:rsid w:val="00FE1B07"/>
    <w:rsid w:val="00FE1D42"/>
    <w:rsid w:val="00FE2277"/>
    <w:rsid w:val="00FE2977"/>
    <w:rsid w:val="00FE3827"/>
    <w:rsid w:val="00FE38EA"/>
    <w:rsid w:val="00FE5A5B"/>
    <w:rsid w:val="00FE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26CAC"/>
  <w15:docId w15:val="{5F532F28-C5D5-4DAD-A23F-ECE9D0CD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44E"/>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E234E"/>
    <w:rPr>
      <w:sz w:val="20"/>
      <w:szCs w:val="20"/>
    </w:rPr>
  </w:style>
  <w:style w:type="character" w:styleId="FootnoteReference">
    <w:name w:val="footnote reference"/>
    <w:basedOn w:val="DefaultParagraphFont"/>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link w:val="FooterChar"/>
    <w:uiPriority w:val="99"/>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uiPriority w:val="99"/>
    <w:semiHidden/>
    <w:rsid w:val="00B76BBA"/>
    <w:rPr>
      <w:sz w:val="16"/>
      <w:szCs w:val="16"/>
    </w:rPr>
  </w:style>
  <w:style w:type="paragraph" w:styleId="CommentText">
    <w:name w:val="annotation text"/>
    <w:basedOn w:val="Normal"/>
    <w:link w:val="CommentTextChar"/>
    <w:uiPriority w:val="99"/>
    <w:semiHidden/>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character" w:customStyle="1" w:styleId="CommentTextChar">
    <w:name w:val="Comment Text Char"/>
    <w:basedOn w:val="DefaultParagraphFont"/>
    <w:link w:val="CommentText"/>
    <w:uiPriority w:val="99"/>
    <w:semiHidden/>
    <w:rsid w:val="000948CF"/>
  </w:style>
  <w:style w:type="paragraph" w:styleId="Revision">
    <w:name w:val="Revision"/>
    <w:hidden/>
    <w:uiPriority w:val="99"/>
    <w:semiHidden/>
    <w:rsid w:val="00515328"/>
    <w:rPr>
      <w:sz w:val="24"/>
      <w:szCs w:val="24"/>
    </w:rPr>
  </w:style>
  <w:style w:type="paragraph" w:styleId="Caption">
    <w:name w:val="caption"/>
    <w:basedOn w:val="Normal"/>
    <w:next w:val="Normal"/>
    <w:qFormat/>
    <w:rsid w:val="00BA7B22"/>
    <w:pPr>
      <w:spacing w:before="120" w:after="120"/>
    </w:pPr>
    <w:rPr>
      <w:b/>
      <w:bCs/>
      <w:sz w:val="22"/>
      <w:szCs w:val="20"/>
    </w:rPr>
  </w:style>
  <w:style w:type="character" w:customStyle="1" w:styleId="FootnoteTextChar">
    <w:name w:val="Footnote Text Char"/>
    <w:link w:val="FootnoteText"/>
    <w:semiHidden/>
    <w:rsid w:val="00147C76"/>
  </w:style>
  <w:style w:type="character" w:customStyle="1" w:styleId="FooterChar">
    <w:name w:val="Footer Char"/>
    <w:basedOn w:val="DefaultParagraphFont"/>
    <w:link w:val="Footer"/>
    <w:uiPriority w:val="99"/>
    <w:rsid w:val="00FC6D9C"/>
    <w:rPr>
      <w:sz w:val="24"/>
      <w:szCs w:val="24"/>
    </w:rPr>
  </w:style>
  <w:style w:type="paragraph" w:styleId="BodyText">
    <w:name w:val="Body Text"/>
    <w:basedOn w:val="Normal"/>
    <w:link w:val="BodyTextChar"/>
    <w:unhideWhenUsed/>
    <w:rsid w:val="00C75A5B"/>
    <w:pPr>
      <w:spacing w:after="180" w:line="264" w:lineRule="auto"/>
    </w:pPr>
    <w:rPr>
      <w:sz w:val="22"/>
      <w:szCs w:val="20"/>
    </w:rPr>
  </w:style>
  <w:style w:type="character" w:customStyle="1" w:styleId="BodyTextChar">
    <w:name w:val="Body Text Char"/>
    <w:basedOn w:val="DefaultParagraphFont"/>
    <w:link w:val="BodyText"/>
    <w:rsid w:val="00C75A5B"/>
    <w:rPr>
      <w:sz w:val="22"/>
    </w:rPr>
  </w:style>
  <w:style w:type="character" w:customStyle="1" w:styleId="PageNumber1">
    <w:name w:val="Page Number1"/>
    <w:basedOn w:val="DefaultParagraphFont"/>
    <w:rsid w:val="003D575C"/>
    <w:rPr>
      <w:rFonts w:ascii="Arial" w:hAnsi="Arial"/>
      <w:b/>
      <w:dstrike w:val="0"/>
      <w:color w:val="595959"/>
      <w:sz w:val="18"/>
      <w:bdr w:val="none" w:sz="0" w:space="0" w:color="auto"/>
      <w:vertAlign w:val="baseline"/>
    </w:rPr>
  </w:style>
  <w:style w:type="character" w:styleId="PageNumber">
    <w:name w:val="page number"/>
    <w:basedOn w:val="DefaultParagraphFont"/>
    <w:semiHidden/>
    <w:unhideWhenUsed/>
    <w:rsid w:val="003D5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65349">
      <w:bodyDiv w:val="1"/>
      <w:marLeft w:val="0"/>
      <w:marRight w:val="0"/>
      <w:marTop w:val="0"/>
      <w:marBottom w:val="0"/>
      <w:divBdr>
        <w:top w:val="none" w:sz="0" w:space="0" w:color="auto"/>
        <w:left w:val="none" w:sz="0" w:space="0" w:color="auto"/>
        <w:bottom w:val="none" w:sz="0" w:space="0" w:color="auto"/>
        <w:right w:val="none" w:sz="0" w:space="0" w:color="auto"/>
      </w:divBdr>
    </w:div>
    <w:div w:id="333269382">
      <w:bodyDiv w:val="1"/>
      <w:marLeft w:val="0"/>
      <w:marRight w:val="0"/>
      <w:marTop w:val="0"/>
      <w:marBottom w:val="0"/>
      <w:divBdr>
        <w:top w:val="none" w:sz="0" w:space="0" w:color="auto"/>
        <w:left w:val="none" w:sz="0" w:space="0" w:color="auto"/>
        <w:bottom w:val="none" w:sz="0" w:space="0" w:color="auto"/>
        <w:right w:val="none" w:sz="0" w:space="0" w:color="auto"/>
      </w:divBdr>
    </w:div>
    <w:div w:id="373968803">
      <w:bodyDiv w:val="1"/>
      <w:marLeft w:val="0"/>
      <w:marRight w:val="0"/>
      <w:marTop w:val="0"/>
      <w:marBottom w:val="0"/>
      <w:divBdr>
        <w:top w:val="none" w:sz="0" w:space="0" w:color="auto"/>
        <w:left w:val="none" w:sz="0" w:space="0" w:color="auto"/>
        <w:bottom w:val="none" w:sz="0" w:space="0" w:color="auto"/>
        <w:right w:val="none" w:sz="0" w:space="0" w:color="auto"/>
      </w:divBdr>
    </w:div>
    <w:div w:id="563952759">
      <w:bodyDiv w:val="1"/>
      <w:marLeft w:val="0"/>
      <w:marRight w:val="0"/>
      <w:marTop w:val="0"/>
      <w:marBottom w:val="0"/>
      <w:divBdr>
        <w:top w:val="none" w:sz="0" w:space="0" w:color="auto"/>
        <w:left w:val="none" w:sz="0" w:space="0" w:color="auto"/>
        <w:bottom w:val="none" w:sz="0" w:space="0" w:color="auto"/>
        <w:right w:val="none" w:sz="0" w:space="0" w:color="auto"/>
      </w:divBdr>
    </w:div>
    <w:div w:id="710307893">
      <w:bodyDiv w:val="1"/>
      <w:marLeft w:val="0"/>
      <w:marRight w:val="0"/>
      <w:marTop w:val="0"/>
      <w:marBottom w:val="0"/>
      <w:divBdr>
        <w:top w:val="none" w:sz="0" w:space="0" w:color="auto"/>
        <w:left w:val="none" w:sz="0" w:space="0" w:color="auto"/>
        <w:bottom w:val="none" w:sz="0" w:space="0" w:color="auto"/>
        <w:right w:val="none" w:sz="0" w:space="0" w:color="auto"/>
      </w:divBdr>
    </w:div>
    <w:div w:id="777680211">
      <w:bodyDiv w:val="1"/>
      <w:marLeft w:val="0"/>
      <w:marRight w:val="0"/>
      <w:marTop w:val="0"/>
      <w:marBottom w:val="0"/>
      <w:divBdr>
        <w:top w:val="none" w:sz="0" w:space="0" w:color="auto"/>
        <w:left w:val="none" w:sz="0" w:space="0" w:color="auto"/>
        <w:bottom w:val="none" w:sz="0" w:space="0" w:color="auto"/>
        <w:right w:val="none" w:sz="0" w:space="0" w:color="auto"/>
      </w:divBdr>
    </w:div>
    <w:div w:id="882792194">
      <w:bodyDiv w:val="1"/>
      <w:marLeft w:val="0"/>
      <w:marRight w:val="0"/>
      <w:marTop w:val="0"/>
      <w:marBottom w:val="0"/>
      <w:divBdr>
        <w:top w:val="none" w:sz="0" w:space="0" w:color="auto"/>
        <w:left w:val="none" w:sz="0" w:space="0" w:color="auto"/>
        <w:bottom w:val="none" w:sz="0" w:space="0" w:color="auto"/>
        <w:right w:val="none" w:sz="0" w:space="0" w:color="auto"/>
      </w:divBdr>
    </w:div>
    <w:div w:id="1049233445">
      <w:bodyDiv w:val="1"/>
      <w:marLeft w:val="0"/>
      <w:marRight w:val="0"/>
      <w:marTop w:val="0"/>
      <w:marBottom w:val="0"/>
      <w:divBdr>
        <w:top w:val="none" w:sz="0" w:space="0" w:color="auto"/>
        <w:left w:val="none" w:sz="0" w:space="0" w:color="auto"/>
        <w:bottom w:val="none" w:sz="0" w:space="0" w:color="auto"/>
        <w:right w:val="none" w:sz="0" w:space="0" w:color="auto"/>
      </w:divBdr>
    </w:div>
    <w:div w:id="1183204389">
      <w:bodyDiv w:val="1"/>
      <w:marLeft w:val="0"/>
      <w:marRight w:val="0"/>
      <w:marTop w:val="0"/>
      <w:marBottom w:val="0"/>
      <w:divBdr>
        <w:top w:val="none" w:sz="0" w:space="0" w:color="auto"/>
        <w:left w:val="none" w:sz="0" w:space="0" w:color="auto"/>
        <w:bottom w:val="none" w:sz="0" w:space="0" w:color="auto"/>
        <w:right w:val="none" w:sz="0" w:space="0" w:color="auto"/>
      </w:divBdr>
    </w:div>
    <w:div w:id="1213809000">
      <w:bodyDiv w:val="1"/>
      <w:marLeft w:val="0"/>
      <w:marRight w:val="0"/>
      <w:marTop w:val="0"/>
      <w:marBottom w:val="0"/>
      <w:divBdr>
        <w:top w:val="none" w:sz="0" w:space="0" w:color="auto"/>
        <w:left w:val="none" w:sz="0" w:space="0" w:color="auto"/>
        <w:bottom w:val="none" w:sz="0" w:space="0" w:color="auto"/>
        <w:right w:val="none" w:sz="0" w:space="0" w:color="auto"/>
      </w:divBdr>
    </w:div>
    <w:div w:id="1548562260">
      <w:bodyDiv w:val="1"/>
      <w:marLeft w:val="0"/>
      <w:marRight w:val="0"/>
      <w:marTop w:val="0"/>
      <w:marBottom w:val="0"/>
      <w:divBdr>
        <w:top w:val="none" w:sz="0" w:space="0" w:color="auto"/>
        <w:left w:val="none" w:sz="0" w:space="0" w:color="auto"/>
        <w:bottom w:val="none" w:sz="0" w:space="0" w:color="auto"/>
        <w:right w:val="none" w:sz="0" w:space="0" w:color="auto"/>
      </w:divBdr>
    </w:div>
    <w:div w:id="1595088325">
      <w:bodyDiv w:val="1"/>
      <w:marLeft w:val="0"/>
      <w:marRight w:val="0"/>
      <w:marTop w:val="0"/>
      <w:marBottom w:val="0"/>
      <w:divBdr>
        <w:top w:val="none" w:sz="0" w:space="0" w:color="auto"/>
        <w:left w:val="none" w:sz="0" w:space="0" w:color="auto"/>
        <w:bottom w:val="none" w:sz="0" w:space="0" w:color="auto"/>
        <w:right w:val="none" w:sz="0" w:space="0" w:color="auto"/>
      </w:divBdr>
    </w:div>
    <w:div w:id="1684211219">
      <w:bodyDiv w:val="1"/>
      <w:marLeft w:val="0"/>
      <w:marRight w:val="0"/>
      <w:marTop w:val="0"/>
      <w:marBottom w:val="0"/>
      <w:divBdr>
        <w:top w:val="none" w:sz="0" w:space="0" w:color="auto"/>
        <w:left w:val="none" w:sz="0" w:space="0" w:color="auto"/>
        <w:bottom w:val="none" w:sz="0" w:space="0" w:color="auto"/>
        <w:right w:val="none" w:sz="0" w:space="0" w:color="auto"/>
      </w:divBdr>
    </w:div>
    <w:div w:id="1708943480">
      <w:bodyDiv w:val="1"/>
      <w:marLeft w:val="0"/>
      <w:marRight w:val="0"/>
      <w:marTop w:val="0"/>
      <w:marBottom w:val="0"/>
      <w:divBdr>
        <w:top w:val="none" w:sz="0" w:space="0" w:color="auto"/>
        <w:left w:val="none" w:sz="0" w:space="0" w:color="auto"/>
        <w:bottom w:val="none" w:sz="0" w:space="0" w:color="auto"/>
        <w:right w:val="none" w:sz="0" w:space="0" w:color="auto"/>
      </w:divBdr>
    </w:div>
    <w:div w:id="1823543241">
      <w:bodyDiv w:val="1"/>
      <w:marLeft w:val="0"/>
      <w:marRight w:val="0"/>
      <w:marTop w:val="0"/>
      <w:marBottom w:val="0"/>
      <w:divBdr>
        <w:top w:val="none" w:sz="0" w:space="0" w:color="auto"/>
        <w:left w:val="none" w:sz="0" w:space="0" w:color="auto"/>
        <w:bottom w:val="none" w:sz="0" w:space="0" w:color="auto"/>
        <w:right w:val="none" w:sz="0" w:space="0" w:color="auto"/>
      </w:divBdr>
    </w:div>
    <w:div w:id="1896893017">
      <w:bodyDiv w:val="1"/>
      <w:marLeft w:val="0"/>
      <w:marRight w:val="0"/>
      <w:marTop w:val="0"/>
      <w:marBottom w:val="0"/>
      <w:divBdr>
        <w:top w:val="none" w:sz="0" w:space="0" w:color="auto"/>
        <w:left w:val="none" w:sz="0" w:space="0" w:color="auto"/>
        <w:bottom w:val="none" w:sz="0" w:space="0" w:color="auto"/>
        <w:right w:val="none" w:sz="0" w:space="0" w:color="auto"/>
      </w:divBdr>
    </w:div>
    <w:div w:id="1914587845">
      <w:bodyDiv w:val="1"/>
      <w:marLeft w:val="0"/>
      <w:marRight w:val="0"/>
      <w:marTop w:val="0"/>
      <w:marBottom w:val="0"/>
      <w:divBdr>
        <w:top w:val="none" w:sz="0" w:space="0" w:color="auto"/>
        <w:left w:val="none" w:sz="0" w:space="0" w:color="auto"/>
        <w:bottom w:val="none" w:sz="0" w:space="0" w:color="auto"/>
        <w:right w:val="none" w:sz="0" w:space="0" w:color="auto"/>
      </w:divBdr>
      <w:divsChild>
        <w:div w:id="1018388746">
          <w:marLeft w:val="0"/>
          <w:marRight w:val="0"/>
          <w:marTop w:val="0"/>
          <w:marBottom w:val="0"/>
          <w:divBdr>
            <w:top w:val="none" w:sz="0" w:space="0" w:color="auto"/>
            <w:left w:val="none" w:sz="0" w:space="0" w:color="auto"/>
            <w:bottom w:val="none" w:sz="0" w:space="0" w:color="auto"/>
            <w:right w:val="none" w:sz="0" w:space="0" w:color="auto"/>
          </w:divBdr>
          <w:divsChild>
            <w:div w:id="1052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ViewICR?ref_nbr=200712-2070-0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pa.gov/oppt/newchems/epmn/epmn-index.htm" TargetMode="External"/><Relationship Id="rId4" Type="http://schemas.openxmlformats.org/officeDocument/2006/relationships/settings" Target="settings.xml"/><Relationship Id="rId9" Type="http://schemas.openxmlformats.org/officeDocument/2006/relationships/hyperlink" Target="http://www.epa.gov/oppt/chemtest/ereporti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po.gov/fdsys/pkg/CFR-2014-title40-vol31/pdf/CFR-2014-title40-vol31-part720.pdf" TargetMode="External"/><Relationship Id="rId2" Type="http://schemas.openxmlformats.org/officeDocument/2006/relationships/hyperlink" Target="http://www.gpo.gov/fdsys/pkg/FR-2010-01-06/pdf/E9-31004.pdf" TargetMode="External"/><Relationship Id="rId1" Type="http://schemas.openxmlformats.org/officeDocument/2006/relationships/hyperlink" Target="http://www.reginfo.gov/public/do/PRAViewICR?ref_nbr=201210-2070-001" TargetMode="External"/><Relationship Id="rId6" Type="http://schemas.openxmlformats.org/officeDocument/2006/relationships/hyperlink" Target="http://www.gpo.gov/fdsys/pkg/CFR-2014-title40-vol31/pdf/CFR-2014-title40-vol31-part725.pdf" TargetMode="External"/><Relationship Id="rId5" Type="http://schemas.openxmlformats.org/officeDocument/2006/relationships/hyperlink" Target="http://www.gpo.gov/fdsys/pkg/CFR-2014-title40-vol31/pdf/CFR-2014-title40-vol31-part723.pdf" TargetMode="External"/><Relationship Id="rId4" Type="http://schemas.openxmlformats.org/officeDocument/2006/relationships/hyperlink" Target="http://www.gpo.gov/fdsys/pkg/CFR-2014-title40-vol31/pdf/CFR-2014-title40-vol31-part7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EB4E8-5A64-4BBE-864F-BBFA61D9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Request for a Non-Substantive Change to an Existing Approved Information Collection</vt:lpstr>
    </vt:vector>
  </TitlesOfParts>
  <Company>EPA</Company>
  <LinksUpToDate>false</LinksUpToDate>
  <CharactersWithSpaces>6897</CharactersWithSpaces>
  <SharedDoc>false</SharedDoc>
  <HLinks>
    <vt:vector size="90" baseType="variant">
      <vt:variant>
        <vt:i4>917561</vt:i4>
      </vt:variant>
      <vt:variant>
        <vt:i4>81</vt:i4>
      </vt:variant>
      <vt:variant>
        <vt:i4>0</vt:i4>
      </vt:variant>
      <vt:variant>
        <vt:i4>5</vt:i4>
      </vt:variant>
      <vt:variant>
        <vt:lpwstr>http://www.reginfo.gov/public/do/PRAViewICR?ref_nbr=200712-2070-005</vt:lpwstr>
      </vt:variant>
      <vt:variant>
        <vt:lpwstr/>
      </vt:variant>
      <vt:variant>
        <vt:i4>57</vt:i4>
      </vt:variant>
      <vt:variant>
        <vt:i4>78</vt:i4>
      </vt:variant>
      <vt:variant>
        <vt:i4>0</vt:i4>
      </vt:variant>
      <vt:variant>
        <vt:i4>5</vt:i4>
      </vt:variant>
      <vt:variant>
        <vt:lpwstr>http://www.reginfo.gov/public/do/PRAViewICR?ref_nbr=200912-2070-002</vt:lpwstr>
      </vt:variant>
      <vt:variant>
        <vt:lpwstr/>
      </vt:variant>
      <vt:variant>
        <vt:i4>4849743</vt:i4>
      </vt:variant>
      <vt:variant>
        <vt:i4>75</vt:i4>
      </vt:variant>
      <vt:variant>
        <vt:i4>0</vt:i4>
      </vt:variant>
      <vt:variant>
        <vt:i4>5</vt:i4>
      </vt:variant>
      <vt:variant>
        <vt:lpwstr>http://www.regulations.gov/search/Regs/home.html</vt:lpwstr>
      </vt:variant>
      <vt:variant>
        <vt:lpwstr>documentDetail?R=0900006480a778c4</vt:lpwstr>
      </vt:variant>
      <vt:variant>
        <vt:i4>1835067</vt:i4>
      </vt:variant>
      <vt:variant>
        <vt:i4>68</vt:i4>
      </vt:variant>
      <vt:variant>
        <vt:i4>0</vt:i4>
      </vt:variant>
      <vt:variant>
        <vt:i4>5</vt:i4>
      </vt:variant>
      <vt:variant>
        <vt:lpwstr/>
      </vt:variant>
      <vt:variant>
        <vt:lpwstr>_Toc258935225</vt:lpwstr>
      </vt:variant>
      <vt:variant>
        <vt:i4>1835067</vt:i4>
      </vt:variant>
      <vt:variant>
        <vt:i4>62</vt:i4>
      </vt:variant>
      <vt:variant>
        <vt:i4>0</vt:i4>
      </vt:variant>
      <vt:variant>
        <vt:i4>5</vt:i4>
      </vt:variant>
      <vt:variant>
        <vt:lpwstr/>
      </vt:variant>
      <vt:variant>
        <vt:lpwstr>_Toc258935224</vt:lpwstr>
      </vt:variant>
      <vt:variant>
        <vt:i4>1835067</vt:i4>
      </vt:variant>
      <vt:variant>
        <vt:i4>56</vt:i4>
      </vt:variant>
      <vt:variant>
        <vt:i4>0</vt:i4>
      </vt:variant>
      <vt:variant>
        <vt:i4>5</vt:i4>
      </vt:variant>
      <vt:variant>
        <vt:lpwstr/>
      </vt:variant>
      <vt:variant>
        <vt:lpwstr>_Toc258935223</vt:lpwstr>
      </vt:variant>
      <vt:variant>
        <vt:i4>1835067</vt:i4>
      </vt:variant>
      <vt:variant>
        <vt:i4>50</vt:i4>
      </vt:variant>
      <vt:variant>
        <vt:i4>0</vt:i4>
      </vt:variant>
      <vt:variant>
        <vt:i4>5</vt:i4>
      </vt:variant>
      <vt:variant>
        <vt:lpwstr/>
      </vt:variant>
      <vt:variant>
        <vt:lpwstr>_Toc258935222</vt:lpwstr>
      </vt:variant>
      <vt:variant>
        <vt:i4>1835067</vt:i4>
      </vt:variant>
      <vt:variant>
        <vt:i4>44</vt:i4>
      </vt:variant>
      <vt:variant>
        <vt:i4>0</vt:i4>
      </vt:variant>
      <vt:variant>
        <vt:i4>5</vt:i4>
      </vt:variant>
      <vt:variant>
        <vt:lpwstr/>
      </vt:variant>
      <vt:variant>
        <vt:lpwstr>_Toc258935221</vt:lpwstr>
      </vt:variant>
      <vt:variant>
        <vt:i4>1835067</vt:i4>
      </vt:variant>
      <vt:variant>
        <vt:i4>38</vt:i4>
      </vt:variant>
      <vt:variant>
        <vt:i4>0</vt:i4>
      </vt:variant>
      <vt:variant>
        <vt:i4>5</vt:i4>
      </vt:variant>
      <vt:variant>
        <vt:lpwstr/>
      </vt:variant>
      <vt:variant>
        <vt:lpwstr>_Toc258935220</vt:lpwstr>
      </vt:variant>
      <vt:variant>
        <vt:i4>2031675</vt:i4>
      </vt:variant>
      <vt:variant>
        <vt:i4>32</vt:i4>
      </vt:variant>
      <vt:variant>
        <vt:i4>0</vt:i4>
      </vt:variant>
      <vt:variant>
        <vt:i4>5</vt:i4>
      </vt:variant>
      <vt:variant>
        <vt:lpwstr/>
      </vt:variant>
      <vt:variant>
        <vt:lpwstr>_Toc258935219</vt:lpwstr>
      </vt:variant>
      <vt:variant>
        <vt:i4>2031675</vt:i4>
      </vt:variant>
      <vt:variant>
        <vt:i4>26</vt:i4>
      </vt:variant>
      <vt:variant>
        <vt:i4>0</vt:i4>
      </vt:variant>
      <vt:variant>
        <vt:i4>5</vt:i4>
      </vt:variant>
      <vt:variant>
        <vt:lpwstr/>
      </vt:variant>
      <vt:variant>
        <vt:lpwstr>_Toc258935218</vt:lpwstr>
      </vt:variant>
      <vt:variant>
        <vt:i4>2031675</vt:i4>
      </vt:variant>
      <vt:variant>
        <vt:i4>20</vt:i4>
      </vt:variant>
      <vt:variant>
        <vt:i4>0</vt:i4>
      </vt:variant>
      <vt:variant>
        <vt:i4>5</vt:i4>
      </vt:variant>
      <vt:variant>
        <vt:lpwstr/>
      </vt:variant>
      <vt:variant>
        <vt:lpwstr>_Toc258935217</vt:lpwstr>
      </vt:variant>
      <vt:variant>
        <vt:i4>2031675</vt:i4>
      </vt:variant>
      <vt:variant>
        <vt:i4>14</vt:i4>
      </vt:variant>
      <vt:variant>
        <vt:i4>0</vt:i4>
      </vt:variant>
      <vt:variant>
        <vt:i4>5</vt:i4>
      </vt:variant>
      <vt:variant>
        <vt:lpwstr/>
      </vt:variant>
      <vt:variant>
        <vt:lpwstr>_Toc258935216</vt:lpwstr>
      </vt:variant>
      <vt:variant>
        <vt:i4>2031675</vt:i4>
      </vt:variant>
      <vt:variant>
        <vt:i4>8</vt:i4>
      </vt:variant>
      <vt:variant>
        <vt:i4>0</vt:i4>
      </vt:variant>
      <vt:variant>
        <vt:i4>5</vt:i4>
      </vt:variant>
      <vt:variant>
        <vt:lpwstr/>
      </vt:variant>
      <vt:variant>
        <vt:lpwstr>_Toc258935215</vt:lpwstr>
      </vt:variant>
      <vt:variant>
        <vt:i4>2031675</vt:i4>
      </vt:variant>
      <vt:variant>
        <vt:i4>2</vt:i4>
      </vt:variant>
      <vt:variant>
        <vt:i4>0</vt:i4>
      </vt:variant>
      <vt:variant>
        <vt:i4>5</vt:i4>
      </vt:variant>
      <vt:variant>
        <vt:lpwstr/>
      </vt:variant>
      <vt:variant>
        <vt:lpwstr>_Toc258935214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Non-Substantive Change to an Existing Approved Information Collection</dc:title>
  <dc:creator>Peter Smith</dc:creator>
  <cp:lastModifiedBy>Clark, Spencer</cp:lastModifiedBy>
  <cp:revision>2</cp:revision>
  <cp:lastPrinted>2014-09-11T15:53:00Z</cp:lastPrinted>
  <dcterms:created xsi:type="dcterms:W3CDTF">2015-07-20T15:48:00Z</dcterms:created>
  <dcterms:modified xsi:type="dcterms:W3CDTF">2015-07-20T15:48:00Z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