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EB" w:rsidRDefault="00F64EEB" w:rsidP="00B912ED">
      <w:pPr>
        <w:jc w:val="center"/>
        <w:rPr>
          <w:b/>
          <w:bCs/>
        </w:rPr>
      </w:pPr>
    </w:p>
    <w:p w:rsidR="00B912ED" w:rsidRDefault="00B912ED" w:rsidP="00B912ED">
      <w:pPr>
        <w:jc w:val="center"/>
        <w:rPr>
          <w:b/>
          <w:bCs/>
        </w:rPr>
      </w:pPr>
      <w:r>
        <w:rPr>
          <w:b/>
          <w:bCs/>
        </w:rPr>
        <w:t>Supporting Statement for a Request for OMB Review under</w:t>
      </w:r>
    </w:p>
    <w:p w:rsidR="00B912ED" w:rsidRDefault="00B912ED" w:rsidP="00B912ED">
      <w:pPr>
        <w:jc w:val="center"/>
        <w:rPr>
          <w:b/>
          <w:bCs/>
        </w:rPr>
      </w:pPr>
      <w:proofErr w:type="gramStart"/>
      <w:r>
        <w:rPr>
          <w:b/>
          <w:bCs/>
        </w:rPr>
        <w:t>the</w:t>
      </w:r>
      <w:proofErr w:type="gramEnd"/>
      <w:r>
        <w:rPr>
          <w:b/>
          <w:bCs/>
        </w:rPr>
        <w:t xml:space="preserve"> Paperwork Reduction Act</w:t>
      </w:r>
    </w:p>
    <w:p w:rsidR="00B912ED" w:rsidRDefault="00B912ED" w:rsidP="00B912ED">
      <w:pPr>
        <w:rPr>
          <w:b/>
          <w:bCs/>
        </w:rPr>
      </w:pPr>
    </w:p>
    <w:p w:rsidR="00B912ED" w:rsidRDefault="00B912ED" w:rsidP="00B912ED">
      <w:pPr>
        <w:rPr>
          <w:b/>
          <w:bCs/>
        </w:rPr>
      </w:pPr>
    </w:p>
    <w:p w:rsidR="00B912ED" w:rsidRPr="008B55AB" w:rsidRDefault="00B912ED" w:rsidP="00B912ED">
      <w:pPr>
        <w:pStyle w:val="Heading1"/>
        <w:numPr>
          <w:ilvl w:val="0"/>
          <w:numId w:val="0"/>
        </w:numPr>
        <w:ind w:left="720" w:hanging="720"/>
        <w:rPr>
          <w:b/>
        </w:rPr>
      </w:pPr>
      <w:r>
        <w:rPr>
          <w:b/>
        </w:rPr>
        <w:t>1.</w:t>
      </w:r>
      <w:r>
        <w:rPr>
          <w:b/>
        </w:rPr>
        <w:tab/>
      </w:r>
      <w:r w:rsidRPr="008B55AB">
        <w:rPr>
          <w:b/>
        </w:rPr>
        <w:t>IDENTIFICATION OF THE INFORMATION COLLECTION</w:t>
      </w:r>
    </w:p>
    <w:p w:rsidR="00B912ED" w:rsidRDefault="00B912ED" w:rsidP="00B912ED">
      <w:pPr>
        <w:jc w:val="both"/>
        <w:rPr>
          <w:b/>
          <w:bCs/>
        </w:rPr>
      </w:pP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rPr>
      </w:pPr>
      <w:r>
        <w:rPr>
          <w:b/>
          <w:bCs/>
        </w:rPr>
        <w:t>1(a)</w:t>
      </w:r>
      <w:r>
        <w:rPr>
          <w:b/>
          <w:bCs/>
        </w:rPr>
        <w:tab/>
        <w:t>Title and Number of the Information Collection</w:t>
      </w:r>
    </w:p>
    <w:p w:rsidR="00B912ED" w:rsidRDefault="00B912ED" w:rsidP="00B912ED">
      <w:pPr>
        <w:jc w:val="both"/>
        <w:rPr>
          <w:b/>
          <w:bCs/>
        </w:rPr>
      </w:pP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rPr>
      </w:pPr>
      <w:r>
        <w:rPr>
          <w:b/>
          <w:bCs/>
        </w:rPr>
        <w:t>Title:</w:t>
      </w:r>
      <w:r>
        <w:rPr>
          <w:b/>
          <w:bCs/>
        </w:rPr>
        <w:tab/>
        <w:t>TSCA Section 5(a</w:t>
      </w:r>
      <w:proofErr w:type="gramStart"/>
      <w:r>
        <w:rPr>
          <w:b/>
          <w:bCs/>
        </w:rPr>
        <w:t>)(</w:t>
      </w:r>
      <w:proofErr w:type="gramEnd"/>
      <w:r>
        <w:rPr>
          <w:b/>
          <w:bCs/>
        </w:rPr>
        <w:t>2) Significant New Use Rules for Existing Chemicals</w:t>
      </w:r>
    </w:p>
    <w:p w:rsidR="00B912ED" w:rsidRDefault="00B912ED" w:rsidP="00B912ED">
      <w:pPr>
        <w:rPr>
          <w:b/>
          <w:bCs/>
        </w:rPr>
      </w:pP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rPr>
          <w:b/>
          <w:bCs/>
        </w:rPr>
      </w:pPr>
      <w:r>
        <w:rPr>
          <w:b/>
          <w:bCs/>
        </w:rPr>
        <w:t>EPA ICR No.:  1188.11</w:t>
      </w:r>
      <w:r>
        <w:rPr>
          <w:b/>
          <w:bCs/>
        </w:rPr>
        <w:tab/>
        <w:t>OMB Control No.:  2070</w:t>
      </w:r>
      <w:r>
        <w:rPr>
          <w:b/>
          <w:bCs/>
        </w:rPr>
        <w:noBreakHyphen/>
        <w:t>0038</w:t>
      </w:r>
    </w:p>
    <w:p w:rsidR="00B912ED" w:rsidRDefault="00B912ED" w:rsidP="00B912ED">
      <w:pPr>
        <w:rPr>
          <w:b/>
          <w:bCs/>
        </w:rPr>
      </w:pP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1(b)</w:t>
      </w:r>
      <w:r>
        <w:rPr>
          <w:b/>
          <w:bCs/>
        </w:rPr>
        <w:tab/>
        <w:t>Short Characterization</w:t>
      </w:r>
    </w:p>
    <w:p w:rsidR="00B912ED" w:rsidRDefault="00B912ED" w:rsidP="00B912ED"/>
    <w:p w:rsidR="00B912ED" w:rsidRDefault="00B912ED" w:rsidP="00B912ED">
      <w:pPr>
        <w:ind w:firstLine="720"/>
      </w:pPr>
      <w:r>
        <w:t>Section 5 of the Toxic Substances Control Act (TSCA), 15 U.S.C. 2604 (see Attachment 1), authorizes EPA to determine that a use of a chemical substance is a “significant new use.”  EPA must make this determination by rule after considering all relevant factors, including those listed in TSCA section 5(a</w:t>
      </w:r>
      <w:proofErr w:type="gramStart"/>
      <w:r>
        <w:t>)(</w:t>
      </w:r>
      <w:proofErr w:type="gramEnd"/>
      <w:r>
        <w:t xml:space="preserve">2).  Once EPA determines that a use of a chemical substance is a significant new use, TSCA section 5(a)(1)(B) requires persons to submit a notice to EPA at least 90 days before they manufacture, import or process the substance for that use.  Regulations implementing significant new uses appear at 40 CFR </w:t>
      </w:r>
      <w:proofErr w:type="gramStart"/>
      <w:r>
        <w:t>part</w:t>
      </w:r>
      <w:proofErr w:type="gramEnd"/>
      <w:r>
        <w:t xml:space="preserve"> 721 (see Attachment 2).</w:t>
      </w:r>
    </w:p>
    <w:p w:rsidR="00B912ED" w:rsidRDefault="00B912ED" w:rsidP="00B912ED"/>
    <w:p w:rsidR="00B912ED" w:rsidRDefault="00B912ED" w:rsidP="00B912ED">
      <w:pPr>
        <w:ind w:firstLine="720"/>
      </w:pPr>
      <w:r>
        <w:t xml:space="preserve">Once EPA receives a significant new use rule (SNUR) notice, EPA may take regulatory action under TSCA sections 5(e), 5(f), 6 or 7 to control the activities for which it has received a SNUR notice.  If EPA does not take action, TSCA section 5(g) requires EPA to explain in the </w:t>
      </w:r>
      <w:r>
        <w:rPr>
          <w:u w:val="single"/>
        </w:rPr>
        <w:t>Federal Register</w:t>
      </w:r>
      <w:r>
        <w:t xml:space="preserve"> its reasons for not taking action.</w:t>
      </w:r>
    </w:p>
    <w:p w:rsidR="00B912ED" w:rsidRDefault="00B912ED" w:rsidP="00B912ED"/>
    <w:p w:rsidR="00B912ED" w:rsidRDefault="00B912ED" w:rsidP="00B912ED">
      <w:pPr>
        <w:ind w:firstLine="720"/>
      </w:pPr>
      <w:r>
        <w:t xml:space="preserve">Persons who intend to export a substance identified in a proposed or final SNUR are subject to the export notification provisions of TSCA section 12(b).  The regulations that interpret TSCA section 12(b) appear at 40 CFR </w:t>
      </w:r>
      <w:proofErr w:type="gramStart"/>
      <w:r>
        <w:t>part</w:t>
      </w:r>
      <w:proofErr w:type="gramEnd"/>
      <w:r>
        <w:t xml:space="preserve"> 707.</w:t>
      </w:r>
    </w:p>
    <w:p w:rsidR="00B912ED" w:rsidRDefault="00B912ED" w:rsidP="00B912ED"/>
    <w:p w:rsidR="00B912ED" w:rsidRDefault="00B912ED" w:rsidP="00B912ED"/>
    <w:p w:rsidR="00B912ED" w:rsidRPr="008B55AB" w:rsidRDefault="00B912ED" w:rsidP="00B912ED">
      <w:pPr>
        <w:pStyle w:val="Heading1"/>
        <w:numPr>
          <w:ilvl w:val="0"/>
          <w:numId w:val="0"/>
        </w:numPr>
        <w:ind w:left="720" w:hanging="720"/>
        <w:rPr>
          <w:b/>
        </w:rPr>
      </w:pPr>
      <w:r>
        <w:rPr>
          <w:b/>
        </w:rPr>
        <w:t>2.</w:t>
      </w:r>
      <w:r>
        <w:rPr>
          <w:b/>
        </w:rPr>
        <w:tab/>
      </w:r>
      <w:r w:rsidRPr="008B55AB">
        <w:rPr>
          <w:b/>
        </w:rPr>
        <w:t>NEED FOR AND USE OF THE COLLECTION</w:t>
      </w:r>
    </w:p>
    <w:p w:rsidR="00B912ED" w:rsidRDefault="00B912ED" w:rsidP="00B912ED">
      <w:pPr>
        <w:rPr>
          <w:b/>
          <w:bCs/>
        </w:rPr>
      </w:pP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2(a)</w:t>
      </w:r>
      <w:r>
        <w:rPr>
          <w:b/>
          <w:bCs/>
        </w:rPr>
        <w:tab/>
        <w:t>Need/Authority for the Collection</w:t>
      </w:r>
    </w:p>
    <w:p w:rsidR="00B912ED" w:rsidRDefault="00B912ED" w:rsidP="00B912ED"/>
    <w:p w:rsidR="00B912ED" w:rsidRDefault="00B912ED" w:rsidP="00B912ED">
      <w:pPr>
        <w:ind w:firstLine="720"/>
      </w:pPr>
      <w:r>
        <w:t>TSCA section 5(a</w:t>
      </w:r>
      <w:proofErr w:type="gramStart"/>
      <w:r>
        <w:t>)(</w:t>
      </w:r>
      <w:proofErr w:type="gramEnd"/>
      <w:r>
        <w:t>2) provides the Office of Pollution Prevention and Toxics (OPPT) with the authority to monitor and control significant new uses of existing chemical substances.  The factors considered by the Administrator in determining a significant new use are:</w:t>
      </w: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1)</w:t>
      </w:r>
      <w:r>
        <w:tab/>
        <w:t>The projected volume of manufacturing and processing of a chemical substance;</w:t>
      </w: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2)</w:t>
      </w:r>
      <w:r>
        <w:tab/>
        <w:t>The extent to which a use changes the type or form of exposure of human beings or the environment to a chemical substance;</w:t>
      </w:r>
    </w:p>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3)</w:t>
      </w:r>
      <w:r>
        <w:tab/>
        <w:t>The extent to which a use increases the magnitude and duration of exposure of human beings or the environment to a chemical substance; and</w:t>
      </w:r>
    </w:p>
    <w:p w:rsidR="00F64EEB" w:rsidRDefault="00B912ED" w:rsidP="00F64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4)</w:t>
      </w:r>
      <w:r>
        <w:tab/>
        <w:t>The reasonably anticipated manner and methods of manufacturing, processing, distribution in commerce, and disposal of a chemical substance.</w:t>
      </w:r>
    </w:p>
    <w:p w:rsidR="00B912ED" w:rsidRDefault="00F64EEB" w:rsidP="00F64EE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ab/>
      </w:r>
      <w:r w:rsidR="00B912ED">
        <w:t xml:space="preserve">Once the Administrator makes such a designation, the Agency proposes a Significant New Use Rule (SNUR).  If a final rule is promulgated, a person who intends to engage in a significant new use of a chemical covered by a SNUR must notify EPA of his/her intentions.  This notification, made via the Significant New Use Notice (SNUN), must occur at least 90 days prior to commencing the new use of the identified substance.  The required notice must be submitted </w:t>
      </w:r>
      <w:r w:rsidR="00B912ED" w:rsidRPr="009455CC">
        <w:t>electronically, via the Central Data Exchange (CDX), using the Agency’s e-PMN software. The PMN form provides data on the identity and use of, and possible exposures to, the chemical substance.</w:t>
      </w:r>
      <w:r w:rsidR="00B912ED">
        <w:t xml:space="preserve">  In addition, the PMN form provides test data plus descriptions of health and environmental effects data based on the manufacture, processing, use, distribution in commerce, and disposal of the chemical.</w:t>
      </w:r>
    </w:p>
    <w:p w:rsidR="00B912ED" w:rsidRDefault="00B912ED" w:rsidP="00B912ED">
      <w:pPr>
        <w:ind w:firstLine="720"/>
      </w:pPr>
    </w:p>
    <w:p w:rsidR="00B912ED" w:rsidRDefault="00B912ED" w:rsidP="00B912ED">
      <w:pPr>
        <w:ind w:firstLine="720"/>
      </w:pPr>
      <w:r>
        <w:t xml:space="preserve">The Agency has 90 days to evaluate a SNUN once it has been received.  This evaluation focuses on the health and environmental effects of the substance’s significant new use.  Should EPA find </w:t>
      </w:r>
      <w:proofErr w:type="gramStart"/>
      <w:r>
        <w:t>cause</w:t>
      </w:r>
      <w:proofErr w:type="gramEnd"/>
      <w:r>
        <w:t xml:space="preserve"> for concern, the Agency can take regulatory action as per TSCA sections 5(e) and 5(f)</w:t>
      </w:r>
      <w:r>
        <w:rPr>
          <w:rStyle w:val="FootnoteReference"/>
          <w:vertAlign w:val="superscript"/>
        </w:rPr>
        <w:footnoteReference w:id="1"/>
      </w:r>
      <w:r>
        <w:t>.  Likewise, the Agency may extend the evaluation period by up to 90 days with good cause.  If EPA takes no action at the end of the review period, the submitter can engage in the intended new use without any restrictions.</w:t>
      </w:r>
    </w:p>
    <w:p w:rsidR="00B912ED" w:rsidRDefault="00B912ED" w:rsidP="00B912ED"/>
    <w:p w:rsidR="00B912ED" w:rsidRDefault="00B912ED" w:rsidP="00B91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2(b)</w:t>
      </w:r>
      <w:r>
        <w:rPr>
          <w:b/>
          <w:bCs/>
        </w:rPr>
        <w:tab/>
        <w:t>Practical Utility/Users of the Data</w:t>
      </w:r>
    </w:p>
    <w:p w:rsidR="00B912ED" w:rsidRDefault="00B912ED" w:rsidP="00B912ED"/>
    <w:p w:rsidR="00B912ED" w:rsidRDefault="00B912ED" w:rsidP="00B912ED">
      <w:pPr>
        <w:ind w:firstLine="720"/>
      </w:pPr>
      <w:r>
        <w:t xml:space="preserve">EPA uses this information to evaluate the health and environmental effects of the significant new use.  During the evaluation period EPA can take further regulatory action pursuant to TSCA sections 5(e) and 5(f).  Under TSCA section 5(e), the Administrator may issue an order to prohibit or limit the manufacture, import, processing, </w:t>
      </w:r>
      <w:proofErr w:type="gramStart"/>
      <w:r>
        <w:t>distribution</w:t>
      </w:r>
      <w:proofErr w:type="gramEnd"/>
      <w:r>
        <w:t xml:space="preserve"> in commerce, use, or disposal of such substance.  TSCA section 5(f) allows the Administrator to, among other things, prohibit or limit the manufacture of the chemical substance, if the substance presents or will present an unreasonable risk of injury to health or the environment.</w:t>
      </w:r>
    </w:p>
    <w:p w:rsidR="00B912ED" w:rsidRDefault="00B912ED" w:rsidP="00B912ED"/>
    <w:p w:rsidR="00B912ED" w:rsidRDefault="00B912ED" w:rsidP="00B912ED">
      <w:pPr>
        <w:ind w:firstLine="720"/>
      </w:pPr>
      <w:r>
        <w:t xml:space="preserve">To date EPA has promulgated SNURs on </w:t>
      </w:r>
      <w:r w:rsidRPr="001A1F3B">
        <w:t>388</w:t>
      </w:r>
      <w:r>
        <w:t xml:space="preserve"> existing chemicals.  Presented in </w:t>
      </w:r>
      <w:r w:rsidRPr="001A1F3B">
        <w:t xml:space="preserve">Attachment </w:t>
      </w:r>
      <w:r>
        <w:t>5 are selected case history abstracts for some of these substances.  These abstracts highlight the needs of a particular office and the facts surrounding a substance.  This information when applied to the Regulatory Selection Criteria has resulted in final SNURs.</w:t>
      </w:r>
    </w:p>
    <w:p w:rsidR="00B912ED" w:rsidRDefault="00B912ED" w:rsidP="00B912ED">
      <w:pPr>
        <w:pStyle w:val="Heading1"/>
        <w:numPr>
          <w:ilvl w:val="0"/>
          <w:numId w:val="0"/>
        </w:numPr>
        <w:ind w:left="720" w:hanging="720"/>
        <w:rPr>
          <w:b/>
        </w:rPr>
      </w:pPr>
    </w:p>
    <w:p w:rsidR="00B912ED" w:rsidRDefault="00B912ED" w:rsidP="00B912ED">
      <w:pPr>
        <w:pStyle w:val="Heading1"/>
        <w:numPr>
          <w:ilvl w:val="0"/>
          <w:numId w:val="0"/>
        </w:numPr>
        <w:ind w:left="720" w:hanging="720"/>
        <w:rPr>
          <w:b/>
        </w:rPr>
      </w:pPr>
    </w:p>
    <w:p w:rsidR="00B912ED" w:rsidRPr="008B55AB" w:rsidRDefault="00B912ED" w:rsidP="00B912ED">
      <w:pPr>
        <w:pStyle w:val="Heading1"/>
        <w:numPr>
          <w:ilvl w:val="0"/>
          <w:numId w:val="0"/>
        </w:numPr>
        <w:ind w:left="720" w:hanging="720"/>
        <w:rPr>
          <w:b/>
        </w:rPr>
      </w:pPr>
      <w:r>
        <w:rPr>
          <w:b/>
        </w:rPr>
        <w:t>3.</w:t>
      </w:r>
      <w:r>
        <w:rPr>
          <w:b/>
        </w:rPr>
        <w:tab/>
      </w:r>
      <w:r w:rsidRPr="008B55AB">
        <w:rPr>
          <w:b/>
        </w:rPr>
        <w:t>NON-DUPLICATION, CONSULTATIONS AND OTHER COLLECTION CRITERIA</w:t>
      </w:r>
    </w:p>
    <w:p w:rsidR="00B912ED" w:rsidRDefault="00B912ED" w:rsidP="00B912ED">
      <w:pPr>
        <w:rPr>
          <w:b/>
          <w:bCs/>
        </w:rPr>
      </w:pPr>
    </w:p>
    <w:p w:rsidR="00B912ED" w:rsidRDefault="00B912ED" w:rsidP="00B912ED">
      <w:pPr>
        <w:ind w:left="1440" w:hanging="720"/>
      </w:pPr>
      <w:r>
        <w:rPr>
          <w:b/>
          <w:bCs/>
        </w:rPr>
        <w:t>3(a)</w:t>
      </w:r>
      <w:r>
        <w:rPr>
          <w:b/>
          <w:bCs/>
        </w:rPr>
        <w:tab/>
        <w:t>Non-Duplication</w:t>
      </w:r>
    </w:p>
    <w:p w:rsidR="00B912ED" w:rsidRDefault="00B912ED" w:rsidP="00B912ED"/>
    <w:p w:rsidR="00F64EEB" w:rsidRDefault="00B912ED" w:rsidP="00B912ED">
      <w:pPr>
        <w:ind w:firstLine="720"/>
      </w:pPr>
      <w:r>
        <w:t xml:space="preserve">EPA is the only federal agency that collects information on significant new uses of chemical substances.  A notification of </w:t>
      </w:r>
      <w:proofErr w:type="gramStart"/>
      <w:r>
        <w:t>an intent</w:t>
      </w:r>
      <w:proofErr w:type="gramEnd"/>
      <w:r>
        <w:t xml:space="preserve"> to engage in a significant new use serves two functions: as a notice, and as a document that contains information about a chemical substance and potential exposures to that substance.  The notification element is unique to SNURs and therefore not obtainable elsewhere.  The chemical information aspect will also contain unique information.  Only the person who intends to commence a significant new use of a chemical substance will know the potential for human and environmental exposures to that substance, the quantity intended to be produced, imported, or processed, and the manner in which the person will engage in the significant new use.</w:t>
      </w:r>
    </w:p>
    <w:p w:rsidR="00B912ED" w:rsidRDefault="00B912ED" w:rsidP="00B912ED">
      <w:pPr>
        <w:ind w:firstLine="720"/>
      </w:pPr>
      <w:r>
        <w:lastRenderedPageBreak/>
        <w:t>A person submitting a significant new use notice is not required to develop test data.  However, the person must submit data that are known to or reasonably ascertainable by that person.  For published data the submitter need only provide a literature citation (40 CFR 720.50(d</w:t>
      </w:r>
      <w:proofErr w:type="gramStart"/>
      <w:r>
        <w:t>)(</w:t>
      </w:r>
      <w:proofErr w:type="gramEnd"/>
      <w:r>
        <w:t>3)(ii)).  For existing chemicals that are related to the chemical substance that is the subject of the SNUR (e.g., impurities, byproducts), neither the published data nor a literature citation need be submitted.  Also, notices need not include information previously submitted to EPA (unless the previously submitted information was claimed confidential, in which case it must be resubmitted).</w:t>
      </w:r>
    </w:p>
    <w:p w:rsidR="00B912ED" w:rsidRDefault="00B912ED" w:rsidP="00B912ED"/>
    <w:p w:rsidR="00B912ED" w:rsidRDefault="00B912ED" w:rsidP="00B912ED">
      <w:pPr>
        <w:ind w:left="720"/>
        <w:rPr>
          <w:b/>
          <w:bCs/>
        </w:rPr>
      </w:pPr>
      <w:r>
        <w:rPr>
          <w:b/>
          <w:bCs/>
        </w:rPr>
        <w:t>3(b)</w:t>
      </w:r>
      <w:r>
        <w:rPr>
          <w:b/>
          <w:bCs/>
        </w:rPr>
        <w:tab/>
        <w:t>Public Notice Required Prior to ICR Submission to OMB</w:t>
      </w:r>
    </w:p>
    <w:p w:rsidR="00B912ED" w:rsidRDefault="00B912ED" w:rsidP="00B912ED"/>
    <w:p w:rsidR="00B912ED" w:rsidRDefault="00B912ED" w:rsidP="00B912ED">
      <w:pPr>
        <w:ind w:firstLine="720"/>
        <w:rPr>
          <w:color w:val="000000"/>
        </w:rPr>
      </w:pPr>
      <w:r w:rsidRPr="00BC2317">
        <w:rPr>
          <w:color w:val="000000"/>
        </w:rPr>
        <w:t>In proposing to renew this ICR, EPA provided a 60-day public notice and comment period tha</w:t>
      </w:r>
      <w:r>
        <w:rPr>
          <w:color w:val="000000"/>
        </w:rPr>
        <w:t>t ended on June 8, 2012 (77</w:t>
      </w:r>
      <w:r w:rsidR="009A0132">
        <w:rPr>
          <w:color w:val="000000"/>
        </w:rPr>
        <w:t xml:space="preserve"> FR </w:t>
      </w:r>
      <w:r>
        <w:rPr>
          <w:color w:val="000000"/>
        </w:rPr>
        <w:t>21096</w:t>
      </w:r>
      <w:r w:rsidRPr="00BC2317">
        <w:rPr>
          <w:color w:val="000000"/>
        </w:rPr>
        <w:t xml:space="preserve">, </w:t>
      </w:r>
      <w:r w:rsidR="009A0132">
        <w:rPr>
          <w:color w:val="000000"/>
        </w:rPr>
        <w:t>April 9, 2012</w:t>
      </w:r>
      <w:r w:rsidRPr="00BC2317">
        <w:rPr>
          <w:color w:val="000000"/>
        </w:rPr>
        <w:t>).  EPA received no comments during the comment period.</w:t>
      </w:r>
    </w:p>
    <w:p w:rsidR="00B912ED" w:rsidRDefault="00B912ED" w:rsidP="00B912ED"/>
    <w:p w:rsidR="00B912ED" w:rsidRDefault="00B912ED" w:rsidP="00B912ED">
      <w:pPr>
        <w:ind w:left="1440" w:hanging="720"/>
        <w:rPr>
          <w:b/>
          <w:bCs/>
        </w:rPr>
      </w:pPr>
      <w:r>
        <w:rPr>
          <w:b/>
          <w:bCs/>
        </w:rPr>
        <w:t>3(c)</w:t>
      </w:r>
      <w:r>
        <w:rPr>
          <w:b/>
          <w:bCs/>
        </w:rPr>
        <w:tab/>
        <w:t>Consultations</w:t>
      </w:r>
    </w:p>
    <w:p w:rsidR="00B912ED" w:rsidRDefault="00B912ED" w:rsidP="00B912ED"/>
    <w:p w:rsidR="00B912ED" w:rsidRDefault="00B912ED" w:rsidP="00B912ED">
      <w:pPr>
        <w:ind w:firstLine="720"/>
        <w:rPr>
          <w:color w:val="000000"/>
        </w:rPr>
      </w:pPr>
      <w:r w:rsidRPr="00BC2317">
        <w:rPr>
          <w:color w:val="000000"/>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sidRPr="004F2808">
        <w:rPr>
          <w:color w:val="000000"/>
        </w:rPr>
        <w:t>nine</w:t>
      </w:r>
      <w:r w:rsidRPr="00BC2317">
        <w:rPr>
          <w:color w:val="000000"/>
        </w:rPr>
        <w:t xml:space="preserve"> parties via email.  The individuals contacted were:</w:t>
      </w:r>
    </w:p>
    <w:p w:rsidR="00B912ED" w:rsidRDefault="00B912ED" w:rsidP="00B912ED">
      <w:pPr>
        <w:ind w:firstLine="720"/>
        <w:rPr>
          <w:color w:val="000000"/>
        </w:rPr>
      </w:pPr>
    </w:p>
    <w:p w:rsidR="00B912ED" w:rsidRPr="004F2808" w:rsidRDefault="00B912ED" w:rsidP="00B912ED">
      <w:pPr>
        <w:ind w:firstLine="720"/>
        <w:rPr>
          <w:color w:val="000000"/>
        </w:rPr>
      </w:pPr>
      <w:r w:rsidRPr="004F2808">
        <w:rPr>
          <w:color w:val="000000"/>
        </w:rPr>
        <w:t>Mike Walls, Director</w:t>
      </w:r>
    </w:p>
    <w:p w:rsidR="00B912ED" w:rsidRPr="004F2808" w:rsidRDefault="00B912ED" w:rsidP="00B912ED">
      <w:pPr>
        <w:ind w:firstLine="720"/>
        <w:rPr>
          <w:color w:val="000000"/>
        </w:rPr>
      </w:pPr>
      <w:r w:rsidRPr="004F2808">
        <w:rPr>
          <w:color w:val="000000"/>
        </w:rPr>
        <w:t>Regulatory and Technical Affairs</w:t>
      </w:r>
    </w:p>
    <w:p w:rsidR="00B912ED" w:rsidRPr="004F2808" w:rsidRDefault="00B912ED" w:rsidP="00B912ED">
      <w:pPr>
        <w:ind w:firstLine="720"/>
        <w:rPr>
          <w:color w:val="000000"/>
        </w:rPr>
      </w:pPr>
      <w:r w:rsidRPr="004F2808">
        <w:rPr>
          <w:color w:val="000000"/>
        </w:rPr>
        <w:t>American Chemistry Council, Inc.</w:t>
      </w:r>
    </w:p>
    <w:p w:rsidR="00B912ED" w:rsidRPr="004F2808" w:rsidRDefault="00B912ED" w:rsidP="00B912ED">
      <w:pPr>
        <w:ind w:firstLine="720"/>
        <w:rPr>
          <w:color w:val="000000"/>
        </w:rPr>
      </w:pPr>
      <w:r w:rsidRPr="004F2808">
        <w:rPr>
          <w:color w:val="000000"/>
        </w:rPr>
        <w:t>1300 Wilson Boulevard</w:t>
      </w:r>
    </w:p>
    <w:p w:rsidR="00B912ED" w:rsidRPr="004F2808" w:rsidRDefault="00B912ED" w:rsidP="00B912ED">
      <w:pPr>
        <w:ind w:firstLine="720"/>
        <w:rPr>
          <w:color w:val="000000"/>
        </w:rPr>
      </w:pPr>
      <w:r w:rsidRPr="004F2808">
        <w:rPr>
          <w:color w:val="000000"/>
        </w:rPr>
        <w:t>Arlington, Virginia 22209</w:t>
      </w:r>
    </w:p>
    <w:p w:rsidR="00B912ED" w:rsidRPr="004F2808" w:rsidRDefault="00B912ED" w:rsidP="00B912ED">
      <w:pPr>
        <w:ind w:firstLine="720"/>
        <w:rPr>
          <w:color w:val="000000"/>
        </w:rPr>
      </w:pPr>
      <w:r w:rsidRPr="004F2808">
        <w:rPr>
          <w:color w:val="000000"/>
        </w:rPr>
        <w:t>Tel: (703) 741-5167</w:t>
      </w:r>
      <w:r w:rsidR="005472EA">
        <w:rPr>
          <w:color w:val="000000"/>
        </w:rPr>
        <w:t xml:space="preserve">    </w:t>
      </w:r>
      <w:r w:rsidRPr="004F2808">
        <w:rPr>
          <w:color w:val="000000"/>
        </w:rPr>
        <w:t>Fax: (703) 741-6000</w:t>
      </w:r>
    </w:p>
    <w:p w:rsidR="00B912ED" w:rsidRPr="004F2808" w:rsidRDefault="00B912ED" w:rsidP="00B912ED">
      <w:pPr>
        <w:ind w:firstLine="720"/>
        <w:rPr>
          <w:color w:val="000000"/>
        </w:rPr>
      </w:pPr>
      <w:r w:rsidRPr="004F2808">
        <w:rPr>
          <w:color w:val="000000"/>
        </w:rPr>
        <w:t xml:space="preserve">E-mail: mike_walls@americanchemistry.com </w:t>
      </w:r>
    </w:p>
    <w:p w:rsidR="00B912ED" w:rsidRPr="004F2808" w:rsidRDefault="00B912ED" w:rsidP="00B912ED">
      <w:pPr>
        <w:ind w:firstLine="720"/>
        <w:rPr>
          <w:color w:val="000000"/>
        </w:rPr>
      </w:pPr>
    </w:p>
    <w:p w:rsidR="00B912ED" w:rsidRPr="004F2808" w:rsidRDefault="00B912ED" w:rsidP="00B912ED">
      <w:pPr>
        <w:ind w:firstLine="720"/>
        <w:rPr>
          <w:color w:val="000000"/>
        </w:rPr>
      </w:pPr>
      <w:r w:rsidRPr="004F2808">
        <w:rPr>
          <w:color w:val="000000"/>
        </w:rPr>
        <w:t>Jim Ford, Director, Federal Government Affairs</w:t>
      </w:r>
    </w:p>
    <w:p w:rsidR="00B912ED" w:rsidRPr="004F2808" w:rsidRDefault="00B912ED" w:rsidP="00B912ED">
      <w:pPr>
        <w:ind w:firstLine="720"/>
        <w:rPr>
          <w:color w:val="000000"/>
        </w:rPr>
      </w:pPr>
      <w:r w:rsidRPr="004F2808">
        <w:rPr>
          <w:color w:val="000000"/>
        </w:rPr>
        <w:t>American Petroleum Institute</w:t>
      </w:r>
    </w:p>
    <w:p w:rsidR="00B912ED" w:rsidRPr="004F2808" w:rsidRDefault="00B912ED" w:rsidP="00B912ED">
      <w:pPr>
        <w:ind w:firstLine="720"/>
        <w:rPr>
          <w:color w:val="000000"/>
        </w:rPr>
      </w:pPr>
      <w:r w:rsidRPr="004F2808">
        <w:rPr>
          <w:color w:val="000000"/>
        </w:rPr>
        <w:t>1220 L Street, NW</w:t>
      </w:r>
    </w:p>
    <w:p w:rsidR="00B912ED" w:rsidRPr="004F2808" w:rsidRDefault="00B912ED" w:rsidP="00B912ED">
      <w:pPr>
        <w:ind w:firstLine="720"/>
        <w:rPr>
          <w:color w:val="000000"/>
        </w:rPr>
      </w:pPr>
      <w:r w:rsidRPr="004F2808">
        <w:rPr>
          <w:color w:val="000000"/>
        </w:rPr>
        <w:t>Washington, D.C. 20005</w:t>
      </w:r>
    </w:p>
    <w:p w:rsidR="00B912ED" w:rsidRPr="004F2808" w:rsidRDefault="00B912ED" w:rsidP="00B912ED">
      <w:pPr>
        <w:ind w:firstLine="720"/>
        <w:rPr>
          <w:color w:val="000000"/>
        </w:rPr>
      </w:pPr>
      <w:r w:rsidRPr="004F2808">
        <w:rPr>
          <w:color w:val="000000"/>
        </w:rPr>
        <w:t>Tel: (202) 682-8210</w:t>
      </w:r>
      <w:r w:rsidR="005472EA">
        <w:rPr>
          <w:color w:val="000000"/>
        </w:rPr>
        <w:t xml:space="preserve">    </w:t>
      </w:r>
      <w:r w:rsidRPr="004F2808">
        <w:rPr>
          <w:color w:val="000000"/>
        </w:rPr>
        <w:t>Fax: (202) 682-8031</w:t>
      </w:r>
    </w:p>
    <w:p w:rsidR="00B912ED" w:rsidRPr="004F2808" w:rsidRDefault="00B912ED" w:rsidP="00B912ED">
      <w:pPr>
        <w:ind w:firstLine="720"/>
        <w:rPr>
          <w:color w:val="000000"/>
        </w:rPr>
      </w:pPr>
      <w:r w:rsidRPr="004F2808">
        <w:rPr>
          <w:color w:val="000000"/>
        </w:rPr>
        <w:t>E-mail:  fordj@api.org</w:t>
      </w:r>
    </w:p>
    <w:p w:rsidR="00B912ED" w:rsidRPr="004F2808" w:rsidRDefault="00B912ED" w:rsidP="00B912ED">
      <w:pPr>
        <w:ind w:firstLine="720"/>
        <w:rPr>
          <w:color w:val="000000"/>
        </w:rPr>
      </w:pPr>
    </w:p>
    <w:p w:rsidR="00B912ED" w:rsidRPr="004F2808" w:rsidRDefault="00B912ED" w:rsidP="00B912ED">
      <w:pPr>
        <w:ind w:firstLine="720"/>
        <w:rPr>
          <w:color w:val="000000"/>
        </w:rPr>
      </w:pPr>
      <w:proofErr w:type="spellStart"/>
      <w:r w:rsidRPr="004F2808">
        <w:rPr>
          <w:color w:val="000000"/>
        </w:rPr>
        <w:t>Brigid</w:t>
      </w:r>
      <w:proofErr w:type="spellEnd"/>
      <w:r w:rsidRPr="004F2808">
        <w:rPr>
          <w:color w:val="000000"/>
        </w:rPr>
        <w:t xml:space="preserve"> Klein</w:t>
      </w:r>
      <w:r>
        <w:rPr>
          <w:color w:val="000000"/>
        </w:rPr>
        <w:t xml:space="preserve">, </w:t>
      </w:r>
      <w:r w:rsidRPr="004F2808">
        <w:rPr>
          <w:color w:val="000000"/>
        </w:rPr>
        <w:t>General Counsel</w:t>
      </w:r>
    </w:p>
    <w:p w:rsidR="00B912ED" w:rsidRPr="004F2808" w:rsidRDefault="00B912ED" w:rsidP="00B912ED">
      <w:pPr>
        <w:ind w:firstLine="720"/>
        <w:rPr>
          <w:color w:val="000000"/>
        </w:rPr>
      </w:pPr>
      <w:r w:rsidRPr="004F2808">
        <w:rPr>
          <w:color w:val="000000"/>
        </w:rPr>
        <w:t>Consumer Specialty Products Association</w:t>
      </w:r>
    </w:p>
    <w:p w:rsidR="00B912ED" w:rsidRPr="004F2808" w:rsidRDefault="00B912ED" w:rsidP="00B912ED">
      <w:pPr>
        <w:ind w:firstLine="720"/>
        <w:rPr>
          <w:color w:val="000000"/>
        </w:rPr>
      </w:pPr>
      <w:r w:rsidRPr="004F2808">
        <w:rPr>
          <w:color w:val="000000"/>
        </w:rPr>
        <w:t>900 17th Street, NW, Suite 300</w:t>
      </w:r>
    </w:p>
    <w:p w:rsidR="00B912ED" w:rsidRPr="004F2808" w:rsidRDefault="00B912ED" w:rsidP="00B912ED">
      <w:pPr>
        <w:ind w:firstLine="720"/>
        <w:rPr>
          <w:color w:val="000000"/>
        </w:rPr>
      </w:pPr>
      <w:r w:rsidRPr="004F2808">
        <w:rPr>
          <w:color w:val="000000"/>
        </w:rPr>
        <w:t>Washington, D.C. 20006</w:t>
      </w:r>
    </w:p>
    <w:p w:rsidR="00B912ED" w:rsidRPr="004F2808" w:rsidRDefault="00B912ED" w:rsidP="00B912ED">
      <w:pPr>
        <w:ind w:firstLine="720"/>
        <w:rPr>
          <w:color w:val="000000"/>
        </w:rPr>
      </w:pPr>
      <w:r w:rsidRPr="004F2808">
        <w:rPr>
          <w:color w:val="000000"/>
        </w:rPr>
        <w:t>Tel: (202) 833-7309</w:t>
      </w:r>
      <w:r w:rsidR="005472EA">
        <w:rPr>
          <w:color w:val="000000"/>
        </w:rPr>
        <w:t xml:space="preserve">    </w:t>
      </w:r>
      <w:r w:rsidRPr="004F2808">
        <w:rPr>
          <w:color w:val="000000"/>
        </w:rPr>
        <w:t>Fax: (202) 872-8114</w:t>
      </w:r>
    </w:p>
    <w:p w:rsidR="00B912ED" w:rsidRPr="004F2808" w:rsidRDefault="00B912ED" w:rsidP="00B912ED">
      <w:pPr>
        <w:ind w:firstLine="720"/>
        <w:rPr>
          <w:color w:val="000000"/>
        </w:rPr>
      </w:pPr>
      <w:r w:rsidRPr="004F2808">
        <w:rPr>
          <w:color w:val="000000"/>
        </w:rPr>
        <w:t>E-mail: bklein@cspa.org</w:t>
      </w:r>
    </w:p>
    <w:p w:rsidR="00B912ED" w:rsidRPr="004F2808" w:rsidRDefault="00B912ED" w:rsidP="00B912ED">
      <w:pPr>
        <w:ind w:firstLine="720"/>
        <w:rPr>
          <w:color w:val="000000"/>
        </w:rPr>
      </w:pPr>
    </w:p>
    <w:p w:rsidR="00B912ED" w:rsidRPr="004F2808" w:rsidRDefault="00B912ED" w:rsidP="00F64EEB">
      <w:pPr>
        <w:keepNext/>
        <w:widowControl/>
        <w:ind w:firstLine="720"/>
        <w:rPr>
          <w:color w:val="000000"/>
        </w:rPr>
      </w:pPr>
      <w:r>
        <w:rPr>
          <w:color w:val="000000"/>
        </w:rPr>
        <w:lastRenderedPageBreak/>
        <w:t xml:space="preserve">John Carroll, </w:t>
      </w:r>
      <w:r w:rsidRPr="004F2808">
        <w:rPr>
          <w:color w:val="000000"/>
        </w:rPr>
        <w:t xml:space="preserve">Chair, Enzyme Technical Association </w:t>
      </w:r>
    </w:p>
    <w:p w:rsidR="00B912ED" w:rsidRPr="004F2808" w:rsidRDefault="00B912ED" w:rsidP="00F64EEB">
      <w:pPr>
        <w:keepNext/>
        <w:widowControl/>
        <w:ind w:firstLine="720"/>
        <w:rPr>
          <w:color w:val="000000"/>
        </w:rPr>
      </w:pPr>
      <w:r w:rsidRPr="004F2808">
        <w:rPr>
          <w:color w:val="000000"/>
        </w:rPr>
        <w:t>Director, Regulatory Affairs</w:t>
      </w:r>
    </w:p>
    <w:p w:rsidR="00B912ED" w:rsidRPr="004F2808" w:rsidRDefault="00B912ED" w:rsidP="00F64EEB">
      <w:pPr>
        <w:keepNext/>
        <w:widowControl/>
        <w:ind w:firstLine="720"/>
        <w:rPr>
          <w:color w:val="000000"/>
        </w:rPr>
      </w:pPr>
      <w:proofErr w:type="spellStart"/>
      <w:r w:rsidRPr="004F2808">
        <w:rPr>
          <w:color w:val="000000"/>
        </w:rPr>
        <w:t>Novozymes</w:t>
      </w:r>
      <w:proofErr w:type="spellEnd"/>
      <w:r w:rsidRPr="004F2808">
        <w:rPr>
          <w:color w:val="000000"/>
        </w:rPr>
        <w:t xml:space="preserve"> North America, Inc.</w:t>
      </w:r>
    </w:p>
    <w:p w:rsidR="00B912ED" w:rsidRPr="004F2808" w:rsidRDefault="00B912ED" w:rsidP="00F64EEB">
      <w:pPr>
        <w:keepNext/>
        <w:widowControl/>
        <w:ind w:firstLine="720"/>
        <w:rPr>
          <w:color w:val="000000"/>
        </w:rPr>
      </w:pPr>
      <w:r w:rsidRPr="004F2808">
        <w:rPr>
          <w:color w:val="000000"/>
        </w:rPr>
        <w:t>77 Perry Chapel Church Road</w:t>
      </w:r>
    </w:p>
    <w:p w:rsidR="00B912ED" w:rsidRPr="004F2808" w:rsidRDefault="00B912ED" w:rsidP="00F64EEB">
      <w:pPr>
        <w:keepNext/>
        <w:widowControl/>
        <w:ind w:firstLine="720"/>
        <w:rPr>
          <w:color w:val="000000"/>
        </w:rPr>
      </w:pPr>
      <w:r w:rsidRPr="004F2808">
        <w:rPr>
          <w:color w:val="000000"/>
        </w:rPr>
        <w:t>P.O. Box 576</w:t>
      </w:r>
    </w:p>
    <w:p w:rsidR="00B912ED" w:rsidRPr="004F2808" w:rsidRDefault="00B912ED" w:rsidP="00F64EEB">
      <w:pPr>
        <w:keepNext/>
        <w:widowControl/>
        <w:ind w:firstLine="720"/>
        <w:rPr>
          <w:color w:val="000000"/>
        </w:rPr>
      </w:pPr>
      <w:r w:rsidRPr="004F2808">
        <w:rPr>
          <w:color w:val="000000"/>
        </w:rPr>
        <w:t>Franklinton, NC 27525</w:t>
      </w:r>
    </w:p>
    <w:p w:rsidR="00B912ED" w:rsidRPr="004F2808" w:rsidRDefault="00B912ED" w:rsidP="00F64EEB">
      <w:pPr>
        <w:keepNext/>
        <w:widowControl/>
        <w:ind w:firstLine="720"/>
        <w:rPr>
          <w:color w:val="000000"/>
        </w:rPr>
      </w:pPr>
      <w:r w:rsidRPr="004F2808">
        <w:rPr>
          <w:color w:val="000000"/>
        </w:rPr>
        <w:t>Tel.: (919)494-3150</w:t>
      </w:r>
      <w:r w:rsidR="005472EA">
        <w:rPr>
          <w:color w:val="000000"/>
        </w:rPr>
        <w:t xml:space="preserve">    </w:t>
      </w:r>
      <w:r w:rsidRPr="004F2808">
        <w:rPr>
          <w:color w:val="000000"/>
        </w:rPr>
        <w:t>Fax: (919)494-3420</w:t>
      </w:r>
    </w:p>
    <w:p w:rsidR="00B912ED" w:rsidRPr="004F2808" w:rsidRDefault="00B912ED" w:rsidP="00F64EEB">
      <w:pPr>
        <w:keepNext/>
        <w:widowControl/>
        <w:ind w:firstLine="720"/>
        <w:rPr>
          <w:color w:val="000000"/>
        </w:rPr>
      </w:pPr>
      <w:r w:rsidRPr="004F2808">
        <w:rPr>
          <w:color w:val="000000"/>
        </w:rPr>
        <w:t>E-mail: john@novozymes.com</w:t>
      </w:r>
    </w:p>
    <w:p w:rsidR="00B912ED" w:rsidRPr="004F2808" w:rsidRDefault="00B912ED" w:rsidP="00B912ED">
      <w:pPr>
        <w:ind w:firstLine="720"/>
        <w:rPr>
          <w:color w:val="000000"/>
        </w:rPr>
      </w:pPr>
    </w:p>
    <w:p w:rsidR="00B912ED" w:rsidRPr="004F2808" w:rsidRDefault="00B912ED" w:rsidP="00B912ED">
      <w:pPr>
        <w:ind w:firstLine="720"/>
        <w:rPr>
          <w:color w:val="000000"/>
        </w:rPr>
      </w:pPr>
      <w:r w:rsidRPr="004F2808">
        <w:rPr>
          <w:color w:val="000000"/>
        </w:rPr>
        <w:t>Lee O. Fuller, Vice President of Government Relations</w:t>
      </w:r>
    </w:p>
    <w:p w:rsidR="00B912ED" w:rsidRPr="004F2808" w:rsidRDefault="00B912ED" w:rsidP="00B912ED">
      <w:pPr>
        <w:ind w:firstLine="720"/>
        <w:rPr>
          <w:color w:val="000000"/>
        </w:rPr>
      </w:pPr>
      <w:r w:rsidRPr="004F2808">
        <w:rPr>
          <w:color w:val="000000"/>
        </w:rPr>
        <w:t>Independent Petroleum Association of America</w:t>
      </w:r>
    </w:p>
    <w:p w:rsidR="00B912ED" w:rsidRPr="004F2808" w:rsidRDefault="00B912ED" w:rsidP="00B912ED">
      <w:pPr>
        <w:ind w:firstLine="720"/>
        <w:rPr>
          <w:color w:val="000000"/>
        </w:rPr>
      </w:pPr>
      <w:r w:rsidRPr="004F2808">
        <w:rPr>
          <w:color w:val="000000"/>
        </w:rPr>
        <w:t>1201 15th Street, N.W., Suite 300</w:t>
      </w:r>
    </w:p>
    <w:p w:rsidR="00B912ED" w:rsidRPr="004F2808" w:rsidRDefault="00B912ED" w:rsidP="00B912ED">
      <w:pPr>
        <w:ind w:firstLine="720"/>
        <w:rPr>
          <w:color w:val="000000"/>
        </w:rPr>
      </w:pPr>
      <w:r w:rsidRPr="004F2808">
        <w:rPr>
          <w:color w:val="000000"/>
        </w:rPr>
        <w:t>Washington, D.C. 20005</w:t>
      </w:r>
    </w:p>
    <w:p w:rsidR="00B912ED" w:rsidRPr="004F2808" w:rsidRDefault="00B912ED" w:rsidP="00B912ED">
      <w:pPr>
        <w:ind w:firstLine="720"/>
        <w:rPr>
          <w:color w:val="000000"/>
        </w:rPr>
      </w:pPr>
      <w:r w:rsidRPr="004F2808">
        <w:rPr>
          <w:color w:val="000000"/>
        </w:rPr>
        <w:t>Tel: (202) 857-4722</w:t>
      </w:r>
      <w:r w:rsidR="005472EA">
        <w:rPr>
          <w:color w:val="000000"/>
        </w:rPr>
        <w:t xml:space="preserve">    </w:t>
      </w:r>
      <w:r w:rsidRPr="004F2808">
        <w:rPr>
          <w:color w:val="000000"/>
        </w:rPr>
        <w:t>Fax: (202) 857-4799</w:t>
      </w:r>
    </w:p>
    <w:p w:rsidR="00B912ED" w:rsidRPr="004F2808" w:rsidRDefault="00B912ED" w:rsidP="00B912ED">
      <w:pPr>
        <w:ind w:firstLine="720"/>
        <w:rPr>
          <w:color w:val="000000"/>
        </w:rPr>
      </w:pPr>
      <w:r w:rsidRPr="004F2808">
        <w:rPr>
          <w:color w:val="000000"/>
        </w:rPr>
        <w:t>E-mail: lfuller@ipaa.org</w:t>
      </w:r>
    </w:p>
    <w:p w:rsidR="00B912ED" w:rsidRPr="004F2808" w:rsidRDefault="00B912ED" w:rsidP="00B912ED">
      <w:pPr>
        <w:ind w:firstLine="720"/>
        <w:rPr>
          <w:color w:val="000000"/>
        </w:rPr>
      </w:pPr>
    </w:p>
    <w:p w:rsidR="00B912ED" w:rsidRPr="004F2808" w:rsidRDefault="00B912ED" w:rsidP="00B912ED">
      <w:pPr>
        <w:ind w:firstLine="720"/>
        <w:rPr>
          <w:color w:val="000000"/>
        </w:rPr>
      </w:pPr>
      <w:r w:rsidRPr="004F2808">
        <w:rPr>
          <w:color w:val="000000"/>
        </w:rPr>
        <w:t>Stephen R. Sides</w:t>
      </w:r>
      <w:r>
        <w:rPr>
          <w:color w:val="000000"/>
        </w:rPr>
        <w:t xml:space="preserve">, </w:t>
      </w:r>
      <w:r w:rsidRPr="004F2808">
        <w:rPr>
          <w:color w:val="000000"/>
        </w:rPr>
        <w:t>Vice President, EHIA</w:t>
      </w:r>
    </w:p>
    <w:p w:rsidR="00B912ED" w:rsidRPr="004F2808" w:rsidRDefault="00B912ED" w:rsidP="00B912ED">
      <w:pPr>
        <w:ind w:firstLine="720"/>
        <w:rPr>
          <w:color w:val="000000"/>
        </w:rPr>
      </w:pPr>
      <w:r w:rsidRPr="004F2808">
        <w:rPr>
          <w:color w:val="000000"/>
        </w:rPr>
        <w:t>National Paint and Coatings Association</w:t>
      </w:r>
    </w:p>
    <w:p w:rsidR="00B912ED" w:rsidRPr="004F2808" w:rsidRDefault="00B912ED" w:rsidP="00B912ED">
      <w:pPr>
        <w:ind w:firstLine="720"/>
        <w:rPr>
          <w:color w:val="000000"/>
        </w:rPr>
      </w:pPr>
      <w:r w:rsidRPr="004F2808">
        <w:rPr>
          <w:color w:val="000000"/>
        </w:rPr>
        <w:t>1500 Rhode Island Avenue, NW</w:t>
      </w:r>
    </w:p>
    <w:p w:rsidR="00B912ED" w:rsidRPr="004F2808" w:rsidRDefault="00B912ED" w:rsidP="00B912ED">
      <w:pPr>
        <w:ind w:firstLine="720"/>
        <w:rPr>
          <w:color w:val="000000"/>
        </w:rPr>
      </w:pPr>
      <w:r w:rsidRPr="004F2808">
        <w:rPr>
          <w:color w:val="000000"/>
        </w:rPr>
        <w:t>Washington, D.C.  20005-5597</w:t>
      </w:r>
    </w:p>
    <w:p w:rsidR="00B912ED" w:rsidRPr="004F2808" w:rsidRDefault="00B912ED" w:rsidP="00B912ED">
      <w:pPr>
        <w:ind w:firstLine="720"/>
        <w:rPr>
          <w:color w:val="000000"/>
        </w:rPr>
      </w:pPr>
      <w:r w:rsidRPr="004F2808">
        <w:rPr>
          <w:color w:val="000000"/>
        </w:rPr>
        <w:t xml:space="preserve">Tel: (202) 462-6272 </w:t>
      </w:r>
      <w:r w:rsidR="005472EA">
        <w:rPr>
          <w:color w:val="000000"/>
        </w:rPr>
        <w:t xml:space="preserve">   </w:t>
      </w:r>
      <w:r w:rsidRPr="004F2808">
        <w:rPr>
          <w:color w:val="000000"/>
        </w:rPr>
        <w:t>Fax: (202) 462-8549</w:t>
      </w:r>
    </w:p>
    <w:p w:rsidR="00B912ED" w:rsidRPr="004F2808" w:rsidRDefault="00B912ED" w:rsidP="00B912ED">
      <w:pPr>
        <w:ind w:firstLine="720"/>
        <w:rPr>
          <w:color w:val="000000"/>
        </w:rPr>
      </w:pPr>
      <w:r w:rsidRPr="004F2808">
        <w:rPr>
          <w:color w:val="000000"/>
        </w:rPr>
        <w:t>E-mail: ssides@paint.org</w:t>
      </w:r>
    </w:p>
    <w:p w:rsidR="00B912ED" w:rsidRPr="004F2808" w:rsidRDefault="00B912ED" w:rsidP="00B912ED">
      <w:pPr>
        <w:ind w:firstLine="720"/>
        <w:rPr>
          <w:color w:val="000000"/>
        </w:rPr>
      </w:pPr>
    </w:p>
    <w:p w:rsidR="00B912ED" w:rsidRPr="004F2808" w:rsidRDefault="00B912ED" w:rsidP="00B912ED">
      <w:pPr>
        <w:ind w:firstLine="720"/>
        <w:rPr>
          <w:color w:val="000000"/>
        </w:rPr>
      </w:pPr>
      <w:r w:rsidRPr="004F2808">
        <w:rPr>
          <w:color w:val="000000"/>
        </w:rPr>
        <w:t>Jim Cooper</w:t>
      </w:r>
      <w:r>
        <w:rPr>
          <w:color w:val="000000"/>
        </w:rPr>
        <w:t xml:space="preserve">, </w:t>
      </w:r>
      <w:r w:rsidRPr="004F2808">
        <w:rPr>
          <w:color w:val="000000"/>
        </w:rPr>
        <w:t>Director, Petrochemical</w:t>
      </w:r>
    </w:p>
    <w:p w:rsidR="00B912ED" w:rsidRPr="004F2808" w:rsidRDefault="00B912ED" w:rsidP="00B912ED">
      <w:pPr>
        <w:ind w:firstLine="720"/>
        <w:rPr>
          <w:color w:val="000000"/>
        </w:rPr>
      </w:pPr>
      <w:r w:rsidRPr="004F2808">
        <w:rPr>
          <w:color w:val="000000"/>
        </w:rPr>
        <w:t>National Petrochemical &amp; Refiners Association</w:t>
      </w:r>
    </w:p>
    <w:p w:rsidR="00B912ED" w:rsidRPr="004F2808" w:rsidRDefault="00B912ED" w:rsidP="00B912ED">
      <w:pPr>
        <w:ind w:firstLine="720"/>
        <w:rPr>
          <w:color w:val="000000"/>
        </w:rPr>
      </w:pPr>
      <w:r w:rsidRPr="004F2808">
        <w:rPr>
          <w:color w:val="000000"/>
        </w:rPr>
        <w:t>1899 L Street, N.W.</w:t>
      </w:r>
    </w:p>
    <w:p w:rsidR="00B912ED" w:rsidRPr="004F2808" w:rsidRDefault="00B912ED" w:rsidP="00B912ED">
      <w:pPr>
        <w:ind w:firstLine="720"/>
        <w:rPr>
          <w:color w:val="000000"/>
        </w:rPr>
      </w:pPr>
      <w:r w:rsidRPr="004F2808">
        <w:rPr>
          <w:color w:val="000000"/>
        </w:rPr>
        <w:t>Suite 1000</w:t>
      </w:r>
    </w:p>
    <w:p w:rsidR="00B912ED" w:rsidRPr="004F2808" w:rsidRDefault="00B912ED" w:rsidP="00B912ED">
      <w:pPr>
        <w:ind w:firstLine="720"/>
        <w:rPr>
          <w:color w:val="000000"/>
        </w:rPr>
      </w:pPr>
      <w:r w:rsidRPr="004F2808">
        <w:rPr>
          <w:color w:val="000000"/>
        </w:rPr>
        <w:t>Washington, D.C. 20036-3896</w:t>
      </w:r>
    </w:p>
    <w:p w:rsidR="00B912ED" w:rsidRPr="004F2808" w:rsidRDefault="00B912ED" w:rsidP="00B912ED">
      <w:pPr>
        <w:ind w:firstLine="720"/>
        <w:rPr>
          <w:color w:val="000000"/>
        </w:rPr>
      </w:pPr>
      <w:r w:rsidRPr="004F2808">
        <w:rPr>
          <w:color w:val="000000"/>
        </w:rPr>
        <w:t>Phone: (202) 552-8450</w:t>
      </w:r>
    </w:p>
    <w:p w:rsidR="00B912ED" w:rsidRPr="004F2808" w:rsidRDefault="00B912ED" w:rsidP="00B912ED">
      <w:pPr>
        <w:ind w:firstLine="720"/>
        <w:rPr>
          <w:color w:val="000000"/>
        </w:rPr>
      </w:pPr>
      <w:r w:rsidRPr="004F2808">
        <w:rPr>
          <w:color w:val="000000"/>
        </w:rPr>
        <w:t>Email:  jcooper@npra.org</w:t>
      </w:r>
    </w:p>
    <w:p w:rsidR="00B912ED" w:rsidRPr="004F2808" w:rsidRDefault="00B912ED" w:rsidP="00B912ED">
      <w:pPr>
        <w:ind w:firstLine="720"/>
        <w:rPr>
          <w:color w:val="000000"/>
        </w:rPr>
      </w:pPr>
    </w:p>
    <w:p w:rsidR="00B912ED" w:rsidRPr="004F2808" w:rsidRDefault="00B912ED" w:rsidP="00B912ED">
      <w:pPr>
        <w:ind w:firstLine="720"/>
        <w:rPr>
          <w:color w:val="000000"/>
        </w:rPr>
      </w:pPr>
      <w:r w:rsidRPr="004F2808">
        <w:rPr>
          <w:color w:val="000000"/>
        </w:rPr>
        <w:t xml:space="preserve">William </w:t>
      </w:r>
      <w:proofErr w:type="spellStart"/>
      <w:r w:rsidRPr="004F2808">
        <w:rPr>
          <w:color w:val="000000"/>
        </w:rPr>
        <w:t>Carteaux</w:t>
      </w:r>
      <w:proofErr w:type="spellEnd"/>
      <w:r w:rsidRPr="004F2808">
        <w:rPr>
          <w:color w:val="000000"/>
        </w:rPr>
        <w:t>, President</w:t>
      </w:r>
    </w:p>
    <w:p w:rsidR="00B912ED" w:rsidRPr="004F2808" w:rsidRDefault="00B912ED" w:rsidP="00B912ED">
      <w:pPr>
        <w:ind w:firstLine="720"/>
        <w:rPr>
          <w:color w:val="000000"/>
        </w:rPr>
      </w:pPr>
      <w:proofErr w:type="gramStart"/>
      <w:r w:rsidRPr="004F2808">
        <w:rPr>
          <w:color w:val="000000"/>
        </w:rPr>
        <w:t>Society of the Plastics Industry, Inc.</w:t>
      </w:r>
      <w:proofErr w:type="gramEnd"/>
    </w:p>
    <w:p w:rsidR="00B912ED" w:rsidRPr="004F2808" w:rsidRDefault="00B912ED" w:rsidP="00B912ED">
      <w:pPr>
        <w:ind w:firstLine="720"/>
        <w:rPr>
          <w:color w:val="000000"/>
        </w:rPr>
      </w:pPr>
      <w:r w:rsidRPr="004F2808">
        <w:rPr>
          <w:color w:val="000000"/>
        </w:rPr>
        <w:t xml:space="preserve">1667 K Street, N.W. </w:t>
      </w:r>
    </w:p>
    <w:p w:rsidR="00B912ED" w:rsidRPr="004F2808" w:rsidRDefault="00B912ED" w:rsidP="00B912ED">
      <w:pPr>
        <w:ind w:firstLine="720"/>
        <w:rPr>
          <w:color w:val="000000"/>
        </w:rPr>
      </w:pPr>
      <w:r w:rsidRPr="004F2808">
        <w:rPr>
          <w:color w:val="000000"/>
        </w:rPr>
        <w:t>Washington, DC   20006</w:t>
      </w:r>
    </w:p>
    <w:p w:rsidR="00B912ED" w:rsidRPr="004F2808" w:rsidRDefault="00B912ED" w:rsidP="00B912ED">
      <w:pPr>
        <w:ind w:firstLine="720"/>
        <w:rPr>
          <w:color w:val="000000"/>
        </w:rPr>
      </w:pPr>
      <w:r w:rsidRPr="004F2808">
        <w:rPr>
          <w:color w:val="000000"/>
        </w:rPr>
        <w:t>Tel:  (202) 974-5200</w:t>
      </w:r>
      <w:r w:rsidR="005472EA">
        <w:rPr>
          <w:color w:val="000000"/>
        </w:rPr>
        <w:t xml:space="preserve">    </w:t>
      </w:r>
      <w:r w:rsidRPr="004F2808">
        <w:rPr>
          <w:color w:val="000000"/>
        </w:rPr>
        <w:t>Fax:  (202) 293-0309</w:t>
      </w:r>
    </w:p>
    <w:p w:rsidR="00B912ED" w:rsidRPr="004F2808" w:rsidRDefault="00B912ED" w:rsidP="00B912ED">
      <w:pPr>
        <w:ind w:firstLine="720"/>
        <w:rPr>
          <w:color w:val="000000"/>
        </w:rPr>
      </w:pPr>
      <w:r w:rsidRPr="004F2808">
        <w:rPr>
          <w:color w:val="000000"/>
        </w:rPr>
        <w:t>E-mail:  wcarteaux@plasticsindustry.org</w:t>
      </w:r>
    </w:p>
    <w:p w:rsidR="00B912ED" w:rsidRPr="004F2808" w:rsidRDefault="00B912ED" w:rsidP="00B912ED">
      <w:pPr>
        <w:ind w:firstLine="720"/>
        <w:rPr>
          <w:color w:val="000000"/>
        </w:rPr>
      </w:pPr>
    </w:p>
    <w:p w:rsidR="00B912ED" w:rsidRPr="004F2808" w:rsidRDefault="00B912ED" w:rsidP="00B912ED">
      <w:pPr>
        <w:ind w:firstLine="720"/>
        <w:rPr>
          <w:color w:val="000000"/>
        </w:rPr>
      </w:pPr>
      <w:r w:rsidRPr="004F2808">
        <w:rPr>
          <w:color w:val="000000"/>
        </w:rPr>
        <w:t xml:space="preserve">Bill </w:t>
      </w:r>
      <w:proofErr w:type="spellStart"/>
      <w:r w:rsidRPr="004F2808">
        <w:rPr>
          <w:color w:val="000000"/>
        </w:rPr>
        <w:t>Allmond</w:t>
      </w:r>
      <w:proofErr w:type="spellEnd"/>
      <w:r>
        <w:rPr>
          <w:color w:val="000000"/>
        </w:rPr>
        <w:t xml:space="preserve">, </w:t>
      </w:r>
      <w:r w:rsidRPr="004F2808">
        <w:rPr>
          <w:color w:val="000000"/>
        </w:rPr>
        <w:t>Director, Government Relations</w:t>
      </w:r>
    </w:p>
    <w:p w:rsidR="00B912ED" w:rsidRPr="004F2808" w:rsidRDefault="00B912ED" w:rsidP="00B912ED">
      <w:pPr>
        <w:ind w:firstLine="720"/>
        <w:rPr>
          <w:color w:val="000000"/>
        </w:rPr>
      </w:pPr>
      <w:r w:rsidRPr="004F2808">
        <w:rPr>
          <w:color w:val="000000"/>
        </w:rPr>
        <w:t>Synthetic Organic Chemical Manufacturers Association</w:t>
      </w:r>
    </w:p>
    <w:p w:rsidR="00B912ED" w:rsidRPr="004F2808" w:rsidRDefault="00B912ED" w:rsidP="00B912ED">
      <w:pPr>
        <w:ind w:firstLine="720"/>
        <w:rPr>
          <w:color w:val="000000"/>
        </w:rPr>
      </w:pPr>
      <w:r w:rsidRPr="004F2808">
        <w:rPr>
          <w:color w:val="000000"/>
        </w:rPr>
        <w:t>1850 M Street, N.W., Suite 700</w:t>
      </w:r>
    </w:p>
    <w:p w:rsidR="00B912ED" w:rsidRPr="004F2808" w:rsidRDefault="00B912ED" w:rsidP="00B912ED">
      <w:pPr>
        <w:ind w:firstLine="720"/>
        <w:rPr>
          <w:color w:val="000000"/>
        </w:rPr>
      </w:pPr>
      <w:r w:rsidRPr="004F2808">
        <w:rPr>
          <w:color w:val="000000"/>
        </w:rPr>
        <w:t>Washington, D.C. 20036-5810</w:t>
      </w:r>
    </w:p>
    <w:p w:rsidR="00B912ED" w:rsidRPr="004F2808" w:rsidRDefault="00B912ED" w:rsidP="00B912ED">
      <w:pPr>
        <w:ind w:firstLine="720"/>
        <w:rPr>
          <w:color w:val="000000"/>
        </w:rPr>
      </w:pPr>
      <w:r w:rsidRPr="004F2808">
        <w:rPr>
          <w:color w:val="000000"/>
        </w:rPr>
        <w:t>Tel.: (202)721-4122</w:t>
      </w:r>
      <w:r w:rsidR="005472EA">
        <w:rPr>
          <w:color w:val="000000"/>
        </w:rPr>
        <w:t xml:space="preserve">    </w:t>
      </w:r>
      <w:r w:rsidRPr="004F2808">
        <w:rPr>
          <w:color w:val="000000"/>
        </w:rPr>
        <w:t>Fax: (202)296-8548</w:t>
      </w:r>
    </w:p>
    <w:p w:rsidR="00B912ED" w:rsidRPr="004F2808" w:rsidRDefault="00B912ED" w:rsidP="00B912ED">
      <w:pPr>
        <w:ind w:firstLine="720"/>
        <w:rPr>
          <w:color w:val="000000"/>
        </w:rPr>
      </w:pPr>
      <w:r>
        <w:rPr>
          <w:color w:val="000000"/>
        </w:rPr>
        <w:t>E</w:t>
      </w:r>
      <w:r w:rsidRPr="004F2808">
        <w:rPr>
          <w:color w:val="000000"/>
        </w:rPr>
        <w:t>-mail: allmondb@socma.org</w:t>
      </w:r>
    </w:p>
    <w:p w:rsidR="00B912ED" w:rsidRDefault="00B912ED" w:rsidP="00B912ED"/>
    <w:p w:rsidR="00B912ED" w:rsidRDefault="00B912ED" w:rsidP="00B912ED">
      <w:pPr>
        <w:ind w:firstLine="720"/>
      </w:pPr>
      <w:r>
        <w:t xml:space="preserve">EPA received no responses to its solicitation for consultations.  A copy of EPA’s consultation e-mail to the above potential respondents is included in </w:t>
      </w:r>
      <w:r w:rsidRPr="00F53A33">
        <w:t xml:space="preserve">Attachment </w:t>
      </w:r>
      <w:r>
        <w:t>6.</w:t>
      </w:r>
    </w:p>
    <w:p w:rsidR="00B912ED" w:rsidRDefault="00B912ED" w:rsidP="00B912ED"/>
    <w:p w:rsidR="00B912ED" w:rsidRDefault="00B912ED" w:rsidP="00B912ED">
      <w:pPr>
        <w:ind w:left="1440" w:hanging="720"/>
      </w:pPr>
      <w:r>
        <w:rPr>
          <w:b/>
          <w:bCs/>
        </w:rPr>
        <w:lastRenderedPageBreak/>
        <w:t>3(d)</w:t>
      </w:r>
      <w:r>
        <w:rPr>
          <w:b/>
          <w:bCs/>
        </w:rPr>
        <w:tab/>
        <w:t>Effects of Less Frequent Collection</w:t>
      </w:r>
    </w:p>
    <w:p w:rsidR="00B912ED" w:rsidRDefault="00B912ED" w:rsidP="00B912ED"/>
    <w:p w:rsidR="00B912ED" w:rsidRDefault="00B912ED" w:rsidP="00B912ED">
      <w:pPr>
        <w:ind w:firstLine="720"/>
      </w:pPr>
      <w:r>
        <w:t>Whenever a person intends to engage in a significant new use, they must notify EPA.  This is an explicit requirement of TSCA.  TSCA section 5(a)(1)(B) states, “... no person may ... manufacture or process any chemical substance for a use which the Administrator has determined ... is a significant new use ... unless such person submits to the Administrator ...  a notice ...”  The consequence of  less frequent collection of information (i.e., requiring only the first person who intends to engage in a significant new use to submit notice) is a violation of TSCA and would allow manufacturers, importers and processors to use a substance in a manner that EPA has determined may cause significant adverse exposures to the substance without prior notification to EPA.</w:t>
      </w:r>
    </w:p>
    <w:p w:rsidR="00B912ED" w:rsidRDefault="00B912ED" w:rsidP="00B912ED">
      <w:pPr>
        <w:ind w:firstLine="720"/>
      </w:pPr>
    </w:p>
    <w:p w:rsidR="00B912ED" w:rsidRDefault="00B912ED" w:rsidP="00B912ED">
      <w:pPr>
        <w:ind w:firstLine="720"/>
      </w:pPr>
      <w:r>
        <w:rPr>
          <w:b/>
          <w:bCs/>
        </w:rPr>
        <w:t>3(e)</w:t>
      </w:r>
      <w:r>
        <w:rPr>
          <w:b/>
          <w:bCs/>
        </w:rPr>
        <w:tab/>
        <w:t>General Guidelines</w:t>
      </w:r>
    </w:p>
    <w:p w:rsidR="00B912ED" w:rsidRDefault="00B912ED" w:rsidP="00B912ED"/>
    <w:p w:rsidR="00B912ED" w:rsidRDefault="00B912ED" w:rsidP="00B912ED">
      <w:pPr>
        <w:ind w:firstLine="720"/>
      </w:pPr>
      <w:r>
        <w:t>This information collection activity is necessary to implement the statutory requirements of TSCA section 5(a</w:t>
      </w:r>
      <w:proofErr w:type="gramStart"/>
      <w:r>
        <w:t>)(</w:t>
      </w:r>
      <w:proofErr w:type="gramEnd"/>
      <w:r>
        <w:t>2) and is consistent with the requirements of 5 CFR 1320.6.</w:t>
      </w:r>
    </w:p>
    <w:p w:rsidR="00B912ED" w:rsidRDefault="00B912ED" w:rsidP="00B912ED">
      <w:pPr>
        <w:ind w:firstLine="720"/>
      </w:pPr>
    </w:p>
    <w:p w:rsidR="00B912ED" w:rsidRPr="00800EC5" w:rsidRDefault="00B912ED" w:rsidP="00B912ED">
      <w:pPr>
        <w:widowControl/>
        <w:autoSpaceDE w:val="0"/>
        <w:autoSpaceDN w:val="0"/>
        <w:ind w:firstLine="720"/>
      </w:pPr>
      <w:r w:rsidRPr="00800EC5">
        <w:t xml:space="preserve">EPA has developed e-PMN software for use in preparing and submitting PMNs and other TSCA section 5 notices such as SNUNS, and support documents electronically to the Agency via (CDX).  EPA’s CDX is the point of entry on the Environmental Information Exchange Network (Exchange Network) for environmental data submissions to the Agency. CDX provides the capability for submitters to access their data through the use of web services.  CDX enables EPA and participating program offices to work with stakeholders–including State, tribal, and local governments and regulated industries–to enable streamlined electronic submission of data via the Internet. For more information about CDX, go to </w:t>
      </w:r>
      <w:hyperlink r:id="rId8" w:history="1">
        <w:r w:rsidR="00C26BA4" w:rsidRPr="00335E90">
          <w:rPr>
            <w:rStyle w:val="Hyperlink"/>
            <w:i/>
            <w:iCs/>
          </w:rPr>
          <w:t>http://www.epa.gov/cdx</w:t>
        </w:r>
      </w:hyperlink>
      <w:r w:rsidRPr="00800EC5">
        <w:t>.  The use of CDX for submission of TSCA section 5 notices and support documents is consistent with the Government Paperwork Elimination Act (</w:t>
      </w:r>
      <w:r w:rsidR="00951C6E" w:rsidRPr="0042580F">
        <w:t>GPEA</w:t>
      </w:r>
      <w:proofErr w:type="gramStart"/>
      <w:r w:rsidR="00A70A8A" w:rsidRPr="0042580F">
        <w:t>)</w:t>
      </w:r>
      <w:r w:rsidR="00951C6E" w:rsidRPr="0042580F">
        <w:t>,</w:t>
      </w:r>
      <w:r w:rsidRPr="00800EC5">
        <w:t xml:space="preserve"> that</w:t>
      </w:r>
      <w:proofErr w:type="gramEnd"/>
      <w:r w:rsidRPr="00800EC5">
        <w:t xml:space="preserve"> requires Federal agencies to provide electronic submission, maintenance, or disclosure of information, when practicable as a substitute for paper.</w:t>
      </w:r>
    </w:p>
    <w:p w:rsidR="00B912ED" w:rsidRPr="00800EC5" w:rsidRDefault="00B912ED" w:rsidP="00B912ED">
      <w:pPr>
        <w:widowControl/>
        <w:autoSpaceDE w:val="0"/>
        <w:autoSpaceDN w:val="0"/>
      </w:pPr>
    </w:p>
    <w:p w:rsidR="00B912ED" w:rsidRDefault="005472EA" w:rsidP="005472EA">
      <w:pPr>
        <w:widowControl/>
        <w:autoSpaceDE w:val="0"/>
        <w:autoSpaceDN w:val="0"/>
        <w:ind w:firstLine="720"/>
      </w:pPr>
      <w:r>
        <w:t>T</w:t>
      </w:r>
      <w:r w:rsidR="00B912ED" w:rsidRPr="00800EC5">
        <w:t>he e-PMN software and electronic submission via CDX changes the way that companies interact with the Agency regarding many TSCA section 5 submissions including SNUN</w:t>
      </w:r>
      <w:r w:rsidR="0042580F">
        <w:t>s</w:t>
      </w:r>
      <w:r w:rsidR="00B912ED" w:rsidRPr="00800EC5">
        <w:t>. Companies register with EPA to submit their data electronically to the Agency via CDX and the Agency benefits from receiving electronic submissions.  Data systems that once were populated manually are now populated electronically, reducing the potential for error that exists when data are entered by hand. Agency personnel are able to communicate more efficiently with submitters electronically compared to using U.S. mail or courier services. PMN/SNUN electronic reporting software allows for more efficient data transmittal, and the software’s validation mechanism should help industry users submit fewer incomplete notices, which ultimately will save EPA and industry processing resources and reduce transaction times. EPA believes the adoption of electronic communications reduces the reporting burden on industry by reducing both the cost and the time required to review, edit, and transmit data to the Agency. It also allows submitters to share a draft notice within the company during the creation of a notice and to save a copy of the final file for future use.</w:t>
      </w:r>
    </w:p>
    <w:p w:rsidR="00B912ED" w:rsidRDefault="00B912ED" w:rsidP="00B912ED"/>
    <w:p w:rsidR="00B912ED" w:rsidRDefault="00B912ED" w:rsidP="00B912ED">
      <w:pPr>
        <w:ind w:left="1440" w:hanging="720"/>
      </w:pPr>
      <w:r>
        <w:rPr>
          <w:b/>
          <w:bCs/>
        </w:rPr>
        <w:t>3(f)</w:t>
      </w:r>
      <w:r>
        <w:rPr>
          <w:b/>
          <w:bCs/>
        </w:rPr>
        <w:tab/>
        <w:t>Confidentiality</w:t>
      </w:r>
    </w:p>
    <w:p w:rsidR="00B912ED" w:rsidRDefault="00B912ED" w:rsidP="00B912ED"/>
    <w:p w:rsidR="00B912ED" w:rsidRDefault="00B912ED" w:rsidP="00B912ED">
      <w:pPr>
        <w:ind w:firstLine="720"/>
      </w:pPr>
      <w:r>
        <w:t xml:space="preserve">Information provided in a significant new use notice may receive confidential treatment.  TSCA section 14 allows a manufacturer, importer or processor to designate submitted information as confidential business information (CBI).  The Agency has developed a comprehensive system to prevent the unauthorized disclosure of CBI.  This system includes procedures for logging CBI in and out of </w:t>
      </w:r>
      <w:r>
        <w:lastRenderedPageBreak/>
        <w:t>designated locked file cabinets, for photocopying and transmitting CBI, and for restricting confidential information only to personnel with CBI security clearance.  No one is allowed access to CBI until they have received instructions for handling CBI.</w:t>
      </w:r>
    </w:p>
    <w:p w:rsidR="00B912ED" w:rsidRDefault="00B912ED" w:rsidP="00B912ED">
      <w:pPr>
        <w:ind w:firstLine="720"/>
      </w:pPr>
    </w:p>
    <w:p w:rsidR="00B912ED" w:rsidRPr="00D96815" w:rsidRDefault="00B912ED" w:rsidP="005472EA">
      <w:pPr>
        <w:widowControl/>
        <w:autoSpaceDE w:val="0"/>
        <w:autoSpaceDN w:val="0"/>
        <w:ind w:firstLine="720"/>
        <w:rPr>
          <w:i/>
          <w:iCs/>
        </w:rPr>
      </w:pPr>
      <w:r w:rsidRPr="00800EC5">
        <w:t xml:space="preserve">EPA will ensure secure transmission of SNUN data submitted through CDX via the Transport Layer Security (TLS) 1.0 protocol. TLS 1.0 is a widely used approach for securing </w:t>
      </w:r>
      <w:r>
        <w:t>I</w:t>
      </w:r>
      <w:r w:rsidRPr="00800EC5">
        <w:t xml:space="preserve">nternet transactions, and is endorsed by the National Institute of Standards and Technology (NIST) for protecting data sent over the Internet. See NIST Special Publication 800–52, </w:t>
      </w:r>
      <w:r w:rsidR="005472EA">
        <w:t>“</w:t>
      </w:r>
      <w:r w:rsidRPr="00800EC5">
        <w:t>Guidelines for the Selection and Use of Transport Layer</w:t>
      </w:r>
      <w:r w:rsidR="005472EA">
        <w:t xml:space="preserve"> Security (TLS) Implementations</w:t>
      </w:r>
      <w:proofErr w:type="gramStart"/>
      <w:r w:rsidR="005472EA">
        <w:t xml:space="preserve">”  </w:t>
      </w:r>
      <w:proofErr w:type="gramEnd"/>
      <w:r w:rsidR="008237F2">
        <w:fldChar w:fldCharType="begin"/>
      </w:r>
      <w:r w:rsidR="008237F2">
        <w:instrText>HYPERLINK "http://csrc.nist.gov/publications/nistpubs/800-52/SP800-52.pdf"</w:instrText>
      </w:r>
      <w:r w:rsidR="008237F2">
        <w:fldChar w:fldCharType="separate"/>
      </w:r>
      <w:r w:rsidRPr="00800EC5">
        <w:rPr>
          <w:rStyle w:val="Hyperlink"/>
          <w:i/>
          <w:iCs/>
        </w:rPr>
        <w:t>http://csrc.nist.gov/publications/nistpubs/800-52/SP800-52.pdf</w:t>
      </w:r>
      <w:r w:rsidR="008237F2">
        <w:fldChar w:fldCharType="end"/>
      </w:r>
      <w:r w:rsidRPr="00800EC5">
        <w:t>.</w:t>
      </w:r>
      <w:r w:rsidRPr="00800EC5">
        <w:rPr>
          <w:i/>
          <w:iCs/>
        </w:rPr>
        <w:t xml:space="preserve"> </w:t>
      </w:r>
      <w:r w:rsidRPr="00800EC5">
        <w:t>In addition, e-PMN software enables the SNUN submitter to electronically sign, encrypt, and submit reports which EPA subsequently provides back to the submitter as an unaltered copy of</w:t>
      </w:r>
      <w:r w:rsidRPr="00800EC5">
        <w:rPr>
          <w:i/>
          <w:iCs/>
        </w:rPr>
        <w:t xml:space="preserve"> </w:t>
      </w:r>
      <w:r w:rsidRPr="00800EC5">
        <w:t>record. This assures the submitter that the Agency has received exactly what the submitter sent to EPA. The current version of the e-PMN encrypts using Federal Information Processing</w:t>
      </w:r>
      <w:r w:rsidRPr="00800EC5">
        <w:rPr>
          <w:i/>
          <w:iCs/>
        </w:rPr>
        <w:t xml:space="preserve"> </w:t>
      </w:r>
      <w:r w:rsidRPr="00800EC5">
        <w:t>Standards (FIPS)-validated RSA BSAFE Crypto-J. EPA may incorporate other</w:t>
      </w:r>
      <w:r w:rsidRPr="00800EC5">
        <w:rPr>
          <w:i/>
          <w:iCs/>
        </w:rPr>
        <w:t xml:space="preserve"> </w:t>
      </w:r>
      <w:r w:rsidRPr="00800EC5">
        <w:t>encryption modules into future versions of e-PMN. Information submitted via CDX is processed within EPA by secure systems certified for compliance with FIPS.</w:t>
      </w:r>
    </w:p>
    <w:p w:rsidR="00B912ED" w:rsidRPr="009121B1" w:rsidRDefault="00B912ED" w:rsidP="00B912ED"/>
    <w:p w:rsidR="00B912ED" w:rsidRDefault="00B912ED" w:rsidP="00B912ED">
      <w:pPr>
        <w:ind w:firstLine="720"/>
      </w:pPr>
      <w:r>
        <w:t>Additionally, s</w:t>
      </w:r>
      <w:r w:rsidRPr="009121B1">
        <w:t xml:space="preserve">pecial procedures also restrict access to computerized CBI.  These security measures apply to CBI submitted by manufacturers as well as CBI generated by EPA staff in the course of their review.  </w:t>
      </w:r>
    </w:p>
    <w:p w:rsidR="00B912ED" w:rsidRDefault="00B912ED" w:rsidP="00B912ED"/>
    <w:p w:rsidR="00B912ED" w:rsidRDefault="00B912ED" w:rsidP="00B912ED">
      <w:pPr>
        <w:ind w:left="1440" w:hanging="720"/>
      </w:pPr>
      <w:r>
        <w:rPr>
          <w:b/>
          <w:bCs/>
        </w:rPr>
        <w:t>3(g)</w:t>
      </w:r>
      <w:r>
        <w:rPr>
          <w:b/>
          <w:bCs/>
        </w:rPr>
        <w:tab/>
        <w:t>Sensitive Questions</w:t>
      </w:r>
    </w:p>
    <w:p w:rsidR="00B912ED" w:rsidRDefault="00B912ED" w:rsidP="00B912ED"/>
    <w:p w:rsidR="00B912ED" w:rsidRDefault="00B912ED" w:rsidP="00B912ED">
      <w:pPr>
        <w:ind w:firstLine="720"/>
      </w:pPr>
      <w:r>
        <w:t>This section is not applicable.  The information requested is not sensitive in nature.</w:t>
      </w:r>
    </w:p>
    <w:p w:rsidR="00B912ED" w:rsidRDefault="00B912ED" w:rsidP="00B912ED"/>
    <w:p w:rsidR="00B912ED" w:rsidRDefault="00B912ED" w:rsidP="00B912ED"/>
    <w:p w:rsidR="00B912ED" w:rsidRDefault="00B912ED" w:rsidP="00B912ED">
      <w:pPr>
        <w:rPr>
          <w:b/>
          <w:bCs/>
        </w:rPr>
      </w:pPr>
      <w:r>
        <w:rPr>
          <w:b/>
          <w:bCs/>
        </w:rPr>
        <w:t xml:space="preserve">4. </w:t>
      </w:r>
      <w:r>
        <w:rPr>
          <w:b/>
          <w:bCs/>
        </w:rPr>
        <w:tab/>
        <w:t>THE RESPONDENTS AND THE INFORMATION REQUESTED</w:t>
      </w:r>
    </w:p>
    <w:p w:rsidR="00B912ED" w:rsidRDefault="00B912ED" w:rsidP="00B912ED">
      <w:pPr>
        <w:rPr>
          <w:b/>
          <w:bCs/>
        </w:rPr>
      </w:pPr>
    </w:p>
    <w:p w:rsidR="00B912ED" w:rsidRDefault="00B912ED" w:rsidP="00B912ED">
      <w:pPr>
        <w:ind w:left="1440" w:hanging="720"/>
      </w:pPr>
      <w:r>
        <w:rPr>
          <w:b/>
          <w:bCs/>
        </w:rPr>
        <w:t>4(a)</w:t>
      </w:r>
      <w:r>
        <w:rPr>
          <w:b/>
          <w:bCs/>
        </w:rPr>
        <w:tab/>
        <w:t>Respondent NAICS Codes</w:t>
      </w:r>
    </w:p>
    <w:p w:rsidR="00B912ED" w:rsidRDefault="00B912ED" w:rsidP="00B912ED"/>
    <w:p w:rsidR="00B912ED" w:rsidRDefault="00B912ED" w:rsidP="00B912ED">
      <w:pPr>
        <w:ind w:firstLine="720"/>
      </w:pPr>
      <w:r>
        <w:t>Respondents affected by this collection activity are mainly NAICS categories 325 - Chemicals and Allied Products Manufacturers and 32411- Petroleum Refining.</w:t>
      </w:r>
    </w:p>
    <w:p w:rsidR="00B912ED" w:rsidRDefault="00B912ED" w:rsidP="00B912ED"/>
    <w:p w:rsidR="00B912ED" w:rsidRDefault="00B912ED" w:rsidP="00B912ED">
      <w:pPr>
        <w:ind w:left="1440" w:hanging="720"/>
      </w:pPr>
      <w:r>
        <w:rPr>
          <w:b/>
          <w:bCs/>
        </w:rPr>
        <w:t>4(b)</w:t>
      </w:r>
      <w:r>
        <w:rPr>
          <w:b/>
          <w:bCs/>
        </w:rPr>
        <w:tab/>
        <w:t>Information Requested</w:t>
      </w:r>
    </w:p>
    <w:p w:rsidR="00B912ED" w:rsidRDefault="00B912ED" w:rsidP="00B912ED"/>
    <w:p w:rsidR="00B912ED" w:rsidRDefault="00B912ED" w:rsidP="00B912ED">
      <w:pPr>
        <w:tabs>
          <w:tab w:val="left" w:pos="6390"/>
        </w:tabs>
        <w:ind w:firstLine="720"/>
      </w:pPr>
      <w:r>
        <w:t xml:space="preserve"> (</w:t>
      </w:r>
      <w:proofErr w:type="spellStart"/>
      <w:r>
        <w:t>i</w:t>
      </w:r>
      <w:proofErr w:type="spellEnd"/>
      <w:r>
        <w:t>) Data items, including record keeping requirements</w:t>
      </w:r>
    </w:p>
    <w:p w:rsidR="00B912ED" w:rsidRDefault="00B912ED" w:rsidP="00B912ED"/>
    <w:p w:rsidR="00B912ED" w:rsidRDefault="00B912ED" w:rsidP="00B912ED">
      <w:pPr>
        <w:ind w:firstLine="720"/>
      </w:pPr>
      <w:r>
        <w:t xml:space="preserve">Information submitted under this collection must include, insofar as it is </w:t>
      </w:r>
      <w:r>
        <w:rPr>
          <w:u w:val="single"/>
        </w:rPr>
        <w:t>known</w:t>
      </w:r>
      <w:r>
        <w:t xml:space="preserve"> to or </w:t>
      </w:r>
      <w:r>
        <w:rPr>
          <w:u w:val="single"/>
        </w:rPr>
        <w:t>reasonably ascertainable</w:t>
      </w:r>
      <w:r>
        <w:t xml:space="preserve"> by the submitter, information described in TSCA section 8(a</w:t>
      </w:r>
      <w:proofErr w:type="gramStart"/>
      <w:r>
        <w:t>)(</w:t>
      </w:r>
      <w:proofErr w:type="gramEnd"/>
      <w:r>
        <w:t>2) (i.e., chemical identity, use, and exposure data), as well as test data, and descriptions of other data related to the effects on health and the environment of the manufacture, processing, use, distribution in commerce, and disposal of the chemical substance (TSCA section 5(d)).  After a notice has been received, EPA has 90 days (extendable to 180 days) to evaluate the notice’s content.</w:t>
      </w:r>
    </w:p>
    <w:p w:rsidR="00B912ED" w:rsidRDefault="00B912ED" w:rsidP="00B912ED">
      <w:pPr>
        <w:ind w:firstLine="720"/>
      </w:pPr>
    </w:p>
    <w:p w:rsidR="00B912ED" w:rsidRDefault="00B912ED" w:rsidP="00B912ED">
      <w:pPr>
        <w:ind w:firstLine="720"/>
      </w:pPr>
      <w:r>
        <w:t xml:space="preserve"> (ii) Respondent Activities</w:t>
      </w:r>
    </w:p>
    <w:p w:rsidR="00B912ED" w:rsidRDefault="00B912ED" w:rsidP="00B912ED"/>
    <w:p w:rsidR="00B912ED" w:rsidRDefault="00B912ED" w:rsidP="005472EA">
      <w:pPr>
        <w:ind w:firstLine="720"/>
        <w:contextualSpacing/>
        <w:rPr>
          <w:i/>
          <w:iCs/>
          <w:color w:val="000000"/>
        </w:rPr>
      </w:pPr>
      <w:r w:rsidRPr="005D5F92">
        <w:t>Only those persons who intend to engage in a significant new u</w:t>
      </w:r>
      <w:r>
        <w:t xml:space="preserve">se of a chemical substance must </w:t>
      </w:r>
      <w:r w:rsidRPr="005D5F92">
        <w:t xml:space="preserve">submit notice of their intentions to EPA.  </w:t>
      </w:r>
      <w:r w:rsidRPr="005D5F92">
        <w:rPr>
          <w:color w:val="000000"/>
        </w:rPr>
        <w:t xml:space="preserve">According to 40 CFR 721.1(c), persons submitting a SNUN </w:t>
      </w:r>
      <w:r w:rsidRPr="005D5F92">
        <w:rPr>
          <w:color w:val="000000"/>
        </w:rPr>
        <w:lastRenderedPageBreak/>
        <w:t xml:space="preserve">must comply with the same notice requirements and EPA regulatory procedures as persons submitting a PMN, including submission of test data on health and environmental effects as described in 720.50. SNUNs must be on EPA Form No. 7710–25, generated using e-PMN software, and submitted to the Agency in accordance with the procedures set forth in 721.25 and 720.40. E-PMN software is available electronically at </w:t>
      </w:r>
      <w:hyperlink r:id="rId9" w:history="1">
        <w:r w:rsidR="00C26BA4" w:rsidRPr="00335E90">
          <w:rPr>
            <w:rStyle w:val="Hyperlink"/>
            <w:i/>
            <w:iCs/>
          </w:rPr>
          <w:t>http://www.epa.gov/opptintr/newchems</w:t>
        </w:r>
      </w:hyperlink>
      <w:r w:rsidRPr="005D5F92">
        <w:rPr>
          <w:i/>
          <w:iCs/>
          <w:color w:val="000000"/>
        </w:rPr>
        <w:t>.</w:t>
      </w:r>
    </w:p>
    <w:p w:rsidR="00B912ED" w:rsidRDefault="00B912ED" w:rsidP="00B912ED">
      <w:pPr>
        <w:contextualSpacing/>
      </w:pPr>
    </w:p>
    <w:p w:rsidR="005472EA" w:rsidRPr="00161EB1" w:rsidRDefault="005472EA" w:rsidP="00B912ED">
      <w:pPr>
        <w:contextualSpacing/>
      </w:pPr>
    </w:p>
    <w:p w:rsidR="00B912ED" w:rsidRDefault="00B912ED" w:rsidP="00B912ED">
      <w:pPr>
        <w:rPr>
          <w:b/>
          <w:bCs/>
        </w:rPr>
      </w:pPr>
      <w:r>
        <w:rPr>
          <w:b/>
          <w:bCs/>
        </w:rPr>
        <w:t xml:space="preserve">5. </w:t>
      </w:r>
      <w:r>
        <w:rPr>
          <w:b/>
          <w:bCs/>
        </w:rPr>
        <w:tab/>
        <w:t xml:space="preserve">THE INFORMATION COLLECTED - AGENCY ACTIVITIES, COLLECTION  </w:t>
      </w:r>
    </w:p>
    <w:p w:rsidR="00B912ED" w:rsidRDefault="00B912ED" w:rsidP="00B912ED">
      <w:pPr>
        <w:rPr>
          <w:b/>
          <w:bCs/>
        </w:rPr>
      </w:pPr>
      <w:r>
        <w:rPr>
          <w:b/>
          <w:bCs/>
        </w:rPr>
        <w:tab/>
      </w:r>
      <w:proofErr w:type="gramStart"/>
      <w:r>
        <w:rPr>
          <w:b/>
          <w:bCs/>
        </w:rPr>
        <w:t>METHODOLOGY,</w:t>
      </w:r>
      <w:proofErr w:type="gramEnd"/>
      <w:r>
        <w:rPr>
          <w:b/>
          <w:bCs/>
        </w:rPr>
        <w:t xml:space="preserve"> AND INFORMATION MANAGEMENT</w:t>
      </w:r>
    </w:p>
    <w:p w:rsidR="00B912ED" w:rsidRDefault="00B912ED" w:rsidP="00B912ED">
      <w:pPr>
        <w:rPr>
          <w:b/>
          <w:bCs/>
        </w:rPr>
      </w:pPr>
    </w:p>
    <w:p w:rsidR="00B912ED" w:rsidRDefault="00B912ED" w:rsidP="00B912ED">
      <w:pPr>
        <w:ind w:left="1440" w:hanging="720"/>
      </w:pPr>
      <w:r>
        <w:rPr>
          <w:b/>
          <w:bCs/>
        </w:rPr>
        <w:t>5(a)</w:t>
      </w:r>
      <w:r>
        <w:rPr>
          <w:b/>
          <w:bCs/>
        </w:rPr>
        <w:tab/>
        <w:t>Agency Activities</w:t>
      </w:r>
    </w:p>
    <w:p w:rsidR="00B912ED" w:rsidRDefault="00B912ED" w:rsidP="00B912ED"/>
    <w:p w:rsidR="00B912ED" w:rsidRDefault="00B912ED" w:rsidP="00B912ED">
      <w:pPr>
        <w:ind w:firstLine="720"/>
      </w:pPr>
      <w:r>
        <w:t>A significant new use rule (SNUR) on an existing chemical substance is the product of a process that is designed to develop the appropriate information-gathering collection for a substance.  This process has three major steps: Chemical Referral, Regulatory Selection, and Regulation Development.</w:t>
      </w:r>
    </w:p>
    <w:p w:rsidR="00B912ED" w:rsidRDefault="00B912ED" w:rsidP="00B912ED"/>
    <w:p w:rsidR="00B912ED" w:rsidRDefault="00B912ED" w:rsidP="00B912ED">
      <w:pPr>
        <w:ind w:firstLine="720"/>
      </w:pPr>
      <w:proofErr w:type="gramStart"/>
      <w:r>
        <w:t>Step 1.</w:t>
      </w:r>
      <w:proofErr w:type="gramEnd"/>
      <w:r>
        <w:t xml:space="preserve">  </w:t>
      </w:r>
      <w:r>
        <w:rPr>
          <w:b/>
          <w:bCs/>
        </w:rPr>
        <w:t>Chemical Referral:</w:t>
      </w:r>
      <w:r>
        <w:t xml:space="preserve">  EPA offices that have identified information-gathering or follow-up monitoring needs for a particular chemical may refer the substance to OPPT.  A systematic process has been developed for receiving and handling chemical referrals.  Offices referring substances are asked to prepare concise summaries of relevant data.  This information is used to select a regulatory approach and for rulemaking activities.</w:t>
      </w:r>
    </w:p>
    <w:p w:rsidR="00B912ED" w:rsidRDefault="00B912ED" w:rsidP="00B912ED"/>
    <w:p w:rsidR="00B912ED" w:rsidRDefault="00B912ED" w:rsidP="00B912ED">
      <w:pPr>
        <w:ind w:firstLine="720"/>
      </w:pPr>
      <w:proofErr w:type="gramStart"/>
      <w:r>
        <w:t>Step 2.</w:t>
      </w:r>
      <w:proofErr w:type="gramEnd"/>
      <w:r>
        <w:t xml:space="preserve">  </w:t>
      </w:r>
      <w:r>
        <w:rPr>
          <w:b/>
          <w:bCs/>
        </w:rPr>
        <w:t>The Regulatory Selection Process - Referral and Review:</w:t>
      </w:r>
      <w:r>
        <w:t xml:space="preserve">  Once an office has detailed its need for information, an information collection approach is determined that best satisfies that office’s needs.  The rulemaking options are: a TSCA section 8(a) reporting rule, a TSCA section 8(c) call-in, a TSCA section 8(d) health and safety data reporting rule, a TSCA section 5(a)(2) SNUR, or any combination of the above.  It may also be determined that an alternative approach is more appropriate (e.g., use of existing data sources, no data-gathering at the present time, TSCA section 4 or 6 action, or referral to another office for information-gathering under a different statutory authority).</w:t>
      </w:r>
    </w:p>
    <w:p w:rsidR="00B912ED" w:rsidRDefault="00B912ED" w:rsidP="00B912ED"/>
    <w:p w:rsidR="00B912ED" w:rsidRDefault="00B912ED" w:rsidP="00B912ED">
      <w:pPr>
        <w:ind w:firstLine="720"/>
      </w:pPr>
      <w:proofErr w:type="gramStart"/>
      <w:r>
        <w:t>Step 3.</w:t>
      </w:r>
      <w:proofErr w:type="gramEnd"/>
      <w:r>
        <w:t xml:space="preserve">  </w:t>
      </w:r>
      <w:r>
        <w:rPr>
          <w:b/>
          <w:bCs/>
        </w:rPr>
        <w:t>Regulatory Development:</w:t>
      </w:r>
      <w:r>
        <w:t xml:space="preserve">  Prior to the development of a rule, the recommended rulemaking approach must be reviewed by the referring office and approved by the Office Director of OPPT.  If the recommendation is approved, then the rulemaking process begins.</w:t>
      </w:r>
    </w:p>
    <w:p w:rsidR="00B912ED" w:rsidRDefault="00B912ED" w:rsidP="00B912ED"/>
    <w:p w:rsidR="00B912ED" w:rsidRDefault="00B912ED" w:rsidP="00B912ED">
      <w:pPr>
        <w:ind w:firstLine="720"/>
      </w:pPr>
      <w:r>
        <w:t>A SNUR is drafted only if it is an appropriate approach for a particular substance that has received approval prior to the development of the rule.  The proposal then undergoes intra-agency review, OMB review and public comment.  Once a decision has been made to promulgate an information collection rule, the next decision is to determine whether a TSCA section 8(a) rule or a TSCA section 5 SNUR is most appropriate.  Attachment 5 identifies the selection criteria that are applied in determining whether a TSCA section 8(a) rule or SNUR is proposed.</w:t>
      </w:r>
    </w:p>
    <w:p w:rsidR="00B912ED" w:rsidRDefault="00B912ED" w:rsidP="00B912ED"/>
    <w:p w:rsidR="00B912ED" w:rsidRDefault="00B912ED" w:rsidP="00B912ED">
      <w:pPr>
        <w:ind w:left="1440" w:hanging="720"/>
      </w:pPr>
      <w:r>
        <w:rPr>
          <w:b/>
          <w:bCs/>
        </w:rPr>
        <w:t>5(b)</w:t>
      </w:r>
      <w:r>
        <w:rPr>
          <w:b/>
          <w:bCs/>
        </w:rPr>
        <w:tab/>
        <w:t>Collection Methodology and Management</w:t>
      </w:r>
    </w:p>
    <w:p w:rsidR="00B912ED" w:rsidRDefault="00B912ED" w:rsidP="00B912ED"/>
    <w:p w:rsidR="00B912ED" w:rsidRPr="00800EC5" w:rsidRDefault="00B912ED" w:rsidP="00B912ED">
      <w:pPr>
        <w:widowControl/>
        <w:ind w:firstLine="720"/>
      </w:pPr>
      <w:r w:rsidRPr="00800EC5">
        <w:t>For the past two years, submitters have been able to generate TSCA section 5 notices, including SNUNs, using the e-PMN available at the EPA New Chemicals Program website (</w:t>
      </w:r>
      <w:hyperlink r:id="rId10" w:history="1">
        <w:r w:rsidR="00C26BA4" w:rsidRPr="00C26BA4">
          <w:rPr>
            <w:rStyle w:val="Hyperlink"/>
            <w:i/>
          </w:rPr>
          <w:t>https://cdx.epa.gov/ssl/pmn/download.asp</w:t>
        </w:r>
      </w:hyperlink>
      <w:r w:rsidRPr="00800EC5">
        <w:t xml:space="preserve">).  The e-PMN software is available as a free internet download. The data being transmitted electronically via CDX is encrypted to protect CBI. The software works with Windows, Macs, Linux, and UNIX-based computers, using XML for more efficient data </w:t>
      </w:r>
      <w:r w:rsidRPr="00800EC5">
        <w:lastRenderedPageBreak/>
        <w:t xml:space="preserve">transmittal to Agency data systems. CDX is the mechanism for submission of section 5 notices to the Agency. An electronic signature will be required for TSCA section 5 notices submitted to the Agency via CDX.  Electronic signatures are granted as part of the CDX user-registration process.  </w:t>
      </w:r>
    </w:p>
    <w:p w:rsidR="00B912ED" w:rsidRPr="00800EC5" w:rsidRDefault="00B912ED" w:rsidP="00B912ED">
      <w:pPr>
        <w:widowControl/>
        <w:rPr>
          <w:b/>
          <w:bCs/>
        </w:rPr>
      </w:pPr>
      <w:r w:rsidRPr="00800EC5">
        <w:rPr>
          <w:b/>
          <w:bCs/>
        </w:rPr>
        <w:tab/>
      </w:r>
      <w:r w:rsidRPr="00800EC5">
        <w:rPr>
          <w:b/>
          <w:bCs/>
        </w:rPr>
        <w:tab/>
      </w:r>
    </w:p>
    <w:p w:rsidR="00B912ED" w:rsidRPr="00800EC5" w:rsidRDefault="00B912ED" w:rsidP="00B912ED">
      <w:pPr>
        <w:widowControl/>
        <w:ind w:firstLine="720"/>
      </w:pPr>
      <w:r w:rsidRPr="00800EC5">
        <w:t>The electronic submission software changes the way that companies now interact with the Agency with many of its submissions. EPA believes this change to electronic communications potentially reduces the reporting burden on industry because it reduces both the cost and the time required to enter, review, edit and transmit data to the Agency.  The electronic submission software also improves data quality because it facilitates data correction and validation by highlighting fields with omitted data prior to submission.  The protection of encrypted TSCA CBI data and the generation of an electronic Copy of Record that is returned to the submitter are other critical advantages of submitting data electronically through CDX.</w:t>
      </w:r>
    </w:p>
    <w:p w:rsidR="00B912ED" w:rsidRPr="00800EC5" w:rsidRDefault="00B912ED" w:rsidP="00B912ED">
      <w:pPr>
        <w:widowControl/>
        <w:ind w:firstLine="720"/>
      </w:pPr>
    </w:p>
    <w:p w:rsidR="00B912ED" w:rsidRPr="00800EC5" w:rsidRDefault="00B912ED" w:rsidP="00B912ED">
      <w:pPr>
        <w:widowControl/>
        <w:ind w:firstLine="720"/>
      </w:pPr>
      <w:r w:rsidRPr="00800EC5">
        <w:t>Because companies will be registered with EPA to submit their data electronically to the Agency via CDX, the Agency in turn is be able to communicate electronically with submitters via CDX.  Some examples of routine communications from EPA that could go through CDX include the Acknowledgment Letter (acknowledging receipt of a submission) and the Incomplete Letter (stating why a submission has been declared incomplete).  Previously, these communications were sent through the mail.  An electronic means of communication provides significant time and resource savings for both parties.</w:t>
      </w:r>
    </w:p>
    <w:p w:rsidR="00B912ED" w:rsidRPr="00800EC5" w:rsidRDefault="00B912ED" w:rsidP="00B912ED">
      <w:pPr>
        <w:widowControl/>
      </w:pPr>
    </w:p>
    <w:p w:rsidR="00B912ED" w:rsidRDefault="00B912ED" w:rsidP="00B912ED">
      <w:pPr>
        <w:ind w:firstLine="720"/>
      </w:pPr>
      <w:r w:rsidRPr="00800EC5">
        <w:t>SNUN submitters are required to use the e-PMN software to generate section 5 notices and support documents. The e-PMN software includes many useful features for section 5 notice preparers.  One feature is a built-in validation mechanism which will alert users that information, required by regulation, is missing or potentially incorrect.  This should help reduce the number of incomplete section 5 notices, saving submitter and EPA processing resources and</w:t>
      </w:r>
      <w:r>
        <w:t xml:space="preserve"> time.  Also, </w:t>
      </w:r>
      <w:r w:rsidRPr="00800EC5">
        <w:t>the new e-PMN software allows for the creation of a sanitized non-CBI version from the complete section 5 notices submission containing CBI.  It also allows submitters to share a draft notice within their company during the creation of a section 5 notice and to save a copy of the final file for future reference.  The software allows the submitter to create a profile with his/her contact information, which saves the submitter time in reentering that information on subsequent notices.</w:t>
      </w:r>
    </w:p>
    <w:p w:rsidR="00B912ED" w:rsidRDefault="00B912ED" w:rsidP="00B912ED"/>
    <w:p w:rsidR="00B912ED" w:rsidRDefault="00B912ED" w:rsidP="00B912ED">
      <w:pPr>
        <w:ind w:firstLine="720"/>
      </w:pPr>
      <w:r w:rsidRPr="00800EC5">
        <w:t xml:space="preserve">In addition to support provided with the e-PMN software, </w:t>
      </w:r>
      <w:r>
        <w:t>OPPT has set up a TSCA Hotline that provides information regarding TSCA section 5(a</w:t>
      </w:r>
      <w:proofErr w:type="gramStart"/>
      <w:r>
        <w:t>)(</w:t>
      </w:r>
      <w:proofErr w:type="gramEnd"/>
      <w:r>
        <w:t>2) reporting as well as other regulatory information.  When Hotline staff are unable to answer questions regarding TSCA section 5(a</w:t>
      </w:r>
      <w:proofErr w:type="gramStart"/>
      <w:r>
        <w:t>)(</w:t>
      </w:r>
      <w:proofErr w:type="gramEnd"/>
      <w:r>
        <w:t>2), the questions are referred to the OPPT Chemical Control Division (CCD) staff for resolution.</w:t>
      </w:r>
    </w:p>
    <w:p w:rsidR="00B912ED" w:rsidRDefault="00B912ED" w:rsidP="00B912ED"/>
    <w:p w:rsidR="00B912ED" w:rsidRDefault="00B912ED" w:rsidP="00B912ED">
      <w:pPr>
        <w:ind w:left="1440" w:hanging="720"/>
      </w:pPr>
      <w:proofErr w:type="gramStart"/>
      <w:r>
        <w:rPr>
          <w:b/>
          <w:bCs/>
        </w:rPr>
        <w:t>5(c)</w:t>
      </w:r>
      <w:r>
        <w:rPr>
          <w:b/>
          <w:bCs/>
        </w:rPr>
        <w:tab/>
        <w:t>Small Entity Flexibility</w:t>
      </w:r>
      <w:proofErr w:type="gramEnd"/>
    </w:p>
    <w:p w:rsidR="00B912ED" w:rsidRDefault="00B912ED" w:rsidP="00B912ED"/>
    <w:p w:rsidR="00B912ED" w:rsidRDefault="00B912ED" w:rsidP="00B912ED">
      <w:pPr>
        <w:ind w:firstLine="720"/>
      </w:pPr>
      <w:r>
        <w:t>All business, regardless of size, must comply with the requirements of TSCA section 5.  However, OPPT has taken a number of steps intended to minimize the burden placed on small business.  For instance, TSCA section 26(d) established an Assistance Office to provide technical and other nonfinancial assistance to manufacturers, importers and processors of chemical substances and mixtures.  This office has established a toll-free hotline, performs on-site field visits and consultations, and has hired a contractor to assist small businesses, free of charge, in complying with TSCA requirements.</w:t>
      </w:r>
    </w:p>
    <w:p w:rsidR="00B912ED" w:rsidRDefault="00B912ED" w:rsidP="00B912ED"/>
    <w:p w:rsidR="00B912ED" w:rsidRDefault="00B912ED" w:rsidP="005472EA">
      <w:pPr>
        <w:keepNext/>
        <w:widowControl/>
        <w:ind w:left="1440" w:hanging="720"/>
      </w:pPr>
      <w:r>
        <w:rPr>
          <w:b/>
          <w:bCs/>
        </w:rPr>
        <w:lastRenderedPageBreak/>
        <w:t>5(d)</w:t>
      </w:r>
      <w:r>
        <w:rPr>
          <w:b/>
          <w:bCs/>
        </w:rPr>
        <w:tab/>
        <w:t>Collection Schedule</w:t>
      </w:r>
    </w:p>
    <w:p w:rsidR="00B912ED" w:rsidRDefault="00B912ED" w:rsidP="005472EA">
      <w:pPr>
        <w:keepNext/>
        <w:widowControl/>
      </w:pPr>
    </w:p>
    <w:p w:rsidR="00B912ED" w:rsidRDefault="00B912ED" w:rsidP="005472EA">
      <w:pPr>
        <w:keepNext/>
        <w:widowControl/>
        <w:ind w:firstLine="720"/>
      </w:pPr>
      <w:r>
        <w:t>Whenever any person intends to engage in a significant new use of a chemical substance, they are required to submit a notice of their intentions to EPA not less than 90 days before beginning to manufacture, import or process the substance for the intended use.</w:t>
      </w:r>
    </w:p>
    <w:p w:rsidR="00B912ED" w:rsidRDefault="00B912ED" w:rsidP="00B912ED"/>
    <w:p w:rsidR="00B912ED" w:rsidRDefault="00B912ED" w:rsidP="00B912ED">
      <w:pPr>
        <w:rPr>
          <w:b/>
        </w:rPr>
      </w:pPr>
    </w:p>
    <w:p w:rsidR="00B912ED" w:rsidRDefault="00B912ED" w:rsidP="00B912ED">
      <w:pPr>
        <w:rPr>
          <w:b/>
          <w:bCs/>
        </w:rPr>
      </w:pPr>
      <w:r w:rsidRPr="00087BC1">
        <w:rPr>
          <w:b/>
        </w:rPr>
        <w:t>6</w:t>
      </w:r>
      <w:r>
        <w:t>.</w:t>
      </w:r>
      <w:r>
        <w:tab/>
      </w:r>
      <w:r>
        <w:rPr>
          <w:b/>
          <w:bCs/>
        </w:rPr>
        <w:t xml:space="preserve">ESTIMATING THE BURDEN AND COST OF THE COLLECTION </w:t>
      </w:r>
    </w:p>
    <w:p w:rsidR="00B912ED" w:rsidRDefault="00B912ED" w:rsidP="00B912ED">
      <w:pPr>
        <w:rPr>
          <w:b/>
          <w:bCs/>
        </w:rPr>
      </w:pPr>
    </w:p>
    <w:p w:rsidR="00B912ED" w:rsidRDefault="00B912ED" w:rsidP="00B912ED">
      <w:pPr>
        <w:ind w:firstLine="720"/>
      </w:pPr>
      <w:r>
        <w:t>This section presents estimates of the cost and burden associated with the recordkeeping and reporting requirements for significant new use rules for existing chemicals under TSCA section 5(a</w:t>
      </w:r>
      <w:proofErr w:type="gramStart"/>
      <w:r>
        <w:t>)(</w:t>
      </w:r>
      <w:proofErr w:type="gramEnd"/>
      <w:r>
        <w:t xml:space="preserve">2). The methodology used to estimate the recordkeeping costs, reporting costs, and burden for this ICR renewal is largely based on previous experience with SNURs, and is consistent with the analysis presented in the supporting statement prepared for the previous ICR. </w:t>
      </w:r>
    </w:p>
    <w:p w:rsidR="00B912ED" w:rsidRDefault="00B912ED" w:rsidP="00B912ED">
      <w:pPr>
        <w:ind w:firstLine="720"/>
      </w:pPr>
    </w:p>
    <w:p w:rsidR="00B912ED" w:rsidRDefault="00B912ED" w:rsidP="00B912ED">
      <w:pPr>
        <w:ind w:firstLine="720"/>
      </w:pPr>
      <w:r>
        <w:t>To comply with the regulation, manufacturers (including importers) must complete the activities listed in Table 1. Table 1 also provides a cross-walk of the related Information Collection that corresponds to each activity.</w:t>
      </w:r>
    </w:p>
    <w:p w:rsidR="00B912ED" w:rsidRDefault="00B912ED" w:rsidP="00B912ED">
      <w:pPr>
        <w:ind w:firstLine="720"/>
      </w:pPr>
    </w:p>
    <w:p w:rsidR="00B912ED" w:rsidRPr="00F9765A" w:rsidRDefault="00B912ED" w:rsidP="00B912ED">
      <w:pPr>
        <w:rPr>
          <w:b/>
        </w:rPr>
      </w:pPr>
      <w:bookmarkStart w:id="0" w:name="_Ref264803886"/>
      <w:r w:rsidRPr="00F9765A">
        <w:rPr>
          <w:b/>
        </w:rPr>
        <w:t xml:space="preserve">Table </w:t>
      </w:r>
      <w:r w:rsidR="008237F2" w:rsidRPr="00F9765A">
        <w:rPr>
          <w:b/>
        </w:rPr>
        <w:fldChar w:fldCharType="begin"/>
      </w:r>
      <w:r w:rsidRPr="00F9765A">
        <w:rPr>
          <w:b/>
        </w:rPr>
        <w:instrText xml:space="preserve"> SEQ Table \* ARABIC </w:instrText>
      </w:r>
      <w:r w:rsidR="008237F2" w:rsidRPr="00F9765A">
        <w:rPr>
          <w:b/>
        </w:rPr>
        <w:fldChar w:fldCharType="separate"/>
      </w:r>
      <w:r>
        <w:rPr>
          <w:b/>
          <w:noProof/>
        </w:rPr>
        <w:t>1</w:t>
      </w:r>
      <w:r w:rsidR="008237F2" w:rsidRPr="00F9765A">
        <w:rPr>
          <w:b/>
        </w:rPr>
        <w:fldChar w:fldCharType="end"/>
      </w:r>
      <w:bookmarkEnd w:id="0"/>
      <w:r w:rsidRPr="00F9765A">
        <w:rPr>
          <w:b/>
        </w:rPr>
        <w:t xml:space="preserve">: Cross-Walk between Industry Activities and Related Information Collections </w:t>
      </w:r>
      <w:r>
        <w:rPr>
          <w:b/>
        </w:rPr>
        <w:t>(</w:t>
      </w:r>
      <w:r w:rsidRPr="00F9765A">
        <w:rPr>
          <w:b/>
        </w:rPr>
        <w:t>ICs)</w:t>
      </w:r>
    </w:p>
    <w:tbl>
      <w:tblPr>
        <w:tblW w:w="4944"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8"/>
        <w:gridCol w:w="5424"/>
        <w:gridCol w:w="3079"/>
      </w:tblGrid>
      <w:tr w:rsidR="00B912ED" w:rsidTr="005C1538">
        <w:trPr>
          <w:tblHeader/>
          <w:jc w:val="center"/>
        </w:trPr>
        <w:tc>
          <w:tcPr>
            <w:tcW w:w="824" w:type="pct"/>
          </w:tcPr>
          <w:p w:rsidR="00B912ED" w:rsidRPr="00F9765A" w:rsidRDefault="00B912ED" w:rsidP="005C1538">
            <w:pPr>
              <w:rPr>
                <w:b/>
                <w:sz w:val="22"/>
              </w:rPr>
            </w:pPr>
            <w:r w:rsidRPr="00F9765A">
              <w:rPr>
                <w:b/>
                <w:sz w:val="22"/>
                <w:szCs w:val="22"/>
              </w:rPr>
              <w:t>Activity</w:t>
            </w:r>
          </w:p>
        </w:tc>
        <w:tc>
          <w:tcPr>
            <w:tcW w:w="2663" w:type="pct"/>
          </w:tcPr>
          <w:p w:rsidR="00B912ED" w:rsidRPr="00F9765A" w:rsidRDefault="00B912ED" w:rsidP="005C1538">
            <w:pPr>
              <w:rPr>
                <w:b/>
                <w:sz w:val="22"/>
              </w:rPr>
            </w:pPr>
            <w:r w:rsidRPr="00F9765A">
              <w:rPr>
                <w:b/>
                <w:sz w:val="22"/>
                <w:szCs w:val="22"/>
              </w:rPr>
              <w:t>Description</w:t>
            </w:r>
          </w:p>
        </w:tc>
        <w:tc>
          <w:tcPr>
            <w:tcW w:w="1512" w:type="pct"/>
          </w:tcPr>
          <w:p w:rsidR="00B912ED" w:rsidRPr="00F9765A" w:rsidRDefault="00B912ED" w:rsidP="005C1538">
            <w:pPr>
              <w:rPr>
                <w:b/>
                <w:sz w:val="22"/>
              </w:rPr>
            </w:pPr>
            <w:r w:rsidRPr="00F9765A">
              <w:rPr>
                <w:b/>
                <w:sz w:val="22"/>
                <w:szCs w:val="22"/>
              </w:rPr>
              <w:t>Related IC(s)</w:t>
            </w:r>
          </w:p>
        </w:tc>
      </w:tr>
      <w:tr w:rsidR="00B912ED" w:rsidTr="005C1538">
        <w:trPr>
          <w:jc w:val="center"/>
        </w:trPr>
        <w:tc>
          <w:tcPr>
            <w:tcW w:w="824" w:type="pct"/>
          </w:tcPr>
          <w:p w:rsidR="00B912ED" w:rsidRPr="00F82A57" w:rsidRDefault="00B912ED" w:rsidP="005C1538">
            <w:pPr>
              <w:rPr>
                <w:bCs/>
                <w:sz w:val="22"/>
              </w:rPr>
            </w:pPr>
            <w:r w:rsidRPr="0044021A">
              <w:rPr>
                <w:sz w:val="22"/>
                <w:szCs w:val="22"/>
              </w:rPr>
              <w:t xml:space="preserve">Chemical </w:t>
            </w:r>
            <w:r>
              <w:rPr>
                <w:sz w:val="22"/>
                <w:szCs w:val="22"/>
              </w:rPr>
              <w:t>v</w:t>
            </w:r>
            <w:r w:rsidRPr="0044021A">
              <w:rPr>
                <w:sz w:val="22"/>
                <w:szCs w:val="22"/>
              </w:rPr>
              <w:t>erification</w:t>
            </w:r>
            <w:r w:rsidRPr="00F82A57">
              <w:rPr>
                <w:sz w:val="22"/>
                <w:szCs w:val="22"/>
              </w:rPr>
              <w:t xml:space="preserve"> </w:t>
            </w:r>
          </w:p>
        </w:tc>
        <w:tc>
          <w:tcPr>
            <w:tcW w:w="2663" w:type="pct"/>
          </w:tcPr>
          <w:p w:rsidR="00B912ED" w:rsidRPr="00672AEA" w:rsidRDefault="00B912ED" w:rsidP="005C1538">
            <w:pPr>
              <w:rPr>
                <w:sz w:val="22"/>
              </w:rPr>
            </w:pPr>
            <w:r w:rsidRPr="00672AEA">
              <w:rPr>
                <w:sz w:val="22"/>
                <w:szCs w:val="22"/>
              </w:rPr>
              <w:t xml:space="preserve">When a SNUR is published, companies must review the rule to verify </w:t>
            </w:r>
            <w:r>
              <w:rPr>
                <w:sz w:val="22"/>
                <w:szCs w:val="22"/>
              </w:rPr>
              <w:t>whether</w:t>
            </w:r>
            <w:r w:rsidRPr="00672AEA">
              <w:rPr>
                <w:sz w:val="22"/>
                <w:szCs w:val="22"/>
              </w:rPr>
              <w:t xml:space="preserve"> </w:t>
            </w:r>
            <w:r>
              <w:rPr>
                <w:sz w:val="22"/>
                <w:szCs w:val="22"/>
              </w:rPr>
              <w:t>a</w:t>
            </w:r>
            <w:r w:rsidRPr="00672AEA">
              <w:rPr>
                <w:sz w:val="22"/>
                <w:szCs w:val="22"/>
              </w:rPr>
              <w:t xml:space="preserve"> chemical </w:t>
            </w:r>
            <w:r>
              <w:rPr>
                <w:sz w:val="22"/>
                <w:szCs w:val="22"/>
              </w:rPr>
              <w:t xml:space="preserve">they manufacture or import </w:t>
            </w:r>
            <w:r w:rsidRPr="00672AEA">
              <w:rPr>
                <w:sz w:val="22"/>
                <w:szCs w:val="22"/>
              </w:rPr>
              <w:t>is subject to the rule</w:t>
            </w:r>
          </w:p>
        </w:tc>
        <w:tc>
          <w:tcPr>
            <w:tcW w:w="1512" w:type="pct"/>
          </w:tcPr>
          <w:p w:rsidR="00B912ED" w:rsidRPr="0038330C" w:rsidRDefault="00B912ED" w:rsidP="005C1538">
            <w:pPr>
              <w:rPr>
                <w:sz w:val="22"/>
              </w:rPr>
            </w:pPr>
            <w:r w:rsidRPr="00BF29B2">
              <w:rPr>
                <w:sz w:val="22"/>
                <w:szCs w:val="22"/>
              </w:rPr>
              <w:t>Chemical Verification</w:t>
            </w:r>
          </w:p>
          <w:p w:rsidR="00B912ED" w:rsidRPr="00672AEA" w:rsidRDefault="00B912ED" w:rsidP="005C1538">
            <w:pPr>
              <w:rPr>
                <w:sz w:val="22"/>
              </w:rPr>
            </w:pPr>
          </w:p>
        </w:tc>
      </w:tr>
      <w:tr w:rsidR="00B912ED" w:rsidTr="005C1538">
        <w:trPr>
          <w:jc w:val="center"/>
        </w:trPr>
        <w:tc>
          <w:tcPr>
            <w:tcW w:w="824" w:type="pct"/>
          </w:tcPr>
          <w:p w:rsidR="00B912ED" w:rsidRPr="00F82A57" w:rsidRDefault="00B912ED" w:rsidP="005C1538">
            <w:pPr>
              <w:rPr>
                <w:sz w:val="22"/>
              </w:rPr>
            </w:pPr>
            <w:r w:rsidRPr="00F82A57">
              <w:rPr>
                <w:bCs/>
                <w:sz w:val="22"/>
                <w:szCs w:val="22"/>
              </w:rPr>
              <w:t xml:space="preserve">Rule </w:t>
            </w:r>
            <w:r>
              <w:rPr>
                <w:bCs/>
                <w:sz w:val="22"/>
                <w:szCs w:val="22"/>
              </w:rPr>
              <w:t>f</w:t>
            </w:r>
            <w:r w:rsidRPr="00F82A57">
              <w:rPr>
                <w:bCs/>
                <w:sz w:val="22"/>
                <w:szCs w:val="22"/>
              </w:rPr>
              <w:t>amiliarization</w:t>
            </w:r>
          </w:p>
        </w:tc>
        <w:tc>
          <w:tcPr>
            <w:tcW w:w="2663" w:type="pct"/>
          </w:tcPr>
          <w:p w:rsidR="00B912ED" w:rsidRPr="00672AEA" w:rsidRDefault="00B912ED" w:rsidP="005C1538">
            <w:pPr>
              <w:rPr>
                <w:sz w:val="22"/>
              </w:rPr>
            </w:pPr>
            <w:r w:rsidRPr="00672AEA">
              <w:rPr>
                <w:sz w:val="22"/>
                <w:szCs w:val="22"/>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1512" w:type="pct"/>
          </w:tcPr>
          <w:p w:rsidR="00B912ED" w:rsidRPr="00672AEA" w:rsidRDefault="00B912ED" w:rsidP="005C1538">
            <w:pPr>
              <w:rPr>
                <w:sz w:val="22"/>
              </w:rPr>
            </w:pPr>
            <w:r w:rsidRPr="00672AEA">
              <w:rPr>
                <w:sz w:val="22"/>
                <w:szCs w:val="22"/>
              </w:rPr>
              <w:t>Rule Familiarization</w:t>
            </w:r>
          </w:p>
        </w:tc>
      </w:tr>
      <w:tr w:rsidR="00B912ED" w:rsidTr="005C1538">
        <w:trPr>
          <w:cantSplit/>
          <w:jc w:val="center"/>
        </w:trPr>
        <w:tc>
          <w:tcPr>
            <w:tcW w:w="824" w:type="pct"/>
          </w:tcPr>
          <w:p w:rsidR="00B912ED" w:rsidRPr="00F82A57" w:rsidRDefault="00B912ED" w:rsidP="005C1538">
            <w:pPr>
              <w:rPr>
                <w:bCs/>
                <w:sz w:val="22"/>
              </w:rPr>
            </w:pPr>
            <w:r>
              <w:rPr>
                <w:bCs/>
                <w:sz w:val="22"/>
                <w:szCs w:val="22"/>
              </w:rPr>
              <w:t>CDX r</w:t>
            </w:r>
            <w:r w:rsidRPr="00F82A57">
              <w:rPr>
                <w:bCs/>
                <w:sz w:val="22"/>
                <w:szCs w:val="22"/>
              </w:rPr>
              <w:t>egistration</w:t>
            </w:r>
            <w:r>
              <w:rPr>
                <w:bCs/>
                <w:sz w:val="22"/>
                <w:szCs w:val="22"/>
              </w:rPr>
              <w:t>, electronic signature agreement, and Pay.gov account set up</w:t>
            </w:r>
            <w:r w:rsidRPr="00F82A57">
              <w:rPr>
                <w:bCs/>
                <w:sz w:val="22"/>
                <w:szCs w:val="22"/>
              </w:rPr>
              <w:t xml:space="preserve"> </w:t>
            </w:r>
          </w:p>
        </w:tc>
        <w:tc>
          <w:tcPr>
            <w:tcW w:w="2663" w:type="pct"/>
          </w:tcPr>
          <w:p w:rsidR="00B912ED" w:rsidRPr="00672AEA" w:rsidRDefault="00B912ED" w:rsidP="005C1538">
            <w:pPr>
              <w:rPr>
                <w:sz w:val="22"/>
              </w:rPr>
            </w:pPr>
            <w:r w:rsidRPr="00672AEA">
              <w:rPr>
                <w:sz w:val="22"/>
                <w:szCs w:val="22"/>
              </w:rPr>
              <w:t xml:space="preserve">Before submitting </w:t>
            </w:r>
            <w:r>
              <w:rPr>
                <w:sz w:val="22"/>
                <w:szCs w:val="22"/>
              </w:rPr>
              <w:t>a SNUN</w:t>
            </w:r>
            <w:r w:rsidRPr="00672AEA">
              <w:rPr>
                <w:sz w:val="22"/>
                <w:szCs w:val="22"/>
              </w:rPr>
              <w:t>, all respondents must register with CDX. In addition, respondents must complete an Electronic Signature Agreement form, which is signed, dated, and either submitted electronically or mailed back to EPA</w:t>
            </w:r>
            <w:r>
              <w:rPr>
                <w:sz w:val="22"/>
                <w:szCs w:val="22"/>
              </w:rPr>
              <w:t>, and register for a Pay.gov account</w:t>
            </w:r>
            <w:r w:rsidRPr="00672AEA">
              <w:rPr>
                <w:sz w:val="22"/>
                <w:szCs w:val="22"/>
              </w:rPr>
              <w:t>.</w:t>
            </w:r>
          </w:p>
        </w:tc>
        <w:tc>
          <w:tcPr>
            <w:tcW w:w="1512" w:type="pct"/>
          </w:tcPr>
          <w:p w:rsidR="00B912ED" w:rsidRPr="00672AEA" w:rsidRDefault="00B912ED" w:rsidP="005C1538">
            <w:pPr>
              <w:rPr>
                <w:sz w:val="22"/>
              </w:rPr>
            </w:pPr>
            <w:r w:rsidRPr="00672AEA">
              <w:rPr>
                <w:sz w:val="22"/>
                <w:szCs w:val="22"/>
              </w:rPr>
              <w:t>CDX Registration Activities</w:t>
            </w:r>
          </w:p>
        </w:tc>
      </w:tr>
      <w:tr w:rsidR="00B912ED" w:rsidTr="005C1538">
        <w:trPr>
          <w:cantSplit/>
          <w:jc w:val="center"/>
        </w:trPr>
        <w:tc>
          <w:tcPr>
            <w:tcW w:w="824" w:type="pct"/>
          </w:tcPr>
          <w:p w:rsidR="00B912ED" w:rsidRPr="00F82A57" w:rsidRDefault="00B912ED" w:rsidP="005C1538">
            <w:pPr>
              <w:rPr>
                <w:sz w:val="22"/>
              </w:rPr>
            </w:pPr>
            <w:r>
              <w:rPr>
                <w:bCs/>
                <w:sz w:val="22"/>
                <w:szCs w:val="22"/>
              </w:rPr>
              <w:t>P</w:t>
            </w:r>
            <w:r w:rsidRPr="00F82A57">
              <w:rPr>
                <w:bCs/>
                <w:sz w:val="22"/>
                <w:szCs w:val="22"/>
              </w:rPr>
              <w:t>reparation of reports (form completion and form submission)</w:t>
            </w:r>
          </w:p>
        </w:tc>
        <w:tc>
          <w:tcPr>
            <w:tcW w:w="2663" w:type="pct"/>
          </w:tcPr>
          <w:p w:rsidR="00B912ED" w:rsidRPr="00672AEA" w:rsidRDefault="00B912ED" w:rsidP="005C1538">
            <w:pPr>
              <w:rPr>
                <w:sz w:val="22"/>
              </w:rPr>
            </w:pPr>
            <w:r w:rsidRPr="00672AEA">
              <w:rPr>
                <w:sz w:val="22"/>
                <w:szCs w:val="22"/>
              </w:rPr>
              <w:t xml:space="preserve">Site staff must collect all information required for a SNUN and submit an electronic SNUN form. Firms must also keep records supporting their submissions. </w:t>
            </w:r>
          </w:p>
        </w:tc>
        <w:tc>
          <w:tcPr>
            <w:tcW w:w="1512" w:type="pct"/>
          </w:tcPr>
          <w:p w:rsidR="00B912ED" w:rsidRPr="00672AEA" w:rsidRDefault="00B912ED" w:rsidP="005C1538">
            <w:pPr>
              <w:rPr>
                <w:sz w:val="22"/>
              </w:rPr>
            </w:pPr>
            <w:r w:rsidRPr="00672AEA">
              <w:rPr>
                <w:sz w:val="22"/>
                <w:szCs w:val="22"/>
              </w:rPr>
              <w:t>Prepare and Submit Report, and Maintain Records</w:t>
            </w:r>
          </w:p>
        </w:tc>
      </w:tr>
    </w:tbl>
    <w:p w:rsidR="00B912ED" w:rsidRDefault="00B912ED" w:rsidP="00B912ED">
      <w:pPr>
        <w:ind w:firstLine="720"/>
      </w:pPr>
    </w:p>
    <w:p w:rsidR="00B912ED" w:rsidRDefault="00B912ED" w:rsidP="00B912ED">
      <w:pPr>
        <w:ind w:firstLine="510"/>
      </w:pPr>
      <w:r>
        <w:rPr>
          <w:b/>
        </w:rPr>
        <w:br w:type="page"/>
      </w:r>
      <w:r w:rsidRPr="00FF4F0C">
        <w:rPr>
          <w:b/>
        </w:rPr>
        <w:lastRenderedPageBreak/>
        <w:t>6(a)</w:t>
      </w:r>
      <w:r>
        <w:rPr>
          <w:b/>
        </w:rPr>
        <w:t xml:space="preserve"> </w:t>
      </w:r>
      <w:r>
        <w:rPr>
          <w:b/>
        </w:rPr>
        <w:tab/>
      </w:r>
      <w:r w:rsidRPr="00FF4F0C">
        <w:rPr>
          <w:b/>
        </w:rPr>
        <w:t>Estimating Respondent Burden</w:t>
      </w:r>
    </w:p>
    <w:p w:rsidR="00B912ED" w:rsidRDefault="00B912ED" w:rsidP="00B912ED">
      <w:pPr>
        <w:rPr>
          <w:u w:val="single"/>
        </w:rPr>
      </w:pPr>
    </w:p>
    <w:p w:rsidR="00B912ED" w:rsidRDefault="00B912ED" w:rsidP="00B912ED">
      <w:pPr>
        <w:ind w:firstLine="510"/>
      </w:pPr>
      <w:r>
        <w:rPr>
          <w:u w:val="single"/>
        </w:rPr>
        <w:t xml:space="preserve">Number </w:t>
      </w:r>
      <w:proofErr w:type="gramStart"/>
      <w:r>
        <w:rPr>
          <w:u w:val="single"/>
        </w:rPr>
        <w:t>Of</w:t>
      </w:r>
      <w:proofErr w:type="gramEnd"/>
      <w:r>
        <w:rPr>
          <w:u w:val="single"/>
        </w:rPr>
        <w:t xml:space="preserve"> Significant New Use Notices Projected</w:t>
      </w:r>
    </w:p>
    <w:p w:rsidR="00B912ED" w:rsidRDefault="00B912ED" w:rsidP="00B912ED"/>
    <w:p w:rsidR="00B912ED" w:rsidRDefault="00B912ED" w:rsidP="00B912ED">
      <w:pPr>
        <w:pStyle w:val="NormalWeb"/>
        <w:spacing w:before="0" w:beforeAutospacing="0" w:after="0" w:afterAutospacing="0" w:line="312" w:lineRule="atLeast"/>
        <w:ind w:firstLine="510"/>
        <w:rPr>
          <w:color w:val="000000"/>
          <w:shd w:val="clear" w:color="auto" w:fill="FFFFFF"/>
        </w:rPr>
      </w:pPr>
      <w:r w:rsidRPr="00155FC0">
        <w:t>During the years 2008 through 2011, EPA proposed two existing chemical SNURs under TSCA section 5(a</w:t>
      </w:r>
      <w:proofErr w:type="gramStart"/>
      <w:r w:rsidRPr="00155FC0">
        <w:t>)(</w:t>
      </w:r>
      <w:proofErr w:type="gramEnd"/>
      <w:r w:rsidRPr="00155FC0">
        <w:t xml:space="preserve">2). </w:t>
      </w:r>
      <w:r>
        <w:t>T</w:t>
      </w:r>
      <w:r w:rsidRPr="00155FC0">
        <w:t xml:space="preserve">his activity may increase over the next three-year period as EPA initiates </w:t>
      </w:r>
      <w:r w:rsidRPr="00155FC0">
        <w:rPr>
          <w:rStyle w:val="apple-style-span"/>
          <w:color w:val="000000"/>
          <w:shd w:val="clear" w:color="auto" w:fill="FFFFFF"/>
        </w:rPr>
        <w:t>a comprehensive approach to enhance the Agency’s existing chemicals management program</w:t>
      </w:r>
      <w:r w:rsidRPr="00155FC0">
        <w:rPr>
          <w:rStyle w:val="apple-converted-space"/>
          <w:color w:val="000000"/>
          <w:shd w:val="clear" w:color="auto" w:fill="FFFFFF"/>
        </w:rPr>
        <w:t>.</w:t>
      </w:r>
      <w:r w:rsidRPr="00155FC0">
        <w:rPr>
          <w:color w:val="000000"/>
          <w:shd w:val="clear" w:color="auto" w:fill="FFFFFF"/>
        </w:rPr>
        <w:t xml:space="preserve"> </w:t>
      </w:r>
      <w:r>
        <w:rPr>
          <w:color w:val="000000"/>
          <w:shd w:val="clear" w:color="auto" w:fill="FFFFFF"/>
        </w:rPr>
        <w:t xml:space="preserve"> However, EPA cannot estimate future SNUR activity with certainty.</w:t>
      </w:r>
    </w:p>
    <w:p w:rsidR="00B912ED" w:rsidRPr="00925B06" w:rsidDel="002E2A86" w:rsidRDefault="00B912ED" w:rsidP="00B912ED">
      <w:pPr>
        <w:pStyle w:val="NormalWeb"/>
        <w:spacing w:before="0" w:beforeAutospacing="0" w:after="0" w:afterAutospacing="0" w:line="312" w:lineRule="atLeast"/>
        <w:ind w:firstLine="510"/>
        <w:rPr>
          <w:color w:val="000000"/>
          <w:shd w:val="clear" w:color="auto" w:fill="FFFFFF"/>
        </w:rPr>
      </w:pPr>
    </w:p>
    <w:p w:rsidR="00B912ED" w:rsidRDefault="00B912ED" w:rsidP="00B912ED">
      <w:pPr>
        <w:pStyle w:val="NormalWeb"/>
        <w:spacing w:before="0" w:beforeAutospacing="0" w:after="0" w:afterAutospacing="0" w:line="312" w:lineRule="atLeast"/>
        <w:ind w:firstLine="510"/>
      </w:pPr>
      <w:r w:rsidRPr="006F3780">
        <w:t>Therefore, based on past ICRs and the best professional judgment of Agency staff, EPA is estimating it will promulgate an average of five existing chemical SNURs per year under TSCA section 5(a</w:t>
      </w:r>
      <w:proofErr w:type="gramStart"/>
      <w:r w:rsidRPr="006F3780">
        <w:t>)(</w:t>
      </w:r>
      <w:proofErr w:type="gramEnd"/>
      <w:r w:rsidRPr="006F3780">
        <w:t>2) during the time period covered by this ICR</w:t>
      </w:r>
      <w:r w:rsidRPr="000F0CBA">
        <w:rPr>
          <w:rStyle w:val="FootnoteReference"/>
          <w:vertAlign w:val="superscript"/>
        </w:rPr>
        <w:footnoteReference w:id="2"/>
      </w:r>
      <w:r>
        <w:t>.</w:t>
      </w:r>
    </w:p>
    <w:p w:rsidR="00B912ED" w:rsidRPr="00F02CBC" w:rsidRDefault="00B912ED" w:rsidP="00B912ED">
      <w:pPr>
        <w:pStyle w:val="NormalWeb"/>
        <w:spacing w:before="0" w:beforeAutospacing="0" w:after="0" w:afterAutospacing="0" w:line="312" w:lineRule="atLeast"/>
      </w:pPr>
    </w:p>
    <w:p w:rsidR="005472EA" w:rsidRDefault="00B912ED" w:rsidP="005472EA">
      <w:pPr>
        <w:pStyle w:val="NormalWeb"/>
        <w:spacing w:before="0" w:beforeAutospacing="0" w:after="0" w:afterAutospacing="0"/>
        <w:ind w:firstLine="720"/>
      </w:pPr>
      <w:r>
        <w:t>EPA may receive SNUNs as a result of SNURs.  EPA’s experience is that in response to promulgation of well over 1,000 SNURs under both its new and existing chemicals programs, the Agency receives on average only 7 SNUNs per year, based on fiscal year (FY) 2001 – FY2011 submissions. Of those SNUNs, only a fraction result from existing chemical SNURs promulgated under section 5(a</w:t>
      </w:r>
      <w:proofErr w:type="gramStart"/>
      <w:r>
        <w:t>)(</w:t>
      </w:r>
      <w:proofErr w:type="gramEnd"/>
      <w:r>
        <w:t xml:space="preserve">2). </w:t>
      </w:r>
    </w:p>
    <w:p w:rsidR="005472EA" w:rsidRDefault="005472EA" w:rsidP="005472EA">
      <w:pPr>
        <w:pStyle w:val="NormalWeb"/>
        <w:spacing w:before="0" w:beforeAutospacing="0" w:after="0" w:afterAutospacing="0"/>
        <w:ind w:firstLine="720"/>
      </w:pPr>
    </w:p>
    <w:p w:rsidR="00B912ED" w:rsidRDefault="00B912ED" w:rsidP="005472EA">
      <w:pPr>
        <w:pStyle w:val="NormalWeb"/>
        <w:spacing w:before="0" w:beforeAutospacing="0" w:after="0" w:afterAutospacing="0"/>
        <w:ind w:firstLine="900"/>
      </w:pPr>
      <w:r>
        <w:rPr>
          <w:b/>
          <w:bCs/>
        </w:rPr>
        <w:t>Table 2: Anticipated Number of SNURs and SNUNs</w:t>
      </w:r>
    </w:p>
    <w:tbl>
      <w:tblPr>
        <w:tblW w:w="0" w:type="auto"/>
        <w:jc w:val="center"/>
        <w:tblInd w:w="4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1963"/>
        <w:gridCol w:w="3155"/>
        <w:gridCol w:w="3192"/>
      </w:tblGrid>
      <w:tr w:rsidR="00B912ED" w:rsidTr="005C1538">
        <w:trPr>
          <w:trHeight w:val="372"/>
          <w:jc w:val="center"/>
        </w:trPr>
        <w:tc>
          <w:tcPr>
            <w:tcW w:w="0" w:type="auto"/>
            <w:vAlign w:val="center"/>
          </w:tcPr>
          <w:p w:rsidR="00B912ED" w:rsidRPr="00B8048B" w:rsidRDefault="00B912ED" w:rsidP="005C1538">
            <w:pPr>
              <w:keepNext/>
              <w:jc w:val="center"/>
              <w:rPr>
                <w:b/>
                <w:bCs/>
                <w:sz w:val="22"/>
              </w:rPr>
            </w:pPr>
            <w:r w:rsidRPr="00B8048B">
              <w:rPr>
                <w:b/>
                <w:bCs/>
                <w:sz w:val="22"/>
                <w:szCs w:val="22"/>
              </w:rPr>
              <w:t>Year</w:t>
            </w:r>
          </w:p>
        </w:tc>
        <w:tc>
          <w:tcPr>
            <w:tcW w:w="0" w:type="auto"/>
            <w:vAlign w:val="center"/>
          </w:tcPr>
          <w:p w:rsidR="00B912ED" w:rsidRPr="00B8048B" w:rsidRDefault="00B912ED" w:rsidP="005C1538">
            <w:pPr>
              <w:keepNext/>
              <w:jc w:val="center"/>
              <w:rPr>
                <w:b/>
                <w:bCs/>
                <w:sz w:val="22"/>
              </w:rPr>
            </w:pPr>
            <w:r w:rsidRPr="00B8048B">
              <w:rPr>
                <w:b/>
                <w:bCs/>
                <w:sz w:val="22"/>
                <w:szCs w:val="22"/>
              </w:rPr>
              <w:t>Anticipated Number of SNURs</w:t>
            </w:r>
          </w:p>
        </w:tc>
        <w:tc>
          <w:tcPr>
            <w:tcW w:w="0" w:type="auto"/>
            <w:vAlign w:val="center"/>
          </w:tcPr>
          <w:p w:rsidR="00B912ED" w:rsidRPr="00B8048B" w:rsidRDefault="00B912ED" w:rsidP="005C1538">
            <w:pPr>
              <w:keepNext/>
              <w:jc w:val="center"/>
              <w:rPr>
                <w:b/>
                <w:bCs/>
                <w:sz w:val="22"/>
              </w:rPr>
            </w:pPr>
            <w:r w:rsidRPr="00B8048B">
              <w:rPr>
                <w:b/>
                <w:bCs/>
                <w:sz w:val="22"/>
                <w:szCs w:val="22"/>
              </w:rPr>
              <w:t>Anticipated Number of SNUNS</w:t>
            </w:r>
          </w:p>
        </w:tc>
      </w:tr>
      <w:tr w:rsidR="00B912ED" w:rsidTr="005C1538">
        <w:trPr>
          <w:jc w:val="center"/>
        </w:trPr>
        <w:tc>
          <w:tcPr>
            <w:tcW w:w="0" w:type="auto"/>
            <w:vAlign w:val="center"/>
          </w:tcPr>
          <w:p w:rsidR="00B912ED" w:rsidRPr="00B8048B" w:rsidRDefault="00B912ED" w:rsidP="005C1538">
            <w:pPr>
              <w:keepNext/>
              <w:jc w:val="center"/>
              <w:rPr>
                <w:sz w:val="22"/>
              </w:rPr>
            </w:pPr>
            <w:r w:rsidRPr="00B8048B">
              <w:rPr>
                <w:sz w:val="22"/>
                <w:szCs w:val="22"/>
              </w:rPr>
              <w:t>First Year</w:t>
            </w:r>
          </w:p>
        </w:tc>
        <w:tc>
          <w:tcPr>
            <w:tcW w:w="0" w:type="auto"/>
            <w:vAlign w:val="center"/>
          </w:tcPr>
          <w:p w:rsidR="00B912ED" w:rsidRPr="00B8048B" w:rsidRDefault="00B912ED" w:rsidP="005C1538">
            <w:pPr>
              <w:keepNext/>
              <w:jc w:val="center"/>
              <w:rPr>
                <w:sz w:val="22"/>
              </w:rPr>
            </w:pPr>
            <w:r>
              <w:rPr>
                <w:sz w:val="22"/>
                <w:szCs w:val="22"/>
              </w:rPr>
              <w:t xml:space="preserve">  </w:t>
            </w:r>
            <w:r w:rsidRPr="00B8048B">
              <w:rPr>
                <w:sz w:val="22"/>
                <w:szCs w:val="22"/>
              </w:rPr>
              <w:t>5</w:t>
            </w:r>
          </w:p>
        </w:tc>
        <w:tc>
          <w:tcPr>
            <w:tcW w:w="0" w:type="auto"/>
            <w:vAlign w:val="center"/>
          </w:tcPr>
          <w:p w:rsidR="00B912ED" w:rsidRPr="00B8048B" w:rsidRDefault="00B912ED" w:rsidP="005C1538">
            <w:pPr>
              <w:keepNext/>
              <w:jc w:val="center"/>
              <w:rPr>
                <w:sz w:val="22"/>
              </w:rPr>
            </w:pPr>
            <w:r>
              <w:rPr>
                <w:sz w:val="22"/>
                <w:szCs w:val="22"/>
              </w:rPr>
              <w:t xml:space="preserve"> </w:t>
            </w:r>
            <w:r w:rsidRPr="00B8048B">
              <w:rPr>
                <w:sz w:val="22"/>
                <w:szCs w:val="22"/>
              </w:rPr>
              <w:t>7</w:t>
            </w:r>
          </w:p>
        </w:tc>
      </w:tr>
      <w:tr w:rsidR="00B912ED" w:rsidTr="005C1538">
        <w:trPr>
          <w:jc w:val="center"/>
        </w:trPr>
        <w:tc>
          <w:tcPr>
            <w:tcW w:w="0" w:type="auto"/>
            <w:vAlign w:val="center"/>
          </w:tcPr>
          <w:p w:rsidR="00B912ED" w:rsidRPr="00B8048B" w:rsidRDefault="00B912ED" w:rsidP="005C1538">
            <w:pPr>
              <w:keepNext/>
              <w:jc w:val="center"/>
              <w:rPr>
                <w:sz w:val="22"/>
              </w:rPr>
            </w:pPr>
            <w:r w:rsidRPr="00B8048B">
              <w:rPr>
                <w:sz w:val="22"/>
                <w:szCs w:val="22"/>
              </w:rPr>
              <w:t>Second Year</w:t>
            </w:r>
          </w:p>
        </w:tc>
        <w:tc>
          <w:tcPr>
            <w:tcW w:w="0" w:type="auto"/>
            <w:vAlign w:val="center"/>
          </w:tcPr>
          <w:p w:rsidR="00B912ED" w:rsidRPr="00B8048B" w:rsidRDefault="00B912ED" w:rsidP="005C1538">
            <w:pPr>
              <w:keepNext/>
              <w:jc w:val="center"/>
              <w:rPr>
                <w:sz w:val="22"/>
              </w:rPr>
            </w:pPr>
            <w:r>
              <w:rPr>
                <w:sz w:val="22"/>
                <w:szCs w:val="22"/>
              </w:rPr>
              <w:t xml:space="preserve">  </w:t>
            </w:r>
            <w:r w:rsidRPr="00B8048B">
              <w:rPr>
                <w:sz w:val="22"/>
                <w:szCs w:val="22"/>
              </w:rPr>
              <w:t>5</w:t>
            </w:r>
          </w:p>
        </w:tc>
        <w:tc>
          <w:tcPr>
            <w:tcW w:w="0" w:type="auto"/>
            <w:vAlign w:val="center"/>
          </w:tcPr>
          <w:p w:rsidR="00B912ED" w:rsidRPr="00B8048B" w:rsidRDefault="00B912ED" w:rsidP="005C1538">
            <w:pPr>
              <w:keepNext/>
              <w:jc w:val="center"/>
              <w:rPr>
                <w:sz w:val="22"/>
              </w:rPr>
            </w:pPr>
            <w:r>
              <w:rPr>
                <w:sz w:val="22"/>
                <w:szCs w:val="22"/>
              </w:rPr>
              <w:t xml:space="preserve"> </w:t>
            </w:r>
            <w:r w:rsidRPr="00B8048B">
              <w:rPr>
                <w:sz w:val="22"/>
                <w:szCs w:val="22"/>
              </w:rPr>
              <w:t>7</w:t>
            </w:r>
          </w:p>
        </w:tc>
      </w:tr>
      <w:tr w:rsidR="00B912ED" w:rsidTr="005C1538">
        <w:trPr>
          <w:jc w:val="center"/>
        </w:trPr>
        <w:tc>
          <w:tcPr>
            <w:tcW w:w="0" w:type="auto"/>
            <w:vAlign w:val="center"/>
          </w:tcPr>
          <w:p w:rsidR="00B912ED" w:rsidRPr="00B8048B" w:rsidRDefault="00B912ED" w:rsidP="005C1538">
            <w:pPr>
              <w:keepNext/>
              <w:jc w:val="center"/>
              <w:rPr>
                <w:sz w:val="22"/>
              </w:rPr>
            </w:pPr>
            <w:r w:rsidRPr="00B8048B">
              <w:rPr>
                <w:sz w:val="22"/>
                <w:szCs w:val="22"/>
              </w:rPr>
              <w:t>Third Year</w:t>
            </w:r>
          </w:p>
        </w:tc>
        <w:tc>
          <w:tcPr>
            <w:tcW w:w="0" w:type="auto"/>
            <w:vAlign w:val="center"/>
          </w:tcPr>
          <w:p w:rsidR="00B912ED" w:rsidRPr="00B8048B" w:rsidRDefault="00B912ED" w:rsidP="005C1538">
            <w:pPr>
              <w:keepNext/>
              <w:jc w:val="center"/>
              <w:rPr>
                <w:sz w:val="22"/>
              </w:rPr>
            </w:pPr>
            <w:r>
              <w:rPr>
                <w:sz w:val="22"/>
                <w:szCs w:val="22"/>
              </w:rPr>
              <w:t xml:space="preserve">  </w:t>
            </w:r>
            <w:r w:rsidRPr="00B8048B">
              <w:rPr>
                <w:sz w:val="22"/>
                <w:szCs w:val="22"/>
              </w:rPr>
              <w:t>5</w:t>
            </w:r>
          </w:p>
        </w:tc>
        <w:tc>
          <w:tcPr>
            <w:tcW w:w="0" w:type="auto"/>
            <w:vAlign w:val="center"/>
          </w:tcPr>
          <w:p w:rsidR="00B912ED" w:rsidRPr="00B8048B" w:rsidRDefault="00B912ED" w:rsidP="005C1538">
            <w:pPr>
              <w:keepNext/>
              <w:jc w:val="center"/>
              <w:rPr>
                <w:sz w:val="22"/>
              </w:rPr>
            </w:pPr>
            <w:r>
              <w:rPr>
                <w:sz w:val="22"/>
                <w:szCs w:val="22"/>
              </w:rPr>
              <w:t xml:space="preserve"> </w:t>
            </w:r>
            <w:r w:rsidRPr="00B8048B">
              <w:rPr>
                <w:sz w:val="22"/>
                <w:szCs w:val="22"/>
              </w:rPr>
              <w:t>7</w:t>
            </w:r>
          </w:p>
        </w:tc>
      </w:tr>
      <w:tr w:rsidR="00B912ED" w:rsidTr="005C1538">
        <w:trPr>
          <w:trHeight w:val="255"/>
          <w:jc w:val="center"/>
        </w:trPr>
        <w:tc>
          <w:tcPr>
            <w:tcW w:w="0" w:type="auto"/>
            <w:vAlign w:val="center"/>
          </w:tcPr>
          <w:p w:rsidR="00B912ED" w:rsidRPr="00B8048B" w:rsidRDefault="00B912ED" w:rsidP="005C1538">
            <w:pPr>
              <w:keepNext/>
              <w:jc w:val="center"/>
              <w:rPr>
                <w:b/>
                <w:bCs/>
                <w:sz w:val="22"/>
              </w:rPr>
            </w:pPr>
            <w:r w:rsidRPr="00B8048B">
              <w:rPr>
                <w:b/>
                <w:bCs/>
                <w:sz w:val="22"/>
                <w:szCs w:val="22"/>
              </w:rPr>
              <w:t>Three Year Totals</w:t>
            </w:r>
          </w:p>
        </w:tc>
        <w:tc>
          <w:tcPr>
            <w:tcW w:w="0" w:type="auto"/>
            <w:vAlign w:val="center"/>
          </w:tcPr>
          <w:p w:rsidR="00B912ED" w:rsidRPr="00B8048B" w:rsidRDefault="00B912ED" w:rsidP="005C1538">
            <w:pPr>
              <w:keepNext/>
              <w:jc w:val="center"/>
              <w:rPr>
                <w:b/>
                <w:bCs/>
                <w:sz w:val="22"/>
              </w:rPr>
            </w:pPr>
            <w:r w:rsidRPr="00B8048B">
              <w:rPr>
                <w:b/>
                <w:bCs/>
                <w:sz w:val="22"/>
                <w:szCs w:val="22"/>
              </w:rPr>
              <w:t>15</w:t>
            </w:r>
          </w:p>
        </w:tc>
        <w:tc>
          <w:tcPr>
            <w:tcW w:w="0" w:type="auto"/>
            <w:vAlign w:val="center"/>
          </w:tcPr>
          <w:p w:rsidR="00B912ED" w:rsidRPr="00B8048B" w:rsidRDefault="00B912ED" w:rsidP="005C1538">
            <w:pPr>
              <w:keepNext/>
              <w:jc w:val="center"/>
              <w:rPr>
                <w:b/>
                <w:bCs/>
                <w:sz w:val="22"/>
              </w:rPr>
            </w:pPr>
            <w:r w:rsidRPr="00B8048B">
              <w:rPr>
                <w:b/>
                <w:bCs/>
                <w:sz w:val="22"/>
                <w:szCs w:val="22"/>
              </w:rPr>
              <w:t>21</w:t>
            </w:r>
          </w:p>
        </w:tc>
      </w:tr>
    </w:tbl>
    <w:p w:rsidR="00B912ED" w:rsidRDefault="00B912ED" w:rsidP="00B912ED"/>
    <w:p w:rsidR="00B912ED" w:rsidRDefault="00B912ED" w:rsidP="00B912ED">
      <w:pPr>
        <w:ind w:firstLine="720"/>
      </w:pPr>
      <w:r>
        <w:t>Using SNUN submission data from the ten year period of FY2001 through FY2011, EPA estimates that the average firm submits 1.65 SNUNs. This may be an overestimate because it was not determined whether the SNUN submissions were in response to new or existing chemical SNURs. The exact number of firms engaging in new uses cannot be estimated, however given the estimated number of SNUNs and firms submitting SNUNs, EPA estimates a total of 4.24 firms will be impacted annually (7 SNUNs/1.65 firms). Given the uncertainty in projecting possible new uses for existing chemicals, it is not possible to determine whether a large or small number of firms would be affected by any given SNUR.</w:t>
      </w:r>
    </w:p>
    <w:p w:rsidR="00B912ED" w:rsidRDefault="00B912ED" w:rsidP="00B912ED"/>
    <w:p w:rsidR="00B912ED" w:rsidRPr="0025736B" w:rsidRDefault="00B912ED" w:rsidP="00B912ED">
      <w:pPr>
        <w:numPr>
          <w:ilvl w:val="0"/>
          <w:numId w:val="20"/>
        </w:numPr>
      </w:pPr>
      <w:r w:rsidRPr="00BF29B2">
        <w:t>Alternative Responses</w:t>
      </w:r>
    </w:p>
    <w:p w:rsidR="00B912ED" w:rsidRDefault="00B912ED" w:rsidP="00B912ED"/>
    <w:p w:rsidR="00B912ED" w:rsidRDefault="00B912ED" w:rsidP="00B912ED">
      <w:pPr>
        <w:ind w:firstLine="720"/>
      </w:pPr>
      <w:r>
        <w:t>The burden associated with a SNUR could involve a number of possible industry responses. That is, when a SNUR is promulgated, a firm seeking to engage in a new use for a subject chemical has five options regarding possible courses of action that may generate burden:</w:t>
      </w:r>
    </w:p>
    <w:p w:rsidR="00B912ED" w:rsidRDefault="00B912ED" w:rsidP="00B912ED"/>
    <w:p w:rsidR="00B912ED" w:rsidRDefault="00B912ED" w:rsidP="005472EA">
      <w:pPr>
        <w:keepNext/>
        <w:widowControl/>
        <w:tabs>
          <w:tab w:val="left" w:pos="-1440"/>
        </w:tabs>
        <w:ind w:left="1440" w:hanging="360"/>
      </w:pPr>
      <w:r>
        <w:lastRenderedPageBreak/>
        <w:t>1)</w:t>
      </w:r>
      <w:r>
        <w:tab/>
        <w:t xml:space="preserve">The company could submit a SNUN. This option would be chosen by any company not intending to abide by the provisions of the SNUR. </w:t>
      </w:r>
    </w:p>
    <w:p w:rsidR="00B912ED" w:rsidRDefault="00B912ED" w:rsidP="00B912ED">
      <w:pPr>
        <w:ind w:firstLine="720"/>
      </w:pPr>
    </w:p>
    <w:p w:rsidR="00B912ED" w:rsidRDefault="00B912ED" w:rsidP="00B912ED">
      <w:pPr>
        <w:tabs>
          <w:tab w:val="left" w:pos="-1440"/>
        </w:tabs>
        <w:ind w:left="1440" w:hanging="360"/>
      </w:pPr>
      <w:r>
        <w:t>2)</w:t>
      </w:r>
      <w:r>
        <w:tab/>
        <w:t xml:space="preserve">In the event that a significant new use is described as the failure to establish and implement programs for providing for the use of specific measures to control worker exposure to or release of substances, a company can request an equivalency determination. This option would be chosen if a manufacturer/importer had reason to believe that there may be alternative methods not considered by EPA that provide equivalent or superior protection from worker exposure or environmental release of the subject chemical. </w:t>
      </w:r>
    </w:p>
    <w:p w:rsidR="00B912ED" w:rsidRDefault="00B912ED" w:rsidP="00B912ED">
      <w:pPr>
        <w:ind w:hanging="360"/>
      </w:pPr>
    </w:p>
    <w:p w:rsidR="00B912ED" w:rsidRDefault="00B912ED" w:rsidP="00B912ED">
      <w:pPr>
        <w:tabs>
          <w:tab w:val="left" w:pos="-1440"/>
        </w:tabs>
        <w:ind w:left="1440" w:hanging="360"/>
      </w:pPr>
      <w:r>
        <w:t>3)</w:t>
      </w:r>
      <w:r>
        <w:tab/>
        <w:t xml:space="preserve">The company can comply with the SNUR, ensuring that all provisions of the SNUR are implemented in connection with the planned use of the subject chemical. </w:t>
      </w:r>
    </w:p>
    <w:p w:rsidR="00B912ED" w:rsidRDefault="00B912ED" w:rsidP="00B912ED">
      <w:pPr>
        <w:ind w:hanging="360"/>
      </w:pPr>
    </w:p>
    <w:p w:rsidR="00B912ED" w:rsidRDefault="00B912ED" w:rsidP="00B912ED">
      <w:pPr>
        <w:tabs>
          <w:tab w:val="left" w:pos="-1440"/>
        </w:tabs>
        <w:ind w:left="1440" w:hanging="360"/>
      </w:pPr>
      <w:r>
        <w:t>4)</w:t>
      </w:r>
      <w:r>
        <w:tab/>
        <w:t>The company can request review of the SNUR for possible modification or revocation.</w:t>
      </w:r>
    </w:p>
    <w:p w:rsidR="00B912ED" w:rsidRDefault="00B912ED" w:rsidP="00B912ED">
      <w:pPr>
        <w:ind w:hanging="360"/>
      </w:pPr>
    </w:p>
    <w:p w:rsidR="00B912ED" w:rsidRDefault="00B912ED" w:rsidP="00B912ED">
      <w:pPr>
        <w:widowControl/>
        <w:tabs>
          <w:tab w:val="left" w:pos="-1440"/>
        </w:tabs>
        <w:ind w:left="1440" w:hanging="360"/>
      </w:pPr>
      <w:r>
        <w:t>5)</w:t>
      </w:r>
      <w:r>
        <w:tab/>
        <w:t>The company may simply decide to forgo the new use, avoiding regulatory compliance activities altogether.</w:t>
      </w:r>
    </w:p>
    <w:p w:rsidR="00B912ED" w:rsidRDefault="00B912ED" w:rsidP="00B912ED">
      <w:pPr>
        <w:ind w:firstLine="720"/>
      </w:pPr>
    </w:p>
    <w:p w:rsidR="00B912ED" w:rsidRDefault="00B912ED" w:rsidP="00B912ED">
      <w:pPr>
        <w:ind w:firstLine="720"/>
      </w:pPr>
      <w:r>
        <w:t>Additionally, under current regulations at 40 CFR 721.5(a)(2), all manufacturers, processors, and importers of chemicals subject to SNURs are subject to certain requirements regardless of whether they engage in a significant new use unless certain information can be demonstrated</w:t>
      </w:r>
      <w:r w:rsidRPr="000F0CBA">
        <w:rPr>
          <w:rStyle w:val="FootnoteReference"/>
          <w:vertAlign w:val="superscript"/>
        </w:rPr>
        <w:footnoteReference w:id="3"/>
      </w:r>
      <w:r>
        <w:t>.  However, without prior knowledge of chemicals which would be the subject of future SNURs, estimating the number of potentially affected entities subject to 40 CFR 721.5(a</w:t>
      </w:r>
      <w:proofErr w:type="gramStart"/>
      <w:r>
        <w:t>)(</w:t>
      </w:r>
      <w:proofErr w:type="gramEnd"/>
      <w:r>
        <w:t>2) is not possible.</w:t>
      </w:r>
    </w:p>
    <w:p w:rsidR="00B912ED" w:rsidRDefault="00B912ED" w:rsidP="00B912ED"/>
    <w:p w:rsidR="00B912ED" w:rsidRDefault="00B912ED" w:rsidP="00B912ED">
      <w:pPr>
        <w:ind w:firstLine="720"/>
      </w:pPr>
      <w:r>
        <w:t>The following section estimates the cost of submitting a SNUN (option 1) and then discusses the other options.</w:t>
      </w:r>
    </w:p>
    <w:p w:rsidR="00B912ED" w:rsidRDefault="00B912ED" w:rsidP="00B912ED"/>
    <w:p w:rsidR="00B912ED" w:rsidRPr="0025736B" w:rsidRDefault="00B912ED" w:rsidP="00B912ED">
      <w:pPr>
        <w:numPr>
          <w:ilvl w:val="0"/>
          <w:numId w:val="20"/>
        </w:numPr>
      </w:pPr>
      <w:r w:rsidRPr="00BF29B2">
        <w:t>Burden Estimates</w:t>
      </w:r>
    </w:p>
    <w:p w:rsidR="00B912ED" w:rsidRDefault="00B912ED" w:rsidP="00B912ED"/>
    <w:p w:rsidR="00B912ED" w:rsidRDefault="00B912ED" w:rsidP="00B912ED">
      <w:pPr>
        <w:ind w:firstLine="720"/>
      </w:pPr>
      <w:r>
        <w:t>TSCA section 5(a</w:t>
      </w:r>
      <w:proofErr w:type="gramStart"/>
      <w:r>
        <w:t>)(</w:t>
      </w:r>
      <w:proofErr w:type="gramEnd"/>
      <w:r>
        <w:t>2) imposes two requirements on industry. First, manufacturers, processors, and importers of chemicals must choose among the options mentioned above. This section presents estimates of submitting SNUNs (i.e., the first option) and then briefly discusses the other four options. Second, manufacturers, processors, and importers of chemicals covered by SNURs will incur burden and costs to notify customers of the hazards posed by the covered chemical. Therefore, they must first determine if their chemical is subject to the SNUR and then must determine how to notify their customers.</w:t>
      </w:r>
    </w:p>
    <w:p w:rsidR="00B912ED" w:rsidRDefault="00B912ED" w:rsidP="00B912ED">
      <w:pPr>
        <w:ind w:firstLine="720"/>
      </w:pPr>
    </w:p>
    <w:p w:rsidR="00B912ED" w:rsidRDefault="00B912ED" w:rsidP="00B912ED">
      <w:pPr>
        <w:ind w:firstLine="720"/>
      </w:pPr>
      <w:r>
        <w:rPr>
          <w:u w:val="single"/>
        </w:rPr>
        <w:t>Chemical Verification</w:t>
      </w:r>
    </w:p>
    <w:p w:rsidR="00B912ED" w:rsidRDefault="00B912ED" w:rsidP="00B912ED"/>
    <w:p w:rsidR="00B912ED" w:rsidRDefault="00B912ED" w:rsidP="00B912ED">
      <w:pPr>
        <w:ind w:firstLine="720"/>
      </w:pPr>
      <w:r>
        <w:t>When a SNUR is published, companies must review the rule to verify whether their chemical is subject to the rule</w:t>
      </w:r>
      <w:r w:rsidRPr="0051653A">
        <w:t xml:space="preserve">. </w:t>
      </w:r>
      <w:r>
        <w:t>From</w:t>
      </w:r>
      <w:r w:rsidRPr="00672AEA">
        <w:t xml:space="preserve"> 2007</w:t>
      </w:r>
      <w:r>
        <w:t xml:space="preserve"> to </w:t>
      </w:r>
      <w:r w:rsidRPr="00672AEA">
        <w:t>2011</w:t>
      </w:r>
      <w:r w:rsidRPr="0051653A">
        <w:t>, the majority</w:t>
      </w:r>
      <w:r>
        <w:t xml:space="preserve"> of SNURs promulgated by the Agency under TSCA section 5(a) applied to new chemicals submitted to the Agency under the Premanufacture Notice Program. Only two SNURs applying to existing chemicals were proposed during the same time period but were not finalized. These SNURs proposed to regulate an average of seven chemicals. The Agency </w:t>
      </w:r>
      <w:r>
        <w:lastRenderedPageBreak/>
        <w:t>typically notifies the manufacturer(s) of chemicals subject to a SNUR prior to its issuance. Therefore it is estimated that no more than 0.167 hours (10 minutes) of technical labor time per chemical is used to verify that a chemical is subject to the rule. This is equivalent to 1.17 hours (0.167 hours/chemical x 7 chemicals/SNUR) per SNUR.</w:t>
      </w:r>
    </w:p>
    <w:p w:rsidR="00B912ED" w:rsidRDefault="00B912ED" w:rsidP="00B912ED">
      <w:pPr>
        <w:ind w:firstLine="720"/>
      </w:pPr>
    </w:p>
    <w:p w:rsidR="00B912ED" w:rsidRDefault="00B912ED" w:rsidP="00B912ED">
      <w:pPr>
        <w:pStyle w:val="Heading3"/>
        <w:spacing w:before="0" w:after="0"/>
        <w:ind w:firstLine="720"/>
        <w:rPr>
          <w:rFonts w:ascii="Times New Roman" w:hAnsi="Times New Roman"/>
          <w:b w:val="0"/>
          <w:sz w:val="24"/>
          <w:szCs w:val="24"/>
          <w:u w:val="single"/>
        </w:rPr>
      </w:pPr>
      <w:bookmarkStart w:id="1" w:name="_Toc271126403"/>
      <w:bookmarkStart w:id="2" w:name="_Ref273970259"/>
      <w:bookmarkStart w:id="3" w:name="_Ref300654005"/>
      <w:bookmarkStart w:id="4" w:name="_Ref300654011"/>
      <w:bookmarkStart w:id="5" w:name="_Toc301370438"/>
      <w:bookmarkStart w:id="6" w:name="_Toc301632899"/>
      <w:r w:rsidRPr="00672AEA">
        <w:rPr>
          <w:rFonts w:ascii="Times New Roman" w:hAnsi="Times New Roman"/>
          <w:b w:val="0"/>
          <w:sz w:val="24"/>
          <w:szCs w:val="24"/>
          <w:u w:val="single"/>
        </w:rPr>
        <w:t>Rule Familiarization</w:t>
      </w:r>
      <w:bookmarkEnd w:id="1"/>
      <w:bookmarkEnd w:id="2"/>
      <w:bookmarkEnd w:id="3"/>
      <w:bookmarkEnd w:id="4"/>
      <w:bookmarkEnd w:id="5"/>
      <w:bookmarkEnd w:id="6"/>
    </w:p>
    <w:p w:rsidR="00B912ED" w:rsidRPr="00F94EEF" w:rsidRDefault="00B912ED" w:rsidP="00B912ED">
      <w:pPr>
        <w:keepNext/>
      </w:pPr>
    </w:p>
    <w:p w:rsidR="00B912ED" w:rsidRDefault="00B912ED" w:rsidP="00B912ED">
      <w:pPr>
        <w:pStyle w:val="BodyText"/>
        <w:keepNext/>
        <w:spacing w:after="0"/>
        <w:ind w:firstLine="720"/>
        <w:rPr>
          <w:szCs w:val="24"/>
        </w:rPr>
      </w:pPr>
      <w:r>
        <w:rPr>
          <w:szCs w:val="24"/>
        </w:rPr>
        <w:t>Staff at f</w:t>
      </w:r>
      <w:r w:rsidRPr="00672AEA">
        <w:rPr>
          <w:szCs w:val="24"/>
        </w:rPr>
        <w:t xml:space="preserve">irms who are subject to the SNUR </w:t>
      </w:r>
      <w:r>
        <w:rPr>
          <w:szCs w:val="24"/>
        </w:rPr>
        <w:t xml:space="preserve">must </w:t>
      </w:r>
      <w:r w:rsidRPr="00672AEA">
        <w:rPr>
          <w:szCs w:val="24"/>
        </w:rPr>
        <w:t xml:space="preserve">become familiar with the SNUR and its various requirements. </w:t>
      </w:r>
      <w:r>
        <w:rPr>
          <w:szCs w:val="24"/>
        </w:rPr>
        <w:t>In EPA’s best professional judgment, r</w:t>
      </w:r>
      <w:r w:rsidRPr="00672AEA">
        <w:rPr>
          <w:szCs w:val="24"/>
        </w:rPr>
        <w:t xml:space="preserve">ule familiarization is estimated to </w:t>
      </w:r>
      <w:r>
        <w:rPr>
          <w:szCs w:val="24"/>
        </w:rPr>
        <w:t xml:space="preserve">be equivalent to the burden for companies to become familiar with the </w:t>
      </w:r>
      <w:r w:rsidRPr="00155FC0">
        <w:rPr>
          <w:iCs/>
          <w:szCs w:val="24"/>
        </w:rPr>
        <w:t>Premanufacture Notification Electronic Reporting Rule</w:t>
      </w:r>
      <w:r>
        <w:rPr>
          <w:iCs/>
          <w:szCs w:val="24"/>
        </w:rPr>
        <w:t xml:space="preserve">, which requires the </w:t>
      </w:r>
      <w:r w:rsidRPr="00672AEA">
        <w:rPr>
          <w:iCs/>
          <w:szCs w:val="24"/>
        </w:rPr>
        <w:t xml:space="preserve">mandatory electronic reporting of </w:t>
      </w:r>
      <w:r>
        <w:rPr>
          <w:iCs/>
          <w:szCs w:val="24"/>
        </w:rPr>
        <w:t>SNUNs and other TSCA s</w:t>
      </w:r>
      <w:r w:rsidRPr="00672AEA">
        <w:rPr>
          <w:iCs/>
          <w:szCs w:val="24"/>
        </w:rPr>
        <w:t>ection 5 notices</w:t>
      </w:r>
      <w:r>
        <w:rPr>
          <w:iCs/>
          <w:szCs w:val="24"/>
        </w:rPr>
        <w:t>;</w:t>
      </w:r>
      <w:r w:rsidRPr="00672AEA" w:rsidDel="00C4747B">
        <w:rPr>
          <w:szCs w:val="24"/>
        </w:rPr>
        <w:t xml:space="preserve"> </w:t>
      </w:r>
      <w:r w:rsidRPr="00672AEA">
        <w:rPr>
          <w:szCs w:val="24"/>
        </w:rPr>
        <w:t xml:space="preserve">0.55 hours of technical labor and 0.27 hours of managerial labor, as described in the </w:t>
      </w:r>
      <w:r w:rsidRPr="00672AEA">
        <w:rPr>
          <w:i/>
          <w:iCs/>
          <w:szCs w:val="24"/>
        </w:rPr>
        <w:t>Economic Analysis of the Premanufacture Notification Electronic Reporting Final Rule</w:t>
      </w:r>
      <w:r w:rsidRPr="00672AEA">
        <w:rPr>
          <w:iCs/>
          <w:szCs w:val="24"/>
        </w:rPr>
        <w:t xml:space="preserve"> (EPA, 2009</w:t>
      </w:r>
      <w:r>
        <w:rPr>
          <w:iCs/>
          <w:szCs w:val="24"/>
        </w:rPr>
        <w:t>a</w:t>
      </w:r>
      <w:r w:rsidRPr="00672AEA">
        <w:rPr>
          <w:iCs/>
          <w:szCs w:val="24"/>
        </w:rPr>
        <w:t>)</w:t>
      </w:r>
      <w:r>
        <w:rPr>
          <w:iCs/>
          <w:szCs w:val="24"/>
        </w:rPr>
        <w:t xml:space="preserve">. </w:t>
      </w:r>
    </w:p>
    <w:p w:rsidR="00B912ED" w:rsidRPr="00672AEA" w:rsidRDefault="00B912ED" w:rsidP="00B912ED">
      <w:pPr>
        <w:pStyle w:val="BodyText"/>
        <w:spacing w:after="0"/>
        <w:ind w:firstLine="720"/>
        <w:rPr>
          <w:szCs w:val="24"/>
        </w:rPr>
      </w:pPr>
    </w:p>
    <w:p w:rsidR="00B912ED" w:rsidRDefault="00B912ED" w:rsidP="00B912ED">
      <w:pPr>
        <w:pStyle w:val="Caption"/>
        <w:keepNext/>
        <w:spacing w:before="0" w:after="0"/>
      </w:pPr>
      <w:bookmarkStart w:id="7" w:name="_Ref260663278"/>
      <w:bookmarkStart w:id="8" w:name="_Toc301633000"/>
      <w:r w:rsidRPr="00672AEA">
        <w:rPr>
          <w:color w:val="auto"/>
          <w:szCs w:val="24"/>
        </w:rPr>
        <w:t xml:space="preserve">Table </w:t>
      </w:r>
      <w:bookmarkEnd w:id="7"/>
      <w:r>
        <w:rPr>
          <w:color w:val="auto"/>
          <w:szCs w:val="24"/>
        </w:rPr>
        <w:t>3</w:t>
      </w:r>
      <w:r w:rsidRPr="00672AEA">
        <w:rPr>
          <w:color w:val="auto"/>
          <w:szCs w:val="24"/>
        </w:rPr>
        <w:t>: Rule Familiarization Burden for SNUR Submitters</w:t>
      </w:r>
      <w:bookmarkEnd w:id="8"/>
    </w:p>
    <w:tbl>
      <w:tblPr>
        <w:tblW w:w="4944" w:type="pct"/>
        <w:tblInd w:w="108" w:type="dxa"/>
        <w:tblLook w:val="04A0"/>
      </w:tblPr>
      <w:tblGrid>
        <w:gridCol w:w="2111"/>
        <w:gridCol w:w="2001"/>
        <w:gridCol w:w="2230"/>
        <w:gridCol w:w="2283"/>
        <w:gridCol w:w="1556"/>
      </w:tblGrid>
      <w:tr w:rsidR="00B912ED" w:rsidRPr="00017B85" w:rsidTr="005C1538">
        <w:trPr>
          <w:trHeight w:val="276"/>
        </w:trPr>
        <w:tc>
          <w:tcPr>
            <w:tcW w:w="1037" w:type="pct"/>
            <w:vMerge w:val="restart"/>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ind w:left="-18" w:firstLine="18"/>
              <w:rPr>
                <w:b/>
                <w:bCs/>
                <w:color w:val="000000"/>
                <w:sz w:val="22"/>
              </w:rPr>
            </w:pPr>
            <w:r w:rsidRPr="00672AEA">
              <w:rPr>
                <w:b/>
                <w:bCs/>
                <w:color w:val="000000"/>
                <w:sz w:val="22"/>
                <w:szCs w:val="22"/>
              </w:rPr>
              <w:t>Activity</w:t>
            </w:r>
          </w:p>
        </w:tc>
        <w:tc>
          <w:tcPr>
            <w:tcW w:w="983" w:type="pct"/>
            <w:vMerge w:val="restart"/>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Clerical Hours</w:t>
            </w:r>
          </w:p>
        </w:tc>
        <w:tc>
          <w:tcPr>
            <w:tcW w:w="1095" w:type="pct"/>
            <w:vMerge w:val="restart"/>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Technical Hours</w:t>
            </w:r>
          </w:p>
        </w:tc>
        <w:tc>
          <w:tcPr>
            <w:tcW w:w="1121" w:type="pct"/>
            <w:vMerge w:val="restart"/>
            <w:tcBorders>
              <w:top w:val="single" w:sz="4" w:space="0" w:color="auto"/>
              <w:left w:val="single" w:sz="4" w:space="0" w:color="auto"/>
              <w:bottom w:val="single" w:sz="4" w:space="0" w:color="000000"/>
              <w:right w:val="nil"/>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Managerial Hours</w:t>
            </w:r>
          </w:p>
        </w:tc>
        <w:tc>
          <w:tcPr>
            <w:tcW w:w="765" w:type="pct"/>
            <w:vMerge w:val="restart"/>
            <w:tcBorders>
              <w:top w:val="single" w:sz="8" w:space="0" w:color="auto"/>
              <w:left w:val="single" w:sz="8" w:space="0" w:color="auto"/>
              <w:bottom w:val="single" w:sz="4" w:space="0" w:color="000000"/>
              <w:right w:val="single" w:sz="4" w:space="0" w:color="auto"/>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Total Hours</w:t>
            </w:r>
          </w:p>
        </w:tc>
      </w:tr>
      <w:tr w:rsidR="00B912ED" w:rsidRPr="00017B85" w:rsidTr="005C1538">
        <w:trPr>
          <w:trHeight w:val="253"/>
        </w:trPr>
        <w:tc>
          <w:tcPr>
            <w:tcW w:w="1037" w:type="pct"/>
            <w:vMerge/>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c>
          <w:tcPr>
            <w:tcW w:w="983" w:type="pct"/>
            <w:vMerge/>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c>
          <w:tcPr>
            <w:tcW w:w="1095" w:type="pct"/>
            <w:vMerge/>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c>
          <w:tcPr>
            <w:tcW w:w="1121" w:type="pct"/>
            <w:vMerge/>
            <w:tcBorders>
              <w:top w:val="single" w:sz="4" w:space="0" w:color="auto"/>
              <w:left w:val="single" w:sz="4" w:space="0" w:color="auto"/>
              <w:bottom w:val="single" w:sz="4" w:space="0" w:color="000000"/>
              <w:right w:val="nil"/>
            </w:tcBorders>
            <w:vAlign w:val="center"/>
          </w:tcPr>
          <w:p w:rsidR="00B912ED" w:rsidRPr="00672AEA" w:rsidRDefault="00B912ED" w:rsidP="005C1538">
            <w:pPr>
              <w:keepNext/>
              <w:widowControl/>
              <w:adjustRightInd/>
              <w:rPr>
                <w:b/>
                <w:bCs/>
                <w:color w:val="000000"/>
                <w:sz w:val="22"/>
              </w:rPr>
            </w:pPr>
          </w:p>
        </w:tc>
        <w:tc>
          <w:tcPr>
            <w:tcW w:w="765" w:type="pct"/>
            <w:vMerge/>
            <w:tcBorders>
              <w:top w:val="single" w:sz="8" w:space="0" w:color="auto"/>
              <w:left w:val="single" w:sz="8"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r>
      <w:tr w:rsidR="00B912ED" w:rsidRPr="00EB5784" w:rsidTr="005C1538">
        <w:trPr>
          <w:trHeight w:val="276"/>
        </w:trPr>
        <w:tc>
          <w:tcPr>
            <w:tcW w:w="1037" w:type="pct"/>
            <w:vMerge w:val="restart"/>
            <w:tcBorders>
              <w:top w:val="nil"/>
              <w:left w:val="single" w:sz="4" w:space="0" w:color="auto"/>
              <w:bottom w:val="single" w:sz="4" w:space="0" w:color="000000"/>
              <w:right w:val="single" w:sz="4" w:space="0" w:color="auto"/>
            </w:tcBorders>
            <w:shd w:val="clear" w:color="auto" w:fill="auto"/>
            <w:vAlign w:val="center"/>
            <w:hideMark/>
          </w:tcPr>
          <w:p w:rsidR="00B912ED" w:rsidRPr="00672AEA" w:rsidRDefault="00B912ED" w:rsidP="005C1538">
            <w:pPr>
              <w:keepNext/>
              <w:widowControl/>
              <w:adjustRightInd/>
              <w:rPr>
                <w:color w:val="000000"/>
                <w:sz w:val="22"/>
              </w:rPr>
            </w:pPr>
            <w:r>
              <w:rPr>
                <w:sz w:val="22"/>
                <w:szCs w:val="22"/>
              </w:rPr>
              <w:t>Rule f</w:t>
            </w:r>
            <w:r w:rsidRPr="00672AEA">
              <w:rPr>
                <w:sz w:val="22"/>
                <w:szCs w:val="22"/>
              </w:rPr>
              <w:t>amiliarization</w:t>
            </w:r>
          </w:p>
        </w:tc>
        <w:tc>
          <w:tcPr>
            <w:tcW w:w="983" w:type="pct"/>
            <w:vMerge w:val="restart"/>
            <w:tcBorders>
              <w:top w:val="nil"/>
              <w:left w:val="single" w:sz="4" w:space="0" w:color="auto"/>
              <w:bottom w:val="single" w:sz="4" w:space="0" w:color="000000"/>
              <w:right w:val="single" w:sz="4" w:space="0" w:color="auto"/>
            </w:tcBorders>
            <w:shd w:val="clear" w:color="auto" w:fill="auto"/>
            <w:vAlign w:val="center"/>
            <w:hideMark/>
          </w:tcPr>
          <w:p w:rsidR="00B912ED" w:rsidRPr="00672AEA" w:rsidRDefault="00B912ED" w:rsidP="005C1538">
            <w:pPr>
              <w:keepNext/>
              <w:widowControl/>
              <w:adjustRightInd/>
              <w:jc w:val="center"/>
              <w:rPr>
                <w:color w:val="000000"/>
                <w:sz w:val="22"/>
              </w:rPr>
            </w:pPr>
            <w:r w:rsidRPr="00672AEA">
              <w:rPr>
                <w:color w:val="000000"/>
                <w:sz w:val="22"/>
                <w:szCs w:val="22"/>
              </w:rPr>
              <w:t>0.00</w:t>
            </w:r>
          </w:p>
        </w:tc>
        <w:tc>
          <w:tcPr>
            <w:tcW w:w="1095" w:type="pct"/>
            <w:vMerge w:val="restart"/>
            <w:tcBorders>
              <w:top w:val="nil"/>
              <w:left w:val="single" w:sz="4" w:space="0" w:color="auto"/>
              <w:bottom w:val="single" w:sz="4" w:space="0" w:color="000000"/>
              <w:right w:val="single" w:sz="4" w:space="0" w:color="auto"/>
            </w:tcBorders>
            <w:shd w:val="clear" w:color="auto" w:fill="auto"/>
            <w:vAlign w:val="center"/>
            <w:hideMark/>
          </w:tcPr>
          <w:p w:rsidR="00B912ED" w:rsidRPr="00672AEA" w:rsidRDefault="00B912ED" w:rsidP="005C1538">
            <w:pPr>
              <w:keepNext/>
              <w:widowControl/>
              <w:adjustRightInd/>
              <w:jc w:val="center"/>
              <w:rPr>
                <w:color w:val="000000"/>
                <w:sz w:val="22"/>
              </w:rPr>
            </w:pPr>
            <w:r w:rsidRPr="00672AEA">
              <w:rPr>
                <w:color w:val="000000"/>
                <w:sz w:val="22"/>
                <w:szCs w:val="22"/>
              </w:rPr>
              <w:t>0.55</w:t>
            </w:r>
          </w:p>
        </w:tc>
        <w:tc>
          <w:tcPr>
            <w:tcW w:w="1121" w:type="pct"/>
            <w:vMerge w:val="restart"/>
            <w:tcBorders>
              <w:top w:val="nil"/>
              <w:left w:val="single" w:sz="4" w:space="0" w:color="auto"/>
              <w:bottom w:val="single" w:sz="4" w:space="0" w:color="000000"/>
              <w:right w:val="nil"/>
            </w:tcBorders>
            <w:shd w:val="clear" w:color="auto" w:fill="auto"/>
            <w:vAlign w:val="center"/>
            <w:hideMark/>
          </w:tcPr>
          <w:p w:rsidR="00B912ED" w:rsidRPr="00672AEA" w:rsidRDefault="00B912ED" w:rsidP="005C1538">
            <w:pPr>
              <w:keepNext/>
              <w:widowControl/>
              <w:adjustRightInd/>
              <w:jc w:val="center"/>
              <w:rPr>
                <w:color w:val="000000"/>
                <w:sz w:val="22"/>
              </w:rPr>
            </w:pPr>
            <w:r w:rsidRPr="00672AEA">
              <w:rPr>
                <w:color w:val="000000"/>
                <w:sz w:val="22"/>
                <w:szCs w:val="22"/>
              </w:rPr>
              <w:t>0.27</w:t>
            </w:r>
          </w:p>
        </w:tc>
        <w:tc>
          <w:tcPr>
            <w:tcW w:w="765" w:type="pct"/>
            <w:vMerge w:val="restart"/>
            <w:tcBorders>
              <w:top w:val="nil"/>
              <w:left w:val="single" w:sz="8" w:space="0" w:color="auto"/>
              <w:bottom w:val="single" w:sz="4" w:space="0" w:color="000000"/>
              <w:right w:val="single" w:sz="4" w:space="0" w:color="auto"/>
            </w:tcBorders>
            <w:shd w:val="clear" w:color="auto" w:fill="auto"/>
            <w:vAlign w:val="center"/>
            <w:hideMark/>
          </w:tcPr>
          <w:p w:rsidR="00B912ED" w:rsidRPr="002806B5" w:rsidRDefault="00B912ED" w:rsidP="005C1538">
            <w:pPr>
              <w:keepNext/>
              <w:widowControl/>
              <w:adjustRightInd/>
              <w:jc w:val="center"/>
              <w:rPr>
                <w:b/>
                <w:color w:val="000000"/>
                <w:sz w:val="22"/>
              </w:rPr>
            </w:pPr>
            <w:r w:rsidRPr="002806B5">
              <w:rPr>
                <w:b/>
                <w:color w:val="000000"/>
                <w:sz w:val="22"/>
                <w:szCs w:val="22"/>
              </w:rPr>
              <w:t>0.83</w:t>
            </w:r>
          </w:p>
        </w:tc>
      </w:tr>
      <w:tr w:rsidR="00B912ED" w:rsidRPr="00EB5784" w:rsidTr="005C1538">
        <w:trPr>
          <w:trHeight w:val="276"/>
        </w:trPr>
        <w:tc>
          <w:tcPr>
            <w:tcW w:w="1037" w:type="pct"/>
            <w:vMerge/>
            <w:tcBorders>
              <w:top w:val="nil"/>
              <w:left w:val="single" w:sz="4" w:space="0" w:color="auto"/>
              <w:bottom w:val="single" w:sz="4" w:space="0" w:color="000000"/>
              <w:right w:val="single" w:sz="4" w:space="0" w:color="auto"/>
            </w:tcBorders>
            <w:vAlign w:val="center"/>
            <w:hideMark/>
          </w:tcPr>
          <w:p w:rsidR="00B912ED" w:rsidRPr="00017B85" w:rsidRDefault="00B912ED" w:rsidP="005C1538">
            <w:pPr>
              <w:widowControl/>
              <w:adjustRightInd/>
              <w:rPr>
                <w:color w:val="000000"/>
              </w:rPr>
            </w:pPr>
          </w:p>
        </w:tc>
        <w:tc>
          <w:tcPr>
            <w:tcW w:w="983" w:type="pct"/>
            <w:vMerge/>
            <w:tcBorders>
              <w:top w:val="nil"/>
              <w:left w:val="single" w:sz="4" w:space="0" w:color="auto"/>
              <w:bottom w:val="single" w:sz="4" w:space="0" w:color="000000"/>
              <w:right w:val="single" w:sz="4" w:space="0" w:color="auto"/>
            </w:tcBorders>
            <w:vAlign w:val="center"/>
            <w:hideMark/>
          </w:tcPr>
          <w:p w:rsidR="00B912ED" w:rsidRPr="00EB5784" w:rsidRDefault="00B912ED" w:rsidP="005C1538">
            <w:pPr>
              <w:widowControl/>
              <w:adjustRightInd/>
              <w:rPr>
                <w:color w:val="000000"/>
                <w:sz w:val="22"/>
              </w:rPr>
            </w:pPr>
          </w:p>
        </w:tc>
        <w:tc>
          <w:tcPr>
            <w:tcW w:w="1095" w:type="pct"/>
            <w:vMerge/>
            <w:tcBorders>
              <w:top w:val="nil"/>
              <w:left w:val="single" w:sz="4" w:space="0" w:color="auto"/>
              <w:bottom w:val="single" w:sz="4" w:space="0" w:color="000000"/>
              <w:right w:val="single" w:sz="4" w:space="0" w:color="auto"/>
            </w:tcBorders>
            <w:vAlign w:val="center"/>
            <w:hideMark/>
          </w:tcPr>
          <w:p w:rsidR="00B912ED" w:rsidRPr="00EB5784" w:rsidRDefault="00B912ED" w:rsidP="005C1538">
            <w:pPr>
              <w:widowControl/>
              <w:adjustRightInd/>
              <w:rPr>
                <w:color w:val="000000"/>
                <w:sz w:val="22"/>
              </w:rPr>
            </w:pPr>
          </w:p>
        </w:tc>
        <w:tc>
          <w:tcPr>
            <w:tcW w:w="1121" w:type="pct"/>
            <w:vMerge/>
            <w:tcBorders>
              <w:top w:val="nil"/>
              <w:left w:val="single" w:sz="4" w:space="0" w:color="auto"/>
              <w:bottom w:val="single" w:sz="4" w:space="0" w:color="000000"/>
              <w:right w:val="nil"/>
            </w:tcBorders>
            <w:vAlign w:val="center"/>
            <w:hideMark/>
          </w:tcPr>
          <w:p w:rsidR="00B912ED" w:rsidRPr="00EB5784" w:rsidRDefault="00B912ED" w:rsidP="005C1538">
            <w:pPr>
              <w:widowControl/>
              <w:adjustRightInd/>
              <w:rPr>
                <w:color w:val="000000"/>
                <w:sz w:val="22"/>
              </w:rPr>
            </w:pPr>
          </w:p>
        </w:tc>
        <w:tc>
          <w:tcPr>
            <w:tcW w:w="765" w:type="pct"/>
            <w:vMerge/>
            <w:tcBorders>
              <w:top w:val="nil"/>
              <w:left w:val="single" w:sz="8" w:space="0" w:color="auto"/>
              <w:bottom w:val="single" w:sz="4" w:space="0" w:color="000000"/>
              <w:right w:val="single" w:sz="4" w:space="0" w:color="auto"/>
            </w:tcBorders>
            <w:vAlign w:val="center"/>
            <w:hideMark/>
          </w:tcPr>
          <w:p w:rsidR="00B912ED" w:rsidRPr="00EB5784" w:rsidRDefault="00B912ED" w:rsidP="005C1538">
            <w:pPr>
              <w:widowControl/>
              <w:adjustRightInd/>
              <w:rPr>
                <w:color w:val="000000"/>
                <w:sz w:val="22"/>
              </w:rPr>
            </w:pPr>
          </w:p>
        </w:tc>
      </w:tr>
    </w:tbl>
    <w:p w:rsidR="00B912ED" w:rsidRDefault="00B912ED" w:rsidP="00B912ED"/>
    <w:p w:rsidR="00B912ED" w:rsidRDefault="00B912ED" w:rsidP="00B912ED">
      <w:pPr>
        <w:pStyle w:val="Heading3"/>
        <w:widowControl/>
        <w:numPr>
          <w:ilvl w:val="2"/>
          <w:numId w:val="0"/>
        </w:numPr>
        <w:tabs>
          <w:tab w:val="num" w:pos="720"/>
        </w:tabs>
        <w:adjustRightInd/>
        <w:spacing w:before="0" w:after="0"/>
        <w:ind w:left="720" w:hanging="720"/>
        <w:rPr>
          <w:rFonts w:ascii="Times New Roman" w:hAnsi="Times New Roman"/>
          <w:b w:val="0"/>
          <w:sz w:val="24"/>
          <w:szCs w:val="24"/>
          <w:u w:val="single"/>
        </w:rPr>
      </w:pPr>
      <w:bookmarkStart w:id="9" w:name="_Toc271126404"/>
      <w:bookmarkStart w:id="10" w:name="_Ref273970249"/>
      <w:bookmarkStart w:id="11" w:name="_Ref300654049"/>
      <w:bookmarkStart w:id="12" w:name="_Toc301370439"/>
      <w:bookmarkStart w:id="13" w:name="_Toc301632901"/>
      <w:r w:rsidRPr="00BF29B2">
        <w:rPr>
          <w:rFonts w:ascii="Times New Roman" w:hAnsi="Times New Roman"/>
          <w:b w:val="0"/>
          <w:sz w:val="24"/>
          <w:szCs w:val="24"/>
        </w:rPr>
        <w:tab/>
      </w:r>
      <w:r w:rsidRPr="00672AEA">
        <w:rPr>
          <w:rFonts w:ascii="Times New Roman" w:hAnsi="Times New Roman"/>
          <w:b w:val="0"/>
          <w:sz w:val="24"/>
          <w:szCs w:val="24"/>
          <w:u w:val="single"/>
        </w:rPr>
        <w:t>CDX Registration, CDX Electronic Signature, and Pay.gov Account Setup</w:t>
      </w:r>
      <w:bookmarkEnd w:id="9"/>
      <w:bookmarkEnd w:id="10"/>
      <w:bookmarkEnd w:id="11"/>
      <w:bookmarkEnd w:id="12"/>
      <w:bookmarkEnd w:id="13"/>
    </w:p>
    <w:p w:rsidR="00B912ED" w:rsidRPr="00BF29B2" w:rsidRDefault="00B912ED" w:rsidP="00B912ED"/>
    <w:p w:rsidR="00B912ED" w:rsidRDefault="00B912ED" w:rsidP="00B912ED">
      <w:pPr>
        <w:pStyle w:val="BodyText"/>
        <w:spacing w:after="0"/>
        <w:ind w:firstLine="720"/>
        <w:rPr>
          <w:iCs/>
          <w:szCs w:val="24"/>
        </w:rPr>
      </w:pPr>
      <w:r w:rsidRPr="00672AEA">
        <w:rPr>
          <w:iCs/>
          <w:szCs w:val="24"/>
        </w:rPr>
        <w:t>First-time submitters of any section 5 notice (including Premanufacture Notices (</w:t>
      </w:r>
      <w:r w:rsidRPr="00672AEA">
        <w:rPr>
          <w:rStyle w:val="apple-style-span"/>
          <w:color w:val="000000"/>
          <w:szCs w:val="24"/>
        </w:rPr>
        <w:t>PMNs), Significant New Use Notices (SNUNs), Test Market Exemption (TME) applications, Low Volume Exemption (LVE) notices, Low Exposure/Low Release (</w:t>
      </w:r>
      <w:proofErr w:type="spellStart"/>
      <w:r w:rsidRPr="00672AEA">
        <w:rPr>
          <w:rStyle w:val="apple-style-span"/>
          <w:color w:val="000000"/>
          <w:szCs w:val="24"/>
        </w:rPr>
        <w:t>LoREX</w:t>
      </w:r>
      <w:proofErr w:type="spellEnd"/>
      <w:r w:rsidRPr="00672AEA">
        <w:rPr>
          <w:rStyle w:val="apple-style-span"/>
          <w:color w:val="000000"/>
          <w:szCs w:val="24"/>
        </w:rPr>
        <w:t>) exemption notices, Biotechnology Notices for genetically modified microorganisms, Notices of Commencement of Manufacture or Import (N</w:t>
      </w:r>
      <w:r>
        <w:rPr>
          <w:rStyle w:val="apple-style-span"/>
          <w:color w:val="000000"/>
          <w:szCs w:val="24"/>
        </w:rPr>
        <w:t>OCs), and support documents to s</w:t>
      </w:r>
      <w:r w:rsidRPr="00672AEA">
        <w:rPr>
          <w:rStyle w:val="apple-style-span"/>
          <w:color w:val="000000"/>
          <w:szCs w:val="24"/>
        </w:rPr>
        <w:t>ection 5 notices</w:t>
      </w:r>
      <w:r w:rsidRPr="00672AEA">
        <w:rPr>
          <w:iCs/>
          <w:szCs w:val="24"/>
        </w:rPr>
        <w:t>) are required to register their company and key users with the CDX reporting tool, deliver a CDX electronic signature to EPA, and establish and use a Pay.gov E-payment account.</w:t>
      </w:r>
      <w:r w:rsidRPr="00672AEA" w:rsidDel="0065246F">
        <w:rPr>
          <w:rStyle w:val="FootnoteReference"/>
          <w:iCs/>
          <w:szCs w:val="24"/>
        </w:rPr>
        <w:t xml:space="preserve"> </w:t>
      </w:r>
      <w:r w:rsidRPr="00672AEA">
        <w:rPr>
          <w:iCs/>
          <w:szCs w:val="24"/>
        </w:rPr>
        <w:t xml:space="preserve"> </w:t>
      </w:r>
      <w:r w:rsidRPr="00672AEA">
        <w:rPr>
          <w:iCs/>
          <w:szCs w:val="24"/>
          <w:u w:val="single"/>
        </w:rPr>
        <w:t>These activities are only required o</w:t>
      </w:r>
      <w:r>
        <w:rPr>
          <w:iCs/>
          <w:szCs w:val="24"/>
          <w:u w:val="single"/>
        </w:rPr>
        <w:t>f first-time submitters of any s</w:t>
      </w:r>
      <w:r w:rsidRPr="00672AEA">
        <w:rPr>
          <w:iCs/>
          <w:szCs w:val="24"/>
          <w:u w:val="single"/>
        </w:rPr>
        <w:t>ection 5 notice</w:t>
      </w:r>
      <w:r w:rsidRPr="00672AEA">
        <w:rPr>
          <w:iCs/>
          <w:szCs w:val="24"/>
        </w:rPr>
        <w:t xml:space="preserve">. </w:t>
      </w:r>
      <w:r>
        <w:rPr>
          <w:iCs/>
          <w:szCs w:val="24"/>
        </w:rPr>
        <w:t xml:space="preserve">It is not known how many submitters </w:t>
      </w:r>
      <w:proofErr w:type="gramStart"/>
      <w:r>
        <w:rPr>
          <w:iCs/>
          <w:szCs w:val="24"/>
        </w:rPr>
        <w:t>of  SNUNs</w:t>
      </w:r>
      <w:proofErr w:type="gramEnd"/>
      <w:r>
        <w:rPr>
          <w:iCs/>
          <w:szCs w:val="24"/>
        </w:rPr>
        <w:t xml:space="preserve"> from existing chemical SNURs will be first-time submitters of any section 5 notices, therefore, EPA assumes that all submitters will incur these costs. </w:t>
      </w:r>
      <w:r w:rsidRPr="00672AEA">
        <w:rPr>
          <w:iCs/>
          <w:szCs w:val="24"/>
        </w:rPr>
        <w:t xml:space="preserve">These activities are estimated to require the following burdens, based on the estimates presented in the </w:t>
      </w:r>
      <w:r w:rsidRPr="00672AEA">
        <w:rPr>
          <w:i/>
          <w:iCs/>
          <w:szCs w:val="24"/>
        </w:rPr>
        <w:t>Economic Analysis of the Premanufacture Notification Electronic Reporting Final Rule</w:t>
      </w:r>
      <w:r w:rsidRPr="00672AEA">
        <w:rPr>
          <w:iCs/>
          <w:szCs w:val="24"/>
        </w:rPr>
        <w:t xml:space="preserve"> (EPA, 2009</w:t>
      </w:r>
      <w:r>
        <w:rPr>
          <w:iCs/>
          <w:szCs w:val="24"/>
        </w:rPr>
        <w:t>a</w:t>
      </w:r>
      <w:r w:rsidRPr="00672AEA">
        <w:rPr>
          <w:iCs/>
          <w:szCs w:val="24"/>
        </w:rPr>
        <w:t>):</w:t>
      </w:r>
    </w:p>
    <w:p w:rsidR="00B912ED" w:rsidRPr="00B40D93" w:rsidRDefault="00B912ED" w:rsidP="00B912ED">
      <w:pPr>
        <w:pStyle w:val="BodyText"/>
        <w:spacing w:after="0"/>
        <w:ind w:firstLine="720"/>
        <w:rPr>
          <w:iCs/>
          <w:szCs w:val="24"/>
        </w:rPr>
      </w:pPr>
    </w:p>
    <w:p w:rsidR="00B912ED" w:rsidRPr="00672AEA" w:rsidRDefault="00B912ED" w:rsidP="00B912ED">
      <w:pPr>
        <w:pStyle w:val="BodyText"/>
        <w:numPr>
          <w:ilvl w:val="1"/>
          <w:numId w:val="15"/>
        </w:numPr>
        <w:tabs>
          <w:tab w:val="clear" w:pos="2160"/>
          <w:tab w:val="num" w:pos="720"/>
        </w:tabs>
        <w:spacing w:after="0"/>
        <w:ind w:left="720"/>
        <w:rPr>
          <w:iCs/>
          <w:szCs w:val="24"/>
        </w:rPr>
      </w:pPr>
      <w:r w:rsidRPr="00672AEA">
        <w:rPr>
          <w:i/>
          <w:szCs w:val="24"/>
        </w:rPr>
        <w:t>CDX registration:</w:t>
      </w:r>
      <w:r w:rsidRPr="00672AEA">
        <w:rPr>
          <w:iCs/>
          <w:szCs w:val="24"/>
        </w:rPr>
        <w:t xml:space="preserve"> EPA estimates that companies will spend approximately 0.18 hours per employee to register with CDX, and that an average of four technical staff members and one manager will need to register for each company, totaling approximately 0.92 hours of burden per company.</w:t>
      </w:r>
    </w:p>
    <w:p w:rsidR="00B912ED" w:rsidRPr="00672AEA" w:rsidRDefault="00B912ED" w:rsidP="00B912ED">
      <w:pPr>
        <w:pStyle w:val="BodyText"/>
        <w:numPr>
          <w:ilvl w:val="1"/>
          <w:numId w:val="15"/>
        </w:numPr>
        <w:tabs>
          <w:tab w:val="clear" w:pos="2160"/>
          <w:tab w:val="num" w:pos="720"/>
          <w:tab w:val="left" w:pos="8640"/>
        </w:tabs>
        <w:spacing w:after="0"/>
        <w:ind w:left="720"/>
        <w:rPr>
          <w:iCs/>
          <w:szCs w:val="24"/>
        </w:rPr>
      </w:pPr>
      <w:r w:rsidRPr="00672AEA">
        <w:rPr>
          <w:i/>
          <w:szCs w:val="24"/>
        </w:rPr>
        <w:t>CDX electronic signature:</w:t>
      </w:r>
      <w:r w:rsidRPr="00672AEA">
        <w:rPr>
          <w:iCs/>
          <w:szCs w:val="24"/>
        </w:rPr>
        <w:t xml:space="preserve"> EPA estimates that companies will spend 0.25 hours preparing, submitting, and filing an electronic signature agreement (Authentication of Identity) form to EPA per employee. This burden will apply to four technical staff members and one manager per company, totaling 1.25 hours of burden per company. In addition, EPA estimates that a manager will spend an additional 0.50 hours accessing, preparing, and submitting verification forms (Verification of Authorization) for all authorized submitters to EPA. The total burden incurred by companies submitting and then verifying electronic signature agreements is 1.75 hours. Note that this burden does not include any additional time required to contact EPA’s CDX help desk to notify a change of submitter status, should one occur. </w:t>
      </w:r>
    </w:p>
    <w:p w:rsidR="00B912ED" w:rsidRDefault="00B912ED" w:rsidP="00B912ED">
      <w:pPr>
        <w:pStyle w:val="BodyText"/>
        <w:numPr>
          <w:ilvl w:val="1"/>
          <w:numId w:val="16"/>
        </w:numPr>
        <w:tabs>
          <w:tab w:val="left" w:pos="720"/>
          <w:tab w:val="left" w:pos="2160"/>
        </w:tabs>
        <w:spacing w:after="0"/>
        <w:ind w:left="720"/>
        <w:rPr>
          <w:iCs/>
          <w:szCs w:val="24"/>
        </w:rPr>
      </w:pPr>
      <w:r w:rsidRPr="00672AEA">
        <w:rPr>
          <w:i/>
          <w:szCs w:val="24"/>
        </w:rPr>
        <w:lastRenderedPageBreak/>
        <w:t>Payment via Pay.gov account:</w:t>
      </w:r>
      <w:r w:rsidRPr="00672AEA">
        <w:rPr>
          <w:iCs/>
          <w:szCs w:val="24"/>
        </w:rPr>
        <w:t xml:space="preserve"> EPA estimates that one manager per company will spend approximately 0.13 hours setting up a Pay.gov ID account, logging into the system, finding the appropriate form, and filling it out. This burden does not include the time required to click ‘submit’ on the form and wait for payment processing.</w:t>
      </w:r>
    </w:p>
    <w:p w:rsidR="00B912ED" w:rsidRPr="00672AEA" w:rsidRDefault="00B912ED" w:rsidP="00B912ED">
      <w:pPr>
        <w:pStyle w:val="BodyText"/>
        <w:tabs>
          <w:tab w:val="left" w:pos="720"/>
        </w:tabs>
        <w:spacing w:after="0"/>
        <w:ind w:left="720" w:firstLine="0"/>
        <w:rPr>
          <w:iCs/>
          <w:szCs w:val="24"/>
        </w:rPr>
      </w:pPr>
    </w:p>
    <w:p w:rsidR="00B912ED" w:rsidRPr="00672AEA" w:rsidRDefault="00B912ED" w:rsidP="00B912ED">
      <w:pPr>
        <w:pStyle w:val="Caption"/>
        <w:keepNext/>
        <w:spacing w:before="0" w:after="0"/>
        <w:rPr>
          <w:color w:val="auto"/>
          <w:szCs w:val="24"/>
        </w:rPr>
      </w:pPr>
      <w:bookmarkStart w:id="14" w:name="_Toc301633001"/>
      <w:r w:rsidRPr="00672AEA">
        <w:rPr>
          <w:color w:val="auto"/>
          <w:szCs w:val="24"/>
        </w:rPr>
        <w:t>Table 4: CDX Registration, CDX Electronic Signature, and Pay.gov Account Setup Burden for First-Time Submitters</w:t>
      </w:r>
      <w:bookmarkEnd w:id="14"/>
    </w:p>
    <w:tbl>
      <w:tblPr>
        <w:tblW w:w="4944" w:type="pct"/>
        <w:tblInd w:w="108" w:type="dxa"/>
        <w:tblLook w:val="04A0"/>
      </w:tblPr>
      <w:tblGrid>
        <w:gridCol w:w="2612"/>
        <w:gridCol w:w="1778"/>
        <w:gridCol w:w="2128"/>
        <w:gridCol w:w="2179"/>
        <w:gridCol w:w="1484"/>
      </w:tblGrid>
      <w:tr w:rsidR="00B912ED" w:rsidRPr="00017B85" w:rsidTr="005C1538">
        <w:trPr>
          <w:trHeight w:val="276"/>
        </w:trPr>
        <w:tc>
          <w:tcPr>
            <w:tcW w:w="1283" w:type="pct"/>
            <w:vMerge w:val="restart"/>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r w:rsidRPr="00672AEA">
              <w:rPr>
                <w:b/>
                <w:bCs/>
                <w:color w:val="000000"/>
                <w:sz w:val="22"/>
                <w:szCs w:val="22"/>
              </w:rPr>
              <w:t>Activity</w:t>
            </w:r>
          </w:p>
        </w:tc>
        <w:tc>
          <w:tcPr>
            <w:tcW w:w="873" w:type="pct"/>
            <w:vMerge w:val="restart"/>
            <w:tcBorders>
              <w:top w:val="single" w:sz="4" w:space="0" w:color="auto"/>
              <w:left w:val="single" w:sz="4" w:space="0" w:color="auto"/>
              <w:bottom w:val="single" w:sz="4" w:space="0" w:color="000000"/>
              <w:right w:val="single" w:sz="4" w:space="0" w:color="auto"/>
            </w:tcBorders>
            <w:vAlign w:val="center"/>
          </w:tcPr>
          <w:p w:rsidR="00B912ED" w:rsidRPr="0051653A" w:rsidRDefault="00B912ED" w:rsidP="005C1538">
            <w:pPr>
              <w:keepNext/>
              <w:widowControl/>
              <w:adjustRightInd/>
              <w:jc w:val="center"/>
              <w:rPr>
                <w:b/>
                <w:bCs/>
                <w:color w:val="000000"/>
                <w:sz w:val="22"/>
              </w:rPr>
            </w:pPr>
            <w:r w:rsidRPr="0051653A">
              <w:rPr>
                <w:b/>
                <w:bCs/>
                <w:color w:val="000000"/>
                <w:sz w:val="22"/>
                <w:szCs w:val="22"/>
              </w:rPr>
              <w:t>Clerical Hours</w:t>
            </w:r>
          </w:p>
        </w:tc>
        <w:tc>
          <w:tcPr>
            <w:tcW w:w="1045" w:type="pct"/>
            <w:vMerge w:val="restart"/>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Technical Hours</w:t>
            </w:r>
          </w:p>
        </w:tc>
        <w:tc>
          <w:tcPr>
            <w:tcW w:w="1070" w:type="pct"/>
            <w:vMerge w:val="restart"/>
            <w:tcBorders>
              <w:top w:val="single" w:sz="4" w:space="0" w:color="auto"/>
              <w:left w:val="single" w:sz="4" w:space="0" w:color="auto"/>
              <w:bottom w:val="single" w:sz="4" w:space="0" w:color="000000"/>
              <w:right w:val="nil"/>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Managerial Hours</w:t>
            </w:r>
          </w:p>
        </w:tc>
        <w:tc>
          <w:tcPr>
            <w:tcW w:w="729" w:type="pct"/>
            <w:vMerge w:val="restart"/>
            <w:tcBorders>
              <w:top w:val="single" w:sz="8" w:space="0" w:color="auto"/>
              <w:left w:val="single" w:sz="8" w:space="0" w:color="auto"/>
              <w:bottom w:val="single" w:sz="4" w:space="0" w:color="000000"/>
              <w:right w:val="single" w:sz="4" w:space="0" w:color="auto"/>
            </w:tcBorders>
            <w:vAlign w:val="center"/>
          </w:tcPr>
          <w:p w:rsidR="00B912ED" w:rsidRPr="00672AEA" w:rsidRDefault="00B912ED" w:rsidP="005C1538">
            <w:pPr>
              <w:keepNext/>
              <w:widowControl/>
              <w:adjustRightInd/>
              <w:jc w:val="center"/>
              <w:rPr>
                <w:b/>
                <w:bCs/>
                <w:color w:val="000000"/>
                <w:sz w:val="22"/>
              </w:rPr>
            </w:pPr>
            <w:r w:rsidRPr="00672AEA">
              <w:rPr>
                <w:b/>
                <w:bCs/>
                <w:color w:val="000000"/>
                <w:sz w:val="22"/>
                <w:szCs w:val="22"/>
              </w:rPr>
              <w:t>Total Hours</w:t>
            </w:r>
          </w:p>
        </w:tc>
      </w:tr>
      <w:tr w:rsidR="00B912ED" w:rsidRPr="00017B85" w:rsidTr="005C1538">
        <w:trPr>
          <w:trHeight w:val="253"/>
        </w:trPr>
        <w:tc>
          <w:tcPr>
            <w:tcW w:w="1283" w:type="pct"/>
            <w:vMerge/>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c>
          <w:tcPr>
            <w:tcW w:w="873" w:type="pct"/>
            <w:vMerge/>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c>
          <w:tcPr>
            <w:tcW w:w="1045" w:type="pct"/>
            <w:vMerge/>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c>
          <w:tcPr>
            <w:tcW w:w="1070" w:type="pct"/>
            <w:vMerge/>
            <w:tcBorders>
              <w:top w:val="single" w:sz="4" w:space="0" w:color="auto"/>
              <w:left w:val="single" w:sz="4" w:space="0" w:color="auto"/>
              <w:bottom w:val="single" w:sz="4" w:space="0" w:color="000000"/>
              <w:right w:val="nil"/>
            </w:tcBorders>
            <w:vAlign w:val="center"/>
          </w:tcPr>
          <w:p w:rsidR="00B912ED" w:rsidRPr="00672AEA" w:rsidRDefault="00B912ED" w:rsidP="005C1538">
            <w:pPr>
              <w:keepNext/>
              <w:widowControl/>
              <w:adjustRightInd/>
              <w:rPr>
                <w:b/>
                <w:bCs/>
                <w:color w:val="000000"/>
                <w:sz w:val="22"/>
              </w:rPr>
            </w:pPr>
          </w:p>
        </w:tc>
        <w:tc>
          <w:tcPr>
            <w:tcW w:w="729" w:type="pct"/>
            <w:vMerge/>
            <w:tcBorders>
              <w:top w:val="single" w:sz="8" w:space="0" w:color="auto"/>
              <w:left w:val="single" w:sz="8" w:space="0" w:color="auto"/>
              <w:bottom w:val="single" w:sz="4" w:space="0" w:color="000000"/>
              <w:right w:val="single" w:sz="4" w:space="0" w:color="auto"/>
            </w:tcBorders>
            <w:vAlign w:val="center"/>
          </w:tcPr>
          <w:p w:rsidR="00B912ED" w:rsidRPr="00672AEA" w:rsidRDefault="00B912ED" w:rsidP="005C1538">
            <w:pPr>
              <w:keepNext/>
              <w:widowControl/>
              <w:adjustRightInd/>
              <w:rPr>
                <w:b/>
                <w:bCs/>
                <w:color w:val="000000"/>
                <w:sz w:val="22"/>
              </w:rPr>
            </w:pPr>
          </w:p>
        </w:tc>
      </w:tr>
      <w:tr w:rsidR="00B912ED" w:rsidRPr="00EB5784" w:rsidTr="005C1538">
        <w:trPr>
          <w:trHeight w:val="276"/>
        </w:trPr>
        <w:tc>
          <w:tcPr>
            <w:tcW w:w="1283" w:type="pct"/>
            <w:tcBorders>
              <w:top w:val="nil"/>
              <w:left w:val="single" w:sz="4" w:space="0" w:color="auto"/>
              <w:bottom w:val="single" w:sz="4" w:space="0" w:color="auto"/>
              <w:right w:val="single" w:sz="4" w:space="0" w:color="auto"/>
            </w:tcBorders>
            <w:shd w:val="clear" w:color="auto" w:fill="auto"/>
            <w:vAlign w:val="bottom"/>
            <w:hideMark/>
          </w:tcPr>
          <w:p w:rsidR="00B912ED" w:rsidRPr="00672AEA" w:rsidRDefault="00B912ED" w:rsidP="005C1538">
            <w:pPr>
              <w:keepNext/>
              <w:widowControl/>
              <w:adjustRightInd/>
              <w:rPr>
                <w:color w:val="000000"/>
                <w:sz w:val="22"/>
              </w:rPr>
            </w:pPr>
            <w:r w:rsidRPr="00672AEA">
              <w:rPr>
                <w:sz w:val="22"/>
                <w:szCs w:val="22"/>
              </w:rPr>
              <w:t>CDX registration</w:t>
            </w:r>
          </w:p>
        </w:tc>
        <w:tc>
          <w:tcPr>
            <w:tcW w:w="873" w:type="pct"/>
            <w:tcBorders>
              <w:top w:val="nil"/>
              <w:left w:val="single" w:sz="4" w:space="0" w:color="auto"/>
              <w:bottom w:val="single" w:sz="4" w:space="0" w:color="auto"/>
              <w:right w:val="single" w:sz="4" w:space="0" w:color="auto"/>
            </w:tcBorders>
            <w:shd w:val="clear" w:color="auto" w:fill="auto"/>
            <w:vAlign w:val="center"/>
            <w:hideMark/>
          </w:tcPr>
          <w:p w:rsidR="00B912ED" w:rsidRPr="0051653A" w:rsidRDefault="00B912ED" w:rsidP="005C1538">
            <w:pPr>
              <w:keepNext/>
              <w:widowControl/>
              <w:adjustRightInd/>
              <w:jc w:val="center"/>
              <w:rPr>
                <w:color w:val="000000"/>
                <w:sz w:val="22"/>
              </w:rPr>
            </w:pPr>
            <w:r w:rsidRPr="0051653A">
              <w:rPr>
                <w:color w:val="000000"/>
                <w:sz w:val="22"/>
                <w:szCs w:val="22"/>
              </w:rPr>
              <w:t>0.00</w:t>
            </w:r>
          </w:p>
        </w:tc>
        <w:tc>
          <w:tcPr>
            <w:tcW w:w="1045" w:type="pct"/>
            <w:tcBorders>
              <w:top w:val="nil"/>
              <w:left w:val="single" w:sz="4" w:space="0" w:color="auto"/>
              <w:bottom w:val="single" w:sz="4" w:space="0" w:color="auto"/>
              <w:right w:val="single" w:sz="4" w:space="0" w:color="auto"/>
            </w:tcBorders>
            <w:shd w:val="clear" w:color="auto" w:fill="auto"/>
            <w:vAlign w:val="center"/>
            <w:hideMark/>
          </w:tcPr>
          <w:p w:rsidR="00B912ED" w:rsidRPr="0051653A" w:rsidRDefault="00B912ED" w:rsidP="005C1538">
            <w:pPr>
              <w:keepNext/>
              <w:widowControl/>
              <w:adjustRightInd/>
              <w:jc w:val="center"/>
              <w:rPr>
                <w:color w:val="000000"/>
                <w:sz w:val="22"/>
              </w:rPr>
            </w:pPr>
            <w:r w:rsidRPr="00672AEA">
              <w:rPr>
                <w:color w:val="000000"/>
                <w:sz w:val="22"/>
                <w:szCs w:val="22"/>
              </w:rPr>
              <w:t>0.73</w:t>
            </w:r>
          </w:p>
        </w:tc>
        <w:tc>
          <w:tcPr>
            <w:tcW w:w="1070" w:type="pct"/>
            <w:tcBorders>
              <w:top w:val="nil"/>
              <w:left w:val="single" w:sz="4" w:space="0" w:color="auto"/>
              <w:bottom w:val="single" w:sz="4" w:space="0" w:color="auto"/>
              <w:right w:val="nil"/>
            </w:tcBorders>
            <w:shd w:val="clear" w:color="auto" w:fill="auto"/>
            <w:vAlign w:val="center"/>
            <w:hideMark/>
          </w:tcPr>
          <w:p w:rsidR="00B912ED" w:rsidRPr="0051653A" w:rsidRDefault="00B912ED" w:rsidP="005C1538">
            <w:pPr>
              <w:keepNext/>
              <w:widowControl/>
              <w:adjustRightInd/>
              <w:jc w:val="center"/>
              <w:rPr>
                <w:color w:val="000000"/>
                <w:sz w:val="22"/>
              </w:rPr>
            </w:pPr>
            <w:r w:rsidRPr="00672AEA">
              <w:rPr>
                <w:color w:val="000000"/>
                <w:sz w:val="22"/>
                <w:szCs w:val="22"/>
              </w:rPr>
              <w:t>0.18</w:t>
            </w:r>
          </w:p>
        </w:tc>
        <w:tc>
          <w:tcPr>
            <w:tcW w:w="729" w:type="pct"/>
            <w:tcBorders>
              <w:top w:val="nil"/>
              <w:left w:val="single" w:sz="8" w:space="0" w:color="auto"/>
              <w:bottom w:val="single" w:sz="4" w:space="0" w:color="auto"/>
              <w:right w:val="single" w:sz="4" w:space="0" w:color="auto"/>
            </w:tcBorders>
            <w:shd w:val="clear" w:color="auto" w:fill="auto"/>
            <w:vAlign w:val="center"/>
            <w:hideMark/>
          </w:tcPr>
          <w:p w:rsidR="00B912ED" w:rsidRPr="002806B5" w:rsidRDefault="00B912ED" w:rsidP="005C1538">
            <w:pPr>
              <w:keepNext/>
              <w:widowControl/>
              <w:adjustRightInd/>
              <w:jc w:val="center"/>
              <w:rPr>
                <w:b/>
                <w:color w:val="000000"/>
                <w:sz w:val="22"/>
              </w:rPr>
            </w:pPr>
            <w:r w:rsidRPr="002806B5">
              <w:rPr>
                <w:b/>
                <w:color w:val="000000"/>
                <w:sz w:val="22"/>
                <w:szCs w:val="22"/>
              </w:rPr>
              <w:t>0.92</w:t>
            </w:r>
          </w:p>
        </w:tc>
      </w:tr>
      <w:tr w:rsidR="00B912ED" w:rsidRPr="00EB5784" w:rsidTr="005C1538">
        <w:trPr>
          <w:trHeight w:val="276"/>
        </w:trPr>
        <w:tc>
          <w:tcPr>
            <w:tcW w:w="1283" w:type="pct"/>
            <w:tcBorders>
              <w:top w:val="single" w:sz="4" w:space="0" w:color="auto"/>
              <w:left w:val="single" w:sz="4" w:space="0" w:color="auto"/>
              <w:bottom w:val="single" w:sz="4" w:space="0" w:color="auto"/>
              <w:right w:val="single" w:sz="4" w:space="0" w:color="auto"/>
            </w:tcBorders>
            <w:shd w:val="clear" w:color="auto" w:fill="auto"/>
            <w:vAlign w:val="bottom"/>
          </w:tcPr>
          <w:p w:rsidR="00B912ED" w:rsidRPr="00672AEA" w:rsidRDefault="00B912ED" w:rsidP="005C1538">
            <w:pPr>
              <w:keepNext/>
              <w:rPr>
                <w:sz w:val="22"/>
              </w:rPr>
            </w:pPr>
            <w:r w:rsidRPr="00672AEA">
              <w:rPr>
                <w:sz w:val="22"/>
                <w:szCs w:val="22"/>
              </w:rPr>
              <w:t>CDX electronic signature</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B912ED" w:rsidRPr="0051653A" w:rsidRDefault="00B912ED" w:rsidP="005C1538">
            <w:pPr>
              <w:keepNext/>
              <w:jc w:val="center"/>
              <w:rPr>
                <w:color w:val="000000"/>
                <w:sz w:val="22"/>
              </w:rPr>
            </w:pPr>
            <w:r w:rsidRPr="0051653A">
              <w:rPr>
                <w:color w:val="000000"/>
                <w:sz w:val="22"/>
                <w:szCs w:val="22"/>
              </w:rPr>
              <w:t>0.00</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B912ED" w:rsidRPr="0051653A" w:rsidRDefault="00B912ED" w:rsidP="005C1538">
            <w:pPr>
              <w:keepNext/>
              <w:jc w:val="center"/>
              <w:rPr>
                <w:color w:val="000000"/>
                <w:sz w:val="22"/>
              </w:rPr>
            </w:pPr>
            <w:r w:rsidRPr="00672AEA">
              <w:rPr>
                <w:color w:val="000000"/>
                <w:sz w:val="22"/>
                <w:szCs w:val="22"/>
              </w:rPr>
              <w:t>1</w:t>
            </w:r>
            <w:r>
              <w:rPr>
                <w:color w:val="000000"/>
                <w:sz w:val="22"/>
                <w:szCs w:val="22"/>
              </w:rPr>
              <w:t>.00</w:t>
            </w:r>
          </w:p>
        </w:tc>
        <w:tc>
          <w:tcPr>
            <w:tcW w:w="1070" w:type="pct"/>
            <w:tcBorders>
              <w:top w:val="single" w:sz="4" w:space="0" w:color="auto"/>
              <w:left w:val="single" w:sz="4" w:space="0" w:color="auto"/>
              <w:bottom w:val="single" w:sz="4" w:space="0" w:color="auto"/>
              <w:right w:val="nil"/>
            </w:tcBorders>
            <w:shd w:val="clear" w:color="auto" w:fill="auto"/>
            <w:vAlign w:val="center"/>
          </w:tcPr>
          <w:p w:rsidR="00B912ED" w:rsidRPr="0051653A" w:rsidRDefault="00B912ED" w:rsidP="005C1538">
            <w:pPr>
              <w:keepNext/>
              <w:jc w:val="center"/>
              <w:rPr>
                <w:color w:val="000000"/>
                <w:sz w:val="22"/>
              </w:rPr>
            </w:pPr>
            <w:r w:rsidRPr="00672AEA">
              <w:rPr>
                <w:color w:val="000000"/>
                <w:sz w:val="22"/>
                <w:szCs w:val="22"/>
              </w:rPr>
              <w:t>0.75</w:t>
            </w:r>
          </w:p>
        </w:tc>
        <w:tc>
          <w:tcPr>
            <w:tcW w:w="729" w:type="pct"/>
            <w:tcBorders>
              <w:top w:val="single" w:sz="4" w:space="0" w:color="auto"/>
              <w:left w:val="single" w:sz="8" w:space="0" w:color="auto"/>
              <w:bottom w:val="single" w:sz="4" w:space="0" w:color="auto"/>
              <w:right w:val="single" w:sz="4" w:space="0" w:color="auto"/>
            </w:tcBorders>
            <w:shd w:val="clear" w:color="auto" w:fill="auto"/>
            <w:vAlign w:val="center"/>
          </w:tcPr>
          <w:p w:rsidR="00B912ED" w:rsidRPr="002806B5" w:rsidRDefault="00B912ED" w:rsidP="005C1538">
            <w:pPr>
              <w:keepNext/>
              <w:jc w:val="center"/>
              <w:rPr>
                <w:b/>
                <w:color w:val="000000"/>
                <w:sz w:val="22"/>
              </w:rPr>
            </w:pPr>
            <w:r w:rsidRPr="002806B5">
              <w:rPr>
                <w:b/>
                <w:color w:val="000000"/>
                <w:sz w:val="22"/>
                <w:szCs w:val="22"/>
              </w:rPr>
              <w:t>1.75</w:t>
            </w:r>
          </w:p>
        </w:tc>
      </w:tr>
      <w:tr w:rsidR="00B912ED" w:rsidRPr="00EB5784" w:rsidTr="005C1538">
        <w:trPr>
          <w:trHeight w:val="126"/>
        </w:trPr>
        <w:tc>
          <w:tcPr>
            <w:tcW w:w="1283" w:type="pct"/>
            <w:tcBorders>
              <w:top w:val="single" w:sz="4" w:space="0" w:color="auto"/>
              <w:left w:val="single" w:sz="4" w:space="0" w:color="auto"/>
              <w:bottom w:val="single" w:sz="4" w:space="0" w:color="auto"/>
              <w:right w:val="single" w:sz="4" w:space="0" w:color="auto"/>
            </w:tcBorders>
            <w:vAlign w:val="bottom"/>
            <w:hideMark/>
          </w:tcPr>
          <w:p w:rsidR="00B912ED" w:rsidRPr="00672AEA" w:rsidRDefault="00B912ED" w:rsidP="005C1538">
            <w:pPr>
              <w:keepNext/>
              <w:rPr>
                <w:color w:val="000000"/>
                <w:sz w:val="22"/>
              </w:rPr>
            </w:pPr>
            <w:r>
              <w:rPr>
                <w:sz w:val="22"/>
                <w:szCs w:val="22"/>
              </w:rPr>
              <w:t>E-p</w:t>
            </w:r>
            <w:r w:rsidRPr="00672AEA">
              <w:rPr>
                <w:sz w:val="22"/>
                <w:szCs w:val="22"/>
              </w:rPr>
              <w:t>ayment (Pay.gov ID)</w:t>
            </w:r>
          </w:p>
        </w:tc>
        <w:tc>
          <w:tcPr>
            <w:tcW w:w="873" w:type="pct"/>
            <w:tcBorders>
              <w:top w:val="single" w:sz="4" w:space="0" w:color="auto"/>
              <w:left w:val="single" w:sz="4" w:space="0" w:color="auto"/>
              <w:bottom w:val="single" w:sz="4" w:space="0" w:color="auto"/>
              <w:right w:val="single" w:sz="4" w:space="0" w:color="auto"/>
            </w:tcBorders>
            <w:hideMark/>
          </w:tcPr>
          <w:p w:rsidR="00B912ED" w:rsidRPr="0051653A" w:rsidRDefault="00B912ED" w:rsidP="005C1538">
            <w:pPr>
              <w:keepNext/>
              <w:jc w:val="center"/>
              <w:rPr>
                <w:color w:val="000000"/>
                <w:sz w:val="22"/>
              </w:rPr>
            </w:pPr>
            <w:r w:rsidRPr="0051653A">
              <w:rPr>
                <w:color w:val="000000"/>
                <w:sz w:val="22"/>
                <w:szCs w:val="22"/>
              </w:rPr>
              <w:t>0.00</w:t>
            </w:r>
          </w:p>
        </w:tc>
        <w:tc>
          <w:tcPr>
            <w:tcW w:w="1045" w:type="pct"/>
            <w:tcBorders>
              <w:top w:val="single" w:sz="4" w:space="0" w:color="auto"/>
              <w:left w:val="single" w:sz="4" w:space="0" w:color="auto"/>
              <w:bottom w:val="single" w:sz="4" w:space="0" w:color="auto"/>
              <w:right w:val="single" w:sz="4" w:space="0" w:color="auto"/>
            </w:tcBorders>
            <w:vAlign w:val="center"/>
            <w:hideMark/>
          </w:tcPr>
          <w:p w:rsidR="00B912ED" w:rsidRPr="00672AEA" w:rsidRDefault="00B912ED" w:rsidP="005C1538">
            <w:pPr>
              <w:keepNext/>
              <w:jc w:val="center"/>
              <w:rPr>
                <w:color w:val="000000"/>
                <w:sz w:val="22"/>
              </w:rPr>
            </w:pPr>
            <w:r w:rsidRPr="00672AEA">
              <w:rPr>
                <w:color w:val="000000"/>
                <w:sz w:val="22"/>
                <w:szCs w:val="22"/>
              </w:rPr>
              <w:t>0.00</w:t>
            </w:r>
          </w:p>
        </w:tc>
        <w:tc>
          <w:tcPr>
            <w:tcW w:w="1070" w:type="pct"/>
            <w:tcBorders>
              <w:top w:val="single" w:sz="4" w:space="0" w:color="auto"/>
              <w:left w:val="single" w:sz="4" w:space="0" w:color="auto"/>
              <w:bottom w:val="single" w:sz="4" w:space="0" w:color="auto"/>
              <w:right w:val="nil"/>
            </w:tcBorders>
            <w:vAlign w:val="center"/>
            <w:hideMark/>
          </w:tcPr>
          <w:p w:rsidR="00B912ED" w:rsidRPr="0051653A" w:rsidRDefault="00B912ED" w:rsidP="005C1538">
            <w:pPr>
              <w:keepNext/>
              <w:jc w:val="center"/>
              <w:rPr>
                <w:color w:val="000000"/>
                <w:sz w:val="22"/>
              </w:rPr>
            </w:pPr>
            <w:r w:rsidRPr="00672AEA">
              <w:rPr>
                <w:color w:val="000000"/>
                <w:sz w:val="22"/>
                <w:szCs w:val="22"/>
              </w:rPr>
              <w:t>0.13</w:t>
            </w:r>
          </w:p>
        </w:tc>
        <w:tc>
          <w:tcPr>
            <w:tcW w:w="729" w:type="pct"/>
            <w:tcBorders>
              <w:top w:val="single" w:sz="4" w:space="0" w:color="auto"/>
              <w:left w:val="single" w:sz="8" w:space="0" w:color="auto"/>
              <w:bottom w:val="single" w:sz="4" w:space="0" w:color="auto"/>
              <w:right w:val="single" w:sz="4" w:space="0" w:color="auto"/>
            </w:tcBorders>
            <w:vAlign w:val="center"/>
            <w:hideMark/>
          </w:tcPr>
          <w:p w:rsidR="00B912ED" w:rsidRPr="002806B5" w:rsidRDefault="00B912ED" w:rsidP="005C1538">
            <w:pPr>
              <w:keepNext/>
              <w:jc w:val="center"/>
              <w:rPr>
                <w:b/>
                <w:color w:val="000000"/>
                <w:sz w:val="22"/>
              </w:rPr>
            </w:pPr>
            <w:r w:rsidRPr="002806B5">
              <w:rPr>
                <w:b/>
                <w:color w:val="000000"/>
                <w:sz w:val="22"/>
                <w:szCs w:val="22"/>
              </w:rPr>
              <w:t>0.13</w:t>
            </w:r>
          </w:p>
        </w:tc>
      </w:tr>
      <w:tr w:rsidR="00B912ED" w:rsidRPr="00EB5784" w:rsidTr="005C1538">
        <w:trPr>
          <w:trHeight w:val="135"/>
        </w:trPr>
        <w:tc>
          <w:tcPr>
            <w:tcW w:w="1283" w:type="pct"/>
            <w:tcBorders>
              <w:top w:val="single" w:sz="4" w:space="0" w:color="auto"/>
              <w:left w:val="single" w:sz="4" w:space="0" w:color="auto"/>
              <w:bottom w:val="single" w:sz="4" w:space="0" w:color="000000"/>
              <w:right w:val="single" w:sz="4" w:space="0" w:color="auto"/>
            </w:tcBorders>
            <w:vAlign w:val="center"/>
          </w:tcPr>
          <w:p w:rsidR="00B912ED" w:rsidRPr="00672AEA" w:rsidRDefault="00B912ED" w:rsidP="005C1538">
            <w:pPr>
              <w:keepNext/>
              <w:rPr>
                <w:color w:val="000000"/>
                <w:sz w:val="22"/>
              </w:rPr>
            </w:pPr>
            <w:r w:rsidRPr="00672AEA">
              <w:rPr>
                <w:b/>
                <w:bCs/>
                <w:sz w:val="22"/>
                <w:szCs w:val="22"/>
              </w:rPr>
              <w:t>Total</w:t>
            </w:r>
          </w:p>
        </w:tc>
        <w:tc>
          <w:tcPr>
            <w:tcW w:w="873" w:type="pct"/>
            <w:tcBorders>
              <w:top w:val="single" w:sz="4" w:space="0" w:color="auto"/>
              <w:left w:val="single" w:sz="4" w:space="0" w:color="auto"/>
              <w:bottom w:val="single" w:sz="4" w:space="0" w:color="000000"/>
              <w:right w:val="single" w:sz="4" w:space="0" w:color="auto"/>
            </w:tcBorders>
          </w:tcPr>
          <w:p w:rsidR="00B912ED" w:rsidRPr="0051653A" w:rsidRDefault="00B912ED" w:rsidP="005C1538">
            <w:pPr>
              <w:keepNext/>
              <w:jc w:val="center"/>
              <w:rPr>
                <w:color w:val="000000"/>
                <w:sz w:val="22"/>
              </w:rPr>
            </w:pPr>
            <w:r w:rsidRPr="0051653A">
              <w:rPr>
                <w:color w:val="000000"/>
                <w:sz w:val="22"/>
                <w:szCs w:val="22"/>
              </w:rPr>
              <w:t>0.00</w:t>
            </w:r>
          </w:p>
        </w:tc>
        <w:tc>
          <w:tcPr>
            <w:tcW w:w="1045" w:type="pct"/>
            <w:tcBorders>
              <w:top w:val="single" w:sz="4" w:space="0" w:color="auto"/>
              <w:left w:val="single" w:sz="4" w:space="0" w:color="auto"/>
              <w:bottom w:val="single" w:sz="4" w:space="0" w:color="000000"/>
              <w:right w:val="single" w:sz="4" w:space="0" w:color="auto"/>
            </w:tcBorders>
            <w:vAlign w:val="center"/>
          </w:tcPr>
          <w:p w:rsidR="00B912ED" w:rsidRPr="0051653A" w:rsidRDefault="00B912ED" w:rsidP="005C1538">
            <w:pPr>
              <w:keepNext/>
              <w:jc w:val="center"/>
              <w:rPr>
                <w:color w:val="000000"/>
                <w:sz w:val="22"/>
              </w:rPr>
            </w:pPr>
            <w:r w:rsidRPr="00672AEA">
              <w:rPr>
                <w:b/>
                <w:bCs/>
                <w:color w:val="000000"/>
                <w:sz w:val="22"/>
                <w:szCs w:val="22"/>
              </w:rPr>
              <w:t>1.73</w:t>
            </w:r>
          </w:p>
        </w:tc>
        <w:tc>
          <w:tcPr>
            <w:tcW w:w="1070" w:type="pct"/>
            <w:tcBorders>
              <w:top w:val="single" w:sz="4" w:space="0" w:color="auto"/>
              <w:left w:val="single" w:sz="4" w:space="0" w:color="auto"/>
              <w:bottom w:val="single" w:sz="4" w:space="0" w:color="000000"/>
              <w:right w:val="nil"/>
            </w:tcBorders>
            <w:vAlign w:val="center"/>
          </w:tcPr>
          <w:p w:rsidR="00B912ED" w:rsidRPr="0051653A" w:rsidRDefault="00B912ED" w:rsidP="005C1538">
            <w:pPr>
              <w:keepNext/>
              <w:jc w:val="center"/>
              <w:rPr>
                <w:color w:val="000000"/>
                <w:sz w:val="22"/>
              </w:rPr>
            </w:pPr>
            <w:r w:rsidRPr="00672AEA">
              <w:rPr>
                <w:b/>
                <w:bCs/>
                <w:color w:val="000000"/>
                <w:sz w:val="22"/>
                <w:szCs w:val="22"/>
              </w:rPr>
              <w:t>1.07</w:t>
            </w:r>
          </w:p>
        </w:tc>
        <w:tc>
          <w:tcPr>
            <w:tcW w:w="729" w:type="pct"/>
            <w:tcBorders>
              <w:top w:val="single" w:sz="4" w:space="0" w:color="auto"/>
              <w:left w:val="single" w:sz="8" w:space="0" w:color="auto"/>
              <w:bottom w:val="single" w:sz="4" w:space="0" w:color="000000"/>
              <w:right w:val="single" w:sz="4" w:space="0" w:color="auto"/>
            </w:tcBorders>
            <w:vAlign w:val="center"/>
          </w:tcPr>
          <w:p w:rsidR="00B912ED" w:rsidRPr="0051653A" w:rsidRDefault="00B912ED" w:rsidP="005C1538">
            <w:pPr>
              <w:keepNext/>
              <w:jc w:val="center"/>
              <w:rPr>
                <w:color w:val="000000"/>
                <w:sz w:val="22"/>
              </w:rPr>
            </w:pPr>
            <w:r w:rsidRPr="00672AEA">
              <w:rPr>
                <w:b/>
                <w:bCs/>
                <w:color w:val="000000"/>
                <w:sz w:val="22"/>
                <w:szCs w:val="22"/>
              </w:rPr>
              <w:t>2.80</w:t>
            </w:r>
          </w:p>
        </w:tc>
      </w:tr>
    </w:tbl>
    <w:p w:rsidR="00B912ED" w:rsidRDefault="00B912ED" w:rsidP="00B912ED"/>
    <w:p w:rsidR="00B912ED" w:rsidRDefault="00B912ED" w:rsidP="00B912ED">
      <w:pPr>
        <w:pStyle w:val="BodyText"/>
        <w:spacing w:after="0"/>
        <w:ind w:firstLine="720"/>
        <w:rPr>
          <w:u w:val="single"/>
        </w:rPr>
      </w:pPr>
      <w:r w:rsidRPr="005B45B7">
        <w:rPr>
          <w:u w:val="single"/>
        </w:rPr>
        <w:t>Submitting a SNUN</w:t>
      </w:r>
      <w:r>
        <w:rPr>
          <w:u w:val="single"/>
        </w:rPr>
        <w:t xml:space="preserve"> </w:t>
      </w:r>
    </w:p>
    <w:p w:rsidR="00B912ED" w:rsidRDefault="00B912ED" w:rsidP="00B912ED">
      <w:pPr>
        <w:pStyle w:val="BodyText"/>
        <w:spacing w:after="0"/>
        <w:ind w:firstLine="720"/>
        <w:rPr>
          <w:u w:val="single"/>
        </w:rPr>
      </w:pPr>
    </w:p>
    <w:p w:rsidR="00B912ED" w:rsidRDefault="00B912ED" w:rsidP="00B912ED">
      <w:pPr>
        <w:pStyle w:val="BodyText"/>
        <w:spacing w:after="0"/>
        <w:ind w:firstLine="720"/>
        <w:rPr>
          <w:rStyle w:val="BodyTextChar"/>
          <w:spacing w:val="-2"/>
        </w:rPr>
      </w:pPr>
      <w:r>
        <w:rPr>
          <w:szCs w:val="24"/>
        </w:rPr>
        <w:t>When</w:t>
      </w:r>
      <w:r w:rsidRPr="0051653A">
        <w:rPr>
          <w:szCs w:val="24"/>
        </w:rPr>
        <w:t xml:space="preserve"> submitting a SNUN, individuals at different occupational levels must spend time on the required recordkeeping and reporting activities. SNUN submitters</w:t>
      </w:r>
      <w:r w:rsidRPr="00672AEA">
        <w:rPr>
          <w:szCs w:val="24"/>
        </w:rPr>
        <w:t xml:space="preserve"> are required to gather and submit information regarding the data elements identified in the applicable SNUN reporting form. The methodology and calculations assume that the employee responsible for collecting, filling out, and submitting the requested information has a reasonable level of familiarity with the company and knowledge of operations at the site. It is assumed that for most entities these tasks are similar to other employee duties that</w:t>
      </w:r>
      <w:r>
        <w:rPr>
          <w:szCs w:val="24"/>
        </w:rPr>
        <w:t xml:space="preserve"> require familiarity with EPA, state, and other federal</w:t>
      </w:r>
      <w:r w:rsidRPr="00672AEA">
        <w:rPr>
          <w:szCs w:val="24"/>
        </w:rPr>
        <w:t xml:space="preserve"> agency requests for chemical information and do not require additional familiarization or training beyond the basic rule f</w:t>
      </w:r>
      <w:r>
        <w:rPr>
          <w:szCs w:val="24"/>
        </w:rPr>
        <w:t>amiliarization described above.</w:t>
      </w:r>
    </w:p>
    <w:p w:rsidR="00B912ED" w:rsidRDefault="00B912ED" w:rsidP="00B912ED">
      <w:pPr>
        <w:ind w:firstLine="720"/>
        <w:rPr>
          <w:rStyle w:val="BodyTextChar"/>
          <w:spacing w:val="-2"/>
        </w:rPr>
      </w:pPr>
    </w:p>
    <w:p w:rsidR="00B912ED" w:rsidRPr="00C94169" w:rsidRDefault="00B912ED" w:rsidP="00B912ED">
      <w:pPr>
        <w:ind w:firstLine="720"/>
        <w:rPr>
          <w:rStyle w:val="BodyTextChar"/>
          <w:spacing w:val="-2"/>
        </w:rPr>
      </w:pPr>
      <w:r w:rsidRPr="00672AEA">
        <w:rPr>
          <w:rStyle w:val="BodyTextChar"/>
          <w:spacing w:val="-2"/>
        </w:rPr>
        <w:t xml:space="preserve">Estimates of the </w:t>
      </w:r>
      <w:r>
        <w:rPr>
          <w:rStyle w:val="BodyTextChar"/>
          <w:spacing w:val="-2"/>
        </w:rPr>
        <w:t>burden</w:t>
      </w:r>
      <w:r w:rsidRPr="00672AEA">
        <w:rPr>
          <w:rStyle w:val="BodyTextChar"/>
          <w:spacing w:val="-2"/>
        </w:rPr>
        <w:t xml:space="preserve"> of completing a SNUN form are based on the </w:t>
      </w:r>
      <w:r>
        <w:rPr>
          <w:rStyle w:val="BodyTextChar"/>
          <w:spacing w:val="-2"/>
        </w:rPr>
        <w:t>burden</w:t>
      </w:r>
      <w:r w:rsidRPr="00672AEA">
        <w:rPr>
          <w:rStyle w:val="BodyTextChar"/>
          <w:spacing w:val="-2"/>
        </w:rPr>
        <w:t xml:space="preserve"> of completing a PMN submission, since the data requirements are the same and the same form is used for both. </w:t>
      </w:r>
      <w:r>
        <w:rPr>
          <w:rStyle w:val="BodyTextChar"/>
          <w:spacing w:val="-2"/>
        </w:rPr>
        <w:t xml:space="preserve">EPA has harmonized estimates of the reporting and recordkeeping burden related to the submission of both new and existing chemical SNUNs.  </w:t>
      </w:r>
    </w:p>
    <w:p w:rsidR="00B912ED" w:rsidRDefault="00B912ED" w:rsidP="00B912ED">
      <w:pPr>
        <w:ind w:firstLine="720"/>
        <w:rPr>
          <w:rStyle w:val="BodyTextChar"/>
          <w:spacing w:val="-2"/>
        </w:rPr>
      </w:pPr>
    </w:p>
    <w:p w:rsidR="00B912ED" w:rsidRDefault="00B912ED" w:rsidP="00B912ED">
      <w:pPr>
        <w:ind w:firstLine="432"/>
      </w:pPr>
      <w:r>
        <w:rPr>
          <w:rStyle w:val="BodyTextChar"/>
          <w:spacing w:val="-2"/>
        </w:rPr>
        <w:t>Baseline reporting and recordkeeping burden for Existing Chemical SNUNs is estimated to be 92.2 hours reporting burden and 1 hour recordkeeping burden (for a total of 93.2 hours)</w:t>
      </w:r>
      <w:r w:rsidRPr="00C048A4">
        <w:rPr>
          <w:rStyle w:val="BodyTextChar"/>
          <w:spacing w:val="-2"/>
        </w:rPr>
        <w:t xml:space="preserve"> </w:t>
      </w:r>
      <w:r>
        <w:rPr>
          <w:rStyle w:val="BodyTextChar"/>
          <w:spacing w:val="-2"/>
        </w:rPr>
        <w:t xml:space="preserve">based on </w:t>
      </w:r>
      <w:r w:rsidR="00F64EEB">
        <w:rPr>
          <w:rStyle w:val="BodyTextChar"/>
          <w:spacing w:val="-2"/>
        </w:rPr>
        <w:t xml:space="preserve">the </w:t>
      </w:r>
      <w:r>
        <w:rPr>
          <w:rStyle w:val="BodyTextChar"/>
          <w:spacing w:val="-2"/>
        </w:rPr>
        <w:t xml:space="preserve">estimates in </w:t>
      </w:r>
      <w:r w:rsidR="00F64EEB">
        <w:rPr>
          <w:rStyle w:val="BodyTextChar"/>
          <w:spacing w:val="-2"/>
        </w:rPr>
        <w:t xml:space="preserve">EPA ICR No. 1188.10. </w:t>
      </w:r>
      <w:r>
        <w:rPr>
          <w:rStyle w:val="BodyTextChar"/>
          <w:spacing w:val="-2"/>
        </w:rPr>
        <w:t xml:space="preserve"> However, </w:t>
      </w:r>
      <w:r>
        <w:t>t</w:t>
      </w:r>
      <w:r w:rsidRPr="008A2CF2">
        <w:t xml:space="preserve">he 93.2 hours for response burden </w:t>
      </w:r>
      <w:r>
        <w:t>per SNUN submission is</w:t>
      </w:r>
      <w:r w:rsidRPr="008A2CF2">
        <w:t xml:space="preserve"> adjusted </w:t>
      </w:r>
      <w:r>
        <w:t xml:space="preserve">in this ICR </w:t>
      </w:r>
      <w:r w:rsidRPr="008A2CF2">
        <w:t xml:space="preserve">because recordkeeping burden has been miscalculated. </w:t>
      </w:r>
      <w:r>
        <w:t xml:space="preserve">Prior to </w:t>
      </w:r>
      <w:r w:rsidR="00F64EEB">
        <w:t>the e-PMN final rule</w:t>
      </w:r>
      <w:r>
        <w:t>, the estimate of SNUN</w:t>
      </w:r>
      <w:r w:rsidRPr="008A2CF2">
        <w:t xml:space="preserve"> reporting burden </w:t>
      </w:r>
      <w:r>
        <w:t>was</w:t>
      </w:r>
      <w:r w:rsidRPr="008A2CF2">
        <w:t xml:space="preserve"> 105</w:t>
      </w:r>
      <w:r>
        <w:t xml:space="preserve"> hours </w:t>
      </w:r>
      <w:r w:rsidRPr="008A2CF2">
        <w:t xml:space="preserve">based on </w:t>
      </w:r>
      <w:r>
        <w:t>the</w:t>
      </w:r>
      <w:r w:rsidRPr="008A2CF2">
        <w:t xml:space="preserve">1994 </w:t>
      </w:r>
      <w:r w:rsidRPr="008A2CF2">
        <w:rPr>
          <w:i/>
          <w:iCs/>
        </w:rPr>
        <w:t xml:space="preserve">Regulatory Impact Analysis of Amendments(RIA) to Regulations for TSCA Section 5 Premanufacture Notifications </w:t>
      </w:r>
      <w:r w:rsidRPr="008A2CF2">
        <w:rPr>
          <w:iCs/>
        </w:rPr>
        <w:t>(EPA, 1994)</w:t>
      </w:r>
      <w:r w:rsidR="005C1538">
        <w:rPr>
          <w:iCs/>
        </w:rPr>
        <w:t xml:space="preserve">. Reporting burden </w:t>
      </w:r>
      <w:r>
        <w:rPr>
          <w:iCs/>
        </w:rPr>
        <w:t xml:space="preserve">was adjusted to 92.2 hours in </w:t>
      </w:r>
      <w:r w:rsidR="00F64EEB">
        <w:rPr>
          <w:iCs/>
        </w:rPr>
        <w:t xml:space="preserve">EPA ICR No. 1188.10 </w:t>
      </w:r>
      <w:r>
        <w:rPr>
          <w:iCs/>
        </w:rPr>
        <w:t>with an additional hour added for recordkeeping burden so that total reporting and recordkeeping burden is estimated to be 93.2 hours</w:t>
      </w:r>
      <w:r w:rsidRPr="008A2CF2">
        <w:t xml:space="preserve">.  </w:t>
      </w:r>
      <w:r>
        <w:t>However, t</w:t>
      </w:r>
      <w:r w:rsidRPr="00CB2F55">
        <w:t xml:space="preserve">he RIA estimate of 105 hours accounted for both reporting and recordkeeping </w:t>
      </w:r>
      <w:r w:rsidRPr="00CB2F55">
        <w:rPr>
          <w:color w:val="000000"/>
        </w:rPr>
        <w:t xml:space="preserve">because the burden estimates “include the time spent reading and becoming familiar with the form, gathering the required information and preparing the report, producing sanitized responses for items claimed as confidential business information, and </w:t>
      </w:r>
      <w:r w:rsidRPr="00CB2F55">
        <w:rPr>
          <w:b/>
          <w:i/>
          <w:color w:val="000000"/>
        </w:rPr>
        <w:t>maintaining a file of the submission</w:t>
      </w:r>
      <w:r w:rsidRPr="00CB2F55">
        <w:rPr>
          <w:color w:val="000000"/>
        </w:rPr>
        <w:t xml:space="preserve">” (emphasis added) </w:t>
      </w:r>
      <w:r w:rsidRPr="00CB2F55">
        <w:t xml:space="preserve">(EPA 1994, pg. </w:t>
      </w:r>
      <w:r w:rsidRPr="00CB2F55">
        <w:rPr>
          <w:color w:val="000000"/>
        </w:rPr>
        <w:t>III-14).</w:t>
      </w:r>
      <w:r w:rsidRPr="008A2CF2">
        <w:rPr>
          <w:color w:val="000000"/>
        </w:rPr>
        <w:t xml:space="preserve"> </w:t>
      </w:r>
      <w:proofErr w:type="gramStart"/>
      <w:r w:rsidRPr="008A2CF2">
        <w:rPr>
          <w:color w:val="000000"/>
        </w:rPr>
        <w:t>The</w:t>
      </w:r>
      <w:r>
        <w:rPr>
          <w:color w:val="000000"/>
        </w:rPr>
        <w:t>refore, the</w:t>
      </w:r>
      <w:r w:rsidRPr="008A2CF2">
        <w:rPr>
          <w:color w:val="000000"/>
        </w:rPr>
        <w:t xml:space="preserve"> </w:t>
      </w:r>
      <w:r>
        <w:rPr>
          <w:color w:val="000000"/>
        </w:rPr>
        <w:t>1</w:t>
      </w:r>
      <w:r w:rsidRPr="008A2CF2">
        <w:rPr>
          <w:color w:val="000000"/>
        </w:rPr>
        <w:t xml:space="preserve"> hour recordkeeping burden included in </w:t>
      </w:r>
      <w:r>
        <w:rPr>
          <w:color w:val="000000"/>
        </w:rPr>
        <w:t xml:space="preserve">EPA’s 93.2 hour estimate of  </w:t>
      </w:r>
      <w:r w:rsidRPr="008A2CF2">
        <w:rPr>
          <w:color w:val="000000"/>
        </w:rPr>
        <w:t xml:space="preserve"> response burden</w:t>
      </w:r>
      <w:r>
        <w:rPr>
          <w:color w:val="000000"/>
        </w:rPr>
        <w:t xml:space="preserve"> for submitting a SNUN double counts recordkeeping burden.</w:t>
      </w:r>
      <w:proofErr w:type="gramEnd"/>
      <w:r>
        <w:rPr>
          <w:color w:val="000000"/>
        </w:rPr>
        <w:t xml:space="preserve"> </w:t>
      </w:r>
      <w:r w:rsidRPr="008A2CF2">
        <w:t xml:space="preserve">  Correcting for this error</w:t>
      </w:r>
      <w:r>
        <w:t xml:space="preserve"> revises</w:t>
      </w:r>
      <w:r w:rsidRPr="008A2CF2">
        <w:t xml:space="preserve"> the total </w:t>
      </w:r>
      <w:r>
        <w:t xml:space="preserve">estimated </w:t>
      </w:r>
      <w:r w:rsidRPr="008A2CF2">
        <w:t xml:space="preserve">response burden for SNUN submissions in this ICR </w:t>
      </w:r>
      <w:proofErr w:type="gramStart"/>
      <w:r w:rsidRPr="008A2CF2">
        <w:t xml:space="preserve">to 92.2 hours/SNUN (Table </w:t>
      </w:r>
      <w:r>
        <w:t>5</w:t>
      </w:r>
      <w:r w:rsidRPr="008A2CF2">
        <w:t>)</w:t>
      </w:r>
      <w:proofErr w:type="gramEnd"/>
      <w:r>
        <w:t>.</w:t>
      </w:r>
    </w:p>
    <w:p w:rsidR="00B912ED" w:rsidRPr="008A2CF2" w:rsidRDefault="00B912ED" w:rsidP="00B912ED">
      <w:pPr>
        <w:ind w:firstLine="432"/>
      </w:pPr>
    </w:p>
    <w:p w:rsidR="00B912ED" w:rsidRPr="0004240B" w:rsidRDefault="00B912ED" w:rsidP="00B912ED">
      <w:pPr>
        <w:pStyle w:val="BodyText"/>
        <w:ind w:firstLine="0"/>
        <w:rPr>
          <w:sz w:val="22"/>
          <w:szCs w:val="22"/>
        </w:rPr>
      </w:pPr>
      <w:r>
        <w:rPr>
          <w:b/>
          <w:bCs/>
        </w:rPr>
        <w:lastRenderedPageBreak/>
        <w:t xml:space="preserve">Table 5: Adjusted </w:t>
      </w:r>
      <w:r>
        <w:rPr>
          <w:b/>
        </w:rPr>
        <w:t xml:space="preserve">Reporting and Recordkeeping Burden Hours for SNUN Submissions </w:t>
      </w:r>
    </w:p>
    <w:tbl>
      <w:tblPr>
        <w:tblW w:w="9282" w:type="dxa"/>
        <w:jc w:val="center"/>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533"/>
        <w:gridCol w:w="2202"/>
        <w:gridCol w:w="2220"/>
        <w:gridCol w:w="2327"/>
      </w:tblGrid>
      <w:tr w:rsidR="00B912ED" w:rsidRPr="00797B61" w:rsidTr="005C1538">
        <w:trPr>
          <w:trHeight w:val="548"/>
          <w:jc w:val="center"/>
        </w:trPr>
        <w:tc>
          <w:tcPr>
            <w:tcW w:w="2533" w:type="dxa"/>
            <w:shd w:val="clear" w:color="auto" w:fill="FFFFFF"/>
            <w:vAlign w:val="center"/>
          </w:tcPr>
          <w:p w:rsidR="00B912ED" w:rsidRPr="007E532C" w:rsidRDefault="00B912ED" w:rsidP="005C1538">
            <w:pPr>
              <w:numPr>
                <w:ilvl w:val="12"/>
                <w:numId w:val="0"/>
              </w:numPr>
              <w:rPr>
                <w:b/>
                <w:color w:val="000000"/>
                <w:sz w:val="22"/>
              </w:rPr>
            </w:pPr>
            <w:r w:rsidRPr="007E532C">
              <w:rPr>
                <w:b/>
                <w:color w:val="000000"/>
                <w:sz w:val="22"/>
                <w:szCs w:val="22"/>
              </w:rPr>
              <w:t xml:space="preserve">Existing Chemicals </w:t>
            </w:r>
          </w:p>
          <w:p w:rsidR="00B912ED" w:rsidRPr="007E532C" w:rsidRDefault="00B912ED" w:rsidP="005C1538">
            <w:pPr>
              <w:numPr>
                <w:ilvl w:val="12"/>
                <w:numId w:val="0"/>
              </w:numPr>
              <w:rPr>
                <w:b/>
                <w:color w:val="000000"/>
                <w:sz w:val="22"/>
              </w:rPr>
            </w:pPr>
            <w:r w:rsidRPr="007E532C">
              <w:rPr>
                <w:b/>
                <w:color w:val="000000"/>
                <w:sz w:val="22"/>
                <w:szCs w:val="22"/>
              </w:rPr>
              <w:t>SNUN Submission Activity</w:t>
            </w:r>
          </w:p>
        </w:tc>
        <w:tc>
          <w:tcPr>
            <w:tcW w:w="2202" w:type="dxa"/>
            <w:shd w:val="clear" w:color="auto" w:fill="FFFFFF"/>
            <w:vAlign w:val="center"/>
          </w:tcPr>
          <w:p w:rsidR="00B912ED" w:rsidRPr="007E532C" w:rsidRDefault="00B912ED" w:rsidP="005C1538">
            <w:pPr>
              <w:numPr>
                <w:ilvl w:val="12"/>
                <w:numId w:val="0"/>
              </w:numPr>
              <w:jc w:val="center"/>
              <w:rPr>
                <w:b/>
                <w:color w:val="000000"/>
                <w:sz w:val="22"/>
              </w:rPr>
            </w:pPr>
            <w:r>
              <w:rPr>
                <w:b/>
                <w:color w:val="000000"/>
                <w:sz w:val="22"/>
                <w:szCs w:val="22"/>
              </w:rPr>
              <w:t xml:space="preserve">Baseline </w:t>
            </w:r>
            <w:r w:rsidRPr="007E532C">
              <w:rPr>
                <w:b/>
                <w:color w:val="000000"/>
                <w:sz w:val="22"/>
                <w:szCs w:val="22"/>
              </w:rPr>
              <w:t xml:space="preserve">Response Burden </w:t>
            </w:r>
          </w:p>
        </w:tc>
        <w:tc>
          <w:tcPr>
            <w:tcW w:w="2220" w:type="dxa"/>
            <w:shd w:val="clear" w:color="auto" w:fill="FFFFFF"/>
          </w:tcPr>
          <w:p w:rsidR="00B912ED" w:rsidRDefault="00B912ED" w:rsidP="005C1538">
            <w:pPr>
              <w:numPr>
                <w:ilvl w:val="12"/>
                <w:numId w:val="0"/>
              </w:numPr>
              <w:jc w:val="center"/>
              <w:rPr>
                <w:b/>
                <w:color w:val="000000"/>
                <w:sz w:val="22"/>
              </w:rPr>
            </w:pPr>
          </w:p>
          <w:p w:rsidR="00B912ED" w:rsidRPr="007E532C" w:rsidRDefault="00B912ED" w:rsidP="005C1538">
            <w:pPr>
              <w:numPr>
                <w:ilvl w:val="12"/>
                <w:numId w:val="0"/>
              </w:numPr>
              <w:jc w:val="center"/>
              <w:rPr>
                <w:b/>
                <w:color w:val="000000"/>
                <w:sz w:val="22"/>
              </w:rPr>
            </w:pPr>
            <w:r>
              <w:rPr>
                <w:b/>
                <w:color w:val="000000"/>
                <w:sz w:val="22"/>
                <w:szCs w:val="22"/>
              </w:rPr>
              <w:t>Adjustment</w:t>
            </w:r>
          </w:p>
        </w:tc>
        <w:tc>
          <w:tcPr>
            <w:tcW w:w="2327" w:type="dxa"/>
            <w:shd w:val="clear" w:color="auto" w:fill="FFFFFF"/>
            <w:vAlign w:val="center"/>
          </w:tcPr>
          <w:p w:rsidR="00B912ED" w:rsidRPr="007E532C" w:rsidRDefault="00B912ED" w:rsidP="005C1538">
            <w:pPr>
              <w:numPr>
                <w:ilvl w:val="12"/>
                <w:numId w:val="0"/>
              </w:numPr>
              <w:jc w:val="center"/>
              <w:rPr>
                <w:b/>
                <w:color w:val="000000"/>
                <w:sz w:val="22"/>
              </w:rPr>
            </w:pPr>
            <w:r>
              <w:rPr>
                <w:b/>
                <w:color w:val="000000"/>
                <w:sz w:val="22"/>
                <w:szCs w:val="22"/>
              </w:rPr>
              <w:t xml:space="preserve">Estimated </w:t>
            </w:r>
          </w:p>
        </w:tc>
      </w:tr>
      <w:tr w:rsidR="00B912ED" w:rsidTr="005C1538">
        <w:trPr>
          <w:trHeight w:val="485"/>
          <w:jc w:val="center"/>
        </w:trPr>
        <w:tc>
          <w:tcPr>
            <w:tcW w:w="2533" w:type="dxa"/>
            <w:vAlign w:val="center"/>
          </w:tcPr>
          <w:p w:rsidR="00B912ED" w:rsidRPr="007E532C" w:rsidRDefault="00B912ED" w:rsidP="005C1538">
            <w:pPr>
              <w:numPr>
                <w:ilvl w:val="12"/>
                <w:numId w:val="0"/>
              </w:numPr>
              <w:rPr>
                <w:sz w:val="22"/>
              </w:rPr>
            </w:pPr>
            <w:r w:rsidRPr="007E532C">
              <w:rPr>
                <w:sz w:val="22"/>
                <w:szCs w:val="22"/>
              </w:rPr>
              <w:t xml:space="preserve">Reporting </w:t>
            </w:r>
            <w:r>
              <w:rPr>
                <w:sz w:val="22"/>
                <w:szCs w:val="22"/>
              </w:rPr>
              <w:t>and Recordkeeping</w:t>
            </w:r>
          </w:p>
        </w:tc>
        <w:tc>
          <w:tcPr>
            <w:tcW w:w="2202" w:type="dxa"/>
            <w:vAlign w:val="center"/>
          </w:tcPr>
          <w:p w:rsidR="00B912ED" w:rsidRPr="007E532C" w:rsidRDefault="00B912ED" w:rsidP="005C1538">
            <w:pPr>
              <w:numPr>
                <w:ilvl w:val="12"/>
                <w:numId w:val="0"/>
              </w:numPr>
              <w:ind w:right="840"/>
              <w:jc w:val="center"/>
              <w:rPr>
                <w:sz w:val="22"/>
              </w:rPr>
            </w:pPr>
            <w:r>
              <w:rPr>
                <w:sz w:val="22"/>
                <w:szCs w:val="22"/>
              </w:rPr>
              <w:t xml:space="preserve">             93.2</w:t>
            </w:r>
          </w:p>
        </w:tc>
        <w:tc>
          <w:tcPr>
            <w:tcW w:w="2220" w:type="dxa"/>
            <w:vAlign w:val="center"/>
          </w:tcPr>
          <w:p w:rsidR="00B912ED" w:rsidRPr="007E532C" w:rsidRDefault="00B912ED" w:rsidP="005C1538">
            <w:pPr>
              <w:numPr>
                <w:ilvl w:val="12"/>
                <w:numId w:val="0"/>
              </w:numPr>
              <w:ind w:right="840"/>
              <w:jc w:val="center"/>
              <w:rPr>
                <w:sz w:val="22"/>
              </w:rPr>
            </w:pPr>
            <w:r>
              <w:rPr>
                <w:sz w:val="22"/>
                <w:szCs w:val="22"/>
              </w:rPr>
              <w:t xml:space="preserve">                 -1</w:t>
            </w:r>
          </w:p>
        </w:tc>
        <w:tc>
          <w:tcPr>
            <w:tcW w:w="2327" w:type="dxa"/>
            <w:vAlign w:val="center"/>
          </w:tcPr>
          <w:p w:rsidR="00B912ED" w:rsidRPr="007E532C" w:rsidRDefault="00B912ED" w:rsidP="005C1538">
            <w:pPr>
              <w:numPr>
                <w:ilvl w:val="12"/>
                <w:numId w:val="0"/>
              </w:numPr>
              <w:ind w:right="840"/>
              <w:jc w:val="center"/>
              <w:rPr>
                <w:sz w:val="22"/>
              </w:rPr>
            </w:pPr>
            <w:r>
              <w:rPr>
                <w:sz w:val="22"/>
                <w:szCs w:val="22"/>
              </w:rPr>
              <w:t xml:space="preserve">             </w:t>
            </w:r>
            <w:r w:rsidRPr="007E532C">
              <w:rPr>
                <w:sz w:val="22"/>
                <w:szCs w:val="22"/>
              </w:rPr>
              <w:t>92.2</w:t>
            </w:r>
          </w:p>
        </w:tc>
      </w:tr>
    </w:tbl>
    <w:p w:rsidR="00B912ED" w:rsidRDefault="00B912ED" w:rsidP="00B912ED">
      <w:pPr>
        <w:ind w:firstLine="720"/>
        <w:rPr>
          <w:u w:val="single"/>
        </w:rPr>
      </w:pPr>
    </w:p>
    <w:p w:rsidR="00B912ED" w:rsidRDefault="00B912ED" w:rsidP="00B912ED">
      <w:pPr>
        <w:ind w:firstLine="720"/>
      </w:pPr>
      <w:r>
        <w:rPr>
          <w:u w:val="single"/>
        </w:rPr>
        <w:t>Alternative Options</w:t>
      </w:r>
    </w:p>
    <w:p w:rsidR="00B912ED" w:rsidRDefault="00B912ED" w:rsidP="00B912ED"/>
    <w:p w:rsidR="00B912ED" w:rsidRDefault="00B912ED" w:rsidP="00B912ED">
      <w:pPr>
        <w:ind w:firstLine="720"/>
      </w:pPr>
      <w:r>
        <w:t>Should a company choose to request an equivalency determination (i.e., the second option), or review for modification/revocation (i.e., the fourth option), EPA estimates that a data collection and preparation effort similar to that of a SNUN would be required, and thus the burden is estimated to range up to 92.2 hours for these alternatives, the same as for submitting a SNUN.</w:t>
      </w:r>
    </w:p>
    <w:p w:rsidR="00B912ED" w:rsidRDefault="00B912ED" w:rsidP="00B912ED">
      <w:pPr>
        <w:ind w:left="-720" w:firstLine="720"/>
      </w:pPr>
    </w:p>
    <w:p w:rsidR="00B912ED" w:rsidRDefault="00B912ED" w:rsidP="00B912ED">
      <w:pPr>
        <w:ind w:firstLine="720"/>
      </w:pPr>
      <w:r w:rsidRPr="00F73CD4">
        <w:t>In complying with a SNUR, a company would incur costs to ensure all provisions of the SNUR were implemented at the subject facility (i.e., the third option). Since the nature of such provisions will vary depending on the significant new uses identified in each respective SNUR, estimating burden at this time is not possible. In addition to costs of implementation</w:t>
      </w:r>
      <w:r>
        <w:t>,</w:t>
      </w:r>
      <w:r w:rsidRPr="00F73CD4">
        <w:t xml:space="preserve"> firms choosing this option will have minor costs associated with </w:t>
      </w:r>
      <w:r w:rsidRPr="00155FC0">
        <w:rPr>
          <w:spacing w:val="-2"/>
        </w:rPr>
        <w:t xml:space="preserve">keeping records that document compliance with SNUR conditions for avoiding a Significant New Use. Such recordkeeping requirements </w:t>
      </w:r>
      <w:r>
        <w:rPr>
          <w:spacing w:val="-2"/>
        </w:rPr>
        <w:t>may</w:t>
      </w:r>
      <w:r w:rsidRPr="00155FC0">
        <w:rPr>
          <w:spacing w:val="-2"/>
        </w:rPr>
        <w:t xml:space="preserve"> involve copying and filing relevant records, including those related to: category of use and marketing, and production volume. Records </w:t>
      </w:r>
      <w:r>
        <w:rPr>
          <w:spacing w:val="-2"/>
        </w:rPr>
        <w:t>would typically be required to</w:t>
      </w:r>
      <w:r w:rsidRPr="00155FC0">
        <w:rPr>
          <w:spacing w:val="-2"/>
        </w:rPr>
        <w:t xml:space="preserve"> be maintained for five years from the date of their creation. </w:t>
      </w:r>
      <w:r>
        <w:t>Previous existing chemical SNUR ICRs have estimated</w:t>
      </w:r>
      <w:r w:rsidRPr="00155FC0">
        <w:rPr>
          <w:spacing w:val="-2"/>
        </w:rPr>
        <w:t xml:space="preserve"> recordkeeping requirements </w:t>
      </w:r>
      <w:r>
        <w:rPr>
          <w:spacing w:val="-2"/>
        </w:rPr>
        <w:t xml:space="preserve">to be </w:t>
      </w:r>
      <w:r w:rsidRPr="00155FC0">
        <w:rPr>
          <w:spacing w:val="-2"/>
        </w:rPr>
        <w:t>five percent of the reporting burden for a certain activity (EPA, 200</w:t>
      </w:r>
      <w:r>
        <w:rPr>
          <w:spacing w:val="-2"/>
        </w:rPr>
        <w:t>9</w:t>
      </w:r>
      <w:r w:rsidRPr="00155FC0">
        <w:rPr>
          <w:spacing w:val="-2"/>
        </w:rPr>
        <w:t xml:space="preserve">b). </w:t>
      </w:r>
      <w:r>
        <w:rPr>
          <w:spacing w:val="-2"/>
        </w:rPr>
        <w:t>P</w:t>
      </w:r>
      <w:r w:rsidRPr="00155FC0">
        <w:rPr>
          <w:spacing w:val="-2"/>
        </w:rPr>
        <w:t>er-activity burden</w:t>
      </w:r>
      <w:r>
        <w:rPr>
          <w:spacing w:val="-2"/>
        </w:rPr>
        <w:t xml:space="preserve">s are taken from </w:t>
      </w:r>
      <w:r>
        <w:t xml:space="preserve">the midpoint estimate burdens of each section of the SNUN form (EPA, 1994).  </w:t>
      </w:r>
      <w:r>
        <w:rPr>
          <w:spacing w:val="-2"/>
        </w:rPr>
        <w:t xml:space="preserve">The recordkeeping burdens per significant new use are estimated to range from </w:t>
      </w:r>
      <w:r>
        <w:t xml:space="preserve">0.01 hours (0.25 * 0.05) for keeping records of trade names and chemical </w:t>
      </w:r>
      <w:proofErr w:type="gramStart"/>
      <w:r>
        <w:t>synonyms</w:t>
      </w:r>
      <w:proofErr w:type="gramEnd"/>
      <w:r>
        <w:t xml:space="preserve"> to 0.76 hours (15.25 * 0.05) for keeping records of sites controlled by others. The total recordkeeping burden per firm will depend on the significant new use(s) identified.   </w:t>
      </w:r>
    </w:p>
    <w:p w:rsidR="00B912ED" w:rsidRDefault="00B912ED" w:rsidP="00B912ED"/>
    <w:p w:rsidR="00B912ED" w:rsidRDefault="00B912ED" w:rsidP="00B912ED">
      <w:pPr>
        <w:ind w:firstLine="720"/>
      </w:pPr>
      <w:r>
        <w:t>The final alternative for a company considering a significant new use of a chemical which is the subject of a SNUR is to forgo the new use (i.e., the fifth option). In carrying out such a response, the company would incur no direct regulatory burden or costs.</w:t>
      </w:r>
    </w:p>
    <w:p w:rsidR="00B912ED" w:rsidRDefault="00B912ED" w:rsidP="00B912ED">
      <w:pPr>
        <w:rPr>
          <w:u w:val="single"/>
        </w:rPr>
      </w:pPr>
    </w:p>
    <w:p w:rsidR="00B912ED" w:rsidRDefault="00B912ED" w:rsidP="00B912ED">
      <w:pPr>
        <w:ind w:firstLine="720"/>
      </w:pPr>
      <w:r>
        <w:rPr>
          <w:u w:val="single"/>
        </w:rPr>
        <w:t>Customer Notification</w:t>
      </w:r>
    </w:p>
    <w:p w:rsidR="00B912ED" w:rsidRDefault="00B912ED" w:rsidP="00B912ED">
      <w:pPr>
        <w:ind w:firstLine="720"/>
      </w:pPr>
    </w:p>
    <w:p w:rsidR="00B912ED" w:rsidRDefault="00B912ED" w:rsidP="00B912ED">
      <w:pPr>
        <w:ind w:firstLine="720"/>
      </w:pPr>
      <w:r>
        <w:t>Manufacturers, processors, and importers of chemicals subject to SNURs must notify recipients of such chemicals of the SNUR or verify that knowledge of the SNUR has been otherwise acquired by recipients, or that the recipients are unable to engage in significant new uses. Since it is not expected that all such entities will have complete knowledge of all uses of any products subject to a SNUR, and because filing a SNUN could require significantly more burden, it is assumed that manufacturers, processors, and importers will most often choose to notify their customers of SNUR regulatory activities. As this notification may be accomplished by simply annotating an MSDS, EPA estimates the associated burden to be about one hour of a technical employee's time per manufacturer, processor, or importer per chemical. EPA estimates that each SNUR will cover approximately 7 chemicals. Furthermore, EPA assumes that there are two manufacturers, processors, or importers per chemical.</w:t>
      </w:r>
      <w:r w:rsidRPr="00BF7E22">
        <w:rPr>
          <w:rStyle w:val="FootnoteReference"/>
          <w:vertAlign w:val="superscript"/>
        </w:rPr>
        <w:footnoteReference w:id="4"/>
      </w:r>
      <w:r>
        <w:t xml:space="preserve"> </w:t>
      </w:r>
      <w:r>
        <w:lastRenderedPageBreak/>
        <w:t>Therefore, the burden per SNUR is estimated to be 14 hours per SNUR.</w:t>
      </w:r>
    </w:p>
    <w:p w:rsidR="00B912ED" w:rsidRDefault="00B912ED" w:rsidP="00B912ED"/>
    <w:p w:rsidR="00B912ED" w:rsidRPr="00BF29B2" w:rsidRDefault="00B912ED" w:rsidP="00B912ED">
      <w:pPr>
        <w:ind w:firstLine="720"/>
        <w:rPr>
          <w:u w:val="single"/>
        </w:rPr>
      </w:pPr>
      <w:r w:rsidRPr="00BF29B2">
        <w:rPr>
          <w:u w:val="single"/>
        </w:rPr>
        <w:t>Summary of Unit Burdens</w:t>
      </w:r>
    </w:p>
    <w:p w:rsidR="00B912ED" w:rsidRDefault="00B912ED" w:rsidP="00B912ED">
      <w:pPr>
        <w:ind w:firstLine="720"/>
      </w:pPr>
    </w:p>
    <w:p w:rsidR="00B912ED" w:rsidRDefault="00B912ED" w:rsidP="00B912ED">
      <w:pPr>
        <w:ind w:firstLine="720"/>
      </w:pPr>
      <w:r>
        <w:t xml:space="preserve">The following table summarizes the burdens for the activities required under a SNUR, under compliance option 1. </w:t>
      </w:r>
    </w:p>
    <w:p w:rsidR="00B912ED" w:rsidRDefault="00B912ED" w:rsidP="00B912ED">
      <w:pPr>
        <w:keepNext/>
        <w:ind w:firstLine="720"/>
      </w:pPr>
    </w:p>
    <w:p w:rsidR="00B912ED" w:rsidRDefault="00B912ED" w:rsidP="005472EA">
      <w:pPr>
        <w:keepNext/>
        <w:tabs>
          <w:tab w:val="center" w:pos="4680"/>
          <w:tab w:val="left" w:pos="5040"/>
          <w:tab w:val="left" w:pos="5760"/>
          <w:tab w:val="left" w:pos="6480"/>
          <w:tab w:val="left" w:pos="7200"/>
          <w:tab w:val="left" w:pos="7920"/>
          <w:tab w:val="left" w:pos="8640"/>
          <w:tab w:val="left" w:pos="9360"/>
        </w:tabs>
        <w:ind w:firstLine="1080"/>
      </w:pPr>
      <w:r>
        <w:rPr>
          <w:b/>
          <w:bCs/>
        </w:rPr>
        <w:t>Table 6: Summary of Unit Burdens</w:t>
      </w:r>
    </w:p>
    <w:tbl>
      <w:tblPr>
        <w:tblStyle w:val="TableGrid"/>
        <w:tblW w:w="0" w:type="auto"/>
        <w:tblInd w:w="1098" w:type="dxa"/>
        <w:tblLook w:val="04A0"/>
      </w:tblPr>
      <w:tblGrid>
        <w:gridCol w:w="4050"/>
        <w:gridCol w:w="3330"/>
      </w:tblGrid>
      <w:tr w:rsidR="00B912ED" w:rsidTr="005C1538">
        <w:trPr>
          <w:trHeight w:val="288"/>
        </w:trPr>
        <w:tc>
          <w:tcPr>
            <w:tcW w:w="4050" w:type="dxa"/>
            <w:vAlign w:val="center"/>
          </w:tcPr>
          <w:p w:rsidR="00B912ED" w:rsidRPr="006B3DCD" w:rsidRDefault="00B912ED" w:rsidP="005C1538">
            <w:pPr>
              <w:keepNext/>
              <w:widowControl/>
              <w:adjustRightInd/>
              <w:rPr>
                <w:b/>
                <w:bCs/>
                <w:color w:val="000000"/>
                <w:sz w:val="22"/>
                <w:szCs w:val="22"/>
              </w:rPr>
            </w:pPr>
            <w:r>
              <w:rPr>
                <w:b/>
                <w:bCs/>
                <w:color w:val="000000"/>
                <w:sz w:val="22"/>
                <w:szCs w:val="22"/>
              </w:rPr>
              <w:t>Collection Activity</w:t>
            </w:r>
          </w:p>
        </w:tc>
        <w:tc>
          <w:tcPr>
            <w:tcW w:w="3330" w:type="dxa"/>
            <w:vAlign w:val="center"/>
          </w:tcPr>
          <w:p w:rsidR="00B912ED" w:rsidRPr="006B3DCD" w:rsidRDefault="00B912ED" w:rsidP="005C1538">
            <w:pPr>
              <w:keepNext/>
              <w:widowControl/>
              <w:adjustRightInd/>
              <w:jc w:val="center"/>
              <w:rPr>
                <w:b/>
                <w:bCs/>
                <w:color w:val="000000"/>
                <w:sz w:val="22"/>
                <w:szCs w:val="22"/>
              </w:rPr>
            </w:pPr>
            <w:r w:rsidRPr="006B3DCD">
              <w:rPr>
                <w:b/>
                <w:bCs/>
                <w:color w:val="000000"/>
                <w:sz w:val="22"/>
                <w:szCs w:val="22"/>
              </w:rPr>
              <w:t xml:space="preserve">Estimated </w:t>
            </w:r>
            <w:r>
              <w:rPr>
                <w:b/>
                <w:bCs/>
                <w:color w:val="000000"/>
                <w:sz w:val="22"/>
                <w:szCs w:val="22"/>
              </w:rPr>
              <w:t>Burden Hours</w:t>
            </w:r>
          </w:p>
        </w:tc>
      </w:tr>
      <w:tr w:rsidR="00B912ED" w:rsidTr="005C1538">
        <w:trPr>
          <w:trHeight w:val="288"/>
        </w:trPr>
        <w:tc>
          <w:tcPr>
            <w:tcW w:w="4050" w:type="dxa"/>
            <w:vAlign w:val="center"/>
          </w:tcPr>
          <w:p w:rsidR="00B912ED" w:rsidRPr="006B3DCD" w:rsidRDefault="00B912ED" w:rsidP="005C1538">
            <w:pPr>
              <w:keepNext/>
              <w:widowControl/>
              <w:adjustRightInd/>
              <w:rPr>
                <w:color w:val="000000"/>
                <w:sz w:val="22"/>
                <w:szCs w:val="22"/>
              </w:rPr>
            </w:pPr>
            <w:r w:rsidRPr="006B3DCD">
              <w:rPr>
                <w:color w:val="000000"/>
                <w:sz w:val="22"/>
                <w:szCs w:val="22"/>
              </w:rPr>
              <w:t>Chemical verification (per SNUR)</w:t>
            </w:r>
          </w:p>
        </w:tc>
        <w:tc>
          <w:tcPr>
            <w:tcW w:w="3330" w:type="dxa"/>
            <w:vAlign w:val="center"/>
          </w:tcPr>
          <w:p w:rsidR="00B912ED" w:rsidRPr="006B3DCD" w:rsidRDefault="00B912ED" w:rsidP="005C1538">
            <w:pPr>
              <w:keepNext/>
              <w:widowControl/>
              <w:adjustRightInd/>
              <w:jc w:val="center"/>
              <w:rPr>
                <w:color w:val="000000"/>
                <w:sz w:val="22"/>
                <w:szCs w:val="22"/>
              </w:rPr>
            </w:pPr>
            <w:r>
              <w:rPr>
                <w:sz w:val="22"/>
                <w:szCs w:val="22"/>
              </w:rPr>
              <w:t>1.17</w:t>
            </w:r>
          </w:p>
        </w:tc>
      </w:tr>
      <w:tr w:rsidR="00B912ED" w:rsidTr="005C1538">
        <w:trPr>
          <w:trHeight w:val="288"/>
        </w:trPr>
        <w:tc>
          <w:tcPr>
            <w:tcW w:w="4050" w:type="dxa"/>
            <w:vAlign w:val="center"/>
          </w:tcPr>
          <w:p w:rsidR="00B912ED" w:rsidRPr="006B3DCD" w:rsidRDefault="00B912ED" w:rsidP="005C1538">
            <w:pPr>
              <w:keepNext/>
              <w:widowControl/>
              <w:adjustRightInd/>
              <w:rPr>
                <w:color w:val="000000"/>
                <w:sz w:val="22"/>
                <w:szCs w:val="22"/>
              </w:rPr>
            </w:pPr>
            <w:r w:rsidRPr="006B3DCD">
              <w:rPr>
                <w:color w:val="000000"/>
                <w:sz w:val="22"/>
                <w:szCs w:val="22"/>
              </w:rPr>
              <w:t>Rule Familiarization (per company)</w:t>
            </w:r>
          </w:p>
        </w:tc>
        <w:tc>
          <w:tcPr>
            <w:tcW w:w="3330" w:type="dxa"/>
            <w:vAlign w:val="center"/>
          </w:tcPr>
          <w:p w:rsidR="00B912ED" w:rsidRPr="006B3DCD" w:rsidRDefault="00B912ED" w:rsidP="005C1538">
            <w:pPr>
              <w:keepNext/>
              <w:widowControl/>
              <w:adjustRightInd/>
              <w:jc w:val="center"/>
              <w:rPr>
                <w:color w:val="000000"/>
                <w:sz w:val="22"/>
                <w:szCs w:val="22"/>
              </w:rPr>
            </w:pPr>
            <w:r>
              <w:rPr>
                <w:bCs/>
                <w:color w:val="000000"/>
                <w:sz w:val="22"/>
                <w:szCs w:val="22"/>
              </w:rPr>
              <w:t>0.83</w:t>
            </w:r>
          </w:p>
        </w:tc>
      </w:tr>
      <w:tr w:rsidR="00B912ED" w:rsidTr="005C1538">
        <w:trPr>
          <w:trHeight w:val="288"/>
        </w:trPr>
        <w:tc>
          <w:tcPr>
            <w:tcW w:w="4050" w:type="dxa"/>
            <w:vAlign w:val="center"/>
          </w:tcPr>
          <w:p w:rsidR="00B912ED" w:rsidRPr="006B3DCD" w:rsidRDefault="00B912ED" w:rsidP="005C1538">
            <w:pPr>
              <w:keepNext/>
              <w:widowControl/>
              <w:adjustRightInd/>
              <w:rPr>
                <w:color w:val="000000"/>
                <w:sz w:val="22"/>
                <w:szCs w:val="22"/>
              </w:rPr>
            </w:pPr>
            <w:r w:rsidRPr="006B3DCD">
              <w:rPr>
                <w:color w:val="000000"/>
                <w:sz w:val="22"/>
                <w:szCs w:val="22"/>
              </w:rPr>
              <w:t>CDX registration, electronic signature, and Pay.gov account set</w:t>
            </w:r>
            <w:r>
              <w:rPr>
                <w:color w:val="000000"/>
                <w:sz w:val="22"/>
                <w:szCs w:val="22"/>
              </w:rPr>
              <w:t>-</w:t>
            </w:r>
            <w:r w:rsidRPr="006B3DCD">
              <w:rPr>
                <w:color w:val="000000"/>
                <w:sz w:val="22"/>
                <w:szCs w:val="22"/>
              </w:rPr>
              <w:t xml:space="preserve">up (per company) </w:t>
            </w:r>
          </w:p>
        </w:tc>
        <w:tc>
          <w:tcPr>
            <w:tcW w:w="3330" w:type="dxa"/>
            <w:vAlign w:val="center"/>
          </w:tcPr>
          <w:p w:rsidR="00B912ED" w:rsidRPr="006B3DCD" w:rsidRDefault="00B912ED" w:rsidP="005C1538">
            <w:pPr>
              <w:keepNext/>
              <w:widowControl/>
              <w:adjustRightInd/>
              <w:jc w:val="center"/>
              <w:rPr>
                <w:color w:val="000000"/>
                <w:sz w:val="22"/>
                <w:szCs w:val="22"/>
              </w:rPr>
            </w:pPr>
            <w:r>
              <w:rPr>
                <w:bCs/>
                <w:color w:val="000000"/>
                <w:sz w:val="22"/>
                <w:szCs w:val="22"/>
              </w:rPr>
              <w:t>2.8</w:t>
            </w:r>
          </w:p>
        </w:tc>
      </w:tr>
      <w:tr w:rsidR="00B912ED" w:rsidTr="005C1538">
        <w:trPr>
          <w:trHeight w:val="288"/>
        </w:trPr>
        <w:tc>
          <w:tcPr>
            <w:tcW w:w="4050" w:type="dxa"/>
            <w:vAlign w:val="center"/>
          </w:tcPr>
          <w:p w:rsidR="00B912ED" w:rsidRPr="006B3DCD" w:rsidRDefault="00B912ED" w:rsidP="005C1538">
            <w:pPr>
              <w:keepNext/>
              <w:widowControl/>
              <w:adjustRightInd/>
              <w:rPr>
                <w:color w:val="000000"/>
                <w:sz w:val="22"/>
                <w:szCs w:val="22"/>
              </w:rPr>
            </w:pPr>
            <w:r w:rsidRPr="006B3DCD">
              <w:rPr>
                <w:color w:val="000000"/>
                <w:sz w:val="22"/>
                <w:szCs w:val="22"/>
              </w:rPr>
              <w:t>SNUN</w:t>
            </w:r>
            <w:r>
              <w:rPr>
                <w:color w:val="000000"/>
                <w:sz w:val="22"/>
                <w:szCs w:val="22"/>
              </w:rPr>
              <w:t xml:space="preserve"> preparation</w:t>
            </w:r>
            <w:r w:rsidRPr="006B3DCD">
              <w:rPr>
                <w:color w:val="000000"/>
                <w:sz w:val="22"/>
                <w:szCs w:val="22"/>
              </w:rPr>
              <w:t xml:space="preserve"> </w:t>
            </w:r>
            <w:r>
              <w:rPr>
                <w:color w:val="000000"/>
                <w:sz w:val="22"/>
                <w:szCs w:val="22"/>
              </w:rPr>
              <w:t>(per report)</w:t>
            </w:r>
          </w:p>
        </w:tc>
        <w:tc>
          <w:tcPr>
            <w:tcW w:w="3330" w:type="dxa"/>
            <w:vAlign w:val="center"/>
          </w:tcPr>
          <w:p w:rsidR="00B912ED" w:rsidRPr="006B3DCD" w:rsidRDefault="00B912ED" w:rsidP="005C1538">
            <w:pPr>
              <w:keepNext/>
              <w:widowControl/>
              <w:adjustRightInd/>
              <w:jc w:val="center"/>
              <w:rPr>
                <w:color w:val="000000"/>
                <w:sz w:val="22"/>
                <w:szCs w:val="22"/>
              </w:rPr>
            </w:pPr>
            <w:r>
              <w:rPr>
                <w:color w:val="000000"/>
                <w:sz w:val="22"/>
                <w:szCs w:val="22"/>
              </w:rPr>
              <w:t>92.2</w:t>
            </w:r>
          </w:p>
        </w:tc>
      </w:tr>
      <w:tr w:rsidR="00B912ED" w:rsidTr="005C1538">
        <w:trPr>
          <w:trHeight w:val="288"/>
        </w:trPr>
        <w:tc>
          <w:tcPr>
            <w:tcW w:w="4050" w:type="dxa"/>
            <w:vAlign w:val="center"/>
          </w:tcPr>
          <w:p w:rsidR="00B912ED" w:rsidRPr="006B3DCD" w:rsidRDefault="00B912ED" w:rsidP="005C1538">
            <w:pPr>
              <w:keepNext/>
              <w:widowControl/>
              <w:adjustRightInd/>
              <w:rPr>
                <w:color w:val="000000"/>
                <w:sz w:val="22"/>
                <w:szCs w:val="22"/>
              </w:rPr>
            </w:pPr>
            <w:r w:rsidRPr="006B3DCD">
              <w:rPr>
                <w:color w:val="000000"/>
                <w:sz w:val="22"/>
                <w:szCs w:val="22"/>
              </w:rPr>
              <w:t>Notifying customers (</w:t>
            </w:r>
            <w:r>
              <w:rPr>
                <w:color w:val="000000"/>
                <w:sz w:val="22"/>
                <w:szCs w:val="22"/>
              </w:rPr>
              <w:t>p</w:t>
            </w:r>
            <w:r w:rsidRPr="006B3DCD">
              <w:rPr>
                <w:color w:val="000000"/>
                <w:sz w:val="22"/>
                <w:szCs w:val="22"/>
              </w:rPr>
              <w:t>er SNUR)</w:t>
            </w:r>
          </w:p>
        </w:tc>
        <w:tc>
          <w:tcPr>
            <w:tcW w:w="3330" w:type="dxa"/>
            <w:vAlign w:val="center"/>
          </w:tcPr>
          <w:p w:rsidR="00B912ED" w:rsidRPr="006B3DCD" w:rsidRDefault="00B912ED" w:rsidP="005C1538">
            <w:pPr>
              <w:keepNext/>
              <w:widowControl/>
              <w:adjustRightInd/>
              <w:jc w:val="center"/>
              <w:rPr>
                <w:color w:val="000000"/>
                <w:sz w:val="22"/>
                <w:szCs w:val="22"/>
              </w:rPr>
            </w:pPr>
            <w:r>
              <w:rPr>
                <w:color w:val="000000"/>
                <w:sz w:val="22"/>
                <w:szCs w:val="22"/>
              </w:rPr>
              <w:t>14</w:t>
            </w:r>
          </w:p>
        </w:tc>
      </w:tr>
    </w:tbl>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b/>
        </w:rPr>
      </w:pPr>
    </w:p>
    <w:p w:rsidR="00B912ED" w:rsidRDefault="00B912ED" w:rsidP="00B912E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r>
        <w:rPr>
          <w:b/>
        </w:rPr>
        <w:t>6(b</w:t>
      </w:r>
      <w:r w:rsidRPr="00FF4F0C">
        <w:rPr>
          <w:b/>
        </w:rPr>
        <w:t>)</w:t>
      </w:r>
      <w:r w:rsidRPr="00FF4F0C">
        <w:rPr>
          <w:b/>
        </w:rPr>
        <w:tab/>
        <w:t xml:space="preserve">Estimating Respondent </w:t>
      </w:r>
      <w:r>
        <w:rPr>
          <w:b/>
        </w:rPr>
        <w:t>Costs</w:t>
      </w:r>
    </w:p>
    <w:p w:rsidR="00B912ED" w:rsidRDefault="00B912ED" w:rsidP="00B912E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p>
    <w:p w:rsidR="00B912ED" w:rsidRDefault="00B912ED" w:rsidP="00B912E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r>
        <w:t>The unit costs of filing a SNUN are estimated by monetizing the labor time spent preparing the SNUN and then adding any fixed costs associated with filing a SNUN. This section derives these unit costs.</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76"/>
      </w:pPr>
      <w:r>
        <w:t>(</w:t>
      </w:r>
      <w:proofErr w:type="spellStart"/>
      <w:r>
        <w:t>i</w:t>
      </w:r>
      <w:proofErr w:type="spellEnd"/>
      <w:r>
        <w:t>)</w:t>
      </w:r>
      <w:r w:rsidRPr="0025736B">
        <w:t xml:space="preserve"> </w:t>
      </w:r>
      <w:r>
        <w:tab/>
      </w:r>
      <w:r w:rsidRPr="00BF29B2">
        <w:t>Wages</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pPr>
    </w:p>
    <w:p w:rsidR="00B912ED" w:rsidRDefault="00B912ED" w:rsidP="00B912ED">
      <w:pPr>
        <w:ind w:firstLine="720"/>
      </w:pPr>
      <w:r>
        <w:t xml:space="preserve">EPA multiplied burden estimates by standard wage rates for managerial, technical, and clerical levels developed from information published by the Bureau of Labor Statistics (BLS) and a method outlined in the document </w:t>
      </w:r>
      <w:r>
        <w:rPr>
          <w:i/>
        </w:rPr>
        <w:t>Wage Rates for Economic Analyses of the Toxics Release Inventory Program</w:t>
      </w:r>
      <w:r>
        <w:t xml:space="preserve"> (EPA, 2002b). Wage data for the three occupational categories were gathered for manufacturing industries from </w:t>
      </w:r>
      <w:r>
        <w:rPr>
          <w:i/>
        </w:rPr>
        <w:t xml:space="preserve">Employer Costs for Employee Compensation Supplementary Tables: </w:t>
      </w:r>
      <w:r>
        <w:rPr>
          <w:i/>
          <w:iCs/>
          <w:color w:val="000000"/>
        </w:rPr>
        <w:t>Historical Data December 2006 – December 2010</w:t>
      </w:r>
      <w:r>
        <w:rPr>
          <w:i/>
        </w:rPr>
        <w:t xml:space="preserve"> </w:t>
      </w:r>
      <w:r>
        <w:t>(BLS, 2011a).</w:t>
      </w:r>
    </w:p>
    <w:p w:rsidR="00B912ED" w:rsidRDefault="00B912ED" w:rsidP="00B912ED">
      <w:pPr>
        <w:rPr>
          <w:i/>
          <w:iCs/>
          <w:color w:val="000000"/>
        </w:rPr>
      </w:pPr>
    </w:p>
    <w:p w:rsidR="00B912ED" w:rsidRDefault="00B912ED" w:rsidP="00B912ED">
      <w:pPr>
        <w:ind w:firstLine="720"/>
        <w:rPr>
          <w:rFonts w:ascii="Times-Roman" w:hAnsi="Times-Roman" w:cs="Times-Roman"/>
        </w:rPr>
      </w:pPr>
      <w:r>
        <w:t xml:space="preserve">The cost of fringe benefits, such as health insurance and vacation, is taken for each labor category from the same ECEC series. Following the methodology outlined in EPA 2002b, fringe benefits are calculated as a percentage of total wages for each category. EPA added 17 percent to the wages in each category to account for overhead, based on information provided by the chemical industry and chemical industry trade associations in the </w:t>
      </w:r>
      <w:r>
        <w:rPr>
          <w:i/>
        </w:rPr>
        <w:t xml:space="preserve">Revised Economic Analysis for the Amended Inventory Update Rule: Final Report </w:t>
      </w:r>
      <w:r>
        <w:t>(EPA, 2002a). The wages for each of the three categories were then multiplied by benefits and overhead factors to estimate loaded, annual salaries in year 2010 dollars. Table 7 contains the loaded wage rates f</w:t>
      </w:r>
      <w:r>
        <w:rPr>
          <w:rFonts w:ascii="Times-Roman" w:hAnsi="Times-Roman" w:cs="Times-Roman"/>
        </w:rPr>
        <w:t xml:space="preserve">or the managerial, technical and clerical occupation categories. </w:t>
      </w:r>
    </w:p>
    <w:p w:rsidR="00B912ED" w:rsidRDefault="00B912ED" w:rsidP="00B91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Pr="00F9765A" w:rsidRDefault="00B912ED" w:rsidP="00B912ED">
      <w:pPr>
        <w:pStyle w:val="TableTitle"/>
        <w:spacing w:before="0" w:after="0"/>
        <w:outlineLvl w:val="0"/>
        <w:rPr>
          <w:rFonts w:ascii="Times New Roman" w:hAnsi="Times New Roman"/>
          <w:color w:val="auto"/>
          <w:szCs w:val="24"/>
        </w:rPr>
      </w:pPr>
      <w:r w:rsidRPr="00F9765A">
        <w:rPr>
          <w:rFonts w:ascii="Times New Roman" w:hAnsi="Times New Roman"/>
          <w:color w:val="auto"/>
          <w:szCs w:val="24"/>
        </w:rPr>
        <w:lastRenderedPageBreak/>
        <w:t xml:space="preserve">Table </w:t>
      </w:r>
      <w:r>
        <w:rPr>
          <w:rFonts w:ascii="Times New Roman" w:hAnsi="Times New Roman"/>
          <w:color w:val="auto"/>
          <w:szCs w:val="24"/>
        </w:rPr>
        <w:t>7</w:t>
      </w:r>
      <w:r w:rsidRPr="00F9765A">
        <w:rPr>
          <w:rFonts w:ascii="Times New Roman" w:hAnsi="Times New Roman"/>
          <w:color w:val="auto"/>
          <w:szCs w:val="24"/>
        </w:rPr>
        <w:t xml:space="preserve">: Derivation of Loaded Wage Rates for the Private Manufacturing Sector in 2010$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32"/>
        <w:gridCol w:w="1119"/>
        <w:gridCol w:w="1439"/>
        <w:gridCol w:w="1439"/>
        <w:gridCol w:w="1724"/>
        <w:gridCol w:w="1624"/>
      </w:tblGrid>
      <w:tr w:rsidR="00B912ED" w:rsidTr="005C1538">
        <w:trPr>
          <w:cantSplit/>
          <w:trHeight w:val="650"/>
        </w:trPr>
        <w:tc>
          <w:tcPr>
            <w:tcW w:w="632" w:type="pct"/>
            <w:vMerge w:val="restart"/>
            <w:tcBorders>
              <w:top w:val="single" w:sz="4" w:space="0" w:color="auto"/>
              <w:left w:val="single" w:sz="4" w:space="0" w:color="auto"/>
              <w:bottom w:val="single" w:sz="4" w:space="0" w:color="auto"/>
              <w:right w:val="single" w:sz="4" w:space="0" w:color="auto"/>
            </w:tcBorders>
            <w:vAlign w:val="center"/>
          </w:tcPr>
          <w:p w:rsidR="00B912ED" w:rsidRPr="00F9765A" w:rsidRDefault="00B912ED" w:rsidP="005C1538">
            <w:pPr>
              <w:keepNext/>
              <w:jc w:val="center"/>
              <w:rPr>
                <w:b/>
                <w:sz w:val="22"/>
              </w:rPr>
            </w:pPr>
          </w:p>
          <w:p w:rsidR="00B912ED" w:rsidRPr="00F9765A" w:rsidRDefault="00B912ED" w:rsidP="005C1538">
            <w:pPr>
              <w:keepNext/>
              <w:jc w:val="center"/>
              <w:rPr>
                <w:sz w:val="22"/>
              </w:rPr>
            </w:pPr>
          </w:p>
        </w:tc>
        <w:tc>
          <w:tcPr>
            <w:tcW w:w="754" w:type="pct"/>
            <w:tcBorders>
              <w:top w:val="single" w:sz="4" w:space="0" w:color="auto"/>
              <w:left w:val="single" w:sz="4" w:space="0" w:color="auto"/>
              <w:bottom w:val="single" w:sz="4" w:space="0" w:color="auto"/>
              <w:right w:val="single" w:sz="4" w:space="0" w:color="auto"/>
            </w:tcBorders>
            <w:vAlign w:val="center"/>
          </w:tcPr>
          <w:p w:rsidR="00B912ED" w:rsidRPr="00F9765A" w:rsidRDefault="00B912ED" w:rsidP="005C1538">
            <w:pPr>
              <w:keepNext/>
              <w:jc w:val="center"/>
              <w:rPr>
                <w:b/>
                <w:color w:val="000000"/>
                <w:sz w:val="22"/>
              </w:rPr>
            </w:pPr>
          </w:p>
          <w:p w:rsidR="00B912ED" w:rsidRPr="00F9765A" w:rsidRDefault="00B912ED" w:rsidP="005C1538">
            <w:pPr>
              <w:keepNext/>
              <w:jc w:val="center"/>
              <w:rPr>
                <w:sz w:val="22"/>
              </w:rPr>
            </w:pPr>
            <w:r w:rsidRPr="00F9765A">
              <w:rPr>
                <w:b/>
                <w:color w:val="000000"/>
                <w:sz w:val="22"/>
                <w:szCs w:val="22"/>
              </w:rPr>
              <w:t>Wage</w:t>
            </w:r>
            <w:r w:rsidRPr="00F9765A">
              <w:rPr>
                <w:b/>
                <w:color w:val="000000"/>
                <w:sz w:val="22"/>
                <w:szCs w:val="22"/>
                <w:vertAlign w:val="superscript"/>
              </w:rPr>
              <w:t>1</w:t>
            </w:r>
          </w:p>
        </w:tc>
        <w:tc>
          <w:tcPr>
            <w:tcW w:w="551"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b/>
                <w:color w:val="000000"/>
                <w:sz w:val="22"/>
                <w:szCs w:val="22"/>
              </w:rPr>
              <w:t>Fringe Benefits</w:t>
            </w:r>
            <w:r w:rsidRPr="00F9765A">
              <w:rPr>
                <w:b/>
                <w:color w:val="000000"/>
                <w:sz w:val="22"/>
                <w:szCs w:val="22"/>
                <w:vertAlign w:val="superscript"/>
              </w:rPr>
              <w:t>1</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b/>
                <w:color w:val="000000"/>
                <w:sz w:val="22"/>
                <w:szCs w:val="22"/>
              </w:rPr>
              <w:t>Fringes as % of Wage</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b/>
                <w:color w:val="000000"/>
                <w:sz w:val="22"/>
                <w:szCs w:val="22"/>
              </w:rPr>
              <w:t>Overhead % of Wage</w:t>
            </w:r>
            <w:r w:rsidRPr="00F9765A">
              <w:rPr>
                <w:b/>
                <w:color w:val="000000"/>
                <w:sz w:val="22"/>
                <w:szCs w:val="22"/>
                <w:vertAlign w:val="superscript"/>
              </w:rPr>
              <w:t>2</w:t>
            </w:r>
          </w:p>
        </w:tc>
        <w:tc>
          <w:tcPr>
            <w:tcW w:w="84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b/>
                <w:color w:val="000000"/>
                <w:sz w:val="22"/>
                <w:szCs w:val="22"/>
              </w:rPr>
              <w:t>Fringe + Overhead Factor</w:t>
            </w:r>
          </w:p>
        </w:tc>
        <w:tc>
          <w:tcPr>
            <w:tcW w:w="799"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b/>
                <w:color w:val="000000"/>
                <w:sz w:val="22"/>
                <w:szCs w:val="22"/>
              </w:rPr>
              <w:t>Loaded Wages</w:t>
            </w:r>
          </w:p>
        </w:tc>
      </w:tr>
      <w:tr w:rsidR="00B912ED" w:rsidTr="005C1538">
        <w:trPr>
          <w:cantSplit/>
          <w:trHeight w:val="242"/>
        </w:trPr>
        <w:tc>
          <w:tcPr>
            <w:tcW w:w="632" w:type="pct"/>
            <w:vMerge/>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rPr>
                <w:sz w:val="22"/>
              </w:rPr>
            </w:pPr>
          </w:p>
        </w:tc>
        <w:tc>
          <w:tcPr>
            <w:tcW w:w="754"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b/>
                <w:color w:val="000000"/>
                <w:sz w:val="22"/>
              </w:rPr>
            </w:pPr>
            <w:r w:rsidRPr="00F9765A">
              <w:rPr>
                <w:b/>
                <w:color w:val="000000"/>
                <w:sz w:val="22"/>
                <w:szCs w:val="22"/>
              </w:rPr>
              <w:t>(a)</w:t>
            </w:r>
          </w:p>
        </w:tc>
        <w:tc>
          <w:tcPr>
            <w:tcW w:w="551"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b/>
                <w:color w:val="000000"/>
                <w:sz w:val="22"/>
              </w:rPr>
            </w:pPr>
            <w:r w:rsidRPr="00F9765A">
              <w:rPr>
                <w:b/>
                <w:color w:val="000000"/>
                <w:sz w:val="22"/>
                <w:szCs w:val="22"/>
              </w:rPr>
              <w:t>(b)</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b/>
                <w:color w:val="000000"/>
                <w:sz w:val="22"/>
              </w:rPr>
            </w:pPr>
            <w:r w:rsidRPr="00F9765A">
              <w:rPr>
                <w:b/>
                <w:color w:val="000000"/>
                <w:sz w:val="22"/>
                <w:szCs w:val="22"/>
              </w:rPr>
              <w:t>(c) = (b)/(a)</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b/>
                <w:color w:val="000000"/>
                <w:sz w:val="22"/>
              </w:rPr>
            </w:pPr>
            <w:r w:rsidRPr="00F9765A">
              <w:rPr>
                <w:b/>
                <w:color w:val="000000"/>
                <w:sz w:val="22"/>
                <w:szCs w:val="22"/>
              </w:rPr>
              <w:t>(d)</w:t>
            </w:r>
          </w:p>
        </w:tc>
        <w:tc>
          <w:tcPr>
            <w:tcW w:w="84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b/>
                <w:color w:val="000000"/>
                <w:sz w:val="22"/>
              </w:rPr>
            </w:pPr>
            <w:r w:rsidRPr="00F9765A">
              <w:rPr>
                <w:b/>
                <w:color w:val="000000"/>
                <w:sz w:val="22"/>
                <w:szCs w:val="22"/>
              </w:rPr>
              <w:t>(e)=(1)+(c)+(d)</w:t>
            </w:r>
          </w:p>
        </w:tc>
        <w:tc>
          <w:tcPr>
            <w:tcW w:w="799"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b/>
                <w:color w:val="000000"/>
                <w:sz w:val="22"/>
              </w:rPr>
            </w:pPr>
            <w:r w:rsidRPr="00F9765A">
              <w:rPr>
                <w:b/>
                <w:color w:val="000000"/>
                <w:sz w:val="22"/>
                <w:szCs w:val="22"/>
              </w:rPr>
              <w:t>(f) = (a) x (e)</w:t>
            </w:r>
          </w:p>
        </w:tc>
      </w:tr>
      <w:tr w:rsidR="00B912ED" w:rsidTr="005C1538">
        <w:trPr>
          <w:cantSplit/>
          <w:trHeight w:val="242"/>
        </w:trPr>
        <w:tc>
          <w:tcPr>
            <w:tcW w:w="632"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rPr>
                <w:b/>
                <w:sz w:val="22"/>
              </w:rPr>
            </w:pPr>
            <w:r w:rsidRPr="00F9765A">
              <w:rPr>
                <w:b/>
                <w:sz w:val="22"/>
                <w:szCs w:val="22"/>
              </w:rPr>
              <w:t>Clerical</w:t>
            </w:r>
          </w:p>
        </w:tc>
        <w:tc>
          <w:tcPr>
            <w:tcW w:w="754"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color w:val="000000"/>
                <w:sz w:val="22"/>
                <w:szCs w:val="22"/>
              </w:rPr>
              <w:t xml:space="preserve">$17.36 </w:t>
            </w:r>
          </w:p>
        </w:tc>
        <w:tc>
          <w:tcPr>
            <w:tcW w:w="551"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color w:val="000000"/>
                <w:sz w:val="22"/>
                <w:szCs w:val="22"/>
              </w:rPr>
              <w:t xml:space="preserve">$8.67 </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bCs/>
                <w:sz w:val="22"/>
                <w:szCs w:val="22"/>
              </w:rPr>
              <w:t>48.37%</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sz w:val="22"/>
                <w:szCs w:val="22"/>
              </w:rPr>
              <w:t>17%</w:t>
            </w:r>
          </w:p>
        </w:tc>
        <w:tc>
          <w:tcPr>
            <w:tcW w:w="848"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sz w:val="22"/>
                <w:szCs w:val="22"/>
              </w:rPr>
              <w:t>1.67</w:t>
            </w:r>
          </w:p>
        </w:tc>
        <w:tc>
          <w:tcPr>
            <w:tcW w:w="799" w:type="pct"/>
            <w:tcBorders>
              <w:top w:val="single" w:sz="4" w:space="0" w:color="auto"/>
              <w:left w:val="single" w:sz="4" w:space="0" w:color="auto"/>
              <w:bottom w:val="single" w:sz="4" w:space="0" w:color="auto"/>
              <w:right w:val="single" w:sz="4" w:space="0" w:color="auto"/>
            </w:tcBorders>
            <w:vAlign w:val="bottom"/>
            <w:hideMark/>
          </w:tcPr>
          <w:p w:rsidR="00B912ED" w:rsidRPr="002806B5" w:rsidRDefault="00B912ED" w:rsidP="005C1538">
            <w:pPr>
              <w:keepNext/>
              <w:jc w:val="center"/>
              <w:rPr>
                <w:b/>
                <w:sz w:val="22"/>
              </w:rPr>
            </w:pPr>
            <w:r w:rsidRPr="002806B5">
              <w:rPr>
                <w:b/>
                <w:sz w:val="22"/>
                <w:szCs w:val="22"/>
              </w:rPr>
              <w:t>$28.98</w:t>
            </w:r>
          </w:p>
        </w:tc>
      </w:tr>
      <w:tr w:rsidR="00B912ED" w:rsidTr="005C1538">
        <w:trPr>
          <w:cantSplit/>
          <w:trHeight w:val="170"/>
        </w:trPr>
        <w:tc>
          <w:tcPr>
            <w:tcW w:w="632"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rPr>
                <w:b/>
                <w:sz w:val="22"/>
              </w:rPr>
            </w:pPr>
            <w:r w:rsidRPr="00F9765A">
              <w:rPr>
                <w:b/>
                <w:sz w:val="22"/>
                <w:szCs w:val="22"/>
              </w:rPr>
              <w:t>Technical</w:t>
            </w:r>
          </w:p>
        </w:tc>
        <w:tc>
          <w:tcPr>
            <w:tcW w:w="754"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color w:val="000000"/>
                <w:sz w:val="22"/>
                <w:szCs w:val="22"/>
              </w:rPr>
              <w:t xml:space="preserve">$36.93 </w:t>
            </w:r>
          </w:p>
        </w:tc>
        <w:tc>
          <w:tcPr>
            <w:tcW w:w="551"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color w:val="000000"/>
                <w:sz w:val="22"/>
                <w:szCs w:val="22"/>
              </w:rPr>
              <w:t xml:space="preserve">$18.50 </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sz w:val="22"/>
                <w:szCs w:val="22"/>
              </w:rPr>
              <w:t>47.58%</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sz w:val="22"/>
                <w:szCs w:val="22"/>
              </w:rPr>
              <w:t>17%</w:t>
            </w:r>
          </w:p>
        </w:tc>
        <w:tc>
          <w:tcPr>
            <w:tcW w:w="848"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sz w:val="22"/>
                <w:szCs w:val="22"/>
              </w:rPr>
              <w:t>1.67</w:t>
            </w:r>
          </w:p>
        </w:tc>
        <w:tc>
          <w:tcPr>
            <w:tcW w:w="799" w:type="pct"/>
            <w:tcBorders>
              <w:top w:val="single" w:sz="4" w:space="0" w:color="auto"/>
              <w:left w:val="single" w:sz="4" w:space="0" w:color="auto"/>
              <w:bottom w:val="single" w:sz="4" w:space="0" w:color="auto"/>
              <w:right w:val="single" w:sz="4" w:space="0" w:color="auto"/>
            </w:tcBorders>
            <w:vAlign w:val="bottom"/>
            <w:hideMark/>
          </w:tcPr>
          <w:p w:rsidR="00B912ED" w:rsidRPr="002806B5" w:rsidRDefault="00B912ED" w:rsidP="005C1538">
            <w:pPr>
              <w:keepNext/>
              <w:jc w:val="center"/>
              <w:rPr>
                <w:b/>
                <w:sz w:val="22"/>
              </w:rPr>
            </w:pPr>
            <w:r w:rsidRPr="002806B5">
              <w:rPr>
                <w:b/>
                <w:sz w:val="22"/>
                <w:szCs w:val="22"/>
              </w:rPr>
              <w:t>$61.71</w:t>
            </w:r>
          </w:p>
        </w:tc>
      </w:tr>
      <w:tr w:rsidR="00B912ED" w:rsidTr="005C1538">
        <w:trPr>
          <w:cantSplit/>
          <w:trHeight w:val="230"/>
        </w:trPr>
        <w:tc>
          <w:tcPr>
            <w:tcW w:w="632"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rPr>
                <w:b/>
                <w:sz w:val="22"/>
              </w:rPr>
            </w:pPr>
            <w:r w:rsidRPr="00F9765A">
              <w:rPr>
                <w:b/>
                <w:sz w:val="22"/>
                <w:szCs w:val="22"/>
              </w:rPr>
              <w:t>Managerial</w:t>
            </w:r>
          </w:p>
        </w:tc>
        <w:tc>
          <w:tcPr>
            <w:tcW w:w="754"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color w:val="000000"/>
                <w:sz w:val="22"/>
                <w:szCs w:val="22"/>
              </w:rPr>
              <w:t xml:space="preserve">$42.82 </w:t>
            </w:r>
          </w:p>
        </w:tc>
        <w:tc>
          <w:tcPr>
            <w:tcW w:w="551"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color w:val="000000"/>
                <w:sz w:val="22"/>
                <w:szCs w:val="22"/>
              </w:rPr>
              <w:t xml:space="preserve">$19.64 </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sz w:val="22"/>
                <w:szCs w:val="22"/>
              </w:rPr>
              <w:t>45.03%</w:t>
            </w:r>
          </w:p>
        </w:tc>
        <w:tc>
          <w:tcPr>
            <w:tcW w:w="708"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keepNext/>
              <w:jc w:val="center"/>
              <w:rPr>
                <w:sz w:val="22"/>
              </w:rPr>
            </w:pPr>
            <w:r w:rsidRPr="00F9765A">
              <w:rPr>
                <w:sz w:val="22"/>
                <w:szCs w:val="22"/>
              </w:rPr>
              <w:t>17%</w:t>
            </w:r>
          </w:p>
        </w:tc>
        <w:tc>
          <w:tcPr>
            <w:tcW w:w="848"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keepNext/>
              <w:jc w:val="center"/>
              <w:rPr>
                <w:sz w:val="22"/>
              </w:rPr>
            </w:pPr>
            <w:r w:rsidRPr="00F9765A">
              <w:rPr>
                <w:sz w:val="22"/>
                <w:szCs w:val="22"/>
              </w:rPr>
              <w:t>1.63</w:t>
            </w:r>
          </w:p>
        </w:tc>
        <w:tc>
          <w:tcPr>
            <w:tcW w:w="799" w:type="pct"/>
            <w:tcBorders>
              <w:top w:val="single" w:sz="4" w:space="0" w:color="auto"/>
              <w:left w:val="single" w:sz="4" w:space="0" w:color="auto"/>
              <w:bottom w:val="single" w:sz="4" w:space="0" w:color="auto"/>
              <w:right w:val="single" w:sz="4" w:space="0" w:color="auto"/>
            </w:tcBorders>
            <w:vAlign w:val="bottom"/>
            <w:hideMark/>
          </w:tcPr>
          <w:p w:rsidR="00B912ED" w:rsidRPr="002806B5" w:rsidRDefault="00B912ED" w:rsidP="005C1538">
            <w:pPr>
              <w:keepNext/>
              <w:jc w:val="center"/>
              <w:rPr>
                <w:b/>
                <w:sz w:val="22"/>
              </w:rPr>
            </w:pPr>
            <w:r w:rsidRPr="002806B5">
              <w:rPr>
                <w:b/>
                <w:sz w:val="22"/>
                <w:szCs w:val="22"/>
              </w:rPr>
              <w:t xml:space="preserve">$69.74 </w:t>
            </w:r>
          </w:p>
        </w:tc>
      </w:tr>
      <w:tr w:rsidR="00B912ED" w:rsidTr="005C1538">
        <w:trPr>
          <w:cantSplit/>
          <w:trHeight w:val="908"/>
        </w:trPr>
        <w:tc>
          <w:tcPr>
            <w:tcW w:w="5000" w:type="pct"/>
            <w:gridSpan w:val="7"/>
            <w:tcBorders>
              <w:top w:val="single" w:sz="4" w:space="0" w:color="auto"/>
              <w:left w:val="nil"/>
              <w:bottom w:val="nil"/>
              <w:right w:val="nil"/>
            </w:tcBorders>
            <w:hideMark/>
          </w:tcPr>
          <w:p w:rsidR="00B912ED" w:rsidRDefault="00B912ED" w:rsidP="005C1538">
            <w:pPr>
              <w:keepNext/>
              <w:autoSpaceDE w:val="0"/>
              <w:autoSpaceDN w:val="0"/>
              <w:rPr>
                <w:i/>
                <w:iCs/>
                <w:color w:val="000000"/>
                <w:sz w:val="20"/>
              </w:rPr>
            </w:pPr>
            <w:r>
              <w:rPr>
                <w:sz w:val="20"/>
                <w:vertAlign w:val="superscript"/>
              </w:rPr>
              <w:t>1</w:t>
            </w:r>
            <w:r>
              <w:rPr>
                <w:sz w:val="20"/>
              </w:rPr>
              <w:t xml:space="preserve"> </w:t>
            </w:r>
            <w:r>
              <w:rPr>
                <w:i/>
                <w:sz w:val="20"/>
              </w:rPr>
              <w:t xml:space="preserve">Employer Costs for Employee Compensation Supplementary Tables: </w:t>
            </w:r>
            <w:r>
              <w:rPr>
                <w:i/>
                <w:iCs/>
                <w:color w:val="000000"/>
                <w:sz w:val="20"/>
              </w:rPr>
              <w:t xml:space="preserve">Historical Data December 2006 – December 2010, </w:t>
            </w:r>
            <w:r>
              <w:rPr>
                <w:sz w:val="20"/>
              </w:rPr>
              <w:t>US Bureau of Labor Statistics, March 2011 (BLS, 2011a).</w:t>
            </w:r>
          </w:p>
          <w:p w:rsidR="00B912ED" w:rsidRDefault="00B912ED" w:rsidP="005C1538">
            <w:pPr>
              <w:keepNext/>
              <w:rPr>
                <w:sz w:val="20"/>
              </w:rPr>
            </w:pPr>
            <w:r>
              <w:rPr>
                <w:sz w:val="20"/>
                <w:vertAlign w:val="superscript"/>
              </w:rPr>
              <w:t>2</w:t>
            </w:r>
            <w:r>
              <w:rPr>
                <w:sz w:val="20"/>
              </w:rPr>
              <w:t xml:space="preserve"> An overhead rate of 17 percent was estimated based on industry data gathered for the </w:t>
            </w:r>
            <w:r>
              <w:rPr>
                <w:i/>
                <w:sz w:val="20"/>
              </w:rPr>
              <w:t xml:space="preserve">Revised Economic Analysis for the Amended Inventory Update Rule: Final Report </w:t>
            </w:r>
            <w:r>
              <w:rPr>
                <w:sz w:val="20"/>
              </w:rPr>
              <w:t>(EPA, 2002a).</w:t>
            </w:r>
          </w:p>
        </w:tc>
      </w:tr>
    </w:tbl>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576"/>
        <w:rPr>
          <w:sz w:val="20"/>
          <w:szCs w:val="20"/>
        </w:rPr>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(ii) </w:t>
      </w:r>
      <w:r w:rsidRPr="0025736B">
        <w:tab/>
      </w:r>
      <w:r w:rsidRPr="00BF29B2">
        <w:t>Summary of Unit Costs</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29B2">
        <w:tab/>
      </w:r>
      <w:r>
        <w:rPr>
          <w:u w:val="single"/>
        </w:rPr>
        <w:t>Costs for Chemical Verification</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ind w:firstLine="720"/>
      </w:pPr>
      <w:r>
        <w:t xml:space="preserve">The Agency estimates that chemical verification will require 1.17 technical hours per SNUR. The total estimated cost per SNUR is estimated to be $72.14 (1.17 hours per SNUR x </w:t>
      </w:r>
      <w:r w:rsidRPr="004315D0">
        <w:t>$61.71</w:t>
      </w:r>
      <w:r>
        <w:t>).</w:t>
      </w:r>
    </w:p>
    <w:p w:rsidR="00B912ED" w:rsidRDefault="00B912ED" w:rsidP="00B912ED"/>
    <w:p w:rsidR="00B912ED" w:rsidRDefault="00B912ED" w:rsidP="00B912ED">
      <w:pPr>
        <w:pStyle w:val="Heading3"/>
        <w:spacing w:before="0" w:after="0"/>
        <w:ind w:firstLine="720"/>
        <w:rPr>
          <w:rFonts w:ascii="Times New Roman" w:hAnsi="Times New Roman"/>
          <w:b w:val="0"/>
          <w:sz w:val="24"/>
          <w:szCs w:val="24"/>
          <w:u w:val="single"/>
        </w:rPr>
      </w:pPr>
      <w:r>
        <w:rPr>
          <w:rFonts w:ascii="Times New Roman" w:hAnsi="Times New Roman"/>
          <w:b w:val="0"/>
          <w:sz w:val="24"/>
          <w:szCs w:val="24"/>
          <w:u w:val="single"/>
        </w:rPr>
        <w:t xml:space="preserve">Costs for </w:t>
      </w:r>
      <w:r w:rsidRPr="00F9765A">
        <w:rPr>
          <w:rFonts w:ascii="Times New Roman" w:hAnsi="Times New Roman"/>
          <w:b w:val="0"/>
          <w:sz w:val="24"/>
          <w:szCs w:val="24"/>
          <w:u w:val="single"/>
        </w:rPr>
        <w:t>Rule Familiarization</w:t>
      </w:r>
    </w:p>
    <w:p w:rsidR="00B912ED" w:rsidRPr="00BF29B2" w:rsidRDefault="00B912ED" w:rsidP="00B912ED"/>
    <w:p w:rsidR="00B912ED" w:rsidRDefault="00B912ED" w:rsidP="00B912ED">
      <w:pPr>
        <w:pStyle w:val="BodyText"/>
        <w:spacing w:after="0"/>
        <w:ind w:firstLine="720"/>
        <w:rPr>
          <w:szCs w:val="24"/>
        </w:rPr>
      </w:pPr>
      <w:r w:rsidRPr="00F9765A">
        <w:rPr>
          <w:szCs w:val="24"/>
        </w:rPr>
        <w:t xml:space="preserve">EPA estimates rule familiarization costs will require 0.83 hours per firm and total costs are expected to be $52.54. </w:t>
      </w:r>
    </w:p>
    <w:p w:rsidR="00B912ED" w:rsidRPr="00F9765A" w:rsidRDefault="00B912ED" w:rsidP="00B912ED">
      <w:pPr>
        <w:pStyle w:val="BodyText"/>
        <w:spacing w:after="0"/>
        <w:ind w:firstLine="720"/>
        <w:rPr>
          <w:szCs w:val="24"/>
        </w:rPr>
      </w:pPr>
    </w:p>
    <w:p w:rsidR="00B912ED" w:rsidRDefault="00B912ED" w:rsidP="00B912ED">
      <w:pPr>
        <w:pStyle w:val="Heading3"/>
        <w:widowControl/>
        <w:numPr>
          <w:ilvl w:val="2"/>
          <w:numId w:val="0"/>
        </w:numPr>
        <w:tabs>
          <w:tab w:val="num" w:pos="720"/>
        </w:tabs>
        <w:adjustRightInd/>
        <w:spacing w:before="0" w:after="0"/>
        <w:ind w:left="720" w:hanging="720"/>
        <w:rPr>
          <w:rFonts w:ascii="Times New Roman" w:hAnsi="Times New Roman"/>
          <w:b w:val="0"/>
          <w:sz w:val="24"/>
          <w:szCs w:val="24"/>
          <w:u w:val="single"/>
        </w:rPr>
      </w:pPr>
      <w:r w:rsidRPr="00BF29B2">
        <w:rPr>
          <w:rFonts w:ascii="Times New Roman" w:hAnsi="Times New Roman"/>
          <w:b w:val="0"/>
          <w:sz w:val="24"/>
          <w:szCs w:val="24"/>
        </w:rPr>
        <w:tab/>
      </w:r>
      <w:r>
        <w:rPr>
          <w:rFonts w:ascii="Times New Roman" w:hAnsi="Times New Roman"/>
          <w:b w:val="0"/>
          <w:sz w:val="24"/>
          <w:szCs w:val="24"/>
          <w:u w:val="single"/>
        </w:rPr>
        <w:t xml:space="preserve">Costs for </w:t>
      </w:r>
      <w:r w:rsidRPr="00F9765A">
        <w:rPr>
          <w:rFonts w:ascii="Times New Roman" w:hAnsi="Times New Roman"/>
          <w:b w:val="0"/>
          <w:sz w:val="24"/>
          <w:szCs w:val="24"/>
          <w:u w:val="single"/>
        </w:rPr>
        <w:t>CDX Registration, CDX Electronic Signature, and Pay.gov Account Setup</w:t>
      </w:r>
    </w:p>
    <w:p w:rsidR="00B912ED" w:rsidRPr="00BF29B2" w:rsidRDefault="00B912ED" w:rsidP="00B912ED"/>
    <w:p w:rsidR="00B912ED" w:rsidRDefault="00B912ED" w:rsidP="00B912ED">
      <w:pPr>
        <w:pStyle w:val="BodyText"/>
        <w:spacing w:after="0"/>
        <w:ind w:firstLine="720"/>
        <w:rPr>
          <w:iCs/>
          <w:szCs w:val="24"/>
        </w:rPr>
      </w:pPr>
      <w:r w:rsidRPr="00F9765A">
        <w:rPr>
          <w:iCs/>
          <w:szCs w:val="24"/>
        </w:rPr>
        <w:t>First-ti</w:t>
      </w:r>
      <w:r w:rsidR="00A30FA0">
        <w:rPr>
          <w:iCs/>
          <w:szCs w:val="24"/>
        </w:rPr>
        <w:t xml:space="preserve">me submitters of any section 5 </w:t>
      </w:r>
      <w:proofErr w:type="gramStart"/>
      <w:r w:rsidR="00A30FA0">
        <w:rPr>
          <w:iCs/>
          <w:szCs w:val="24"/>
        </w:rPr>
        <w:t>n</w:t>
      </w:r>
      <w:r w:rsidRPr="00F9765A">
        <w:rPr>
          <w:iCs/>
          <w:szCs w:val="24"/>
        </w:rPr>
        <w:t>otice</w:t>
      </w:r>
      <w:proofErr w:type="gramEnd"/>
      <w:r w:rsidRPr="00F9765A">
        <w:rPr>
          <w:iCs/>
          <w:szCs w:val="24"/>
        </w:rPr>
        <w:t xml:space="preserve"> are required to register their company and key users with the CDX reporting tool, deliver a CDX electronic signature to EPA, and establish and use a Pay.gov E-payment account. EPA estimates that companies will spend approximately $58.03 on CDX registration, $114.01 on completing the Electronic Signature Agreements, $2.30 mailing electronic signature agreements, and $9.30 setting up a Pay.gov account. Therefore the total expected costs associated with CDX registration, completing and mailing an electronic signature agreement and setting up a Pay.gov account is</w:t>
      </w:r>
      <w:r>
        <w:rPr>
          <w:iCs/>
          <w:szCs w:val="24"/>
        </w:rPr>
        <w:t xml:space="preserve"> approximately</w:t>
      </w:r>
      <w:r w:rsidRPr="00F9765A">
        <w:rPr>
          <w:iCs/>
          <w:szCs w:val="24"/>
        </w:rPr>
        <w:t xml:space="preserve"> $184. </w:t>
      </w:r>
    </w:p>
    <w:p w:rsidR="00B912ED" w:rsidRPr="00F9765A" w:rsidRDefault="00B912ED" w:rsidP="00B912ED">
      <w:pPr>
        <w:pStyle w:val="BodyText"/>
        <w:spacing w:after="0"/>
        <w:ind w:firstLine="720"/>
        <w:rPr>
          <w:iCs/>
          <w:szCs w:val="24"/>
        </w:rPr>
      </w:pPr>
      <w:r w:rsidRPr="00F9765A">
        <w:rPr>
          <w:iCs/>
          <w:szCs w:val="24"/>
        </w:rPr>
        <w:t xml:space="preserve"> </w:t>
      </w:r>
    </w:p>
    <w:p w:rsidR="00B912ED" w:rsidRPr="00F9765A" w:rsidRDefault="00B912ED" w:rsidP="00B912ED">
      <w:pPr>
        <w:pStyle w:val="Caption"/>
        <w:keepNext/>
        <w:spacing w:before="0" w:after="0"/>
        <w:rPr>
          <w:color w:val="auto"/>
          <w:szCs w:val="24"/>
        </w:rPr>
      </w:pPr>
      <w:r w:rsidRPr="00F9765A">
        <w:rPr>
          <w:color w:val="auto"/>
          <w:szCs w:val="24"/>
        </w:rPr>
        <w:t xml:space="preserve">Table </w:t>
      </w:r>
      <w:r>
        <w:rPr>
          <w:color w:val="auto"/>
          <w:szCs w:val="24"/>
        </w:rPr>
        <w:t>8</w:t>
      </w:r>
      <w:r w:rsidRPr="00F9765A">
        <w:rPr>
          <w:color w:val="auto"/>
          <w:szCs w:val="24"/>
        </w:rPr>
        <w:t>: CDX Registration, CDX Electronic Signature, and Pay.gov Account Setup Cost for First-Time Submitters</w:t>
      </w:r>
    </w:p>
    <w:tbl>
      <w:tblPr>
        <w:tblW w:w="4944" w:type="pct"/>
        <w:tblInd w:w="108" w:type="dxa"/>
        <w:tblLook w:val="04A0"/>
      </w:tblPr>
      <w:tblGrid>
        <w:gridCol w:w="2769"/>
        <w:gridCol w:w="1847"/>
        <w:gridCol w:w="1847"/>
        <w:gridCol w:w="1643"/>
        <w:gridCol w:w="2075"/>
      </w:tblGrid>
      <w:tr w:rsidR="00B912ED" w:rsidRPr="00017B85" w:rsidTr="005C1538">
        <w:trPr>
          <w:trHeight w:val="276"/>
        </w:trPr>
        <w:tc>
          <w:tcPr>
            <w:tcW w:w="1360" w:type="pct"/>
            <w:vMerge w:val="restart"/>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widowControl/>
              <w:adjustRightInd/>
              <w:rPr>
                <w:b/>
                <w:bCs/>
                <w:color w:val="000000"/>
                <w:sz w:val="22"/>
              </w:rPr>
            </w:pPr>
            <w:r w:rsidRPr="00F9765A">
              <w:rPr>
                <w:b/>
                <w:bCs/>
                <w:color w:val="000000"/>
                <w:sz w:val="22"/>
                <w:szCs w:val="22"/>
              </w:rPr>
              <w:t>Activity</w:t>
            </w:r>
          </w:p>
        </w:tc>
        <w:tc>
          <w:tcPr>
            <w:tcW w:w="907" w:type="pct"/>
            <w:vMerge w:val="restart"/>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widowControl/>
              <w:adjustRightInd/>
              <w:jc w:val="center"/>
              <w:rPr>
                <w:b/>
                <w:bCs/>
                <w:color w:val="000000"/>
                <w:sz w:val="22"/>
              </w:rPr>
            </w:pPr>
            <w:r w:rsidRPr="00F9765A">
              <w:rPr>
                <w:b/>
                <w:sz w:val="22"/>
                <w:szCs w:val="22"/>
              </w:rPr>
              <w:t>Clerical Labor (at $29.98/hour)</w:t>
            </w:r>
          </w:p>
        </w:tc>
        <w:tc>
          <w:tcPr>
            <w:tcW w:w="907" w:type="pct"/>
            <w:vMerge w:val="restart"/>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widowControl/>
              <w:adjustRightInd/>
              <w:jc w:val="center"/>
              <w:rPr>
                <w:b/>
                <w:bCs/>
                <w:color w:val="000000"/>
                <w:sz w:val="22"/>
              </w:rPr>
            </w:pPr>
            <w:r w:rsidRPr="00F9765A">
              <w:rPr>
                <w:b/>
                <w:sz w:val="22"/>
                <w:szCs w:val="22"/>
              </w:rPr>
              <w:t>Technical Labor (at $61.71/hour)</w:t>
            </w:r>
          </w:p>
        </w:tc>
        <w:tc>
          <w:tcPr>
            <w:tcW w:w="807" w:type="pct"/>
            <w:vMerge w:val="restart"/>
            <w:tcBorders>
              <w:top w:val="single" w:sz="4" w:space="0" w:color="auto"/>
              <w:left w:val="single" w:sz="4" w:space="0" w:color="auto"/>
              <w:bottom w:val="single" w:sz="4" w:space="0" w:color="000000"/>
              <w:right w:val="nil"/>
            </w:tcBorders>
            <w:vAlign w:val="center"/>
          </w:tcPr>
          <w:p w:rsidR="00B912ED" w:rsidRPr="00F9765A" w:rsidRDefault="00B912ED" w:rsidP="005C1538">
            <w:pPr>
              <w:widowControl/>
              <w:adjustRightInd/>
              <w:jc w:val="center"/>
              <w:rPr>
                <w:b/>
                <w:bCs/>
                <w:color w:val="000000"/>
                <w:sz w:val="22"/>
              </w:rPr>
            </w:pPr>
            <w:r w:rsidRPr="00F9765A">
              <w:rPr>
                <w:b/>
                <w:sz w:val="22"/>
                <w:szCs w:val="22"/>
              </w:rPr>
              <w:t>Managerial Labor (at $69.74/hour)</w:t>
            </w:r>
          </w:p>
        </w:tc>
        <w:tc>
          <w:tcPr>
            <w:tcW w:w="1019" w:type="pct"/>
            <w:vMerge w:val="restart"/>
            <w:tcBorders>
              <w:top w:val="single" w:sz="8" w:space="0" w:color="auto"/>
              <w:left w:val="single" w:sz="8" w:space="0" w:color="auto"/>
              <w:bottom w:val="single" w:sz="4" w:space="0" w:color="000000"/>
              <w:right w:val="single" w:sz="4" w:space="0" w:color="auto"/>
            </w:tcBorders>
            <w:vAlign w:val="center"/>
          </w:tcPr>
          <w:p w:rsidR="00B912ED" w:rsidRPr="00F9765A" w:rsidRDefault="00B912ED" w:rsidP="005C1538">
            <w:pPr>
              <w:widowControl/>
              <w:adjustRightInd/>
              <w:jc w:val="center"/>
              <w:rPr>
                <w:b/>
                <w:bCs/>
                <w:color w:val="000000"/>
                <w:sz w:val="22"/>
              </w:rPr>
            </w:pPr>
            <w:r w:rsidRPr="00F9765A">
              <w:rPr>
                <w:b/>
                <w:sz w:val="22"/>
                <w:szCs w:val="22"/>
              </w:rPr>
              <w:t>Total Labor Cost (2010 dollars)</w:t>
            </w:r>
          </w:p>
        </w:tc>
      </w:tr>
      <w:tr w:rsidR="00B912ED" w:rsidRPr="00017B85" w:rsidTr="005C1538">
        <w:trPr>
          <w:trHeight w:val="276"/>
        </w:trPr>
        <w:tc>
          <w:tcPr>
            <w:tcW w:w="1360" w:type="pct"/>
            <w:vMerge/>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widowControl/>
              <w:adjustRightInd/>
              <w:rPr>
                <w:b/>
                <w:bCs/>
                <w:color w:val="000000"/>
                <w:sz w:val="22"/>
              </w:rPr>
            </w:pPr>
          </w:p>
        </w:tc>
        <w:tc>
          <w:tcPr>
            <w:tcW w:w="907" w:type="pct"/>
            <w:vMerge/>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widowControl/>
              <w:adjustRightInd/>
              <w:rPr>
                <w:b/>
                <w:bCs/>
                <w:color w:val="000000"/>
                <w:sz w:val="22"/>
              </w:rPr>
            </w:pPr>
          </w:p>
        </w:tc>
        <w:tc>
          <w:tcPr>
            <w:tcW w:w="907" w:type="pct"/>
            <w:vMerge/>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widowControl/>
              <w:adjustRightInd/>
              <w:rPr>
                <w:b/>
                <w:bCs/>
                <w:color w:val="000000"/>
                <w:sz w:val="22"/>
              </w:rPr>
            </w:pPr>
          </w:p>
        </w:tc>
        <w:tc>
          <w:tcPr>
            <w:tcW w:w="807" w:type="pct"/>
            <w:vMerge/>
            <w:tcBorders>
              <w:top w:val="single" w:sz="4" w:space="0" w:color="auto"/>
              <w:left w:val="single" w:sz="4" w:space="0" w:color="auto"/>
              <w:bottom w:val="single" w:sz="4" w:space="0" w:color="000000"/>
              <w:right w:val="nil"/>
            </w:tcBorders>
            <w:vAlign w:val="center"/>
          </w:tcPr>
          <w:p w:rsidR="00B912ED" w:rsidRPr="00F9765A" w:rsidRDefault="00B912ED" w:rsidP="005C1538">
            <w:pPr>
              <w:widowControl/>
              <w:adjustRightInd/>
              <w:rPr>
                <w:b/>
                <w:bCs/>
                <w:color w:val="000000"/>
                <w:sz w:val="22"/>
              </w:rPr>
            </w:pPr>
          </w:p>
        </w:tc>
        <w:tc>
          <w:tcPr>
            <w:tcW w:w="1019" w:type="pct"/>
            <w:vMerge/>
            <w:tcBorders>
              <w:top w:val="single" w:sz="8" w:space="0" w:color="auto"/>
              <w:left w:val="single" w:sz="8" w:space="0" w:color="auto"/>
              <w:bottom w:val="single" w:sz="4" w:space="0" w:color="000000"/>
              <w:right w:val="single" w:sz="4" w:space="0" w:color="auto"/>
            </w:tcBorders>
            <w:vAlign w:val="center"/>
          </w:tcPr>
          <w:p w:rsidR="00B912ED" w:rsidRPr="00F9765A" w:rsidRDefault="00B912ED" w:rsidP="005C1538">
            <w:pPr>
              <w:widowControl/>
              <w:adjustRightInd/>
              <w:rPr>
                <w:b/>
                <w:bCs/>
                <w:color w:val="000000"/>
                <w:sz w:val="22"/>
              </w:rPr>
            </w:pPr>
          </w:p>
        </w:tc>
      </w:tr>
      <w:tr w:rsidR="00B912ED" w:rsidRPr="00EB5784" w:rsidTr="005C1538">
        <w:trPr>
          <w:trHeight w:val="276"/>
        </w:trPr>
        <w:tc>
          <w:tcPr>
            <w:tcW w:w="1360" w:type="pct"/>
            <w:tcBorders>
              <w:top w:val="nil"/>
              <w:left w:val="single" w:sz="4" w:space="0" w:color="auto"/>
              <w:bottom w:val="single" w:sz="4" w:space="0" w:color="auto"/>
              <w:right w:val="single" w:sz="4" w:space="0" w:color="auto"/>
            </w:tcBorders>
            <w:shd w:val="clear" w:color="auto" w:fill="auto"/>
            <w:vAlign w:val="bottom"/>
            <w:hideMark/>
          </w:tcPr>
          <w:p w:rsidR="00B912ED" w:rsidRPr="00F9765A" w:rsidRDefault="00B912ED" w:rsidP="005C1538">
            <w:pPr>
              <w:widowControl/>
              <w:adjustRightInd/>
              <w:rPr>
                <w:color w:val="000000"/>
                <w:sz w:val="22"/>
              </w:rPr>
            </w:pPr>
            <w:r w:rsidRPr="00F9765A">
              <w:rPr>
                <w:sz w:val="22"/>
                <w:szCs w:val="22"/>
              </w:rPr>
              <w:t>CDX registration</w:t>
            </w:r>
          </w:p>
        </w:tc>
        <w:tc>
          <w:tcPr>
            <w:tcW w:w="907" w:type="pct"/>
            <w:tcBorders>
              <w:top w:val="nil"/>
              <w:left w:val="single" w:sz="4" w:space="0" w:color="auto"/>
              <w:bottom w:val="single" w:sz="4" w:space="0" w:color="auto"/>
              <w:right w:val="single" w:sz="4" w:space="0" w:color="auto"/>
            </w:tcBorders>
            <w:shd w:val="clear" w:color="auto" w:fill="auto"/>
            <w:vAlign w:val="center"/>
            <w:hideMark/>
          </w:tcPr>
          <w:p w:rsidR="00B912ED" w:rsidRPr="00F9765A" w:rsidRDefault="00B912ED" w:rsidP="005C1538">
            <w:pPr>
              <w:widowControl/>
              <w:adjustRightInd/>
              <w:jc w:val="center"/>
              <w:rPr>
                <w:color w:val="000000"/>
                <w:sz w:val="22"/>
              </w:rPr>
            </w:pPr>
            <w:r w:rsidRPr="00F9765A">
              <w:rPr>
                <w:color w:val="000000"/>
                <w:sz w:val="22"/>
                <w:szCs w:val="22"/>
              </w:rPr>
              <w:t>$0.00</w:t>
            </w:r>
          </w:p>
        </w:tc>
        <w:tc>
          <w:tcPr>
            <w:tcW w:w="907" w:type="pct"/>
            <w:tcBorders>
              <w:top w:val="nil"/>
              <w:left w:val="single" w:sz="4" w:space="0" w:color="auto"/>
              <w:bottom w:val="single" w:sz="4" w:space="0" w:color="auto"/>
              <w:right w:val="single" w:sz="4" w:space="0" w:color="auto"/>
            </w:tcBorders>
            <w:shd w:val="clear" w:color="auto" w:fill="auto"/>
            <w:vAlign w:val="center"/>
            <w:hideMark/>
          </w:tcPr>
          <w:p w:rsidR="00B912ED" w:rsidRPr="00F9765A" w:rsidRDefault="00B912ED" w:rsidP="005C1538">
            <w:pPr>
              <w:widowControl/>
              <w:adjustRightInd/>
              <w:jc w:val="center"/>
              <w:rPr>
                <w:color w:val="000000"/>
                <w:sz w:val="22"/>
              </w:rPr>
            </w:pPr>
            <w:r w:rsidRPr="00F9765A">
              <w:rPr>
                <w:color w:val="000000"/>
                <w:sz w:val="22"/>
                <w:szCs w:val="22"/>
              </w:rPr>
              <w:t xml:space="preserve">$45.25 </w:t>
            </w:r>
          </w:p>
        </w:tc>
        <w:tc>
          <w:tcPr>
            <w:tcW w:w="807" w:type="pct"/>
            <w:tcBorders>
              <w:top w:val="nil"/>
              <w:left w:val="single" w:sz="4" w:space="0" w:color="auto"/>
              <w:bottom w:val="single" w:sz="4" w:space="0" w:color="auto"/>
              <w:right w:val="nil"/>
            </w:tcBorders>
            <w:shd w:val="clear" w:color="auto" w:fill="auto"/>
            <w:vAlign w:val="center"/>
            <w:hideMark/>
          </w:tcPr>
          <w:p w:rsidR="00B912ED" w:rsidRPr="00F9765A" w:rsidRDefault="00B912ED" w:rsidP="005C1538">
            <w:pPr>
              <w:widowControl/>
              <w:adjustRightInd/>
              <w:jc w:val="center"/>
              <w:rPr>
                <w:color w:val="000000"/>
                <w:sz w:val="22"/>
              </w:rPr>
            </w:pPr>
            <w:r w:rsidRPr="00F9765A">
              <w:rPr>
                <w:color w:val="000000"/>
                <w:sz w:val="22"/>
                <w:szCs w:val="22"/>
              </w:rPr>
              <w:t xml:space="preserve">$12.78 </w:t>
            </w:r>
          </w:p>
        </w:tc>
        <w:tc>
          <w:tcPr>
            <w:tcW w:w="1019" w:type="pct"/>
            <w:tcBorders>
              <w:top w:val="nil"/>
              <w:left w:val="single" w:sz="8" w:space="0" w:color="auto"/>
              <w:bottom w:val="single" w:sz="4" w:space="0" w:color="auto"/>
              <w:right w:val="single" w:sz="4" w:space="0" w:color="auto"/>
            </w:tcBorders>
            <w:shd w:val="clear" w:color="auto" w:fill="auto"/>
            <w:vAlign w:val="center"/>
            <w:hideMark/>
          </w:tcPr>
          <w:p w:rsidR="00B912ED" w:rsidRPr="002806B5" w:rsidRDefault="00B912ED" w:rsidP="005C1538">
            <w:pPr>
              <w:widowControl/>
              <w:adjustRightInd/>
              <w:jc w:val="center"/>
              <w:rPr>
                <w:b/>
                <w:color w:val="000000"/>
                <w:sz w:val="22"/>
              </w:rPr>
            </w:pPr>
            <w:r w:rsidRPr="002806B5">
              <w:rPr>
                <w:b/>
                <w:color w:val="000000"/>
                <w:sz w:val="22"/>
                <w:szCs w:val="22"/>
              </w:rPr>
              <w:t xml:space="preserve">$58.03 </w:t>
            </w:r>
          </w:p>
        </w:tc>
      </w:tr>
      <w:tr w:rsidR="00B912ED" w:rsidRPr="00EB5784" w:rsidTr="005C1538">
        <w:trPr>
          <w:trHeight w:val="276"/>
        </w:trPr>
        <w:tc>
          <w:tcPr>
            <w:tcW w:w="1360" w:type="pct"/>
            <w:tcBorders>
              <w:top w:val="single" w:sz="4" w:space="0" w:color="auto"/>
              <w:left w:val="single" w:sz="4" w:space="0" w:color="auto"/>
              <w:bottom w:val="single" w:sz="4" w:space="0" w:color="auto"/>
              <w:right w:val="single" w:sz="4" w:space="0" w:color="auto"/>
            </w:tcBorders>
            <w:shd w:val="clear" w:color="auto" w:fill="auto"/>
            <w:vAlign w:val="bottom"/>
          </w:tcPr>
          <w:p w:rsidR="00B912ED" w:rsidRPr="00F9765A" w:rsidRDefault="00B912ED" w:rsidP="005C1538">
            <w:pPr>
              <w:rPr>
                <w:sz w:val="22"/>
              </w:rPr>
            </w:pPr>
            <w:r w:rsidRPr="00F9765A">
              <w:rPr>
                <w:sz w:val="22"/>
                <w:szCs w:val="22"/>
              </w:rPr>
              <w:t>CDX electronic signature</w:t>
            </w:r>
          </w:p>
        </w:tc>
        <w:tc>
          <w:tcPr>
            <w:tcW w:w="907" w:type="pct"/>
            <w:tcBorders>
              <w:top w:val="single" w:sz="4" w:space="0" w:color="auto"/>
              <w:left w:val="single" w:sz="4" w:space="0" w:color="auto"/>
              <w:bottom w:val="single" w:sz="4" w:space="0" w:color="auto"/>
              <w:right w:val="single" w:sz="4" w:space="0" w:color="auto"/>
            </w:tcBorders>
            <w:shd w:val="clear" w:color="auto" w:fill="auto"/>
          </w:tcPr>
          <w:p w:rsidR="00B912ED" w:rsidRPr="00F9765A" w:rsidRDefault="00B912ED" w:rsidP="005C1538">
            <w:pPr>
              <w:jc w:val="center"/>
              <w:rPr>
                <w:color w:val="000000"/>
                <w:sz w:val="22"/>
              </w:rPr>
            </w:pPr>
            <w:r w:rsidRPr="00F9765A">
              <w:rPr>
                <w:color w:val="000000"/>
                <w:sz w:val="22"/>
                <w:szCs w:val="22"/>
              </w:rPr>
              <w:t>$0.00</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B912ED" w:rsidRPr="00F9765A" w:rsidRDefault="00B912ED" w:rsidP="005C1538">
            <w:pPr>
              <w:jc w:val="center"/>
              <w:rPr>
                <w:color w:val="000000"/>
                <w:sz w:val="22"/>
              </w:rPr>
            </w:pPr>
            <w:r w:rsidRPr="00F9765A">
              <w:rPr>
                <w:color w:val="000000"/>
                <w:sz w:val="22"/>
                <w:szCs w:val="22"/>
              </w:rPr>
              <w:t xml:space="preserve">$61.71 </w:t>
            </w:r>
          </w:p>
        </w:tc>
        <w:tc>
          <w:tcPr>
            <w:tcW w:w="807" w:type="pct"/>
            <w:tcBorders>
              <w:top w:val="single" w:sz="4" w:space="0" w:color="auto"/>
              <w:left w:val="single" w:sz="4" w:space="0" w:color="auto"/>
              <w:bottom w:val="single" w:sz="4" w:space="0" w:color="auto"/>
              <w:right w:val="nil"/>
            </w:tcBorders>
            <w:shd w:val="clear" w:color="auto" w:fill="auto"/>
            <w:vAlign w:val="center"/>
          </w:tcPr>
          <w:p w:rsidR="00B912ED" w:rsidRPr="00F9765A" w:rsidRDefault="00B912ED" w:rsidP="005C1538">
            <w:pPr>
              <w:jc w:val="center"/>
              <w:rPr>
                <w:color w:val="000000"/>
                <w:sz w:val="22"/>
              </w:rPr>
            </w:pPr>
            <w:r w:rsidRPr="00F9765A">
              <w:rPr>
                <w:color w:val="000000"/>
                <w:sz w:val="22"/>
                <w:szCs w:val="22"/>
              </w:rPr>
              <w:t xml:space="preserve">$52.30 </w:t>
            </w:r>
          </w:p>
        </w:tc>
        <w:tc>
          <w:tcPr>
            <w:tcW w:w="1019" w:type="pct"/>
            <w:tcBorders>
              <w:top w:val="single" w:sz="4" w:space="0" w:color="auto"/>
              <w:left w:val="single" w:sz="8" w:space="0" w:color="auto"/>
              <w:bottom w:val="single" w:sz="4" w:space="0" w:color="auto"/>
              <w:right w:val="single" w:sz="4" w:space="0" w:color="auto"/>
            </w:tcBorders>
            <w:shd w:val="clear" w:color="auto" w:fill="auto"/>
            <w:vAlign w:val="center"/>
          </w:tcPr>
          <w:p w:rsidR="00B912ED" w:rsidRPr="002806B5" w:rsidRDefault="00B912ED" w:rsidP="005C1538">
            <w:pPr>
              <w:jc w:val="center"/>
              <w:rPr>
                <w:b/>
                <w:color w:val="000000"/>
                <w:sz w:val="22"/>
              </w:rPr>
            </w:pPr>
            <w:r w:rsidRPr="002806B5">
              <w:rPr>
                <w:b/>
                <w:color w:val="000000"/>
                <w:sz w:val="22"/>
                <w:szCs w:val="22"/>
              </w:rPr>
              <w:t xml:space="preserve">$114.01 </w:t>
            </w:r>
          </w:p>
        </w:tc>
      </w:tr>
      <w:tr w:rsidR="00B912ED" w:rsidRPr="00EB5784" w:rsidTr="005C1538">
        <w:trPr>
          <w:trHeight w:val="126"/>
        </w:trPr>
        <w:tc>
          <w:tcPr>
            <w:tcW w:w="1360" w:type="pct"/>
            <w:tcBorders>
              <w:top w:val="single" w:sz="4" w:space="0" w:color="auto"/>
              <w:left w:val="single" w:sz="4" w:space="0" w:color="auto"/>
              <w:bottom w:val="single" w:sz="4" w:space="0" w:color="auto"/>
              <w:right w:val="single" w:sz="4" w:space="0" w:color="auto"/>
            </w:tcBorders>
            <w:vAlign w:val="bottom"/>
          </w:tcPr>
          <w:p w:rsidR="00B912ED" w:rsidRPr="00F9765A" w:rsidRDefault="00B912ED" w:rsidP="005C1538">
            <w:pPr>
              <w:rPr>
                <w:sz w:val="22"/>
              </w:rPr>
            </w:pPr>
            <w:r w:rsidRPr="00F9765A">
              <w:rPr>
                <w:sz w:val="22"/>
                <w:szCs w:val="22"/>
              </w:rPr>
              <w:t>Mailing cost</w:t>
            </w:r>
          </w:p>
        </w:tc>
        <w:tc>
          <w:tcPr>
            <w:tcW w:w="2621" w:type="pct"/>
            <w:gridSpan w:val="3"/>
            <w:tcBorders>
              <w:top w:val="single" w:sz="4" w:space="0" w:color="auto"/>
              <w:left w:val="single" w:sz="4" w:space="0" w:color="auto"/>
              <w:bottom w:val="single" w:sz="4" w:space="0" w:color="auto"/>
              <w:right w:val="single" w:sz="4" w:space="0" w:color="auto"/>
            </w:tcBorders>
          </w:tcPr>
          <w:p w:rsidR="00B912ED" w:rsidRPr="00F9765A" w:rsidRDefault="00B912ED" w:rsidP="005C1538">
            <w:pPr>
              <w:jc w:val="center"/>
              <w:rPr>
                <w:color w:val="000000"/>
                <w:sz w:val="22"/>
              </w:rPr>
            </w:pPr>
          </w:p>
        </w:tc>
        <w:tc>
          <w:tcPr>
            <w:tcW w:w="1019" w:type="pct"/>
            <w:tcBorders>
              <w:top w:val="single" w:sz="4" w:space="0" w:color="auto"/>
              <w:left w:val="single" w:sz="8" w:space="0" w:color="auto"/>
              <w:bottom w:val="single" w:sz="4" w:space="0" w:color="auto"/>
              <w:right w:val="single" w:sz="4" w:space="0" w:color="auto"/>
            </w:tcBorders>
            <w:vAlign w:val="center"/>
          </w:tcPr>
          <w:p w:rsidR="00B912ED" w:rsidRPr="002806B5" w:rsidRDefault="00B912ED" w:rsidP="005C1538">
            <w:pPr>
              <w:jc w:val="center"/>
              <w:rPr>
                <w:b/>
                <w:color w:val="000000"/>
                <w:sz w:val="22"/>
              </w:rPr>
            </w:pPr>
            <w:r w:rsidRPr="002806B5">
              <w:rPr>
                <w:b/>
                <w:color w:val="000000"/>
                <w:sz w:val="22"/>
                <w:szCs w:val="22"/>
              </w:rPr>
              <w:t>$2.30</w:t>
            </w:r>
          </w:p>
        </w:tc>
      </w:tr>
      <w:tr w:rsidR="00B912ED" w:rsidRPr="00EB5784" w:rsidTr="005C1538">
        <w:trPr>
          <w:trHeight w:val="126"/>
        </w:trPr>
        <w:tc>
          <w:tcPr>
            <w:tcW w:w="1360" w:type="pct"/>
            <w:tcBorders>
              <w:top w:val="single" w:sz="4" w:space="0" w:color="auto"/>
              <w:left w:val="single" w:sz="4" w:space="0" w:color="auto"/>
              <w:bottom w:val="single" w:sz="4" w:space="0" w:color="auto"/>
              <w:right w:val="single" w:sz="4" w:space="0" w:color="auto"/>
            </w:tcBorders>
            <w:vAlign w:val="bottom"/>
            <w:hideMark/>
          </w:tcPr>
          <w:p w:rsidR="00B912ED" w:rsidRPr="00F9765A" w:rsidRDefault="00B912ED" w:rsidP="005C1538">
            <w:pPr>
              <w:rPr>
                <w:color w:val="000000"/>
                <w:sz w:val="22"/>
              </w:rPr>
            </w:pPr>
            <w:r>
              <w:rPr>
                <w:sz w:val="22"/>
                <w:szCs w:val="22"/>
              </w:rPr>
              <w:t>E-p</w:t>
            </w:r>
            <w:r w:rsidRPr="00F9765A">
              <w:rPr>
                <w:sz w:val="22"/>
                <w:szCs w:val="22"/>
              </w:rPr>
              <w:t>ayment (Pay.gov ID)</w:t>
            </w:r>
          </w:p>
        </w:tc>
        <w:tc>
          <w:tcPr>
            <w:tcW w:w="907" w:type="pct"/>
            <w:tcBorders>
              <w:top w:val="single" w:sz="4" w:space="0" w:color="auto"/>
              <w:left w:val="single" w:sz="4" w:space="0" w:color="auto"/>
              <w:bottom w:val="single" w:sz="4" w:space="0" w:color="auto"/>
              <w:right w:val="single" w:sz="4" w:space="0" w:color="auto"/>
            </w:tcBorders>
            <w:hideMark/>
          </w:tcPr>
          <w:p w:rsidR="00B912ED" w:rsidRPr="00F9765A" w:rsidRDefault="00B912ED" w:rsidP="005C1538">
            <w:pPr>
              <w:jc w:val="center"/>
              <w:rPr>
                <w:color w:val="000000"/>
                <w:sz w:val="22"/>
              </w:rPr>
            </w:pPr>
            <w:r>
              <w:rPr>
                <w:color w:val="000000"/>
                <w:sz w:val="22"/>
                <w:szCs w:val="22"/>
              </w:rPr>
              <w:t>$</w:t>
            </w:r>
            <w:r w:rsidRPr="00F9765A">
              <w:rPr>
                <w:color w:val="000000"/>
                <w:sz w:val="22"/>
                <w:szCs w:val="22"/>
              </w:rPr>
              <w:t>0.00</w:t>
            </w:r>
          </w:p>
        </w:tc>
        <w:tc>
          <w:tcPr>
            <w:tcW w:w="907" w:type="pct"/>
            <w:tcBorders>
              <w:top w:val="single" w:sz="4" w:space="0" w:color="auto"/>
              <w:left w:val="single" w:sz="4" w:space="0" w:color="auto"/>
              <w:bottom w:val="single" w:sz="4" w:space="0" w:color="auto"/>
              <w:right w:val="single" w:sz="4" w:space="0" w:color="auto"/>
            </w:tcBorders>
            <w:vAlign w:val="center"/>
            <w:hideMark/>
          </w:tcPr>
          <w:p w:rsidR="00B912ED" w:rsidRPr="00F9765A" w:rsidRDefault="00B912ED" w:rsidP="005C1538">
            <w:pPr>
              <w:jc w:val="center"/>
              <w:rPr>
                <w:color w:val="000000"/>
                <w:sz w:val="22"/>
              </w:rPr>
            </w:pPr>
            <w:r w:rsidRPr="00F9765A">
              <w:rPr>
                <w:color w:val="000000"/>
                <w:sz w:val="22"/>
                <w:szCs w:val="22"/>
              </w:rPr>
              <w:t xml:space="preserve">$0.00 </w:t>
            </w:r>
          </w:p>
        </w:tc>
        <w:tc>
          <w:tcPr>
            <w:tcW w:w="807" w:type="pct"/>
            <w:tcBorders>
              <w:top w:val="single" w:sz="4" w:space="0" w:color="auto"/>
              <w:left w:val="single" w:sz="4" w:space="0" w:color="auto"/>
              <w:bottom w:val="single" w:sz="4" w:space="0" w:color="auto"/>
              <w:right w:val="nil"/>
            </w:tcBorders>
            <w:vAlign w:val="center"/>
            <w:hideMark/>
          </w:tcPr>
          <w:p w:rsidR="00B912ED" w:rsidRPr="00F9765A" w:rsidRDefault="00B912ED" w:rsidP="005C1538">
            <w:pPr>
              <w:jc w:val="center"/>
              <w:rPr>
                <w:color w:val="000000"/>
                <w:sz w:val="22"/>
              </w:rPr>
            </w:pPr>
            <w:r w:rsidRPr="00F9765A">
              <w:rPr>
                <w:color w:val="000000"/>
                <w:sz w:val="22"/>
                <w:szCs w:val="22"/>
              </w:rPr>
              <w:t xml:space="preserve">$9.30 </w:t>
            </w:r>
          </w:p>
        </w:tc>
        <w:tc>
          <w:tcPr>
            <w:tcW w:w="1019" w:type="pct"/>
            <w:tcBorders>
              <w:top w:val="single" w:sz="4" w:space="0" w:color="auto"/>
              <w:left w:val="single" w:sz="8" w:space="0" w:color="auto"/>
              <w:bottom w:val="single" w:sz="4" w:space="0" w:color="auto"/>
              <w:right w:val="single" w:sz="4" w:space="0" w:color="auto"/>
            </w:tcBorders>
            <w:vAlign w:val="center"/>
            <w:hideMark/>
          </w:tcPr>
          <w:p w:rsidR="00B912ED" w:rsidRPr="002806B5" w:rsidRDefault="00B912ED" w:rsidP="005C1538">
            <w:pPr>
              <w:jc w:val="center"/>
              <w:rPr>
                <w:b/>
                <w:color w:val="000000"/>
                <w:sz w:val="22"/>
              </w:rPr>
            </w:pPr>
            <w:r w:rsidRPr="002806B5">
              <w:rPr>
                <w:b/>
                <w:color w:val="000000"/>
                <w:sz w:val="22"/>
                <w:szCs w:val="22"/>
              </w:rPr>
              <w:t xml:space="preserve">$9.30 </w:t>
            </w:r>
          </w:p>
        </w:tc>
      </w:tr>
      <w:tr w:rsidR="00B912ED" w:rsidRPr="00EB5784" w:rsidTr="005C1538">
        <w:trPr>
          <w:trHeight w:val="135"/>
        </w:trPr>
        <w:tc>
          <w:tcPr>
            <w:tcW w:w="1360" w:type="pct"/>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rPr>
                <w:color w:val="000000"/>
                <w:sz w:val="22"/>
              </w:rPr>
            </w:pPr>
            <w:r w:rsidRPr="00F9765A">
              <w:rPr>
                <w:b/>
                <w:bCs/>
                <w:sz w:val="22"/>
                <w:szCs w:val="22"/>
              </w:rPr>
              <w:t>Total</w:t>
            </w:r>
          </w:p>
        </w:tc>
        <w:tc>
          <w:tcPr>
            <w:tcW w:w="907" w:type="pct"/>
            <w:tcBorders>
              <w:top w:val="single" w:sz="4" w:space="0" w:color="auto"/>
              <w:left w:val="single" w:sz="4" w:space="0" w:color="auto"/>
              <w:bottom w:val="single" w:sz="4" w:space="0" w:color="000000"/>
              <w:right w:val="single" w:sz="4" w:space="0" w:color="auto"/>
            </w:tcBorders>
          </w:tcPr>
          <w:p w:rsidR="00B912ED" w:rsidRPr="00F9765A" w:rsidRDefault="00B912ED" w:rsidP="005C1538">
            <w:pPr>
              <w:jc w:val="center"/>
              <w:rPr>
                <w:color w:val="000000"/>
                <w:sz w:val="22"/>
              </w:rPr>
            </w:pPr>
            <w:r>
              <w:rPr>
                <w:color w:val="000000"/>
                <w:sz w:val="22"/>
                <w:szCs w:val="22"/>
              </w:rPr>
              <w:t>$</w:t>
            </w:r>
            <w:r w:rsidRPr="00F9765A">
              <w:rPr>
                <w:color w:val="000000"/>
                <w:sz w:val="22"/>
                <w:szCs w:val="22"/>
              </w:rPr>
              <w:t>0.00</w:t>
            </w:r>
          </w:p>
        </w:tc>
        <w:tc>
          <w:tcPr>
            <w:tcW w:w="907" w:type="pct"/>
            <w:tcBorders>
              <w:top w:val="single" w:sz="4" w:space="0" w:color="auto"/>
              <w:left w:val="single" w:sz="4" w:space="0" w:color="auto"/>
              <w:bottom w:val="single" w:sz="4" w:space="0" w:color="000000"/>
              <w:right w:val="single" w:sz="4" w:space="0" w:color="auto"/>
            </w:tcBorders>
            <w:vAlign w:val="center"/>
          </w:tcPr>
          <w:p w:rsidR="00B912ED" w:rsidRPr="00F9765A" w:rsidRDefault="00B912ED" w:rsidP="005C1538">
            <w:pPr>
              <w:jc w:val="center"/>
              <w:rPr>
                <w:color w:val="000000"/>
                <w:sz w:val="22"/>
              </w:rPr>
            </w:pPr>
            <w:r w:rsidRPr="00F9765A">
              <w:rPr>
                <w:b/>
                <w:bCs/>
                <w:color w:val="000000"/>
                <w:sz w:val="22"/>
                <w:szCs w:val="22"/>
              </w:rPr>
              <w:t>$106.96</w:t>
            </w:r>
          </w:p>
        </w:tc>
        <w:tc>
          <w:tcPr>
            <w:tcW w:w="807" w:type="pct"/>
            <w:tcBorders>
              <w:top w:val="single" w:sz="4" w:space="0" w:color="auto"/>
              <w:left w:val="single" w:sz="4" w:space="0" w:color="auto"/>
              <w:bottom w:val="single" w:sz="4" w:space="0" w:color="000000"/>
              <w:right w:val="nil"/>
            </w:tcBorders>
            <w:vAlign w:val="center"/>
          </w:tcPr>
          <w:p w:rsidR="00B912ED" w:rsidRPr="00F9765A" w:rsidRDefault="00B912ED" w:rsidP="005C1538">
            <w:pPr>
              <w:jc w:val="center"/>
              <w:rPr>
                <w:color w:val="000000"/>
                <w:sz w:val="22"/>
              </w:rPr>
            </w:pPr>
            <w:r w:rsidRPr="00F9765A">
              <w:rPr>
                <w:b/>
                <w:bCs/>
                <w:color w:val="000000"/>
                <w:sz w:val="22"/>
                <w:szCs w:val="22"/>
              </w:rPr>
              <w:t>$74.38</w:t>
            </w:r>
          </w:p>
        </w:tc>
        <w:tc>
          <w:tcPr>
            <w:tcW w:w="1019" w:type="pct"/>
            <w:tcBorders>
              <w:top w:val="single" w:sz="4" w:space="0" w:color="auto"/>
              <w:left w:val="single" w:sz="8" w:space="0" w:color="auto"/>
              <w:bottom w:val="single" w:sz="4" w:space="0" w:color="000000"/>
              <w:right w:val="single" w:sz="4" w:space="0" w:color="auto"/>
            </w:tcBorders>
            <w:vAlign w:val="center"/>
          </w:tcPr>
          <w:p w:rsidR="00B912ED" w:rsidRPr="00F9765A" w:rsidRDefault="00B912ED" w:rsidP="005C1538">
            <w:pPr>
              <w:jc w:val="center"/>
              <w:rPr>
                <w:color w:val="000000"/>
                <w:sz w:val="22"/>
              </w:rPr>
            </w:pPr>
            <w:r w:rsidRPr="00F9765A">
              <w:rPr>
                <w:b/>
                <w:bCs/>
                <w:color w:val="000000"/>
                <w:sz w:val="22"/>
                <w:szCs w:val="22"/>
              </w:rPr>
              <w:t>$183.64</w:t>
            </w:r>
          </w:p>
        </w:tc>
      </w:tr>
    </w:tbl>
    <w:p w:rsidR="00B912ED" w:rsidRDefault="00B912ED" w:rsidP="00B912ED"/>
    <w:p w:rsidR="00B912ED" w:rsidRDefault="00B912ED" w:rsidP="00B912ED">
      <w:pPr>
        <w:keepNext/>
        <w:ind w:firstLine="720"/>
      </w:pPr>
      <w:r>
        <w:rPr>
          <w:u w:val="single"/>
        </w:rPr>
        <w:lastRenderedPageBreak/>
        <w:t>Costs for Submitting a SNUN</w:t>
      </w:r>
    </w:p>
    <w:p w:rsidR="00B912ED" w:rsidRDefault="00B912ED" w:rsidP="00B912ED">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Using these labor wage rates and midpoint burden estimates presented above, EPA estimates that the labor cost associated with filing a SNUN is $</w:t>
      </w:r>
      <w:r w:rsidRPr="00CA5E21">
        <w:t>5,802</w:t>
      </w:r>
      <w:r>
        <w:t>. In addition, SNUN filers must pay a $2,500 user fee to EPA. Thus, the total cost of filing a SNUN is approximately $</w:t>
      </w:r>
      <w:r w:rsidRPr="000E2A99">
        <w:rPr>
          <w:color w:val="000000"/>
        </w:rPr>
        <w:t>8,302</w:t>
      </w:r>
      <w:r>
        <w:t xml:space="preserve">. </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912ED" w:rsidRDefault="00B912ED" w:rsidP="00B912ED">
      <w:pPr>
        <w:tabs>
          <w:tab w:val="center" w:pos="4680"/>
          <w:tab w:val="left" w:pos="5040"/>
          <w:tab w:val="left" w:pos="5760"/>
          <w:tab w:val="left" w:pos="6480"/>
          <w:tab w:val="left" w:pos="7200"/>
          <w:tab w:val="left" w:pos="7920"/>
          <w:tab w:val="left" w:pos="8640"/>
          <w:tab w:val="left" w:pos="9360"/>
        </w:tabs>
      </w:pPr>
      <w:r>
        <w:rPr>
          <w:b/>
          <w:bCs/>
        </w:rPr>
        <w:t xml:space="preserve">Table 9: Unit Reporting Cost Estimates, Associated with Filing a SNUN by Labor Category </w:t>
      </w:r>
    </w:p>
    <w:tbl>
      <w:tblPr>
        <w:tblW w:w="4944" w:type="pct"/>
        <w:tblInd w:w="108" w:type="dxa"/>
        <w:tblLook w:val="04A0"/>
      </w:tblPr>
      <w:tblGrid>
        <w:gridCol w:w="2769"/>
        <w:gridCol w:w="1847"/>
        <w:gridCol w:w="1847"/>
        <w:gridCol w:w="1643"/>
        <w:gridCol w:w="2075"/>
      </w:tblGrid>
      <w:tr w:rsidR="00B912ED" w:rsidRPr="00F9765A" w:rsidTr="005C1538">
        <w:trPr>
          <w:trHeight w:val="276"/>
        </w:trPr>
        <w:tc>
          <w:tcPr>
            <w:tcW w:w="1360" w:type="pct"/>
            <w:vMerge w:val="restart"/>
            <w:tcBorders>
              <w:top w:val="single" w:sz="4" w:space="0" w:color="auto"/>
              <w:left w:val="single" w:sz="4" w:space="0" w:color="auto"/>
              <w:bottom w:val="single" w:sz="4" w:space="0" w:color="000000"/>
              <w:right w:val="single" w:sz="4" w:space="0" w:color="auto"/>
            </w:tcBorders>
            <w:vAlign w:val="center"/>
          </w:tcPr>
          <w:p w:rsidR="00B912ED" w:rsidRPr="00A30419" w:rsidRDefault="00B912ED" w:rsidP="005C1538">
            <w:pPr>
              <w:widowControl/>
              <w:adjustRightInd/>
              <w:rPr>
                <w:b/>
                <w:bCs/>
                <w:color w:val="000000"/>
                <w:sz w:val="22"/>
              </w:rPr>
            </w:pPr>
            <w:r w:rsidRPr="00A30419">
              <w:rPr>
                <w:b/>
                <w:bCs/>
                <w:color w:val="000000"/>
                <w:sz w:val="22"/>
                <w:szCs w:val="22"/>
              </w:rPr>
              <w:t>Activity</w:t>
            </w:r>
          </w:p>
        </w:tc>
        <w:tc>
          <w:tcPr>
            <w:tcW w:w="907" w:type="pct"/>
            <w:vMerge w:val="restart"/>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widowControl/>
              <w:adjustRightInd/>
              <w:jc w:val="center"/>
              <w:rPr>
                <w:b/>
                <w:bCs/>
                <w:color w:val="000000"/>
                <w:sz w:val="22"/>
              </w:rPr>
            </w:pPr>
            <w:r w:rsidRPr="00CD3FB6">
              <w:rPr>
                <w:b/>
                <w:sz w:val="22"/>
                <w:szCs w:val="22"/>
              </w:rPr>
              <w:t>Clerical Labor (at $29.98/hour)</w:t>
            </w:r>
          </w:p>
        </w:tc>
        <w:tc>
          <w:tcPr>
            <w:tcW w:w="907" w:type="pct"/>
            <w:vMerge w:val="restart"/>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widowControl/>
              <w:adjustRightInd/>
              <w:jc w:val="center"/>
              <w:rPr>
                <w:b/>
                <w:bCs/>
                <w:color w:val="000000"/>
                <w:sz w:val="22"/>
              </w:rPr>
            </w:pPr>
            <w:r w:rsidRPr="006B3DCD">
              <w:rPr>
                <w:b/>
                <w:sz w:val="22"/>
                <w:szCs w:val="22"/>
              </w:rPr>
              <w:t>Technical Labor (at $61.71/hour)</w:t>
            </w:r>
          </w:p>
        </w:tc>
        <w:tc>
          <w:tcPr>
            <w:tcW w:w="807" w:type="pct"/>
            <w:vMerge w:val="restart"/>
            <w:tcBorders>
              <w:top w:val="single" w:sz="4" w:space="0" w:color="auto"/>
              <w:left w:val="single" w:sz="4" w:space="0" w:color="auto"/>
              <w:bottom w:val="single" w:sz="4" w:space="0" w:color="000000"/>
              <w:right w:val="nil"/>
            </w:tcBorders>
            <w:vAlign w:val="center"/>
          </w:tcPr>
          <w:p w:rsidR="00B912ED" w:rsidRPr="006B3DCD" w:rsidRDefault="00B912ED" w:rsidP="005C1538">
            <w:pPr>
              <w:widowControl/>
              <w:adjustRightInd/>
              <w:jc w:val="center"/>
              <w:rPr>
                <w:b/>
                <w:bCs/>
                <w:color w:val="000000"/>
                <w:sz w:val="22"/>
              </w:rPr>
            </w:pPr>
            <w:r w:rsidRPr="006B3DCD">
              <w:rPr>
                <w:b/>
                <w:sz w:val="22"/>
                <w:szCs w:val="22"/>
              </w:rPr>
              <w:t>Managerial Labor (at $69.74/hour)</w:t>
            </w:r>
          </w:p>
        </w:tc>
        <w:tc>
          <w:tcPr>
            <w:tcW w:w="1019" w:type="pct"/>
            <w:vMerge w:val="restart"/>
            <w:tcBorders>
              <w:top w:val="single" w:sz="8" w:space="0" w:color="auto"/>
              <w:left w:val="single" w:sz="8" w:space="0" w:color="auto"/>
              <w:bottom w:val="single" w:sz="4" w:space="0" w:color="000000"/>
              <w:right w:val="single" w:sz="4" w:space="0" w:color="auto"/>
            </w:tcBorders>
            <w:vAlign w:val="center"/>
          </w:tcPr>
          <w:p w:rsidR="00B912ED" w:rsidRPr="006B3DCD" w:rsidRDefault="00B912ED" w:rsidP="005C1538">
            <w:pPr>
              <w:widowControl/>
              <w:adjustRightInd/>
              <w:jc w:val="center"/>
              <w:rPr>
                <w:b/>
                <w:bCs/>
                <w:color w:val="000000"/>
                <w:sz w:val="22"/>
              </w:rPr>
            </w:pPr>
            <w:r w:rsidRPr="006B3DCD">
              <w:rPr>
                <w:b/>
                <w:sz w:val="22"/>
                <w:szCs w:val="22"/>
              </w:rPr>
              <w:t>Total Labor Cost (2010 dollars)</w:t>
            </w:r>
          </w:p>
        </w:tc>
      </w:tr>
      <w:tr w:rsidR="00B912ED" w:rsidRPr="00F9765A" w:rsidTr="005C1538">
        <w:trPr>
          <w:trHeight w:val="276"/>
        </w:trPr>
        <w:tc>
          <w:tcPr>
            <w:tcW w:w="1360" w:type="pct"/>
            <w:vMerge/>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widowControl/>
              <w:adjustRightInd/>
              <w:rPr>
                <w:b/>
                <w:bCs/>
                <w:color w:val="000000"/>
                <w:sz w:val="22"/>
              </w:rPr>
            </w:pPr>
          </w:p>
        </w:tc>
        <w:tc>
          <w:tcPr>
            <w:tcW w:w="907" w:type="pct"/>
            <w:vMerge/>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widowControl/>
              <w:adjustRightInd/>
              <w:rPr>
                <w:b/>
                <w:bCs/>
                <w:color w:val="000000"/>
                <w:sz w:val="22"/>
              </w:rPr>
            </w:pPr>
          </w:p>
        </w:tc>
        <w:tc>
          <w:tcPr>
            <w:tcW w:w="907" w:type="pct"/>
            <w:vMerge/>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widowControl/>
              <w:adjustRightInd/>
              <w:rPr>
                <w:b/>
                <w:bCs/>
                <w:color w:val="000000"/>
                <w:sz w:val="22"/>
              </w:rPr>
            </w:pPr>
          </w:p>
        </w:tc>
        <w:tc>
          <w:tcPr>
            <w:tcW w:w="807" w:type="pct"/>
            <w:vMerge/>
            <w:tcBorders>
              <w:top w:val="single" w:sz="4" w:space="0" w:color="auto"/>
              <w:left w:val="single" w:sz="4" w:space="0" w:color="auto"/>
              <w:bottom w:val="single" w:sz="4" w:space="0" w:color="000000"/>
              <w:right w:val="nil"/>
            </w:tcBorders>
            <w:vAlign w:val="center"/>
          </w:tcPr>
          <w:p w:rsidR="00B912ED" w:rsidRPr="006B3DCD" w:rsidRDefault="00B912ED" w:rsidP="005C1538">
            <w:pPr>
              <w:widowControl/>
              <w:adjustRightInd/>
              <w:rPr>
                <w:b/>
                <w:bCs/>
                <w:color w:val="000000"/>
                <w:sz w:val="22"/>
              </w:rPr>
            </w:pPr>
          </w:p>
        </w:tc>
        <w:tc>
          <w:tcPr>
            <w:tcW w:w="1019" w:type="pct"/>
            <w:vMerge/>
            <w:tcBorders>
              <w:top w:val="single" w:sz="8" w:space="0" w:color="auto"/>
              <w:left w:val="single" w:sz="8" w:space="0" w:color="auto"/>
              <w:bottom w:val="single" w:sz="4" w:space="0" w:color="000000"/>
              <w:right w:val="single" w:sz="4" w:space="0" w:color="auto"/>
            </w:tcBorders>
            <w:vAlign w:val="center"/>
          </w:tcPr>
          <w:p w:rsidR="00B912ED" w:rsidRPr="006B3DCD" w:rsidRDefault="00B912ED" w:rsidP="005C1538">
            <w:pPr>
              <w:widowControl/>
              <w:adjustRightInd/>
              <w:rPr>
                <w:b/>
                <w:bCs/>
                <w:color w:val="000000"/>
                <w:sz w:val="22"/>
              </w:rPr>
            </w:pPr>
          </w:p>
        </w:tc>
      </w:tr>
      <w:tr w:rsidR="00B912ED" w:rsidRPr="00F9765A" w:rsidTr="005C1538">
        <w:trPr>
          <w:trHeight w:val="276"/>
        </w:trPr>
        <w:tc>
          <w:tcPr>
            <w:tcW w:w="1360" w:type="pct"/>
            <w:tcBorders>
              <w:top w:val="nil"/>
              <w:left w:val="single" w:sz="4" w:space="0" w:color="auto"/>
              <w:bottom w:val="single" w:sz="4" w:space="0" w:color="auto"/>
              <w:right w:val="single" w:sz="4" w:space="0" w:color="auto"/>
            </w:tcBorders>
            <w:shd w:val="clear" w:color="auto" w:fill="auto"/>
            <w:vAlign w:val="bottom"/>
            <w:hideMark/>
          </w:tcPr>
          <w:p w:rsidR="00B912ED" w:rsidRPr="00A30419" w:rsidRDefault="00B912ED" w:rsidP="005C1538">
            <w:pPr>
              <w:widowControl/>
              <w:adjustRightInd/>
              <w:rPr>
                <w:color w:val="000000"/>
                <w:sz w:val="22"/>
              </w:rPr>
            </w:pPr>
            <w:r>
              <w:rPr>
                <w:sz w:val="22"/>
                <w:szCs w:val="22"/>
              </w:rPr>
              <w:t>SNUN preparation</w:t>
            </w:r>
          </w:p>
        </w:tc>
        <w:tc>
          <w:tcPr>
            <w:tcW w:w="907" w:type="pct"/>
            <w:tcBorders>
              <w:top w:val="nil"/>
              <w:left w:val="single" w:sz="4" w:space="0" w:color="auto"/>
              <w:bottom w:val="single" w:sz="4" w:space="0" w:color="auto"/>
              <w:right w:val="single" w:sz="4" w:space="0" w:color="auto"/>
            </w:tcBorders>
            <w:shd w:val="clear" w:color="auto" w:fill="auto"/>
            <w:vAlign w:val="center"/>
            <w:hideMark/>
          </w:tcPr>
          <w:p w:rsidR="00B912ED" w:rsidRPr="00A30419" w:rsidRDefault="00B912ED" w:rsidP="005C1538">
            <w:pPr>
              <w:widowControl/>
              <w:adjustRightInd/>
              <w:jc w:val="center"/>
              <w:rPr>
                <w:color w:val="000000"/>
                <w:sz w:val="22"/>
              </w:rPr>
            </w:pPr>
            <w:r w:rsidRPr="006B3DCD">
              <w:rPr>
                <w:sz w:val="22"/>
                <w:szCs w:val="22"/>
              </w:rPr>
              <w:t>$0.00</w:t>
            </w:r>
          </w:p>
        </w:tc>
        <w:tc>
          <w:tcPr>
            <w:tcW w:w="907" w:type="pct"/>
            <w:tcBorders>
              <w:top w:val="nil"/>
              <w:left w:val="single" w:sz="4" w:space="0" w:color="auto"/>
              <w:bottom w:val="single" w:sz="4" w:space="0" w:color="auto"/>
              <w:right w:val="single" w:sz="4" w:space="0" w:color="auto"/>
            </w:tcBorders>
            <w:shd w:val="clear" w:color="auto" w:fill="auto"/>
            <w:vAlign w:val="center"/>
            <w:hideMark/>
          </w:tcPr>
          <w:p w:rsidR="00B912ED" w:rsidRPr="00A30419" w:rsidRDefault="00B912ED" w:rsidP="005C1538">
            <w:pPr>
              <w:widowControl/>
              <w:adjustRightInd/>
              <w:jc w:val="center"/>
              <w:rPr>
                <w:color w:val="000000"/>
                <w:sz w:val="22"/>
              </w:rPr>
            </w:pPr>
            <w:r w:rsidRPr="006B3DCD">
              <w:rPr>
                <w:sz w:val="22"/>
                <w:szCs w:val="22"/>
              </w:rPr>
              <w:t>$4,546.79</w:t>
            </w:r>
          </w:p>
        </w:tc>
        <w:tc>
          <w:tcPr>
            <w:tcW w:w="807" w:type="pct"/>
            <w:tcBorders>
              <w:top w:val="nil"/>
              <w:left w:val="single" w:sz="4" w:space="0" w:color="auto"/>
              <w:bottom w:val="single" w:sz="4" w:space="0" w:color="auto"/>
              <w:right w:val="nil"/>
            </w:tcBorders>
            <w:shd w:val="clear" w:color="auto" w:fill="auto"/>
            <w:vAlign w:val="center"/>
            <w:hideMark/>
          </w:tcPr>
          <w:p w:rsidR="00B912ED" w:rsidRPr="00A30419" w:rsidRDefault="00B912ED" w:rsidP="005C1538">
            <w:pPr>
              <w:widowControl/>
              <w:adjustRightInd/>
              <w:jc w:val="center"/>
              <w:rPr>
                <w:color w:val="000000"/>
                <w:sz w:val="22"/>
              </w:rPr>
            </w:pPr>
            <w:r w:rsidRPr="006B3DCD">
              <w:rPr>
                <w:sz w:val="22"/>
                <w:szCs w:val="22"/>
              </w:rPr>
              <w:t>$1,255.32</w:t>
            </w:r>
          </w:p>
        </w:tc>
        <w:tc>
          <w:tcPr>
            <w:tcW w:w="1019" w:type="pct"/>
            <w:tcBorders>
              <w:top w:val="nil"/>
              <w:left w:val="single" w:sz="8" w:space="0" w:color="auto"/>
              <w:bottom w:val="single" w:sz="4" w:space="0" w:color="auto"/>
              <w:right w:val="single" w:sz="4" w:space="0" w:color="auto"/>
            </w:tcBorders>
            <w:shd w:val="clear" w:color="auto" w:fill="auto"/>
            <w:vAlign w:val="center"/>
            <w:hideMark/>
          </w:tcPr>
          <w:p w:rsidR="00B912ED" w:rsidRPr="002806B5" w:rsidRDefault="00B912ED" w:rsidP="005C1538">
            <w:pPr>
              <w:widowControl/>
              <w:adjustRightInd/>
              <w:jc w:val="center"/>
              <w:rPr>
                <w:b/>
                <w:color w:val="000000"/>
                <w:sz w:val="22"/>
              </w:rPr>
            </w:pPr>
            <w:r w:rsidRPr="002806B5">
              <w:rPr>
                <w:b/>
                <w:bCs/>
                <w:sz w:val="22"/>
                <w:szCs w:val="22"/>
              </w:rPr>
              <w:t>$5,802</w:t>
            </w:r>
          </w:p>
        </w:tc>
      </w:tr>
      <w:tr w:rsidR="00B912ED" w:rsidRPr="00F9765A" w:rsidTr="005C1538">
        <w:trPr>
          <w:trHeight w:val="126"/>
        </w:trPr>
        <w:tc>
          <w:tcPr>
            <w:tcW w:w="1360" w:type="pct"/>
            <w:tcBorders>
              <w:top w:val="single" w:sz="4" w:space="0" w:color="auto"/>
              <w:left w:val="single" w:sz="4" w:space="0" w:color="auto"/>
              <w:bottom w:val="single" w:sz="4" w:space="0" w:color="auto"/>
              <w:right w:val="single" w:sz="4" w:space="0" w:color="auto"/>
            </w:tcBorders>
            <w:vAlign w:val="bottom"/>
          </w:tcPr>
          <w:p w:rsidR="00B912ED" w:rsidRPr="00A30419" w:rsidRDefault="00B912ED" w:rsidP="005C1538">
            <w:pPr>
              <w:rPr>
                <w:sz w:val="22"/>
              </w:rPr>
            </w:pPr>
            <w:r w:rsidRPr="00A30419">
              <w:rPr>
                <w:sz w:val="22"/>
                <w:szCs w:val="22"/>
              </w:rPr>
              <w:t xml:space="preserve">User </w:t>
            </w:r>
            <w:r>
              <w:rPr>
                <w:sz w:val="22"/>
                <w:szCs w:val="22"/>
              </w:rPr>
              <w:t>f</w:t>
            </w:r>
            <w:r w:rsidRPr="00A30419">
              <w:rPr>
                <w:sz w:val="22"/>
                <w:szCs w:val="22"/>
              </w:rPr>
              <w:t>ee</w:t>
            </w:r>
          </w:p>
        </w:tc>
        <w:tc>
          <w:tcPr>
            <w:tcW w:w="2621" w:type="pct"/>
            <w:gridSpan w:val="3"/>
            <w:tcBorders>
              <w:top w:val="single" w:sz="4" w:space="0" w:color="auto"/>
              <w:left w:val="single" w:sz="4" w:space="0" w:color="auto"/>
              <w:bottom w:val="single" w:sz="4" w:space="0" w:color="auto"/>
              <w:right w:val="single" w:sz="4" w:space="0" w:color="auto"/>
            </w:tcBorders>
          </w:tcPr>
          <w:p w:rsidR="00B912ED" w:rsidRPr="00CD3FB6" w:rsidRDefault="00B912ED" w:rsidP="005C1538">
            <w:pPr>
              <w:jc w:val="center"/>
              <w:rPr>
                <w:color w:val="000000"/>
                <w:sz w:val="22"/>
              </w:rPr>
            </w:pPr>
          </w:p>
        </w:tc>
        <w:tc>
          <w:tcPr>
            <w:tcW w:w="1019" w:type="pct"/>
            <w:tcBorders>
              <w:top w:val="single" w:sz="4" w:space="0" w:color="auto"/>
              <w:left w:val="single" w:sz="8" w:space="0" w:color="auto"/>
              <w:bottom w:val="single" w:sz="4" w:space="0" w:color="auto"/>
              <w:right w:val="single" w:sz="4" w:space="0" w:color="auto"/>
            </w:tcBorders>
            <w:vAlign w:val="center"/>
          </w:tcPr>
          <w:p w:rsidR="00B912ED" w:rsidRPr="002806B5" w:rsidRDefault="00B912ED" w:rsidP="005C1538">
            <w:pPr>
              <w:jc w:val="center"/>
              <w:rPr>
                <w:b/>
                <w:color w:val="000000"/>
                <w:sz w:val="22"/>
              </w:rPr>
            </w:pPr>
            <w:r w:rsidRPr="002806B5">
              <w:rPr>
                <w:b/>
                <w:color w:val="000000"/>
                <w:sz w:val="22"/>
                <w:szCs w:val="22"/>
              </w:rPr>
              <w:t>$2,500</w:t>
            </w:r>
          </w:p>
        </w:tc>
      </w:tr>
      <w:tr w:rsidR="00B912ED" w:rsidRPr="00F9765A" w:rsidTr="005C1538">
        <w:trPr>
          <w:trHeight w:val="170"/>
        </w:trPr>
        <w:tc>
          <w:tcPr>
            <w:tcW w:w="1360" w:type="pct"/>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rPr>
                <w:b/>
                <w:color w:val="000000"/>
                <w:sz w:val="22"/>
              </w:rPr>
            </w:pPr>
            <w:r w:rsidRPr="00A30419">
              <w:rPr>
                <w:b/>
                <w:bCs/>
                <w:sz w:val="22"/>
                <w:szCs w:val="22"/>
              </w:rPr>
              <w:t>Total</w:t>
            </w:r>
          </w:p>
        </w:tc>
        <w:tc>
          <w:tcPr>
            <w:tcW w:w="907" w:type="pct"/>
            <w:tcBorders>
              <w:top w:val="single" w:sz="4" w:space="0" w:color="auto"/>
              <w:left w:val="single" w:sz="4" w:space="0" w:color="auto"/>
              <w:bottom w:val="single" w:sz="4" w:space="0" w:color="000000"/>
              <w:right w:val="single" w:sz="4" w:space="0" w:color="auto"/>
            </w:tcBorders>
          </w:tcPr>
          <w:p w:rsidR="00B912ED" w:rsidRPr="006B3DCD" w:rsidRDefault="00B912ED" w:rsidP="005C1538">
            <w:pPr>
              <w:jc w:val="center"/>
              <w:rPr>
                <w:b/>
                <w:color w:val="000000"/>
                <w:sz w:val="22"/>
              </w:rPr>
            </w:pPr>
            <w:r w:rsidRPr="006B3DCD">
              <w:rPr>
                <w:b/>
                <w:color w:val="000000"/>
                <w:sz w:val="22"/>
                <w:szCs w:val="22"/>
              </w:rPr>
              <w:t>$0.00</w:t>
            </w:r>
          </w:p>
        </w:tc>
        <w:tc>
          <w:tcPr>
            <w:tcW w:w="907" w:type="pct"/>
            <w:tcBorders>
              <w:top w:val="single" w:sz="4" w:space="0" w:color="auto"/>
              <w:left w:val="single" w:sz="4" w:space="0" w:color="auto"/>
              <w:bottom w:val="single" w:sz="4" w:space="0" w:color="000000"/>
              <w:right w:val="single" w:sz="4" w:space="0" w:color="auto"/>
            </w:tcBorders>
            <w:vAlign w:val="center"/>
          </w:tcPr>
          <w:p w:rsidR="00B912ED" w:rsidRPr="006B3DCD" w:rsidRDefault="00B912ED" w:rsidP="005C1538">
            <w:pPr>
              <w:jc w:val="center"/>
              <w:rPr>
                <w:b/>
                <w:color w:val="000000"/>
                <w:sz w:val="22"/>
              </w:rPr>
            </w:pPr>
            <w:r w:rsidRPr="006B3DCD">
              <w:rPr>
                <w:b/>
                <w:sz w:val="22"/>
                <w:szCs w:val="22"/>
              </w:rPr>
              <w:t>$4,546.79</w:t>
            </w:r>
          </w:p>
        </w:tc>
        <w:tc>
          <w:tcPr>
            <w:tcW w:w="807" w:type="pct"/>
            <w:tcBorders>
              <w:top w:val="single" w:sz="4" w:space="0" w:color="auto"/>
              <w:left w:val="single" w:sz="4" w:space="0" w:color="auto"/>
              <w:bottom w:val="single" w:sz="4" w:space="0" w:color="000000"/>
              <w:right w:val="nil"/>
            </w:tcBorders>
            <w:vAlign w:val="center"/>
          </w:tcPr>
          <w:p w:rsidR="00B912ED" w:rsidRPr="006B3DCD" w:rsidRDefault="00B912ED" w:rsidP="005C1538">
            <w:pPr>
              <w:jc w:val="center"/>
              <w:rPr>
                <w:b/>
                <w:color w:val="000000"/>
                <w:sz w:val="22"/>
              </w:rPr>
            </w:pPr>
            <w:r w:rsidRPr="006B3DCD">
              <w:rPr>
                <w:b/>
                <w:sz w:val="22"/>
                <w:szCs w:val="22"/>
              </w:rPr>
              <w:t>$1,255.32</w:t>
            </w:r>
          </w:p>
        </w:tc>
        <w:tc>
          <w:tcPr>
            <w:tcW w:w="1019" w:type="pct"/>
            <w:tcBorders>
              <w:top w:val="single" w:sz="4" w:space="0" w:color="auto"/>
              <w:left w:val="single" w:sz="8" w:space="0" w:color="auto"/>
              <w:bottom w:val="single" w:sz="4" w:space="0" w:color="000000"/>
              <w:right w:val="single" w:sz="4" w:space="0" w:color="auto"/>
            </w:tcBorders>
            <w:vAlign w:val="center"/>
          </w:tcPr>
          <w:p w:rsidR="00B912ED" w:rsidRPr="006B3DCD" w:rsidRDefault="00B912ED" w:rsidP="005C1538">
            <w:pPr>
              <w:jc w:val="center"/>
              <w:rPr>
                <w:b/>
                <w:color w:val="000000"/>
                <w:sz w:val="22"/>
              </w:rPr>
            </w:pPr>
            <w:r w:rsidRPr="006B3DCD">
              <w:rPr>
                <w:b/>
                <w:sz w:val="22"/>
                <w:szCs w:val="22"/>
              </w:rPr>
              <w:t>$</w:t>
            </w:r>
            <w:r w:rsidRPr="006B3DCD">
              <w:rPr>
                <w:b/>
                <w:color w:val="000000"/>
                <w:sz w:val="22"/>
                <w:szCs w:val="22"/>
              </w:rPr>
              <w:t>8,302</w:t>
            </w:r>
          </w:p>
        </w:tc>
      </w:tr>
    </w:tbl>
    <w:p w:rsidR="00B912ED" w:rsidRPr="0025736B"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Pr="00BF29B2"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6A118B">
        <w:rPr>
          <w:u w:val="single"/>
        </w:rPr>
        <w:t>Alternative Responses</w:t>
      </w:r>
    </w:p>
    <w:p w:rsidR="00B912ED" w:rsidRPr="0025736B" w:rsidRDefault="00B912ED" w:rsidP="00B912ED">
      <w:pPr>
        <w:tabs>
          <w:tab w:val="left" w:pos="-720"/>
          <w:tab w:val="left" w:pos="0"/>
          <w:tab w:val="left" w:pos="2880"/>
        </w:tabs>
      </w:pPr>
      <w:r w:rsidRPr="0025736B">
        <w:tab/>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As noted in section 4, five alternative responses to any particular SNUR could be chosen by firms planning to engage in significant new uses of subject chemicals. Although EPA has not projected or quantified how frequently these alternatives might be selected, the unit costs associated with each option are discussed briefly below.</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estimated burden of requesting an equivalency determination (the second option) or review for modification/revocation (the fourth option) was judged to be similar to filing the SNUN; thus, total costs including the EPA user fee were estimated to be </w:t>
      </w:r>
      <w:r w:rsidRPr="00657A2C">
        <w:t>$8,302</w:t>
      </w:r>
      <w:r>
        <w:t>. However, the firm may incur additional costs in developing the data necessary to justify the alternative.  This option will be preferable to compliance with the SNUR if the total cost of obtaining EPA approval of a request is less than the costs of SNUR compliance.</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5472EA" w:rsidRPr="005472EA" w:rsidRDefault="00B912ED" w:rsidP="005472EA">
      <w:pPr>
        <w:ind w:firstLine="720"/>
      </w:pPr>
      <w:r>
        <w:t xml:space="preserve">Firms choosing to </w:t>
      </w:r>
      <w:r w:rsidRPr="00F73CD4">
        <w:t>comply with a SNUR</w:t>
      </w:r>
      <w:r>
        <w:t xml:space="preserve"> (the third option)</w:t>
      </w:r>
      <w:proofErr w:type="gramStart"/>
      <w:r w:rsidRPr="00F73CD4">
        <w:t>,</w:t>
      </w:r>
      <w:proofErr w:type="gramEnd"/>
      <w:r w:rsidRPr="00F73CD4">
        <w:t xml:space="preserve"> </w:t>
      </w:r>
      <w:r>
        <w:t xml:space="preserve">will </w:t>
      </w:r>
      <w:r w:rsidRPr="00F73CD4">
        <w:t xml:space="preserve">incur costs to ensure all provisions of the SNUR were implemented at the subject facility </w:t>
      </w:r>
      <w:r>
        <w:t>and to implement recordkeeping. The costs of implementing provisions at a facility were not quantified for this ICR. Recordkeeping is expected to range from 0.01 hours to 0.76 hours for each significant new use. All recordkeeping activities are expected to be conducted by clerical staff, therefore recordkeeping costs range from $0.36 to $22.10 per significant new use. The total recordkeeping burden per firm will depend on the signific</w:t>
      </w:r>
      <w:r w:rsidR="005472EA">
        <w:t>ant new use(s) identified.</w:t>
      </w:r>
    </w:p>
    <w:p w:rsidR="005472EA" w:rsidRDefault="005472EA" w:rsidP="005472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Pr="00BF29B2" w:rsidRDefault="00B912ED" w:rsidP="005472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6A118B">
        <w:rPr>
          <w:u w:val="single"/>
        </w:rPr>
        <w:t>Customer Notification</w:t>
      </w:r>
    </w:p>
    <w:p w:rsidR="00B912ED" w:rsidRDefault="00B912ED" w:rsidP="005472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5472EA">
      <w:pPr>
        <w:ind w:firstLine="720"/>
      </w:pPr>
      <w:r>
        <w:t>EPA assumes that the customer notification requirement will be handled by technical labor. Section 5 of this analysis assumed that one hour of labor per chemical would be required to perform the notification, thus the unit cost of notification is estimated to be $</w:t>
      </w:r>
      <w:r w:rsidRPr="007357FF">
        <w:t>61.71</w:t>
      </w:r>
      <w:r>
        <w:t xml:space="preserve"> (i.e., the hourly wage for technical labor). EPA estimates that each SNUR will cover approximately 7 chemicals. Furthermore, EPA assumes that there are two manufacturers, processors, or importers per chemical</w:t>
      </w:r>
      <w:r w:rsidRPr="000F0CBA">
        <w:rPr>
          <w:rStyle w:val="FootnoteReference"/>
          <w:vertAlign w:val="superscript"/>
        </w:rPr>
        <w:footnoteReference w:id="5"/>
      </w:r>
      <w:r>
        <w:t xml:space="preserve">. Therefore, the burden per SNUR is estimated to be 14 hours per SNUR ([7 chemicals per SNUR]*[1 hour per manufacturer, processor, or importer]*[2 manufacturers, processors, or importers per chemical]), and the cost per SNUR is equal to </w:t>
      </w:r>
      <w:r w:rsidRPr="007357FF">
        <w:t>$</w:t>
      </w:r>
      <w:r>
        <w:t>863.90 [($</w:t>
      </w:r>
      <w:r w:rsidRPr="007357FF">
        <w:t>61.71</w:t>
      </w:r>
      <w:r>
        <w:t>per hour)*(14 hours per SNUR)].</w:t>
      </w:r>
    </w:p>
    <w:p w:rsidR="00B912ED" w:rsidRDefault="00B912ED" w:rsidP="00B912ED">
      <w:pPr>
        <w:tabs>
          <w:tab w:val="center" w:pos="4680"/>
          <w:tab w:val="left" w:pos="5040"/>
          <w:tab w:val="left" w:pos="5760"/>
          <w:tab w:val="left" w:pos="6480"/>
          <w:tab w:val="left" w:pos="7200"/>
          <w:tab w:val="left" w:pos="7920"/>
          <w:tab w:val="left" w:pos="8640"/>
          <w:tab w:val="left" w:pos="9360"/>
        </w:tabs>
        <w:rPr>
          <w:b/>
          <w:bCs/>
        </w:rPr>
      </w:pPr>
    </w:p>
    <w:p w:rsidR="00B912ED" w:rsidRPr="00BF29B2" w:rsidRDefault="00B912ED" w:rsidP="00B912ED">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6A118B">
        <w:rPr>
          <w:u w:val="single"/>
        </w:rPr>
        <w:t>Summary</w:t>
      </w:r>
    </w:p>
    <w:p w:rsidR="00B912ED" w:rsidRDefault="00B912ED" w:rsidP="00B912ED">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Table 10 summarizes the unit costs estimated in this section. Reviewing a SNUR to verify that a chemical is included is estimated to cost $419.63 per SNUR and notifying customers is $863.90 per SNUR. The cost of completing and submitting a SNUN is approximately $8,302.11. EPA estimates the costs associated with rule familiarization to be $50.92 per company, and CDX registration activities to be $183.64 per company.</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912ED" w:rsidRDefault="00B912ED" w:rsidP="005472EA">
      <w:pPr>
        <w:keepNext/>
        <w:tabs>
          <w:tab w:val="center" w:pos="4680"/>
          <w:tab w:val="left" w:pos="5040"/>
          <w:tab w:val="left" w:pos="5760"/>
          <w:tab w:val="left" w:pos="6480"/>
          <w:tab w:val="left" w:pos="7200"/>
          <w:tab w:val="left" w:pos="7920"/>
          <w:tab w:val="left" w:pos="8640"/>
          <w:tab w:val="left" w:pos="9360"/>
        </w:tabs>
        <w:ind w:firstLine="1350"/>
      </w:pPr>
      <w:r>
        <w:rPr>
          <w:b/>
          <w:bCs/>
        </w:rPr>
        <w:t>Table 10: Summary of Unit Costs</w:t>
      </w:r>
    </w:p>
    <w:tbl>
      <w:tblPr>
        <w:tblW w:w="7380" w:type="dxa"/>
        <w:jc w:val="center"/>
        <w:tblInd w:w="18" w:type="dxa"/>
        <w:tblLook w:val="04A0"/>
      </w:tblPr>
      <w:tblGrid>
        <w:gridCol w:w="4590"/>
        <w:gridCol w:w="2790"/>
      </w:tblGrid>
      <w:tr w:rsidR="00B912ED" w:rsidRPr="000E2A99" w:rsidTr="005C1538">
        <w:trPr>
          <w:trHeight w:hRule="exact" w:val="288"/>
          <w:jc w:val="center"/>
        </w:trPr>
        <w:tc>
          <w:tcPr>
            <w:tcW w:w="4590" w:type="dxa"/>
            <w:tcBorders>
              <w:top w:val="single" w:sz="8" w:space="0" w:color="auto"/>
              <w:left w:val="single" w:sz="8" w:space="0" w:color="auto"/>
              <w:bottom w:val="single" w:sz="8" w:space="0" w:color="000000"/>
              <w:right w:val="single" w:sz="8" w:space="0" w:color="auto"/>
            </w:tcBorders>
            <w:vAlign w:val="center"/>
            <w:hideMark/>
          </w:tcPr>
          <w:p w:rsidR="00B912ED" w:rsidRPr="00581B7E" w:rsidRDefault="00B912ED" w:rsidP="005C1538">
            <w:pPr>
              <w:keepNext/>
              <w:widowControl/>
              <w:adjustRightInd/>
              <w:rPr>
                <w:b/>
                <w:bCs/>
                <w:color w:val="000000"/>
                <w:sz w:val="22"/>
              </w:rPr>
            </w:pPr>
            <w:r w:rsidRPr="00581B7E">
              <w:rPr>
                <w:b/>
                <w:bCs/>
                <w:color w:val="000000"/>
                <w:sz w:val="22"/>
                <w:szCs w:val="22"/>
              </w:rPr>
              <w:t>Collection Activity</w:t>
            </w:r>
          </w:p>
        </w:tc>
        <w:tc>
          <w:tcPr>
            <w:tcW w:w="2790" w:type="dxa"/>
            <w:tcBorders>
              <w:top w:val="single" w:sz="8" w:space="0" w:color="auto"/>
              <w:left w:val="single" w:sz="8" w:space="0" w:color="auto"/>
              <w:bottom w:val="single" w:sz="8" w:space="0" w:color="000000"/>
              <w:right w:val="single" w:sz="8" w:space="0" w:color="auto"/>
            </w:tcBorders>
            <w:vAlign w:val="center"/>
            <w:hideMark/>
          </w:tcPr>
          <w:p w:rsidR="00B912ED" w:rsidRPr="00581B7E" w:rsidRDefault="00B912ED" w:rsidP="005C1538">
            <w:pPr>
              <w:keepNext/>
              <w:widowControl/>
              <w:adjustRightInd/>
              <w:rPr>
                <w:b/>
                <w:bCs/>
                <w:color w:val="000000"/>
                <w:sz w:val="22"/>
              </w:rPr>
            </w:pPr>
            <w:r w:rsidRPr="00581B7E">
              <w:rPr>
                <w:b/>
                <w:bCs/>
                <w:color w:val="000000"/>
                <w:sz w:val="22"/>
                <w:szCs w:val="22"/>
              </w:rPr>
              <w:t>Estimated Cost</w:t>
            </w:r>
          </w:p>
        </w:tc>
      </w:tr>
      <w:tr w:rsidR="00B912ED" w:rsidRPr="000E2A99" w:rsidTr="005C1538">
        <w:trPr>
          <w:trHeight w:hRule="exact" w:val="288"/>
          <w:jc w:val="center"/>
        </w:trPr>
        <w:tc>
          <w:tcPr>
            <w:tcW w:w="4590" w:type="dxa"/>
            <w:vMerge w:val="restart"/>
            <w:tcBorders>
              <w:top w:val="nil"/>
              <w:left w:val="single" w:sz="8" w:space="0" w:color="auto"/>
              <w:bottom w:val="single" w:sz="8" w:space="0" w:color="000000"/>
              <w:right w:val="single" w:sz="8" w:space="0" w:color="auto"/>
            </w:tcBorders>
            <w:shd w:val="clear" w:color="auto" w:fill="auto"/>
            <w:vAlign w:val="center"/>
            <w:hideMark/>
          </w:tcPr>
          <w:p w:rsidR="00B912ED" w:rsidRPr="00AB34AC" w:rsidRDefault="00B912ED" w:rsidP="005C1538">
            <w:pPr>
              <w:keepNext/>
              <w:widowControl/>
              <w:adjustRightInd/>
            </w:pPr>
            <w:r w:rsidRPr="00AB34AC">
              <w:t>Chemical verification (per SNUR)</w:t>
            </w:r>
          </w:p>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rsidR="00B912ED" w:rsidRPr="00AB34AC" w:rsidRDefault="00B912ED" w:rsidP="005C1538">
            <w:pPr>
              <w:keepNext/>
              <w:widowControl/>
              <w:adjustRightInd/>
            </w:pPr>
            <w:r>
              <w:t xml:space="preserve">     </w:t>
            </w:r>
            <w:r w:rsidRPr="00AB34AC">
              <w:t>$72.14</w:t>
            </w:r>
          </w:p>
        </w:tc>
      </w:tr>
      <w:tr w:rsidR="00B912ED" w:rsidRPr="000E2A99" w:rsidTr="005C1538">
        <w:trPr>
          <w:trHeight w:hRule="exact" w:val="100"/>
          <w:jc w:val="center"/>
        </w:trPr>
        <w:tc>
          <w:tcPr>
            <w:tcW w:w="4590" w:type="dxa"/>
            <w:vMerge/>
            <w:tcBorders>
              <w:top w:val="nil"/>
              <w:left w:val="single" w:sz="8" w:space="0" w:color="auto"/>
              <w:bottom w:val="single" w:sz="8" w:space="0" w:color="000000"/>
              <w:right w:val="single" w:sz="8" w:space="0" w:color="auto"/>
            </w:tcBorders>
            <w:vAlign w:val="center"/>
            <w:hideMark/>
          </w:tcPr>
          <w:p w:rsidR="00B912ED" w:rsidRPr="00AB34AC" w:rsidRDefault="00B912ED" w:rsidP="005C1538">
            <w:pPr>
              <w:keepNext/>
              <w:widowControl/>
              <w:adjustRightInd/>
            </w:pPr>
          </w:p>
        </w:tc>
        <w:tc>
          <w:tcPr>
            <w:tcW w:w="2790" w:type="dxa"/>
            <w:vMerge/>
            <w:tcBorders>
              <w:top w:val="nil"/>
              <w:left w:val="single" w:sz="8" w:space="0" w:color="auto"/>
              <w:bottom w:val="single" w:sz="8" w:space="0" w:color="000000"/>
              <w:right w:val="single" w:sz="8" w:space="0" w:color="auto"/>
            </w:tcBorders>
            <w:vAlign w:val="center"/>
            <w:hideMark/>
          </w:tcPr>
          <w:p w:rsidR="00B912ED" w:rsidRPr="00AB34AC" w:rsidRDefault="00B912ED" w:rsidP="005C1538">
            <w:pPr>
              <w:keepNext/>
              <w:widowControl/>
              <w:adjustRightInd/>
            </w:pPr>
          </w:p>
        </w:tc>
      </w:tr>
      <w:tr w:rsidR="00B912ED" w:rsidRPr="000E2A99" w:rsidTr="005C1538">
        <w:trPr>
          <w:trHeight w:hRule="exact" w:val="288"/>
          <w:jc w:val="center"/>
        </w:trPr>
        <w:tc>
          <w:tcPr>
            <w:tcW w:w="4590" w:type="dxa"/>
            <w:tcBorders>
              <w:top w:val="nil"/>
              <w:left w:val="single" w:sz="8" w:space="0" w:color="auto"/>
              <w:bottom w:val="single" w:sz="8" w:space="0" w:color="000000"/>
              <w:right w:val="single" w:sz="8" w:space="0" w:color="auto"/>
            </w:tcBorders>
            <w:shd w:val="clear" w:color="auto" w:fill="auto"/>
            <w:vAlign w:val="center"/>
          </w:tcPr>
          <w:p w:rsidR="00B912ED" w:rsidRPr="00AB34AC" w:rsidRDefault="00B912ED" w:rsidP="005C1538">
            <w:pPr>
              <w:keepNext/>
              <w:widowControl/>
              <w:adjustRightInd/>
            </w:pPr>
            <w:r w:rsidRPr="00AB34AC">
              <w:t>Rule familiarization (per company)</w:t>
            </w:r>
          </w:p>
        </w:tc>
        <w:tc>
          <w:tcPr>
            <w:tcW w:w="2790" w:type="dxa"/>
            <w:tcBorders>
              <w:top w:val="nil"/>
              <w:left w:val="single" w:sz="8" w:space="0" w:color="auto"/>
              <w:bottom w:val="single" w:sz="8" w:space="0" w:color="000000"/>
              <w:right w:val="single" w:sz="8" w:space="0" w:color="auto"/>
            </w:tcBorders>
            <w:shd w:val="clear" w:color="000000" w:fill="FFFFFF"/>
            <w:noWrap/>
            <w:vAlign w:val="center"/>
          </w:tcPr>
          <w:p w:rsidR="00B912ED" w:rsidRPr="00AB34AC" w:rsidRDefault="00B912ED" w:rsidP="005C1538">
            <w:pPr>
              <w:keepNext/>
              <w:widowControl/>
              <w:adjustRightInd/>
            </w:pPr>
            <w:r>
              <w:t xml:space="preserve">     </w:t>
            </w:r>
            <w:r w:rsidRPr="00AB34AC">
              <w:t>$52.54</w:t>
            </w:r>
          </w:p>
        </w:tc>
      </w:tr>
      <w:tr w:rsidR="00B912ED" w:rsidRPr="000E2A99" w:rsidTr="005C1538">
        <w:trPr>
          <w:trHeight w:hRule="exact" w:val="560"/>
          <w:jc w:val="center"/>
        </w:trPr>
        <w:tc>
          <w:tcPr>
            <w:tcW w:w="4590" w:type="dxa"/>
            <w:tcBorders>
              <w:top w:val="nil"/>
              <w:left w:val="single" w:sz="8" w:space="0" w:color="auto"/>
              <w:bottom w:val="single" w:sz="8" w:space="0" w:color="000000"/>
              <w:right w:val="single" w:sz="8" w:space="0" w:color="auto"/>
            </w:tcBorders>
            <w:shd w:val="clear" w:color="auto" w:fill="auto"/>
            <w:vAlign w:val="center"/>
          </w:tcPr>
          <w:p w:rsidR="00B912ED" w:rsidRPr="00AB34AC" w:rsidRDefault="00B912ED" w:rsidP="005C1538">
            <w:pPr>
              <w:keepNext/>
              <w:widowControl/>
              <w:adjustRightInd/>
            </w:pPr>
            <w:r w:rsidRPr="00AB34AC">
              <w:t>CDX registration, electronic signature, and Pay.gov account set</w:t>
            </w:r>
            <w:r>
              <w:t>-</w:t>
            </w:r>
            <w:r w:rsidRPr="00AB34AC">
              <w:t xml:space="preserve">up (per company) </w:t>
            </w:r>
          </w:p>
        </w:tc>
        <w:tc>
          <w:tcPr>
            <w:tcW w:w="2790" w:type="dxa"/>
            <w:tcBorders>
              <w:top w:val="nil"/>
              <w:left w:val="single" w:sz="8" w:space="0" w:color="auto"/>
              <w:bottom w:val="single" w:sz="8" w:space="0" w:color="000000"/>
              <w:right w:val="single" w:sz="8" w:space="0" w:color="auto"/>
            </w:tcBorders>
            <w:shd w:val="clear" w:color="000000" w:fill="FFFFFF"/>
            <w:noWrap/>
            <w:vAlign w:val="center"/>
          </w:tcPr>
          <w:p w:rsidR="00B912ED" w:rsidRPr="00AB34AC" w:rsidRDefault="00B912ED" w:rsidP="005C1538">
            <w:pPr>
              <w:keepNext/>
              <w:widowControl/>
              <w:adjustRightInd/>
            </w:pPr>
            <w:r>
              <w:rPr>
                <w:bCs/>
              </w:rPr>
              <w:t xml:space="preserve">   </w:t>
            </w:r>
            <w:r w:rsidRPr="00AB34AC">
              <w:rPr>
                <w:bCs/>
              </w:rPr>
              <w:t>$183.64</w:t>
            </w:r>
          </w:p>
        </w:tc>
      </w:tr>
      <w:tr w:rsidR="00B912ED" w:rsidRPr="000E2A99" w:rsidTr="005C1538">
        <w:trPr>
          <w:trHeight w:hRule="exact" w:val="288"/>
          <w:jc w:val="center"/>
        </w:trPr>
        <w:tc>
          <w:tcPr>
            <w:tcW w:w="4590" w:type="dxa"/>
            <w:tcBorders>
              <w:top w:val="nil"/>
              <w:left w:val="single" w:sz="8" w:space="0" w:color="auto"/>
              <w:bottom w:val="single" w:sz="4" w:space="0" w:color="auto"/>
              <w:right w:val="single" w:sz="8" w:space="0" w:color="auto"/>
            </w:tcBorders>
            <w:shd w:val="clear" w:color="auto" w:fill="auto"/>
            <w:vAlign w:val="center"/>
            <w:hideMark/>
          </w:tcPr>
          <w:p w:rsidR="00B912ED" w:rsidRPr="00AB34AC" w:rsidRDefault="00B912ED" w:rsidP="005C1538">
            <w:pPr>
              <w:keepNext/>
              <w:widowControl/>
              <w:adjustRightInd/>
            </w:pPr>
            <w:r w:rsidRPr="00AB34AC">
              <w:t>SNUN preparation</w:t>
            </w:r>
            <w:r>
              <w:t>*</w:t>
            </w:r>
            <w:r w:rsidRPr="00AB34AC">
              <w:t xml:space="preserve"> </w:t>
            </w:r>
          </w:p>
        </w:tc>
        <w:tc>
          <w:tcPr>
            <w:tcW w:w="2790" w:type="dxa"/>
            <w:tcBorders>
              <w:top w:val="nil"/>
              <w:left w:val="single" w:sz="8" w:space="0" w:color="auto"/>
              <w:bottom w:val="single" w:sz="4" w:space="0" w:color="auto"/>
              <w:right w:val="single" w:sz="8" w:space="0" w:color="auto"/>
            </w:tcBorders>
            <w:shd w:val="clear" w:color="000000" w:fill="FFFFFF"/>
            <w:noWrap/>
            <w:vAlign w:val="center"/>
            <w:hideMark/>
          </w:tcPr>
          <w:p w:rsidR="00B912ED" w:rsidRPr="00AB34AC" w:rsidRDefault="00B912ED" w:rsidP="005C1538">
            <w:pPr>
              <w:keepNext/>
              <w:widowControl/>
              <w:adjustRightInd/>
            </w:pPr>
            <w:r w:rsidRPr="00AB34AC">
              <w:t xml:space="preserve">$8,302.11 </w:t>
            </w:r>
          </w:p>
        </w:tc>
      </w:tr>
      <w:tr w:rsidR="00B912ED" w:rsidRPr="000E2A99" w:rsidTr="005C1538">
        <w:trPr>
          <w:trHeight w:hRule="exact" w:val="288"/>
          <w:jc w:val="center"/>
        </w:trPr>
        <w:tc>
          <w:tcPr>
            <w:tcW w:w="459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B912ED" w:rsidRPr="00AB34AC" w:rsidRDefault="00B912ED" w:rsidP="005C1538">
            <w:pPr>
              <w:keepNext/>
            </w:pPr>
            <w:r>
              <w:rPr>
                <w:color w:val="000000"/>
                <w:sz w:val="22"/>
                <w:szCs w:val="22"/>
              </w:rPr>
              <w:t>Notifying c</w:t>
            </w:r>
            <w:r w:rsidRPr="006B3DCD">
              <w:rPr>
                <w:color w:val="000000"/>
                <w:sz w:val="22"/>
                <w:szCs w:val="22"/>
              </w:rPr>
              <w:t>ustomers (</w:t>
            </w:r>
            <w:r>
              <w:rPr>
                <w:color w:val="000000"/>
                <w:sz w:val="22"/>
                <w:szCs w:val="22"/>
              </w:rPr>
              <w:t>p</w:t>
            </w:r>
            <w:r w:rsidRPr="006B3DCD">
              <w:rPr>
                <w:color w:val="000000"/>
                <w:sz w:val="22"/>
                <w:szCs w:val="22"/>
              </w:rPr>
              <w:t>er SNUR)</w:t>
            </w:r>
          </w:p>
        </w:tc>
        <w:tc>
          <w:tcPr>
            <w:tcW w:w="2790"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tcPr>
          <w:p w:rsidR="00B912ED" w:rsidRPr="00AB34AC" w:rsidRDefault="00B912ED" w:rsidP="005C1538">
            <w:pPr>
              <w:keepNext/>
            </w:pPr>
            <w:r>
              <w:t xml:space="preserve">   </w:t>
            </w:r>
            <w:r w:rsidRPr="007357FF">
              <w:t>$</w:t>
            </w:r>
            <w:r>
              <w:t>863.90</w:t>
            </w:r>
          </w:p>
        </w:tc>
      </w:tr>
      <w:tr w:rsidR="00B912ED" w:rsidRPr="000E2A99" w:rsidTr="005C1538">
        <w:trPr>
          <w:trHeight w:hRule="exact" w:val="100"/>
          <w:jc w:val="center"/>
        </w:trPr>
        <w:tc>
          <w:tcPr>
            <w:tcW w:w="4590" w:type="dxa"/>
            <w:vMerge/>
            <w:tcBorders>
              <w:top w:val="nil"/>
              <w:left w:val="single" w:sz="8" w:space="0" w:color="auto"/>
              <w:bottom w:val="single" w:sz="8" w:space="0" w:color="000000"/>
              <w:right w:val="single" w:sz="8" w:space="0" w:color="auto"/>
            </w:tcBorders>
            <w:vAlign w:val="center"/>
            <w:hideMark/>
          </w:tcPr>
          <w:p w:rsidR="00B912ED" w:rsidRPr="00AB34AC" w:rsidRDefault="00B912ED" w:rsidP="005C1538">
            <w:pPr>
              <w:widowControl/>
              <w:adjustRightInd/>
            </w:pPr>
          </w:p>
        </w:tc>
        <w:tc>
          <w:tcPr>
            <w:tcW w:w="2790" w:type="dxa"/>
            <w:vMerge/>
            <w:tcBorders>
              <w:top w:val="nil"/>
              <w:left w:val="single" w:sz="8" w:space="0" w:color="auto"/>
              <w:bottom w:val="single" w:sz="8" w:space="0" w:color="000000"/>
              <w:right w:val="single" w:sz="8" w:space="0" w:color="auto"/>
            </w:tcBorders>
            <w:vAlign w:val="center"/>
            <w:hideMark/>
          </w:tcPr>
          <w:p w:rsidR="00B912ED" w:rsidRPr="00AB34AC" w:rsidRDefault="00B912ED" w:rsidP="005C1538">
            <w:pPr>
              <w:widowControl/>
              <w:adjustRightInd/>
            </w:pPr>
          </w:p>
        </w:tc>
      </w:tr>
    </w:tbl>
    <w:p w:rsidR="00B912ED" w:rsidRPr="00F753E1"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r w:rsidRPr="00F753E1">
        <w:rPr>
          <w:sz w:val="22"/>
          <w:szCs w:val="22"/>
        </w:rPr>
        <w:t>* Includes $2,500 user fee per SNUN.</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Total Burden and Costs to Industry</w:t>
      </w:r>
      <w:r>
        <w:t xml:space="preserve"> </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This section provides estimates of the total burden and costs imposed by the TSCA section 5(a) requirements. These estimates can be divided into five categories: chemical verification, rule familiarization, submitting SNUNs, CDX registration activities, and notifying customers.</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total cost and burden imposed on industry by TSCA section 5(a</w:t>
      </w:r>
      <w:proofErr w:type="gramStart"/>
      <w:r>
        <w:t>)(</w:t>
      </w:r>
      <w:proofErr w:type="gramEnd"/>
      <w:r>
        <w:t>2) requirements can be calculated by multiplying the unit burden and cost estimates by the expected number of SNURs, SNUNs, and firms. As noted above, this analysis assumes that EPA will promulgate five SNURs and receive seven SNUNs per year.</w:t>
      </w:r>
      <w:r w:rsidRPr="0044021A">
        <w:t xml:space="preserve"> </w:t>
      </w:r>
      <w:r>
        <w:t xml:space="preserve">Table 11 presents the annual burden and cost to the industry. EPA estimates the total annual industry burden of existing chemical SNUR action is 736 hours and $63,799. </w:t>
      </w:r>
    </w:p>
    <w:p w:rsidR="00B912ED" w:rsidRPr="002806B5"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B912ED" w:rsidRPr="002806B5" w:rsidRDefault="00B912ED" w:rsidP="00B912ED">
      <w:pPr>
        <w:keepNext/>
        <w:keepLines/>
        <w:outlineLvl w:val="0"/>
        <w:rPr>
          <w:b/>
        </w:rPr>
      </w:pPr>
      <w:r w:rsidRPr="002806B5">
        <w:rPr>
          <w:b/>
        </w:rPr>
        <w:lastRenderedPageBreak/>
        <w:t>Table 1</w:t>
      </w:r>
      <w:r>
        <w:rPr>
          <w:b/>
        </w:rPr>
        <w:t>1</w:t>
      </w:r>
      <w:r w:rsidRPr="002806B5">
        <w:rPr>
          <w:b/>
        </w:rPr>
        <w:t>: Estimated Annual Respondent Burden and Cost</w:t>
      </w:r>
    </w:p>
    <w:tbl>
      <w:tblPr>
        <w:tblW w:w="4944" w:type="pct"/>
        <w:jc w:val="center"/>
        <w:tblInd w:w="108" w:type="dxa"/>
        <w:tblLook w:val="04A0"/>
      </w:tblPr>
      <w:tblGrid>
        <w:gridCol w:w="2451"/>
        <w:gridCol w:w="1412"/>
        <w:gridCol w:w="1332"/>
        <w:gridCol w:w="1653"/>
        <w:gridCol w:w="1486"/>
        <w:gridCol w:w="1847"/>
      </w:tblGrid>
      <w:tr w:rsidR="00B912ED" w:rsidRPr="0044021A" w:rsidTr="005C1538">
        <w:trPr>
          <w:trHeight w:val="1150"/>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Pr>
                <w:b/>
                <w:bCs/>
                <w:sz w:val="22"/>
                <w:szCs w:val="22"/>
              </w:rPr>
              <w:t xml:space="preserve">Information Collection </w:t>
            </w:r>
            <w:r w:rsidRPr="0044021A">
              <w:rPr>
                <w:b/>
                <w:bCs/>
                <w:sz w:val="22"/>
                <w:szCs w:val="22"/>
              </w:rPr>
              <w:t>Activity</w:t>
            </w:r>
          </w:p>
        </w:tc>
        <w:tc>
          <w:tcPr>
            <w:tcW w:w="693"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Burden per Activity (hours)</w:t>
            </w:r>
          </w:p>
        </w:tc>
        <w:tc>
          <w:tcPr>
            <w:tcW w:w="654"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Cost per Activity</w:t>
            </w:r>
          </w:p>
          <w:p w:rsidR="00B912ED" w:rsidRPr="0044021A" w:rsidRDefault="00B912ED" w:rsidP="005C1538">
            <w:pPr>
              <w:keepNext/>
              <w:keepLines/>
              <w:jc w:val="center"/>
              <w:rPr>
                <w:b/>
                <w:bCs/>
                <w:sz w:val="22"/>
              </w:rPr>
            </w:pPr>
            <w:r w:rsidRPr="0044021A">
              <w:rPr>
                <w:b/>
                <w:bCs/>
                <w:sz w:val="22"/>
                <w:szCs w:val="22"/>
              </w:rPr>
              <w:t>(2010$)</w:t>
            </w:r>
          </w:p>
        </w:tc>
        <w:tc>
          <w:tcPr>
            <w:tcW w:w="812" w:type="pct"/>
            <w:tcBorders>
              <w:top w:val="single" w:sz="4" w:space="0" w:color="auto"/>
              <w:left w:val="single" w:sz="4" w:space="0" w:color="auto"/>
              <w:bottom w:val="single" w:sz="4" w:space="0" w:color="auto"/>
              <w:right w:val="single" w:sz="4" w:space="0" w:color="auto"/>
            </w:tcBorders>
            <w:vAlign w:val="center"/>
          </w:tcPr>
          <w:p w:rsidR="00B912ED" w:rsidRPr="0044021A" w:rsidRDefault="00B912ED" w:rsidP="005C1538">
            <w:pPr>
              <w:keepNext/>
              <w:keepLines/>
              <w:jc w:val="center"/>
              <w:rPr>
                <w:b/>
                <w:bCs/>
                <w:sz w:val="22"/>
              </w:rPr>
            </w:pPr>
            <w:r w:rsidRPr="0044021A">
              <w:rPr>
                <w:b/>
                <w:bCs/>
                <w:sz w:val="22"/>
                <w:szCs w:val="22"/>
              </w:rPr>
              <w:t>Total Number of Units</w:t>
            </w:r>
            <w:r>
              <w:rPr>
                <w:b/>
                <w:bCs/>
                <w:sz w:val="22"/>
                <w:szCs w:val="22"/>
              </w:rPr>
              <w:t xml:space="preserve"> Annually</w:t>
            </w:r>
          </w:p>
        </w:tc>
        <w:tc>
          <w:tcPr>
            <w:tcW w:w="730"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 xml:space="preserve">Total </w:t>
            </w:r>
            <w:r>
              <w:rPr>
                <w:b/>
                <w:bCs/>
                <w:sz w:val="22"/>
                <w:szCs w:val="22"/>
              </w:rPr>
              <w:t xml:space="preserve">Annual </w:t>
            </w:r>
            <w:r w:rsidRPr="0044021A">
              <w:rPr>
                <w:b/>
                <w:bCs/>
                <w:sz w:val="22"/>
                <w:szCs w:val="22"/>
              </w:rPr>
              <w:t>Burden (hours)</w:t>
            </w:r>
          </w:p>
        </w:tc>
        <w:tc>
          <w:tcPr>
            <w:tcW w:w="907"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87717">
              <w:rPr>
                <w:b/>
                <w:bCs/>
                <w:sz w:val="22"/>
                <w:szCs w:val="22"/>
              </w:rPr>
              <w:t xml:space="preserve">Total </w:t>
            </w:r>
            <w:r>
              <w:rPr>
                <w:b/>
                <w:bCs/>
                <w:sz w:val="22"/>
                <w:szCs w:val="22"/>
              </w:rPr>
              <w:t xml:space="preserve">Annual Cost </w:t>
            </w:r>
            <w:r w:rsidRPr="0044021A">
              <w:rPr>
                <w:b/>
                <w:bCs/>
                <w:sz w:val="22"/>
                <w:szCs w:val="22"/>
              </w:rPr>
              <w:t>(2010$)</w:t>
            </w:r>
          </w:p>
        </w:tc>
      </w:tr>
      <w:tr w:rsidR="00B912ED" w:rsidRPr="0044021A" w:rsidTr="005C1538">
        <w:trPr>
          <w:trHeight w:val="476"/>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sidRPr="0044021A">
              <w:rPr>
                <w:sz w:val="22"/>
                <w:szCs w:val="22"/>
              </w:rPr>
              <w:t xml:space="preserve">Rule </w:t>
            </w:r>
            <w:r>
              <w:rPr>
                <w:sz w:val="22"/>
                <w:szCs w:val="22"/>
              </w:rPr>
              <w:t>f</w:t>
            </w:r>
            <w:r w:rsidRPr="0044021A">
              <w:rPr>
                <w:sz w:val="22"/>
                <w:szCs w:val="22"/>
              </w:rPr>
              <w:t xml:space="preserve">amiliarization (per </w:t>
            </w:r>
            <w:r>
              <w:rPr>
                <w:sz w:val="22"/>
                <w:szCs w:val="22"/>
              </w:rPr>
              <w:t>f</w:t>
            </w:r>
            <w:r w:rsidRPr="0044021A">
              <w:rPr>
                <w:sz w:val="22"/>
                <w:szCs w:val="22"/>
              </w:rPr>
              <w:t>irm)</w:t>
            </w:r>
          </w:p>
        </w:tc>
        <w:tc>
          <w:tcPr>
            <w:tcW w:w="693"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0.83</w:t>
            </w:r>
          </w:p>
        </w:tc>
        <w:tc>
          <w:tcPr>
            <w:tcW w:w="654"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bCs/>
                <w:color w:val="000000"/>
                <w:sz w:val="22"/>
                <w:szCs w:val="22"/>
              </w:rPr>
              <w:t>$53</w:t>
            </w:r>
          </w:p>
        </w:tc>
        <w:tc>
          <w:tcPr>
            <w:tcW w:w="812" w:type="pct"/>
            <w:tcBorders>
              <w:top w:val="single" w:sz="4" w:space="0" w:color="auto"/>
              <w:left w:val="nil"/>
              <w:bottom w:val="single" w:sz="4" w:space="0" w:color="auto"/>
              <w:right w:val="single" w:sz="4" w:space="0" w:color="auto"/>
            </w:tcBorders>
            <w:vAlign w:val="center"/>
          </w:tcPr>
          <w:p w:rsidR="00B912ED" w:rsidRPr="0044021A" w:rsidRDefault="00C6669B" w:rsidP="005C1538">
            <w:pPr>
              <w:keepNext/>
              <w:keepLines/>
              <w:jc w:val="center"/>
              <w:rPr>
                <w:sz w:val="22"/>
              </w:rPr>
            </w:pPr>
            <w:r>
              <w:rPr>
                <w:color w:val="000000"/>
                <w:sz w:val="22"/>
                <w:szCs w:val="22"/>
              </w:rPr>
              <w:t>4.24 f</w:t>
            </w:r>
            <w:r w:rsidR="00B912ED" w:rsidRPr="0044021A">
              <w:rPr>
                <w:color w:val="000000"/>
                <w:sz w:val="22"/>
                <w:szCs w:val="22"/>
              </w:rPr>
              <w:t>irms</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B912ED" w:rsidRPr="00155FC0" w:rsidRDefault="00B912ED" w:rsidP="005C1538">
            <w:pPr>
              <w:keepNext/>
              <w:keepLines/>
              <w:jc w:val="center"/>
              <w:rPr>
                <w:b/>
                <w:sz w:val="22"/>
              </w:rPr>
            </w:pPr>
            <w:r w:rsidRPr="00155FC0">
              <w:rPr>
                <w:b/>
                <w:color w:val="000000"/>
                <w:sz w:val="22"/>
                <w:szCs w:val="22"/>
              </w:rPr>
              <w:t>3.52</w:t>
            </w:r>
          </w:p>
        </w:tc>
        <w:tc>
          <w:tcPr>
            <w:tcW w:w="907" w:type="pct"/>
            <w:tcBorders>
              <w:top w:val="single" w:sz="4" w:space="0" w:color="auto"/>
              <w:left w:val="single" w:sz="4" w:space="0" w:color="auto"/>
              <w:bottom w:val="single" w:sz="4" w:space="0" w:color="auto"/>
              <w:right w:val="single" w:sz="4" w:space="0" w:color="auto"/>
            </w:tcBorders>
            <w:vAlign w:val="center"/>
            <w:hideMark/>
          </w:tcPr>
          <w:p w:rsidR="00B912ED" w:rsidRPr="00B47520" w:rsidRDefault="00B912ED" w:rsidP="005C1538">
            <w:pPr>
              <w:keepNext/>
              <w:keepLines/>
              <w:jc w:val="center"/>
              <w:rPr>
                <w:b/>
                <w:sz w:val="22"/>
              </w:rPr>
            </w:pPr>
            <w:r w:rsidRPr="00155FC0">
              <w:rPr>
                <w:b/>
                <w:color w:val="000000"/>
                <w:sz w:val="22"/>
                <w:szCs w:val="22"/>
              </w:rPr>
              <w:t>$225</w:t>
            </w:r>
          </w:p>
        </w:tc>
      </w:tr>
      <w:tr w:rsidR="00B912ED" w:rsidRPr="0044021A" w:rsidTr="005C1538">
        <w:trPr>
          <w:trHeight w:val="476"/>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sidRPr="0044021A">
              <w:rPr>
                <w:sz w:val="22"/>
                <w:szCs w:val="22"/>
              </w:rPr>
              <w:t xml:space="preserve">Preparation, </w:t>
            </w:r>
            <w:r>
              <w:rPr>
                <w:sz w:val="22"/>
                <w:szCs w:val="22"/>
              </w:rPr>
              <w:t>s</w:t>
            </w:r>
            <w:r w:rsidRPr="0044021A">
              <w:rPr>
                <w:sz w:val="22"/>
                <w:szCs w:val="22"/>
              </w:rPr>
              <w:t xml:space="preserve">ubmission, and </w:t>
            </w:r>
            <w:r>
              <w:rPr>
                <w:sz w:val="22"/>
                <w:szCs w:val="22"/>
              </w:rPr>
              <w:t>r</w:t>
            </w:r>
            <w:r w:rsidRPr="0044021A">
              <w:rPr>
                <w:sz w:val="22"/>
                <w:szCs w:val="22"/>
              </w:rPr>
              <w:t xml:space="preserve">ecordkeeping for SNUN (per </w:t>
            </w:r>
            <w:r>
              <w:rPr>
                <w:sz w:val="22"/>
                <w:szCs w:val="22"/>
              </w:rPr>
              <w:t>r</w:t>
            </w:r>
            <w:r w:rsidRPr="0044021A">
              <w:rPr>
                <w:sz w:val="22"/>
                <w:szCs w:val="22"/>
              </w:rPr>
              <w:t>eport)</w:t>
            </w:r>
          </w:p>
        </w:tc>
        <w:tc>
          <w:tcPr>
            <w:tcW w:w="693"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92.2</w:t>
            </w:r>
          </w:p>
        </w:tc>
        <w:tc>
          <w:tcPr>
            <w:tcW w:w="654"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$8,302</w:t>
            </w:r>
            <w:r>
              <w:rPr>
                <w:color w:val="000000"/>
                <w:sz w:val="22"/>
                <w:szCs w:val="22"/>
              </w:rPr>
              <w:t xml:space="preserve"> </w:t>
            </w:r>
          </w:p>
        </w:tc>
        <w:tc>
          <w:tcPr>
            <w:tcW w:w="812" w:type="pct"/>
            <w:tcBorders>
              <w:top w:val="single" w:sz="4" w:space="0" w:color="auto"/>
              <w:left w:val="nil"/>
              <w:bottom w:val="single" w:sz="4" w:space="0" w:color="auto"/>
              <w:right w:val="single" w:sz="4" w:space="0" w:color="auto"/>
            </w:tcBorders>
            <w:vAlign w:val="center"/>
          </w:tcPr>
          <w:p w:rsidR="00B912ED" w:rsidRPr="00AB34AC" w:rsidRDefault="00B912ED" w:rsidP="005C1538">
            <w:pPr>
              <w:keepNext/>
              <w:keepLines/>
              <w:jc w:val="center"/>
              <w:rPr>
                <w:sz w:val="22"/>
              </w:rPr>
            </w:pPr>
            <w:r w:rsidRPr="00AB34AC">
              <w:rPr>
                <w:color w:val="000000"/>
                <w:sz w:val="22"/>
                <w:szCs w:val="22"/>
              </w:rPr>
              <w:t>7 SNUNs</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B912ED" w:rsidRPr="00155FC0" w:rsidRDefault="00B912ED" w:rsidP="005C1538">
            <w:pPr>
              <w:keepNext/>
              <w:keepLines/>
              <w:jc w:val="center"/>
              <w:rPr>
                <w:b/>
                <w:sz w:val="22"/>
              </w:rPr>
            </w:pPr>
            <w:r w:rsidRPr="00155FC0">
              <w:rPr>
                <w:b/>
                <w:color w:val="000000"/>
                <w:sz w:val="22"/>
                <w:szCs w:val="22"/>
              </w:rPr>
              <w:t>64</w:t>
            </w:r>
            <w:r>
              <w:rPr>
                <w:b/>
                <w:color w:val="000000"/>
                <w:sz w:val="22"/>
                <w:szCs w:val="22"/>
              </w:rPr>
              <w:t>5</w:t>
            </w:r>
          </w:p>
        </w:tc>
        <w:tc>
          <w:tcPr>
            <w:tcW w:w="907" w:type="pct"/>
            <w:tcBorders>
              <w:top w:val="single" w:sz="4" w:space="0" w:color="auto"/>
              <w:left w:val="single" w:sz="4" w:space="0" w:color="auto"/>
              <w:bottom w:val="single" w:sz="4" w:space="0" w:color="auto"/>
              <w:right w:val="single" w:sz="4" w:space="0" w:color="auto"/>
            </w:tcBorders>
            <w:vAlign w:val="center"/>
            <w:hideMark/>
          </w:tcPr>
          <w:p w:rsidR="00B912ED" w:rsidRPr="00B47520" w:rsidRDefault="00B912ED" w:rsidP="005C1538">
            <w:pPr>
              <w:keepNext/>
              <w:keepLines/>
              <w:jc w:val="center"/>
              <w:rPr>
                <w:b/>
                <w:sz w:val="22"/>
              </w:rPr>
            </w:pPr>
            <w:r w:rsidRPr="00B47520">
              <w:rPr>
                <w:b/>
                <w:color w:val="000000"/>
                <w:sz w:val="22"/>
                <w:szCs w:val="22"/>
              </w:rPr>
              <w:t>$</w:t>
            </w:r>
            <w:r w:rsidRPr="007C2599">
              <w:rPr>
                <w:b/>
                <w:color w:val="000000"/>
                <w:sz w:val="22"/>
                <w:szCs w:val="22"/>
              </w:rPr>
              <w:t>58,11</w:t>
            </w:r>
            <w:r>
              <w:rPr>
                <w:b/>
                <w:color w:val="000000"/>
                <w:sz w:val="22"/>
                <w:szCs w:val="22"/>
              </w:rPr>
              <w:t>4</w:t>
            </w:r>
          </w:p>
        </w:tc>
      </w:tr>
      <w:tr w:rsidR="00B912ED" w:rsidRPr="0044021A" w:rsidTr="005C1538">
        <w:trPr>
          <w:trHeight w:val="476"/>
          <w:jc w:val="center"/>
        </w:trPr>
        <w:tc>
          <w:tcPr>
            <w:tcW w:w="1203" w:type="pct"/>
            <w:tcBorders>
              <w:top w:val="single" w:sz="4" w:space="0" w:color="auto"/>
              <w:left w:val="single" w:sz="4" w:space="0" w:color="auto"/>
              <w:bottom w:val="single" w:sz="4" w:space="0" w:color="auto"/>
              <w:right w:val="single" w:sz="4" w:space="0" w:color="auto"/>
            </w:tcBorders>
            <w:vAlign w:val="center"/>
          </w:tcPr>
          <w:p w:rsidR="00B912ED" w:rsidRPr="00E740FA" w:rsidRDefault="00B912ED" w:rsidP="005C1538">
            <w:pPr>
              <w:keepNext/>
              <w:keepLines/>
              <w:rPr>
                <w:sz w:val="22"/>
              </w:rPr>
            </w:pPr>
            <w:r>
              <w:rPr>
                <w:sz w:val="22"/>
                <w:szCs w:val="22"/>
              </w:rPr>
              <w:t>CDX registration, electronic signature, Pay.gov set-up  (per firm)</w:t>
            </w:r>
          </w:p>
        </w:tc>
        <w:tc>
          <w:tcPr>
            <w:tcW w:w="693"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color w:val="000000"/>
                <w:sz w:val="22"/>
              </w:rPr>
            </w:pPr>
            <w:r w:rsidRPr="0044021A">
              <w:rPr>
                <w:color w:val="000000"/>
                <w:sz w:val="22"/>
                <w:szCs w:val="22"/>
              </w:rPr>
              <w:t>2.8</w:t>
            </w:r>
          </w:p>
        </w:tc>
        <w:tc>
          <w:tcPr>
            <w:tcW w:w="654"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color w:val="000000"/>
                <w:sz w:val="22"/>
              </w:rPr>
            </w:pPr>
            <w:r w:rsidRPr="00487717">
              <w:rPr>
                <w:bCs/>
                <w:color w:val="000000"/>
                <w:sz w:val="22"/>
                <w:szCs w:val="22"/>
              </w:rPr>
              <w:t>$184</w:t>
            </w:r>
          </w:p>
        </w:tc>
        <w:tc>
          <w:tcPr>
            <w:tcW w:w="812" w:type="pct"/>
            <w:tcBorders>
              <w:top w:val="single" w:sz="4" w:space="0" w:color="auto"/>
              <w:left w:val="nil"/>
              <w:bottom w:val="single" w:sz="4" w:space="0" w:color="auto"/>
              <w:right w:val="single" w:sz="4" w:space="0" w:color="auto"/>
            </w:tcBorders>
            <w:vAlign w:val="center"/>
          </w:tcPr>
          <w:p w:rsidR="00B912ED" w:rsidRPr="0044021A" w:rsidRDefault="00B912ED" w:rsidP="00C6669B">
            <w:pPr>
              <w:keepNext/>
              <w:keepLines/>
              <w:jc w:val="center"/>
              <w:rPr>
                <w:sz w:val="22"/>
              </w:rPr>
            </w:pPr>
            <w:r w:rsidRPr="0044021A">
              <w:rPr>
                <w:color w:val="000000"/>
                <w:sz w:val="22"/>
                <w:szCs w:val="22"/>
              </w:rPr>
              <w:t xml:space="preserve">4.24 </w:t>
            </w:r>
            <w:r w:rsidR="00C6669B">
              <w:rPr>
                <w:color w:val="000000"/>
                <w:sz w:val="22"/>
                <w:szCs w:val="22"/>
              </w:rPr>
              <w:t>f</w:t>
            </w:r>
            <w:r w:rsidRPr="0044021A">
              <w:rPr>
                <w:color w:val="000000"/>
                <w:sz w:val="22"/>
                <w:szCs w:val="22"/>
              </w:rPr>
              <w:t>irms</w:t>
            </w:r>
          </w:p>
        </w:tc>
        <w:tc>
          <w:tcPr>
            <w:tcW w:w="730" w:type="pct"/>
            <w:tcBorders>
              <w:top w:val="single" w:sz="4" w:space="0" w:color="auto"/>
              <w:left w:val="single" w:sz="4" w:space="0" w:color="auto"/>
              <w:bottom w:val="single" w:sz="4" w:space="0" w:color="auto"/>
              <w:right w:val="single" w:sz="4" w:space="0" w:color="auto"/>
            </w:tcBorders>
            <w:noWrap/>
            <w:vAlign w:val="center"/>
          </w:tcPr>
          <w:p w:rsidR="00B912ED" w:rsidRPr="00155FC0" w:rsidRDefault="00B912ED" w:rsidP="005C1538">
            <w:pPr>
              <w:keepNext/>
              <w:keepLines/>
              <w:jc w:val="center"/>
              <w:rPr>
                <w:b/>
                <w:sz w:val="22"/>
              </w:rPr>
            </w:pPr>
            <w:r w:rsidRPr="00155FC0">
              <w:rPr>
                <w:b/>
                <w:color w:val="000000"/>
                <w:sz w:val="22"/>
                <w:szCs w:val="22"/>
              </w:rPr>
              <w:t>11.88</w:t>
            </w:r>
          </w:p>
        </w:tc>
        <w:tc>
          <w:tcPr>
            <w:tcW w:w="907" w:type="pct"/>
            <w:tcBorders>
              <w:top w:val="single" w:sz="4" w:space="0" w:color="auto"/>
              <w:left w:val="single" w:sz="4" w:space="0" w:color="auto"/>
              <w:bottom w:val="single" w:sz="4" w:space="0" w:color="auto"/>
              <w:right w:val="single" w:sz="4" w:space="0" w:color="auto"/>
            </w:tcBorders>
            <w:vAlign w:val="center"/>
          </w:tcPr>
          <w:p w:rsidR="00B912ED" w:rsidRPr="00B47520" w:rsidRDefault="00B912ED" w:rsidP="005C1538">
            <w:pPr>
              <w:keepNext/>
              <w:keepLines/>
              <w:jc w:val="center"/>
              <w:rPr>
                <w:b/>
                <w:sz w:val="22"/>
              </w:rPr>
            </w:pPr>
            <w:r w:rsidRPr="00155FC0">
              <w:rPr>
                <w:b/>
                <w:color w:val="000000"/>
                <w:sz w:val="22"/>
                <w:szCs w:val="22"/>
              </w:rPr>
              <w:t>$781</w:t>
            </w:r>
          </w:p>
        </w:tc>
      </w:tr>
      <w:tr w:rsidR="00B912ED" w:rsidRPr="0044021A" w:rsidTr="005C1538">
        <w:trPr>
          <w:trHeight w:val="1013"/>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sidRPr="0044021A">
              <w:rPr>
                <w:color w:val="000000"/>
                <w:sz w:val="22"/>
                <w:szCs w:val="22"/>
              </w:rPr>
              <w:t xml:space="preserve">Chemical </w:t>
            </w:r>
            <w:r>
              <w:rPr>
                <w:color w:val="000000"/>
                <w:sz w:val="22"/>
                <w:szCs w:val="22"/>
              </w:rPr>
              <w:t>v</w:t>
            </w:r>
            <w:r w:rsidRPr="0044021A">
              <w:rPr>
                <w:color w:val="000000"/>
                <w:sz w:val="22"/>
                <w:szCs w:val="22"/>
              </w:rPr>
              <w:t>erification (per SNUR)</w:t>
            </w:r>
          </w:p>
        </w:tc>
        <w:tc>
          <w:tcPr>
            <w:tcW w:w="693"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1.17</w:t>
            </w:r>
          </w:p>
        </w:tc>
        <w:tc>
          <w:tcPr>
            <w:tcW w:w="654"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$72</w:t>
            </w:r>
          </w:p>
        </w:tc>
        <w:tc>
          <w:tcPr>
            <w:tcW w:w="812"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sidRPr="0044021A">
              <w:rPr>
                <w:sz w:val="22"/>
                <w:szCs w:val="22"/>
              </w:rPr>
              <w:t>5 SNUR</w:t>
            </w:r>
            <w:r>
              <w:rPr>
                <w:sz w:val="22"/>
                <w:szCs w:val="22"/>
              </w:rPr>
              <w:t>s</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B912ED" w:rsidRPr="00155FC0" w:rsidRDefault="00B912ED" w:rsidP="005C1538">
            <w:pPr>
              <w:keepNext/>
              <w:keepLines/>
              <w:jc w:val="center"/>
              <w:rPr>
                <w:b/>
                <w:sz w:val="22"/>
              </w:rPr>
            </w:pPr>
            <w:r>
              <w:rPr>
                <w:b/>
                <w:color w:val="000000"/>
                <w:sz w:val="22"/>
                <w:szCs w:val="22"/>
              </w:rPr>
              <w:t>5.85</w:t>
            </w:r>
          </w:p>
        </w:tc>
        <w:tc>
          <w:tcPr>
            <w:tcW w:w="907" w:type="pct"/>
            <w:tcBorders>
              <w:top w:val="single" w:sz="4" w:space="0" w:color="auto"/>
              <w:left w:val="single" w:sz="4" w:space="0" w:color="auto"/>
              <w:right w:val="single" w:sz="4" w:space="0" w:color="auto"/>
            </w:tcBorders>
            <w:vAlign w:val="center"/>
            <w:hideMark/>
          </w:tcPr>
          <w:p w:rsidR="00B912ED" w:rsidRPr="00B47520" w:rsidRDefault="00B912ED" w:rsidP="005C1538">
            <w:pPr>
              <w:keepNext/>
              <w:keepLines/>
              <w:jc w:val="center"/>
              <w:rPr>
                <w:b/>
                <w:sz w:val="22"/>
              </w:rPr>
            </w:pPr>
            <w:r w:rsidRPr="00B47520">
              <w:rPr>
                <w:b/>
                <w:color w:val="000000"/>
                <w:sz w:val="22"/>
                <w:szCs w:val="22"/>
              </w:rPr>
              <w:t>$</w:t>
            </w:r>
            <w:r>
              <w:rPr>
                <w:b/>
                <w:color w:val="000000"/>
                <w:sz w:val="22"/>
                <w:szCs w:val="22"/>
              </w:rPr>
              <w:t>360</w:t>
            </w:r>
          </w:p>
        </w:tc>
      </w:tr>
      <w:tr w:rsidR="00B912ED" w:rsidRPr="0044021A" w:rsidTr="005C1538">
        <w:trPr>
          <w:trHeight w:val="510"/>
          <w:jc w:val="center"/>
        </w:trPr>
        <w:tc>
          <w:tcPr>
            <w:tcW w:w="1203"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Pr>
                <w:color w:val="000000"/>
                <w:sz w:val="22"/>
                <w:szCs w:val="22"/>
              </w:rPr>
              <w:t>Notifying c</w:t>
            </w:r>
            <w:r w:rsidRPr="0044021A">
              <w:rPr>
                <w:color w:val="000000"/>
                <w:sz w:val="22"/>
                <w:szCs w:val="22"/>
              </w:rPr>
              <w:t>ustomers (</w:t>
            </w:r>
            <w:r>
              <w:rPr>
                <w:color w:val="000000"/>
                <w:sz w:val="22"/>
                <w:szCs w:val="22"/>
              </w:rPr>
              <w:t>p</w:t>
            </w:r>
            <w:r w:rsidRPr="0044021A">
              <w:rPr>
                <w:color w:val="000000"/>
                <w:sz w:val="22"/>
                <w:szCs w:val="22"/>
              </w:rPr>
              <w:t>er SNUR)</w:t>
            </w:r>
          </w:p>
        </w:tc>
        <w:tc>
          <w:tcPr>
            <w:tcW w:w="693"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1</w:t>
            </w:r>
            <w:r>
              <w:rPr>
                <w:color w:val="000000"/>
                <w:sz w:val="22"/>
                <w:szCs w:val="22"/>
              </w:rPr>
              <w:t>4</w:t>
            </w:r>
          </w:p>
        </w:tc>
        <w:tc>
          <w:tcPr>
            <w:tcW w:w="654"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$864</w:t>
            </w:r>
          </w:p>
        </w:tc>
        <w:tc>
          <w:tcPr>
            <w:tcW w:w="812"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sidRPr="0044021A">
              <w:rPr>
                <w:sz w:val="22"/>
                <w:szCs w:val="22"/>
              </w:rPr>
              <w:t>5 SNUR</w:t>
            </w:r>
            <w:r>
              <w:rPr>
                <w:sz w:val="22"/>
                <w:szCs w:val="22"/>
              </w:rPr>
              <w:t>s</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B912ED" w:rsidRPr="00155FC0" w:rsidRDefault="00B912ED" w:rsidP="005C1538">
            <w:pPr>
              <w:keepNext/>
              <w:keepLines/>
              <w:jc w:val="center"/>
              <w:rPr>
                <w:b/>
                <w:sz w:val="22"/>
              </w:rPr>
            </w:pPr>
            <w:r w:rsidRPr="00155FC0">
              <w:rPr>
                <w:b/>
                <w:color w:val="000000"/>
                <w:sz w:val="22"/>
                <w:szCs w:val="22"/>
              </w:rPr>
              <w:t>70.00</w:t>
            </w:r>
          </w:p>
        </w:tc>
        <w:tc>
          <w:tcPr>
            <w:tcW w:w="907" w:type="pct"/>
            <w:tcBorders>
              <w:top w:val="single" w:sz="4" w:space="0" w:color="auto"/>
              <w:left w:val="single" w:sz="4" w:space="0" w:color="auto"/>
              <w:bottom w:val="single" w:sz="4" w:space="0" w:color="auto"/>
              <w:right w:val="single" w:sz="4" w:space="0" w:color="auto"/>
            </w:tcBorders>
            <w:vAlign w:val="center"/>
            <w:hideMark/>
          </w:tcPr>
          <w:p w:rsidR="00B912ED" w:rsidRPr="00B47520" w:rsidRDefault="00B912ED" w:rsidP="005C1538">
            <w:pPr>
              <w:keepNext/>
              <w:keepLines/>
              <w:jc w:val="center"/>
              <w:rPr>
                <w:b/>
                <w:sz w:val="22"/>
              </w:rPr>
            </w:pPr>
            <w:r w:rsidRPr="00155FC0">
              <w:rPr>
                <w:b/>
                <w:color w:val="000000"/>
                <w:sz w:val="22"/>
                <w:szCs w:val="22"/>
              </w:rPr>
              <w:t>$4,3</w:t>
            </w:r>
            <w:r>
              <w:rPr>
                <w:b/>
                <w:color w:val="000000"/>
                <w:sz w:val="22"/>
                <w:szCs w:val="22"/>
              </w:rPr>
              <w:t>20</w:t>
            </w:r>
          </w:p>
        </w:tc>
      </w:tr>
      <w:tr w:rsidR="00B912ED" w:rsidRPr="0044021A" w:rsidTr="005C1538">
        <w:trPr>
          <w:trHeight w:val="242"/>
          <w:jc w:val="center"/>
        </w:trPr>
        <w:tc>
          <w:tcPr>
            <w:tcW w:w="3362" w:type="pct"/>
            <w:gridSpan w:val="4"/>
            <w:tcBorders>
              <w:top w:val="single" w:sz="4" w:space="0" w:color="auto"/>
              <w:left w:val="single" w:sz="4" w:space="0" w:color="auto"/>
              <w:bottom w:val="single" w:sz="4" w:space="0" w:color="auto"/>
              <w:right w:val="single" w:sz="4" w:space="0" w:color="auto"/>
            </w:tcBorders>
          </w:tcPr>
          <w:p w:rsidR="00B912ED" w:rsidRPr="0044021A"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rPr>
            </w:pPr>
            <w:r w:rsidRPr="0044021A">
              <w:rPr>
                <w:b/>
                <w:sz w:val="22"/>
                <w:szCs w:val="22"/>
              </w:rPr>
              <w:t xml:space="preserve">Total Industry Burden and Cost </w:t>
            </w:r>
          </w:p>
        </w:tc>
        <w:tc>
          <w:tcPr>
            <w:tcW w:w="730" w:type="pct"/>
            <w:tcBorders>
              <w:top w:val="single" w:sz="4" w:space="0" w:color="auto"/>
              <w:left w:val="single" w:sz="4" w:space="0" w:color="auto"/>
              <w:bottom w:val="single" w:sz="4" w:space="0" w:color="auto"/>
              <w:right w:val="single" w:sz="4" w:space="0" w:color="auto"/>
            </w:tcBorders>
            <w:vAlign w:val="center"/>
            <w:hideMark/>
          </w:tcPr>
          <w:p w:rsidR="00B912ED" w:rsidRPr="00B47520"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736</w:t>
            </w:r>
          </w:p>
        </w:tc>
        <w:tc>
          <w:tcPr>
            <w:tcW w:w="907" w:type="pct"/>
            <w:tcBorders>
              <w:top w:val="single" w:sz="4" w:space="0" w:color="auto"/>
              <w:left w:val="single" w:sz="4" w:space="0" w:color="auto"/>
              <w:bottom w:val="single" w:sz="4" w:space="0" w:color="auto"/>
              <w:right w:val="single" w:sz="4" w:space="0" w:color="auto"/>
            </w:tcBorders>
            <w:vAlign w:val="center"/>
            <w:hideMark/>
          </w:tcPr>
          <w:p w:rsidR="00B912ED" w:rsidRPr="004E616F"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AC0CB3">
              <w:rPr>
                <w:b/>
                <w:bCs/>
                <w:color w:val="000000"/>
                <w:sz w:val="22"/>
                <w:szCs w:val="22"/>
              </w:rPr>
              <w:t>$</w:t>
            </w:r>
            <w:r w:rsidRPr="007C2599">
              <w:rPr>
                <w:b/>
                <w:bCs/>
                <w:color w:val="000000"/>
                <w:sz w:val="22"/>
                <w:szCs w:val="22"/>
              </w:rPr>
              <w:t>63,</w:t>
            </w:r>
            <w:r>
              <w:rPr>
                <w:b/>
                <w:bCs/>
                <w:color w:val="000000"/>
                <w:sz w:val="22"/>
                <w:szCs w:val="22"/>
              </w:rPr>
              <w:t>799</w:t>
            </w:r>
          </w:p>
        </w:tc>
      </w:tr>
    </w:tbl>
    <w:p w:rsidR="00B912ED" w:rsidRDefault="00B912ED" w:rsidP="00B912ED">
      <w:pPr>
        <w:keepNext/>
        <w:keepLines/>
        <w:rPr>
          <w:sz w:val="18"/>
          <w:szCs w:val="18"/>
        </w:rPr>
      </w:pPr>
      <w:r>
        <w:rPr>
          <w:sz w:val="18"/>
          <w:szCs w:val="18"/>
        </w:rPr>
        <w:t xml:space="preserve">Some burden estimate totals may not calculate due to rounding of unit burden estimates </w:t>
      </w:r>
    </w:p>
    <w:p w:rsidR="00B912ED" w:rsidRPr="00BE7A7A"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Table 12 presents the total burden and cost to the industry over the three-year ICR period. EPA estimates the total annual industry burden of existing chemical SNUR action is 2,208 hours and $191,398.</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rsidR="00B912ED" w:rsidRPr="002806B5" w:rsidRDefault="00B912ED" w:rsidP="00B912ED">
      <w:pPr>
        <w:keepNext/>
        <w:keepLines/>
        <w:outlineLvl w:val="0"/>
        <w:rPr>
          <w:b/>
        </w:rPr>
      </w:pPr>
      <w:r w:rsidRPr="002806B5">
        <w:rPr>
          <w:b/>
        </w:rPr>
        <w:t>Table 1</w:t>
      </w:r>
      <w:r>
        <w:rPr>
          <w:b/>
        </w:rPr>
        <w:t>2</w:t>
      </w:r>
      <w:r w:rsidRPr="002806B5">
        <w:rPr>
          <w:b/>
        </w:rPr>
        <w:t>: Estimated Total Respondent Burden and Cost</w:t>
      </w:r>
      <w:r>
        <w:rPr>
          <w:b/>
        </w:rPr>
        <w:t>, Three Year Totals</w:t>
      </w:r>
    </w:p>
    <w:tbl>
      <w:tblPr>
        <w:tblW w:w="5000" w:type="pct"/>
        <w:jc w:val="center"/>
        <w:tblLook w:val="04A0"/>
      </w:tblPr>
      <w:tblGrid>
        <w:gridCol w:w="2826"/>
        <w:gridCol w:w="1559"/>
        <w:gridCol w:w="1231"/>
        <w:gridCol w:w="1246"/>
        <w:gridCol w:w="1437"/>
        <w:gridCol w:w="1997"/>
      </w:tblGrid>
      <w:tr w:rsidR="00B912ED" w:rsidRPr="0044021A" w:rsidTr="005C1538">
        <w:trPr>
          <w:trHeight w:val="1150"/>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Pr>
                <w:b/>
                <w:bCs/>
                <w:sz w:val="22"/>
                <w:szCs w:val="22"/>
              </w:rPr>
              <w:t xml:space="preserve">Information Collection </w:t>
            </w:r>
            <w:r w:rsidRPr="0044021A">
              <w:rPr>
                <w:b/>
                <w:bCs/>
                <w:sz w:val="22"/>
                <w:szCs w:val="22"/>
              </w:rPr>
              <w:t>Activity</w:t>
            </w:r>
          </w:p>
        </w:tc>
        <w:tc>
          <w:tcPr>
            <w:tcW w:w="757"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Burden per Activity (hours)</w:t>
            </w:r>
          </w:p>
        </w:tc>
        <w:tc>
          <w:tcPr>
            <w:tcW w:w="598"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Cost per Activity</w:t>
            </w:r>
          </w:p>
          <w:p w:rsidR="00B912ED" w:rsidRPr="0044021A" w:rsidRDefault="00B912ED" w:rsidP="005C1538">
            <w:pPr>
              <w:keepNext/>
              <w:keepLines/>
              <w:jc w:val="center"/>
              <w:rPr>
                <w:b/>
                <w:bCs/>
                <w:sz w:val="22"/>
              </w:rPr>
            </w:pPr>
            <w:r w:rsidRPr="0044021A">
              <w:rPr>
                <w:b/>
                <w:bCs/>
                <w:sz w:val="22"/>
                <w:szCs w:val="22"/>
              </w:rPr>
              <w:t>(2010$)</w:t>
            </w:r>
          </w:p>
        </w:tc>
        <w:tc>
          <w:tcPr>
            <w:tcW w:w="605" w:type="pct"/>
            <w:tcBorders>
              <w:top w:val="single" w:sz="4" w:space="0" w:color="auto"/>
              <w:left w:val="single" w:sz="4" w:space="0" w:color="auto"/>
              <w:bottom w:val="single" w:sz="4" w:space="0" w:color="auto"/>
              <w:right w:val="single" w:sz="4" w:space="0" w:color="auto"/>
            </w:tcBorders>
            <w:vAlign w:val="center"/>
          </w:tcPr>
          <w:p w:rsidR="00B912ED" w:rsidRPr="0044021A" w:rsidRDefault="00B912ED" w:rsidP="005C1538">
            <w:pPr>
              <w:keepNext/>
              <w:keepLines/>
              <w:jc w:val="center"/>
              <w:rPr>
                <w:b/>
                <w:bCs/>
                <w:sz w:val="22"/>
              </w:rPr>
            </w:pPr>
            <w:r w:rsidRPr="0044021A">
              <w:rPr>
                <w:b/>
                <w:bCs/>
                <w:sz w:val="22"/>
                <w:szCs w:val="22"/>
              </w:rPr>
              <w:t>Total Number of Units</w:t>
            </w:r>
            <w:r>
              <w:rPr>
                <w:b/>
                <w:bCs/>
                <w:sz w:val="22"/>
                <w:szCs w:val="22"/>
              </w:rPr>
              <w:t xml:space="preserve"> </w:t>
            </w:r>
          </w:p>
        </w:tc>
        <w:tc>
          <w:tcPr>
            <w:tcW w:w="698"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 xml:space="preserve">Total </w:t>
            </w:r>
            <w:r>
              <w:rPr>
                <w:b/>
                <w:bCs/>
                <w:sz w:val="22"/>
                <w:szCs w:val="22"/>
              </w:rPr>
              <w:t xml:space="preserve">Annual </w:t>
            </w:r>
            <w:r w:rsidRPr="0044021A">
              <w:rPr>
                <w:b/>
                <w:bCs/>
                <w:sz w:val="22"/>
                <w:szCs w:val="22"/>
              </w:rPr>
              <w:t>Burden (hours)</w:t>
            </w:r>
          </w:p>
        </w:tc>
        <w:tc>
          <w:tcPr>
            <w:tcW w:w="9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87717">
              <w:rPr>
                <w:b/>
                <w:bCs/>
                <w:sz w:val="22"/>
                <w:szCs w:val="22"/>
              </w:rPr>
              <w:t xml:space="preserve">Total </w:t>
            </w:r>
            <w:r>
              <w:rPr>
                <w:b/>
                <w:bCs/>
                <w:sz w:val="22"/>
                <w:szCs w:val="22"/>
              </w:rPr>
              <w:t xml:space="preserve">Annual Cost </w:t>
            </w:r>
            <w:r w:rsidRPr="0044021A">
              <w:rPr>
                <w:b/>
                <w:bCs/>
                <w:sz w:val="22"/>
                <w:szCs w:val="22"/>
              </w:rPr>
              <w:t>(2010$)</w:t>
            </w:r>
          </w:p>
        </w:tc>
      </w:tr>
      <w:tr w:rsidR="00B912ED" w:rsidRPr="002806B5" w:rsidTr="005C1538">
        <w:trPr>
          <w:trHeight w:val="476"/>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sidRPr="0044021A">
              <w:rPr>
                <w:sz w:val="22"/>
                <w:szCs w:val="22"/>
              </w:rPr>
              <w:t xml:space="preserve">Rule </w:t>
            </w:r>
            <w:r>
              <w:rPr>
                <w:sz w:val="22"/>
                <w:szCs w:val="22"/>
              </w:rPr>
              <w:t>f</w:t>
            </w:r>
            <w:r w:rsidRPr="0044021A">
              <w:rPr>
                <w:sz w:val="22"/>
                <w:szCs w:val="22"/>
              </w:rPr>
              <w:t xml:space="preserve">amiliarization (per </w:t>
            </w:r>
            <w:r>
              <w:rPr>
                <w:sz w:val="22"/>
                <w:szCs w:val="22"/>
              </w:rPr>
              <w:t>f</w:t>
            </w:r>
            <w:r w:rsidRPr="0044021A">
              <w:rPr>
                <w:sz w:val="22"/>
                <w:szCs w:val="22"/>
              </w:rPr>
              <w:t>irm)</w:t>
            </w:r>
          </w:p>
        </w:tc>
        <w:tc>
          <w:tcPr>
            <w:tcW w:w="757"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0.83</w:t>
            </w:r>
          </w:p>
        </w:tc>
        <w:tc>
          <w:tcPr>
            <w:tcW w:w="598"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bCs/>
                <w:color w:val="000000"/>
                <w:sz w:val="22"/>
                <w:szCs w:val="22"/>
              </w:rPr>
              <w:t>$53</w:t>
            </w:r>
          </w:p>
        </w:tc>
        <w:tc>
          <w:tcPr>
            <w:tcW w:w="60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color w:val="000000"/>
                <w:sz w:val="22"/>
                <w:szCs w:val="22"/>
              </w:rPr>
              <w:t>12.72</w:t>
            </w:r>
            <w:r w:rsidR="00111D2B">
              <w:rPr>
                <w:color w:val="000000"/>
                <w:sz w:val="22"/>
                <w:szCs w:val="22"/>
              </w:rPr>
              <w:t xml:space="preserve"> f</w:t>
            </w:r>
            <w:r w:rsidRPr="0044021A">
              <w:rPr>
                <w:color w:val="000000"/>
                <w:sz w:val="22"/>
                <w:szCs w:val="22"/>
              </w:rPr>
              <w:t>irms</w:t>
            </w:r>
          </w:p>
        </w:tc>
        <w:tc>
          <w:tcPr>
            <w:tcW w:w="698" w:type="pct"/>
            <w:tcBorders>
              <w:top w:val="single" w:sz="4" w:space="0" w:color="auto"/>
              <w:left w:val="single" w:sz="4" w:space="0" w:color="auto"/>
              <w:bottom w:val="single" w:sz="4" w:space="0" w:color="auto"/>
              <w:right w:val="single" w:sz="4" w:space="0" w:color="auto"/>
            </w:tcBorders>
            <w:noWrap/>
            <w:vAlign w:val="center"/>
            <w:hideMark/>
          </w:tcPr>
          <w:p w:rsidR="00B912ED" w:rsidRPr="0044021A" w:rsidRDefault="00B912ED" w:rsidP="005C1538">
            <w:pPr>
              <w:keepNext/>
              <w:keepLines/>
              <w:jc w:val="center"/>
              <w:rPr>
                <w:sz w:val="22"/>
              </w:rPr>
            </w:pPr>
            <w:r>
              <w:rPr>
                <w:color w:val="000000"/>
                <w:sz w:val="22"/>
                <w:szCs w:val="22"/>
              </w:rPr>
              <w:t>10.56</w:t>
            </w:r>
          </w:p>
        </w:tc>
        <w:tc>
          <w:tcPr>
            <w:tcW w:w="972"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jc w:val="center"/>
              <w:rPr>
                <w:b/>
                <w:sz w:val="22"/>
              </w:rPr>
            </w:pPr>
            <w:r>
              <w:rPr>
                <w:color w:val="000000"/>
                <w:sz w:val="22"/>
                <w:szCs w:val="22"/>
              </w:rPr>
              <w:t>$675</w:t>
            </w:r>
          </w:p>
        </w:tc>
      </w:tr>
      <w:tr w:rsidR="00B912ED" w:rsidRPr="002806B5" w:rsidTr="005C1538">
        <w:trPr>
          <w:trHeight w:val="476"/>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sidRPr="0044021A">
              <w:rPr>
                <w:sz w:val="22"/>
                <w:szCs w:val="22"/>
              </w:rPr>
              <w:t xml:space="preserve">Preparation, submission, and recordkeeping for SNUN (per </w:t>
            </w:r>
            <w:r>
              <w:rPr>
                <w:sz w:val="22"/>
                <w:szCs w:val="22"/>
              </w:rPr>
              <w:t>r</w:t>
            </w:r>
            <w:r w:rsidRPr="0044021A">
              <w:rPr>
                <w:sz w:val="22"/>
                <w:szCs w:val="22"/>
              </w:rPr>
              <w:t>eport)</w:t>
            </w:r>
          </w:p>
        </w:tc>
        <w:tc>
          <w:tcPr>
            <w:tcW w:w="757"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9</w:t>
            </w:r>
            <w:r>
              <w:rPr>
                <w:color w:val="000000"/>
                <w:sz w:val="22"/>
                <w:szCs w:val="22"/>
              </w:rPr>
              <w:t>2.2</w:t>
            </w:r>
          </w:p>
        </w:tc>
        <w:tc>
          <w:tcPr>
            <w:tcW w:w="598"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$8,302</w:t>
            </w:r>
            <w:r>
              <w:rPr>
                <w:color w:val="000000"/>
                <w:sz w:val="22"/>
                <w:szCs w:val="22"/>
              </w:rPr>
              <w:t xml:space="preserve"> </w:t>
            </w:r>
          </w:p>
        </w:tc>
        <w:tc>
          <w:tcPr>
            <w:tcW w:w="60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sz w:val="22"/>
                <w:szCs w:val="22"/>
              </w:rPr>
              <w:t>21</w:t>
            </w:r>
            <w:r w:rsidRPr="0044021A">
              <w:rPr>
                <w:sz w:val="22"/>
                <w:szCs w:val="22"/>
              </w:rPr>
              <w:t xml:space="preserve"> SNU</w:t>
            </w:r>
            <w:r>
              <w:rPr>
                <w:sz w:val="22"/>
                <w:szCs w:val="22"/>
              </w:rPr>
              <w:t>Ns</w:t>
            </w:r>
          </w:p>
        </w:tc>
        <w:tc>
          <w:tcPr>
            <w:tcW w:w="698" w:type="pct"/>
            <w:tcBorders>
              <w:top w:val="single" w:sz="4" w:space="0" w:color="auto"/>
              <w:left w:val="single" w:sz="4" w:space="0" w:color="auto"/>
              <w:bottom w:val="single" w:sz="4" w:space="0" w:color="auto"/>
              <w:right w:val="single" w:sz="4" w:space="0" w:color="auto"/>
            </w:tcBorders>
            <w:noWrap/>
            <w:vAlign w:val="center"/>
            <w:hideMark/>
          </w:tcPr>
          <w:p w:rsidR="00B912ED" w:rsidRPr="0044021A" w:rsidRDefault="00B912ED" w:rsidP="005C1538">
            <w:pPr>
              <w:keepNext/>
              <w:keepLines/>
              <w:jc w:val="center"/>
              <w:rPr>
                <w:sz w:val="22"/>
              </w:rPr>
            </w:pPr>
            <w:r>
              <w:rPr>
                <w:color w:val="000000"/>
                <w:sz w:val="22"/>
                <w:szCs w:val="22"/>
              </w:rPr>
              <w:t>1,936</w:t>
            </w:r>
          </w:p>
        </w:tc>
        <w:tc>
          <w:tcPr>
            <w:tcW w:w="972"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jc w:val="center"/>
              <w:rPr>
                <w:b/>
                <w:sz w:val="22"/>
              </w:rPr>
            </w:pPr>
            <w:r>
              <w:rPr>
                <w:color w:val="000000"/>
                <w:sz w:val="22"/>
                <w:szCs w:val="22"/>
              </w:rPr>
              <w:t>$</w:t>
            </w:r>
            <w:r w:rsidRPr="00A72DE5">
              <w:rPr>
                <w:color w:val="000000"/>
                <w:sz w:val="22"/>
                <w:szCs w:val="22"/>
              </w:rPr>
              <w:t>174,342</w:t>
            </w:r>
          </w:p>
        </w:tc>
      </w:tr>
      <w:tr w:rsidR="00B912ED" w:rsidRPr="002806B5" w:rsidTr="005C1538">
        <w:trPr>
          <w:trHeight w:val="476"/>
          <w:jc w:val="center"/>
        </w:trPr>
        <w:tc>
          <w:tcPr>
            <w:tcW w:w="1372" w:type="pct"/>
            <w:tcBorders>
              <w:top w:val="single" w:sz="4" w:space="0" w:color="auto"/>
              <w:left w:val="single" w:sz="4" w:space="0" w:color="auto"/>
              <w:bottom w:val="single" w:sz="4" w:space="0" w:color="auto"/>
              <w:right w:val="single" w:sz="4" w:space="0" w:color="auto"/>
            </w:tcBorders>
            <w:vAlign w:val="center"/>
          </w:tcPr>
          <w:p w:rsidR="00B912ED" w:rsidRPr="00E740FA" w:rsidRDefault="00B912ED" w:rsidP="005C1538">
            <w:pPr>
              <w:keepNext/>
              <w:keepLines/>
              <w:rPr>
                <w:sz w:val="22"/>
              </w:rPr>
            </w:pPr>
            <w:r>
              <w:rPr>
                <w:sz w:val="22"/>
                <w:szCs w:val="22"/>
              </w:rPr>
              <w:t>CDX registration. electronic signature, Pay.gov set-up (per firm)</w:t>
            </w:r>
          </w:p>
        </w:tc>
        <w:tc>
          <w:tcPr>
            <w:tcW w:w="757"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color w:val="000000"/>
                <w:sz w:val="22"/>
              </w:rPr>
            </w:pPr>
            <w:r w:rsidRPr="0044021A">
              <w:rPr>
                <w:color w:val="000000"/>
                <w:sz w:val="22"/>
                <w:szCs w:val="22"/>
              </w:rPr>
              <w:t>2.8</w:t>
            </w:r>
          </w:p>
        </w:tc>
        <w:tc>
          <w:tcPr>
            <w:tcW w:w="598"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color w:val="000000"/>
                <w:sz w:val="22"/>
              </w:rPr>
            </w:pPr>
            <w:r w:rsidRPr="00487717">
              <w:rPr>
                <w:bCs/>
                <w:color w:val="000000"/>
                <w:sz w:val="22"/>
                <w:szCs w:val="22"/>
              </w:rPr>
              <w:t>$184</w:t>
            </w:r>
          </w:p>
        </w:tc>
        <w:tc>
          <w:tcPr>
            <w:tcW w:w="60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color w:val="000000"/>
                <w:sz w:val="22"/>
                <w:szCs w:val="22"/>
              </w:rPr>
              <w:t>12.72</w:t>
            </w:r>
            <w:r w:rsidR="00111D2B">
              <w:rPr>
                <w:color w:val="000000"/>
                <w:sz w:val="22"/>
                <w:szCs w:val="22"/>
              </w:rPr>
              <w:t xml:space="preserve"> f</w:t>
            </w:r>
            <w:r w:rsidRPr="0044021A">
              <w:rPr>
                <w:color w:val="000000"/>
                <w:sz w:val="22"/>
                <w:szCs w:val="22"/>
              </w:rPr>
              <w:t>irms</w:t>
            </w:r>
            <w:r>
              <w:rPr>
                <w:color w:val="000000"/>
                <w:sz w:val="22"/>
                <w:szCs w:val="22"/>
              </w:rPr>
              <w:t xml:space="preserve"> </w:t>
            </w:r>
          </w:p>
        </w:tc>
        <w:tc>
          <w:tcPr>
            <w:tcW w:w="698" w:type="pct"/>
            <w:tcBorders>
              <w:top w:val="single" w:sz="4" w:space="0" w:color="auto"/>
              <w:left w:val="single" w:sz="4" w:space="0" w:color="auto"/>
              <w:bottom w:val="single" w:sz="4" w:space="0" w:color="auto"/>
              <w:right w:val="single" w:sz="4" w:space="0" w:color="auto"/>
            </w:tcBorders>
            <w:noWrap/>
            <w:vAlign w:val="center"/>
          </w:tcPr>
          <w:p w:rsidR="00B912ED" w:rsidRPr="0044021A" w:rsidRDefault="00B912ED" w:rsidP="005C1538">
            <w:pPr>
              <w:keepNext/>
              <w:keepLines/>
              <w:jc w:val="center"/>
              <w:rPr>
                <w:sz w:val="22"/>
              </w:rPr>
            </w:pPr>
            <w:r>
              <w:rPr>
                <w:color w:val="000000"/>
                <w:sz w:val="22"/>
                <w:szCs w:val="22"/>
              </w:rPr>
              <w:t>35.64</w:t>
            </w:r>
          </w:p>
        </w:tc>
        <w:tc>
          <w:tcPr>
            <w:tcW w:w="972"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jc w:val="center"/>
              <w:rPr>
                <w:b/>
                <w:sz w:val="22"/>
              </w:rPr>
            </w:pPr>
            <w:r>
              <w:rPr>
                <w:color w:val="000000"/>
                <w:sz w:val="22"/>
                <w:szCs w:val="22"/>
              </w:rPr>
              <w:t>$2,342</w:t>
            </w:r>
          </w:p>
        </w:tc>
      </w:tr>
      <w:tr w:rsidR="00B912ED" w:rsidRPr="002806B5" w:rsidTr="005C1538">
        <w:trPr>
          <w:trHeight w:val="548"/>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Pr>
                <w:color w:val="000000"/>
                <w:sz w:val="22"/>
                <w:szCs w:val="22"/>
              </w:rPr>
              <w:t>Chemical v</w:t>
            </w:r>
            <w:r w:rsidRPr="0044021A">
              <w:rPr>
                <w:color w:val="000000"/>
                <w:sz w:val="22"/>
                <w:szCs w:val="22"/>
              </w:rPr>
              <w:t>erification (per SNUR)</w:t>
            </w:r>
          </w:p>
        </w:tc>
        <w:tc>
          <w:tcPr>
            <w:tcW w:w="757"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1.17</w:t>
            </w:r>
          </w:p>
        </w:tc>
        <w:tc>
          <w:tcPr>
            <w:tcW w:w="598"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$72</w:t>
            </w:r>
          </w:p>
        </w:tc>
        <w:tc>
          <w:tcPr>
            <w:tcW w:w="60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sz w:val="22"/>
                <w:szCs w:val="22"/>
              </w:rPr>
              <w:t>1</w:t>
            </w:r>
            <w:r w:rsidRPr="0044021A">
              <w:rPr>
                <w:sz w:val="22"/>
                <w:szCs w:val="22"/>
              </w:rPr>
              <w:t>5 SNUR</w:t>
            </w:r>
            <w:r>
              <w:rPr>
                <w:sz w:val="22"/>
                <w:szCs w:val="22"/>
              </w:rPr>
              <w:t>s</w:t>
            </w:r>
          </w:p>
        </w:tc>
        <w:tc>
          <w:tcPr>
            <w:tcW w:w="698" w:type="pct"/>
            <w:tcBorders>
              <w:top w:val="single" w:sz="4" w:space="0" w:color="auto"/>
              <w:left w:val="single" w:sz="4" w:space="0" w:color="auto"/>
              <w:bottom w:val="single" w:sz="4" w:space="0" w:color="auto"/>
              <w:right w:val="single" w:sz="4" w:space="0" w:color="auto"/>
            </w:tcBorders>
            <w:noWrap/>
            <w:vAlign w:val="center"/>
            <w:hideMark/>
          </w:tcPr>
          <w:p w:rsidR="00B912ED" w:rsidRPr="0044021A" w:rsidRDefault="00B912ED" w:rsidP="005C1538">
            <w:pPr>
              <w:keepNext/>
              <w:keepLines/>
              <w:jc w:val="center"/>
              <w:rPr>
                <w:sz w:val="22"/>
              </w:rPr>
            </w:pPr>
            <w:r>
              <w:rPr>
                <w:color w:val="000000"/>
                <w:sz w:val="22"/>
                <w:szCs w:val="22"/>
              </w:rPr>
              <w:t>18</w:t>
            </w:r>
          </w:p>
        </w:tc>
        <w:tc>
          <w:tcPr>
            <w:tcW w:w="972" w:type="pct"/>
            <w:tcBorders>
              <w:top w:val="single" w:sz="4" w:space="0" w:color="auto"/>
              <w:left w:val="single" w:sz="4" w:space="0" w:color="auto"/>
              <w:right w:val="single" w:sz="4" w:space="0" w:color="auto"/>
            </w:tcBorders>
            <w:vAlign w:val="center"/>
            <w:hideMark/>
          </w:tcPr>
          <w:p w:rsidR="00B912ED" w:rsidRPr="001B2FCA" w:rsidRDefault="00B912ED" w:rsidP="005C1538">
            <w:pPr>
              <w:keepNext/>
              <w:keepLines/>
              <w:jc w:val="center"/>
              <w:rPr>
                <w:b/>
                <w:sz w:val="22"/>
              </w:rPr>
            </w:pPr>
            <w:r>
              <w:rPr>
                <w:color w:val="000000"/>
                <w:sz w:val="22"/>
                <w:szCs w:val="22"/>
              </w:rPr>
              <w:t>$1,080</w:t>
            </w:r>
          </w:p>
        </w:tc>
      </w:tr>
      <w:tr w:rsidR="00B912ED" w:rsidRPr="002806B5" w:rsidTr="005C1538">
        <w:trPr>
          <w:trHeight w:val="510"/>
          <w:jc w:val="center"/>
        </w:trPr>
        <w:tc>
          <w:tcPr>
            <w:tcW w:w="13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sidRPr="0044021A">
              <w:rPr>
                <w:color w:val="000000"/>
                <w:sz w:val="22"/>
                <w:szCs w:val="22"/>
              </w:rPr>
              <w:t xml:space="preserve">Notifying </w:t>
            </w:r>
            <w:r>
              <w:rPr>
                <w:color w:val="000000"/>
                <w:sz w:val="22"/>
                <w:szCs w:val="22"/>
              </w:rPr>
              <w:t>c</w:t>
            </w:r>
            <w:r w:rsidRPr="0044021A">
              <w:rPr>
                <w:color w:val="000000"/>
                <w:sz w:val="22"/>
                <w:szCs w:val="22"/>
              </w:rPr>
              <w:t>ustomers (</w:t>
            </w:r>
            <w:r>
              <w:rPr>
                <w:color w:val="000000"/>
                <w:sz w:val="22"/>
                <w:szCs w:val="22"/>
              </w:rPr>
              <w:t>p</w:t>
            </w:r>
            <w:r w:rsidRPr="0044021A">
              <w:rPr>
                <w:color w:val="000000"/>
                <w:sz w:val="22"/>
                <w:szCs w:val="22"/>
              </w:rPr>
              <w:t>er SNUR)</w:t>
            </w:r>
          </w:p>
        </w:tc>
        <w:tc>
          <w:tcPr>
            <w:tcW w:w="757"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14</w:t>
            </w:r>
          </w:p>
        </w:tc>
        <w:tc>
          <w:tcPr>
            <w:tcW w:w="598"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sidRPr="0044021A">
              <w:rPr>
                <w:color w:val="000000"/>
                <w:sz w:val="22"/>
                <w:szCs w:val="22"/>
              </w:rPr>
              <w:t>$864</w:t>
            </w:r>
          </w:p>
        </w:tc>
        <w:tc>
          <w:tcPr>
            <w:tcW w:w="60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sz w:val="22"/>
                <w:szCs w:val="22"/>
              </w:rPr>
              <w:t>1</w:t>
            </w:r>
            <w:r w:rsidRPr="0044021A">
              <w:rPr>
                <w:sz w:val="22"/>
                <w:szCs w:val="22"/>
              </w:rPr>
              <w:t>5 SNUR</w:t>
            </w:r>
            <w:r>
              <w:rPr>
                <w:sz w:val="22"/>
                <w:szCs w:val="22"/>
              </w:rPr>
              <w:t>s</w:t>
            </w:r>
          </w:p>
        </w:tc>
        <w:tc>
          <w:tcPr>
            <w:tcW w:w="698" w:type="pct"/>
            <w:tcBorders>
              <w:top w:val="single" w:sz="4" w:space="0" w:color="auto"/>
              <w:left w:val="single" w:sz="4" w:space="0" w:color="auto"/>
              <w:bottom w:val="single" w:sz="4" w:space="0" w:color="auto"/>
              <w:right w:val="single" w:sz="4" w:space="0" w:color="auto"/>
            </w:tcBorders>
            <w:noWrap/>
            <w:vAlign w:val="center"/>
            <w:hideMark/>
          </w:tcPr>
          <w:p w:rsidR="00B912ED" w:rsidRPr="0044021A" w:rsidRDefault="00B912ED" w:rsidP="005C1538">
            <w:pPr>
              <w:keepNext/>
              <w:keepLines/>
              <w:jc w:val="center"/>
              <w:rPr>
                <w:sz w:val="22"/>
              </w:rPr>
            </w:pPr>
            <w:r>
              <w:rPr>
                <w:color w:val="000000"/>
                <w:sz w:val="22"/>
                <w:szCs w:val="22"/>
              </w:rPr>
              <w:t>210</w:t>
            </w:r>
          </w:p>
        </w:tc>
        <w:tc>
          <w:tcPr>
            <w:tcW w:w="972" w:type="pct"/>
            <w:tcBorders>
              <w:top w:val="single" w:sz="4" w:space="0" w:color="auto"/>
              <w:left w:val="single" w:sz="4" w:space="0" w:color="auto"/>
              <w:bottom w:val="single" w:sz="4" w:space="0" w:color="auto"/>
              <w:right w:val="single" w:sz="4" w:space="0" w:color="auto"/>
            </w:tcBorders>
            <w:vAlign w:val="center"/>
            <w:hideMark/>
          </w:tcPr>
          <w:p w:rsidR="00B912ED" w:rsidRPr="001B2FCA" w:rsidRDefault="00B912ED" w:rsidP="005C1538">
            <w:pPr>
              <w:keepNext/>
              <w:keepLines/>
              <w:jc w:val="center"/>
              <w:rPr>
                <w:b/>
                <w:sz w:val="22"/>
              </w:rPr>
            </w:pPr>
            <w:r>
              <w:rPr>
                <w:color w:val="000000"/>
                <w:sz w:val="22"/>
                <w:szCs w:val="22"/>
              </w:rPr>
              <w:t>$12,960</w:t>
            </w:r>
          </w:p>
        </w:tc>
      </w:tr>
      <w:tr w:rsidR="00B912ED" w:rsidRPr="0044021A" w:rsidTr="005C1538">
        <w:trPr>
          <w:trHeight w:val="242"/>
          <w:jc w:val="center"/>
        </w:trPr>
        <w:tc>
          <w:tcPr>
            <w:tcW w:w="3331" w:type="pct"/>
            <w:gridSpan w:val="4"/>
            <w:tcBorders>
              <w:top w:val="single" w:sz="4" w:space="0" w:color="auto"/>
              <w:left w:val="single" w:sz="4" w:space="0" w:color="auto"/>
              <w:bottom w:val="single" w:sz="4" w:space="0" w:color="auto"/>
              <w:right w:val="single" w:sz="4" w:space="0" w:color="auto"/>
            </w:tcBorders>
          </w:tcPr>
          <w:p w:rsidR="00B912ED" w:rsidRPr="0044021A"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rPr>
            </w:pPr>
            <w:r w:rsidRPr="0044021A">
              <w:rPr>
                <w:b/>
                <w:sz w:val="22"/>
                <w:szCs w:val="22"/>
              </w:rPr>
              <w:t xml:space="preserve">Total Industry Burden and Cost </w:t>
            </w:r>
          </w:p>
        </w:tc>
        <w:tc>
          <w:tcPr>
            <w:tcW w:w="698"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2,210</w:t>
            </w:r>
          </w:p>
        </w:tc>
        <w:tc>
          <w:tcPr>
            <w:tcW w:w="972"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A72DE5">
              <w:rPr>
                <w:b/>
                <w:bCs/>
                <w:color w:val="000000"/>
                <w:sz w:val="22"/>
                <w:szCs w:val="22"/>
              </w:rPr>
              <w:t>$191,398</w:t>
            </w:r>
          </w:p>
        </w:tc>
      </w:tr>
    </w:tbl>
    <w:p w:rsidR="00B912ED" w:rsidRDefault="00B912ED" w:rsidP="00B912ED">
      <w:pPr>
        <w:keepNext/>
        <w:keepLines/>
        <w:rPr>
          <w:sz w:val="18"/>
          <w:szCs w:val="18"/>
        </w:rPr>
      </w:pPr>
      <w:r>
        <w:rPr>
          <w:sz w:val="18"/>
          <w:szCs w:val="18"/>
        </w:rPr>
        <w:t xml:space="preserve">Some burden estimate totals may not calculate due to rounding of unit burden estimates </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912ED" w:rsidRDefault="00B912ED" w:rsidP="00B912ED">
      <w:pPr>
        <w:ind w:firstLine="720"/>
      </w:pPr>
      <w:r>
        <w:t xml:space="preserve">Table 13 presents the annual burden by collection activity. Chemical verification is expected to have a total burden of 5.85 hours annually. Notifying consumers is expected to have burden of 70 hours annually. Companies are expected to incur a total of 3.52 hours for rule familiarization, 11.88 hours for </w:t>
      </w:r>
      <w:r>
        <w:lastRenderedPageBreak/>
        <w:t>CDX registration activities and a total of 645 hours for SNUN completion, each year.</w:t>
      </w:r>
    </w:p>
    <w:p w:rsidR="00B912ED" w:rsidRDefault="00B912ED" w:rsidP="00B912ED"/>
    <w:p w:rsidR="00B912ED" w:rsidRPr="006B3DCD" w:rsidRDefault="00B912ED" w:rsidP="00B912ED">
      <w:pPr>
        <w:keepNext/>
        <w:keepLines/>
        <w:rPr>
          <w:b/>
        </w:rPr>
      </w:pPr>
      <w:r w:rsidRPr="006B3DCD">
        <w:rPr>
          <w:b/>
        </w:rPr>
        <w:t>Table 1</w:t>
      </w:r>
      <w:r>
        <w:rPr>
          <w:b/>
        </w:rPr>
        <w:t>3</w:t>
      </w:r>
      <w:r w:rsidRPr="006B3DCD">
        <w:rPr>
          <w:b/>
        </w:rPr>
        <w:t>: Annual Information Collection Tally for ICR Reporting Period (201</w:t>
      </w:r>
      <w:r>
        <w:rPr>
          <w:b/>
        </w:rPr>
        <w:t>2</w:t>
      </w:r>
      <w:r w:rsidRPr="006B3DCD">
        <w:rPr>
          <w:b/>
        </w:rPr>
        <w:t>-201</w:t>
      </w:r>
      <w:r>
        <w:rPr>
          <w:b/>
        </w:rPr>
        <w:t>5</w:t>
      </w:r>
      <w:r w:rsidRPr="006B3DCD">
        <w:rPr>
          <w:b/>
        </w:rPr>
        <w:t>)</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9"/>
        <w:gridCol w:w="1593"/>
        <w:gridCol w:w="1429"/>
        <w:gridCol w:w="1341"/>
        <w:gridCol w:w="1629"/>
        <w:gridCol w:w="1631"/>
      </w:tblGrid>
      <w:tr w:rsidR="00B912ED" w:rsidTr="005C1538">
        <w:trPr>
          <w:tblHeader/>
        </w:trPr>
        <w:tc>
          <w:tcPr>
            <w:tcW w:w="1139"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Information Collection</w:t>
            </w:r>
          </w:p>
        </w:tc>
        <w:tc>
          <w:tcPr>
            <w:tcW w:w="807"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 xml:space="preserve">No. of </w:t>
            </w:r>
          </w:p>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Respondents</w:t>
            </w:r>
          </w:p>
        </w:tc>
        <w:tc>
          <w:tcPr>
            <w:tcW w:w="724"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No. of Responses / Respondent</w:t>
            </w:r>
          </w:p>
        </w:tc>
        <w:tc>
          <w:tcPr>
            <w:tcW w:w="679"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Responses Subtotal</w:t>
            </w:r>
          </w:p>
        </w:tc>
        <w:tc>
          <w:tcPr>
            <w:tcW w:w="825"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szCs w:val="22"/>
              </w:rPr>
              <w:t>Annual</w:t>
            </w:r>
            <w:r w:rsidRPr="002806B5">
              <w:rPr>
                <w:b/>
                <w:sz w:val="22"/>
                <w:szCs w:val="22"/>
              </w:rPr>
              <w:t xml:space="preserve"> Burden Hours per Response</w:t>
            </w:r>
          </w:p>
        </w:tc>
        <w:tc>
          <w:tcPr>
            <w:tcW w:w="826"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szCs w:val="22"/>
              </w:rPr>
              <w:t>Annual</w:t>
            </w:r>
            <w:r w:rsidRPr="002806B5">
              <w:rPr>
                <w:b/>
                <w:sz w:val="22"/>
                <w:szCs w:val="22"/>
              </w:rPr>
              <w:t xml:space="preserve"> Burden Hours </w:t>
            </w:r>
            <w:r>
              <w:rPr>
                <w:b/>
                <w:sz w:val="22"/>
                <w:szCs w:val="22"/>
              </w:rPr>
              <w:t>per Activity</w:t>
            </w:r>
          </w:p>
        </w:tc>
      </w:tr>
      <w:tr w:rsidR="00B912ED" w:rsidTr="005C1538">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2806B5">
              <w:rPr>
                <w:b/>
                <w:i/>
                <w:color w:val="000000"/>
                <w:sz w:val="22"/>
                <w:szCs w:val="22"/>
              </w:rPr>
              <w:t>Per Firm Activities</w:t>
            </w:r>
          </w:p>
        </w:tc>
      </w:tr>
      <w:tr w:rsidR="00B912ED" w:rsidTr="005C1538">
        <w:tc>
          <w:tcPr>
            <w:tcW w:w="1139"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 xml:space="preserve">Rule </w:t>
            </w:r>
            <w:r>
              <w:rPr>
                <w:sz w:val="22"/>
                <w:szCs w:val="22"/>
              </w:rPr>
              <w:t>f</w:t>
            </w:r>
            <w:r w:rsidRPr="002806B5">
              <w:rPr>
                <w:sz w:val="22"/>
                <w:szCs w:val="22"/>
              </w:rPr>
              <w:t>amiliarization</w:t>
            </w:r>
          </w:p>
        </w:tc>
        <w:tc>
          <w:tcPr>
            <w:tcW w:w="807"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4.24</w:t>
            </w:r>
          </w:p>
        </w:tc>
        <w:tc>
          <w:tcPr>
            <w:tcW w:w="724"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w:t>
            </w:r>
          </w:p>
        </w:tc>
        <w:tc>
          <w:tcPr>
            <w:tcW w:w="67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4.24</w:t>
            </w:r>
          </w:p>
        </w:tc>
        <w:tc>
          <w:tcPr>
            <w:tcW w:w="825"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0.83</w:t>
            </w:r>
          </w:p>
        </w:tc>
        <w:tc>
          <w:tcPr>
            <w:tcW w:w="826"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 xml:space="preserve">  3.52</w:t>
            </w:r>
          </w:p>
        </w:tc>
      </w:tr>
      <w:tr w:rsidR="00B912ED" w:rsidTr="005C1538">
        <w:tc>
          <w:tcPr>
            <w:tcW w:w="1139" w:type="pct"/>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CDX registration activities</w:t>
            </w:r>
          </w:p>
        </w:tc>
        <w:tc>
          <w:tcPr>
            <w:tcW w:w="807" w:type="pct"/>
            <w:tcBorders>
              <w:top w:val="single"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p>
        </w:tc>
        <w:tc>
          <w:tcPr>
            <w:tcW w:w="724" w:type="pct"/>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p>
        </w:tc>
        <w:tc>
          <w:tcPr>
            <w:tcW w:w="679" w:type="pct"/>
            <w:tcBorders>
              <w:top w:val="single"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p>
        </w:tc>
        <w:tc>
          <w:tcPr>
            <w:tcW w:w="825" w:type="pct"/>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p>
        </w:tc>
        <w:tc>
          <w:tcPr>
            <w:tcW w:w="826" w:type="pct"/>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p>
        </w:tc>
      </w:tr>
      <w:tr w:rsidR="00B912ED" w:rsidTr="005C1538">
        <w:tc>
          <w:tcPr>
            <w:tcW w:w="1139"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CDX r</w:t>
            </w:r>
            <w:r w:rsidRPr="002806B5">
              <w:rPr>
                <w:i/>
                <w:sz w:val="22"/>
                <w:szCs w:val="22"/>
              </w:rPr>
              <w:t>egistration</w:t>
            </w:r>
          </w:p>
        </w:tc>
        <w:tc>
          <w:tcPr>
            <w:tcW w:w="807" w:type="pct"/>
            <w:tcBorders>
              <w:top w:val="dotted" w:sz="4" w:space="0" w:color="auto"/>
              <w:left w:val="single" w:sz="4" w:space="0" w:color="auto"/>
              <w:bottom w:val="dotted" w:sz="4" w:space="0" w:color="auto"/>
              <w:right w:val="single" w:sz="4" w:space="0" w:color="auto"/>
            </w:tcBorders>
            <w:vAlign w:val="center"/>
          </w:tcPr>
          <w:p w:rsidR="00B912ED" w:rsidRPr="00160391"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160391">
              <w:rPr>
                <w:i/>
                <w:color w:val="000000"/>
                <w:sz w:val="22"/>
                <w:szCs w:val="22"/>
              </w:rPr>
              <w:t>4.24</w:t>
            </w:r>
          </w:p>
        </w:tc>
        <w:tc>
          <w:tcPr>
            <w:tcW w:w="724"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i/>
                <w:iCs/>
                <w:color w:val="000000"/>
                <w:sz w:val="22"/>
                <w:szCs w:val="22"/>
              </w:rPr>
              <w:t>1</w:t>
            </w:r>
          </w:p>
        </w:tc>
        <w:tc>
          <w:tcPr>
            <w:tcW w:w="679" w:type="pct"/>
            <w:tcBorders>
              <w:top w:val="dotted" w:sz="4" w:space="0" w:color="auto"/>
              <w:left w:val="single" w:sz="4" w:space="0" w:color="auto"/>
              <w:bottom w:val="dotted" w:sz="4" w:space="0" w:color="auto"/>
              <w:right w:val="single" w:sz="4" w:space="0" w:color="auto"/>
            </w:tcBorders>
            <w:vAlign w:val="center"/>
          </w:tcPr>
          <w:p w:rsidR="00B912ED" w:rsidRPr="00160391"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160391">
              <w:rPr>
                <w:i/>
                <w:color w:val="000000"/>
                <w:sz w:val="22"/>
                <w:szCs w:val="22"/>
              </w:rPr>
              <w:t>4.24</w:t>
            </w:r>
          </w:p>
        </w:tc>
        <w:tc>
          <w:tcPr>
            <w:tcW w:w="825"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0.92</w:t>
            </w:r>
          </w:p>
        </w:tc>
        <w:tc>
          <w:tcPr>
            <w:tcW w:w="826" w:type="pct"/>
            <w:tcBorders>
              <w:top w:val="dotted" w:sz="4" w:space="0" w:color="auto"/>
              <w:left w:val="single" w:sz="4" w:space="0" w:color="auto"/>
              <w:bottom w:val="dotted" w:sz="4" w:space="0" w:color="auto"/>
              <w:right w:val="single" w:sz="4" w:space="0" w:color="auto"/>
            </w:tcBorders>
            <w:vAlign w:val="center"/>
            <w:hideMark/>
          </w:tcPr>
          <w:p w:rsidR="00B912ED" w:rsidRPr="00A72DE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i/>
                <w:color w:val="000000"/>
                <w:sz w:val="22"/>
                <w:szCs w:val="22"/>
              </w:rPr>
              <w:t xml:space="preserve">  </w:t>
            </w:r>
            <w:r w:rsidRPr="00A72DE5">
              <w:rPr>
                <w:b/>
                <w:bCs/>
                <w:i/>
                <w:color w:val="000000"/>
                <w:sz w:val="22"/>
                <w:szCs w:val="22"/>
              </w:rPr>
              <w:t>3.89</w:t>
            </w:r>
          </w:p>
        </w:tc>
      </w:tr>
      <w:tr w:rsidR="00B912ED" w:rsidTr="005C1538">
        <w:tc>
          <w:tcPr>
            <w:tcW w:w="1139"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sidRPr="002806B5">
              <w:rPr>
                <w:i/>
                <w:sz w:val="22"/>
                <w:szCs w:val="22"/>
              </w:rPr>
              <w:t>ESA</w:t>
            </w:r>
          </w:p>
        </w:tc>
        <w:tc>
          <w:tcPr>
            <w:tcW w:w="807" w:type="pct"/>
            <w:tcBorders>
              <w:top w:val="dotted" w:sz="4" w:space="0" w:color="auto"/>
              <w:left w:val="single" w:sz="4" w:space="0" w:color="auto"/>
              <w:bottom w:val="dotted" w:sz="4" w:space="0" w:color="auto"/>
              <w:right w:val="single" w:sz="4" w:space="0" w:color="auto"/>
            </w:tcBorders>
            <w:vAlign w:val="center"/>
          </w:tcPr>
          <w:p w:rsidR="00B912ED" w:rsidRPr="00160391"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160391">
              <w:rPr>
                <w:i/>
                <w:color w:val="000000"/>
                <w:sz w:val="22"/>
                <w:szCs w:val="22"/>
              </w:rPr>
              <w:t>4.24</w:t>
            </w:r>
          </w:p>
        </w:tc>
        <w:tc>
          <w:tcPr>
            <w:tcW w:w="724"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i/>
                <w:iCs/>
                <w:color w:val="000000"/>
                <w:sz w:val="22"/>
                <w:szCs w:val="22"/>
              </w:rPr>
              <w:t>1</w:t>
            </w:r>
          </w:p>
        </w:tc>
        <w:tc>
          <w:tcPr>
            <w:tcW w:w="679" w:type="pct"/>
            <w:tcBorders>
              <w:top w:val="dotted" w:sz="4" w:space="0" w:color="auto"/>
              <w:left w:val="single" w:sz="4" w:space="0" w:color="auto"/>
              <w:bottom w:val="dotted" w:sz="4" w:space="0" w:color="auto"/>
              <w:right w:val="single" w:sz="4" w:space="0" w:color="auto"/>
            </w:tcBorders>
            <w:vAlign w:val="center"/>
          </w:tcPr>
          <w:p w:rsidR="00B912ED" w:rsidRPr="00160391"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160391">
              <w:rPr>
                <w:i/>
                <w:color w:val="000000"/>
                <w:sz w:val="22"/>
                <w:szCs w:val="22"/>
              </w:rPr>
              <w:t>4.24</w:t>
            </w:r>
          </w:p>
        </w:tc>
        <w:tc>
          <w:tcPr>
            <w:tcW w:w="825"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1.75</w:t>
            </w:r>
          </w:p>
        </w:tc>
        <w:tc>
          <w:tcPr>
            <w:tcW w:w="826" w:type="pct"/>
            <w:tcBorders>
              <w:top w:val="dotted" w:sz="4" w:space="0" w:color="auto"/>
              <w:left w:val="single" w:sz="4" w:space="0" w:color="auto"/>
              <w:bottom w:val="dotted" w:sz="4" w:space="0" w:color="auto"/>
              <w:right w:val="single" w:sz="4" w:space="0" w:color="auto"/>
            </w:tcBorders>
            <w:vAlign w:val="center"/>
            <w:hideMark/>
          </w:tcPr>
          <w:p w:rsidR="00B912ED" w:rsidRPr="00A72DE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i/>
                <w:color w:val="000000"/>
                <w:sz w:val="22"/>
                <w:szCs w:val="22"/>
              </w:rPr>
              <w:t xml:space="preserve">  </w:t>
            </w:r>
            <w:r w:rsidRPr="00A72DE5">
              <w:rPr>
                <w:b/>
                <w:bCs/>
                <w:i/>
                <w:color w:val="000000"/>
                <w:sz w:val="22"/>
                <w:szCs w:val="22"/>
              </w:rPr>
              <w:t>7.42</w:t>
            </w:r>
          </w:p>
        </w:tc>
      </w:tr>
      <w:tr w:rsidR="00B912ED" w:rsidTr="005C1538">
        <w:tc>
          <w:tcPr>
            <w:tcW w:w="1139" w:type="pct"/>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Pay.gov a</w:t>
            </w:r>
            <w:r w:rsidRPr="002806B5">
              <w:rPr>
                <w:i/>
                <w:sz w:val="22"/>
                <w:szCs w:val="22"/>
              </w:rPr>
              <w:t xml:space="preserve">ccount </w:t>
            </w:r>
          </w:p>
        </w:tc>
        <w:tc>
          <w:tcPr>
            <w:tcW w:w="807" w:type="pct"/>
            <w:tcBorders>
              <w:top w:val="dotted" w:sz="4" w:space="0" w:color="auto"/>
              <w:left w:val="single" w:sz="4" w:space="0" w:color="auto"/>
              <w:bottom w:val="single" w:sz="4" w:space="0" w:color="auto"/>
              <w:right w:val="single" w:sz="4" w:space="0" w:color="auto"/>
            </w:tcBorders>
            <w:vAlign w:val="center"/>
          </w:tcPr>
          <w:p w:rsidR="00B912ED" w:rsidRPr="00160391"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160391">
              <w:rPr>
                <w:i/>
                <w:color w:val="000000"/>
                <w:sz w:val="22"/>
                <w:szCs w:val="22"/>
              </w:rPr>
              <w:t>4.24</w:t>
            </w:r>
          </w:p>
        </w:tc>
        <w:tc>
          <w:tcPr>
            <w:tcW w:w="724" w:type="pct"/>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2"/>
              </w:rPr>
            </w:pPr>
            <w:r w:rsidRPr="002806B5">
              <w:rPr>
                <w:i/>
                <w:iCs/>
                <w:color w:val="000000"/>
                <w:sz w:val="22"/>
                <w:szCs w:val="22"/>
              </w:rPr>
              <w:t>1</w:t>
            </w:r>
          </w:p>
        </w:tc>
        <w:tc>
          <w:tcPr>
            <w:tcW w:w="679" w:type="pct"/>
            <w:tcBorders>
              <w:top w:val="dotted" w:sz="4" w:space="0" w:color="auto"/>
              <w:left w:val="single" w:sz="4" w:space="0" w:color="auto"/>
              <w:bottom w:val="single" w:sz="4" w:space="0" w:color="auto"/>
              <w:right w:val="single" w:sz="4" w:space="0" w:color="auto"/>
            </w:tcBorders>
            <w:vAlign w:val="center"/>
          </w:tcPr>
          <w:p w:rsidR="00B912ED" w:rsidRPr="00160391"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2"/>
              </w:rPr>
            </w:pPr>
            <w:r w:rsidRPr="00160391">
              <w:rPr>
                <w:i/>
                <w:color w:val="000000"/>
                <w:sz w:val="22"/>
                <w:szCs w:val="22"/>
              </w:rPr>
              <w:t>4.24</w:t>
            </w:r>
          </w:p>
        </w:tc>
        <w:tc>
          <w:tcPr>
            <w:tcW w:w="825" w:type="pct"/>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0.13</w:t>
            </w:r>
          </w:p>
        </w:tc>
        <w:tc>
          <w:tcPr>
            <w:tcW w:w="826" w:type="pct"/>
            <w:tcBorders>
              <w:top w:val="dotted" w:sz="4" w:space="0" w:color="auto"/>
              <w:left w:val="single" w:sz="4" w:space="0" w:color="auto"/>
              <w:bottom w:val="single" w:sz="4" w:space="0" w:color="auto"/>
              <w:right w:val="single" w:sz="4" w:space="0" w:color="auto"/>
            </w:tcBorders>
            <w:vAlign w:val="center"/>
          </w:tcPr>
          <w:p w:rsidR="00B912ED" w:rsidRPr="00A72DE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i/>
                <w:color w:val="000000"/>
                <w:sz w:val="22"/>
                <w:szCs w:val="22"/>
              </w:rPr>
              <w:t xml:space="preserve"> </w:t>
            </w:r>
            <w:r w:rsidRPr="00A72DE5">
              <w:rPr>
                <w:b/>
                <w:bCs/>
                <w:i/>
                <w:color w:val="000000"/>
                <w:sz w:val="22"/>
                <w:szCs w:val="22"/>
              </w:rPr>
              <w:t>0.57</w:t>
            </w:r>
          </w:p>
        </w:tc>
      </w:tr>
      <w:tr w:rsidR="00B912ED" w:rsidTr="005C1538">
        <w:tc>
          <w:tcPr>
            <w:tcW w:w="1139"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sz w:val="22"/>
                <w:szCs w:val="22"/>
              </w:rPr>
              <w:t>Preparation, submission, and recordkeeping for SNUN</w:t>
            </w:r>
          </w:p>
        </w:tc>
        <w:tc>
          <w:tcPr>
            <w:tcW w:w="807"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4.24</w:t>
            </w:r>
          </w:p>
        </w:tc>
        <w:tc>
          <w:tcPr>
            <w:tcW w:w="724"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1.65</w:t>
            </w:r>
          </w:p>
        </w:tc>
        <w:tc>
          <w:tcPr>
            <w:tcW w:w="67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7</w:t>
            </w:r>
          </w:p>
        </w:tc>
        <w:tc>
          <w:tcPr>
            <w:tcW w:w="825"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92.2</w:t>
            </w:r>
          </w:p>
        </w:tc>
        <w:tc>
          <w:tcPr>
            <w:tcW w:w="826"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645</w:t>
            </w:r>
          </w:p>
        </w:tc>
      </w:tr>
      <w:tr w:rsidR="00B912ED" w:rsidTr="005C1538">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i/>
                <w:color w:val="000000"/>
                <w:sz w:val="22"/>
                <w:szCs w:val="22"/>
              </w:rPr>
              <w:t>Per SNUR Activities</w:t>
            </w:r>
          </w:p>
        </w:tc>
      </w:tr>
      <w:tr w:rsidR="00B912ED" w:rsidTr="005C1538">
        <w:tc>
          <w:tcPr>
            <w:tcW w:w="113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color w:val="000000"/>
                <w:sz w:val="22"/>
              </w:rPr>
            </w:pPr>
            <w:r w:rsidRPr="002806B5">
              <w:rPr>
                <w:color w:val="000000"/>
                <w:sz w:val="22"/>
                <w:szCs w:val="22"/>
              </w:rPr>
              <w:t xml:space="preserve">Chemical </w:t>
            </w:r>
            <w:r>
              <w:rPr>
                <w:color w:val="000000"/>
                <w:sz w:val="22"/>
                <w:szCs w:val="22"/>
              </w:rPr>
              <w:t>v</w:t>
            </w:r>
            <w:r w:rsidRPr="002806B5">
              <w:rPr>
                <w:color w:val="000000"/>
                <w:sz w:val="22"/>
                <w:szCs w:val="22"/>
              </w:rPr>
              <w:t>erification</w:t>
            </w:r>
          </w:p>
        </w:tc>
        <w:tc>
          <w:tcPr>
            <w:tcW w:w="807"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5</w:t>
            </w:r>
          </w:p>
        </w:tc>
        <w:tc>
          <w:tcPr>
            <w:tcW w:w="724"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w:t>
            </w:r>
          </w:p>
        </w:tc>
        <w:tc>
          <w:tcPr>
            <w:tcW w:w="67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5</w:t>
            </w:r>
          </w:p>
        </w:tc>
        <w:tc>
          <w:tcPr>
            <w:tcW w:w="825"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1.17</w:t>
            </w:r>
          </w:p>
        </w:tc>
        <w:tc>
          <w:tcPr>
            <w:tcW w:w="826"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color w:val="000000"/>
                <w:sz w:val="22"/>
                <w:szCs w:val="22"/>
              </w:rPr>
              <w:t>5.85</w:t>
            </w:r>
          </w:p>
        </w:tc>
      </w:tr>
      <w:tr w:rsidR="00B912ED" w:rsidTr="005C1538">
        <w:tc>
          <w:tcPr>
            <w:tcW w:w="113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color w:val="000000"/>
                <w:sz w:val="22"/>
                <w:szCs w:val="22"/>
              </w:rPr>
              <w:t xml:space="preserve">Notifying </w:t>
            </w:r>
            <w:r>
              <w:rPr>
                <w:color w:val="000000"/>
                <w:sz w:val="22"/>
                <w:szCs w:val="22"/>
              </w:rPr>
              <w:t>c</w:t>
            </w:r>
            <w:r w:rsidRPr="002806B5">
              <w:rPr>
                <w:color w:val="000000"/>
                <w:sz w:val="22"/>
                <w:szCs w:val="22"/>
              </w:rPr>
              <w:t>ustomers (</w:t>
            </w:r>
            <w:r>
              <w:rPr>
                <w:color w:val="000000"/>
                <w:sz w:val="22"/>
                <w:szCs w:val="22"/>
              </w:rPr>
              <w:t>p</w:t>
            </w:r>
            <w:r w:rsidRPr="002806B5">
              <w:rPr>
                <w:color w:val="000000"/>
                <w:sz w:val="22"/>
                <w:szCs w:val="22"/>
              </w:rPr>
              <w:t>er SNUR)</w:t>
            </w:r>
          </w:p>
        </w:tc>
        <w:tc>
          <w:tcPr>
            <w:tcW w:w="807"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35</w:t>
            </w:r>
          </w:p>
        </w:tc>
        <w:tc>
          <w:tcPr>
            <w:tcW w:w="724"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2</w:t>
            </w:r>
          </w:p>
        </w:tc>
        <w:tc>
          <w:tcPr>
            <w:tcW w:w="67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70</w:t>
            </w:r>
          </w:p>
        </w:tc>
        <w:tc>
          <w:tcPr>
            <w:tcW w:w="825"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w:t>
            </w:r>
          </w:p>
        </w:tc>
        <w:tc>
          <w:tcPr>
            <w:tcW w:w="826"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sidRPr="002806B5">
              <w:rPr>
                <w:b/>
                <w:color w:val="000000"/>
                <w:sz w:val="22"/>
                <w:szCs w:val="22"/>
              </w:rPr>
              <w:t>70.00</w:t>
            </w:r>
          </w:p>
        </w:tc>
      </w:tr>
      <w:tr w:rsidR="00B912ED" w:rsidTr="005C1538">
        <w:tc>
          <w:tcPr>
            <w:tcW w:w="5000" w:type="pct"/>
            <w:gridSpan w:val="6"/>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i/>
                <w:color w:val="000000"/>
                <w:sz w:val="22"/>
                <w:szCs w:val="22"/>
              </w:rPr>
              <w:t>Totals</w:t>
            </w:r>
          </w:p>
        </w:tc>
      </w:tr>
      <w:tr w:rsidR="00B912ED" w:rsidTr="005C1538">
        <w:tc>
          <w:tcPr>
            <w:tcW w:w="1139"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color w:val="000000"/>
                <w:sz w:val="22"/>
              </w:rPr>
            </w:pPr>
          </w:p>
        </w:tc>
        <w:tc>
          <w:tcPr>
            <w:tcW w:w="807" w:type="pct"/>
            <w:tcBorders>
              <w:top w:val="single" w:sz="4" w:space="0" w:color="auto"/>
              <w:left w:val="single" w:sz="4" w:space="0" w:color="auto"/>
              <w:bottom w:val="single" w:sz="4" w:space="0" w:color="auto"/>
              <w:right w:val="single" w:sz="4" w:space="0" w:color="auto"/>
            </w:tcBorders>
            <w:vAlign w:val="center"/>
          </w:tcPr>
          <w:p w:rsidR="00B912ED" w:rsidRPr="002806B5" w:rsidRDefault="00160391"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61.20</w:t>
            </w:r>
          </w:p>
        </w:tc>
        <w:tc>
          <w:tcPr>
            <w:tcW w:w="724"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5F1C90">
              <w:rPr>
                <w:color w:val="000000"/>
                <w:sz w:val="22"/>
                <w:szCs w:val="22"/>
              </w:rPr>
              <w:t>1.33</w:t>
            </w:r>
          </w:p>
        </w:tc>
        <w:tc>
          <w:tcPr>
            <w:tcW w:w="679" w:type="pct"/>
            <w:tcBorders>
              <w:top w:val="single" w:sz="4" w:space="0" w:color="auto"/>
              <w:left w:val="single" w:sz="4" w:space="0" w:color="auto"/>
              <w:bottom w:val="single" w:sz="4" w:space="0" w:color="auto"/>
              <w:right w:val="single" w:sz="4" w:space="0" w:color="auto"/>
            </w:tcBorders>
            <w:vAlign w:val="center"/>
          </w:tcPr>
          <w:p w:rsidR="00B912ED" w:rsidRDefault="00B912ED" w:rsidP="001603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5F1C90">
              <w:rPr>
                <w:color w:val="000000"/>
                <w:sz w:val="22"/>
                <w:szCs w:val="22"/>
              </w:rPr>
              <w:t>9</w:t>
            </w:r>
            <w:r w:rsidR="00160391">
              <w:rPr>
                <w:color w:val="000000"/>
                <w:sz w:val="22"/>
                <w:szCs w:val="22"/>
              </w:rPr>
              <w:t>8.96</w:t>
            </w:r>
          </w:p>
        </w:tc>
        <w:tc>
          <w:tcPr>
            <w:tcW w:w="825"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5F1C90">
              <w:rPr>
                <w:color w:val="000000"/>
                <w:sz w:val="22"/>
                <w:szCs w:val="22"/>
              </w:rPr>
              <w:t>98.00</w:t>
            </w:r>
          </w:p>
        </w:tc>
        <w:tc>
          <w:tcPr>
            <w:tcW w:w="826"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color w:val="000000"/>
                <w:sz w:val="22"/>
                <w:szCs w:val="22"/>
              </w:rPr>
              <w:t>736.25</w:t>
            </w:r>
          </w:p>
        </w:tc>
      </w:tr>
    </w:tbl>
    <w:p w:rsidR="00B912ED" w:rsidRDefault="00B912ED" w:rsidP="00B912ED">
      <w:pPr>
        <w:keepNext/>
        <w:keepLines/>
        <w:rPr>
          <w:sz w:val="18"/>
          <w:szCs w:val="18"/>
        </w:rPr>
      </w:pPr>
      <w:r>
        <w:rPr>
          <w:sz w:val="18"/>
          <w:szCs w:val="18"/>
        </w:rPr>
        <w:t xml:space="preserve"> Some burden estimate subtotals may not calculate due to ro</w:t>
      </w:r>
      <w:r w:rsidR="00160391">
        <w:rPr>
          <w:sz w:val="18"/>
          <w:szCs w:val="18"/>
        </w:rPr>
        <w:t>unding of unit burden estimates</w:t>
      </w:r>
    </w:p>
    <w:p w:rsidR="00B912ED" w:rsidRDefault="00B912ED" w:rsidP="00B912ED">
      <w:pPr>
        <w:outlineLvl w:val="0"/>
      </w:pPr>
    </w:p>
    <w:p w:rsidR="00B912ED" w:rsidRDefault="00B912ED" w:rsidP="00B912ED">
      <w:pPr>
        <w:keepNext/>
        <w:ind w:firstLine="720"/>
      </w:pPr>
      <w:r>
        <w:t>Table 14 presents the total burden hours for the ICR period (2012–2015), organized by information collection. Chemical verification is expected to have burden of 17.55 hours over the three year period. Notifying consumers is expected to have burden of 210 hours over the three year period. Companies are expected to incur at total of 10.56 hours for rule familiarization, 35.64 hours for CDX registration activities and a total of 1,936 hours for SNUN completion, submission and recordkeeping over the three year period.</w:t>
      </w:r>
    </w:p>
    <w:p w:rsidR="00B912ED" w:rsidRDefault="00B912ED" w:rsidP="00B912ED">
      <w:pPr>
        <w:outlineLvl w:val="0"/>
      </w:pPr>
    </w:p>
    <w:p w:rsidR="00B912ED" w:rsidRPr="002806B5" w:rsidRDefault="00B912ED" w:rsidP="00B912ED">
      <w:pPr>
        <w:keepNext/>
        <w:keepLines/>
        <w:rPr>
          <w:b/>
        </w:rPr>
      </w:pPr>
      <w:r w:rsidRPr="002806B5">
        <w:rPr>
          <w:b/>
        </w:rPr>
        <w:lastRenderedPageBreak/>
        <w:t>Table 1</w:t>
      </w:r>
      <w:r>
        <w:rPr>
          <w:b/>
        </w:rPr>
        <w:t>4</w:t>
      </w:r>
      <w:r w:rsidRPr="002806B5">
        <w:rPr>
          <w:b/>
        </w:rPr>
        <w:t>: Total Information Collection Tally for ICR Reporting Period (201</w:t>
      </w:r>
      <w:r>
        <w:rPr>
          <w:b/>
        </w:rPr>
        <w:t>2</w:t>
      </w:r>
      <w:r w:rsidRPr="002806B5">
        <w:rPr>
          <w:b/>
        </w:rPr>
        <w:t>- 201</w:t>
      </w:r>
      <w:r>
        <w:rPr>
          <w:b/>
        </w:rPr>
        <w:t>5</w:t>
      </w:r>
      <w:r w:rsidRPr="002806B5">
        <w:rPr>
          <w:b/>
        </w:rPr>
        <w:t>)</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8"/>
        <w:gridCol w:w="1572"/>
        <w:gridCol w:w="28"/>
        <w:gridCol w:w="1429"/>
        <w:gridCol w:w="39"/>
        <w:gridCol w:w="1293"/>
        <w:gridCol w:w="22"/>
        <w:gridCol w:w="1607"/>
        <w:gridCol w:w="10"/>
        <w:gridCol w:w="1623"/>
      </w:tblGrid>
      <w:tr w:rsidR="00B912ED" w:rsidTr="005C1538">
        <w:trPr>
          <w:tblHeader/>
        </w:trPr>
        <w:tc>
          <w:tcPr>
            <w:tcW w:w="1139"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 xml:space="preserve">Information </w:t>
            </w:r>
            <w:r>
              <w:rPr>
                <w:b/>
                <w:sz w:val="22"/>
                <w:szCs w:val="22"/>
              </w:rPr>
              <w:t>C</w:t>
            </w:r>
            <w:r w:rsidRPr="002806B5">
              <w:rPr>
                <w:b/>
                <w:sz w:val="22"/>
                <w:szCs w:val="22"/>
              </w:rPr>
              <w:t>ollection</w:t>
            </w:r>
          </w:p>
        </w:tc>
        <w:tc>
          <w:tcPr>
            <w:tcW w:w="810"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 xml:space="preserve">No. of </w:t>
            </w:r>
          </w:p>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Respondents</w:t>
            </w:r>
          </w:p>
        </w:tc>
        <w:tc>
          <w:tcPr>
            <w:tcW w:w="724"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No. of Responses / Respondent</w:t>
            </w:r>
          </w:p>
        </w:tc>
        <w:tc>
          <w:tcPr>
            <w:tcW w:w="675"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Responses Subtotal</w:t>
            </w:r>
          </w:p>
        </w:tc>
        <w:tc>
          <w:tcPr>
            <w:tcW w:w="825"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Total Burden Hours per Response</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Total Burden Hours Subtotal</w:t>
            </w:r>
          </w:p>
        </w:tc>
      </w:tr>
      <w:tr w:rsidR="00B912ED" w:rsidTr="005C1538">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2806B5">
              <w:rPr>
                <w:b/>
                <w:i/>
                <w:color w:val="000000"/>
                <w:sz w:val="22"/>
                <w:szCs w:val="22"/>
              </w:rPr>
              <w:t>Per Firm Activities</w:t>
            </w:r>
          </w:p>
        </w:tc>
      </w:tr>
      <w:tr w:rsidR="00B912ED" w:rsidTr="005C1538">
        <w:tc>
          <w:tcPr>
            <w:tcW w:w="1135"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 xml:space="preserve">Rule </w:t>
            </w:r>
            <w:r>
              <w:rPr>
                <w:sz w:val="22"/>
                <w:szCs w:val="22"/>
              </w:rPr>
              <w:t>f</w:t>
            </w:r>
            <w:r w:rsidRPr="002806B5">
              <w:rPr>
                <w:sz w:val="22"/>
                <w:szCs w:val="22"/>
              </w:rPr>
              <w:t>amiliarization</w:t>
            </w:r>
          </w:p>
        </w:tc>
        <w:tc>
          <w:tcPr>
            <w:tcW w:w="800"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12.72</w:t>
            </w:r>
          </w:p>
        </w:tc>
        <w:tc>
          <w:tcPr>
            <w:tcW w:w="758" w:type="pct"/>
            <w:gridSpan w:val="3"/>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13</w:t>
            </w:r>
          </w:p>
        </w:tc>
        <w:tc>
          <w:tcPr>
            <w:tcW w:w="819"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0.83</w:t>
            </w:r>
          </w:p>
        </w:tc>
        <w:tc>
          <w:tcPr>
            <w:tcW w:w="822"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10.56</w:t>
            </w:r>
          </w:p>
        </w:tc>
      </w:tr>
      <w:tr w:rsidR="00B912ED" w:rsidTr="005C1538">
        <w:tc>
          <w:tcPr>
            <w:tcW w:w="1135" w:type="pct"/>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CDX registration activities</w:t>
            </w:r>
          </w:p>
        </w:tc>
        <w:tc>
          <w:tcPr>
            <w:tcW w:w="800" w:type="pct"/>
            <w:gridSpan w:val="2"/>
            <w:tcBorders>
              <w:top w:val="single"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12.72</w:t>
            </w:r>
          </w:p>
        </w:tc>
        <w:tc>
          <w:tcPr>
            <w:tcW w:w="758" w:type="pct"/>
            <w:gridSpan w:val="3"/>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w:t>
            </w:r>
          </w:p>
        </w:tc>
        <w:tc>
          <w:tcPr>
            <w:tcW w:w="666" w:type="pct"/>
            <w:gridSpan w:val="2"/>
            <w:tcBorders>
              <w:top w:val="single"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13</w:t>
            </w:r>
          </w:p>
        </w:tc>
        <w:tc>
          <w:tcPr>
            <w:tcW w:w="819" w:type="pct"/>
            <w:gridSpan w:val="2"/>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2.80</w:t>
            </w:r>
          </w:p>
        </w:tc>
        <w:tc>
          <w:tcPr>
            <w:tcW w:w="822" w:type="pct"/>
            <w:tcBorders>
              <w:top w:val="single"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35.64</w:t>
            </w:r>
          </w:p>
        </w:tc>
      </w:tr>
      <w:tr w:rsidR="00B912ED" w:rsidTr="005C1538">
        <w:tc>
          <w:tcPr>
            <w:tcW w:w="1135"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CDX r</w:t>
            </w:r>
            <w:r w:rsidRPr="002806B5">
              <w:rPr>
                <w:i/>
                <w:sz w:val="22"/>
                <w:szCs w:val="22"/>
              </w:rPr>
              <w:t>egistration</w:t>
            </w:r>
          </w:p>
        </w:tc>
        <w:tc>
          <w:tcPr>
            <w:tcW w:w="800" w:type="pct"/>
            <w:gridSpan w:val="2"/>
            <w:tcBorders>
              <w:top w:val="dotted"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color w:val="000000"/>
                <w:sz w:val="22"/>
                <w:szCs w:val="22"/>
              </w:rPr>
              <w:t>12.72</w:t>
            </w:r>
          </w:p>
        </w:tc>
        <w:tc>
          <w:tcPr>
            <w:tcW w:w="758" w:type="pct"/>
            <w:gridSpan w:val="3"/>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i/>
                <w:iCs/>
                <w:color w:val="000000"/>
                <w:sz w:val="22"/>
                <w:szCs w:val="22"/>
              </w:rPr>
              <w:t>1</w:t>
            </w:r>
          </w:p>
        </w:tc>
        <w:tc>
          <w:tcPr>
            <w:tcW w:w="666" w:type="pct"/>
            <w:gridSpan w:val="2"/>
            <w:tcBorders>
              <w:top w:val="dotted"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color w:val="000000"/>
                <w:sz w:val="22"/>
                <w:szCs w:val="22"/>
              </w:rPr>
              <w:t>13</w:t>
            </w:r>
          </w:p>
        </w:tc>
        <w:tc>
          <w:tcPr>
            <w:tcW w:w="819" w:type="pct"/>
            <w:gridSpan w:val="2"/>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0.92</w:t>
            </w:r>
          </w:p>
        </w:tc>
        <w:tc>
          <w:tcPr>
            <w:tcW w:w="822" w:type="pct"/>
            <w:tcBorders>
              <w:top w:val="dotted" w:sz="4" w:space="0" w:color="auto"/>
              <w:left w:val="single" w:sz="4" w:space="0" w:color="auto"/>
              <w:bottom w:val="dotted" w:sz="4" w:space="0" w:color="auto"/>
              <w:right w:val="single" w:sz="4" w:space="0" w:color="auto"/>
            </w:tcBorders>
            <w:vAlign w:val="center"/>
            <w:hideMark/>
          </w:tcPr>
          <w:p w:rsidR="00B912ED" w:rsidRPr="008A2CF2"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8A2CF2">
              <w:rPr>
                <w:b/>
                <w:bCs/>
                <w:i/>
                <w:color w:val="000000"/>
                <w:sz w:val="22"/>
                <w:szCs w:val="22"/>
              </w:rPr>
              <w:t>11.67</w:t>
            </w:r>
          </w:p>
        </w:tc>
      </w:tr>
      <w:tr w:rsidR="00B912ED" w:rsidTr="005C1538">
        <w:tc>
          <w:tcPr>
            <w:tcW w:w="1135" w:type="pct"/>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sidRPr="002806B5">
              <w:rPr>
                <w:i/>
                <w:sz w:val="22"/>
                <w:szCs w:val="22"/>
              </w:rPr>
              <w:t>ESA</w:t>
            </w:r>
          </w:p>
        </w:tc>
        <w:tc>
          <w:tcPr>
            <w:tcW w:w="800" w:type="pct"/>
            <w:gridSpan w:val="2"/>
            <w:tcBorders>
              <w:top w:val="dotted"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color w:val="000000"/>
                <w:sz w:val="22"/>
                <w:szCs w:val="22"/>
              </w:rPr>
              <w:t>12.72</w:t>
            </w:r>
          </w:p>
        </w:tc>
        <w:tc>
          <w:tcPr>
            <w:tcW w:w="758" w:type="pct"/>
            <w:gridSpan w:val="3"/>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i/>
                <w:iCs/>
                <w:color w:val="000000"/>
                <w:sz w:val="22"/>
                <w:szCs w:val="22"/>
              </w:rPr>
              <w:t>1</w:t>
            </w:r>
          </w:p>
        </w:tc>
        <w:tc>
          <w:tcPr>
            <w:tcW w:w="666" w:type="pct"/>
            <w:gridSpan w:val="2"/>
            <w:tcBorders>
              <w:top w:val="dotted" w:sz="4" w:space="0" w:color="auto"/>
              <w:left w:val="single" w:sz="4" w:space="0" w:color="auto"/>
              <w:bottom w:val="dotted"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color w:val="000000"/>
                <w:sz w:val="22"/>
                <w:szCs w:val="22"/>
              </w:rPr>
              <w:t>13</w:t>
            </w:r>
          </w:p>
        </w:tc>
        <w:tc>
          <w:tcPr>
            <w:tcW w:w="819" w:type="pct"/>
            <w:gridSpan w:val="2"/>
            <w:tcBorders>
              <w:top w:val="dotted" w:sz="4" w:space="0" w:color="auto"/>
              <w:left w:val="single" w:sz="4" w:space="0" w:color="auto"/>
              <w:bottom w:val="dotted"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1.75</w:t>
            </w:r>
          </w:p>
        </w:tc>
        <w:tc>
          <w:tcPr>
            <w:tcW w:w="822" w:type="pct"/>
            <w:tcBorders>
              <w:top w:val="dotted" w:sz="4" w:space="0" w:color="auto"/>
              <w:left w:val="single" w:sz="4" w:space="0" w:color="auto"/>
              <w:bottom w:val="dotted" w:sz="4" w:space="0" w:color="auto"/>
              <w:right w:val="single" w:sz="4" w:space="0" w:color="auto"/>
            </w:tcBorders>
            <w:vAlign w:val="center"/>
            <w:hideMark/>
          </w:tcPr>
          <w:p w:rsidR="00B912ED" w:rsidRPr="008A2CF2"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8A2CF2">
              <w:rPr>
                <w:b/>
                <w:bCs/>
                <w:i/>
                <w:color w:val="000000"/>
                <w:sz w:val="22"/>
                <w:szCs w:val="22"/>
              </w:rPr>
              <w:t>22.27</w:t>
            </w:r>
          </w:p>
        </w:tc>
      </w:tr>
      <w:tr w:rsidR="00B912ED" w:rsidTr="005C1538">
        <w:tc>
          <w:tcPr>
            <w:tcW w:w="1135" w:type="pct"/>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Pay.gov a</w:t>
            </w:r>
            <w:r w:rsidRPr="002806B5">
              <w:rPr>
                <w:i/>
                <w:sz w:val="22"/>
                <w:szCs w:val="22"/>
              </w:rPr>
              <w:t xml:space="preserve">ccount </w:t>
            </w:r>
          </w:p>
        </w:tc>
        <w:tc>
          <w:tcPr>
            <w:tcW w:w="800" w:type="pct"/>
            <w:gridSpan w:val="2"/>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sidRPr="002806B5">
              <w:rPr>
                <w:color w:val="000000"/>
                <w:sz w:val="22"/>
                <w:szCs w:val="22"/>
              </w:rPr>
              <w:t>12.72</w:t>
            </w:r>
          </w:p>
        </w:tc>
        <w:tc>
          <w:tcPr>
            <w:tcW w:w="758" w:type="pct"/>
            <w:gridSpan w:val="3"/>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2"/>
              </w:rPr>
            </w:pPr>
            <w:r w:rsidRPr="002806B5">
              <w:rPr>
                <w:i/>
                <w:iCs/>
                <w:color w:val="000000"/>
                <w:sz w:val="22"/>
                <w:szCs w:val="22"/>
              </w:rPr>
              <w:t>1</w:t>
            </w:r>
          </w:p>
        </w:tc>
        <w:tc>
          <w:tcPr>
            <w:tcW w:w="666" w:type="pct"/>
            <w:gridSpan w:val="2"/>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13</w:t>
            </w:r>
          </w:p>
        </w:tc>
        <w:tc>
          <w:tcPr>
            <w:tcW w:w="819" w:type="pct"/>
            <w:gridSpan w:val="2"/>
            <w:tcBorders>
              <w:top w:val="dotted"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0.13</w:t>
            </w:r>
          </w:p>
        </w:tc>
        <w:tc>
          <w:tcPr>
            <w:tcW w:w="822" w:type="pct"/>
            <w:tcBorders>
              <w:top w:val="dotted" w:sz="4" w:space="0" w:color="auto"/>
              <w:left w:val="single" w:sz="4" w:space="0" w:color="auto"/>
              <w:bottom w:val="single" w:sz="4" w:space="0" w:color="auto"/>
              <w:right w:val="single" w:sz="4" w:space="0" w:color="auto"/>
            </w:tcBorders>
            <w:vAlign w:val="center"/>
          </w:tcPr>
          <w:p w:rsidR="00B912ED" w:rsidRPr="008A2CF2"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8A2CF2">
              <w:rPr>
                <w:b/>
                <w:bCs/>
                <w:i/>
                <w:color w:val="000000"/>
                <w:sz w:val="22"/>
                <w:szCs w:val="22"/>
              </w:rPr>
              <w:t>1.70</w:t>
            </w:r>
          </w:p>
        </w:tc>
      </w:tr>
      <w:tr w:rsidR="00B912ED" w:rsidTr="005C1538">
        <w:tc>
          <w:tcPr>
            <w:tcW w:w="1135"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sz w:val="22"/>
                <w:szCs w:val="22"/>
              </w:rPr>
              <w:t xml:space="preserve">Preparation, </w:t>
            </w:r>
            <w:r>
              <w:rPr>
                <w:sz w:val="22"/>
                <w:szCs w:val="22"/>
              </w:rPr>
              <w:t>s</w:t>
            </w:r>
            <w:r w:rsidRPr="002806B5">
              <w:rPr>
                <w:sz w:val="22"/>
                <w:szCs w:val="22"/>
              </w:rPr>
              <w:t xml:space="preserve">ubmission, and </w:t>
            </w:r>
            <w:r>
              <w:rPr>
                <w:sz w:val="22"/>
                <w:szCs w:val="22"/>
              </w:rPr>
              <w:t>r</w:t>
            </w:r>
            <w:r w:rsidRPr="002806B5">
              <w:rPr>
                <w:sz w:val="22"/>
                <w:szCs w:val="22"/>
              </w:rPr>
              <w:t>ecordkeeping for SNUN</w:t>
            </w:r>
          </w:p>
        </w:tc>
        <w:tc>
          <w:tcPr>
            <w:tcW w:w="800"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12.72</w:t>
            </w:r>
          </w:p>
        </w:tc>
        <w:tc>
          <w:tcPr>
            <w:tcW w:w="758" w:type="pct"/>
            <w:gridSpan w:val="3"/>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1.65</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sidRPr="002806B5">
              <w:rPr>
                <w:color w:val="000000"/>
                <w:sz w:val="22"/>
                <w:szCs w:val="22"/>
              </w:rPr>
              <w:t>21</w:t>
            </w:r>
          </w:p>
        </w:tc>
        <w:tc>
          <w:tcPr>
            <w:tcW w:w="819" w:type="pct"/>
            <w:gridSpan w:val="2"/>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92.2</w:t>
            </w:r>
          </w:p>
        </w:tc>
        <w:tc>
          <w:tcPr>
            <w:tcW w:w="822"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1,936</w:t>
            </w:r>
          </w:p>
        </w:tc>
      </w:tr>
      <w:tr w:rsidR="00B912ED" w:rsidTr="005C1538">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i/>
                <w:color w:val="000000"/>
                <w:sz w:val="22"/>
                <w:szCs w:val="22"/>
              </w:rPr>
              <w:t xml:space="preserve"> Per SNUR Activities</w:t>
            </w:r>
          </w:p>
        </w:tc>
      </w:tr>
      <w:tr w:rsidR="00B912ED" w:rsidTr="005C1538">
        <w:tc>
          <w:tcPr>
            <w:tcW w:w="1135"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color w:val="000000"/>
                <w:sz w:val="22"/>
              </w:rPr>
            </w:pPr>
            <w:r w:rsidRPr="002806B5">
              <w:rPr>
                <w:color w:val="000000"/>
                <w:sz w:val="22"/>
                <w:szCs w:val="22"/>
              </w:rPr>
              <w:t xml:space="preserve">Chemical </w:t>
            </w:r>
            <w:r>
              <w:rPr>
                <w:color w:val="000000"/>
                <w:sz w:val="22"/>
                <w:szCs w:val="22"/>
              </w:rPr>
              <w:t>v</w:t>
            </w:r>
            <w:r w:rsidRPr="002806B5">
              <w:rPr>
                <w:color w:val="000000"/>
                <w:sz w:val="22"/>
                <w:szCs w:val="22"/>
              </w:rPr>
              <w:t>erification</w:t>
            </w:r>
          </w:p>
        </w:tc>
        <w:tc>
          <w:tcPr>
            <w:tcW w:w="800"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15</w:t>
            </w:r>
          </w:p>
        </w:tc>
        <w:tc>
          <w:tcPr>
            <w:tcW w:w="758" w:type="pct"/>
            <w:gridSpan w:val="3"/>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15</w:t>
            </w:r>
          </w:p>
        </w:tc>
        <w:tc>
          <w:tcPr>
            <w:tcW w:w="819"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1.17</w:t>
            </w:r>
          </w:p>
        </w:tc>
        <w:tc>
          <w:tcPr>
            <w:tcW w:w="822"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color w:val="000000"/>
                <w:sz w:val="22"/>
                <w:szCs w:val="22"/>
              </w:rPr>
              <w:t>17.55</w:t>
            </w:r>
          </w:p>
        </w:tc>
      </w:tr>
      <w:tr w:rsidR="00B912ED" w:rsidTr="005C1538">
        <w:tc>
          <w:tcPr>
            <w:tcW w:w="1135"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color w:val="000000"/>
                <w:sz w:val="22"/>
                <w:szCs w:val="22"/>
              </w:rPr>
              <w:t xml:space="preserve">Notifying </w:t>
            </w:r>
            <w:r>
              <w:rPr>
                <w:color w:val="000000"/>
                <w:sz w:val="22"/>
                <w:szCs w:val="22"/>
              </w:rPr>
              <w:t>c</w:t>
            </w:r>
            <w:r w:rsidRPr="002806B5">
              <w:rPr>
                <w:color w:val="000000"/>
                <w:sz w:val="22"/>
                <w:szCs w:val="22"/>
              </w:rPr>
              <w:t>ustomers (</w:t>
            </w:r>
            <w:r>
              <w:rPr>
                <w:color w:val="000000"/>
                <w:sz w:val="22"/>
                <w:szCs w:val="22"/>
              </w:rPr>
              <w:t>p</w:t>
            </w:r>
            <w:r w:rsidRPr="002806B5">
              <w:rPr>
                <w:color w:val="000000"/>
                <w:sz w:val="22"/>
                <w:szCs w:val="22"/>
              </w:rPr>
              <w:t>er SNUR)</w:t>
            </w:r>
          </w:p>
        </w:tc>
        <w:tc>
          <w:tcPr>
            <w:tcW w:w="800"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105</w:t>
            </w:r>
          </w:p>
        </w:tc>
        <w:tc>
          <w:tcPr>
            <w:tcW w:w="758" w:type="pct"/>
            <w:gridSpan w:val="3"/>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2</w:t>
            </w:r>
          </w:p>
        </w:tc>
        <w:tc>
          <w:tcPr>
            <w:tcW w:w="666"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210</w:t>
            </w:r>
          </w:p>
        </w:tc>
        <w:tc>
          <w:tcPr>
            <w:tcW w:w="819" w:type="pct"/>
            <w:gridSpan w:val="2"/>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sidRPr="002806B5">
              <w:rPr>
                <w:color w:val="000000"/>
                <w:sz w:val="22"/>
                <w:szCs w:val="22"/>
              </w:rPr>
              <w:t>1</w:t>
            </w:r>
          </w:p>
        </w:tc>
        <w:tc>
          <w:tcPr>
            <w:tcW w:w="822" w:type="pct"/>
            <w:tcBorders>
              <w:top w:val="single" w:sz="4" w:space="0" w:color="auto"/>
              <w:left w:val="single" w:sz="4" w:space="0" w:color="auto"/>
              <w:bottom w:val="single" w:sz="4" w:space="0" w:color="auto"/>
              <w:right w:val="single" w:sz="4" w:space="0" w:color="auto"/>
            </w:tcBorders>
            <w:vAlign w:val="center"/>
          </w:tcPr>
          <w:p w:rsidR="00B912ED" w:rsidRPr="002806B5" w:rsidRDefault="00B912ED" w:rsidP="005C15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sidRPr="002806B5">
              <w:rPr>
                <w:b/>
                <w:color w:val="000000"/>
                <w:sz w:val="22"/>
                <w:szCs w:val="22"/>
              </w:rPr>
              <w:t>210</w:t>
            </w:r>
          </w:p>
        </w:tc>
      </w:tr>
    </w:tbl>
    <w:p w:rsidR="00B912ED" w:rsidRDefault="00B912ED" w:rsidP="00B912ED">
      <w:pPr>
        <w:keepNext/>
        <w:keepLines/>
        <w:rPr>
          <w:sz w:val="18"/>
          <w:szCs w:val="18"/>
        </w:rPr>
      </w:pPr>
      <w:r>
        <w:rPr>
          <w:sz w:val="18"/>
          <w:szCs w:val="18"/>
        </w:rPr>
        <w:t xml:space="preserve"> Some burden estimate subtotals may not calculate due to rounding of unit burden estimates </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6(c)</w:t>
      </w:r>
      <w:r>
        <w:rPr>
          <w:b/>
          <w:bCs/>
        </w:rPr>
        <w:tab/>
        <w:t>Estimating Agency Burden and Cost</w:t>
      </w:r>
      <w:r>
        <w:t xml:space="preserve"> </w:t>
      </w:r>
    </w:p>
    <w:p w:rsidR="00B912ED" w:rsidRDefault="00B912ED" w:rsidP="00B912ED">
      <w:pPr>
        <w:keepNext/>
      </w:pPr>
    </w:p>
    <w:p w:rsidR="00B912ED" w:rsidRPr="00BF29B2" w:rsidRDefault="00B912ED" w:rsidP="00B912ED">
      <w:pPr>
        <w:keepNext/>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29B2">
        <w:rPr>
          <w:u w:val="single"/>
        </w:rPr>
        <w:t>SNUN Processing</w:t>
      </w:r>
    </w:p>
    <w:p w:rsidR="00B912ED" w:rsidRDefault="00B912ED" w:rsidP="00B912ED">
      <w:pPr>
        <w:keepNext/>
      </w:pPr>
    </w:p>
    <w:p w:rsidR="00B912ED" w:rsidRDefault="00B912ED" w:rsidP="00B912ED">
      <w:pPr>
        <w:ind w:firstLine="720"/>
      </w:pPr>
      <w:r w:rsidRPr="00472907">
        <w:t xml:space="preserve">EPA’s costs to review and process SNUNs are assumed to be the same as EPA costs to review PMNs. </w:t>
      </w:r>
      <w:r w:rsidRPr="00BF29B2">
        <w:t>The list of review steps, estimates of extramural costs, and the percent of chemicals requiring a particular review step are derived from the costs for processing PMN submissions in Table VII-1 of EPA</w:t>
      </w:r>
      <w:r>
        <w:t>’s</w:t>
      </w:r>
      <w:r w:rsidRPr="00BF29B2">
        <w:t xml:space="preserve"> </w:t>
      </w:r>
      <w:r w:rsidRPr="00BF29B2">
        <w:rPr>
          <w:i/>
        </w:rPr>
        <w:t>Regulatory Impact Analysis of Amendments to Regulations for TSCA Section 5 Premanufacture Notifications</w:t>
      </w:r>
      <w:r w:rsidRPr="00BF29B2">
        <w:t xml:space="preserve"> (EPA, 1994). The Agency burden associated with processing a PMN has been adjusted to reflect burden reductions resulting from the </w:t>
      </w:r>
      <w:proofErr w:type="spellStart"/>
      <w:r w:rsidRPr="00BF29B2">
        <w:t>ePMN</w:t>
      </w:r>
      <w:proofErr w:type="spellEnd"/>
      <w:r w:rsidRPr="00BF29B2">
        <w:t xml:space="preserve"> </w:t>
      </w:r>
      <w:r>
        <w:t>r</w:t>
      </w:r>
      <w:r w:rsidRPr="00BF29B2">
        <w:t xml:space="preserve">ule that requires the electronic submission of all TSCA section 5 notices. Electronic submission of SNUN forms is expected </w:t>
      </w:r>
      <w:r>
        <w:t xml:space="preserve">to </w:t>
      </w:r>
      <w:r w:rsidRPr="00BF29B2">
        <w:t>reduce Agency burden by 16.5 percent (EPA, 2009</w:t>
      </w:r>
      <w:r>
        <w:t>a</w:t>
      </w:r>
      <w:r w:rsidRPr="00BF29B2">
        <w:t>, p.28).</w:t>
      </w:r>
      <w:r>
        <w:t xml:space="preserve"> </w:t>
      </w:r>
      <w:r w:rsidRPr="00BF29B2">
        <w:t>The Extramural Cost column shows costs for contractor support and other outside purchases for chemicals requiring the selected review step, and is inflated from 1993 prices using the Bureau of Labor Statistics (BLS) Employment Cost Index (ECI) data (BLS, 2011b). T</w:t>
      </w:r>
      <w:r w:rsidRPr="00BF29B2">
        <w:rPr>
          <w:rStyle w:val="FootnoteReference"/>
        </w:rPr>
        <w:t>he not seasonally adjusted E</w:t>
      </w:r>
      <w:r w:rsidRPr="00BF29B2">
        <w:t>CI</w:t>
      </w:r>
      <w:r w:rsidRPr="00BF29B2">
        <w:rPr>
          <w:rStyle w:val="FootnoteReference"/>
        </w:rPr>
        <w:t xml:space="preserve"> for total compensation of private industry professional and related workers (Series ID CIU2010000120000I</w:t>
      </w:r>
      <w:r w:rsidRPr="00BF29B2">
        <w:t xml:space="preserve">) is used because it is the only series with continuous data since 1985, and that includes professional and technical labor, which perform the majority of </w:t>
      </w:r>
      <w:r w:rsidRPr="00BF29B2">
        <w:rPr>
          <w:rStyle w:val="FootnoteReference"/>
        </w:rPr>
        <w:t>Agency extramural</w:t>
      </w:r>
      <w:r w:rsidRPr="00BF29B2">
        <w:t xml:space="preserve"> activities. Table 1</w:t>
      </w:r>
      <w:r>
        <w:t xml:space="preserve">5 </w:t>
      </w:r>
      <w:r w:rsidRPr="00472907">
        <w:t>contains the derivation of inflation factors for Agency extramural costs.</w:t>
      </w:r>
    </w:p>
    <w:p w:rsidR="005472EA" w:rsidRDefault="005472EA" w:rsidP="00B912ED">
      <w:pPr>
        <w:ind w:firstLine="720"/>
      </w:pPr>
    </w:p>
    <w:p w:rsidR="00B912ED" w:rsidRDefault="00B912ED" w:rsidP="005472EA">
      <w:pPr>
        <w:pStyle w:val="Caption"/>
        <w:keepNext/>
        <w:keepLines/>
        <w:shd w:val="clear" w:color="auto" w:fill="FFFFFF"/>
        <w:spacing w:before="0" w:after="0"/>
        <w:rPr>
          <w:color w:val="auto"/>
          <w:szCs w:val="24"/>
        </w:rPr>
      </w:pPr>
      <w:r>
        <w:rPr>
          <w:color w:val="auto"/>
          <w:szCs w:val="24"/>
        </w:rPr>
        <w:lastRenderedPageBreak/>
        <w:t xml:space="preserve">  </w:t>
      </w:r>
      <w:r w:rsidRPr="002806B5">
        <w:rPr>
          <w:color w:val="auto"/>
          <w:szCs w:val="24"/>
        </w:rPr>
        <w:t>Table 1</w:t>
      </w:r>
      <w:r>
        <w:rPr>
          <w:color w:val="auto"/>
          <w:szCs w:val="24"/>
        </w:rPr>
        <w:t>5</w:t>
      </w:r>
      <w:r w:rsidRPr="002806B5">
        <w:rPr>
          <w:color w:val="auto"/>
          <w:szCs w:val="24"/>
        </w:rPr>
        <w:t xml:space="preserve">: </w:t>
      </w:r>
      <w:r>
        <w:rPr>
          <w:color w:val="auto"/>
          <w:szCs w:val="24"/>
        </w:rPr>
        <w:t xml:space="preserve">Derivation of Inflation Factors for </w:t>
      </w:r>
      <w:r w:rsidRPr="002806B5">
        <w:rPr>
          <w:color w:val="auto"/>
          <w:szCs w:val="24"/>
        </w:rPr>
        <w:t xml:space="preserve">Agency </w:t>
      </w:r>
      <w:r>
        <w:rPr>
          <w:color w:val="auto"/>
          <w:szCs w:val="24"/>
        </w:rPr>
        <w:t xml:space="preserve">Extramural </w:t>
      </w:r>
      <w:r w:rsidRPr="002806B5">
        <w:rPr>
          <w:color w:val="auto"/>
          <w:szCs w:val="24"/>
        </w:rPr>
        <w:t xml:space="preserve">Costs </w:t>
      </w:r>
    </w:p>
    <w:tbl>
      <w:tblPr>
        <w:tblStyle w:val="TableGrid"/>
        <w:tblW w:w="0" w:type="auto"/>
        <w:tblInd w:w="108" w:type="dxa"/>
        <w:tblLook w:val="04A0"/>
      </w:tblPr>
      <w:tblGrid>
        <w:gridCol w:w="3050"/>
        <w:gridCol w:w="2425"/>
        <w:gridCol w:w="916"/>
        <w:gridCol w:w="990"/>
        <w:gridCol w:w="989"/>
        <w:gridCol w:w="1098"/>
      </w:tblGrid>
      <w:tr w:rsidR="00B912ED" w:rsidTr="005C1538">
        <w:tc>
          <w:tcPr>
            <w:tcW w:w="3050" w:type="dxa"/>
            <w:vAlign w:val="center"/>
          </w:tcPr>
          <w:p w:rsidR="00B912ED" w:rsidRPr="00B65541" w:rsidRDefault="00B912ED" w:rsidP="005472EA">
            <w:pPr>
              <w:keepNext/>
              <w:keepLines/>
              <w:widowControl/>
              <w:adjustRightInd/>
              <w:jc w:val="center"/>
              <w:rPr>
                <w:b/>
                <w:bCs/>
                <w:szCs w:val="20"/>
              </w:rPr>
            </w:pPr>
            <w:r w:rsidRPr="00B65541">
              <w:rPr>
                <w:b/>
                <w:bCs/>
                <w:szCs w:val="20"/>
              </w:rPr>
              <w:t>Item</w:t>
            </w:r>
          </w:p>
        </w:tc>
        <w:tc>
          <w:tcPr>
            <w:tcW w:w="2425" w:type="dxa"/>
            <w:vAlign w:val="center"/>
          </w:tcPr>
          <w:p w:rsidR="00B912ED" w:rsidRPr="00B65541" w:rsidRDefault="00B912ED" w:rsidP="005472EA">
            <w:pPr>
              <w:keepNext/>
              <w:keepLines/>
              <w:widowControl/>
              <w:adjustRightInd/>
              <w:jc w:val="center"/>
              <w:rPr>
                <w:b/>
                <w:bCs/>
                <w:szCs w:val="20"/>
              </w:rPr>
            </w:pPr>
            <w:r w:rsidRPr="00B65541">
              <w:rPr>
                <w:b/>
                <w:bCs/>
                <w:szCs w:val="20"/>
              </w:rPr>
              <w:t>Inflation index source</w:t>
            </w:r>
            <w:r w:rsidRPr="00B65541">
              <w:rPr>
                <w:szCs w:val="20"/>
                <w:vertAlign w:val="superscript"/>
              </w:rPr>
              <w:t>1</w:t>
            </w:r>
          </w:p>
        </w:tc>
        <w:tc>
          <w:tcPr>
            <w:tcW w:w="916" w:type="dxa"/>
            <w:vAlign w:val="center"/>
          </w:tcPr>
          <w:p w:rsidR="00B912ED" w:rsidRPr="00B65541" w:rsidRDefault="00B912ED" w:rsidP="005472EA">
            <w:pPr>
              <w:keepNext/>
              <w:keepLines/>
              <w:widowControl/>
              <w:adjustRightInd/>
              <w:jc w:val="center"/>
              <w:rPr>
                <w:b/>
                <w:bCs/>
                <w:szCs w:val="20"/>
              </w:rPr>
            </w:pPr>
            <w:r w:rsidRPr="00B65541">
              <w:rPr>
                <w:b/>
                <w:bCs/>
                <w:szCs w:val="20"/>
              </w:rPr>
              <w:t>Starting year</w:t>
            </w:r>
          </w:p>
        </w:tc>
        <w:tc>
          <w:tcPr>
            <w:tcW w:w="990" w:type="dxa"/>
            <w:vAlign w:val="center"/>
          </w:tcPr>
          <w:p w:rsidR="00B912ED" w:rsidRPr="00B65541" w:rsidRDefault="00B912ED" w:rsidP="005472EA">
            <w:pPr>
              <w:keepNext/>
              <w:keepLines/>
              <w:widowControl/>
              <w:adjustRightInd/>
              <w:jc w:val="center"/>
              <w:rPr>
                <w:b/>
                <w:bCs/>
                <w:szCs w:val="20"/>
              </w:rPr>
            </w:pPr>
            <w:r w:rsidRPr="00B65541">
              <w:rPr>
                <w:b/>
                <w:bCs/>
                <w:szCs w:val="20"/>
              </w:rPr>
              <w:t>Index for starting year</w:t>
            </w:r>
            <w:r w:rsidRPr="00B65541">
              <w:rPr>
                <w:szCs w:val="20"/>
              </w:rPr>
              <w:t xml:space="preserve"> (a)</w:t>
            </w:r>
          </w:p>
        </w:tc>
        <w:tc>
          <w:tcPr>
            <w:tcW w:w="989" w:type="dxa"/>
            <w:vAlign w:val="center"/>
          </w:tcPr>
          <w:p w:rsidR="00B912ED" w:rsidRPr="00B65541" w:rsidRDefault="00B912ED" w:rsidP="005472EA">
            <w:pPr>
              <w:keepNext/>
              <w:keepLines/>
              <w:widowControl/>
              <w:adjustRightInd/>
              <w:jc w:val="center"/>
              <w:rPr>
                <w:b/>
                <w:bCs/>
                <w:szCs w:val="20"/>
              </w:rPr>
            </w:pPr>
            <w:r w:rsidRPr="00B65541">
              <w:rPr>
                <w:b/>
                <w:bCs/>
                <w:szCs w:val="20"/>
              </w:rPr>
              <w:t>Index for 2010</w:t>
            </w:r>
            <w:r w:rsidRPr="00B65541">
              <w:rPr>
                <w:b/>
                <w:bCs/>
                <w:szCs w:val="20"/>
              </w:rPr>
              <w:br/>
            </w:r>
            <w:r w:rsidRPr="00B65541">
              <w:rPr>
                <w:szCs w:val="20"/>
              </w:rPr>
              <w:t>(b)</w:t>
            </w:r>
          </w:p>
        </w:tc>
        <w:tc>
          <w:tcPr>
            <w:tcW w:w="1098" w:type="dxa"/>
            <w:vAlign w:val="center"/>
          </w:tcPr>
          <w:p w:rsidR="00B912ED" w:rsidRPr="00B65541" w:rsidRDefault="00B912ED" w:rsidP="005472EA">
            <w:pPr>
              <w:keepNext/>
              <w:keepLines/>
              <w:widowControl/>
              <w:adjustRightInd/>
              <w:jc w:val="center"/>
              <w:rPr>
                <w:b/>
                <w:bCs/>
                <w:szCs w:val="20"/>
              </w:rPr>
            </w:pPr>
            <w:r w:rsidRPr="00B65541">
              <w:rPr>
                <w:b/>
                <w:bCs/>
                <w:szCs w:val="20"/>
              </w:rPr>
              <w:t>Inflation factor</w:t>
            </w:r>
            <w:r w:rsidRPr="00B65541">
              <w:rPr>
                <w:szCs w:val="20"/>
              </w:rPr>
              <w:t xml:space="preserve"> </w:t>
            </w:r>
            <w:r w:rsidRPr="00B65541">
              <w:rPr>
                <w:szCs w:val="20"/>
              </w:rPr>
              <w:br/>
              <w:t>(b)/(a)</w:t>
            </w:r>
            <w:r w:rsidRPr="00B65541">
              <w:rPr>
                <w:szCs w:val="20"/>
                <w:vertAlign w:val="superscript"/>
              </w:rPr>
              <w:t>2</w:t>
            </w:r>
          </w:p>
        </w:tc>
      </w:tr>
      <w:tr w:rsidR="00B912ED" w:rsidTr="005C1538">
        <w:tc>
          <w:tcPr>
            <w:tcW w:w="3050" w:type="dxa"/>
          </w:tcPr>
          <w:p w:rsidR="00B912ED" w:rsidRDefault="00B912ED" w:rsidP="005472EA">
            <w:pPr>
              <w:keepNext/>
              <w:keepLines/>
              <w:widowControl/>
              <w:adjustRightInd/>
              <w:jc w:val="center"/>
              <w:rPr>
                <w:szCs w:val="20"/>
              </w:rPr>
            </w:pPr>
            <w:r w:rsidRPr="00B65541">
              <w:rPr>
                <w:szCs w:val="20"/>
              </w:rPr>
              <w:t xml:space="preserve">Agency </w:t>
            </w:r>
            <w:r>
              <w:rPr>
                <w:szCs w:val="20"/>
              </w:rPr>
              <w:t>e</w:t>
            </w:r>
            <w:r w:rsidRPr="00B65541">
              <w:rPr>
                <w:szCs w:val="20"/>
              </w:rPr>
              <w:t xml:space="preserve">xtramural costs </w:t>
            </w:r>
          </w:p>
          <w:p w:rsidR="00B912ED" w:rsidRPr="00B65541" w:rsidRDefault="00B912ED" w:rsidP="005472EA">
            <w:pPr>
              <w:keepNext/>
              <w:keepLines/>
              <w:widowControl/>
              <w:adjustRightInd/>
              <w:jc w:val="center"/>
              <w:rPr>
                <w:szCs w:val="20"/>
              </w:rPr>
            </w:pPr>
            <w:r w:rsidRPr="00B65541">
              <w:rPr>
                <w:i/>
                <w:iCs/>
                <w:szCs w:val="20"/>
              </w:rPr>
              <w:t>White collar labor; equipment; supplies</w:t>
            </w:r>
          </w:p>
        </w:tc>
        <w:tc>
          <w:tcPr>
            <w:tcW w:w="2425" w:type="dxa"/>
          </w:tcPr>
          <w:p w:rsidR="00B912ED" w:rsidRPr="00B65541" w:rsidRDefault="00B912ED" w:rsidP="005472EA">
            <w:pPr>
              <w:keepNext/>
              <w:keepLines/>
              <w:widowControl/>
              <w:adjustRightInd/>
              <w:jc w:val="center"/>
              <w:rPr>
                <w:szCs w:val="20"/>
              </w:rPr>
            </w:pPr>
            <w:r w:rsidRPr="00B65541">
              <w:rPr>
                <w:szCs w:val="20"/>
              </w:rPr>
              <w:t xml:space="preserve">BLS ECI, NSA, Total comp, Private industry, </w:t>
            </w:r>
            <w:r w:rsidRPr="00B65541">
              <w:rPr>
                <w:b/>
                <w:bCs/>
                <w:szCs w:val="20"/>
              </w:rPr>
              <w:t>Professional and related</w:t>
            </w:r>
            <w:r w:rsidRPr="00B65541">
              <w:rPr>
                <w:szCs w:val="20"/>
              </w:rPr>
              <w:t>, 4</w:t>
            </w:r>
            <w:r w:rsidRPr="00B65541">
              <w:rPr>
                <w:szCs w:val="20"/>
                <w:vertAlign w:val="superscript"/>
              </w:rPr>
              <w:t>th</w:t>
            </w:r>
            <w:r w:rsidRPr="00B65541">
              <w:rPr>
                <w:szCs w:val="20"/>
              </w:rPr>
              <w:t xml:space="preserve"> Q [BLS 2011 b]</w:t>
            </w:r>
          </w:p>
        </w:tc>
        <w:tc>
          <w:tcPr>
            <w:tcW w:w="916" w:type="dxa"/>
          </w:tcPr>
          <w:p w:rsidR="00B912ED" w:rsidRPr="00B65541" w:rsidRDefault="00B912ED" w:rsidP="005472EA">
            <w:pPr>
              <w:keepNext/>
              <w:keepLines/>
              <w:widowControl/>
              <w:adjustRightInd/>
              <w:jc w:val="center"/>
              <w:rPr>
                <w:szCs w:val="20"/>
              </w:rPr>
            </w:pPr>
            <w:r w:rsidRPr="00B65541">
              <w:rPr>
                <w:szCs w:val="20"/>
              </w:rPr>
              <w:t>1993</w:t>
            </w:r>
          </w:p>
        </w:tc>
        <w:tc>
          <w:tcPr>
            <w:tcW w:w="990" w:type="dxa"/>
          </w:tcPr>
          <w:p w:rsidR="00B912ED" w:rsidRPr="00B65541" w:rsidRDefault="00B912ED" w:rsidP="005472EA">
            <w:pPr>
              <w:keepNext/>
              <w:keepLines/>
              <w:widowControl/>
              <w:adjustRightInd/>
              <w:jc w:val="center"/>
              <w:rPr>
                <w:szCs w:val="20"/>
              </w:rPr>
            </w:pPr>
            <w:r w:rsidRPr="00B65541">
              <w:rPr>
                <w:szCs w:val="20"/>
              </w:rPr>
              <w:t>67.0</w:t>
            </w:r>
          </w:p>
        </w:tc>
        <w:tc>
          <w:tcPr>
            <w:tcW w:w="989" w:type="dxa"/>
          </w:tcPr>
          <w:p w:rsidR="00B912ED" w:rsidRPr="00B65541" w:rsidRDefault="00B912ED" w:rsidP="005472EA">
            <w:pPr>
              <w:keepNext/>
              <w:keepLines/>
              <w:widowControl/>
              <w:adjustRightInd/>
              <w:jc w:val="center"/>
              <w:rPr>
                <w:szCs w:val="20"/>
              </w:rPr>
            </w:pPr>
            <w:r w:rsidRPr="00B65541">
              <w:rPr>
                <w:szCs w:val="20"/>
              </w:rPr>
              <w:t>113.5</w:t>
            </w:r>
          </w:p>
        </w:tc>
        <w:tc>
          <w:tcPr>
            <w:tcW w:w="1098" w:type="dxa"/>
          </w:tcPr>
          <w:p w:rsidR="00B912ED" w:rsidRPr="00B65541" w:rsidRDefault="00B912ED" w:rsidP="005472EA">
            <w:pPr>
              <w:keepNext/>
              <w:keepLines/>
              <w:widowControl/>
              <w:adjustRightInd/>
              <w:jc w:val="center"/>
              <w:rPr>
                <w:szCs w:val="20"/>
              </w:rPr>
            </w:pPr>
            <w:r w:rsidRPr="00B65541">
              <w:rPr>
                <w:szCs w:val="20"/>
              </w:rPr>
              <w:t>1.694</w:t>
            </w:r>
          </w:p>
        </w:tc>
      </w:tr>
    </w:tbl>
    <w:p w:rsidR="00B912ED" w:rsidRDefault="00B912ED" w:rsidP="005472EA">
      <w:pPr>
        <w:keepNext/>
        <w:keepLines/>
        <w:widowControl/>
        <w:rPr>
          <w:sz w:val="18"/>
          <w:szCs w:val="18"/>
          <w:vertAlign w:val="superscript"/>
        </w:rPr>
      </w:pPr>
    </w:p>
    <w:p w:rsidR="00B912ED" w:rsidRDefault="00B912ED" w:rsidP="005472EA">
      <w:pPr>
        <w:keepNext/>
        <w:keepLines/>
        <w:widowControl/>
        <w:rPr>
          <w:sz w:val="18"/>
          <w:szCs w:val="18"/>
        </w:rPr>
      </w:pPr>
      <w:r w:rsidRPr="00E5685B">
        <w:rPr>
          <w:sz w:val="18"/>
          <w:szCs w:val="18"/>
          <w:vertAlign w:val="superscript"/>
        </w:rPr>
        <w:t>1</w:t>
      </w:r>
      <w:r>
        <w:rPr>
          <w:sz w:val="18"/>
          <w:szCs w:val="18"/>
        </w:rPr>
        <w:t xml:space="preserve"> In 2006, the Bureau of Labor Statistics (BLS) Employment Cost Index (ECI) series "were rebased to December 2005 = 100 from June 1989 = 100." The change is reflected in the indices in this table and explained on the BLS website, Employment Cost Index News Release Text: Employment Cost Index, March 2006 (BLS, 2006).</w:t>
      </w:r>
    </w:p>
    <w:p w:rsidR="00B912ED" w:rsidRDefault="00B912ED" w:rsidP="005472EA">
      <w:pPr>
        <w:keepNext/>
        <w:keepLines/>
        <w:widowControl/>
        <w:rPr>
          <w:sz w:val="18"/>
          <w:szCs w:val="18"/>
        </w:rPr>
      </w:pPr>
    </w:p>
    <w:p w:rsidR="00B912ED" w:rsidRDefault="00B912ED" w:rsidP="005472EA">
      <w:pPr>
        <w:keepNext/>
        <w:keepLines/>
        <w:widowControl/>
        <w:rPr>
          <w:sz w:val="18"/>
          <w:szCs w:val="18"/>
        </w:rPr>
      </w:pPr>
      <w:r w:rsidRPr="004E616F">
        <w:rPr>
          <w:sz w:val="18"/>
          <w:szCs w:val="18"/>
        </w:rPr>
        <w:t>The “Starting year” ECI index is SIC-OCS based: ECS11102I for private industry White Collar Workers.  The index is Seasonally Adjusted (SA).</w:t>
      </w:r>
    </w:p>
    <w:p w:rsidR="00B912ED" w:rsidRDefault="00B912ED" w:rsidP="005472EA">
      <w:pPr>
        <w:keepNext/>
        <w:keepLines/>
        <w:widowControl/>
        <w:rPr>
          <w:sz w:val="18"/>
          <w:szCs w:val="18"/>
        </w:rPr>
      </w:pPr>
    </w:p>
    <w:p w:rsidR="00B912ED" w:rsidRDefault="00B912ED" w:rsidP="005472EA">
      <w:pPr>
        <w:keepNext/>
        <w:keepLines/>
        <w:widowControl/>
        <w:rPr>
          <w:sz w:val="18"/>
          <w:szCs w:val="18"/>
        </w:rPr>
      </w:pPr>
      <w:r w:rsidRPr="004E616F">
        <w:rPr>
          <w:sz w:val="18"/>
          <w:szCs w:val="18"/>
        </w:rPr>
        <w:t>The year 2010 ECI index is NAICS-SOC based: CIU2010000120000I (B) for private industry White Collar Workers.  The index is Seasonally Adjusted (SA).</w:t>
      </w:r>
    </w:p>
    <w:p w:rsidR="00B912ED" w:rsidRDefault="00B912ED" w:rsidP="005472EA">
      <w:pPr>
        <w:keepNext/>
        <w:keepLines/>
        <w:widowControl/>
        <w:rPr>
          <w:sz w:val="18"/>
          <w:szCs w:val="18"/>
        </w:rPr>
      </w:pPr>
    </w:p>
    <w:p w:rsidR="00B912ED" w:rsidRPr="006F05C8" w:rsidRDefault="00B912ED" w:rsidP="005472EA">
      <w:pPr>
        <w:keepNext/>
        <w:keepLines/>
        <w:widowControl/>
        <w:rPr>
          <w:sz w:val="18"/>
          <w:szCs w:val="18"/>
        </w:rPr>
      </w:pPr>
      <w:r w:rsidRPr="006F05C8">
        <w:rPr>
          <w:sz w:val="18"/>
          <w:szCs w:val="18"/>
          <w:vertAlign w:val="superscript"/>
        </w:rPr>
        <w:t>2</w:t>
      </w:r>
      <w:r w:rsidRPr="004E616F">
        <w:rPr>
          <w:sz w:val="18"/>
          <w:szCs w:val="18"/>
        </w:rPr>
        <w:t xml:space="preserve"> Inflation factors are rounded to three decimal places in this table, but calculations in this report use the unrounded values.  BLS CPI values were published with one decimal place through 2006 and with three decimal places after that</w:t>
      </w:r>
      <w:r>
        <w:rPr>
          <w:sz w:val="18"/>
          <w:szCs w:val="18"/>
        </w:rPr>
        <w:t>.</w:t>
      </w:r>
    </w:p>
    <w:p w:rsidR="00B912ED" w:rsidRDefault="00B912ED" w:rsidP="00B912ED">
      <w:pPr>
        <w:pStyle w:val="BodyText"/>
        <w:spacing w:after="0"/>
        <w:ind w:firstLine="0"/>
        <w:rPr>
          <w:szCs w:val="24"/>
        </w:rPr>
      </w:pPr>
    </w:p>
    <w:p w:rsidR="00B912ED" w:rsidRDefault="00B912ED" w:rsidP="00B912ED">
      <w:pPr>
        <w:pStyle w:val="BodyText"/>
        <w:spacing w:after="0"/>
        <w:ind w:firstLine="720"/>
        <w:rPr>
          <w:szCs w:val="24"/>
        </w:rPr>
      </w:pPr>
      <w:r w:rsidRPr="00BF29B2">
        <w:rPr>
          <w:szCs w:val="24"/>
        </w:rPr>
        <w:t>Agency labor costs are calculated based on annual federal salaries for the Washington-Baltimore area published by the Office of Personnel Management effective January 2010 (OPM, 2010). EPA assumes that, on average, a federal GS-13, Step 5 full-time equivalent (FTE) will conduct its collection and administrative activities</w:t>
      </w:r>
      <w:r w:rsidR="005472EA" w:rsidRPr="005472EA">
        <w:rPr>
          <w:rStyle w:val="FootnoteReference"/>
          <w:szCs w:val="24"/>
          <w:vertAlign w:val="superscript"/>
        </w:rPr>
        <w:footnoteReference w:id="6"/>
      </w:r>
      <w:r>
        <w:rPr>
          <w:szCs w:val="24"/>
        </w:rPr>
        <w:t>.</w:t>
      </w:r>
      <w:r w:rsidRPr="00BF29B2">
        <w:rPr>
          <w:szCs w:val="24"/>
        </w:rPr>
        <w:t xml:space="preserve"> The average salary for a GS-13 Step 5 employee was $100,904 in 2010 without fringe benefits and </w:t>
      </w:r>
      <w:r>
        <w:rPr>
          <w:szCs w:val="24"/>
        </w:rPr>
        <w:t>over</w:t>
      </w:r>
      <w:r w:rsidRPr="00BF29B2">
        <w:rPr>
          <w:szCs w:val="24"/>
        </w:rPr>
        <w:t>head costs. In order to derive the fully loaded salary, EPA multiplied the annual salary by an assumed loading factor of 1.6 to reflect federal fringe benefits and overhead, which results in a fully loaded annual salary of $161,446.40 Dividing the fully loaded annual salary by 2,080 hours (i.e., the number of hours in a work year) yields an hourly FTE wage rate of $77.62.</w:t>
      </w:r>
    </w:p>
    <w:p w:rsidR="00B912ED" w:rsidRPr="00BF29B2" w:rsidRDefault="00B912ED" w:rsidP="00B912ED">
      <w:pPr>
        <w:pStyle w:val="BodyText"/>
        <w:spacing w:after="0"/>
        <w:ind w:firstLine="720"/>
        <w:rPr>
          <w:szCs w:val="24"/>
        </w:rPr>
      </w:pPr>
    </w:p>
    <w:p w:rsidR="00B912ED" w:rsidRDefault="00B912ED" w:rsidP="00B912ED">
      <w:pPr>
        <w:pStyle w:val="BodyText"/>
        <w:spacing w:after="0"/>
        <w:ind w:firstLine="720"/>
        <w:rPr>
          <w:szCs w:val="24"/>
        </w:rPr>
      </w:pPr>
      <w:r w:rsidRPr="00BF29B2">
        <w:rPr>
          <w:szCs w:val="24"/>
        </w:rPr>
        <w:t>Total Agency costs are expected to be $5,049, per SNUN, for submission review and processing, as shown in Table 1</w:t>
      </w:r>
      <w:r>
        <w:rPr>
          <w:szCs w:val="24"/>
        </w:rPr>
        <w:t>6.</w:t>
      </w:r>
    </w:p>
    <w:p w:rsidR="00B912ED" w:rsidRDefault="00B912ED" w:rsidP="00B912ED">
      <w:pPr>
        <w:pStyle w:val="FootnoteText"/>
      </w:pPr>
    </w:p>
    <w:p w:rsidR="00B912ED" w:rsidRPr="007E209B" w:rsidRDefault="00B912ED" w:rsidP="00B912ED">
      <w:pPr>
        <w:pStyle w:val="BodyText"/>
        <w:spacing w:after="0"/>
        <w:ind w:firstLine="720"/>
        <w:rPr>
          <w:szCs w:val="24"/>
        </w:rPr>
        <w:sectPr w:rsidR="00B912ED" w:rsidRPr="007E209B" w:rsidSect="00F64EEB">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paperSrc w:first="15" w:other="15"/>
          <w:cols w:space="720"/>
          <w:docGrid w:linePitch="360"/>
        </w:sectPr>
      </w:pPr>
    </w:p>
    <w:p w:rsidR="00B912ED" w:rsidRPr="002806B5" w:rsidRDefault="00B912ED" w:rsidP="00B912ED">
      <w:pPr>
        <w:pStyle w:val="Caption"/>
        <w:shd w:val="clear" w:color="auto" w:fill="FFFFFF"/>
        <w:spacing w:before="0" w:after="0"/>
        <w:rPr>
          <w:color w:val="auto"/>
          <w:szCs w:val="24"/>
        </w:rPr>
      </w:pPr>
      <w:bookmarkStart w:id="15" w:name="_Ref268080866"/>
      <w:bookmarkStart w:id="16" w:name="_Toc301633010"/>
      <w:r w:rsidRPr="002806B5">
        <w:rPr>
          <w:color w:val="auto"/>
          <w:szCs w:val="24"/>
        </w:rPr>
        <w:lastRenderedPageBreak/>
        <w:t xml:space="preserve">Table </w:t>
      </w:r>
      <w:bookmarkEnd w:id="15"/>
      <w:r w:rsidRPr="002806B5">
        <w:rPr>
          <w:color w:val="auto"/>
          <w:szCs w:val="24"/>
        </w:rPr>
        <w:t>1</w:t>
      </w:r>
      <w:r>
        <w:rPr>
          <w:color w:val="auto"/>
          <w:szCs w:val="24"/>
        </w:rPr>
        <w:t>6</w:t>
      </w:r>
      <w:r w:rsidRPr="002806B5">
        <w:rPr>
          <w:color w:val="auto"/>
          <w:szCs w:val="24"/>
        </w:rPr>
        <w:t>: Agency Costs for SNUN and Other Submission Review and Processing</w:t>
      </w:r>
      <w:bookmarkEnd w:id="16"/>
    </w:p>
    <w:tbl>
      <w:tblPr>
        <w:tblW w:w="13620" w:type="dxa"/>
        <w:tblInd w:w="-372" w:type="dxa"/>
        <w:tblLayout w:type="fixed"/>
        <w:tblLook w:val="0000"/>
      </w:tblPr>
      <w:tblGrid>
        <w:gridCol w:w="2460"/>
        <w:gridCol w:w="900"/>
        <w:gridCol w:w="900"/>
        <w:gridCol w:w="1080"/>
        <w:gridCol w:w="900"/>
        <w:gridCol w:w="900"/>
        <w:gridCol w:w="1170"/>
        <w:gridCol w:w="810"/>
        <w:gridCol w:w="990"/>
        <w:gridCol w:w="1080"/>
        <w:gridCol w:w="1350"/>
        <w:gridCol w:w="1080"/>
      </w:tblGrid>
      <w:tr w:rsidR="00B912ED" w:rsidRPr="006E434D" w:rsidTr="005C1538">
        <w:trPr>
          <w:trHeight w:val="303"/>
        </w:trPr>
        <w:tc>
          <w:tcPr>
            <w:tcW w:w="246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Review Steps</w:t>
            </w:r>
          </w:p>
        </w:tc>
        <w:tc>
          <w:tcPr>
            <w:tcW w:w="288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EPA staff (FTE) Cost</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 xml:space="preserve">Extramural Cost </w:t>
            </w:r>
            <w:r w:rsidRPr="0084290D">
              <w:rPr>
                <w:rFonts w:ascii="Times New Roman" w:hAnsi="Times New Roman" w:cs="Times New Roman"/>
                <w:sz w:val="18"/>
                <w:szCs w:val="18"/>
                <w:vertAlign w:val="superscript"/>
              </w:rPr>
              <w:t>2</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Unweighted Cost</w:t>
            </w:r>
          </w:p>
        </w:tc>
        <w:tc>
          <w:tcPr>
            <w:tcW w:w="8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Pct. of Cases</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Weighted Cost</w:t>
            </w:r>
            <w:r w:rsidRPr="0084290D">
              <w:rPr>
                <w:rFonts w:ascii="Times New Roman" w:hAnsi="Times New Roman" w:cs="Times New Roman"/>
                <w:sz w:val="18"/>
                <w:szCs w:val="18"/>
                <w:vertAlign w:val="superscript"/>
              </w:rPr>
              <w:t>3</w:t>
            </w:r>
          </w:p>
        </w:tc>
        <w:tc>
          <w:tcPr>
            <w:tcW w:w="108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roofErr w:type="spellStart"/>
            <w:r w:rsidRPr="0084290D">
              <w:rPr>
                <w:rFonts w:ascii="Times New Roman" w:hAnsi="Times New Roman" w:cs="Times New Roman"/>
                <w:sz w:val="18"/>
                <w:szCs w:val="18"/>
              </w:rPr>
              <w:t>ePMN</w:t>
            </w:r>
            <w:proofErr w:type="spellEnd"/>
            <w:r w:rsidRPr="0084290D">
              <w:rPr>
                <w:rFonts w:ascii="Times New Roman" w:hAnsi="Times New Roman" w:cs="Times New Roman"/>
                <w:sz w:val="18"/>
                <w:szCs w:val="18"/>
              </w:rPr>
              <w:t xml:space="preserve"> Burden Reduction</w:t>
            </w:r>
            <w:r w:rsidRPr="0084290D">
              <w:rPr>
                <w:rFonts w:ascii="Times New Roman" w:hAnsi="Times New Roman" w:cs="Times New Roman"/>
                <w:sz w:val="18"/>
                <w:szCs w:val="18"/>
                <w:vertAlign w:val="superscript"/>
              </w:rPr>
              <w:t>4</w:t>
            </w:r>
          </w:p>
        </w:tc>
        <w:tc>
          <w:tcPr>
            <w:tcW w:w="135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 xml:space="preserve">Weighted Cost with </w:t>
            </w:r>
            <w:proofErr w:type="spellStart"/>
            <w:r w:rsidRPr="0084290D">
              <w:rPr>
                <w:rFonts w:ascii="Times New Roman" w:hAnsi="Times New Roman" w:cs="Times New Roman"/>
                <w:sz w:val="18"/>
                <w:szCs w:val="18"/>
              </w:rPr>
              <w:t>ePMN</w:t>
            </w:r>
            <w:proofErr w:type="spellEnd"/>
            <w:r w:rsidRPr="0084290D">
              <w:rPr>
                <w:rFonts w:ascii="Times New Roman" w:hAnsi="Times New Roman" w:cs="Times New Roman"/>
                <w:sz w:val="18"/>
                <w:szCs w:val="18"/>
              </w:rPr>
              <w:t xml:space="preserve"> Burden Reduction</w:t>
            </w:r>
          </w:p>
        </w:tc>
        <w:tc>
          <w:tcPr>
            <w:tcW w:w="1080" w:type="dxa"/>
            <w:vMerge w:val="restart"/>
            <w:tcBorders>
              <w:top w:val="single" w:sz="6" w:space="0" w:color="auto"/>
              <w:left w:val="single" w:sz="6" w:space="0" w:color="auto"/>
              <w:right w:val="single" w:sz="6" w:space="0" w:color="auto"/>
            </w:tcBorders>
            <w:shd w:val="clear" w:color="auto" w:fill="auto"/>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 xml:space="preserve">Weighted </w:t>
            </w:r>
            <w:r>
              <w:rPr>
                <w:rFonts w:ascii="Times New Roman" w:hAnsi="Times New Roman" w:cs="Times New Roman"/>
                <w:sz w:val="18"/>
                <w:szCs w:val="18"/>
              </w:rPr>
              <w:t>FTE</w:t>
            </w:r>
            <w:r w:rsidRPr="0084290D">
              <w:rPr>
                <w:rFonts w:ascii="Times New Roman" w:hAnsi="Times New Roman" w:cs="Times New Roman"/>
                <w:sz w:val="18"/>
                <w:szCs w:val="18"/>
              </w:rPr>
              <w:t xml:space="preserve"> with </w:t>
            </w:r>
            <w:proofErr w:type="spellStart"/>
            <w:r w:rsidRPr="0084290D">
              <w:rPr>
                <w:rFonts w:ascii="Times New Roman" w:hAnsi="Times New Roman" w:cs="Times New Roman"/>
                <w:sz w:val="18"/>
                <w:szCs w:val="18"/>
              </w:rPr>
              <w:t>ePMN</w:t>
            </w:r>
            <w:proofErr w:type="spellEnd"/>
            <w:r w:rsidRPr="0084290D">
              <w:rPr>
                <w:rFonts w:ascii="Times New Roman" w:hAnsi="Times New Roman" w:cs="Times New Roman"/>
                <w:sz w:val="18"/>
                <w:szCs w:val="18"/>
              </w:rPr>
              <w:t xml:space="preserve"> Burden Reduction</w:t>
            </w:r>
          </w:p>
        </w:tc>
      </w:tr>
      <w:tr w:rsidR="00B912ED" w:rsidRPr="006E434D" w:rsidTr="005C1538">
        <w:trPr>
          <w:trHeight w:val="327"/>
        </w:trPr>
        <w:tc>
          <w:tcPr>
            <w:tcW w:w="246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FTE fraction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 xml:space="preserve">Cost per FTE </w:t>
            </w:r>
            <w:r w:rsidRPr="0084290D">
              <w:rPr>
                <w:rFonts w:ascii="Times New Roman" w:hAnsi="Times New Roman" w:cs="Times New Roman"/>
                <w:sz w:val="18"/>
                <w:szCs w:val="18"/>
                <w:vertAlign w:val="superscript"/>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FTE Total ($2010)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1993 dollars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r w:rsidRPr="0084290D">
              <w:rPr>
                <w:rFonts w:ascii="Times New Roman" w:hAnsi="Times New Roman" w:cs="Times New Roman"/>
                <w:sz w:val="18"/>
                <w:szCs w:val="18"/>
              </w:rPr>
              <w:t>2010 dollars</w:t>
            </w:r>
          </w:p>
        </w:tc>
        <w:tc>
          <w:tcPr>
            <w:tcW w:w="117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81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99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108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135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1080" w:type="dxa"/>
            <w:vMerge/>
            <w:tcBorders>
              <w:left w:val="single" w:sz="6" w:space="0" w:color="auto"/>
              <w:bottom w:val="single" w:sz="6" w:space="0" w:color="auto"/>
              <w:right w:val="single" w:sz="6" w:space="0" w:color="auto"/>
            </w:tcBorders>
            <w:shd w:val="clear" w:color="auto" w:fill="auto"/>
          </w:tcPr>
          <w:p w:rsidR="00B912ED" w:rsidRPr="0084290D" w:rsidRDefault="00B912ED" w:rsidP="005C1538">
            <w:pPr>
              <w:pStyle w:val="TableSubtitle"/>
              <w:shd w:val="clear" w:color="auto" w:fill="FFFFFF"/>
              <w:rPr>
                <w:rFonts w:ascii="Times New Roman" w:hAnsi="Times New Roman" w:cs="Times New Roman"/>
                <w:sz w:val="18"/>
                <w:szCs w:val="18"/>
              </w:rPr>
            </w:pPr>
          </w:p>
        </w:tc>
      </w:tr>
      <w:tr w:rsidR="00B912ED" w:rsidRPr="006E434D" w:rsidTr="005C1538">
        <w:trPr>
          <w:trHeight w:val="87"/>
        </w:trPr>
        <w:tc>
          <w:tcPr>
            <w:tcW w:w="2460" w:type="dxa"/>
            <w:vMerge/>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pStyle w:val="TableSubtitle"/>
              <w:shd w:val="clear" w:color="auto" w:fill="FFFFFF"/>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(a)</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(b)</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(c)=(a)*(b)</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(f)=(c)+(e)</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(h)=(f)*(g)</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w:t>
            </w:r>
            <w:proofErr w:type="spellStart"/>
            <w:r w:rsidRPr="00020E10">
              <w:rPr>
                <w:rFonts w:ascii="Times New Roman" w:hAnsi="Times New Roman" w:cs="Times New Roman"/>
                <w:b w:val="0"/>
                <w:szCs w:val="16"/>
              </w:rPr>
              <w:t>i</w:t>
            </w:r>
            <w:proofErr w:type="spellEnd"/>
            <w:r w:rsidRPr="00020E10">
              <w:rPr>
                <w:rFonts w:ascii="Times New Roman" w:hAnsi="Times New Roman" w:cs="Times New Roman"/>
                <w:b w:val="0"/>
                <w:szCs w:val="16"/>
              </w:rPr>
              <w:t>)</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(j)=(h)*(1-(</w:t>
            </w:r>
            <w:proofErr w:type="spellStart"/>
            <w:r w:rsidRPr="00020E10">
              <w:rPr>
                <w:rFonts w:ascii="Times New Roman" w:hAnsi="Times New Roman" w:cs="Times New Roman"/>
                <w:b w:val="0"/>
                <w:szCs w:val="16"/>
              </w:rPr>
              <w:t>i</w:t>
            </w:r>
            <w:proofErr w:type="spellEnd"/>
            <w:r w:rsidRPr="00020E10">
              <w:rPr>
                <w:rFonts w:ascii="Times New Roman" w:hAnsi="Times New Roman" w:cs="Times New Roman"/>
                <w:b w:val="0"/>
                <w:szCs w:val="16"/>
              </w:rPr>
              <w:t>))</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B912ED" w:rsidRPr="00020E10" w:rsidRDefault="00B912ED" w:rsidP="005C1538">
            <w:pPr>
              <w:pStyle w:val="TableSubtitle"/>
              <w:shd w:val="clear" w:color="auto" w:fill="FFFFFF"/>
              <w:rPr>
                <w:rFonts w:ascii="Times New Roman" w:hAnsi="Times New Roman" w:cs="Times New Roman"/>
                <w:b w:val="0"/>
                <w:szCs w:val="16"/>
              </w:rPr>
            </w:pPr>
            <w:r w:rsidRPr="00020E10">
              <w:rPr>
                <w:rFonts w:ascii="Times New Roman" w:hAnsi="Times New Roman" w:cs="Times New Roman"/>
                <w:b w:val="0"/>
                <w:szCs w:val="16"/>
              </w:rPr>
              <w:t>(k)=(a)*(g)*(1-(</w:t>
            </w:r>
            <w:proofErr w:type="spellStart"/>
            <w:r w:rsidRPr="00020E10">
              <w:rPr>
                <w:rFonts w:ascii="Times New Roman" w:hAnsi="Times New Roman" w:cs="Times New Roman"/>
                <w:b w:val="0"/>
                <w:szCs w:val="16"/>
              </w:rPr>
              <w:t>i</w:t>
            </w:r>
            <w:proofErr w:type="spellEnd"/>
            <w:r w:rsidRPr="00020E10">
              <w:rPr>
                <w:rFonts w:ascii="Times New Roman" w:hAnsi="Times New Roman" w:cs="Times New Roman"/>
                <w:b w:val="0"/>
                <w:szCs w:val="16"/>
              </w:rPr>
              <w:t>))</w:t>
            </w:r>
          </w:p>
        </w:tc>
      </w:tr>
      <w:tr w:rsidR="00B912ED" w:rsidRPr="006E434D" w:rsidTr="005C1538">
        <w:trPr>
          <w:trHeight w:val="243"/>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Pre-notice consultation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0.0024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$387.47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$4.00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$6.78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$394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41%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$161.64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$135</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0.0008</w:t>
            </w:r>
          </w:p>
        </w:tc>
      </w:tr>
      <w:tr w:rsidR="00B912ED" w:rsidRPr="006E434D" w:rsidTr="005C1538">
        <w:trPr>
          <w:trHeight w:val="35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Administrative prescreen/ notice receipt/user fee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0.0024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$387.47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$92.00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$155.85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$543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$543.32</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$454</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0.0020</w:t>
            </w:r>
          </w:p>
        </w:tc>
      </w:tr>
      <w:tr w:rsidR="00B912ED" w:rsidRPr="006E434D" w:rsidTr="005C1538">
        <w:trPr>
          <w:trHeight w:val="51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CRSS (Chemical Review and Search Strategy)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0.0025</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$403.62</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$268.00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$454.00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$858</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$857.62</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$716</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0.0021</w:t>
            </w:r>
          </w:p>
        </w:tc>
      </w:tr>
      <w:tr w:rsidR="00B912ED" w:rsidRPr="006E434D" w:rsidTr="005C1538">
        <w:trPr>
          <w:trHeight w:val="314"/>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SAT (Structure Activity Team)</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0.0006</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$96.87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$14.00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$23.72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$121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$120.58</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$101</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0.0005</w:t>
            </w:r>
          </w:p>
        </w:tc>
      </w:tr>
      <w:tr w:rsidR="00B912ED" w:rsidRPr="006E434D" w:rsidTr="005C1538">
        <w:trPr>
          <w:trHeight w:val="25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Engineering/Exposure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0.0015</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$242.17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$56.00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$94.87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$337</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$337.04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$281</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0.0013</w:t>
            </w:r>
          </w:p>
        </w:tc>
      </w:tr>
      <w:tr w:rsidR="00B912ED" w:rsidRPr="006E434D" w:rsidTr="005C1538">
        <w:trPr>
          <w:trHeight w:val="25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Exposure/Fate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0.0008</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$129.16</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$129</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$129.16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$108</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0.0007</w:t>
            </w:r>
          </w:p>
        </w:tc>
      </w:tr>
      <w:tr w:rsidR="00B912ED" w:rsidRPr="006E434D" w:rsidTr="005C1538">
        <w:trPr>
          <w:trHeight w:val="25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Focus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0.0009</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$145.30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$23.00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$38.96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$184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$184.26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$154</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0.0008</w:t>
            </w:r>
          </w:p>
        </w:tc>
      </w:tr>
      <w:tr w:rsidR="00B912ED" w:rsidRPr="006E434D" w:rsidTr="005C1538">
        <w:trPr>
          <w:trHeight w:val="158"/>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Standard Review Functions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0.0219</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$3,535.68</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$511.00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$865.65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$4,401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29%</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$1,276.38</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$1,066</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0.0053</w:t>
            </w:r>
          </w:p>
        </w:tc>
      </w:tr>
      <w:tr w:rsidR="00B912ED" w:rsidRPr="006E434D" w:rsidTr="005C1538">
        <w:trPr>
          <w:trHeight w:val="7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Division Directors Meeting</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0.0129</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$2,082.66</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$113.00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$191.43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$2,274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15%</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$341.11</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$285</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0.0016</w:t>
            </w:r>
          </w:p>
        </w:tc>
      </w:tr>
      <w:tr w:rsidR="00B912ED" w:rsidRPr="006E434D" w:rsidTr="005C1538">
        <w:trPr>
          <w:trHeight w:val="518"/>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Order Development/Negotiation Review</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0.0171</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$2,760.73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$22.00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$37.27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$2,798</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3%</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$83.94</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$70</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0.0004</w:t>
            </w:r>
          </w:p>
        </w:tc>
      </w:tr>
      <w:tr w:rsidR="00B912ED" w:rsidRPr="006E434D" w:rsidTr="005C1538">
        <w:trPr>
          <w:trHeight w:val="25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Post Order Data Review</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0.0886</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$14,304.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$14,304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3%</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$429.12</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$358</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0.0022</w:t>
            </w:r>
          </w:p>
        </w:tc>
      </w:tr>
      <w:tr w:rsidR="00B912ED" w:rsidRPr="006E434D" w:rsidTr="005C1538">
        <w:trPr>
          <w:trHeight w:val="255"/>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Order Modification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0.2167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$34,985.43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$0.00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$34,985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3%</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$1,049.56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$876</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0.0054</w:t>
            </w:r>
          </w:p>
        </w:tc>
      </w:tr>
      <w:tr w:rsidR="00B912ED" w:rsidRPr="006E434D" w:rsidTr="005C1538">
        <w:trPr>
          <w:trHeight w:val="51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New Chemical SNUR Development</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0.0277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$4,472.07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$85.00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$143.99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$4,616</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7%</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$323.12</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$270</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0.0016</w:t>
            </w:r>
          </w:p>
        </w:tc>
      </w:tr>
      <w:tr w:rsidR="00B912ED" w:rsidRPr="006E434D" w:rsidTr="005C1538">
        <w:trPr>
          <w:trHeight w:val="70"/>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Notices of Commencement</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0.0012</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$193.74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$40.00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$67.76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$261</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31%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$81.06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$68</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0.0003</w:t>
            </w:r>
          </w:p>
        </w:tc>
      </w:tr>
      <w:tr w:rsidR="00B912ED" w:rsidRPr="006E434D" w:rsidTr="005C1538">
        <w:trPr>
          <w:trHeight w:val="158"/>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FOIA (Freedom of Information Act) Requests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0.0333</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$5,376.17</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$287.00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$486.19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$5,862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$58.62</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$49</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0.0003</w:t>
            </w:r>
          </w:p>
        </w:tc>
      </w:tr>
      <w:tr w:rsidR="00B912ED" w:rsidRPr="006E434D" w:rsidTr="005C1538">
        <w:trPr>
          <w:trHeight w:val="398"/>
        </w:trPr>
        <w:tc>
          <w:tcPr>
            <w:tcW w:w="246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rPr>
                <w:sz w:val="18"/>
                <w:szCs w:val="18"/>
              </w:rPr>
            </w:pPr>
            <w:r w:rsidRPr="0084290D">
              <w:rPr>
                <w:sz w:val="18"/>
                <w:szCs w:val="18"/>
              </w:rPr>
              <w:t>CBI (Confidential Business Information) Substantiation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0.0004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$161,446</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$64.58</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$3.00</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$5.08</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$70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sz w:val="18"/>
                <w:szCs w:val="18"/>
              </w:rPr>
              <w:t>100%</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sz w:val="18"/>
                <w:szCs w:val="18"/>
              </w:rPr>
            </w:pPr>
            <w:r w:rsidRPr="0084290D">
              <w:rPr>
                <w:color w:val="000000"/>
                <w:sz w:val="18"/>
                <w:szCs w:val="18"/>
              </w:rPr>
              <w:t>$69.66</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color w:val="000000"/>
                <w:sz w:val="18"/>
                <w:szCs w:val="18"/>
              </w:rPr>
              <w:t>0.165</w:t>
            </w: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2806B5" w:rsidRDefault="00B912ED" w:rsidP="005C1538">
            <w:pPr>
              <w:jc w:val="center"/>
              <w:rPr>
                <w:b/>
                <w:sz w:val="18"/>
                <w:szCs w:val="18"/>
              </w:rPr>
            </w:pPr>
            <w:r w:rsidRPr="002806B5">
              <w:rPr>
                <w:b/>
                <w:color w:val="000000"/>
                <w:sz w:val="18"/>
                <w:szCs w:val="18"/>
              </w:rPr>
              <w:t>$58</w:t>
            </w:r>
          </w:p>
        </w:tc>
        <w:tc>
          <w:tcPr>
            <w:tcW w:w="1080" w:type="dxa"/>
            <w:tcBorders>
              <w:top w:val="single" w:sz="6" w:space="0" w:color="auto"/>
              <w:left w:val="single" w:sz="6" w:space="0" w:color="auto"/>
              <w:bottom w:val="single" w:sz="6" w:space="0" w:color="auto"/>
              <w:right w:val="single" w:sz="6" w:space="0" w:color="auto"/>
            </w:tcBorders>
            <w:vAlign w:val="center"/>
          </w:tcPr>
          <w:p w:rsidR="00B912ED" w:rsidRPr="002806B5" w:rsidRDefault="00B912ED" w:rsidP="005C1538">
            <w:pPr>
              <w:jc w:val="center"/>
              <w:rPr>
                <w:b/>
                <w:color w:val="000000"/>
                <w:sz w:val="18"/>
                <w:szCs w:val="18"/>
              </w:rPr>
            </w:pPr>
            <w:r w:rsidRPr="002806B5">
              <w:rPr>
                <w:b/>
                <w:color w:val="000000"/>
                <w:sz w:val="18"/>
                <w:szCs w:val="18"/>
              </w:rPr>
              <w:t>0.0003</w:t>
            </w:r>
          </w:p>
        </w:tc>
      </w:tr>
      <w:tr w:rsidR="00B912ED" w:rsidRPr="006E434D" w:rsidTr="005C1538">
        <w:trPr>
          <w:trHeight w:val="99"/>
        </w:trPr>
        <w:tc>
          <w:tcPr>
            <w:tcW w:w="9120" w:type="dxa"/>
            <w:gridSpan w:val="8"/>
            <w:tcBorders>
              <w:top w:val="single" w:sz="6" w:space="0" w:color="auto"/>
              <w:left w:val="single" w:sz="6" w:space="0" w:color="auto"/>
              <w:bottom w:val="single" w:sz="6" w:space="0" w:color="auto"/>
              <w:right w:val="single" w:sz="6" w:space="0" w:color="auto"/>
            </w:tcBorders>
            <w:shd w:val="clear" w:color="auto" w:fill="auto"/>
          </w:tcPr>
          <w:p w:rsidR="00B912ED" w:rsidRPr="0084290D" w:rsidRDefault="00B912ED" w:rsidP="005C1538">
            <w:pPr>
              <w:rPr>
                <w:b/>
                <w:bCs/>
                <w:sz w:val="18"/>
                <w:szCs w:val="18"/>
              </w:rPr>
            </w:pPr>
            <w:r w:rsidRPr="0084290D">
              <w:rPr>
                <w:b/>
                <w:bCs/>
                <w:sz w:val="18"/>
                <w:szCs w:val="18"/>
              </w:rPr>
              <w:t>TOTAL</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bCs/>
                <w:sz w:val="18"/>
                <w:szCs w:val="18"/>
              </w:rPr>
            </w:pPr>
            <w:r w:rsidRPr="0084290D">
              <w:rPr>
                <w:b/>
                <w:bCs/>
                <w:color w:val="000000"/>
                <w:sz w:val="18"/>
                <w:szCs w:val="18"/>
              </w:rPr>
              <w:t xml:space="preserve">$6,046 </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912ED" w:rsidRPr="0084290D" w:rsidRDefault="00B912ED" w:rsidP="005C1538">
            <w:pPr>
              <w:jc w:val="center"/>
              <w:rPr>
                <w:sz w:val="18"/>
                <w:szCs w:val="18"/>
              </w:rPr>
            </w:pPr>
            <w:r w:rsidRPr="0084290D">
              <w:rPr>
                <w:b/>
                <w:bCs/>
                <w:color w:val="000000"/>
                <w:sz w:val="18"/>
                <w:szCs w:val="18"/>
              </w:rPr>
              <w:t> 0.165</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B912ED" w:rsidRPr="0084290D" w:rsidRDefault="00B912ED" w:rsidP="005C1538">
            <w:pPr>
              <w:jc w:val="center"/>
              <w:rPr>
                <w:b/>
                <w:bCs/>
                <w:sz w:val="18"/>
                <w:szCs w:val="18"/>
              </w:rPr>
            </w:pPr>
            <w:r w:rsidRPr="0084290D">
              <w:rPr>
                <w:b/>
                <w:bCs/>
                <w:color w:val="000000"/>
                <w:sz w:val="18"/>
                <w:szCs w:val="18"/>
              </w:rPr>
              <w:t xml:space="preserve">$5,049 </w:t>
            </w:r>
          </w:p>
        </w:tc>
        <w:tc>
          <w:tcPr>
            <w:tcW w:w="1080" w:type="dxa"/>
            <w:tcBorders>
              <w:top w:val="single" w:sz="6" w:space="0" w:color="auto"/>
              <w:left w:val="single" w:sz="6" w:space="0" w:color="auto"/>
              <w:bottom w:val="single" w:sz="6" w:space="0" w:color="auto"/>
              <w:right w:val="single" w:sz="6" w:space="0" w:color="auto"/>
            </w:tcBorders>
          </w:tcPr>
          <w:p w:rsidR="00B912ED" w:rsidRPr="0084290D" w:rsidRDefault="00B912ED" w:rsidP="005C1538">
            <w:pPr>
              <w:jc w:val="center"/>
              <w:rPr>
                <w:b/>
                <w:bCs/>
                <w:color w:val="000000"/>
                <w:sz w:val="18"/>
                <w:szCs w:val="18"/>
              </w:rPr>
            </w:pPr>
            <w:r>
              <w:rPr>
                <w:b/>
                <w:bCs/>
                <w:color w:val="000000"/>
                <w:sz w:val="18"/>
                <w:szCs w:val="18"/>
              </w:rPr>
              <w:t>0.0256</w:t>
            </w:r>
          </w:p>
        </w:tc>
      </w:tr>
      <w:tr w:rsidR="00B912ED" w:rsidRPr="006E434D" w:rsidTr="005C1538">
        <w:trPr>
          <w:trHeight w:val="171"/>
        </w:trPr>
        <w:tc>
          <w:tcPr>
            <w:tcW w:w="12540" w:type="dxa"/>
            <w:gridSpan w:val="11"/>
            <w:tcBorders>
              <w:top w:val="single" w:sz="6" w:space="0" w:color="auto"/>
              <w:bottom w:val="nil"/>
            </w:tcBorders>
          </w:tcPr>
          <w:p w:rsidR="00B912ED" w:rsidRPr="00C5060E" w:rsidRDefault="00B912ED" w:rsidP="005C1538">
            <w:pPr>
              <w:rPr>
                <w:b/>
                <w:sz w:val="16"/>
                <w:szCs w:val="16"/>
              </w:rPr>
            </w:pPr>
            <w:r w:rsidRPr="00C5060E">
              <w:rPr>
                <w:b/>
                <w:sz w:val="16"/>
                <w:szCs w:val="16"/>
              </w:rPr>
              <w:t>Notes:</w:t>
            </w:r>
          </w:p>
          <w:p w:rsidR="00B912ED" w:rsidRPr="00C5060E" w:rsidRDefault="00B912ED" w:rsidP="005C1538">
            <w:pPr>
              <w:rPr>
                <w:sz w:val="16"/>
                <w:szCs w:val="16"/>
              </w:rPr>
            </w:pPr>
            <w:r w:rsidRPr="00C5060E">
              <w:rPr>
                <w:sz w:val="16"/>
                <w:szCs w:val="16"/>
                <w:vertAlign w:val="superscript"/>
              </w:rPr>
              <w:t>1</w:t>
            </w:r>
            <w:r w:rsidRPr="00C5060E">
              <w:rPr>
                <w:sz w:val="16"/>
                <w:szCs w:val="16"/>
              </w:rPr>
              <w:t xml:space="preserve"> GS-13 Step 5 salaries loaded with benefits and overhead. </w:t>
            </w:r>
            <w:r w:rsidRPr="00C5060E">
              <w:rPr>
                <w:sz w:val="16"/>
                <w:szCs w:val="16"/>
                <w:vertAlign w:val="superscript"/>
              </w:rPr>
              <w:t>2</w:t>
            </w:r>
            <w:r w:rsidRPr="00C5060E">
              <w:rPr>
                <w:sz w:val="16"/>
                <w:szCs w:val="16"/>
              </w:rPr>
              <w:t xml:space="preserve"> Extramural costs consist of contracting support and other purchases directly attributable to the PMN review process inflated from 1993. </w:t>
            </w:r>
          </w:p>
          <w:p w:rsidR="00B912ED" w:rsidRPr="00C5060E" w:rsidRDefault="00B912ED" w:rsidP="005C1538">
            <w:pPr>
              <w:rPr>
                <w:sz w:val="16"/>
                <w:szCs w:val="16"/>
              </w:rPr>
            </w:pPr>
            <w:r w:rsidRPr="00C5060E">
              <w:rPr>
                <w:sz w:val="16"/>
                <w:szCs w:val="16"/>
                <w:vertAlign w:val="superscript"/>
              </w:rPr>
              <w:t xml:space="preserve">3 </w:t>
            </w:r>
            <w:r w:rsidRPr="00C5060E">
              <w:rPr>
                <w:sz w:val="16"/>
                <w:szCs w:val="16"/>
              </w:rPr>
              <w:t xml:space="preserve">Weighted costs were calculated using unrounded unit cost estimates, so results may differ from calculations using the rounded values shown in this table. </w:t>
            </w:r>
          </w:p>
          <w:p w:rsidR="00B912ED" w:rsidRPr="00C5060E" w:rsidRDefault="00B912ED" w:rsidP="005C1538">
            <w:pPr>
              <w:rPr>
                <w:b/>
                <w:sz w:val="16"/>
                <w:szCs w:val="16"/>
              </w:rPr>
            </w:pPr>
            <w:r w:rsidRPr="00C5060E">
              <w:rPr>
                <w:sz w:val="16"/>
                <w:szCs w:val="16"/>
                <w:vertAlign w:val="superscript"/>
              </w:rPr>
              <w:t>4</w:t>
            </w:r>
            <w:r w:rsidRPr="00C5060E">
              <w:rPr>
                <w:sz w:val="16"/>
                <w:szCs w:val="16"/>
              </w:rPr>
              <w:t xml:space="preserve"> Electronic </w:t>
            </w:r>
            <w:proofErr w:type="gramStart"/>
            <w:r w:rsidRPr="00C5060E">
              <w:rPr>
                <w:sz w:val="16"/>
                <w:szCs w:val="16"/>
              </w:rPr>
              <w:t>submission</w:t>
            </w:r>
            <w:proofErr w:type="gramEnd"/>
            <w:r w:rsidRPr="00C5060E">
              <w:rPr>
                <w:sz w:val="16"/>
                <w:szCs w:val="16"/>
              </w:rPr>
              <w:t xml:space="preserve"> is expected to generate a cost savings of 16.5% to the Agency (EPA 2009a, p. 28).</w:t>
            </w:r>
          </w:p>
          <w:p w:rsidR="00B912ED" w:rsidRPr="00E86F0A" w:rsidRDefault="00B912ED" w:rsidP="005C1538">
            <w:pPr>
              <w:rPr>
                <w:sz w:val="20"/>
                <w:szCs w:val="20"/>
              </w:rPr>
            </w:pPr>
            <w:r w:rsidRPr="00C5060E">
              <w:rPr>
                <w:b/>
                <w:sz w:val="16"/>
                <w:szCs w:val="16"/>
              </w:rPr>
              <w:t xml:space="preserve">Sources: </w:t>
            </w:r>
            <w:r w:rsidRPr="00C5060E">
              <w:rPr>
                <w:sz w:val="16"/>
                <w:szCs w:val="16"/>
              </w:rPr>
              <w:t>FTEs per review step, 1993 extramural costs, and percents of cases are from EPA, 1994 Table VII-</w:t>
            </w:r>
            <w:proofErr w:type="gramStart"/>
            <w:r w:rsidRPr="00C5060E">
              <w:rPr>
                <w:sz w:val="16"/>
                <w:szCs w:val="16"/>
              </w:rPr>
              <w:t>1,</w:t>
            </w:r>
            <w:proofErr w:type="gramEnd"/>
            <w:r w:rsidRPr="00C5060E">
              <w:rPr>
                <w:sz w:val="16"/>
                <w:szCs w:val="16"/>
              </w:rPr>
              <w:t xml:space="preserve"> GS-13 salaries are from OPM, 2010</w:t>
            </w:r>
            <w:r w:rsidRPr="00E86F0A">
              <w:rPr>
                <w:sz w:val="20"/>
                <w:szCs w:val="20"/>
              </w:rPr>
              <w:t>.</w:t>
            </w:r>
          </w:p>
        </w:tc>
        <w:tc>
          <w:tcPr>
            <w:tcW w:w="1080" w:type="dxa"/>
            <w:tcBorders>
              <w:top w:val="single" w:sz="6" w:space="0" w:color="auto"/>
              <w:bottom w:val="nil"/>
            </w:tcBorders>
          </w:tcPr>
          <w:p w:rsidR="00B912ED" w:rsidRPr="006E434D" w:rsidRDefault="00B912ED" w:rsidP="005C1538">
            <w:pPr>
              <w:rPr>
                <w:b/>
                <w:sz w:val="18"/>
                <w:szCs w:val="18"/>
              </w:rPr>
            </w:pPr>
          </w:p>
        </w:tc>
      </w:tr>
    </w:tbl>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sectPr w:rsidR="00B912ED" w:rsidSect="005C1538">
          <w:pgSz w:w="15840" w:h="12240" w:orient="landscape" w:code="1"/>
          <w:pgMar w:top="1440" w:right="1440" w:bottom="1440" w:left="1440" w:header="720" w:footer="720" w:gutter="0"/>
          <w:cols w:space="720"/>
          <w:noEndnote/>
          <w:docGrid w:linePitch="326"/>
        </w:sectPr>
      </w:pP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847923">
        <w:lastRenderedPageBreak/>
        <w:t xml:space="preserve">Using the estimates </w:t>
      </w:r>
      <w:r w:rsidRPr="0084290D">
        <w:t>of annual SNUR promulgation and SNUR notice submissions presented above, EPA</w:t>
      </w:r>
      <w:r>
        <w:t>’</w:t>
      </w:r>
      <w:r w:rsidRPr="0084290D">
        <w:t>s estimated costs are presented in Table 1</w:t>
      </w:r>
      <w:r>
        <w:t>7</w:t>
      </w:r>
      <w:r w:rsidRPr="0084290D">
        <w:t xml:space="preserve">. </w:t>
      </w:r>
      <w:r>
        <w:t>Processing</w:t>
      </w:r>
      <w:r w:rsidRPr="0084290D">
        <w:t xml:space="preserve"> SNUNs </w:t>
      </w:r>
      <w:r>
        <w:t>is</w:t>
      </w:r>
      <w:r w:rsidRPr="0084290D">
        <w:t xml:space="preserve"> estimated to cost the Agency $</w:t>
      </w:r>
      <w:r>
        <w:t>35,343</w:t>
      </w:r>
      <w:r w:rsidRPr="0084290D">
        <w:t xml:space="preserve"> annually. The Agency may also incur a cost for modifying a SNUR if submitted data indicate a need for such an action. Costs to perform such a modification have not been estimated.</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tabs>
          <w:tab w:val="center" w:pos="4680"/>
          <w:tab w:val="left" w:pos="5040"/>
          <w:tab w:val="left" w:pos="5760"/>
          <w:tab w:val="left" w:pos="6480"/>
          <w:tab w:val="left" w:pos="7200"/>
          <w:tab w:val="left" w:pos="7920"/>
          <w:tab w:val="left" w:pos="8640"/>
          <w:tab w:val="left" w:pos="9360"/>
        </w:tabs>
        <w:rPr>
          <w:b/>
          <w:bCs/>
        </w:rPr>
      </w:pPr>
      <w:r>
        <w:rPr>
          <w:b/>
          <w:bCs/>
        </w:rPr>
        <w:t>Table 17: Annual Agency Costs</w:t>
      </w:r>
    </w:p>
    <w:tbl>
      <w:tblPr>
        <w:tblW w:w="4914" w:type="pct"/>
        <w:jc w:val="center"/>
        <w:tblInd w:w="-373" w:type="dxa"/>
        <w:tblLook w:val="04A0"/>
      </w:tblPr>
      <w:tblGrid>
        <w:gridCol w:w="1351"/>
        <w:gridCol w:w="1427"/>
        <w:gridCol w:w="1560"/>
        <w:gridCol w:w="1508"/>
        <w:gridCol w:w="1089"/>
        <w:gridCol w:w="1771"/>
        <w:gridCol w:w="1413"/>
      </w:tblGrid>
      <w:tr w:rsidR="00B912ED" w:rsidRPr="0044021A" w:rsidTr="005C1538">
        <w:trPr>
          <w:trHeight w:val="1150"/>
          <w:jc w:val="center"/>
        </w:trPr>
        <w:tc>
          <w:tcPr>
            <w:tcW w:w="667"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Activity</w:t>
            </w:r>
          </w:p>
        </w:tc>
        <w:tc>
          <w:tcPr>
            <w:tcW w:w="705"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Burden per Activity (</w:t>
            </w:r>
            <w:r>
              <w:rPr>
                <w:b/>
                <w:bCs/>
                <w:sz w:val="22"/>
                <w:szCs w:val="22"/>
              </w:rPr>
              <w:t>FTE</w:t>
            </w:r>
            <w:r w:rsidRPr="0044021A">
              <w:rPr>
                <w:b/>
                <w:bCs/>
                <w:sz w:val="22"/>
                <w:szCs w:val="22"/>
              </w:rPr>
              <w:t>)</w:t>
            </w:r>
          </w:p>
        </w:tc>
        <w:tc>
          <w:tcPr>
            <w:tcW w:w="771"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Burden per Activity (</w:t>
            </w:r>
            <w:r>
              <w:rPr>
                <w:b/>
                <w:bCs/>
                <w:sz w:val="22"/>
                <w:szCs w:val="22"/>
              </w:rPr>
              <w:t>Hours</w:t>
            </w:r>
            <w:r w:rsidRPr="0044021A">
              <w:rPr>
                <w:b/>
                <w:bCs/>
                <w:sz w:val="22"/>
                <w:szCs w:val="22"/>
              </w:rPr>
              <w:t>)</w:t>
            </w:r>
          </w:p>
        </w:tc>
        <w:tc>
          <w:tcPr>
            <w:tcW w:w="745" w:type="pct"/>
            <w:tcBorders>
              <w:top w:val="single" w:sz="4" w:space="0" w:color="auto"/>
              <w:left w:val="single" w:sz="4" w:space="0" w:color="auto"/>
              <w:bottom w:val="single" w:sz="4" w:space="0" w:color="auto"/>
              <w:right w:val="single" w:sz="4" w:space="0" w:color="auto"/>
            </w:tcBorders>
            <w:vAlign w:val="center"/>
          </w:tcPr>
          <w:p w:rsidR="00B912ED" w:rsidRPr="0044021A" w:rsidRDefault="00B912ED" w:rsidP="005C1538">
            <w:pPr>
              <w:keepNext/>
              <w:keepLines/>
              <w:jc w:val="center"/>
              <w:rPr>
                <w:b/>
                <w:bCs/>
                <w:sz w:val="22"/>
              </w:rPr>
            </w:pPr>
            <w:r w:rsidRPr="0044021A">
              <w:rPr>
                <w:b/>
                <w:bCs/>
                <w:sz w:val="22"/>
                <w:szCs w:val="22"/>
              </w:rPr>
              <w:t xml:space="preserve">Total </w:t>
            </w:r>
            <w:r>
              <w:rPr>
                <w:b/>
                <w:bCs/>
                <w:sz w:val="22"/>
                <w:szCs w:val="22"/>
              </w:rPr>
              <w:t>Cost</w:t>
            </w:r>
            <w:r w:rsidRPr="0044021A">
              <w:rPr>
                <w:b/>
                <w:bCs/>
                <w:sz w:val="22"/>
                <w:szCs w:val="22"/>
              </w:rPr>
              <w:t xml:space="preserve"> per Activity (</w:t>
            </w:r>
            <w:r>
              <w:rPr>
                <w:b/>
                <w:bCs/>
                <w:sz w:val="22"/>
                <w:szCs w:val="22"/>
              </w:rPr>
              <w:t>2010$</w:t>
            </w:r>
            <w:r w:rsidRPr="0044021A">
              <w:rPr>
                <w:b/>
                <w:bCs/>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tcPr>
          <w:p w:rsidR="00B912ED" w:rsidRPr="0044021A" w:rsidRDefault="00B912ED" w:rsidP="005C1538">
            <w:pPr>
              <w:keepNext/>
              <w:keepLines/>
              <w:jc w:val="center"/>
              <w:rPr>
                <w:b/>
                <w:bCs/>
                <w:sz w:val="22"/>
              </w:rPr>
            </w:pPr>
            <w:r w:rsidRPr="0044021A">
              <w:rPr>
                <w:b/>
                <w:bCs/>
                <w:sz w:val="22"/>
                <w:szCs w:val="22"/>
              </w:rPr>
              <w:t>Total Number of Units</w:t>
            </w:r>
            <w:r>
              <w:rPr>
                <w:b/>
                <w:bCs/>
                <w:sz w:val="22"/>
                <w:szCs w:val="22"/>
              </w:rPr>
              <w:t xml:space="preserve"> </w:t>
            </w:r>
          </w:p>
        </w:tc>
        <w:tc>
          <w:tcPr>
            <w:tcW w:w="875"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 xml:space="preserve">Total </w:t>
            </w:r>
            <w:r>
              <w:rPr>
                <w:b/>
                <w:bCs/>
                <w:sz w:val="22"/>
                <w:szCs w:val="22"/>
              </w:rPr>
              <w:t xml:space="preserve">Annual </w:t>
            </w:r>
            <w:r w:rsidRPr="0044021A">
              <w:rPr>
                <w:b/>
                <w:bCs/>
                <w:sz w:val="22"/>
                <w:szCs w:val="22"/>
              </w:rPr>
              <w:t>Burden (hours)</w:t>
            </w:r>
          </w:p>
        </w:tc>
        <w:tc>
          <w:tcPr>
            <w:tcW w:w="698"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87717">
              <w:rPr>
                <w:b/>
                <w:bCs/>
                <w:sz w:val="22"/>
                <w:szCs w:val="22"/>
              </w:rPr>
              <w:t xml:space="preserve">Total </w:t>
            </w:r>
            <w:r>
              <w:rPr>
                <w:b/>
                <w:bCs/>
                <w:sz w:val="22"/>
                <w:szCs w:val="22"/>
              </w:rPr>
              <w:t xml:space="preserve">Annual Cost </w:t>
            </w:r>
            <w:r w:rsidRPr="0044021A">
              <w:rPr>
                <w:b/>
                <w:bCs/>
                <w:sz w:val="22"/>
                <w:szCs w:val="22"/>
              </w:rPr>
              <w:t>(2010$)</w:t>
            </w:r>
          </w:p>
        </w:tc>
      </w:tr>
      <w:tr w:rsidR="00B912ED" w:rsidRPr="0044021A" w:rsidTr="005C1538">
        <w:trPr>
          <w:trHeight w:val="476"/>
          <w:jc w:val="center"/>
        </w:trPr>
        <w:tc>
          <w:tcPr>
            <w:tcW w:w="667"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Pr>
                <w:sz w:val="22"/>
                <w:szCs w:val="22"/>
              </w:rPr>
              <w:t>SNUN processing</w:t>
            </w:r>
          </w:p>
        </w:tc>
        <w:tc>
          <w:tcPr>
            <w:tcW w:w="705"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0.0256</w:t>
            </w:r>
          </w:p>
        </w:tc>
        <w:tc>
          <w:tcPr>
            <w:tcW w:w="771"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 xml:space="preserve">$53 </w:t>
            </w:r>
          </w:p>
        </w:tc>
        <w:tc>
          <w:tcPr>
            <w:tcW w:w="74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color w:val="000000"/>
                <w:sz w:val="22"/>
                <w:szCs w:val="22"/>
              </w:rPr>
              <w:t xml:space="preserve">$5,049 </w:t>
            </w:r>
          </w:p>
        </w:tc>
        <w:tc>
          <w:tcPr>
            <w:tcW w:w="538"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color w:val="000000"/>
                <w:sz w:val="22"/>
                <w:szCs w:val="22"/>
              </w:rPr>
              <w:t>7 SNUNs</w:t>
            </w:r>
          </w:p>
        </w:tc>
        <w:tc>
          <w:tcPr>
            <w:tcW w:w="875" w:type="pct"/>
            <w:tcBorders>
              <w:top w:val="single" w:sz="4" w:space="0" w:color="auto"/>
              <w:left w:val="single" w:sz="4" w:space="0" w:color="auto"/>
              <w:bottom w:val="single" w:sz="4" w:space="0" w:color="auto"/>
              <w:right w:val="single" w:sz="4" w:space="0" w:color="auto"/>
            </w:tcBorders>
            <w:noWrap/>
            <w:vAlign w:val="center"/>
            <w:hideMark/>
          </w:tcPr>
          <w:p w:rsidR="00B912ED" w:rsidRPr="00155FC0" w:rsidRDefault="00B912ED" w:rsidP="005C1538">
            <w:pPr>
              <w:keepNext/>
              <w:keepLines/>
              <w:jc w:val="center"/>
              <w:rPr>
                <w:b/>
                <w:sz w:val="22"/>
              </w:rPr>
            </w:pPr>
            <w:r w:rsidRPr="00155FC0">
              <w:rPr>
                <w:b/>
                <w:color w:val="000000"/>
                <w:sz w:val="22"/>
                <w:szCs w:val="22"/>
              </w:rPr>
              <w:t>373.07</w:t>
            </w:r>
          </w:p>
        </w:tc>
        <w:tc>
          <w:tcPr>
            <w:tcW w:w="698" w:type="pct"/>
            <w:tcBorders>
              <w:top w:val="single" w:sz="4" w:space="0" w:color="auto"/>
              <w:left w:val="single" w:sz="4" w:space="0" w:color="auto"/>
              <w:bottom w:val="single" w:sz="4" w:space="0" w:color="auto"/>
              <w:right w:val="single" w:sz="4" w:space="0" w:color="auto"/>
            </w:tcBorders>
            <w:vAlign w:val="center"/>
            <w:hideMark/>
          </w:tcPr>
          <w:p w:rsidR="00B912ED" w:rsidRPr="002806B5" w:rsidRDefault="00B912ED" w:rsidP="005C1538">
            <w:pPr>
              <w:keepNext/>
              <w:keepLines/>
              <w:jc w:val="center"/>
              <w:rPr>
                <w:b/>
                <w:sz w:val="22"/>
              </w:rPr>
            </w:pPr>
            <w:r w:rsidRPr="002806B5">
              <w:rPr>
                <w:b/>
                <w:color w:val="000000"/>
                <w:sz w:val="22"/>
                <w:szCs w:val="22"/>
              </w:rPr>
              <w:t xml:space="preserve">$35,343 </w:t>
            </w:r>
          </w:p>
        </w:tc>
      </w:tr>
    </w:tbl>
    <w:p w:rsidR="00B912ED" w:rsidRDefault="00B912ED" w:rsidP="00B912ED">
      <w:pPr>
        <w:keepNext/>
        <w:keepLines/>
        <w:rPr>
          <w:sz w:val="18"/>
          <w:szCs w:val="18"/>
        </w:rPr>
      </w:pPr>
      <w:r>
        <w:rPr>
          <w:sz w:val="18"/>
          <w:szCs w:val="18"/>
        </w:rPr>
        <w:t xml:space="preserve">Some burden estimate subtotals may not calculate due to rounding of unit burden estimates </w:t>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4290D">
        <w:t xml:space="preserve">Table </w:t>
      </w:r>
      <w:r>
        <w:t xml:space="preserve">18 presents the total Agency cost for SNUN processing over the three year ICR period, $106,029. </w:t>
      </w:r>
    </w:p>
    <w:p w:rsidR="00B912ED" w:rsidRDefault="00B912ED" w:rsidP="00B912ED">
      <w:pPr>
        <w:tabs>
          <w:tab w:val="center" w:pos="4680"/>
          <w:tab w:val="left" w:pos="5040"/>
          <w:tab w:val="left" w:pos="5760"/>
          <w:tab w:val="left" w:pos="6480"/>
          <w:tab w:val="left" w:pos="7200"/>
          <w:tab w:val="left" w:pos="7920"/>
          <w:tab w:val="left" w:pos="8640"/>
          <w:tab w:val="left" w:pos="9360"/>
        </w:tabs>
        <w:jc w:val="center"/>
        <w:rPr>
          <w:b/>
          <w:bCs/>
        </w:rPr>
      </w:pPr>
    </w:p>
    <w:p w:rsidR="00B912ED" w:rsidRDefault="00B912ED" w:rsidP="00B912ED">
      <w:pPr>
        <w:tabs>
          <w:tab w:val="center" w:pos="4680"/>
          <w:tab w:val="left" w:pos="5040"/>
          <w:tab w:val="left" w:pos="5760"/>
          <w:tab w:val="left" w:pos="6480"/>
          <w:tab w:val="left" w:pos="7200"/>
          <w:tab w:val="left" w:pos="7920"/>
          <w:tab w:val="left" w:pos="8640"/>
          <w:tab w:val="left" w:pos="9360"/>
        </w:tabs>
        <w:rPr>
          <w:b/>
          <w:bCs/>
        </w:rPr>
      </w:pPr>
      <w:r>
        <w:rPr>
          <w:b/>
          <w:bCs/>
        </w:rPr>
        <w:t>Table 18: Total Agency Costs</w:t>
      </w:r>
    </w:p>
    <w:tbl>
      <w:tblPr>
        <w:tblW w:w="4914" w:type="pct"/>
        <w:jc w:val="center"/>
        <w:tblInd w:w="-373" w:type="dxa"/>
        <w:tblLook w:val="04A0"/>
      </w:tblPr>
      <w:tblGrid>
        <w:gridCol w:w="1351"/>
        <w:gridCol w:w="1427"/>
        <w:gridCol w:w="1560"/>
        <w:gridCol w:w="1508"/>
        <w:gridCol w:w="1089"/>
        <w:gridCol w:w="1771"/>
        <w:gridCol w:w="1413"/>
      </w:tblGrid>
      <w:tr w:rsidR="00B912ED" w:rsidRPr="0044021A" w:rsidTr="005C1538">
        <w:trPr>
          <w:trHeight w:val="1150"/>
          <w:jc w:val="center"/>
        </w:trPr>
        <w:tc>
          <w:tcPr>
            <w:tcW w:w="667"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Activity</w:t>
            </w:r>
          </w:p>
        </w:tc>
        <w:tc>
          <w:tcPr>
            <w:tcW w:w="705"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Burden per Activity (</w:t>
            </w:r>
            <w:r>
              <w:rPr>
                <w:b/>
                <w:bCs/>
                <w:sz w:val="22"/>
                <w:szCs w:val="22"/>
              </w:rPr>
              <w:t>FTE</w:t>
            </w:r>
            <w:r w:rsidRPr="0044021A">
              <w:rPr>
                <w:b/>
                <w:bCs/>
                <w:sz w:val="22"/>
                <w:szCs w:val="22"/>
              </w:rPr>
              <w:t>)</w:t>
            </w:r>
          </w:p>
        </w:tc>
        <w:tc>
          <w:tcPr>
            <w:tcW w:w="771"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Total Burden per Activity (</w:t>
            </w:r>
            <w:r>
              <w:rPr>
                <w:b/>
                <w:bCs/>
                <w:sz w:val="22"/>
                <w:szCs w:val="22"/>
              </w:rPr>
              <w:t>Hours</w:t>
            </w:r>
            <w:r w:rsidRPr="0044021A">
              <w:rPr>
                <w:b/>
                <w:bCs/>
                <w:sz w:val="22"/>
                <w:szCs w:val="22"/>
              </w:rPr>
              <w:t>)</w:t>
            </w:r>
          </w:p>
        </w:tc>
        <w:tc>
          <w:tcPr>
            <w:tcW w:w="745" w:type="pct"/>
            <w:tcBorders>
              <w:top w:val="single" w:sz="4" w:space="0" w:color="auto"/>
              <w:left w:val="single" w:sz="4" w:space="0" w:color="auto"/>
              <w:bottom w:val="single" w:sz="4" w:space="0" w:color="auto"/>
              <w:right w:val="single" w:sz="4" w:space="0" w:color="auto"/>
            </w:tcBorders>
            <w:vAlign w:val="center"/>
          </w:tcPr>
          <w:p w:rsidR="00B912ED" w:rsidRPr="0044021A" w:rsidRDefault="00B912ED" w:rsidP="005C1538">
            <w:pPr>
              <w:keepNext/>
              <w:keepLines/>
              <w:jc w:val="center"/>
              <w:rPr>
                <w:b/>
                <w:bCs/>
                <w:sz w:val="22"/>
              </w:rPr>
            </w:pPr>
            <w:r w:rsidRPr="0044021A">
              <w:rPr>
                <w:b/>
                <w:bCs/>
                <w:sz w:val="22"/>
                <w:szCs w:val="22"/>
              </w:rPr>
              <w:t xml:space="preserve">Total </w:t>
            </w:r>
            <w:r>
              <w:rPr>
                <w:b/>
                <w:bCs/>
                <w:sz w:val="22"/>
                <w:szCs w:val="22"/>
              </w:rPr>
              <w:t>Cost</w:t>
            </w:r>
            <w:r w:rsidRPr="0044021A">
              <w:rPr>
                <w:b/>
                <w:bCs/>
                <w:sz w:val="22"/>
                <w:szCs w:val="22"/>
              </w:rPr>
              <w:t xml:space="preserve"> per Activity (</w:t>
            </w:r>
            <w:r>
              <w:rPr>
                <w:b/>
                <w:bCs/>
                <w:sz w:val="22"/>
                <w:szCs w:val="22"/>
              </w:rPr>
              <w:t>2010$</w:t>
            </w:r>
            <w:r w:rsidRPr="0044021A">
              <w:rPr>
                <w:b/>
                <w:bCs/>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tcPr>
          <w:p w:rsidR="00B912ED" w:rsidRPr="0044021A" w:rsidRDefault="00B912ED" w:rsidP="005C1538">
            <w:pPr>
              <w:keepNext/>
              <w:keepLines/>
              <w:jc w:val="center"/>
              <w:rPr>
                <w:b/>
                <w:bCs/>
                <w:sz w:val="22"/>
              </w:rPr>
            </w:pPr>
            <w:r w:rsidRPr="0044021A">
              <w:rPr>
                <w:b/>
                <w:bCs/>
                <w:sz w:val="22"/>
                <w:szCs w:val="22"/>
              </w:rPr>
              <w:t>Total Number of Units</w:t>
            </w:r>
            <w:r>
              <w:rPr>
                <w:b/>
                <w:bCs/>
                <w:sz w:val="22"/>
                <w:szCs w:val="22"/>
              </w:rPr>
              <w:t xml:space="preserve"> </w:t>
            </w:r>
          </w:p>
        </w:tc>
        <w:tc>
          <w:tcPr>
            <w:tcW w:w="875"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4021A">
              <w:rPr>
                <w:b/>
                <w:bCs/>
                <w:sz w:val="22"/>
                <w:szCs w:val="22"/>
              </w:rPr>
              <w:t xml:space="preserve">Total </w:t>
            </w:r>
            <w:r>
              <w:rPr>
                <w:b/>
                <w:bCs/>
                <w:sz w:val="22"/>
                <w:szCs w:val="22"/>
              </w:rPr>
              <w:t xml:space="preserve">Annual </w:t>
            </w:r>
            <w:r w:rsidRPr="0044021A">
              <w:rPr>
                <w:b/>
                <w:bCs/>
                <w:sz w:val="22"/>
                <w:szCs w:val="22"/>
              </w:rPr>
              <w:t>Burden (hours)</w:t>
            </w:r>
          </w:p>
        </w:tc>
        <w:tc>
          <w:tcPr>
            <w:tcW w:w="698"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jc w:val="center"/>
              <w:rPr>
                <w:b/>
                <w:bCs/>
                <w:sz w:val="22"/>
              </w:rPr>
            </w:pPr>
            <w:r w:rsidRPr="00487717">
              <w:rPr>
                <w:b/>
                <w:bCs/>
                <w:sz w:val="22"/>
                <w:szCs w:val="22"/>
              </w:rPr>
              <w:t xml:space="preserve">Total </w:t>
            </w:r>
            <w:r>
              <w:rPr>
                <w:b/>
                <w:bCs/>
                <w:sz w:val="22"/>
                <w:szCs w:val="22"/>
              </w:rPr>
              <w:t xml:space="preserve">Annual Cost </w:t>
            </w:r>
            <w:r w:rsidRPr="0044021A">
              <w:rPr>
                <w:b/>
                <w:bCs/>
                <w:sz w:val="22"/>
                <w:szCs w:val="22"/>
              </w:rPr>
              <w:t>(2010$)</w:t>
            </w:r>
          </w:p>
        </w:tc>
      </w:tr>
      <w:tr w:rsidR="00B912ED" w:rsidRPr="0044021A" w:rsidTr="005C1538">
        <w:trPr>
          <w:trHeight w:val="476"/>
          <w:jc w:val="center"/>
        </w:trPr>
        <w:tc>
          <w:tcPr>
            <w:tcW w:w="667" w:type="pct"/>
            <w:tcBorders>
              <w:top w:val="single" w:sz="4" w:space="0" w:color="auto"/>
              <w:left w:val="single" w:sz="4" w:space="0" w:color="auto"/>
              <w:bottom w:val="single" w:sz="4" w:space="0" w:color="auto"/>
              <w:right w:val="single" w:sz="4" w:space="0" w:color="auto"/>
            </w:tcBorders>
            <w:vAlign w:val="center"/>
            <w:hideMark/>
          </w:tcPr>
          <w:p w:rsidR="00B912ED" w:rsidRPr="0044021A" w:rsidRDefault="00B912ED" w:rsidP="005C1538">
            <w:pPr>
              <w:keepNext/>
              <w:keepLines/>
              <w:rPr>
                <w:sz w:val="22"/>
              </w:rPr>
            </w:pPr>
            <w:r>
              <w:rPr>
                <w:sz w:val="22"/>
                <w:szCs w:val="22"/>
              </w:rPr>
              <w:t>SNUN processing</w:t>
            </w:r>
          </w:p>
        </w:tc>
        <w:tc>
          <w:tcPr>
            <w:tcW w:w="705"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0.0256</w:t>
            </w:r>
          </w:p>
        </w:tc>
        <w:tc>
          <w:tcPr>
            <w:tcW w:w="771" w:type="pct"/>
            <w:tcBorders>
              <w:top w:val="single" w:sz="4" w:space="0" w:color="auto"/>
              <w:left w:val="nil"/>
              <w:bottom w:val="single" w:sz="4" w:space="0" w:color="auto"/>
              <w:right w:val="single" w:sz="4" w:space="0" w:color="auto"/>
            </w:tcBorders>
            <w:vAlign w:val="center"/>
            <w:hideMark/>
          </w:tcPr>
          <w:p w:rsidR="00B912ED" w:rsidRPr="0044021A" w:rsidRDefault="00B912ED" w:rsidP="005C1538">
            <w:pPr>
              <w:keepNext/>
              <w:keepLines/>
              <w:jc w:val="center"/>
              <w:rPr>
                <w:sz w:val="22"/>
              </w:rPr>
            </w:pPr>
            <w:r>
              <w:rPr>
                <w:color w:val="000000"/>
                <w:sz w:val="22"/>
                <w:szCs w:val="22"/>
              </w:rPr>
              <w:t xml:space="preserve">$53 </w:t>
            </w:r>
          </w:p>
        </w:tc>
        <w:tc>
          <w:tcPr>
            <w:tcW w:w="745"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color w:val="000000"/>
                <w:sz w:val="22"/>
                <w:szCs w:val="22"/>
              </w:rPr>
              <w:t xml:space="preserve">$5,049 </w:t>
            </w:r>
          </w:p>
        </w:tc>
        <w:tc>
          <w:tcPr>
            <w:tcW w:w="538" w:type="pct"/>
            <w:tcBorders>
              <w:top w:val="single" w:sz="4" w:space="0" w:color="auto"/>
              <w:left w:val="nil"/>
              <w:bottom w:val="single" w:sz="4" w:space="0" w:color="auto"/>
              <w:right w:val="single" w:sz="4" w:space="0" w:color="auto"/>
            </w:tcBorders>
            <w:vAlign w:val="center"/>
          </w:tcPr>
          <w:p w:rsidR="00B912ED" w:rsidRPr="0044021A" w:rsidRDefault="00B912ED" w:rsidP="005C1538">
            <w:pPr>
              <w:keepNext/>
              <w:keepLines/>
              <w:jc w:val="center"/>
              <w:rPr>
                <w:sz w:val="22"/>
              </w:rPr>
            </w:pPr>
            <w:r>
              <w:rPr>
                <w:color w:val="000000"/>
                <w:sz w:val="22"/>
                <w:szCs w:val="22"/>
              </w:rPr>
              <w:t>21 SNUNs</w:t>
            </w:r>
          </w:p>
        </w:tc>
        <w:tc>
          <w:tcPr>
            <w:tcW w:w="875" w:type="pct"/>
            <w:tcBorders>
              <w:top w:val="single" w:sz="4" w:space="0" w:color="auto"/>
              <w:left w:val="single" w:sz="4" w:space="0" w:color="auto"/>
              <w:bottom w:val="single" w:sz="4" w:space="0" w:color="auto"/>
              <w:right w:val="single" w:sz="4" w:space="0" w:color="auto"/>
            </w:tcBorders>
            <w:noWrap/>
            <w:vAlign w:val="center"/>
            <w:hideMark/>
          </w:tcPr>
          <w:p w:rsidR="00B912ED" w:rsidRPr="00155FC0" w:rsidRDefault="00B912ED" w:rsidP="005C1538">
            <w:pPr>
              <w:keepNext/>
              <w:keepLines/>
              <w:jc w:val="center"/>
              <w:rPr>
                <w:b/>
                <w:sz w:val="22"/>
              </w:rPr>
            </w:pPr>
            <w:r w:rsidRPr="00155FC0">
              <w:rPr>
                <w:b/>
                <w:color w:val="000000"/>
                <w:sz w:val="22"/>
                <w:szCs w:val="22"/>
              </w:rPr>
              <w:t>1,119</w:t>
            </w:r>
          </w:p>
        </w:tc>
        <w:tc>
          <w:tcPr>
            <w:tcW w:w="698" w:type="pct"/>
            <w:tcBorders>
              <w:top w:val="single" w:sz="4" w:space="0" w:color="auto"/>
              <w:left w:val="single" w:sz="4" w:space="0" w:color="auto"/>
              <w:bottom w:val="single" w:sz="4" w:space="0" w:color="auto"/>
              <w:right w:val="single" w:sz="4" w:space="0" w:color="auto"/>
            </w:tcBorders>
            <w:vAlign w:val="center"/>
            <w:hideMark/>
          </w:tcPr>
          <w:p w:rsidR="00B912ED" w:rsidRPr="00AE7A07" w:rsidRDefault="00B912ED" w:rsidP="005C1538">
            <w:pPr>
              <w:keepNext/>
              <w:keepLines/>
              <w:jc w:val="center"/>
              <w:rPr>
                <w:b/>
                <w:sz w:val="22"/>
              </w:rPr>
            </w:pPr>
            <w:r w:rsidRPr="00AE7A07">
              <w:rPr>
                <w:b/>
                <w:color w:val="000000"/>
                <w:sz w:val="22"/>
                <w:szCs w:val="22"/>
              </w:rPr>
              <w:t xml:space="preserve">$106,029 </w:t>
            </w:r>
          </w:p>
        </w:tc>
      </w:tr>
    </w:tbl>
    <w:p w:rsidR="00B912ED" w:rsidRDefault="00B912ED" w:rsidP="00B912ED">
      <w:pPr>
        <w:numPr>
          <w:ilvl w:val="12"/>
          <w:numId w:val="0"/>
        </w:numPr>
        <w:rPr>
          <w:sz w:val="18"/>
          <w:szCs w:val="18"/>
        </w:rPr>
      </w:pPr>
      <w:r>
        <w:rPr>
          <w:sz w:val="18"/>
          <w:szCs w:val="18"/>
        </w:rPr>
        <w:t>Some burden estimate subtotals may not calculate due to rounding of unit burden estimates</w:t>
      </w:r>
    </w:p>
    <w:p w:rsidR="00B912ED" w:rsidRDefault="00B912ED" w:rsidP="00B912ED">
      <w:pPr>
        <w:numPr>
          <w:ilvl w:val="12"/>
          <w:numId w:val="0"/>
        </w:numPr>
        <w:ind w:firstLine="720"/>
        <w:rPr>
          <w:b/>
          <w:bCs/>
        </w:rPr>
      </w:pPr>
    </w:p>
    <w:p w:rsidR="00B912ED" w:rsidRDefault="00B912ED" w:rsidP="00B912ED">
      <w:pPr>
        <w:numPr>
          <w:ilvl w:val="12"/>
          <w:numId w:val="0"/>
        </w:numPr>
        <w:ind w:firstLine="720"/>
      </w:pPr>
      <w:r>
        <w:rPr>
          <w:b/>
          <w:bCs/>
        </w:rPr>
        <w:t>6(d)</w:t>
      </w:r>
      <w:r>
        <w:rPr>
          <w:b/>
          <w:bCs/>
        </w:rPr>
        <w:tab/>
        <w:t>Reasons for Change in Burden</w:t>
      </w:r>
    </w:p>
    <w:p w:rsidR="00B912ED" w:rsidRDefault="00B912ED" w:rsidP="00B912ED">
      <w:pPr>
        <w:ind w:firstLine="720"/>
      </w:pPr>
    </w:p>
    <w:p w:rsidR="00B912ED" w:rsidRPr="00EF367E" w:rsidRDefault="00B912ED" w:rsidP="00B912ED">
      <w:pPr>
        <w:ind w:firstLine="720"/>
      </w:pPr>
      <w:r w:rsidRPr="00606425">
        <w:t>There is a decrease of 440 hours (from 1,176 hours to 736 hours) in the total estimated respondent burden compared with that identified in the ICR currently approved by OMB</w:t>
      </w:r>
      <w:r>
        <w:t xml:space="preserve"> (</w:t>
      </w:r>
      <w:r w:rsidR="0042580F">
        <w:t>EPA ICR No. 1188.10</w:t>
      </w:r>
      <w:r>
        <w:t xml:space="preserve">). </w:t>
      </w:r>
      <w:r w:rsidRPr="00542AF8">
        <w:t>Th</w:t>
      </w:r>
      <w:r>
        <w:t>is</w:t>
      </w:r>
      <w:r w:rsidRPr="00542AF8">
        <w:t xml:space="preserve"> change result</w:t>
      </w:r>
      <w:r>
        <w:t>s</w:t>
      </w:r>
      <w:r w:rsidRPr="00542AF8">
        <w:t xml:space="preserve"> from updates to the number of affected sites</w:t>
      </w:r>
      <w:r>
        <w:t xml:space="preserve"> and</w:t>
      </w:r>
      <w:r w:rsidRPr="00665D2D">
        <w:t xml:space="preserve"> </w:t>
      </w:r>
      <w:r>
        <w:t xml:space="preserve">responses </w:t>
      </w:r>
      <w:r w:rsidRPr="00665D2D">
        <w:t xml:space="preserve">and </w:t>
      </w:r>
      <w:r>
        <w:t xml:space="preserve">the </w:t>
      </w:r>
      <w:r w:rsidRPr="00665D2D">
        <w:t>correcti</w:t>
      </w:r>
      <w:r>
        <w:t>on of</w:t>
      </w:r>
      <w:r w:rsidRPr="00665D2D">
        <w:t xml:space="preserve"> e</w:t>
      </w:r>
      <w:r>
        <w:t>stimates</w:t>
      </w:r>
      <w:r w:rsidRPr="00665D2D">
        <w:t xml:space="preserve"> in the previous ICR. </w:t>
      </w:r>
      <w:r>
        <w:t>More details on the changes are outlined below. The change is an adjustment.</w:t>
      </w:r>
    </w:p>
    <w:p w:rsidR="00B912ED" w:rsidRDefault="00B912ED" w:rsidP="00B912ED"/>
    <w:p w:rsidR="00B912ED" w:rsidRPr="008A2CF2" w:rsidRDefault="00B912ED" w:rsidP="00B912ED">
      <w:pPr>
        <w:ind w:left="1440"/>
        <w:rPr>
          <w:u w:val="single"/>
        </w:rPr>
      </w:pPr>
      <w:r w:rsidRPr="008A2CF2">
        <w:rPr>
          <w:u w:val="single"/>
        </w:rPr>
        <w:t>Adjustment Changes</w:t>
      </w:r>
    </w:p>
    <w:p w:rsidR="00B912ED" w:rsidRPr="00665D2D" w:rsidRDefault="00B912ED" w:rsidP="00B912ED"/>
    <w:p w:rsidR="00B912ED" w:rsidRPr="00665D2D" w:rsidRDefault="00B912ED" w:rsidP="00B912ED">
      <w:pPr>
        <w:ind w:firstLine="720"/>
      </w:pPr>
      <w:r w:rsidRPr="00665D2D">
        <w:t>The currently approved ICR</w:t>
      </w:r>
      <w:r>
        <w:t xml:space="preserve"> estimated that, on average, 10 SNUNs will be submitted annually. Upon review of past SNUN submissions from FY 2001 through FY 2011, this number was reduced from 10 SNUNs per year to 7 SNUNs per year. The previous ICR also assumed that one company will submit a single SNUN. However, reviews of past submissions indicate that the average company will submit 1.65 SNUNs. In addition, a review of SNUNs since 2008 reduced the number of expected chemicals that are affected from 41 to 7 per SNUR. </w:t>
      </w:r>
    </w:p>
    <w:p w:rsidR="00B912ED" w:rsidRDefault="00B912ED" w:rsidP="00B912ED">
      <w:pPr>
        <w:ind w:firstLine="720"/>
      </w:pPr>
    </w:p>
    <w:p w:rsidR="00B912ED" w:rsidRDefault="00B912ED" w:rsidP="00B912ED">
      <w:pPr>
        <w:ind w:firstLine="720"/>
      </w:pPr>
      <w:r>
        <w:t>The previous ICR used an estimate of 93.3 hours for reporting and recordkeeping for a SNUN. This ICR adjusts that number to 92.2 because the 1 hour of recordkeeping included in the previous ICR is a result of double counting.</w:t>
      </w:r>
    </w:p>
    <w:p w:rsidR="00B912ED" w:rsidRDefault="00B912ED" w:rsidP="00B912ED">
      <w:pPr>
        <w:ind w:firstLine="720"/>
      </w:pPr>
    </w:p>
    <w:p w:rsidR="00B912ED" w:rsidRDefault="00B912ED" w:rsidP="00F20EA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 w:rsidRPr="002806B5">
        <w:rPr>
          <w:b/>
        </w:rPr>
        <w:lastRenderedPageBreak/>
        <w:t xml:space="preserve">Table </w:t>
      </w:r>
      <w:r>
        <w:rPr>
          <w:b/>
        </w:rPr>
        <w:t>19</w:t>
      </w:r>
      <w:r w:rsidRPr="002806B5">
        <w:rPr>
          <w:b/>
        </w:rPr>
        <w:t xml:space="preserve">: Estimate of </w:t>
      </w:r>
      <w:r>
        <w:rPr>
          <w:b/>
        </w:rPr>
        <w:t xml:space="preserve">Changes in </w:t>
      </w:r>
      <w:r w:rsidRPr="002806B5">
        <w:rPr>
          <w:b/>
        </w:rPr>
        <w:t xml:space="preserve">Annual Burden Hours </w:t>
      </w:r>
      <w:r>
        <w:rPr>
          <w:b/>
        </w:rPr>
        <w:t>from Previous ICR by Activity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970"/>
        <w:gridCol w:w="2610"/>
      </w:tblGrid>
      <w:tr w:rsidR="00B912ED" w:rsidTr="005C1538">
        <w:tc>
          <w:tcPr>
            <w:tcW w:w="3510" w:type="dxa"/>
          </w:tcPr>
          <w:p w:rsidR="00B912ED" w:rsidRPr="0091043F" w:rsidRDefault="00B912ED" w:rsidP="00F20EA9">
            <w:pPr>
              <w:keepNext/>
              <w:jc w:val="center"/>
              <w:rPr>
                <w:rStyle w:val="BodyTextChar"/>
                <w:sz w:val="22"/>
                <w:szCs w:val="22"/>
              </w:rPr>
            </w:pPr>
            <w:r w:rsidRPr="0091043F">
              <w:rPr>
                <w:b/>
                <w:bCs/>
                <w:sz w:val="22"/>
                <w:szCs w:val="22"/>
              </w:rPr>
              <w:t>Activity</w:t>
            </w:r>
          </w:p>
        </w:tc>
        <w:tc>
          <w:tcPr>
            <w:tcW w:w="2970" w:type="dxa"/>
          </w:tcPr>
          <w:p w:rsidR="00B912ED" w:rsidRPr="0091043F" w:rsidRDefault="00B912ED" w:rsidP="00F20EA9">
            <w:pPr>
              <w:keepNext/>
              <w:jc w:val="center"/>
              <w:rPr>
                <w:rStyle w:val="BodyTextChar"/>
                <w:sz w:val="22"/>
                <w:szCs w:val="22"/>
              </w:rPr>
            </w:pPr>
            <w:r w:rsidRPr="0091043F">
              <w:rPr>
                <w:b/>
                <w:bCs/>
                <w:sz w:val="22"/>
                <w:szCs w:val="22"/>
              </w:rPr>
              <w:t>Annual Burden Increase Due fro</w:t>
            </w:r>
            <w:r>
              <w:rPr>
                <w:b/>
                <w:bCs/>
                <w:sz w:val="22"/>
                <w:szCs w:val="22"/>
              </w:rPr>
              <w:t>m Adjustment (to Baseline) for</w:t>
            </w:r>
            <w:r w:rsidRPr="0091043F">
              <w:rPr>
                <w:b/>
                <w:bCs/>
                <w:sz w:val="22"/>
                <w:szCs w:val="22"/>
              </w:rPr>
              <w:t xml:space="preserve"> Addendum Period</w:t>
            </w:r>
          </w:p>
        </w:tc>
        <w:tc>
          <w:tcPr>
            <w:tcW w:w="2610" w:type="dxa"/>
          </w:tcPr>
          <w:p w:rsidR="00B912ED" w:rsidRPr="0091043F" w:rsidRDefault="00B912ED" w:rsidP="00F20EA9">
            <w:pPr>
              <w:keepNext/>
              <w:jc w:val="center"/>
              <w:rPr>
                <w:rStyle w:val="BodyTextChar"/>
                <w:sz w:val="22"/>
                <w:szCs w:val="22"/>
              </w:rPr>
            </w:pPr>
            <w:r w:rsidRPr="0091043F">
              <w:rPr>
                <w:b/>
                <w:bCs/>
                <w:sz w:val="22"/>
                <w:szCs w:val="22"/>
              </w:rPr>
              <w:t>Total Burden Increase from Adjustment (to Baseline) for Addendum Period</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Rule familiarization (per firm)</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1.03</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3</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 xml:space="preserve">Preparation, submission, and recordkeeping </w:t>
            </w:r>
            <w:r>
              <w:rPr>
                <w:sz w:val="22"/>
                <w:szCs w:val="22"/>
              </w:rPr>
              <w:t>for SNUN (per r</w:t>
            </w:r>
            <w:r w:rsidRPr="0091043F">
              <w:rPr>
                <w:sz w:val="22"/>
                <w:szCs w:val="22"/>
              </w:rPr>
              <w:t>eport)</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-286.6</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-860</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CDX registration (per firm)</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1.9</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6</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CDX signature</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2.02</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6</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e Pay</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-0.45</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-1</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Chemical verification (per SNUR)</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-28.15</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-84</w:t>
            </w:r>
          </w:p>
        </w:tc>
      </w:tr>
      <w:tr w:rsidR="00B912ED" w:rsidTr="005C1538">
        <w:tc>
          <w:tcPr>
            <w:tcW w:w="3510" w:type="dxa"/>
          </w:tcPr>
          <w:p w:rsidR="00B912ED" w:rsidRPr="0091043F" w:rsidRDefault="00B912ED" w:rsidP="00F20EA9">
            <w:pPr>
              <w:keepNext/>
              <w:rPr>
                <w:rStyle w:val="BodyTextChar"/>
                <w:sz w:val="22"/>
                <w:szCs w:val="22"/>
              </w:rPr>
            </w:pPr>
            <w:r w:rsidRPr="0091043F">
              <w:rPr>
                <w:sz w:val="22"/>
                <w:szCs w:val="22"/>
              </w:rPr>
              <w:t xml:space="preserve">Notifying customers </w:t>
            </w:r>
            <w:r>
              <w:rPr>
                <w:sz w:val="22"/>
                <w:szCs w:val="22"/>
              </w:rPr>
              <w:t>(p</w:t>
            </w:r>
            <w:r w:rsidRPr="0091043F">
              <w:rPr>
                <w:sz w:val="22"/>
                <w:szCs w:val="22"/>
              </w:rPr>
              <w:t>er SNUR)</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-130</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-390</w:t>
            </w:r>
          </w:p>
        </w:tc>
      </w:tr>
      <w:tr w:rsidR="00B912ED" w:rsidTr="005C1538">
        <w:tc>
          <w:tcPr>
            <w:tcW w:w="3510" w:type="dxa"/>
          </w:tcPr>
          <w:p w:rsidR="00B912ED" w:rsidRPr="0091043F" w:rsidRDefault="00B912ED" w:rsidP="00F20EA9">
            <w:pPr>
              <w:keepNext/>
              <w:rPr>
                <w:rStyle w:val="BodyTextChar"/>
                <w:b/>
                <w:sz w:val="22"/>
                <w:szCs w:val="22"/>
              </w:rPr>
            </w:pPr>
            <w:r w:rsidRPr="0091043F">
              <w:rPr>
                <w:rStyle w:val="BodyTextChar"/>
                <w:b/>
                <w:sz w:val="22"/>
                <w:szCs w:val="22"/>
              </w:rPr>
              <w:t>Totals</w:t>
            </w:r>
          </w:p>
        </w:tc>
        <w:tc>
          <w:tcPr>
            <w:tcW w:w="2970" w:type="dxa"/>
          </w:tcPr>
          <w:p w:rsidR="00B912ED" w:rsidRPr="0091043F" w:rsidRDefault="00B912ED" w:rsidP="00F20EA9">
            <w:pPr>
              <w:keepNext/>
              <w:jc w:val="center"/>
              <w:rPr>
                <w:rStyle w:val="BodyTextChar"/>
                <w:sz w:val="22"/>
                <w:szCs w:val="22"/>
              </w:rPr>
            </w:pPr>
            <w:r w:rsidRPr="0091043F">
              <w:rPr>
                <w:rStyle w:val="BodyTextChar"/>
                <w:sz w:val="22"/>
                <w:szCs w:val="22"/>
              </w:rPr>
              <w:t>-440.24</w:t>
            </w:r>
          </w:p>
        </w:tc>
        <w:tc>
          <w:tcPr>
            <w:tcW w:w="2610" w:type="dxa"/>
          </w:tcPr>
          <w:p w:rsidR="00B912ED" w:rsidRPr="0091043F" w:rsidRDefault="00B912ED" w:rsidP="00F20EA9">
            <w:pPr>
              <w:keepNext/>
              <w:jc w:val="center"/>
              <w:rPr>
                <w:rStyle w:val="BodyTextChar"/>
                <w:sz w:val="22"/>
                <w:szCs w:val="22"/>
              </w:rPr>
            </w:pPr>
            <w:r w:rsidRPr="0091043F">
              <w:rPr>
                <w:rStyle w:val="BodyTextChar"/>
                <w:sz w:val="22"/>
                <w:szCs w:val="22"/>
              </w:rPr>
              <w:t>-1,321</w:t>
            </w:r>
          </w:p>
        </w:tc>
      </w:tr>
    </w:tbl>
    <w:p w:rsidR="00B912ED" w:rsidRDefault="00B912ED" w:rsidP="00B912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t>6(e)</w:t>
      </w:r>
      <w:r>
        <w:rPr>
          <w:b/>
          <w:bCs/>
        </w:rPr>
        <w:tab/>
        <w:t>Burden Statement</w:t>
      </w:r>
    </w:p>
    <w:p w:rsidR="00B912ED" w:rsidRDefault="00B912ED" w:rsidP="00B912E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12ED" w:rsidRDefault="00B912ED" w:rsidP="00B912ED">
      <w:r>
        <w:t xml:space="preserve">The annual public burden for this collection of information, which is approved under OMB Control No. 2070-0038, is estimated to average approximately 8.1 hours per response. Burden is defined in 5 CFR 1320.3(b).  An agency may not conduct or sponsor, and a person is not required to respond to a collection of information unless it displays a current and valid OMB control number. The OMB control numbers for EPA’s regulations in title 40 of the CFR, after appearing in the </w:t>
      </w:r>
      <w:r w:rsidRPr="00C26BA4">
        <w:rPr>
          <w:u w:val="single"/>
        </w:rPr>
        <w:t>Federal Register</w:t>
      </w:r>
      <w:r>
        <w:t xml:space="preserve">, are listed in 40 CFR </w:t>
      </w:r>
      <w:proofErr w:type="gramStart"/>
      <w:r>
        <w:t>part</w:t>
      </w:r>
      <w:proofErr w:type="gramEnd"/>
      <w:r>
        <w:t xml:space="preserve"> 9 and included on the related collection instrument or form, if applicable.</w:t>
      </w:r>
    </w:p>
    <w:p w:rsidR="00B912ED" w:rsidRDefault="00B912ED" w:rsidP="00B912ED"/>
    <w:p w:rsidR="00B912ED" w:rsidRDefault="00B912ED" w:rsidP="005976CD">
      <w:pPr>
        <w:tabs>
          <w:tab w:val="left" w:pos="-1080"/>
          <w:tab w:val="left" w:pos="-720"/>
        </w:tabs>
      </w:pPr>
      <w:r>
        <w:rPr>
          <w:lang w:val="en-CA"/>
        </w:rPr>
        <w:tab/>
      </w:r>
      <w:r w:rsidRPr="00BF29B2">
        <w:t>The Agency has established a public docket for this ICR under Docket</w:t>
      </w:r>
      <w:r w:rsidRPr="00CF70B2">
        <w:t xml:space="preserve"> ID</w:t>
      </w:r>
      <w:r w:rsidRPr="005A3906">
        <w:t xml:space="preserve"> No.</w:t>
      </w:r>
      <w:r w:rsidRPr="00427211">
        <w:rPr>
          <w:highlight w:val="white"/>
        </w:rPr>
        <w:t xml:space="preserve"> </w:t>
      </w:r>
      <w:r w:rsidRPr="004E5ABB">
        <w:t>EPA-HQ-OPPT-2011-0778, which is available for online viewing at www.regulations.gov, or in person viewing at</w:t>
      </w:r>
      <w:r w:rsidRPr="009841C2">
        <w:t xml:space="preserve"> </w:t>
      </w:r>
      <w:r>
        <w:t xml:space="preserve">the Pollution Prevention and Toxics Docket in the EPA Docket Center (EPA/DC). The EPA/DC Public Reading Room is located in the EPA West Building, Room 3334, 1301 Constitution Ave., </w:t>
      </w:r>
      <w:proofErr w:type="gramStart"/>
      <w:r>
        <w:t>NW.,</w:t>
      </w:r>
      <w:proofErr w:type="gramEnd"/>
      <w:r>
        <w:t xml:space="preserve">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B912ED" w:rsidRDefault="00B912ED" w:rsidP="00B912ED">
      <w:pPr>
        <w:tabs>
          <w:tab w:val="left" w:pos="-1080"/>
          <w:tab w:val="left" w:pos="-720"/>
        </w:tabs>
      </w:pPr>
    </w:p>
    <w:p w:rsidR="00B912ED" w:rsidRDefault="00B912ED" w:rsidP="00B912ED">
      <w:pPr>
        <w:tabs>
          <w:tab w:val="left" w:pos="-1080"/>
          <w:tab w:val="left" w:pos="-720"/>
        </w:tabs>
        <w:sectPr w:rsidR="00B912ED" w:rsidSect="00F64EEB">
          <w:pgSz w:w="12240" w:h="15840" w:code="1"/>
          <w:pgMar w:top="1080" w:right="1080" w:bottom="1080" w:left="1080" w:header="720" w:footer="720" w:gutter="0"/>
          <w:cols w:space="720"/>
          <w:noEndnote/>
          <w:docGrid w:linePitch="326"/>
        </w:sectPr>
      </w:pPr>
      <w:r>
        <w:tab/>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OPPT-2011-0778 and OMB Control No. 2070-0038, to (1) EPA online using www.regulations.gov (our preferred method), or by mail to: Pollution Prevention and Toxics Docket, Environmental Protection Agency Docket Center (EPA/DC), </w:t>
      </w:r>
      <w:proofErr w:type="spellStart"/>
      <w:r>
        <w:t>Mailcode</w:t>
      </w:r>
      <w:proofErr w:type="spellEnd"/>
      <w:r>
        <w:t>: 28221T, 1200 Pennsylvania Ave., NW., Washington, DC 20460, and (2) OMB by mail to: Office of Information and Regulatory Affairs, Office of Management and Budget (OMB), Attention: Desk Officer for EPA, 725 17th Street, NW, Washington, DC 20503.</w:t>
      </w:r>
    </w:p>
    <w:p w:rsidR="00B912ED" w:rsidRPr="00847923" w:rsidRDefault="00B912ED" w:rsidP="00B912ED">
      <w:pPr>
        <w:tabs>
          <w:tab w:val="center" w:pos="4725"/>
          <w:tab w:val="left" w:pos="5040"/>
          <w:tab w:val="left" w:pos="5760"/>
          <w:tab w:val="left" w:pos="6480"/>
          <w:tab w:val="left" w:pos="6999"/>
          <w:tab w:val="left" w:pos="7179"/>
          <w:tab w:val="left" w:pos="7920"/>
          <w:tab w:val="left" w:pos="8640"/>
        </w:tabs>
        <w:jc w:val="center"/>
      </w:pPr>
      <w:r w:rsidRPr="003C1627">
        <w:rPr>
          <w:b/>
          <w:u w:val="single"/>
        </w:rPr>
        <w:lastRenderedPageBreak/>
        <w:t>REFERENCES</w:t>
      </w:r>
    </w:p>
    <w:p w:rsidR="00B912ED" w:rsidRPr="00EB5D7A" w:rsidRDefault="00B912ED" w:rsidP="00B912ED">
      <w:pPr>
        <w:spacing w:before="288" w:after="240"/>
        <w:ind w:left="648" w:right="936" w:hanging="648"/>
      </w:pPr>
      <w:proofErr w:type="gramStart"/>
      <w:r w:rsidRPr="00EB5D7A">
        <w:rPr>
          <w:spacing w:val="-2"/>
        </w:rPr>
        <w:t>BLS, 2006.</w:t>
      </w:r>
      <w:proofErr w:type="gramEnd"/>
      <w:r w:rsidRPr="00EB5D7A">
        <w:rPr>
          <w:spacing w:val="-2"/>
        </w:rPr>
        <w:t xml:space="preserve"> U.S. Bureau of Labor Statistics,</w:t>
      </w:r>
      <w:r w:rsidRPr="00EB5D7A">
        <w:t xml:space="preserve"> </w:t>
      </w:r>
      <w:r w:rsidRPr="00EB5D7A">
        <w:rPr>
          <w:i/>
          <w:spacing w:val="-2"/>
        </w:rPr>
        <w:t xml:space="preserve">Employment Cost Index News Release Text: </w:t>
      </w:r>
      <w:r w:rsidRPr="00EB5D7A">
        <w:rPr>
          <w:i/>
        </w:rPr>
        <w:t xml:space="preserve">Employment Cost Index, March 2006 </w:t>
      </w:r>
      <w:r w:rsidRPr="00EB5D7A">
        <w:t xml:space="preserve">(April 28, 2006), at </w:t>
      </w:r>
      <w:hyperlink r:id="rId17" w:history="1">
        <w:r w:rsidRPr="002115FA">
          <w:rPr>
            <w:i/>
            <w:color w:val="0000FF"/>
            <w:u w:val="single"/>
          </w:rPr>
          <w:t>http://www.bls.gov</w:t>
        </w:r>
      </w:hyperlink>
      <w:r w:rsidRPr="00EB5D7A">
        <w:rPr>
          <w:u w:val="single"/>
        </w:rPr>
        <w:t>.</w:t>
      </w:r>
    </w:p>
    <w:p w:rsidR="00B912ED" w:rsidRDefault="00B912ED" w:rsidP="00B912ED">
      <w:pPr>
        <w:widowControl/>
        <w:autoSpaceDE w:val="0"/>
        <w:autoSpaceDN w:val="0"/>
        <w:rPr>
          <w:bCs/>
        </w:rPr>
      </w:pPr>
      <w:proofErr w:type="gramStart"/>
      <w:r w:rsidRPr="00EB5D7A">
        <w:rPr>
          <w:bCs/>
        </w:rPr>
        <w:t>BLS, 2011a.</w:t>
      </w:r>
      <w:proofErr w:type="gramEnd"/>
      <w:r w:rsidRPr="00EB5D7A">
        <w:rPr>
          <w:bCs/>
        </w:rPr>
        <w:t xml:space="preserve"> </w:t>
      </w:r>
      <w:proofErr w:type="gramStart"/>
      <w:r w:rsidRPr="00EB5D7A">
        <w:rPr>
          <w:bCs/>
        </w:rPr>
        <w:t>U.S. Bureau of Labor Statistics.</w:t>
      </w:r>
      <w:proofErr w:type="gramEnd"/>
      <w:r w:rsidRPr="00EB5D7A">
        <w:rPr>
          <w:bCs/>
        </w:rPr>
        <w:t xml:space="preserve"> “Employer Costs for Employee Compensation Supplementary Tables December 2010.” </w:t>
      </w:r>
      <w:proofErr w:type="gramStart"/>
      <w:r w:rsidRPr="00EB5D7A">
        <w:rPr>
          <w:bCs/>
        </w:rPr>
        <w:t>Accessed March 9, 2011.</w:t>
      </w:r>
      <w:proofErr w:type="gramEnd"/>
      <w:r w:rsidRPr="00EB5D7A">
        <w:rPr>
          <w:bCs/>
        </w:rPr>
        <w:t xml:space="preserve"> </w:t>
      </w:r>
      <w:hyperlink r:id="rId18" w:history="1">
        <w:r w:rsidR="005976CD" w:rsidRPr="002115FA">
          <w:rPr>
            <w:rStyle w:val="Hyperlink"/>
            <w:bCs/>
            <w:i/>
          </w:rPr>
          <w:t>http://www.bls.gov/ncs/ect/sp/ecsuptc17.pdf</w:t>
        </w:r>
      </w:hyperlink>
      <w:r w:rsidRPr="00EB5D7A">
        <w:rPr>
          <w:bCs/>
        </w:rPr>
        <w:t xml:space="preserve">. </w:t>
      </w:r>
    </w:p>
    <w:p w:rsidR="00B912ED" w:rsidRPr="00EB5D7A" w:rsidRDefault="00B912ED" w:rsidP="00B912ED">
      <w:pPr>
        <w:widowControl/>
        <w:autoSpaceDE w:val="0"/>
        <w:autoSpaceDN w:val="0"/>
        <w:rPr>
          <w:bCs/>
        </w:rPr>
      </w:pPr>
    </w:p>
    <w:p w:rsidR="00B912ED" w:rsidRPr="00EB5D7A" w:rsidRDefault="00B912ED" w:rsidP="00B912ED">
      <w:pPr>
        <w:pStyle w:val="Reference"/>
        <w:spacing w:after="240"/>
        <w:rPr>
          <w:color w:val="auto"/>
          <w:sz w:val="24"/>
        </w:rPr>
      </w:pPr>
      <w:proofErr w:type="gramStart"/>
      <w:r w:rsidRPr="00EB5D7A">
        <w:rPr>
          <w:color w:val="auto"/>
          <w:sz w:val="24"/>
        </w:rPr>
        <w:t>BLS, 2011b.</w:t>
      </w:r>
      <w:proofErr w:type="gramEnd"/>
      <w:r w:rsidRPr="00EB5D7A">
        <w:rPr>
          <w:sz w:val="24"/>
        </w:rPr>
        <w:t xml:space="preserve"> </w:t>
      </w:r>
      <w:proofErr w:type="gramStart"/>
      <w:r w:rsidRPr="00EB5D7A">
        <w:rPr>
          <w:color w:val="auto"/>
          <w:sz w:val="24"/>
        </w:rPr>
        <w:t>Bureau of Labor Statistics.</w:t>
      </w:r>
      <w:proofErr w:type="gramEnd"/>
      <w:r w:rsidRPr="00EB5D7A">
        <w:rPr>
          <w:color w:val="auto"/>
          <w:sz w:val="24"/>
        </w:rPr>
        <w:t xml:space="preserve"> Employment Cost Index – Total Compensation: Professional and Related Private Industry, Not Seasonally Adjusted. </w:t>
      </w:r>
      <w:proofErr w:type="gramStart"/>
      <w:r w:rsidRPr="00EB5D7A">
        <w:rPr>
          <w:color w:val="auto"/>
          <w:sz w:val="24"/>
        </w:rPr>
        <w:t>(Series ID: CIU2010000120000I (B)), extracted June 16, 2011.</w:t>
      </w:r>
      <w:proofErr w:type="gramEnd"/>
      <w:r w:rsidRPr="00EB5D7A">
        <w:rPr>
          <w:color w:val="auto"/>
          <w:sz w:val="24"/>
        </w:rPr>
        <w:t xml:space="preserve"> </w:t>
      </w:r>
      <w:hyperlink r:id="rId19" w:history="1">
        <w:r w:rsidR="002115FA" w:rsidRPr="00335E90">
          <w:rPr>
            <w:rStyle w:val="Hyperlink"/>
            <w:i/>
            <w:sz w:val="24"/>
          </w:rPr>
          <w:t>http://data.bls.gov/cgi-bin/srgate</w:t>
        </w:r>
      </w:hyperlink>
      <w:r w:rsidR="005976CD">
        <w:rPr>
          <w:color w:val="auto"/>
          <w:sz w:val="24"/>
        </w:rPr>
        <w:t>.</w:t>
      </w:r>
    </w:p>
    <w:p w:rsidR="00B912ED" w:rsidRPr="00EB5D7A" w:rsidRDefault="00B912ED" w:rsidP="00B912ED">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spacing w:after="240"/>
        <w:ind w:left="339" w:hanging="339"/>
      </w:pPr>
      <w:proofErr w:type="gramStart"/>
      <w:r w:rsidRPr="00EB5D7A">
        <w:t>EPA, 1994.</w:t>
      </w:r>
      <w:proofErr w:type="gramEnd"/>
      <w:r w:rsidRPr="00EB5D7A">
        <w:t xml:space="preserve"> U.S. EPA, Office of Pollution Prevention and </w:t>
      </w:r>
      <w:proofErr w:type="spellStart"/>
      <w:r w:rsidRPr="00EB5D7A">
        <w:t>Toxics</w:t>
      </w:r>
      <w:proofErr w:type="gramStart"/>
      <w:r w:rsidRPr="00EB5D7A">
        <w:t>,Regulatory</w:t>
      </w:r>
      <w:proofErr w:type="spellEnd"/>
      <w:proofErr w:type="gramEnd"/>
      <w:r w:rsidRPr="00EB5D7A">
        <w:t xml:space="preserve"> Impacts </w:t>
      </w:r>
      <w:proofErr w:type="spellStart"/>
      <w:r w:rsidRPr="00EB5D7A">
        <w:t>Branch.</w:t>
      </w:r>
      <w:r w:rsidRPr="00EB5D7A">
        <w:rPr>
          <w:i/>
          <w:iCs/>
        </w:rPr>
        <w:t>Regulatory</w:t>
      </w:r>
      <w:proofErr w:type="spellEnd"/>
      <w:r w:rsidRPr="00EB5D7A">
        <w:rPr>
          <w:i/>
          <w:iCs/>
        </w:rPr>
        <w:t xml:space="preserve"> Impact Analysis of Amendments to Regulations for TSCA Section 5 Premanufacture Notifications</w:t>
      </w:r>
      <w:r w:rsidRPr="00EB5D7A">
        <w:t>.  Washington, DC: U.S. EPA/OPPT/EETD/RIB, September 9, 1994.</w:t>
      </w:r>
    </w:p>
    <w:p w:rsidR="00B912ED" w:rsidRPr="00EB5D7A" w:rsidRDefault="00B912ED" w:rsidP="00B912ED">
      <w:pPr>
        <w:pStyle w:val="Reference"/>
        <w:spacing w:after="240"/>
        <w:rPr>
          <w:color w:val="auto"/>
          <w:sz w:val="24"/>
        </w:rPr>
      </w:pPr>
      <w:proofErr w:type="gramStart"/>
      <w:r w:rsidRPr="00EB5D7A">
        <w:rPr>
          <w:color w:val="auto"/>
          <w:spacing w:val="-2"/>
          <w:sz w:val="24"/>
        </w:rPr>
        <w:t>EPA, 2002a.</w:t>
      </w:r>
      <w:proofErr w:type="gramEnd"/>
      <w:r w:rsidRPr="00EB5D7A">
        <w:rPr>
          <w:color w:val="auto"/>
          <w:spacing w:val="-2"/>
          <w:sz w:val="24"/>
        </w:rPr>
        <w:t xml:space="preserve"> </w:t>
      </w:r>
      <w:proofErr w:type="gramStart"/>
      <w:r w:rsidRPr="00EB5D7A">
        <w:rPr>
          <w:color w:val="auto"/>
          <w:spacing w:val="-2"/>
          <w:sz w:val="24"/>
        </w:rPr>
        <w:t>U.S. EPA, Office of Pollution Prevention and Toxics, Economic and Policy Analysis</w:t>
      </w:r>
      <w:r w:rsidRPr="00EB5D7A">
        <w:rPr>
          <w:color w:val="auto"/>
          <w:sz w:val="24"/>
        </w:rPr>
        <w:t xml:space="preserve"> Branch.</w:t>
      </w:r>
      <w:proofErr w:type="gramEnd"/>
      <w:r w:rsidRPr="00EB5D7A">
        <w:rPr>
          <w:color w:val="auto"/>
          <w:sz w:val="24"/>
        </w:rPr>
        <w:t xml:space="preserve"> </w:t>
      </w:r>
      <w:proofErr w:type="gramStart"/>
      <w:r w:rsidRPr="00EB5D7A">
        <w:rPr>
          <w:i/>
          <w:color w:val="auto"/>
          <w:sz w:val="24"/>
        </w:rPr>
        <w:t>Revised Economic Analysis for the Amended Inventory Update Rule: Final Report.</w:t>
      </w:r>
      <w:proofErr w:type="gramEnd"/>
      <w:r w:rsidRPr="00EB5D7A">
        <w:rPr>
          <w:i/>
          <w:color w:val="auto"/>
          <w:sz w:val="24"/>
        </w:rPr>
        <w:t xml:space="preserve"> </w:t>
      </w:r>
      <w:r w:rsidRPr="00EB5D7A">
        <w:rPr>
          <w:color w:val="auto"/>
          <w:sz w:val="24"/>
        </w:rPr>
        <w:t>Washington, DC. August 2002.</w:t>
      </w:r>
    </w:p>
    <w:p w:rsidR="00B912ED" w:rsidRPr="00EB5D7A" w:rsidRDefault="00B912ED" w:rsidP="00B912ED">
      <w:pPr>
        <w:pStyle w:val="Reference"/>
        <w:spacing w:after="240"/>
        <w:rPr>
          <w:color w:val="auto"/>
          <w:sz w:val="24"/>
        </w:rPr>
      </w:pPr>
      <w:proofErr w:type="gramStart"/>
      <w:r w:rsidRPr="00EB5D7A">
        <w:rPr>
          <w:color w:val="auto"/>
          <w:spacing w:val="-2"/>
          <w:sz w:val="24"/>
        </w:rPr>
        <w:t>EPA, 2002b.</w:t>
      </w:r>
      <w:proofErr w:type="gramEnd"/>
      <w:r w:rsidRPr="00EB5D7A">
        <w:rPr>
          <w:color w:val="auto"/>
          <w:spacing w:val="-2"/>
          <w:sz w:val="24"/>
        </w:rPr>
        <w:t xml:space="preserve"> </w:t>
      </w:r>
      <w:proofErr w:type="gramStart"/>
      <w:r w:rsidRPr="00EB5D7A">
        <w:rPr>
          <w:color w:val="auto"/>
          <w:sz w:val="24"/>
        </w:rPr>
        <w:t xml:space="preserve">U.S. EPA, Office of Pollution Prevention and Toxics, Economic and Policy Analysis Branch, </w:t>
      </w:r>
      <w:r w:rsidRPr="00EB5D7A">
        <w:rPr>
          <w:i/>
          <w:color w:val="auto"/>
          <w:spacing w:val="-2"/>
          <w:sz w:val="24"/>
        </w:rPr>
        <w:t>Wage Rates for Economic Analysis of the Toxics Release Inventory Program.</w:t>
      </w:r>
      <w:proofErr w:type="gramEnd"/>
      <w:r w:rsidRPr="00EB5D7A">
        <w:rPr>
          <w:i/>
          <w:color w:val="auto"/>
          <w:spacing w:val="-2"/>
          <w:sz w:val="24"/>
        </w:rPr>
        <w:t xml:space="preserve"> </w:t>
      </w:r>
      <w:r w:rsidRPr="00EB5D7A">
        <w:rPr>
          <w:color w:val="auto"/>
          <w:sz w:val="24"/>
        </w:rPr>
        <w:t>Washington, DC: June 10, 2002.</w:t>
      </w:r>
    </w:p>
    <w:p w:rsidR="00B912ED" w:rsidRPr="00EB5D7A" w:rsidRDefault="00B912ED" w:rsidP="00B912ED">
      <w:pPr>
        <w:pStyle w:val="Reference"/>
        <w:spacing w:after="240"/>
        <w:rPr>
          <w:color w:val="auto"/>
          <w:sz w:val="24"/>
        </w:rPr>
      </w:pPr>
      <w:proofErr w:type="gramStart"/>
      <w:r w:rsidRPr="00EB5D7A">
        <w:rPr>
          <w:color w:val="auto"/>
          <w:sz w:val="24"/>
        </w:rPr>
        <w:t>EPA, 2007.</w:t>
      </w:r>
      <w:proofErr w:type="gramEnd"/>
      <w:r w:rsidRPr="00EB5D7A">
        <w:rPr>
          <w:color w:val="auto"/>
          <w:sz w:val="24"/>
        </w:rPr>
        <w:t xml:space="preserve"> U.S. EPA Office of Pollution Prevention and Toxics, </w:t>
      </w:r>
      <w:r w:rsidRPr="00EB5D7A">
        <w:rPr>
          <w:i/>
          <w:color w:val="auto"/>
          <w:sz w:val="24"/>
        </w:rPr>
        <w:t>Supporting Statement for</w:t>
      </w:r>
      <w:r w:rsidRPr="00EB5D7A">
        <w:rPr>
          <w:color w:val="auto"/>
          <w:sz w:val="24"/>
        </w:rPr>
        <w:t xml:space="preserve"> </w:t>
      </w:r>
      <w:r w:rsidRPr="00EB5D7A">
        <w:rPr>
          <w:i/>
          <w:color w:val="auto"/>
          <w:sz w:val="24"/>
        </w:rPr>
        <w:t xml:space="preserve">Information Collection Request: Pre-Manufacture Review Reporting and Exemption Requirements for New Chemical Substances and Significant New Use Reporting Requirements for Chemical Substances. </w:t>
      </w:r>
      <w:r w:rsidRPr="00EB5D7A">
        <w:rPr>
          <w:color w:val="auto"/>
          <w:sz w:val="24"/>
        </w:rPr>
        <w:t>OMB Control Number 2070-0012, EPA Tracking Number 0574.13, December 11, 2007.</w:t>
      </w:r>
    </w:p>
    <w:p w:rsidR="00B912ED" w:rsidRPr="00EB5D7A" w:rsidRDefault="00B912ED" w:rsidP="00B912ED">
      <w:pPr>
        <w:pStyle w:val="Reference"/>
        <w:spacing w:after="240"/>
        <w:rPr>
          <w:color w:val="auto"/>
          <w:sz w:val="24"/>
        </w:rPr>
      </w:pPr>
      <w:proofErr w:type="gramStart"/>
      <w:r w:rsidRPr="00EB5D7A">
        <w:rPr>
          <w:color w:val="auto"/>
          <w:sz w:val="24"/>
        </w:rPr>
        <w:t>EPA, 2009a.</w:t>
      </w:r>
      <w:proofErr w:type="gramEnd"/>
      <w:r w:rsidRPr="00EB5D7A">
        <w:rPr>
          <w:color w:val="auto"/>
          <w:sz w:val="24"/>
        </w:rPr>
        <w:t xml:space="preserve"> </w:t>
      </w:r>
      <w:proofErr w:type="gramStart"/>
      <w:r w:rsidRPr="00EB5D7A">
        <w:rPr>
          <w:color w:val="auto"/>
          <w:sz w:val="24"/>
        </w:rPr>
        <w:t>U.S. EPA, Office of Pollution Prevention and Toxics, Economic and Policy Analysis Branch</w:t>
      </w:r>
      <w:r w:rsidRPr="00EB5D7A">
        <w:rPr>
          <w:i/>
          <w:color w:val="auto"/>
          <w:sz w:val="24"/>
        </w:rPr>
        <w:t>.</w:t>
      </w:r>
      <w:proofErr w:type="gramEnd"/>
      <w:r w:rsidRPr="00EB5D7A">
        <w:rPr>
          <w:i/>
          <w:color w:val="auto"/>
          <w:sz w:val="24"/>
        </w:rPr>
        <w:t xml:space="preserve"> </w:t>
      </w:r>
      <w:proofErr w:type="gramStart"/>
      <w:r w:rsidRPr="00EB5D7A">
        <w:rPr>
          <w:i/>
          <w:color w:val="auto"/>
          <w:sz w:val="24"/>
        </w:rPr>
        <w:t>Economic Analysis of the Premanufacture Notification Electronic Reporting Final Rule</w:t>
      </w:r>
      <w:r w:rsidRPr="00EB5D7A">
        <w:rPr>
          <w:color w:val="auto"/>
          <w:sz w:val="24"/>
        </w:rPr>
        <w:t>.</w:t>
      </w:r>
      <w:proofErr w:type="gramEnd"/>
      <w:r w:rsidRPr="00EB5D7A">
        <w:rPr>
          <w:color w:val="auto"/>
          <w:sz w:val="24"/>
        </w:rPr>
        <w:t xml:space="preserve"> </w:t>
      </w:r>
      <w:proofErr w:type="gramStart"/>
      <w:r w:rsidRPr="00EB5D7A">
        <w:rPr>
          <w:bCs/>
          <w:color w:val="auto"/>
          <w:sz w:val="24"/>
        </w:rPr>
        <w:t>(EPA-HQ-OPPT-2008-0296)</w:t>
      </w:r>
      <w:r w:rsidRPr="00EB5D7A">
        <w:rPr>
          <w:color w:val="auto"/>
          <w:sz w:val="24"/>
        </w:rPr>
        <w:t>.</w:t>
      </w:r>
      <w:proofErr w:type="gramEnd"/>
      <w:r w:rsidRPr="00EB5D7A">
        <w:rPr>
          <w:color w:val="auto"/>
          <w:sz w:val="24"/>
        </w:rPr>
        <w:t xml:space="preserve"> July 13, 2009</w:t>
      </w:r>
    </w:p>
    <w:p w:rsidR="00B912ED" w:rsidRPr="00EB5D7A" w:rsidRDefault="00B912ED" w:rsidP="00B912ED">
      <w:pPr>
        <w:pStyle w:val="Reference"/>
        <w:spacing w:after="240"/>
        <w:rPr>
          <w:color w:val="auto"/>
          <w:sz w:val="24"/>
        </w:rPr>
      </w:pPr>
      <w:proofErr w:type="gramStart"/>
      <w:r w:rsidRPr="00EB5D7A">
        <w:rPr>
          <w:color w:val="auto"/>
          <w:spacing w:val="-2"/>
          <w:sz w:val="24"/>
        </w:rPr>
        <w:t>EPA, 2009b.</w:t>
      </w:r>
      <w:proofErr w:type="gramEnd"/>
      <w:r w:rsidRPr="00EB5D7A">
        <w:rPr>
          <w:color w:val="auto"/>
          <w:spacing w:val="-2"/>
          <w:sz w:val="24"/>
        </w:rPr>
        <w:t xml:space="preserve"> </w:t>
      </w:r>
      <w:proofErr w:type="gramStart"/>
      <w:r w:rsidRPr="00EB5D7A">
        <w:rPr>
          <w:color w:val="auto"/>
          <w:spacing w:val="-2"/>
          <w:sz w:val="24"/>
        </w:rPr>
        <w:t>U.S. EPA, Office of Pollution Prevention and Toxics</w:t>
      </w:r>
      <w:r w:rsidRPr="00EB5D7A">
        <w:rPr>
          <w:i/>
          <w:color w:val="auto"/>
          <w:sz w:val="24"/>
        </w:rPr>
        <w:t xml:space="preserve"> ICR No. 118.09.</w:t>
      </w:r>
      <w:proofErr w:type="gramEnd"/>
      <w:r w:rsidRPr="00EB5D7A">
        <w:rPr>
          <w:color w:val="auto"/>
          <w:sz w:val="24"/>
        </w:rPr>
        <w:t xml:space="preserve"> </w:t>
      </w:r>
      <w:r w:rsidRPr="00EB5D7A">
        <w:rPr>
          <w:i/>
          <w:color w:val="auto"/>
          <w:sz w:val="24"/>
        </w:rPr>
        <w:t>[Information Collection Request for] TSCA Section 5(a</w:t>
      </w:r>
      <w:proofErr w:type="gramStart"/>
      <w:r w:rsidRPr="00EB5D7A">
        <w:rPr>
          <w:i/>
          <w:color w:val="auto"/>
          <w:sz w:val="24"/>
        </w:rPr>
        <w:t>)(</w:t>
      </w:r>
      <w:proofErr w:type="gramEnd"/>
      <w:r w:rsidRPr="00EB5D7A">
        <w:rPr>
          <w:i/>
          <w:color w:val="auto"/>
          <w:sz w:val="24"/>
        </w:rPr>
        <w:t xml:space="preserve">2) Significant New Use Rules for Existing Chemicals (Renewal). </w:t>
      </w:r>
      <w:proofErr w:type="gramStart"/>
      <w:r w:rsidRPr="00EB5D7A">
        <w:rPr>
          <w:i/>
          <w:color w:val="auto"/>
          <w:sz w:val="24"/>
        </w:rPr>
        <w:t>Supporting Statement for a Request for OMB Review under the Paperwork Reduction Act</w:t>
      </w:r>
      <w:r w:rsidRPr="00EB5D7A">
        <w:rPr>
          <w:color w:val="auto"/>
          <w:sz w:val="24"/>
        </w:rPr>
        <w:t>, February 6, 2009.</w:t>
      </w:r>
      <w:proofErr w:type="gramEnd"/>
    </w:p>
    <w:p w:rsidR="001E11FE" w:rsidRDefault="00B912ED" w:rsidP="00B912ED">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spacing w:after="240"/>
        <w:ind w:left="339" w:hanging="339"/>
      </w:pPr>
      <w:proofErr w:type="gramStart"/>
      <w:r w:rsidRPr="00EB5D7A">
        <w:t>Office of Personnel Management (OPM), 2010.</w:t>
      </w:r>
      <w:proofErr w:type="gramEnd"/>
      <w:r w:rsidRPr="00EB5D7A">
        <w:t xml:space="preserve">  </w:t>
      </w:r>
      <w:proofErr w:type="gramStart"/>
      <w:r w:rsidRPr="00EB5D7A">
        <w:t>Salary Tables 2010-DCB for the Locality Pay Area of Washington-Baltimore-Northern Virginia, DC-MD-VA-WV-PA.</w:t>
      </w:r>
      <w:proofErr w:type="gramEnd"/>
      <w:r w:rsidRPr="00EB5D7A">
        <w:t xml:space="preserve">   </w:t>
      </w:r>
      <w:hyperlink r:id="rId20" w:history="1">
        <w:r w:rsidRPr="002115FA">
          <w:rPr>
            <w:rStyle w:val="BalloonTextChar"/>
            <w:i/>
          </w:rPr>
          <w:t>http://www.opm.gov/oca/10tables/pdf/DCB.pdf</w:t>
        </w:r>
      </w:hyperlink>
      <w:r w:rsidR="002115FA">
        <w:t>.</w:t>
      </w:r>
    </w:p>
    <w:sectPr w:rsidR="001E11FE" w:rsidSect="001E11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3B2" w:rsidRDefault="00CE53B2" w:rsidP="00B912ED">
      <w:r>
        <w:separator/>
      </w:r>
    </w:p>
  </w:endnote>
  <w:endnote w:type="continuationSeparator" w:id="0">
    <w:p w:rsidR="00CE53B2" w:rsidRDefault="00CE53B2" w:rsidP="00B912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E42" w:rsidRDefault="00515E42">
    <w:pPr>
      <w:tabs>
        <w:tab w:val="left" w:pos="4617"/>
        <w:tab w:val="left" w:pos="7929"/>
      </w:tabs>
      <w:rPr>
        <w:sz w:val="16"/>
      </w:rPr>
    </w:pPr>
    <w:r>
      <w:rPr>
        <w:sz w:val="16"/>
      </w:rPr>
      <w:t>Economic Analysis of Expedited SNURs, Docket OPPT-2008-251</w:t>
    </w:r>
    <w:r>
      <w:rPr>
        <w:sz w:val="16"/>
      </w:rPr>
      <w:tab/>
      <w:t>F-</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r>
      <w:rPr>
        <w:spacing w:val="2"/>
        <w:sz w:val="16"/>
      </w:rPr>
      <w:tab/>
    </w:r>
    <w:r>
      <w:rPr>
        <w:sz w:val="18"/>
      </w:rPr>
      <w:t>July 2, 2008</w:t>
    </w:r>
  </w:p>
  <w:p w:rsidR="00515E42" w:rsidRDefault="00515E4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0579"/>
      <w:docPartObj>
        <w:docPartGallery w:val="Page Numbers (Bottom of Page)"/>
        <w:docPartUnique/>
      </w:docPartObj>
    </w:sdtPr>
    <w:sdtContent>
      <w:sdt>
        <w:sdtPr>
          <w:id w:val="565050477"/>
          <w:docPartObj>
            <w:docPartGallery w:val="Page Numbers (Top of Page)"/>
            <w:docPartUnique/>
          </w:docPartObj>
        </w:sdtPr>
        <w:sdtContent>
          <w:p w:rsidR="00F64EEB" w:rsidRDefault="00F64EEB">
            <w:pPr>
              <w:pStyle w:val="Footer"/>
              <w:jc w:val="center"/>
            </w:pPr>
            <w:r w:rsidRPr="00F64EEB">
              <w:t xml:space="preserve">Page </w:t>
            </w:r>
            <w:fldSimple w:instr=" PAGE ">
              <w:r w:rsidR="00F20EA9">
                <w:rPr>
                  <w:noProof/>
                </w:rPr>
                <w:t>26</w:t>
              </w:r>
            </w:fldSimple>
            <w:r w:rsidRPr="00F64EEB">
              <w:t xml:space="preserve"> of </w:t>
            </w:r>
            <w:fldSimple w:instr=" NUMPAGES  ">
              <w:r w:rsidR="00F20EA9">
                <w:rPr>
                  <w:noProof/>
                </w:rPr>
                <w:t>26</w:t>
              </w:r>
            </w:fldSimple>
          </w:p>
        </w:sdtContent>
      </w:sdt>
    </w:sdtContent>
  </w:sdt>
  <w:p w:rsidR="00515E42" w:rsidRDefault="00515E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EA9" w:rsidRDefault="00F20E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3B2" w:rsidRDefault="00CE53B2" w:rsidP="00B912ED">
      <w:r>
        <w:separator/>
      </w:r>
    </w:p>
  </w:footnote>
  <w:footnote w:type="continuationSeparator" w:id="0">
    <w:p w:rsidR="00CE53B2" w:rsidRDefault="00CE53B2" w:rsidP="00B912ED">
      <w:r>
        <w:continuationSeparator/>
      </w:r>
    </w:p>
  </w:footnote>
  <w:footnote w:id="1">
    <w:p w:rsidR="00515E42" w:rsidRDefault="00515E42" w:rsidP="00B912ED">
      <w:pPr>
        <w:pStyle w:val="FootnoteText"/>
        <w:spacing w:after="240"/>
      </w:pPr>
      <w:r>
        <w:t xml:space="preserve">     </w:t>
      </w:r>
      <w:r>
        <w:rPr>
          <w:rStyle w:val="FootnoteReference"/>
          <w:vertAlign w:val="superscript"/>
        </w:rPr>
        <w:footnoteRef/>
      </w:r>
      <w:r w:rsidRPr="00F358EF">
        <w:rPr>
          <w:sz w:val="18"/>
          <w:szCs w:val="18"/>
        </w:rPr>
        <w:t xml:space="preserve">TSCA section 5(e) allows the Administrator to prohibit or limit the manufacture, import, processing, </w:t>
      </w:r>
      <w:proofErr w:type="gramStart"/>
      <w:r w:rsidRPr="00F358EF">
        <w:rPr>
          <w:sz w:val="18"/>
          <w:szCs w:val="18"/>
        </w:rPr>
        <w:t>distribution</w:t>
      </w:r>
      <w:proofErr w:type="gramEnd"/>
      <w:r w:rsidRPr="00F358EF">
        <w:rPr>
          <w:sz w:val="18"/>
          <w:szCs w:val="18"/>
        </w:rPr>
        <w:t xml:space="preserve"> in commerce, use, or disposal of the substance when the substance </w:t>
      </w:r>
      <w:r w:rsidRPr="00F358EF">
        <w:rPr>
          <w:i/>
          <w:iCs/>
          <w:sz w:val="18"/>
          <w:szCs w:val="18"/>
        </w:rPr>
        <w:t>may</w:t>
      </w:r>
      <w:r w:rsidRPr="00F358EF">
        <w:rPr>
          <w:sz w:val="18"/>
          <w:szCs w:val="18"/>
        </w:rPr>
        <w:t xml:space="preserve"> present an unreasonable risk.  TSCA section 5(f) allows the Administrator to use a TSCA section 6 regulation to prohibit or limit the manufacture of the substance when the substance </w:t>
      </w:r>
      <w:r w:rsidRPr="00F358EF">
        <w:rPr>
          <w:i/>
          <w:iCs/>
          <w:sz w:val="18"/>
          <w:szCs w:val="18"/>
        </w:rPr>
        <w:t>will</w:t>
      </w:r>
      <w:r w:rsidRPr="00F358EF">
        <w:rPr>
          <w:sz w:val="18"/>
          <w:szCs w:val="18"/>
        </w:rPr>
        <w:t xml:space="preserve"> present an unreasonable risk.</w:t>
      </w:r>
    </w:p>
  </w:footnote>
  <w:footnote w:id="2">
    <w:p w:rsidR="00515E42" w:rsidRDefault="00515E42" w:rsidP="00B912ED">
      <w:pPr>
        <w:pStyle w:val="FootnoteText"/>
      </w:pPr>
      <w:r w:rsidRPr="00006E8A">
        <w:rPr>
          <w:rStyle w:val="FootnoteReference"/>
          <w:vertAlign w:val="superscript"/>
        </w:rPr>
        <w:footnoteRef/>
      </w:r>
      <w:r>
        <w:t xml:space="preserve"> </w:t>
      </w:r>
      <w:r w:rsidRPr="00203606">
        <w:rPr>
          <w:sz w:val="18"/>
          <w:szCs w:val="18"/>
        </w:rPr>
        <w:t xml:space="preserve">EPA develops SNURs for a number of reasons, some based on findings from its </w:t>
      </w:r>
      <w:r w:rsidRPr="00203606">
        <w:rPr>
          <w:i/>
          <w:sz w:val="18"/>
          <w:szCs w:val="18"/>
        </w:rPr>
        <w:t>new</w:t>
      </w:r>
      <w:r w:rsidRPr="00203606">
        <w:rPr>
          <w:sz w:val="18"/>
          <w:szCs w:val="18"/>
        </w:rPr>
        <w:t xml:space="preserve"> chemicals program in order to bind manufacturers and processors of chemicals reviewed under its Premanufacture Notice (PMN) review process to certain requirements. However, this ICR covers only SNURs that are developed by EPA’s </w:t>
      </w:r>
      <w:r w:rsidRPr="00203606">
        <w:rPr>
          <w:i/>
          <w:sz w:val="18"/>
          <w:szCs w:val="18"/>
        </w:rPr>
        <w:t>existing</w:t>
      </w:r>
      <w:r w:rsidRPr="00203606">
        <w:rPr>
          <w:sz w:val="18"/>
          <w:szCs w:val="18"/>
        </w:rPr>
        <w:t xml:space="preserve"> chemical program under TSCA section 5(a</w:t>
      </w:r>
      <w:proofErr w:type="gramStart"/>
      <w:r w:rsidRPr="00203606">
        <w:rPr>
          <w:sz w:val="18"/>
          <w:szCs w:val="18"/>
        </w:rPr>
        <w:t>)(</w:t>
      </w:r>
      <w:proofErr w:type="gramEnd"/>
      <w:r w:rsidRPr="00203606">
        <w:rPr>
          <w:sz w:val="18"/>
          <w:szCs w:val="18"/>
        </w:rPr>
        <w:t>2), and therefore, only the SNUNs received based on those SNURs are estimated here.</w:t>
      </w:r>
    </w:p>
    <w:p w:rsidR="00515E42" w:rsidRDefault="00515E42" w:rsidP="00B912ED">
      <w:pPr>
        <w:pStyle w:val="FootnoteText"/>
      </w:pPr>
    </w:p>
  </w:footnote>
  <w:footnote w:id="3">
    <w:p w:rsidR="00515E42" w:rsidRPr="00DF31A8" w:rsidRDefault="00515E42" w:rsidP="00B912ED">
      <w:pPr>
        <w:pStyle w:val="FootnoteText"/>
      </w:pPr>
      <w:r w:rsidRPr="00F06131">
        <w:rPr>
          <w:rStyle w:val="FootnoteReference"/>
          <w:vertAlign w:val="superscript"/>
        </w:rPr>
        <w:footnoteRef/>
      </w:r>
      <w:r>
        <w:t xml:space="preserve"> </w:t>
      </w:r>
      <w:r w:rsidRPr="00B40D93">
        <w:rPr>
          <w:sz w:val="18"/>
          <w:szCs w:val="18"/>
        </w:rPr>
        <w:t>Unless manufacturers, processors, and importers of chemicals subject to SNURs have either notified recipients of such chemicals and all significant new uses, verified that knowledge of the SNUR has been otherwise acquired by recipients, or verified that recipients are unable to engage in significant new uses, manufacturers, processors, and importers must file a SNUN.</w:t>
      </w:r>
    </w:p>
  </w:footnote>
  <w:footnote w:id="4">
    <w:p w:rsidR="00515E42" w:rsidRPr="00206D8A" w:rsidRDefault="00515E42" w:rsidP="00B912ED">
      <w:pPr>
        <w:pStyle w:val="FootnoteText"/>
        <w:rPr>
          <w:sz w:val="18"/>
          <w:szCs w:val="18"/>
        </w:rPr>
      </w:pPr>
      <w:r w:rsidRPr="00206D8A">
        <w:rPr>
          <w:rStyle w:val="FootnoteReference"/>
          <w:sz w:val="18"/>
          <w:szCs w:val="18"/>
          <w:vertAlign w:val="superscript"/>
        </w:rPr>
        <w:footnoteRef/>
      </w:r>
      <w:r w:rsidRPr="00206D8A">
        <w:rPr>
          <w:sz w:val="18"/>
          <w:szCs w:val="18"/>
        </w:rPr>
        <w:t xml:space="preserve"> The assumption that there are two manufacturers, processors, or importers per chemical follows from previous ICRs for these requirements.</w:t>
      </w:r>
    </w:p>
  </w:footnote>
  <w:footnote w:id="5">
    <w:p w:rsidR="00515E42" w:rsidRPr="00DF31A8" w:rsidRDefault="00515E42" w:rsidP="00B912ED">
      <w:pPr>
        <w:pStyle w:val="FootnoteText"/>
      </w:pPr>
      <w:r w:rsidRPr="00420AE5">
        <w:rPr>
          <w:rStyle w:val="FootnoteReference"/>
          <w:vertAlign w:val="superscript"/>
        </w:rPr>
        <w:footnoteRef/>
      </w:r>
      <w:r>
        <w:t xml:space="preserve"> </w:t>
      </w:r>
      <w:r w:rsidRPr="00206D8A">
        <w:rPr>
          <w:sz w:val="18"/>
          <w:szCs w:val="18"/>
        </w:rPr>
        <w:t>The assumption that there are two manufacturers, processors, or importers per chemical follows from previous ICRs for these requirements.</w:t>
      </w:r>
    </w:p>
  </w:footnote>
  <w:footnote w:id="6">
    <w:p w:rsidR="005472EA" w:rsidRDefault="005472EA">
      <w:pPr>
        <w:pStyle w:val="FootnoteText"/>
      </w:pPr>
      <w:r w:rsidRPr="005472EA">
        <w:rPr>
          <w:rStyle w:val="FootnoteReference"/>
          <w:vertAlign w:val="superscript"/>
        </w:rPr>
        <w:footnoteRef/>
      </w:r>
      <w:r w:rsidRPr="005472EA">
        <w:rPr>
          <w:vertAlign w:val="superscript"/>
        </w:rPr>
        <w:t xml:space="preserve"> </w:t>
      </w:r>
      <w:r w:rsidRPr="00206D8A">
        <w:rPr>
          <w:sz w:val="18"/>
          <w:szCs w:val="18"/>
        </w:rPr>
        <w:t xml:space="preserve">The GS-13, Step 5 is consistent with ICR OMB Control Number 2070-0012, EPA Tracking Number 0574.13, </w:t>
      </w:r>
      <w:proofErr w:type="gramStart"/>
      <w:r w:rsidRPr="00206D8A">
        <w:rPr>
          <w:sz w:val="18"/>
          <w:szCs w:val="18"/>
        </w:rPr>
        <w:t>EPA</w:t>
      </w:r>
      <w:proofErr w:type="gramEnd"/>
      <w:r w:rsidRPr="00206D8A">
        <w:rPr>
          <w:sz w:val="18"/>
          <w:szCs w:val="18"/>
        </w:rPr>
        <w:t xml:space="preserve"> 2007.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EA9" w:rsidRDefault="00F20E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EB" w:rsidRPr="00F64EEB" w:rsidRDefault="00F64EEB" w:rsidP="00F64EEB">
    <w:pPr>
      <w:pStyle w:val="Header"/>
      <w:jc w:val="right"/>
      <w:rPr>
        <w:b/>
      </w:rPr>
    </w:pPr>
    <w:r w:rsidRPr="00F64EEB">
      <w:rPr>
        <w:b/>
      </w:rPr>
      <w:t>September 28,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EA9" w:rsidRDefault="00F20E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6164DEE"/>
    <w:lvl w:ilvl="0">
      <w:start w:val="1"/>
      <w:numFmt w:val="bullet"/>
      <w:lvlText w:val=""/>
      <w:lvlJc w:val="left"/>
      <w:pPr>
        <w:tabs>
          <w:tab w:val="num" w:pos="1080"/>
        </w:tabs>
        <w:ind w:left="1080" w:hanging="360"/>
      </w:pPr>
      <w:rPr>
        <w:rFonts w:ascii="Symbol" w:hAnsi="Symbol" w:hint="default"/>
      </w:rPr>
    </w:lvl>
  </w:abstractNum>
  <w:abstractNum w:abstractNumId="1">
    <w:nsid w:val="FFFFFFFE"/>
    <w:multiLevelType w:val="singleLevel"/>
    <w:tmpl w:val="F476D654"/>
    <w:lvl w:ilvl="0">
      <w:numFmt w:val="bullet"/>
      <w:lvlText w:val="*"/>
      <w:lvlJc w:val="left"/>
    </w:lvl>
  </w:abstractNum>
  <w:abstractNum w:abstractNumId="2">
    <w:nsid w:val="00000001"/>
    <w:multiLevelType w:val="multilevel"/>
    <w:tmpl w:val="CE44BBE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3BB895A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42AE688A"/>
    <w:lvl w:ilvl="0">
      <w:start w:val="3"/>
      <w:numFmt w:val="upperRoman"/>
      <w:pStyle w:val="Level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5">
    <w:nsid w:val="00000038"/>
    <w:multiLevelType w:val="multilevel"/>
    <w:tmpl w:val="A26EF2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2707FA"/>
    <w:multiLevelType w:val="hybridMultilevel"/>
    <w:tmpl w:val="1C66C61A"/>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6C50A5"/>
    <w:multiLevelType w:val="hybridMultilevel"/>
    <w:tmpl w:val="F5C6672E"/>
    <w:lvl w:ilvl="0" w:tplc="C5A86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07A6A"/>
    <w:multiLevelType w:val="hybridMultilevel"/>
    <w:tmpl w:val="5A04D4B4"/>
    <w:lvl w:ilvl="0" w:tplc="AB40343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04429D5"/>
    <w:multiLevelType w:val="multilevel"/>
    <w:tmpl w:val="D7708EDC"/>
    <w:lvl w:ilvl="0">
      <w:start w:val="3"/>
      <w:numFmt w:val="decimal"/>
      <w:lvlRestart w:val="0"/>
      <w:pStyle w:val="Heading1"/>
      <w:lvlText w:val="%1"/>
      <w:lvlJc w:val="left"/>
      <w:pPr>
        <w:ind w:left="720" w:hanging="144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1">
    <w:nsid w:val="1BE30920"/>
    <w:multiLevelType w:val="hybridMultilevel"/>
    <w:tmpl w:val="8B32A3C2"/>
    <w:lvl w:ilvl="0" w:tplc="91144528">
      <w:start w:val="1"/>
      <w:numFmt w:val="bullet"/>
      <w:lvlText w:val=""/>
      <w:lvlJc w:val="left"/>
      <w:pPr>
        <w:tabs>
          <w:tab w:val="num" w:pos="2160"/>
        </w:tabs>
        <w:ind w:left="2160" w:hanging="360"/>
      </w:pPr>
      <w:rPr>
        <w:rFonts w:ascii="Symbol" w:hAnsi="Symbol" w:hint="default"/>
      </w:rPr>
    </w:lvl>
    <w:lvl w:ilvl="1" w:tplc="FB72E8B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2263A06"/>
    <w:multiLevelType w:val="hybridMultilevel"/>
    <w:tmpl w:val="3C5878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3A662B7"/>
    <w:multiLevelType w:val="multilevel"/>
    <w:tmpl w:val="870A17E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4">
    <w:nsid w:val="269857CC"/>
    <w:multiLevelType w:val="hybridMultilevel"/>
    <w:tmpl w:val="38403FC6"/>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053416"/>
    <w:multiLevelType w:val="hybridMultilevel"/>
    <w:tmpl w:val="3A38DE14"/>
    <w:lvl w:ilvl="0" w:tplc="7AC0B7F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2014CA"/>
    <w:multiLevelType w:val="hybridMultilevel"/>
    <w:tmpl w:val="A1E6694E"/>
    <w:lvl w:ilvl="0" w:tplc="7294383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2A7ED0"/>
    <w:multiLevelType w:val="multilevel"/>
    <w:tmpl w:val="90C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815BAB"/>
    <w:multiLevelType w:val="hybridMultilevel"/>
    <w:tmpl w:val="DE921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2C5401"/>
    <w:multiLevelType w:val="hybridMultilevel"/>
    <w:tmpl w:val="EE9C860C"/>
    <w:lvl w:ilvl="0" w:tplc="3F1A3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266F72"/>
    <w:multiLevelType w:val="hybridMultilevel"/>
    <w:tmpl w:val="5E64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EF2F06"/>
    <w:multiLevelType w:val="hybridMultilevel"/>
    <w:tmpl w:val="82E065B6"/>
    <w:lvl w:ilvl="0" w:tplc="10C4A82E">
      <w:start w:val="1"/>
      <w:numFmt w:val="bullet"/>
      <w:lvlText w:val=""/>
      <w:lvlJc w:val="left"/>
      <w:pPr>
        <w:tabs>
          <w:tab w:val="num" w:pos="2160"/>
        </w:tabs>
        <w:ind w:left="2160" w:hanging="360"/>
      </w:pPr>
      <w:rPr>
        <w:rFonts w:ascii="Symbol" w:hAnsi="Symbol" w:hint="default"/>
      </w:rPr>
    </w:lvl>
    <w:lvl w:ilvl="1" w:tplc="EFF4188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5C654B3"/>
    <w:multiLevelType w:val="hybridMultilevel"/>
    <w:tmpl w:val="027CC564"/>
    <w:lvl w:ilvl="0" w:tplc="40B82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D638AA"/>
    <w:multiLevelType w:val="hybridMultilevel"/>
    <w:tmpl w:val="D832A81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0F0D39"/>
    <w:multiLevelType w:val="hybridMultilevel"/>
    <w:tmpl w:val="EFBCB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61F4F37"/>
    <w:multiLevelType w:val="hybridMultilevel"/>
    <w:tmpl w:val="80FE0532"/>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A663ED"/>
    <w:multiLevelType w:val="hybridMultilevel"/>
    <w:tmpl w:val="BE8ED474"/>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5">
    <w:abstractNumId w:val="4"/>
  </w:num>
  <w:num w:numId="6">
    <w:abstractNumId w:val="5"/>
  </w:num>
  <w:num w:numId="7">
    <w:abstractNumId w:val="10"/>
  </w:num>
  <w:num w:numId="8">
    <w:abstractNumId w:val="12"/>
  </w:num>
  <w:num w:numId="9">
    <w:abstractNumId w:val="16"/>
  </w:num>
  <w:num w:numId="10">
    <w:abstractNumId w:val="15"/>
  </w:num>
  <w:num w:numId="11">
    <w:abstractNumId w:val="18"/>
  </w:num>
  <w:num w:numId="12">
    <w:abstractNumId w:val="23"/>
  </w:num>
  <w:num w:numId="13">
    <w:abstractNumId w:val="13"/>
  </w:num>
  <w:num w:numId="14">
    <w:abstractNumId w:val="17"/>
  </w:num>
  <w:num w:numId="15">
    <w:abstractNumId w:val="11"/>
  </w:num>
  <w:num w:numId="16">
    <w:abstractNumId w:val="21"/>
  </w:num>
  <w:num w:numId="17">
    <w:abstractNumId w:val="9"/>
    <w:lvlOverride w:ilvl="0"/>
    <w:lvlOverride w:ilvl="1">
      <w:startOverride w:val="1"/>
    </w:lvlOverride>
    <w:lvlOverride w:ilvl="2"/>
    <w:lvlOverride w:ilvl="3"/>
    <w:lvlOverride w:ilvl="4"/>
    <w:lvlOverride w:ilvl="5"/>
    <w:lvlOverride w:ilvl="6"/>
    <w:lvlOverride w:ilvl="7"/>
    <w:lvlOverride w:ilvl="8"/>
  </w:num>
  <w:num w:numId="18">
    <w:abstractNumId w:val="6"/>
  </w:num>
  <w:num w:numId="19">
    <w:abstractNumId w:val="6"/>
  </w:num>
  <w:num w:numId="20">
    <w:abstractNumId w:val="7"/>
  </w:num>
  <w:num w:numId="21">
    <w:abstractNumId w:val="25"/>
  </w:num>
  <w:num w:numId="22">
    <w:abstractNumId w:val="26"/>
  </w:num>
  <w:num w:numId="23">
    <w:abstractNumId w:val="14"/>
  </w:num>
  <w:num w:numId="24">
    <w:abstractNumId w:val="20"/>
  </w:num>
  <w:num w:numId="25">
    <w:abstractNumId w:val="0"/>
  </w:num>
  <w:num w:numId="26">
    <w:abstractNumId w:val="24"/>
  </w:num>
  <w:num w:numId="27">
    <w:abstractNumId w:val="22"/>
  </w:num>
  <w:num w:numId="28">
    <w:abstractNumId w:val="19"/>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912ED"/>
    <w:rsid w:val="00001219"/>
    <w:rsid w:val="00007CF3"/>
    <w:rsid w:val="000137C9"/>
    <w:rsid w:val="00034EE4"/>
    <w:rsid w:val="00040FCF"/>
    <w:rsid w:val="0004322F"/>
    <w:rsid w:val="00052193"/>
    <w:rsid w:val="000567EA"/>
    <w:rsid w:val="00062AC4"/>
    <w:rsid w:val="00062B82"/>
    <w:rsid w:val="00063459"/>
    <w:rsid w:val="00087BC1"/>
    <w:rsid w:val="00095F97"/>
    <w:rsid w:val="000A0126"/>
    <w:rsid w:val="000A5222"/>
    <w:rsid w:val="000B21BB"/>
    <w:rsid w:val="000B42CC"/>
    <w:rsid w:val="000D1D62"/>
    <w:rsid w:val="000F0CBA"/>
    <w:rsid w:val="000F4551"/>
    <w:rsid w:val="00111D2B"/>
    <w:rsid w:val="0011239F"/>
    <w:rsid w:val="001126B4"/>
    <w:rsid w:val="001512CA"/>
    <w:rsid w:val="00154F06"/>
    <w:rsid w:val="00157ED0"/>
    <w:rsid w:val="00160391"/>
    <w:rsid w:val="00161EB1"/>
    <w:rsid w:val="001739CB"/>
    <w:rsid w:val="00184B91"/>
    <w:rsid w:val="001877DB"/>
    <w:rsid w:val="001A1F3B"/>
    <w:rsid w:val="001A41C8"/>
    <w:rsid w:val="001A554F"/>
    <w:rsid w:val="001A5CD6"/>
    <w:rsid w:val="001A78E6"/>
    <w:rsid w:val="001B7AC1"/>
    <w:rsid w:val="001C14B5"/>
    <w:rsid w:val="001C1CE2"/>
    <w:rsid w:val="001C2209"/>
    <w:rsid w:val="001D79E7"/>
    <w:rsid w:val="001E11FE"/>
    <w:rsid w:val="001E6FB9"/>
    <w:rsid w:val="001F0F55"/>
    <w:rsid w:val="001F2364"/>
    <w:rsid w:val="001F5646"/>
    <w:rsid w:val="00204708"/>
    <w:rsid w:val="00207A3F"/>
    <w:rsid w:val="002115FA"/>
    <w:rsid w:val="0024759F"/>
    <w:rsid w:val="002622C3"/>
    <w:rsid w:val="00264795"/>
    <w:rsid w:val="002666EF"/>
    <w:rsid w:val="0028300B"/>
    <w:rsid w:val="00283A60"/>
    <w:rsid w:val="002916B6"/>
    <w:rsid w:val="002A7055"/>
    <w:rsid w:val="002B2489"/>
    <w:rsid w:val="002B6AEF"/>
    <w:rsid w:val="002C48A6"/>
    <w:rsid w:val="002C5BD1"/>
    <w:rsid w:val="002E6820"/>
    <w:rsid w:val="002F344B"/>
    <w:rsid w:val="003007ED"/>
    <w:rsid w:val="0031065B"/>
    <w:rsid w:val="00312D23"/>
    <w:rsid w:val="003230B0"/>
    <w:rsid w:val="00325028"/>
    <w:rsid w:val="00333829"/>
    <w:rsid w:val="003368D2"/>
    <w:rsid w:val="003431D6"/>
    <w:rsid w:val="003558D0"/>
    <w:rsid w:val="0037597B"/>
    <w:rsid w:val="0038052B"/>
    <w:rsid w:val="00380859"/>
    <w:rsid w:val="003819BE"/>
    <w:rsid w:val="003A6F4B"/>
    <w:rsid w:val="003B0A36"/>
    <w:rsid w:val="003B10D0"/>
    <w:rsid w:val="003B2836"/>
    <w:rsid w:val="003C1627"/>
    <w:rsid w:val="003C7A0B"/>
    <w:rsid w:val="003D072B"/>
    <w:rsid w:val="003D711B"/>
    <w:rsid w:val="003F5073"/>
    <w:rsid w:val="0041321A"/>
    <w:rsid w:val="00422E91"/>
    <w:rsid w:val="0042580F"/>
    <w:rsid w:val="004266E5"/>
    <w:rsid w:val="00432A00"/>
    <w:rsid w:val="00437008"/>
    <w:rsid w:val="0045297D"/>
    <w:rsid w:val="00457E3D"/>
    <w:rsid w:val="00460390"/>
    <w:rsid w:val="00481F62"/>
    <w:rsid w:val="004C631D"/>
    <w:rsid w:val="004D47D2"/>
    <w:rsid w:val="004D7DD8"/>
    <w:rsid w:val="004E417F"/>
    <w:rsid w:val="004E5ABB"/>
    <w:rsid w:val="004F42BB"/>
    <w:rsid w:val="00504A98"/>
    <w:rsid w:val="005117EB"/>
    <w:rsid w:val="00514EF0"/>
    <w:rsid w:val="00515E42"/>
    <w:rsid w:val="00517000"/>
    <w:rsid w:val="00541020"/>
    <w:rsid w:val="005472EA"/>
    <w:rsid w:val="00547F36"/>
    <w:rsid w:val="0055486B"/>
    <w:rsid w:val="00563328"/>
    <w:rsid w:val="00573D6D"/>
    <w:rsid w:val="00580631"/>
    <w:rsid w:val="005976CD"/>
    <w:rsid w:val="00597F69"/>
    <w:rsid w:val="005A1F2E"/>
    <w:rsid w:val="005B0325"/>
    <w:rsid w:val="005B0BD1"/>
    <w:rsid w:val="005B2033"/>
    <w:rsid w:val="005B2250"/>
    <w:rsid w:val="005C1538"/>
    <w:rsid w:val="005C5F58"/>
    <w:rsid w:val="005D5F92"/>
    <w:rsid w:val="005F004B"/>
    <w:rsid w:val="005F4608"/>
    <w:rsid w:val="00600A01"/>
    <w:rsid w:val="00623C99"/>
    <w:rsid w:val="00627E14"/>
    <w:rsid w:val="006546F9"/>
    <w:rsid w:val="00660EBC"/>
    <w:rsid w:val="00660F1F"/>
    <w:rsid w:val="006A0195"/>
    <w:rsid w:val="006A1D0A"/>
    <w:rsid w:val="006A1E99"/>
    <w:rsid w:val="006A3073"/>
    <w:rsid w:val="006A5120"/>
    <w:rsid w:val="006B431B"/>
    <w:rsid w:val="006B5DED"/>
    <w:rsid w:val="006B787F"/>
    <w:rsid w:val="006C1503"/>
    <w:rsid w:val="006C56E4"/>
    <w:rsid w:val="006C7C0E"/>
    <w:rsid w:val="006C7CD5"/>
    <w:rsid w:val="006D0913"/>
    <w:rsid w:val="006F0B0F"/>
    <w:rsid w:val="006F2A2E"/>
    <w:rsid w:val="006F63B2"/>
    <w:rsid w:val="006F7759"/>
    <w:rsid w:val="0070241D"/>
    <w:rsid w:val="00703AE9"/>
    <w:rsid w:val="00711CD4"/>
    <w:rsid w:val="00712BD2"/>
    <w:rsid w:val="0071578B"/>
    <w:rsid w:val="00722816"/>
    <w:rsid w:val="00740A4E"/>
    <w:rsid w:val="0074336F"/>
    <w:rsid w:val="00756910"/>
    <w:rsid w:val="00757491"/>
    <w:rsid w:val="00760FC1"/>
    <w:rsid w:val="00771ACA"/>
    <w:rsid w:val="00777802"/>
    <w:rsid w:val="00783E8E"/>
    <w:rsid w:val="00784AF1"/>
    <w:rsid w:val="00787670"/>
    <w:rsid w:val="00787B5F"/>
    <w:rsid w:val="00797B61"/>
    <w:rsid w:val="007A4985"/>
    <w:rsid w:val="007A5189"/>
    <w:rsid w:val="007A524C"/>
    <w:rsid w:val="007B37B8"/>
    <w:rsid w:val="007C2599"/>
    <w:rsid w:val="007C637A"/>
    <w:rsid w:val="007C789A"/>
    <w:rsid w:val="007D2F55"/>
    <w:rsid w:val="007D5F02"/>
    <w:rsid w:val="007D7946"/>
    <w:rsid w:val="007D7A0E"/>
    <w:rsid w:val="007E11E7"/>
    <w:rsid w:val="007E209B"/>
    <w:rsid w:val="007E291A"/>
    <w:rsid w:val="00811A91"/>
    <w:rsid w:val="00816F76"/>
    <w:rsid w:val="008237F2"/>
    <w:rsid w:val="008237F9"/>
    <w:rsid w:val="0082547B"/>
    <w:rsid w:val="0084304D"/>
    <w:rsid w:val="00856D03"/>
    <w:rsid w:val="00866596"/>
    <w:rsid w:val="00885DB8"/>
    <w:rsid w:val="00896149"/>
    <w:rsid w:val="008A2CF2"/>
    <w:rsid w:val="008B0DE6"/>
    <w:rsid w:val="008B3F95"/>
    <w:rsid w:val="008B55AB"/>
    <w:rsid w:val="008C0523"/>
    <w:rsid w:val="008C4266"/>
    <w:rsid w:val="008C5A27"/>
    <w:rsid w:val="008D78C9"/>
    <w:rsid w:val="008E0C9A"/>
    <w:rsid w:val="008E2445"/>
    <w:rsid w:val="008E43FF"/>
    <w:rsid w:val="008F5806"/>
    <w:rsid w:val="0091043F"/>
    <w:rsid w:val="009121B1"/>
    <w:rsid w:val="009250BD"/>
    <w:rsid w:val="0092522B"/>
    <w:rsid w:val="00935444"/>
    <w:rsid w:val="00937A68"/>
    <w:rsid w:val="00944173"/>
    <w:rsid w:val="009459F7"/>
    <w:rsid w:val="00951C6E"/>
    <w:rsid w:val="00952433"/>
    <w:rsid w:val="0095702D"/>
    <w:rsid w:val="0096412D"/>
    <w:rsid w:val="00967E93"/>
    <w:rsid w:val="00975CA7"/>
    <w:rsid w:val="00975DAF"/>
    <w:rsid w:val="00992A0D"/>
    <w:rsid w:val="009A0132"/>
    <w:rsid w:val="009A22C7"/>
    <w:rsid w:val="009A2ADA"/>
    <w:rsid w:val="009A3205"/>
    <w:rsid w:val="009B48AB"/>
    <w:rsid w:val="009B69C0"/>
    <w:rsid w:val="009C3A00"/>
    <w:rsid w:val="009D0ECB"/>
    <w:rsid w:val="009D6A24"/>
    <w:rsid w:val="009F2A3C"/>
    <w:rsid w:val="009F38A2"/>
    <w:rsid w:val="009F7086"/>
    <w:rsid w:val="00A26909"/>
    <w:rsid w:val="00A30FA0"/>
    <w:rsid w:val="00A355A1"/>
    <w:rsid w:val="00A50015"/>
    <w:rsid w:val="00A535E9"/>
    <w:rsid w:val="00A53660"/>
    <w:rsid w:val="00A54AF8"/>
    <w:rsid w:val="00A54B17"/>
    <w:rsid w:val="00A601EF"/>
    <w:rsid w:val="00A625EB"/>
    <w:rsid w:val="00A70A8A"/>
    <w:rsid w:val="00A72DE5"/>
    <w:rsid w:val="00A7357A"/>
    <w:rsid w:val="00A86863"/>
    <w:rsid w:val="00A93F81"/>
    <w:rsid w:val="00A94758"/>
    <w:rsid w:val="00A96EFA"/>
    <w:rsid w:val="00AB3A0D"/>
    <w:rsid w:val="00AC76D1"/>
    <w:rsid w:val="00AD6DFA"/>
    <w:rsid w:val="00AD7F31"/>
    <w:rsid w:val="00AF0808"/>
    <w:rsid w:val="00AF4CD0"/>
    <w:rsid w:val="00B01515"/>
    <w:rsid w:val="00B23CB8"/>
    <w:rsid w:val="00B25307"/>
    <w:rsid w:val="00B265AF"/>
    <w:rsid w:val="00B42744"/>
    <w:rsid w:val="00B42FD0"/>
    <w:rsid w:val="00B4775D"/>
    <w:rsid w:val="00B57044"/>
    <w:rsid w:val="00B605D4"/>
    <w:rsid w:val="00B62150"/>
    <w:rsid w:val="00B62DFC"/>
    <w:rsid w:val="00B660F9"/>
    <w:rsid w:val="00B83825"/>
    <w:rsid w:val="00B912ED"/>
    <w:rsid w:val="00B93BFC"/>
    <w:rsid w:val="00BF0706"/>
    <w:rsid w:val="00BF2289"/>
    <w:rsid w:val="00BF7E22"/>
    <w:rsid w:val="00C07FD9"/>
    <w:rsid w:val="00C12F35"/>
    <w:rsid w:val="00C26BA4"/>
    <w:rsid w:val="00C37867"/>
    <w:rsid w:val="00C526E0"/>
    <w:rsid w:val="00C566AD"/>
    <w:rsid w:val="00C6669B"/>
    <w:rsid w:val="00C7715B"/>
    <w:rsid w:val="00C94169"/>
    <w:rsid w:val="00CA06ED"/>
    <w:rsid w:val="00CA4211"/>
    <w:rsid w:val="00CA42F6"/>
    <w:rsid w:val="00CB434A"/>
    <w:rsid w:val="00CC32D1"/>
    <w:rsid w:val="00CD1413"/>
    <w:rsid w:val="00CE037B"/>
    <w:rsid w:val="00CE46CE"/>
    <w:rsid w:val="00CE53B2"/>
    <w:rsid w:val="00CE55E0"/>
    <w:rsid w:val="00CF2E2C"/>
    <w:rsid w:val="00D14EB5"/>
    <w:rsid w:val="00D24C98"/>
    <w:rsid w:val="00D257D1"/>
    <w:rsid w:val="00D27275"/>
    <w:rsid w:val="00D30F8B"/>
    <w:rsid w:val="00D43D7A"/>
    <w:rsid w:val="00D4526F"/>
    <w:rsid w:val="00D465E9"/>
    <w:rsid w:val="00D472AB"/>
    <w:rsid w:val="00D529ED"/>
    <w:rsid w:val="00D56157"/>
    <w:rsid w:val="00D60A76"/>
    <w:rsid w:val="00D65281"/>
    <w:rsid w:val="00D72CB2"/>
    <w:rsid w:val="00D73FD4"/>
    <w:rsid w:val="00D7433C"/>
    <w:rsid w:val="00D87AF8"/>
    <w:rsid w:val="00D912B6"/>
    <w:rsid w:val="00D91BD2"/>
    <w:rsid w:val="00D967F8"/>
    <w:rsid w:val="00D96815"/>
    <w:rsid w:val="00DC2C33"/>
    <w:rsid w:val="00DC48EB"/>
    <w:rsid w:val="00DC630C"/>
    <w:rsid w:val="00DD2222"/>
    <w:rsid w:val="00DD6617"/>
    <w:rsid w:val="00DD7BAE"/>
    <w:rsid w:val="00DE613D"/>
    <w:rsid w:val="00DE6A16"/>
    <w:rsid w:val="00DF7948"/>
    <w:rsid w:val="00DF7D61"/>
    <w:rsid w:val="00E020C2"/>
    <w:rsid w:val="00E07359"/>
    <w:rsid w:val="00E23C81"/>
    <w:rsid w:val="00E265F3"/>
    <w:rsid w:val="00E329C7"/>
    <w:rsid w:val="00E42E4B"/>
    <w:rsid w:val="00E52B81"/>
    <w:rsid w:val="00E60CFC"/>
    <w:rsid w:val="00E7711D"/>
    <w:rsid w:val="00E928B1"/>
    <w:rsid w:val="00EA3B5B"/>
    <w:rsid w:val="00EA7D9E"/>
    <w:rsid w:val="00EB5D7A"/>
    <w:rsid w:val="00ED18B2"/>
    <w:rsid w:val="00F06169"/>
    <w:rsid w:val="00F13EEE"/>
    <w:rsid w:val="00F20EA9"/>
    <w:rsid w:val="00F459EE"/>
    <w:rsid w:val="00F471AA"/>
    <w:rsid w:val="00F63095"/>
    <w:rsid w:val="00F64EEB"/>
    <w:rsid w:val="00F7497E"/>
    <w:rsid w:val="00F80496"/>
    <w:rsid w:val="00F80BE1"/>
    <w:rsid w:val="00F90A0B"/>
    <w:rsid w:val="00F961A1"/>
    <w:rsid w:val="00FA17B1"/>
    <w:rsid w:val="00FB0DE2"/>
    <w:rsid w:val="00FB1001"/>
    <w:rsid w:val="00FC6DB8"/>
    <w:rsid w:val="00FD1D34"/>
    <w:rsid w:val="00FD1D8D"/>
    <w:rsid w:val="00FD25C8"/>
    <w:rsid w:val="00FD369A"/>
    <w:rsid w:val="00FD7067"/>
    <w:rsid w:val="00FF3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ED"/>
    <w:pPr>
      <w:widowControl w:val="0"/>
      <w:adjustRightInd w:val="0"/>
      <w:spacing w:after="0" w:line="240" w:lineRule="auto"/>
    </w:pPr>
    <w:rPr>
      <w:rFonts w:eastAsia="Times New Roman" w:cs="Times New Roman"/>
      <w:szCs w:val="24"/>
    </w:rPr>
  </w:style>
  <w:style w:type="paragraph" w:styleId="Heading1">
    <w:name w:val="heading 1"/>
    <w:basedOn w:val="Normal"/>
    <w:link w:val="Heading1Char"/>
    <w:qFormat/>
    <w:rsid w:val="00B912ED"/>
    <w:pPr>
      <w:numPr>
        <w:numId w:val="7"/>
      </w:numPr>
      <w:outlineLvl w:val="0"/>
    </w:pPr>
  </w:style>
  <w:style w:type="paragraph" w:styleId="Heading2">
    <w:name w:val="heading 2"/>
    <w:basedOn w:val="Normal"/>
    <w:next w:val="Normal"/>
    <w:link w:val="Heading2Char"/>
    <w:qFormat/>
    <w:rsid w:val="00B912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912ED"/>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B912ED"/>
    <w:pPr>
      <w:keepNext/>
      <w:spacing w:before="240" w:after="60"/>
      <w:outlineLvl w:val="3"/>
    </w:pPr>
    <w:rPr>
      <w:b/>
      <w:bCs/>
      <w:sz w:val="28"/>
      <w:szCs w:val="28"/>
    </w:rPr>
  </w:style>
  <w:style w:type="paragraph" w:styleId="Heading5">
    <w:name w:val="heading 5"/>
    <w:basedOn w:val="Normal"/>
    <w:next w:val="Normal"/>
    <w:link w:val="Heading5Char"/>
    <w:qFormat/>
    <w:rsid w:val="00B912ED"/>
    <w:pPr>
      <w:spacing w:before="240" w:after="60"/>
      <w:outlineLvl w:val="4"/>
    </w:pPr>
    <w:rPr>
      <w:b/>
      <w:bCs/>
      <w:i/>
      <w:iCs/>
      <w:sz w:val="26"/>
      <w:szCs w:val="26"/>
    </w:rPr>
  </w:style>
  <w:style w:type="paragraph" w:styleId="Heading6">
    <w:name w:val="heading 6"/>
    <w:basedOn w:val="Normal"/>
    <w:next w:val="Normal"/>
    <w:link w:val="Heading6Char"/>
    <w:qFormat/>
    <w:rsid w:val="00B912ED"/>
    <w:pPr>
      <w:spacing w:before="240" w:after="60"/>
      <w:outlineLvl w:val="5"/>
    </w:pPr>
    <w:rPr>
      <w:b/>
      <w:bCs/>
      <w:sz w:val="22"/>
      <w:szCs w:val="22"/>
    </w:rPr>
  </w:style>
  <w:style w:type="paragraph" w:styleId="Heading7">
    <w:name w:val="heading 7"/>
    <w:basedOn w:val="Normal"/>
    <w:next w:val="Normal"/>
    <w:link w:val="Heading7Char"/>
    <w:qFormat/>
    <w:rsid w:val="00B912ED"/>
    <w:pPr>
      <w:spacing w:before="240" w:after="60"/>
      <w:outlineLvl w:val="6"/>
    </w:pPr>
  </w:style>
  <w:style w:type="paragraph" w:styleId="Heading8">
    <w:name w:val="heading 8"/>
    <w:basedOn w:val="Normal"/>
    <w:next w:val="Normal"/>
    <w:link w:val="Heading8Char"/>
    <w:qFormat/>
    <w:rsid w:val="00B912E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2ED"/>
    <w:rPr>
      <w:rFonts w:eastAsia="Times New Roman" w:cs="Times New Roman"/>
      <w:szCs w:val="24"/>
    </w:rPr>
  </w:style>
  <w:style w:type="character" w:customStyle="1" w:styleId="Heading2Char">
    <w:name w:val="Heading 2 Char"/>
    <w:basedOn w:val="DefaultParagraphFont"/>
    <w:link w:val="Heading2"/>
    <w:rsid w:val="00B912ED"/>
    <w:rPr>
      <w:rFonts w:ascii="Arial" w:eastAsia="Times New Roman" w:hAnsi="Arial" w:cs="Arial"/>
      <w:b/>
      <w:bCs/>
      <w:i/>
      <w:iCs/>
      <w:sz w:val="28"/>
      <w:szCs w:val="28"/>
    </w:rPr>
  </w:style>
  <w:style w:type="character" w:customStyle="1" w:styleId="Heading3Char">
    <w:name w:val="Heading 3 Char"/>
    <w:basedOn w:val="DefaultParagraphFont"/>
    <w:link w:val="Heading3"/>
    <w:rsid w:val="00B912ED"/>
    <w:rPr>
      <w:rFonts w:ascii="Arial" w:eastAsia="Times New Roman" w:hAnsi="Arial" w:cs="Times New Roman"/>
      <w:b/>
      <w:bCs/>
      <w:sz w:val="26"/>
      <w:szCs w:val="26"/>
    </w:rPr>
  </w:style>
  <w:style w:type="character" w:customStyle="1" w:styleId="Heading4Char">
    <w:name w:val="Heading 4 Char"/>
    <w:basedOn w:val="DefaultParagraphFont"/>
    <w:link w:val="Heading4"/>
    <w:rsid w:val="00B912ED"/>
    <w:rPr>
      <w:rFonts w:eastAsia="Times New Roman" w:cs="Times New Roman"/>
      <w:b/>
      <w:bCs/>
      <w:sz w:val="28"/>
      <w:szCs w:val="28"/>
    </w:rPr>
  </w:style>
  <w:style w:type="character" w:customStyle="1" w:styleId="Heading5Char">
    <w:name w:val="Heading 5 Char"/>
    <w:basedOn w:val="DefaultParagraphFont"/>
    <w:link w:val="Heading5"/>
    <w:rsid w:val="00B912ED"/>
    <w:rPr>
      <w:rFonts w:eastAsia="Times New Roman" w:cs="Times New Roman"/>
      <w:b/>
      <w:bCs/>
      <w:i/>
      <w:iCs/>
      <w:sz w:val="26"/>
      <w:szCs w:val="26"/>
    </w:rPr>
  </w:style>
  <w:style w:type="character" w:customStyle="1" w:styleId="Heading6Char">
    <w:name w:val="Heading 6 Char"/>
    <w:basedOn w:val="DefaultParagraphFont"/>
    <w:link w:val="Heading6"/>
    <w:rsid w:val="00B912ED"/>
    <w:rPr>
      <w:rFonts w:eastAsia="Times New Roman" w:cs="Times New Roman"/>
      <w:b/>
      <w:bCs/>
      <w:sz w:val="22"/>
    </w:rPr>
  </w:style>
  <w:style w:type="character" w:customStyle="1" w:styleId="Heading7Char">
    <w:name w:val="Heading 7 Char"/>
    <w:basedOn w:val="DefaultParagraphFont"/>
    <w:link w:val="Heading7"/>
    <w:rsid w:val="00B912ED"/>
    <w:rPr>
      <w:rFonts w:eastAsia="Times New Roman" w:cs="Times New Roman"/>
      <w:szCs w:val="24"/>
    </w:rPr>
  </w:style>
  <w:style w:type="character" w:customStyle="1" w:styleId="Heading8Char">
    <w:name w:val="Heading 8 Char"/>
    <w:basedOn w:val="DefaultParagraphFont"/>
    <w:link w:val="Heading8"/>
    <w:rsid w:val="00B912ED"/>
    <w:rPr>
      <w:rFonts w:eastAsia="Times New Roman" w:cs="Times New Roman"/>
      <w:i/>
      <w:iCs/>
      <w:szCs w:val="24"/>
    </w:rPr>
  </w:style>
  <w:style w:type="character" w:styleId="FootnoteReference">
    <w:name w:val="footnote reference"/>
    <w:uiPriority w:val="99"/>
    <w:rsid w:val="00B912ED"/>
  </w:style>
  <w:style w:type="paragraph" w:customStyle="1" w:styleId="Level1">
    <w:name w:val="Level 1"/>
    <w:basedOn w:val="Normal"/>
    <w:rsid w:val="00B912ED"/>
    <w:pPr>
      <w:numPr>
        <w:numId w:val="2"/>
      </w:numPr>
      <w:tabs>
        <w:tab w:val="num" w:pos="720"/>
      </w:tabs>
      <w:ind w:left="720" w:hanging="720"/>
      <w:outlineLvl w:val="0"/>
    </w:pPr>
  </w:style>
  <w:style w:type="character" w:customStyle="1" w:styleId="Hypertext">
    <w:name w:val="Hypertext"/>
    <w:rsid w:val="00B912ED"/>
    <w:rPr>
      <w:color w:val="0000FF"/>
      <w:u w:val="single"/>
    </w:rPr>
  </w:style>
  <w:style w:type="paragraph" w:customStyle="1" w:styleId="Level2">
    <w:name w:val="Level 2"/>
    <w:basedOn w:val="Normal"/>
    <w:rsid w:val="00B912ED"/>
    <w:pPr>
      <w:ind w:left="1440" w:hanging="720"/>
    </w:pPr>
  </w:style>
  <w:style w:type="character" w:styleId="Hyperlink">
    <w:name w:val="Hyperlink"/>
    <w:basedOn w:val="DefaultParagraphFont"/>
    <w:rsid w:val="00B912ED"/>
    <w:rPr>
      <w:color w:val="0000FF"/>
      <w:u w:val="single"/>
    </w:rPr>
  </w:style>
  <w:style w:type="paragraph" w:styleId="Header">
    <w:name w:val="header"/>
    <w:basedOn w:val="Normal"/>
    <w:link w:val="HeaderChar"/>
    <w:rsid w:val="00B912ED"/>
    <w:pPr>
      <w:tabs>
        <w:tab w:val="center" w:pos="4680"/>
        <w:tab w:val="right" w:pos="9360"/>
      </w:tabs>
    </w:pPr>
  </w:style>
  <w:style w:type="character" w:customStyle="1" w:styleId="HeaderChar">
    <w:name w:val="Header Char"/>
    <w:basedOn w:val="DefaultParagraphFont"/>
    <w:link w:val="Header"/>
    <w:rsid w:val="00B912ED"/>
    <w:rPr>
      <w:rFonts w:eastAsia="Times New Roman" w:cs="Times New Roman"/>
      <w:szCs w:val="24"/>
    </w:rPr>
  </w:style>
  <w:style w:type="paragraph" w:styleId="Footer">
    <w:name w:val="footer"/>
    <w:basedOn w:val="Normal"/>
    <w:link w:val="FooterChar"/>
    <w:uiPriority w:val="99"/>
    <w:rsid w:val="00B912ED"/>
    <w:pPr>
      <w:tabs>
        <w:tab w:val="center" w:pos="4680"/>
        <w:tab w:val="right" w:pos="9360"/>
      </w:tabs>
    </w:pPr>
  </w:style>
  <w:style w:type="character" w:customStyle="1" w:styleId="FooterChar">
    <w:name w:val="Footer Char"/>
    <w:basedOn w:val="DefaultParagraphFont"/>
    <w:link w:val="Footer"/>
    <w:uiPriority w:val="99"/>
    <w:rsid w:val="00B912ED"/>
    <w:rPr>
      <w:rFonts w:eastAsia="Times New Roman" w:cs="Times New Roman"/>
      <w:szCs w:val="24"/>
    </w:rPr>
  </w:style>
  <w:style w:type="paragraph" w:styleId="MacroText">
    <w:name w:val="macro"/>
    <w:link w:val="MacroTextChar"/>
    <w:semiHidden/>
    <w:rsid w:val="00B912E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912ED"/>
    <w:rPr>
      <w:rFonts w:ascii="Courier New" w:eastAsia="Times New Roman" w:hAnsi="Courier New" w:cs="Courier New"/>
      <w:sz w:val="20"/>
      <w:szCs w:val="20"/>
    </w:rPr>
  </w:style>
  <w:style w:type="paragraph" w:styleId="FootnoteText">
    <w:name w:val="footnote text"/>
    <w:basedOn w:val="Normal"/>
    <w:link w:val="FootnoteTextChar1"/>
    <w:semiHidden/>
    <w:rsid w:val="00B912ED"/>
    <w:rPr>
      <w:sz w:val="20"/>
      <w:szCs w:val="20"/>
    </w:rPr>
  </w:style>
  <w:style w:type="character" w:customStyle="1" w:styleId="FootnoteTextChar">
    <w:name w:val="Footnote Text Char"/>
    <w:basedOn w:val="DefaultParagraphFont"/>
    <w:link w:val="FootnoteText"/>
    <w:semiHidden/>
    <w:rsid w:val="00B912ED"/>
    <w:rPr>
      <w:rFonts w:eastAsia="Times New Roman" w:cs="Times New Roman"/>
      <w:sz w:val="20"/>
      <w:szCs w:val="20"/>
    </w:rPr>
  </w:style>
  <w:style w:type="character" w:customStyle="1" w:styleId="FootnoteTextChar1">
    <w:name w:val="Footnote Text Char1"/>
    <w:link w:val="FootnoteText"/>
    <w:semiHidden/>
    <w:rsid w:val="00B912ED"/>
    <w:rPr>
      <w:rFonts w:eastAsia="Times New Roman" w:cs="Times New Roman"/>
      <w:sz w:val="20"/>
      <w:szCs w:val="20"/>
    </w:rPr>
  </w:style>
  <w:style w:type="paragraph" w:styleId="BalloonText">
    <w:name w:val="Balloon Text"/>
    <w:basedOn w:val="Normal"/>
    <w:link w:val="BalloonTextChar"/>
    <w:rsid w:val="00B912ED"/>
    <w:rPr>
      <w:rFonts w:ascii="Tahoma" w:hAnsi="Tahoma"/>
      <w:sz w:val="16"/>
      <w:szCs w:val="16"/>
    </w:rPr>
  </w:style>
  <w:style w:type="character" w:customStyle="1" w:styleId="BalloonTextChar">
    <w:name w:val="Balloon Text Char"/>
    <w:basedOn w:val="DefaultParagraphFont"/>
    <w:link w:val="BalloonText"/>
    <w:rsid w:val="00B912ED"/>
    <w:rPr>
      <w:rFonts w:ascii="Tahoma" w:eastAsia="Times New Roman" w:hAnsi="Tahoma" w:cs="Times New Roman"/>
      <w:sz w:val="16"/>
      <w:szCs w:val="16"/>
    </w:rPr>
  </w:style>
  <w:style w:type="paragraph" w:styleId="PlainText">
    <w:name w:val="Plain Text"/>
    <w:basedOn w:val="Normal"/>
    <w:link w:val="PlainTextChar"/>
    <w:rsid w:val="00B912ED"/>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B912ED"/>
    <w:rPr>
      <w:rFonts w:ascii="Courier New" w:eastAsia="Times New Roman" w:hAnsi="Courier New" w:cs="Courier New"/>
      <w:sz w:val="20"/>
      <w:szCs w:val="20"/>
    </w:rPr>
  </w:style>
  <w:style w:type="paragraph" w:styleId="NormalWeb">
    <w:name w:val="Normal (Web)"/>
    <w:basedOn w:val="Normal"/>
    <w:uiPriority w:val="99"/>
    <w:rsid w:val="00B912ED"/>
    <w:pPr>
      <w:widowControl/>
      <w:adjustRightInd/>
      <w:spacing w:before="100" w:beforeAutospacing="1" w:after="100" w:afterAutospacing="1"/>
    </w:pPr>
  </w:style>
  <w:style w:type="paragraph" w:customStyle="1" w:styleId="Default">
    <w:name w:val="Default"/>
    <w:rsid w:val="00B912ED"/>
    <w:pPr>
      <w:autoSpaceDE w:val="0"/>
      <w:autoSpaceDN w:val="0"/>
      <w:adjustRightInd w:val="0"/>
      <w:spacing w:after="0" w:line="240" w:lineRule="auto"/>
    </w:pPr>
    <w:rPr>
      <w:rFonts w:eastAsia="Times New Roman" w:cs="Times New Roman"/>
      <w:color w:val="000000"/>
      <w:szCs w:val="24"/>
    </w:rPr>
  </w:style>
  <w:style w:type="character" w:styleId="CommentReference">
    <w:name w:val="annotation reference"/>
    <w:rsid w:val="00B912ED"/>
    <w:rPr>
      <w:sz w:val="16"/>
      <w:szCs w:val="16"/>
    </w:rPr>
  </w:style>
  <w:style w:type="paragraph" w:styleId="CommentText">
    <w:name w:val="annotation text"/>
    <w:basedOn w:val="Normal"/>
    <w:link w:val="CommentTextChar"/>
    <w:rsid w:val="00B912ED"/>
    <w:rPr>
      <w:sz w:val="20"/>
      <w:szCs w:val="20"/>
    </w:rPr>
  </w:style>
  <w:style w:type="character" w:customStyle="1" w:styleId="CommentTextChar">
    <w:name w:val="Comment Text Char"/>
    <w:basedOn w:val="DefaultParagraphFont"/>
    <w:link w:val="CommentText"/>
    <w:rsid w:val="00B912ED"/>
    <w:rPr>
      <w:rFonts w:eastAsia="Times New Roman" w:cs="Times New Roman"/>
      <w:sz w:val="20"/>
      <w:szCs w:val="20"/>
    </w:rPr>
  </w:style>
  <w:style w:type="paragraph" w:styleId="CommentSubject">
    <w:name w:val="annotation subject"/>
    <w:basedOn w:val="CommentText"/>
    <w:next w:val="CommentText"/>
    <w:link w:val="CommentSubjectChar"/>
    <w:rsid w:val="00B912ED"/>
    <w:rPr>
      <w:b/>
      <w:bCs/>
    </w:rPr>
  </w:style>
  <w:style w:type="character" w:customStyle="1" w:styleId="CommentSubjectChar">
    <w:name w:val="Comment Subject Char"/>
    <w:basedOn w:val="CommentTextChar"/>
    <w:link w:val="CommentSubject"/>
    <w:rsid w:val="00B912ED"/>
    <w:rPr>
      <w:b/>
      <w:bCs/>
    </w:rPr>
  </w:style>
  <w:style w:type="character" w:styleId="Emphasis">
    <w:name w:val="Emphasis"/>
    <w:qFormat/>
    <w:rsid w:val="00B912ED"/>
    <w:rPr>
      <w:i/>
      <w:iCs/>
    </w:rPr>
  </w:style>
  <w:style w:type="character" w:customStyle="1" w:styleId="apple-style-span">
    <w:name w:val="apple-style-span"/>
    <w:rsid w:val="00B912ED"/>
  </w:style>
  <w:style w:type="character" w:customStyle="1" w:styleId="apple-converted-space">
    <w:name w:val="apple-converted-space"/>
    <w:rsid w:val="00B912ED"/>
  </w:style>
  <w:style w:type="paragraph" w:styleId="Caption">
    <w:name w:val="caption"/>
    <w:basedOn w:val="Normal"/>
    <w:next w:val="Normal"/>
    <w:qFormat/>
    <w:rsid w:val="00B912ED"/>
    <w:pPr>
      <w:widowControl/>
      <w:adjustRightInd/>
      <w:spacing w:before="120" w:after="120"/>
    </w:pPr>
    <w:rPr>
      <w:b/>
      <w:bCs/>
      <w:color w:val="003366"/>
      <w:szCs w:val="20"/>
    </w:rPr>
  </w:style>
  <w:style w:type="paragraph" w:styleId="BodyText">
    <w:name w:val="Body Text"/>
    <w:basedOn w:val="Normal"/>
    <w:link w:val="BodyTextChar"/>
    <w:rsid w:val="00B912ED"/>
    <w:pPr>
      <w:widowControl/>
      <w:adjustRightInd/>
      <w:spacing w:after="180"/>
      <w:ind w:firstLine="432"/>
    </w:pPr>
    <w:rPr>
      <w:szCs w:val="20"/>
    </w:rPr>
  </w:style>
  <w:style w:type="character" w:customStyle="1" w:styleId="BodyTextChar">
    <w:name w:val="Body Text Char"/>
    <w:basedOn w:val="DefaultParagraphFont"/>
    <w:link w:val="BodyText"/>
    <w:rsid w:val="00B912ED"/>
    <w:rPr>
      <w:rFonts w:eastAsia="Times New Roman" w:cs="Times New Roman"/>
      <w:szCs w:val="20"/>
    </w:rPr>
  </w:style>
  <w:style w:type="paragraph" w:customStyle="1" w:styleId="TableText">
    <w:name w:val="Table Text"/>
    <w:basedOn w:val="Normal"/>
    <w:link w:val="TableTextChar"/>
    <w:rsid w:val="00B912ED"/>
    <w:pPr>
      <w:widowControl/>
      <w:adjustRightInd/>
    </w:pPr>
    <w:rPr>
      <w:rFonts w:ascii="Arial" w:hAnsi="Arial"/>
      <w:bCs/>
      <w:sz w:val="16"/>
      <w:szCs w:val="20"/>
    </w:rPr>
  </w:style>
  <w:style w:type="character" w:customStyle="1" w:styleId="TableTextChar">
    <w:name w:val="Table Text Char"/>
    <w:link w:val="TableText"/>
    <w:rsid w:val="00B912ED"/>
    <w:rPr>
      <w:rFonts w:ascii="Arial" w:eastAsia="Times New Roman" w:hAnsi="Arial" w:cs="Times New Roman"/>
      <w:bCs/>
      <w:sz w:val="16"/>
      <w:szCs w:val="20"/>
    </w:rPr>
  </w:style>
  <w:style w:type="character" w:customStyle="1" w:styleId="TableTitleChar">
    <w:name w:val="Table Title Char"/>
    <w:link w:val="TableTitle"/>
    <w:locked/>
    <w:rsid w:val="00B912ED"/>
    <w:rPr>
      <w:rFonts w:ascii="Arial" w:hAnsi="Arial" w:cs="Arial"/>
      <w:b/>
      <w:color w:val="003366"/>
    </w:rPr>
  </w:style>
  <w:style w:type="paragraph" w:customStyle="1" w:styleId="TableTitle">
    <w:name w:val="Table Title"/>
    <w:basedOn w:val="Normal"/>
    <w:link w:val="TableTitleChar"/>
    <w:rsid w:val="00B912ED"/>
    <w:pPr>
      <w:keepNext/>
      <w:keepLines/>
      <w:widowControl/>
      <w:adjustRightInd/>
      <w:spacing w:before="240" w:after="40"/>
    </w:pPr>
    <w:rPr>
      <w:rFonts w:ascii="Arial" w:eastAsiaTheme="minorHAnsi" w:hAnsi="Arial" w:cs="Arial"/>
      <w:b/>
      <w:color w:val="003366"/>
      <w:szCs w:val="22"/>
    </w:rPr>
  </w:style>
  <w:style w:type="paragraph" w:customStyle="1" w:styleId="TableSubtitle">
    <w:name w:val="Table Subtitle"/>
    <w:basedOn w:val="Normal"/>
    <w:rsid w:val="00B912ED"/>
    <w:pPr>
      <w:keepNext/>
      <w:widowControl/>
      <w:adjustRightInd/>
      <w:jc w:val="center"/>
    </w:pPr>
    <w:rPr>
      <w:rFonts w:ascii="Arial" w:hAnsi="Arial" w:cs="Arial"/>
      <w:b/>
      <w:bCs/>
      <w:sz w:val="16"/>
      <w:szCs w:val="20"/>
    </w:rPr>
  </w:style>
  <w:style w:type="character" w:styleId="PageNumber">
    <w:name w:val="page number"/>
    <w:rsid w:val="00B912ED"/>
  </w:style>
  <w:style w:type="paragraph" w:customStyle="1" w:styleId="Bullet">
    <w:name w:val="Bullet"/>
    <w:basedOn w:val="Normal"/>
    <w:link w:val="BulletChar"/>
    <w:rsid w:val="00B912ED"/>
    <w:pPr>
      <w:widowControl/>
      <w:numPr>
        <w:numId w:val="18"/>
      </w:numPr>
      <w:adjustRightInd/>
    </w:pPr>
    <w:rPr>
      <w:sz w:val="22"/>
    </w:rPr>
  </w:style>
  <w:style w:type="character" w:customStyle="1" w:styleId="BulletChar">
    <w:name w:val="Bullet Char"/>
    <w:link w:val="Bullet"/>
    <w:rsid w:val="00B912ED"/>
    <w:rPr>
      <w:rFonts w:eastAsia="Times New Roman" w:cs="Times New Roman"/>
      <w:sz w:val="22"/>
      <w:szCs w:val="24"/>
    </w:rPr>
  </w:style>
  <w:style w:type="paragraph" w:customStyle="1" w:styleId="Reference">
    <w:name w:val="Reference"/>
    <w:basedOn w:val="Normal"/>
    <w:rsid w:val="00B912ED"/>
    <w:pPr>
      <w:widowControl/>
      <w:autoSpaceDE w:val="0"/>
      <w:autoSpaceDN w:val="0"/>
      <w:spacing w:after="120"/>
      <w:ind w:left="360" w:hanging="360"/>
    </w:pPr>
    <w:rPr>
      <w:color w:val="000000"/>
      <w:sz w:val="22"/>
    </w:rPr>
  </w:style>
  <w:style w:type="paragraph" w:styleId="BlockText">
    <w:name w:val="Block Text"/>
    <w:basedOn w:val="Normal"/>
    <w:rsid w:val="00B912ED"/>
    <w:pPr>
      <w:widowControl/>
      <w:autoSpaceDE w:val="0"/>
      <w:autoSpaceDN w:val="0"/>
      <w:ind w:left="144" w:right="144"/>
    </w:pPr>
    <w:rPr>
      <w:color w:val="000000"/>
      <w:sz w:val="20"/>
      <w:szCs w:val="20"/>
    </w:rPr>
  </w:style>
  <w:style w:type="paragraph" w:styleId="BodyTextFirstIndent">
    <w:name w:val="Body Text First Indent"/>
    <w:basedOn w:val="BodyText"/>
    <w:link w:val="BodyTextFirstIndentChar"/>
    <w:rsid w:val="00B912ED"/>
    <w:pPr>
      <w:spacing w:after="120"/>
      <w:ind w:firstLine="210"/>
    </w:pPr>
    <w:rPr>
      <w:szCs w:val="24"/>
    </w:rPr>
  </w:style>
  <w:style w:type="character" w:customStyle="1" w:styleId="BodyTextFirstIndentChar">
    <w:name w:val="Body Text First Indent Char"/>
    <w:basedOn w:val="BodyTextChar"/>
    <w:link w:val="BodyTextFirstIndent"/>
    <w:rsid w:val="00B912ED"/>
    <w:rPr>
      <w:szCs w:val="24"/>
    </w:rPr>
  </w:style>
  <w:style w:type="table" w:styleId="TableGrid">
    <w:name w:val="Table Grid"/>
    <w:basedOn w:val="TableNormal"/>
    <w:rsid w:val="00B912ED"/>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rsid w:val="00B912ED"/>
    <w:rPr>
      <w:sz w:val="20"/>
      <w:szCs w:val="20"/>
    </w:rPr>
  </w:style>
  <w:style w:type="character" w:customStyle="1" w:styleId="EndnoteTextChar">
    <w:name w:val="Endnote Text Char"/>
    <w:basedOn w:val="DefaultParagraphFont"/>
    <w:link w:val="EndnoteText"/>
    <w:rsid w:val="00B912ED"/>
    <w:rPr>
      <w:rFonts w:eastAsia="Times New Roman" w:cs="Times New Roman"/>
      <w:sz w:val="20"/>
      <w:szCs w:val="20"/>
    </w:rPr>
  </w:style>
  <w:style w:type="character" w:styleId="EndnoteReference">
    <w:name w:val="endnote reference"/>
    <w:basedOn w:val="DefaultParagraphFont"/>
    <w:rsid w:val="00B912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footer" Target="footer1.xml"/><Relationship Id="rId18" Type="http://schemas.openxmlformats.org/officeDocument/2006/relationships/hyperlink" Target="http://www.bls.gov/ncs/ect/sp/ecsuptc1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opm.gov/oca/10tables/pdf/DC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dx.epa.gov/ssl/pmn/download.asp" TargetMode="External"/><Relationship Id="rId19" Type="http://schemas.openxmlformats.org/officeDocument/2006/relationships/hyperlink" Target="http://data.bls.gov/cgi-bin/srgate" TargetMode="External"/><Relationship Id="rId4" Type="http://schemas.openxmlformats.org/officeDocument/2006/relationships/settings" Target="settings.xml"/><Relationship Id="rId9" Type="http://schemas.openxmlformats.org/officeDocument/2006/relationships/hyperlink" Target="http://www.epa.gov/opptintr/newchem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5F661-4763-4A67-946F-BF3CE3F7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26</Pages>
  <Words>9999</Words>
  <Characters>56996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EPA</cp:lastModifiedBy>
  <cp:revision>1</cp:revision>
  <dcterms:created xsi:type="dcterms:W3CDTF">2012-09-28T15:01:00Z</dcterms:created>
  <dcterms:modified xsi:type="dcterms:W3CDTF">2012-09-28T17:34:00Z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C:\DOCUME~1\ahashem\LOCALS~1\Temp\CWOWP\~9194186.WPD</vt:lpwstr>
  </property>
  <property fmtid="{D5CDD505-2E9C-101B-9397-08002B2CF9AE}" pid="3" name="Converted State">
    <vt:lpwstr>True</vt:lpwstr>
  </property>
  <property fmtid="{D5CDD505-2E9C-101B-9397-08002B2CF9AE}" pid="4" name="Converted Date">
    <vt:lpwstr>29-Feb-2008</vt:lpwstr>
  </property>
  <property fmtid="{D5CDD505-2E9C-101B-9397-08002B2CF9AE}" pid="5" name="WPClean Version">
    <vt:lpwstr>2.8.1.4</vt:lpwstr>
  </property>
  <property fmtid="{D5CDD505-2E9C-101B-9397-08002B2CF9AE}" pid="6" name="CW Macro Package Integration">
    <vt:lpwstr>NONE</vt:lpwstr>
  </property>
</Properties>
</file>