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1B0910" w:rsidRDefault="00D770CA" w:rsidP="00A7661C">
      <w:pPr>
        <w:tabs>
          <w:tab w:val="center" w:pos="4680"/>
        </w:tabs>
        <w:jc w:val="center"/>
        <w:rPr>
          <w:b/>
          <w:bCs/>
        </w:rPr>
      </w:pPr>
      <w:r w:rsidRPr="001B0910">
        <w:rPr>
          <w:b/>
          <w:bCs/>
        </w:rPr>
        <w:fldChar w:fldCharType="begin"/>
      </w:r>
      <w:r w:rsidR="00CA4CD6" w:rsidRPr="001B0910">
        <w:rPr>
          <w:b/>
          <w:bCs/>
        </w:rPr>
        <w:instrText>tc \l2 "SF</w:instrText>
      </w:r>
      <w:r w:rsidRPr="001B0910">
        <w:rPr>
          <w:b/>
          <w:bCs/>
        </w:rPr>
        <w:fldChar w:fldCharType="end"/>
      </w:r>
      <w:r w:rsidR="00CA4CD6" w:rsidRPr="001B0910">
        <w:rPr>
          <w:b/>
          <w:bCs/>
        </w:rPr>
        <w:t>SUPPORTING STATEMENT</w:t>
      </w:r>
    </w:p>
    <w:p w:rsidR="00CA4CD6" w:rsidRPr="001B0910" w:rsidRDefault="00CA4CD6" w:rsidP="00504745">
      <w:pPr>
        <w:tabs>
          <w:tab w:val="center" w:pos="4680"/>
        </w:tabs>
        <w:outlineLvl w:val="0"/>
      </w:pPr>
      <w:r w:rsidRPr="001B0910">
        <w:rPr>
          <w:b/>
          <w:bCs/>
        </w:rPr>
        <w:tab/>
        <w:t>ENVIRONMENTAL PROTECTION AGENCY</w:t>
      </w:r>
    </w:p>
    <w:p w:rsidR="00CA4CD6" w:rsidRPr="001B0910" w:rsidRDefault="00CA4CD6">
      <w:pPr>
        <w:tabs>
          <w:tab w:val="center" w:pos="4680"/>
        </w:tabs>
      </w:pPr>
      <w:r w:rsidRPr="001B0910">
        <w:tab/>
      </w:r>
    </w:p>
    <w:p w:rsidR="00CA4CD6" w:rsidRPr="001B0910" w:rsidRDefault="001B0910">
      <w:r w:rsidRPr="001B0910">
        <w:rPr>
          <w:b/>
        </w:rPr>
        <w:t xml:space="preserve">NSPS for Nonmetallic Mineral Processing </w:t>
      </w:r>
      <w:r w:rsidR="002B29A5" w:rsidRPr="001B0910">
        <w:rPr>
          <w:b/>
        </w:rPr>
        <w:t>(40 CFR Part 6</w:t>
      </w:r>
      <w:r w:rsidRPr="001B0910">
        <w:rPr>
          <w:b/>
        </w:rPr>
        <w:t>0</w:t>
      </w:r>
      <w:r w:rsidR="002B29A5" w:rsidRPr="001B0910">
        <w:rPr>
          <w:b/>
        </w:rPr>
        <w:t xml:space="preserve">, Subpart </w:t>
      </w:r>
      <w:r w:rsidRPr="001B0910">
        <w:rPr>
          <w:b/>
        </w:rPr>
        <w:t>OOO</w:t>
      </w:r>
      <w:r w:rsidR="002B29A5" w:rsidRPr="001B0910">
        <w:rPr>
          <w:b/>
        </w:rPr>
        <w:t>) (Renewal)</w:t>
      </w:r>
    </w:p>
    <w:p w:rsidR="00CA4CD6" w:rsidRPr="001B0910" w:rsidRDefault="00CA4CD6"/>
    <w:p w:rsidR="00CA4CD6" w:rsidRPr="001B0910" w:rsidRDefault="00CA4CD6" w:rsidP="00504745">
      <w:pPr>
        <w:outlineLvl w:val="0"/>
        <w:rPr>
          <w:b/>
          <w:bCs/>
        </w:rPr>
      </w:pPr>
      <w:r w:rsidRPr="001B0910">
        <w:rPr>
          <w:b/>
          <w:bCs/>
        </w:rPr>
        <w:t>1.  Identification of the Information Collection</w:t>
      </w:r>
    </w:p>
    <w:p w:rsidR="00CA4CD6" w:rsidRPr="001B0910" w:rsidRDefault="00CA4CD6">
      <w:pPr>
        <w:rPr>
          <w:b/>
          <w:bCs/>
        </w:rPr>
      </w:pPr>
    </w:p>
    <w:p w:rsidR="00CA4CD6" w:rsidRPr="001B0910" w:rsidRDefault="00CA4CD6">
      <w:pPr>
        <w:ind w:firstLine="720"/>
        <w:rPr>
          <w:b/>
          <w:bCs/>
        </w:rPr>
      </w:pPr>
      <w:r w:rsidRPr="001B0910">
        <w:rPr>
          <w:b/>
          <w:bCs/>
        </w:rPr>
        <w:t>1(a)  Title of the Information Collection</w:t>
      </w:r>
    </w:p>
    <w:p w:rsidR="00CA4CD6" w:rsidRPr="001B0910" w:rsidRDefault="00CA4CD6">
      <w:pPr>
        <w:rPr>
          <w:b/>
          <w:bCs/>
        </w:rPr>
      </w:pPr>
    </w:p>
    <w:p w:rsidR="00CA4CD6" w:rsidRPr="002B29A5" w:rsidRDefault="001B0910" w:rsidP="002B29A5">
      <w:pPr>
        <w:rPr>
          <w:bCs/>
          <w:color w:val="000000"/>
        </w:rPr>
      </w:pPr>
      <w:r w:rsidRPr="001B0910">
        <w:rPr>
          <w:bCs/>
        </w:rPr>
        <w:t>NSPS for Nonmetallic Mineral Processing (40 CFR Part 60, Subpart OOO) (Renewal)</w:t>
      </w:r>
      <w:r w:rsidR="002B29A5" w:rsidRPr="001B0910">
        <w:rPr>
          <w:bCs/>
        </w:rPr>
        <w:t>,</w:t>
      </w:r>
      <w:r w:rsidR="002B29A5" w:rsidRPr="004C5E95">
        <w:rPr>
          <w:bCs/>
        </w:rPr>
        <w:t xml:space="preserve"> EPA ICR Numb</w:t>
      </w:r>
      <w:r>
        <w:rPr>
          <w:bCs/>
        </w:rPr>
        <w:t xml:space="preserve">er 1084.13, </w:t>
      </w:r>
      <w:r w:rsidR="002B29A5" w:rsidRPr="004C5E95">
        <w:rPr>
          <w:bCs/>
        </w:rPr>
        <w:t xml:space="preserve">OMB Control Number </w:t>
      </w:r>
      <w:r w:rsidRPr="00172A7E">
        <w:t>2060</w:t>
      </w:r>
      <w:r>
        <w:t>-</w:t>
      </w:r>
      <w:r w:rsidRPr="00172A7E">
        <w:t>0050</w:t>
      </w:r>
      <w:r>
        <w:t>.</w:t>
      </w:r>
    </w:p>
    <w:p w:rsidR="00CA4CD6" w:rsidRDefault="00CA4CD6">
      <w:pPr>
        <w:rPr>
          <w:b/>
          <w:bCs/>
          <w:color w:val="000000"/>
        </w:rPr>
      </w:pPr>
    </w:p>
    <w:p w:rsidR="00CA4CD6" w:rsidRPr="001B0910" w:rsidRDefault="00CA4CD6">
      <w:pPr>
        <w:ind w:firstLine="720"/>
      </w:pPr>
      <w:r>
        <w:rPr>
          <w:b/>
          <w:bCs/>
          <w:color w:val="000000"/>
        </w:rPr>
        <w:t>1(b)  Short Charact</w:t>
      </w:r>
      <w:r w:rsidRPr="001B0910">
        <w:rPr>
          <w:b/>
          <w:bCs/>
        </w:rPr>
        <w:t>erization/Abstract</w:t>
      </w:r>
    </w:p>
    <w:p w:rsidR="00CA4CD6" w:rsidRPr="001B0910" w:rsidRDefault="00C7336A" w:rsidP="00C7336A">
      <w:pPr>
        <w:tabs>
          <w:tab w:val="left" w:pos="6795"/>
        </w:tabs>
      </w:pPr>
      <w:r>
        <w:tab/>
      </w:r>
    </w:p>
    <w:p w:rsidR="00CA4CD6" w:rsidRDefault="00CA4CD6">
      <w:pPr>
        <w:ind w:firstLine="720"/>
        <w:rPr>
          <w:color w:val="000000"/>
        </w:rPr>
      </w:pPr>
      <w:r w:rsidRPr="001B0910">
        <w:t>The New Source Performance Standards (NSPS)</w:t>
      </w:r>
      <w:r w:rsidR="001B0910" w:rsidRPr="001B0910">
        <w:t xml:space="preserve"> </w:t>
      </w:r>
      <w:r w:rsidRPr="001B0910">
        <w:t xml:space="preserve">for the regulation published at </w:t>
      </w:r>
      <w:r w:rsidR="001B0910" w:rsidRPr="001B0910">
        <w:t xml:space="preserve">40 CFR Part 60, Subpart OOO were </w:t>
      </w:r>
      <w:r w:rsidR="00F36441" w:rsidRPr="001B0910">
        <w:t>proposed</w:t>
      </w:r>
      <w:r w:rsidR="00F36441">
        <w:rPr>
          <w:color w:val="000000"/>
        </w:rPr>
        <w:t xml:space="preserve"> o</w:t>
      </w:r>
      <w:r w:rsidR="00712A2F">
        <w:rPr>
          <w:color w:val="000000"/>
        </w:rPr>
        <w:t xml:space="preserve">n </w:t>
      </w:r>
      <w:r w:rsidR="00712A2F" w:rsidRPr="00712A2F">
        <w:rPr>
          <w:color w:val="000000"/>
        </w:rPr>
        <w:t>August 31, 1983, promulgated on August 1, 1985, and most rec</w:t>
      </w:r>
      <w:r w:rsidR="00712A2F">
        <w:rPr>
          <w:color w:val="000000"/>
        </w:rPr>
        <w:t xml:space="preserve">ently amended on April 28, 2009.  </w:t>
      </w:r>
      <w:r w:rsidR="00712A2F" w:rsidRPr="00712A2F">
        <w:rPr>
          <w:color w:val="000000"/>
        </w:rPr>
        <w:t>These regulations apply to the following affected facilities in fixed or portable nonmetallic mineral processing plants: each crusher, grinding mill, screening operation, bucket elevator, belt conveyor, bagging operation, storage bin, and enclosed truck or railcar loading station</w:t>
      </w:r>
      <w:r w:rsidR="00712A2F">
        <w:rPr>
          <w:color w:val="000000"/>
        </w:rPr>
        <w:t xml:space="preserve">, </w:t>
      </w:r>
      <w:r w:rsidR="00712A2F" w:rsidRPr="00712A2F">
        <w:rPr>
          <w:color w:val="000000"/>
        </w:rPr>
        <w:t>which commenced construction, modification or reconstruction after August 31, 1983.  Also, crushers and grinding mills at hot mix asphalt facilities that reduce the size of nonmetallic minerals embedded in recycled asphalt pavement and subsequent affected facilities up to, but not including, the first storage silo or bin are subject to the provisions of the subpart.</w:t>
      </w:r>
      <w:r w:rsidR="00712A2F">
        <w:rPr>
          <w:color w:val="000000"/>
        </w:rPr>
        <w:t xml:space="preserve">  </w:t>
      </w:r>
      <w:r>
        <w:rPr>
          <w:color w:val="000000"/>
        </w:rPr>
        <w:t xml:space="preserve">This information is being collected to assure compliance with 40 CFR </w:t>
      </w:r>
      <w:r w:rsidR="006810C3">
        <w:rPr>
          <w:color w:val="000000"/>
        </w:rPr>
        <w:t xml:space="preserve">Part </w:t>
      </w:r>
      <w:r w:rsidR="00712A2F">
        <w:rPr>
          <w:color w:val="000000"/>
        </w:rPr>
        <w:t>60, Subpart OOO.</w:t>
      </w:r>
    </w:p>
    <w:p w:rsidR="00712A2F" w:rsidRDefault="00712A2F">
      <w:pPr>
        <w:ind w:firstLine="720"/>
        <w:rPr>
          <w:color w:val="000000"/>
        </w:rPr>
      </w:pPr>
    </w:p>
    <w:p w:rsidR="00712A2F" w:rsidRDefault="00712A2F">
      <w:pPr>
        <w:ind w:firstLine="720"/>
        <w:rPr>
          <w:color w:val="000000"/>
        </w:rPr>
      </w:pPr>
      <w:r w:rsidRPr="00712A2F">
        <w:rPr>
          <w:color w:val="000000"/>
        </w:rPr>
        <w:t xml:space="preserve">The provisions of </w:t>
      </w:r>
      <w:r>
        <w:rPr>
          <w:color w:val="000000"/>
        </w:rPr>
        <w:t>S</w:t>
      </w:r>
      <w:r w:rsidRPr="00712A2F">
        <w:rPr>
          <w:color w:val="000000"/>
        </w:rPr>
        <w:t>ubpart OOO do not apply to the following operations: facilities located in underground mines</w:t>
      </w:r>
      <w:r w:rsidR="00C7336A">
        <w:rPr>
          <w:color w:val="000000"/>
        </w:rPr>
        <w:t>,</w:t>
      </w:r>
      <w:r w:rsidRPr="00712A2F">
        <w:rPr>
          <w:color w:val="000000"/>
        </w:rPr>
        <w:t xml:space="preserve"> wet material processing operations</w:t>
      </w:r>
      <w:r w:rsidR="00C7336A">
        <w:rPr>
          <w:color w:val="000000"/>
        </w:rPr>
        <w:t>,</w:t>
      </w:r>
      <w:r w:rsidRPr="00712A2F">
        <w:rPr>
          <w:color w:val="000000"/>
        </w:rPr>
        <w:t xml:space="preserve"> and plants </w:t>
      </w:r>
      <w:r w:rsidR="00AD4E32">
        <w:rPr>
          <w:color w:val="000000"/>
        </w:rPr>
        <w:t xml:space="preserve">without crushers </w:t>
      </w:r>
      <w:r w:rsidRPr="00712A2F">
        <w:rPr>
          <w:color w:val="000000"/>
        </w:rPr>
        <w:t>or grinding mills</w:t>
      </w:r>
      <w:r w:rsidR="00C7336A">
        <w:rPr>
          <w:color w:val="000000"/>
        </w:rPr>
        <w:t xml:space="preserve">.  An </w:t>
      </w:r>
      <w:r w:rsidRPr="00712A2F">
        <w:rPr>
          <w:color w:val="000000"/>
        </w:rPr>
        <w:t xml:space="preserve">affected facility that is subject to the provisions of either </w:t>
      </w:r>
      <w:r w:rsidR="00AD4E32">
        <w:rPr>
          <w:color w:val="000000"/>
        </w:rPr>
        <w:t>S</w:t>
      </w:r>
      <w:r w:rsidR="00A05CCC">
        <w:rPr>
          <w:color w:val="000000"/>
        </w:rPr>
        <w:t xml:space="preserve">ubparts F or I, </w:t>
      </w:r>
      <w:r w:rsidRPr="00712A2F">
        <w:rPr>
          <w:color w:val="000000"/>
        </w:rPr>
        <w:t xml:space="preserve">or that follows in the process any facility subject to the provisions of </w:t>
      </w:r>
      <w:r w:rsidR="00AD4E32">
        <w:rPr>
          <w:color w:val="000000"/>
        </w:rPr>
        <w:t>S</w:t>
      </w:r>
      <w:r w:rsidRPr="00712A2F">
        <w:rPr>
          <w:color w:val="000000"/>
        </w:rPr>
        <w:t xml:space="preserve">ubparts F or I of this part, is not subject to the provisions of this </w:t>
      </w:r>
      <w:r w:rsidR="00C7336A">
        <w:rPr>
          <w:color w:val="000000"/>
        </w:rPr>
        <w:t>sub</w:t>
      </w:r>
      <w:r w:rsidRPr="00712A2F">
        <w:rPr>
          <w:color w:val="000000"/>
        </w:rPr>
        <w:t>part.</w:t>
      </w:r>
      <w:r w:rsidR="00C7336A">
        <w:rPr>
          <w:color w:val="000000"/>
        </w:rPr>
        <w:t xml:space="preserve">  In </w:t>
      </w:r>
      <w:r w:rsidRPr="00712A2F">
        <w:rPr>
          <w:color w:val="000000"/>
        </w:rPr>
        <w:t xml:space="preserve">addition, the following plants are not subject to </w:t>
      </w:r>
      <w:r w:rsidR="00AD4E32">
        <w:rPr>
          <w:color w:val="000000"/>
        </w:rPr>
        <w:t>S</w:t>
      </w:r>
      <w:r w:rsidRPr="00712A2F">
        <w:rPr>
          <w:color w:val="000000"/>
        </w:rPr>
        <w:t xml:space="preserve">ubpart OOO: fixed sand and gravel plants and crushed stone plants with capacities of 23 megagrams per hour (25 tons per hour) or less; portable sand and gravel plants and crushed stone plants with capacities of 136 megagrams per hour (150 tons per hour) or less; </w:t>
      </w:r>
      <w:r w:rsidR="00C7336A">
        <w:rPr>
          <w:color w:val="000000"/>
        </w:rPr>
        <w:t xml:space="preserve">and </w:t>
      </w:r>
      <w:r w:rsidRPr="00712A2F">
        <w:rPr>
          <w:color w:val="000000"/>
        </w:rPr>
        <w:t xml:space="preserve">common clay plants and pumice plants with capacities of 9 megagrams per hour (10 tons per hour) or less.  </w:t>
      </w:r>
    </w:p>
    <w:p w:rsidR="00CA4CD6" w:rsidRDefault="00CA4CD6">
      <w:pPr>
        <w:rPr>
          <w:color w:val="000000"/>
        </w:rPr>
      </w:pPr>
    </w:p>
    <w:p w:rsidR="00CA4CD6" w:rsidRDefault="00CA4CD6" w:rsidP="00C7336A">
      <w:pPr>
        <w:ind w:firstLine="720"/>
        <w:rPr>
          <w:color w:val="000000"/>
        </w:rPr>
      </w:pPr>
      <w:r>
        <w:rPr>
          <w:color w:val="000000"/>
        </w:rPr>
        <w:t>In general, all</w:t>
      </w:r>
      <w:r w:rsidR="001B0910">
        <w:rPr>
          <w:color w:val="000000"/>
        </w:rPr>
        <w:t xml:space="preserve"> NSPS standards </w:t>
      </w:r>
      <w:r>
        <w:rPr>
          <w:color w:val="000000"/>
        </w:rPr>
        <w:t>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1B0910">
        <w:rPr>
          <w:color w:val="000000"/>
        </w:rPr>
        <w:t xml:space="preserve"> NSPS</w:t>
      </w:r>
      <w:r>
        <w:rPr>
          <w:color w:val="000000"/>
        </w:rPr>
        <w:t>.</w:t>
      </w:r>
    </w:p>
    <w:p w:rsidR="00C7336A" w:rsidRDefault="00C7336A" w:rsidP="00C7336A">
      <w:pP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w:t>
      </w:r>
      <w:r w:rsidR="00C7336A">
        <w:rPr>
          <w:color w:val="000000"/>
        </w:rPr>
        <w:t xml:space="preserve">st two years </w:t>
      </w:r>
      <w:r>
        <w:rPr>
          <w:color w:val="000000"/>
        </w:rPr>
        <w:t xml:space="preserve">following the date of such measurements, maintenance reports, and records.  All reports are sent to the delegated state or local authority.  In the event that there is no such delegated authority, the reports are sent directly to the United </w:t>
      </w:r>
      <w:r>
        <w:rPr>
          <w:color w:val="000000"/>
        </w:rPr>
        <w:lastRenderedPageBreak/>
        <w:t>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133AB" w:rsidRPr="00C7336A" w:rsidRDefault="00E10DA7" w:rsidP="00C7336A">
      <w:pPr>
        <w:pBdr>
          <w:top w:val="single" w:sz="6" w:space="0" w:color="FFFFFF"/>
          <w:left w:val="single" w:sz="6" w:space="0" w:color="FFFFFF"/>
          <w:bottom w:val="single" w:sz="6" w:space="0" w:color="FFFFFF"/>
          <w:right w:val="single" w:sz="6" w:space="0" w:color="FFFFFF"/>
        </w:pBdr>
        <w:ind w:firstLine="720"/>
      </w:pPr>
      <w:r>
        <w:rPr>
          <w:color w:val="000000"/>
        </w:rPr>
        <w:t>Over the next three years, an average o</w:t>
      </w:r>
      <w:r w:rsidR="000D47DC">
        <w:rPr>
          <w:color w:val="000000"/>
        </w:rPr>
        <w:t xml:space="preserve">f </w:t>
      </w:r>
      <w:r w:rsidR="000D47DC" w:rsidRPr="000D47DC">
        <w:rPr>
          <w:color w:val="000000"/>
        </w:rPr>
        <w:t>4,896</w:t>
      </w:r>
      <w:r w:rsidR="000D47DC">
        <w:rPr>
          <w:color w:val="000000"/>
        </w:rPr>
        <w:t xml:space="preserve"> existing </w:t>
      </w:r>
      <w:r w:rsidR="00CA4CD6">
        <w:rPr>
          <w:color w:val="000000"/>
        </w:rPr>
        <w:t xml:space="preserve">respondents </w:t>
      </w:r>
      <w:r>
        <w:rPr>
          <w:color w:val="000000"/>
        </w:rPr>
        <w:t>per year will be subject to the standard</w:t>
      </w:r>
      <w:r w:rsidR="00CA4CD6">
        <w:rPr>
          <w:color w:val="000000"/>
        </w:rPr>
        <w:t>, an</w:t>
      </w:r>
      <w:r w:rsidR="000D47DC">
        <w:rPr>
          <w:color w:val="000000"/>
        </w:rPr>
        <w:t xml:space="preserve">d 66.4 </w:t>
      </w:r>
      <w:r>
        <w:rPr>
          <w:color w:val="000000"/>
        </w:rPr>
        <w:t xml:space="preserve">additional </w:t>
      </w:r>
      <w:r w:rsidR="000D47DC">
        <w:rPr>
          <w:color w:val="000000"/>
        </w:rPr>
        <w:t xml:space="preserve">new </w:t>
      </w:r>
      <w:r w:rsidR="00CA4CD6" w:rsidRPr="00C7336A">
        <w:t xml:space="preserve">respondents </w:t>
      </w:r>
      <w:r w:rsidRPr="00C7336A">
        <w:t xml:space="preserve">per year </w:t>
      </w:r>
      <w:r w:rsidR="00CA4CD6" w:rsidRPr="00C7336A">
        <w:t xml:space="preserve">will become subject to the </w:t>
      </w:r>
      <w:r w:rsidRPr="00C7336A">
        <w:t>standard.</w:t>
      </w:r>
    </w:p>
    <w:p w:rsidR="00C7336A" w:rsidRPr="00C7336A" w:rsidRDefault="00C7336A" w:rsidP="00C7336A">
      <w:pPr>
        <w:pBdr>
          <w:top w:val="single" w:sz="6" w:space="0" w:color="FFFFFF"/>
          <w:left w:val="single" w:sz="6" w:space="0" w:color="FFFFFF"/>
          <w:bottom w:val="single" w:sz="6" w:space="0" w:color="FFFFFF"/>
          <w:right w:val="single" w:sz="6" w:space="0" w:color="FFFFFF"/>
        </w:pBdr>
        <w:ind w:firstLine="720"/>
      </w:pPr>
    </w:p>
    <w:p w:rsidR="004133AB" w:rsidRPr="00C7336A" w:rsidRDefault="004133AB" w:rsidP="004133AB">
      <w:pPr>
        <w:pBdr>
          <w:top w:val="single" w:sz="6" w:space="0" w:color="FFFFFF"/>
          <w:left w:val="single" w:sz="6" w:space="0" w:color="FFFFFF"/>
          <w:bottom w:val="single" w:sz="6" w:space="0" w:color="FFFFFF"/>
          <w:right w:val="single" w:sz="6" w:space="0" w:color="FFFFFF"/>
        </w:pBdr>
        <w:ind w:firstLine="720"/>
      </w:pPr>
      <w:r w:rsidRPr="00C7336A">
        <w:t>The Office of Management and Budget (OMB) approved the currently active ICR without any “Terms of Clearance.”</w:t>
      </w:r>
    </w:p>
    <w:p w:rsidR="004133AB" w:rsidRPr="00C7336A" w:rsidRDefault="004133AB" w:rsidP="004133AB">
      <w:pPr>
        <w:pBdr>
          <w:top w:val="single" w:sz="6" w:space="0" w:color="FFFFFF"/>
          <w:left w:val="single" w:sz="6" w:space="0" w:color="FFFFFF"/>
          <w:bottom w:val="single" w:sz="6" w:space="0" w:color="FFFFFF"/>
          <w:right w:val="single" w:sz="6" w:space="0" w:color="FFFFFF"/>
        </w:pBdr>
        <w:ind w:firstLine="720"/>
      </w:pPr>
    </w:p>
    <w:p w:rsidR="00CA4CD6" w:rsidRPr="004133AB" w:rsidRDefault="009D6567" w:rsidP="002B29A5">
      <w:r w:rsidRPr="00C7336A">
        <w:tab/>
      </w:r>
      <w:r w:rsidR="004133AB" w:rsidRPr="00C7336A">
        <w:t xml:space="preserve">The term “Affected Public” </w:t>
      </w:r>
      <w:r w:rsidR="004133AB" w:rsidRPr="004133AB">
        <w:t>applies to</w:t>
      </w:r>
      <w:r w:rsidR="00C7336A">
        <w:t xml:space="preserve"> any publicly owned and operated fixed or portable nonmetallic mineral processing plant</w:t>
      </w:r>
      <w:r w:rsidR="004133AB" w:rsidRPr="004133AB">
        <w:t>, and may be found in Table 1: Annual Respondent Burden and Cost –</w:t>
      </w:r>
      <w:r w:rsidR="00C7336A">
        <w:t xml:space="preserve"> </w:t>
      </w:r>
      <w:r w:rsidR="00C7336A" w:rsidRPr="00C7336A">
        <w:t>NSPS for Nonmetallic Mineral Processing (40 CFR Part 60, Subpart OOO) (Renewal)</w:t>
      </w:r>
      <w:r w:rsidR="004133AB">
        <w:t xml:space="preserve">.  The burden </w:t>
      </w:r>
      <w:r w:rsidR="004A4B25" w:rsidRPr="004133AB">
        <w:t xml:space="preserve">to the </w:t>
      </w:r>
      <w:r w:rsidRPr="004133AB">
        <w:t>“Federal Government” burden is attributed entirely to work performed by federal employees</w:t>
      </w:r>
      <w:r w:rsidR="004A4B25" w:rsidRPr="004133AB">
        <w:t xml:space="preserve"> or government contractor</w:t>
      </w:r>
      <w:r w:rsidR="004133AB" w:rsidRPr="004133AB">
        <w:t xml:space="preserve">s, and may be found in </w:t>
      </w:r>
      <w:r w:rsidR="004A4B25" w:rsidRPr="004133AB">
        <w:t xml:space="preserve">Table 2: </w:t>
      </w:r>
      <w:r w:rsidR="002B29A5" w:rsidRPr="004133AB">
        <w:t>Average Annual EPA Burden and Cost –</w:t>
      </w:r>
      <w:r w:rsidR="00C7336A">
        <w:t xml:space="preserve"> </w:t>
      </w:r>
      <w:r w:rsidR="00C7336A" w:rsidRPr="00C7336A">
        <w:t>NSPS for Nonmetallic Mineral Processing (40 CFR Part 60, Subpart OOO) (Renewal)</w:t>
      </w:r>
      <w:r w:rsidR="004133AB" w:rsidRPr="004133AB">
        <w:t>.</w:t>
      </w:r>
    </w:p>
    <w:p w:rsidR="002B29A5" w:rsidRPr="004133AB" w:rsidRDefault="002B29A5" w:rsidP="002B29A5"/>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4133AB">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0650A"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 xml:space="preserve">2(a)  Need/Authority for </w:t>
      </w:r>
      <w:r w:rsidRPr="0040650A">
        <w:rPr>
          <w:b/>
          <w:bCs/>
        </w:rPr>
        <w:t>the Collection</w:t>
      </w:r>
    </w:p>
    <w:p w:rsidR="00CA4CD6" w:rsidRPr="0040650A" w:rsidRDefault="00CA4CD6">
      <w:pPr>
        <w:pBdr>
          <w:top w:val="single" w:sz="6" w:space="0" w:color="FFFFFF"/>
          <w:left w:val="single" w:sz="6" w:space="0" w:color="FFFFFF"/>
          <w:bottom w:val="single" w:sz="6" w:space="0" w:color="FFFFFF"/>
          <w:right w:val="single" w:sz="6" w:space="0" w:color="FFFFFF"/>
        </w:pBdr>
      </w:pPr>
    </w:p>
    <w:p w:rsidR="00CA4CD6" w:rsidRPr="0040650A" w:rsidRDefault="00CA4CD6">
      <w:pPr>
        <w:pBdr>
          <w:top w:val="single" w:sz="6" w:space="0" w:color="FFFFFF"/>
          <w:left w:val="single" w:sz="6" w:space="0" w:color="FFFFFF"/>
          <w:bottom w:val="single" w:sz="6" w:space="0" w:color="FFFFFF"/>
          <w:right w:val="single" w:sz="6" w:space="0" w:color="FFFFFF"/>
        </w:pBdr>
        <w:ind w:firstLine="720"/>
      </w:pPr>
      <w:r w:rsidRPr="0040650A">
        <w:t xml:space="preserve">The EPA is charged under Section 111 of the Clean Air Act (CAA), as amended, to establish standards of performance for new stationary sources that reflect: </w:t>
      </w:r>
    </w:p>
    <w:p w:rsidR="00CA4CD6" w:rsidRPr="0040650A" w:rsidRDefault="00CA4CD6">
      <w:pPr>
        <w:pBdr>
          <w:top w:val="single" w:sz="6" w:space="0" w:color="FFFFFF"/>
          <w:left w:val="single" w:sz="6" w:space="0" w:color="FFFFFF"/>
          <w:bottom w:val="single" w:sz="6" w:space="0" w:color="FFFFFF"/>
          <w:right w:val="single" w:sz="6" w:space="0" w:color="FFFFFF"/>
        </w:pBdr>
      </w:pPr>
    </w:p>
    <w:p w:rsidR="00CA4CD6" w:rsidRPr="0040650A" w:rsidRDefault="00CA4CD6">
      <w:pPr>
        <w:pBdr>
          <w:top w:val="single" w:sz="6" w:space="0" w:color="FFFFFF"/>
          <w:left w:val="single" w:sz="6" w:space="0" w:color="FFFFFF"/>
          <w:bottom w:val="single" w:sz="6" w:space="0" w:color="FFFFFF"/>
          <w:right w:val="single" w:sz="6" w:space="0" w:color="FFFFFF"/>
        </w:pBdr>
        <w:ind w:left="1440" w:right="1440"/>
      </w:pPr>
      <w:r w:rsidRPr="0040650A">
        <w:rPr>
          <w:b/>
          <w:bCs/>
        </w:rPr>
        <w:t>. . .</w:t>
      </w:r>
      <w:r w:rsidRPr="0040650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40650A" w:rsidRDefault="00CA4CD6">
      <w:pPr>
        <w:pBdr>
          <w:top w:val="single" w:sz="6" w:space="0" w:color="FFFFFF"/>
          <w:left w:val="single" w:sz="6" w:space="0" w:color="FFFFFF"/>
          <w:bottom w:val="single" w:sz="6" w:space="0" w:color="FFFFFF"/>
          <w:right w:val="single" w:sz="6" w:space="0" w:color="FFFFFF"/>
        </w:pBdr>
      </w:pPr>
    </w:p>
    <w:p w:rsidR="00CA4CD6" w:rsidRPr="0040650A" w:rsidRDefault="00CA4CD6" w:rsidP="0040650A">
      <w:pPr>
        <w:pBdr>
          <w:top w:val="single" w:sz="6" w:space="0" w:color="FFFFFF"/>
          <w:left w:val="single" w:sz="6" w:space="0" w:color="FFFFFF"/>
          <w:bottom w:val="single" w:sz="6" w:space="0" w:color="FFFFFF"/>
          <w:right w:val="single" w:sz="6" w:space="0" w:color="FFFFFF"/>
        </w:pBdr>
      </w:pPr>
      <w:r w:rsidRPr="0040650A">
        <w:t>The Agency refers to this charge as selecting the best demonstrated technology (BDT).  Section 111 also requires that the Administrator review and, if appropriate, revise such standards every four years.</w:t>
      </w:r>
      <w:r w:rsidR="0040650A" w:rsidRPr="0040650A">
        <w:t xml:space="preserve">  </w:t>
      </w:r>
      <w:r w:rsidRPr="0040650A">
        <w:t xml:space="preserve">In addition, </w:t>
      </w:r>
      <w:r w:rsidR="0040650A" w:rsidRPr="0040650A">
        <w:t>S</w:t>
      </w:r>
      <w:r w:rsidRPr="0040650A">
        <w:t xml:space="preserve">ection 114(a) states that the Administrator may require any owner/operator subject to any requirement of this Act to: </w:t>
      </w:r>
    </w:p>
    <w:p w:rsidR="00CA4CD6" w:rsidRPr="0040650A" w:rsidRDefault="00CA4CD6">
      <w:pPr>
        <w:pBdr>
          <w:top w:val="single" w:sz="6" w:space="0" w:color="FFFFFF"/>
          <w:left w:val="single" w:sz="6" w:space="0" w:color="FFFFFF"/>
          <w:bottom w:val="single" w:sz="6" w:space="0" w:color="FFFFFF"/>
          <w:right w:val="single" w:sz="6" w:space="0" w:color="FFFFFF"/>
        </w:pBdr>
      </w:pPr>
    </w:p>
    <w:p w:rsidR="00CA4CD6" w:rsidRPr="0040650A" w:rsidRDefault="00CA4CD6">
      <w:pPr>
        <w:pBdr>
          <w:top w:val="single" w:sz="6" w:space="0" w:color="FFFFFF"/>
          <w:left w:val="single" w:sz="6" w:space="0" w:color="FFFFFF"/>
          <w:bottom w:val="single" w:sz="6" w:space="0" w:color="FFFFFF"/>
          <w:right w:val="single" w:sz="6" w:space="0" w:color="FFFFFF"/>
        </w:pBdr>
        <w:ind w:left="1440" w:right="1440"/>
      </w:pPr>
      <w:r w:rsidRPr="0040650A">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40650A">
        <w:lastRenderedPageBreak/>
        <w:t>compliance certifications in accordance with Section 114(a)(3); and (G) provide such other information as the Admini</w:t>
      </w:r>
      <w:r w:rsidR="0040650A" w:rsidRPr="0040650A">
        <w:t>strator may reasonably require.</w:t>
      </w:r>
    </w:p>
    <w:p w:rsidR="00CA4CD6" w:rsidRPr="0040650A"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0650A">
        <w:t>In the Administrator's judg</w:t>
      </w:r>
      <w:r>
        <w:rPr>
          <w:color w:val="000000"/>
        </w:rPr>
        <w:t>ment</w:t>
      </w:r>
      <w:r w:rsidR="0040650A">
        <w:rPr>
          <w:color w:val="000000"/>
        </w:rPr>
        <w:t>, particulate e</w:t>
      </w:r>
      <w:r>
        <w:rPr>
          <w:color w:val="000000"/>
        </w:rPr>
        <w:t>missions fro</w:t>
      </w:r>
      <w:r w:rsidR="0040650A">
        <w:rPr>
          <w:color w:val="000000"/>
        </w:rPr>
        <w:t xml:space="preserve">m nonmetallic mineral processing plants (NMPPs) cause or </w:t>
      </w:r>
      <w:r>
        <w:rPr>
          <w:color w:val="000000"/>
        </w:rPr>
        <w:t xml:space="preserve">contribute to air pollution that may reasonably be anticipated to endanger public health or welfare.  Therefore, </w:t>
      </w:r>
      <w:r w:rsidR="0040650A">
        <w:rPr>
          <w:color w:val="000000"/>
        </w:rPr>
        <w:t xml:space="preserve">the NSPS were </w:t>
      </w:r>
      <w:r>
        <w:rPr>
          <w:color w:val="000000"/>
        </w:rPr>
        <w:t xml:space="preserve">promulgated for this source category at 40 CFR </w:t>
      </w:r>
      <w:r w:rsidR="006810C3">
        <w:rPr>
          <w:color w:val="000000"/>
        </w:rPr>
        <w:t xml:space="preserve">Part </w:t>
      </w:r>
      <w:r>
        <w:rPr>
          <w:color w:val="000000"/>
        </w:rPr>
        <w:t>6</w:t>
      </w:r>
      <w:r w:rsidR="0040650A">
        <w:rPr>
          <w:color w:val="000000"/>
        </w:rPr>
        <w:t>0, Subpart OOO.</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40650A">
        <w:rPr>
          <w:color w:val="000000"/>
        </w:rPr>
        <w:t xml:space="preserve">s ensures </w:t>
      </w:r>
      <w:r>
        <w:rPr>
          <w:color w:val="000000"/>
        </w:rPr>
        <w:t>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0650A"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40650A">
        <w:rPr>
          <w:color w:val="000000"/>
        </w:rPr>
        <w:t>s.  C</w:t>
      </w:r>
      <w:r w:rsidR="005C4731">
        <w:rPr>
          <w:color w:val="000000"/>
        </w:rPr>
        <w:t xml:space="preserve">ontinuous emission monitors </w:t>
      </w:r>
      <w:r>
        <w:rPr>
          <w:color w:val="000000"/>
        </w:rPr>
        <w:t>are used to ensure compliance with the standard</w:t>
      </w:r>
      <w:r w:rsidR="0040650A">
        <w:rPr>
          <w:color w:val="000000"/>
        </w:rPr>
        <w:t>s</w:t>
      </w:r>
      <w:r>
        <w:rPr>
          <w:color w:val="000000"/>
        </w:rPr>
        <w:t xml:space="preserve"> at all ti</w:t>
      </w:r>
      <w:r w:rsidRPr="0040650A">
        <w:t>mes.</w:t>
      </w:r>
    </w:p>
    <w:p w:rsidR="00CA4CD6" w:rsidRPr="0040650A" w:rsidRDefault="00CA4CD6">
      <w:pPr>
        <w:pBdr>
          <w:top w:val="single" w:sz="6" w:space="0" w:color="FFFFFF"/>
          <w:left w:val="single" w:sz="6" w:space="0" w:color="FFFFFF"/>
          <w:bottom w:val="single" w:sz="6" w:space="0" w:color="FFFFFF"/>
          <w:right w:val="single" w:sz="6" w:space="0" w:color="FFFFFF"/>
        </w:pBdr>
      </w:pPr>
    </w:p>
    <w:p w:rsidR="00CA4CD6" w:rsidRPr="0040650A" w:rsidRDefault="00CA4CD6">
      <w:pPr>
        <w:pBdr>
          <w:top w:val="single" w:sz="6" w:space="0" w:color="FFFFFF"/>
          <w:left w:val="single" w:sz="6" w:space="0" w:color="FFFFFF"/>
          <w:bottom w:val="single" w:sz="6" w:space="0" w:color="FFFFFF"/>
          <w:right w:val="single" w:sz="6" w:space="0" w:color="FFFFFF"/>
        </w:pBdr>
        <w:ind w:firstLine="720"/>
      </w:pPr>
      <w:r w:rsidRPr="0040650A">
        <w:t>The notifica</w:t>
      </w:r>
      <w:r w:rsidR="0040650A" w:rsidRPr="0040650A">
        <w:t>tions required in the standards</w:t>
      </w:r>
      <w:r w:rsidRPr="0040650A">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40650A" w:rsidRPr="0040650A">
        <w:t xml:space="preserve"> </w:t>
      </w:r>
      <w:r w:rsidRPr="0040650A">
        <w:t xml:space="preserve">and </w:t>
      </w:r>
      <w:r w:rsidR="00CF59C5" w:rsidRPr="0040650A">
        <w:t xml:space="preserve">that </w:t>
      </w:r>
      <w:r w:rsidRPr="0040650A">
        <w:t>the standard</w:t>
      </w:r>
      <w:r w:rsidR="0040650A" w:rsidRPr="0040650A">
        <w:t xml:space="preserve">s </w:t>
      </w:r>
      <w:r w:rsidRPr="0040650A">
        <w:t>are being met.  The performance test may also be observed.</w:t>
      </w:r>
    </w:p>
    <w:p w:rsidR="00CA4CD6" w:rsidRPr="0040650A" w:rsidRDefault="00CA4CD6">
      <w:pPr>
        <w:pBdr>
          <w:top w:val="single" w:sz="6" w:space="0" w:color="FFFFFF"/>
          <w:left w:val="single" w:sz="6" w:space="0" w:color="FFFFFF"/>
          <w:bottom w:val="single" w:sz="6" w:space="0" w:color="FFFFFF"/>
          <w:right w:val="single" w:sz="6" w:space="0" w:color="FFFFFF"/>
        </w:pBdr>
        <w:ind w:firstLine="720"/>
      </w:pPr>
    </w:p>
    <w:p w:rsidR="00CA4CD6" w:rsidRPr="0040650A" w:rsidRDefault="00CA4CD6">
      <w:pPr>
        <w:pBdr>
          <w:top w:val="single" w:sz="6" w:space="0" w:color="FFFFFF"/>
          <w:left w:val="single" w:sz="6" w:space="0" w:color="FFFFFF"/>
          <w:bottom w:val="single" w:sz="6" w:space="0" w:color="FFFFFF"/>
          <w:right w:val="single" w:sz="6" w:space="0" w:color="FFFFFF"/>
        </w:pBdr>
        <w:ind w:firstLine="720"/>
      </w:pPr>
      <w:r>
        <w:rPr>
          <w:color w:val="000000"/>
        </w:rPr>
        <w:t>The require</w:t>
      </w:r>
      <w:r w:rsidR="0040650A">
        <w:rPr>
          <w:color w:val="000000"/>
        </w:rPr>
        <w:t xml:space="preserve">d semiannual compliance reports </w:t>
      </w:r>
      <w:r>
        <w:rPr>
          <w:color w:val="000000"/>
        </w:rPr>
        <w:t>are used to determine periods of excess emissions, identify problems at the facility, verify operation/maintenance procedures</w:t>
      </w:r>
      <w:r w:rsidR="00DE0869">
        <w:rPr>
          <w:color w:val="000000"/>
        </w:rPr>
        <w:t>,</w:t>
      </w:r>
      <w:r>
        <w:rPr>
          <w:color w:val="000000"/>
        </w:rPr>
        <w:t xml:space="preserve"> and for </w:t>
      </w:r>
      <w:r w:rsidRPr="0040650A">
        <w:t>compliance determinations.</w:t>
      </w:r>
    </w:p>
    <w:p w:rsidR="00606DEF" w:rsidRPr="0040650A" w:rsidRDefault="00606DEF">
      <w:pPr>
        <w:pBdr>
          <w:top w:val="single" w:sz="6" w:space="0" w:color="FFFFFF"/>
          <w:left w:val="single" w:sz="6" w:space="0" w:color="FFFFFF"/>
          <w:bottom w:val="single" w:sz="6" w:space="0" w:color="FFFFFF"/>
          <w:right w:val="single" w:sz="6" w:space="0" w:color="FFFFFF"/>
        </w:pBdr>
      </w:pPr>
    </w:p>
    <w:p w:rsidR="00CA4CD6" w:rsidRPr="0040650A"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0650A">
        <w:rPr>
          <w:b/>
          <w:bCs/>
        </w:rPr>
        <w:t>3.  Nonduplication,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40650A">
        <w:rPr>
          <w:color w:val="000000"/>
        </w:rPr>
        <w:t>Part 60, Subpart OOO.</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0D47DC">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  Public Notice Required Prior to ICR Submission to OMB</w:t>
      </w:r>
    </w:p>
    <w:p w:rsidR="00CA4CD6" w:rsidRDefault="00CA4CD6" w:rsidP="000D47DC">
      <w:pPr>
        <w:keepNext/>
        <w:keepLines/>
        <w:pBdr>
          <w:top w:val="single" w:sz="6" w:space="0" w:color="FFFFFF"/>
          <w:left w:val="single" w:sz="6" w:space="0" w:color="FFFFFF"/>
          <w:bottom w:val="single" w:sz="6" w:space="0" w:color="FFFFFF"/>
          <w:right w:val="single" w:sz="6" w:space="0" w:color="FFFFFF"/>
        </w:pBdr>
        <w:rPr>
          <w:color w:val="000000"/>
        </w:rPr>
      </w:pPr>
    </w:p>
    <w:p w:rsidR="00CA4CD6" w:rsidRPr="000D47DC" w:rsidRDefault="00CA4CD6" w:rsidP="000D47DC">
      <w:pPr>
        <w:keepNext/>
        <w:keepLines/>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w:t>
      </w:r>
      <w:r w:rsidRPr="000D47DC">
        <w:t xml:space="preserve">period for the renewal of this ICR was published in the </w:t>
      </w:r>
      <w:r w:rsidRPr="000D47DC">
        <w:rPr>
          <w:u w:val="single"/>
        </w:rPr>
        <w:t>Federal Register</w:t>
      </w:r>
      <w:r w:rsidRPr="000D47DC">
        <w:t xml:space="preserve"> </w:t>
      </w:r>
      <w:r w:rsidR="0040650A" w:rsidRPr="000D47DC">
        <w:t xml:space="preserve">(79 </w:t>
      </w:r>
      <w:r w:rsidR="0040650A" w:rsidRPr="000D47DC">
        <w:rPr>
          <w:u w:val="single"/>
        </w:rPr>
        <w:t>FR</w:t>
      </w:r>
      <w:r w:rsidR="0040650A" w:rsidRPr="000D47DC">
        <w:t xml:space="preserve"> 30117) </w:t>
      </w:r>
      <w:r w:rsidRPr="000D47DC">
        <w:t>o</w:t>
      </w:r>
      <w:r w:rsidR="0040650A" w:rsidRPr="000D47DC">
        <w:t>n May 27, 2014.</w:t>
      </w:r>
      <w:r w:rsidR="000D47DC" w:rsidRPr="000D47DC">
        <w:t xml:space="preserve">  </w:t>
      </w:r>
      <w:r w:rsidRPr="000D47DC">
        <w:t xml:space="preserve">No comments were received on the burden published in the </w:t>
      </w:r>
      <w:r w:rsidRPr="000D47DC">
        <w:rPr>
          <w:u w:val="single"/>
        </w:rPr>
        <w:t>Federal Register</w:t>
      </w:r>
      <w:r w:rsidR="000D47DC" w:rsidRPr="000D47DC">
        <w:t>.</w:t>
      </w:r>
    </w:p>
    <w:p w:rsidR="00CA4CD6" w:rsidRPr="000D47DC" w:rsidRDefault="00CA4CD6">
      <w:pPr>
        <w:pBdr>
          <w:top w:val="single" w:sz="6" w:space="0" w:color="FFFFFF"/>
          <w:left w:val="single" w:sz="6" w:space="0" w:color="FFFFFF"/>
          <w:bottom w:val="single" w:sz="6" w:space="0" w:color="FFFFFF"/>
          <w:right w:val="single" w:sz="6" w:space="0" w:color="FFFFFF"/>
        </w:pBd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EA5B44" w:rsidRDefault="00EA5B44" w:rsidP="00CF2B37">
      <w:pPr>
        <w:ind w:firstLine="720"/>
      </w:pPr>
      <w:r w:rsidRPr="00AB6EF9">
        <w:t>The Agency has consulted i</w:t>
      </w:r>
      <w:r w:rsidRPr="00AB6EF9">
        <w:rPr>
          <w:bCs/>
        </w:rPr>
        <w:t>ndustry experts and internal data sources to project the number of affected facilities and industry growth over the next three years.</w:t>
      </w:r>
      <w:r w:rsidRPr="00AB6EF9">
        <w:rPr>
          <w:b/>
          <w:bCs/>
        </w:rPr>
        <w:t xml:space="preserve">  </w:t>
      </w:r>
      <w:r w:rsidRPr="00AB6EF9">
        <w:t xml:space="preserve">The primary source of information as reported by industry, in compliance with the recordkeeping and reporting provisions in the standard, is the </w:t>
      </w:r>
      <w:r w:rsidR="007B0AD6">
        <w:t>Enforcement and Compliance History Online (ECHO)</w:t>
      </w:r>
      <w:r>
        <w:t>,</w:t>
      </w:r>
      <w:r w:rsidRPr="00AB6EF9">
        <w:t xml:space="preserve"> which is operated and maintained by EPA's Office of Complianc</w:t>
      </w:r>
      <w:r>
        <w:t xml:space="preserve">e.  </w:t>
      </w:r>
      <w:r w:rsidR="007B0AD6">
        <w:t xml:space="preserve">ECHO </w:t>
      </w:r>
      <w:r w:rsidRPr="00AB6EF9">
        <w:t>is EPA’s database for the collection, maintenance, and ret</w:t>
      </w:r>
      <w:r>
        <w:t>rieval of all compliance data.</w:t>
      </w:r>
    </w:p>
    <w:p w:rsidR="00EA5B44" w:rsidRDefault="00EA5B44" w:rsidP="00CF2B37">
      <w:pPr>
        <w:ind w:firstLine="720"/>
      </w:pPr>
    </w:p>
    <w:p w:rsidR="00123889" w:rsidRPr="000D47DC" w:rsidRDefault="00EA5B44" w:rsidP="00946A8C">
      <w:pPr>
        <w:ind w:firstLine="720"/>
        <w:rPr>
          <w:color w:val="000000"/>
        </w:rPr>
      </w:pPr>
      <w:r>
        <w:t>Industry trade associations</w:t>
      </w:r>
      <w:r w:rsidRPr="00B84762">
        <w:t xml:space="preserve"> and other interested parties were provided </w:t>
      </w:r>
      <w:r>
        <w:t xml:space="preserve">with </w:t>
      </w:r>
      <w:r w:rsidRPr="00B84762">
        <w:t xml:space="preserve">an opportunity to comment on the burden associated with the standard </w:t>
      </w:r>
      <w:r>
        <w:t xml:space="preserve">when </w:t>
      </w:r>
      <w:r w:rsidRPr="00B84762">
        <w:t xml:space="preserve">it was being developed and </w:t>
      </w:r>
      <w:r>
        <w:t>further amended, and the</w:t>
      </w:r>
      <w:r w:rsidRPr="00B84762">
        <w:t xml:space="preserve"> standard has been </w:t>
      </w:r>
      <w:r w:rsidRPr="000D47DC">
        <w:t xml:space="preserve">previously reviewed to determine the minimum information needed for compliance purposes.  For the current renewal, EPA </w:t>
      </w:r>
      <w:r w:rsidR="00CF2B37" w:rsidRPr="000D47DC">
        <w:t>contacted the</w:t>
      </w:r>
      <w:r w:rsidR="00946A8C" w:rsidRPr="000D47DC">
        <w:t xml:space="preserve"> National Stone, Sand, and Gravel Association (NSSGA) at (703) 525-8788</w:t>
      </w:r>
      <w:r w:rsidR="00CF2B37" w:rsidRPr="000D47DC">
        <w:t xml:space="preserve"> </w:t>
      </w:r>
      <w:r w:rsidR="00946A8C" w:rsidRPr="000D47DC">
        <w:t>and the Industrial Minerals Association - North America (IMA-NA) at (240) 457-0200.</w:t>
      </w:r>
    </w:p>
    <w:p w:rsidR="00946A8C" w:rsidRPr="000D47DC" w:rsidRDefault="00946A8C" w:rsidP="00946A8C">
      <w:pP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D47DC">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rsidP="00007EA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007EA7" w:rsidRDefault="00007EA7" w:rsidP="00007EA7">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484557">
        <w:rPr>
          <w:color w:val="000000"/>
        </w:rPr>
        <w:t>C</w:t>
      </w:r>
      <w:r>
        <w:rPr>
          <w:color w:val="000000"/>
        </w:rPr>
        <w:t xml:space="preserve">hapter 1, </w:t>
      </w:r>
      <w:r w:rsidR="00484557">
        <w:rPr>
          <w:color w:val="000000"/>
        </w:rPr>
        <w:t>P</w:t>
      </w:r>
      <w:r>
        <w:rPr>
          <w:color w:val="000000"/>
        </w:rPr>
        <w:t xml:space="preserve">art 2, </w:t>
      </w:r>
      <w:r w:rsidR="00484557">
        <w:rPr>
          <w:color w:val="000000"/>
        </w:rPr>
        <w:t>S</w:t>
      </w:r>
      <w:r>
        <w:rPr>
          <w:color w:val="000000"/>
        </w:rPr>
        <w:t xml:space="preserve">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0D47DC">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  Sensitive Questions</w:t>
      </w:r>
    </w:p>
    <w:p w:rsidR="00CA4CD6" w:rsidRDefault="00CA4CD6" w:rsidP="000D47DC">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40391F" w:rsidP="000D47DC">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D3F32" w:rsidRDefault="00CA4CD6">
      <w:pPr>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w:t>
      </w:r>
      <w:r w:rsidR="00007EA7">
        <w:rPr>
          <w:color w:val="000000"/>
        </w:rPr>
        <w:t xml:space="preserve">e owners or operators of nonmetallic mineral processing facilities.  </w:t>
      </w:r>
      <w:r w:rsidR="008D3F32" w:rsidRPr="00FE4153">
        <w:t>The United States Standard Industrial Classification (SIC) codes and corresponding North American Industry Classification System (</w:t>
      </w:r>
      <w:r w:rsidR="008D3F32" w:rsidRPr="008D3F32">
        <w:t>NAICS) codes for respondents affected by the standard are listed in the following table.</w:t>
      </w:r>
    </w:p>
    <w:p w:rsidR="00007EA7" w:rsidRDefault="00007EA7">
      <w:pPr>
        <w:pBdr>
          <w:top w:val="single" w:sz="6" w:space="0" w:color="FFFFFF"/>
          <w:left w:val="single" w:sz="6" w:space="0" w:color="FFFFFF"/>
          <w:bottom w:val="single" w:sz="6" w:space="0" w:color="FFFFFF"/>
          <w:right w:val="single" w:sz="6" w:space="0" w:color="FFFFFF"/>
        </w:pBdr>
        <w:ind w:firstLine="720"/>
      </w:pPr>
    </w:p>
    <w:tbl>
      <w:tblPr>
        <w:tblW w:w="8847" w:type="dxa"/>
        <w:jc w:val="center"/>
        <w:tblLayout w:type="fixed"/>
        <w:tblCellMar>
          <w:left w:w="82" w:type="dxa"/>
          <w:right w:w="82" w:type="dxa"/>
        </w:tblCellMar>
        <w:tblLook w:val="0000" w:firstRow="0" w:lastRow="0" w:firstColumn="0" w:lastColumn="0" w:noHBand="0" w:noVBand="0"/>
      </w:tblPr>
      <w:tblGrid>
        <w:gridCol w:w="5234"/>
        <w:gridCol w:w="1980"/>
        <w:gridCol w:w="1633"/>
      </w:tblGrid>
      <w:tr w:rsidR="00007EA7" w:rsidTr="00197E54">
        <w:trPr>
          <w:cantSplit/>
          <w:tblHeader/>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Default="00007EA7" w:rsidP="00197E54">
            <w:pPr>
              <w:spacing w:before="99"/>
              <w:ind w:hanging="22"/>
              <w:jc w:val="center"/>
              <w:rPr>
                <w:b/>
                <w:bCs/>
              </w:rPr>
            </w:pPr>
            <w:r>
              <w:rPr>
                <w:b/>
                <w:bCs/>
              </w:rPr>
              <w:t>Standard (</w:t>
            </w:r>
            <w:r w:rsidRPr="008D66FD">
              <w:rPr>
                <w:b/>
                <w:bCs/>
              </w:rPr>
              <w:t xml:space="preserve">40 CFR </w:t>
            </w:r>
            <w:r>
              <w:rPr>
                <w:b/>
                <w:bCs/>
              </w:rPr>
              <w:t>P</w:t>
            </w:r>
            <w:r w:rsidRPr="008D66FD">
              <w:rPr>
                <w:b/>
                <w:bCs/>
              </w:rPr>
              <w:t xml:space="preserve">art 60, </w:t>
            </w:r>
            <w:r>
              <w:rPr>
                <w:b/>
                <w:bCs/>
              </w:rPr>
              <w:t>S</w:t>
            </w:r>
            <w:r w:rsidRPr="008D66FD">
              <w:rPr>
                <w:b/>
                <w:bCs/>
              </w:rPr>
              <w:t>ubpart OOO</w:t>
            </w:r>
            <w:r>
              <w:rPr>
                <w:b/>
                <w:bCs/>
              </w:rPr>
              <w:t>)</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Default="00007EA7" w:rsidP="00197E54">
            <w:pPr>
              <w:spacing w:before="99"/>
              <w:ind w:firstLine="8"/>
              <w:jc w:val="center"/>
              <w:rPr>
                <w:b/>
                <w:bCs/>
              </w:rPr>
            </w:pPr>
            <w:r>
              <w:rPr>
                <w:b/>
                <w:bCs/>
              </w:rPr>
              <w:t>SIC Codes</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Default="00007EA7" w:rsidP="00197E54">
            <w:pPr>
              <w:spacing w:before="99"/>
              <w:ind w:firstLine="8"/>
              <w:jc w:val="center"/>
            </w:pPr>
            <w:r>
              <w:rPr>
                <w:b/>
                <w:bCs/>
              </w:rPr>
              <w:t>NAICS Codes</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pPr>
            <w:r w:rsidRPr="008E531E">
              <w:t>Dimension Stone Mining and Quarrying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8E531E" w:rsidRDefault="00007EA7" w:rsidP="00197E54">
            <w:pPr>
              <w:spacing w:before="99"/>
              <w:ind w:firstLine="8"/>
              <w:jc w:val="center"/>
              <w:rPr>
                <w:bCs/>
              </w:rPr>
            </w:pPr>
            <w:r w:rsidRPr="008E531E">
              <w:rPr>
                <w:bCs/>
              </w:rPr>
              <w:t>1411</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jc w:val="center"/>
            </w:pPr>
            <w:r w:rsidRPr="005A4625">
              <w:t>212311</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pPr>
            <w:r w:rsidRPr="00C24D42">
              <w:t>Crushed and Broken Limestone Mining and Quarrying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sidRPr="00C24D42">
              <w:rPr>
                <w:bCs/>
              </w:rPr>
              <w:t>1422</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jc w:val="center"/>
            </w:pPr>
            <w:r w:rsidRPr="005A4625">
              <w:t>212312</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pPr>
            <w:r w:rsidRPr="000B344B">
              <w:t>Crushed and Broken Granite Mining and Quarrying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sidRPr="00C24D42">
              <w:rPr>
                <w:bCs/>
              </w:rPr>
              <w:t>1423</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jc w:val="center"/>
            </w:pPr>
            <w:r w:rsidRPr="005A4625">
              <w:t>212313</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pPr>
            <w:r w:rsidRPr="000B344B">
              <w:t>Other Crushed and Broken Stone Mining and Quarrying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sidRPr="00C24D42">
              <w:rPr>
                <w:bCs/>
              </w:rPr>
              <w:t>1429, 1499</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jc w:val="center"/>
            </w:pPr>
            <w:r w:rsidRPr="005A4625">
              <w:t>212319</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pPr>
            <w:r w:rsidRPr="00C24D42">
              <w:t>Construction Sand and Gravel Mining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sidRPr="00C24D42">
              <w:rPr>
                <w:bCs/>
              </w:rPr>
              <w:t>1442</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jc w:val="center"/>
            </w:pPr>
            <w:r w:rsidRPr="005A4625">
              <w:t>212321</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pPr>
            <w:r w:rsidRPr="00C24D42">
              <w:t>Industrial Sand Mining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1446</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jc w:val="center"/>
            </w:pPr>
            <w:r w:rsidRPr="005A4625">
              <w:t>212322</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pPr>
            <w:r w:rsidRPr="00C24D42">
              <w:t>Kaolin and Ball Clay Mining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1455, 3295</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jc w:val="center"/>
            </w:pPr>
            <w:r w:rsidRPr="005A4625">
              <w:t>212324</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pPr>
            <w:r w:rsidRPr="0020405C">
              <w:t>Clay and Ceramic and Refractory Minerals Mining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1459, 3295</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jc w:val="center"/>
            </w:pPr>
            <w:r w:rsidRPr="005A4625">
              <w:t>212325</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pPr>
            <w:r w:rsidRPr="0020405C">
              <w:t>Potash, Soda, and Borate Mineral Mining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1474</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jc w:val="center"/>
            </w:pPr>
            <w:r w:rsidRPr="005A4625">
              <w:t>212391</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pPr>
            <w:r w:rsidRPr="0020405C">
              <w:t>Other Chemical and Fertilizer Mineral Mining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1479, 3295</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jc w:val="center"/>
            </w:pPr>
            <w:r w:rsidRPr="005A4625">
              <w:t>212393</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pPr>
            <w:r w:rsidRPr="00A87B23">
              <w:t>All Other Nonmetallic Mineral Mining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1499, 3295</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99"/>
              <w:jc w:val="center"/>
            </w:pPr>
            <w:r w:rsidRPr="005A4625">
              <w:t>212399</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pPr>
            <w:r w:rsidRPr="00A87B23">
              <w:t>Fossil Fuel Electric Power Generation</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 xml:space="preserve">4911, 4931, 4939 </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jc w:val="center"/>
            </w:pPr>
            <w:r w:rsidRPr="005A4625">
              <w:t>221112</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pPr>
            <w:r w:rsidRPr="00A87B23">
              <w:t>Asphalt Paving Mixture and Block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2951</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jc w:val="center"/>
            </w:pPr>
            <w:r w:rsidRPr="005A4625">
              <w:t>324121</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pPr>
            <w:r w:rsidRPr="009D4A2C">
              <w:t>Brick and Structural Clay Tile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3251</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jc w:val="center"/>
            </w:pPr>
            <w:r w:rsidRPr="005A4625">
              <w:t>327121</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pPr>
            <w:r w:rsidRPr="009D4A2C">
              <w:t>Ceramic Wall and Floor Tile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3253</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jc w:val="center"/>
            </w:pPr>
            <w:r w:rsidRPr="005A4625">
              <w:t>327122</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pPr>
            <w:r w:rsidRPr="009D4A2C">
              <w:t>Other Structural Clay Product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3259</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jc w:val="center"/>
            </w:pPr>
            <w:r w:rsidRPr="005A4625">
              <w:t>327123</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pPr>
            <w:r w:rsidRPr="009D4A2C">
              <w:t>Clay Refractory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3255</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jc w:val="center"/>
            </w:pPr>
            <w:r w:rsidRPr="005A4625">
              <w:t>327124</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pPr>
            <w:r w:rsidRPr="009D4A2C">
              <w:t>Cement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3241</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jc w:val="center"/>
            </w:pPr>
            <w:r w:rsidRPr="005A4625">
              <w:t>327310</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pPr>
            <w:r w:rsidRPr="009D4A2C">
              <w:lastRenderedPageBreak/>
              <w:t>Lime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3274</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jc w:val="center"/>
            </w:pPr>
            <w:r w:rsidRPr="005A4625">
              <w:t>327410</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pPr>
            <w:r w:rsidRPr="009D4A2C">
              <w:t>Gypsum Product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3275, 3299</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jc w:val="center"/>
            </w:pPr>
            <w:r w:rsidRPr="005A4625">
              <w:t>327420</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pPr>
            <w:r w:rsidRPr="009D4A2C">
              <w:t>Ground or Treated Mineral and Earth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3295</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jc w:val="center"/>
            </w:pPr>
            <w:r w:rsidRPr="005A4625">
              <w:t>327992</w:t>
            </w:r>
          </w:p>
        </w:tc>
      </w:tr>
      <w:tr w:rsidR="00007EA7" w:rsidTr="00197E54">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pPr>
            <w:r w:rsidRPr="009D4A2C">
              <w:t>Iron and Steel Mills</w:t>
            </w:r>
          </w:p>
        </w:tc>
        <w:tc>
          <w:tcPr>
            <w:tcW w:w="1980" w:type="dxa"/>
            <w:tcBorders>
              <w:top w:val="single" w:sz="6" w:space="0" w:color="auto"/>
              <w:left w:val="single" w:sz="6" w:space="0" w:color="auto"/>
              <w:bottom w:val="single" w:sz="6" w:space="0" w:color="auto"/>
              <w:right w:val="single" w:sz="6" w:space="0" w:color="auto"/>
            </w:tcBorders>
            <w:vAlign w:val="center"/>
          </w:tcPr>
          <w:p w:rsidR="00007EA7" w:rsidRPr="00C24D42" w:rsidRDefault="00007EA7" w:rsidP="00197E54">
            <w:pPr>
              <w:spacing w:before="99"/>
              <w:ind w:firstLine="8"/>
              <w:jc w:val="center"/>
              <w:rPr>
                <w:bCs/>
              </w:rPr>
            </w:pPr>
            <w:r>
              <w:rPr>
                <w:bCs/>
              </w:rPr>
              <w:t>3312</w:t>
            </w:r>
          </w:p>
        </w:tc>
        <w:tc>
          <w:tcPr>
            <w:tcW w:w="1633" w:type="dxa"/>
            <w:tcBorders>
              <w:top w:val="single" w:sz="6" w:space="0" w:color="auto"/>
              <w:left w:val="single" w:sz="6" w:space="0" w:color="auto"/>
              <w:bottom w:val="single" w:sz="6" w:space="0" w:color="auto"/>
              <w:right w:val="single" w:sz="6" w:space="0" w:color="auto"/>
            </w:tcBorders>
            <w:vAlign w:val="center"/>
          </w:tcPr>
          <w:p w:rsidR="00007EA7" w:rsidRPr="005A4625" w:rsidRDefault="00007EA7" w:rsidP="00197E54">
            <w:pPr>
              <w:spacing w:before="115" w:after="37"/>
              <w:jc w:val="center"/>
            </w:pPr>
            <w:r w:rsidRPr="005A4625">
              <w:t>331111</w:t>
            </w:r>
          </w:p>
        </w:tc>
      </w:tr>
    </w:tbl>
    <w:p w:rsidR="00007EA7" w:rsidRPr="008D3F32" w:rsidRDefault="00007EA7">
      <w:pPr>
        <w:pBdr>
          <w:top w:val="single" w:sz="6" w:space="0" w:color="FFFFFF"/>
          <w:left w:val="single" w:sz="6" w:space="0" w:color="FFFFFF"/>
          <w:bottom w:val="single" w:sz="6" w:space="0" w:color="FFFFFF"/>
          <w:right w:val="single" w:sz="6" w:space="0" w:color="FFFFFF"/>
        </w:pBdr>
        <w:ind w:firstLine="720"/>
      </w:pPr>
    </w:p>
    <w:p w:rsidR="00CA4CD6" w:rsidRPr="00833FA0"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07EA7"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007EA7" w:rsidRPr="00007EA7">
        <w:rPr>
          <w:color w:val="000000"/>
        </w:rPr>
        <w:t>by NSPS for Nonmetallic Mineral Processing (40 CFR Part 60, Subpart OOO).</w:t>
      </w:r>
    </w:p>
    <w:p w:rsidR="00007EA7" w:rsidRDefault="00007EA7">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872048">
        <w:rPr>
          <w:color w:val="000000"/>
        </w:rPr>
        <w:t>notifications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13546A" w:rsidTr="0087204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13546A"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3546A">
              <w:rPr>
                <w:b/>
              </w:rPr>
              <w:t>Notification</w:t>
            </w:r>
            <w:r w:rsidR="006E4A6E" w:rsidRPr="0013546A">
              <w:rPr>
                <w:b/>
              </w:rPr>
              <w:t>s</w:t>
            </w:r>
          </w:p>
        </w:tc>
      </w:tr>
      <w:tr w:rsidR="00007EA7" w:rsidRPr="0013546A" w:rsidTr="00197E54">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rsidR="00007EA7" w:rsidRPr="0013546A" w:rsidRDefault="00007EA7" w:rsidP="00197E54">
            <w:pPr>
              <w:spacing w:before="99" w:after="51"/>
              <w:ind w:firstLine="8"/>
            </w:pPr>
            <w:r w:rsidRPr="0013546A">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007EA7" w:rsidRPr="0013546A" w:rsidRDefault="00007EA7" w:rsidP="00197E54">
            <w:pPr>
              <w:spacing w:before="99" w:after="51"/>
            </w:pPr>
            <w:r w:rsidRPr="0013546A">
              <w:t>60.7(a)(3), 60.676(i)</w:t>
            </w:r>
          </w:p>
        </w:tc>
      </w:tr>
      <w:tr w:rsidR="00007EA7" w:rsidRPr="0013546A" w:rsidTr="00197E54">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rsidR="00007EA7" w:rsidRPr="0013546A" w:rsidRDefault="00F577F3" w:rsidP="00197E54">
            <w:pPr>
              <w:spacing w:before="99" w:after="51"/>
              <w:ind w:firstLine="8"/>
            </w:pPr>
            <w:r w:rsidRPr="0013546A">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007EA7" w:rsidRPr="0013546A" w:rsidRDefault="00007EA7" w:rsidP="00197E54">
            <w:pPr>
              <w:spacing w:before="99" w:after="51"/>
            </w:pPr>
            <w:r w:rsidRPr="0013546A">
              <w:t>60.7(a)(4)</w:t>
            </w:r>
          </w:p>
        </w:tc>
      </w:tr>
      <w:tr w:rsidR="00007EA7" w:rsidRPr="0013546A" w:rsidTr="00197E54">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rsidR="00007EA7" w:rsidRPr="0013546A" w:rsidRDefault="00007EA7" w:rsidP="00197E54">
            <w:pPr>
              <w:spacing w:before="99" w:after="51"/>
              <w:ind w:firstLine="8"/>
            </w:pPr>
            <w:r w:rsidRPr="0013546A">
              <w:t>Notification of initial performan</w:t>
            </w:r>
            <w:r w:rsidR="00F577F3" w:rsidRPr="0013546A">
              <w:t>ce test</w:t>
            </w:r>
          </w:p>
        </w:tc>
        <w:tc>
          <w:tcPr>
            <w:tcW w:w="2340" w:type="dxa"/>
            <w:tcBorders>
              <w:top w:val="single" w:sz="7" w:space="0" w:color="000000"/>
              <w:left w:val="single" w:sz="7" w:space="0" w:color="000000"/>
              <w:bottom w:val="single" w:sz="7" w:space="0" w:color="000000"/>
              <w:right w:val="single" w:sz="7" w:space="0" w:color="000000"/>
            </w:tcBorders>
          </w:tcPr>
          <w:p w:rsidR="00007EA7" w:rsidRPr="0013546A" w:rsidRDefault="00007EA7" w:rsidP="00197E54">
            <w:pPr>
              <w:spacing w:before="99" w:after="51"/>
            </w:pPr>
            <w:r w:rsidRPr="0013546A">
              <w:t>60.8(d), 60.672</w:t>
            </w:r>
          </w:p>
        </w:tc>
      </w:tr>
    </w:tbl>
    <w:p w:rsidR="00872048" w:rsidRPr="0013546A" w:rsidRDefault="00872048" w:rsidP="00872048">
      <w:pPr>
        <w:pBdr>
          <w:top w:val="single" w:sz="6" w:space="0" w:color="FFFFFF"/>
          <w:left w:val="single" w:sz="6" w:space="0" w:color="FFFFFF"/>
          <w:bottom w:val="single" w:sz="6" w:space="0" w:color="FFFFFF"/>
          <w:right w:val="single" w:sz="6" w:space="0" w:color="FFFFFF"/>
        </w:pBdr>
        <w:rPr>
          <w:color w:val="000000"/>
        </w:rPr>
      </w:pPr>
    </w:p>
    <w:p w:rsidR="00872048" w:rsidRPr="0013546A" w:rsidRDefault="00872048" w:rsidP="00872048">
      <w:pPr>
        <w:pBdr>
          <w:top w:val="single" w:sz="6" w:space="0" w:color="FFFFFF"/>
          <w:left w:val="single" w:sz="6" w:space="0" w:color="FFFFFF"/>
          <w:bottom w:val="single" w:sz="6" w:space="0" w:color="FFFFFF"/>
          <w:right w:val="single" w:sz="6" w:space="0" w:color="FFFFFF"/>
        </w:pBdr>
        <w:ind w:firstLine="720"/>
        <w:rPr>
          <w:color w:val="000000"/>
        </w:rPr>
      </w:pPr>
      <w:r w:rsidRPr="0013546A">
        <w:rPr>
          <w:color w:val="000000"/>
        </w:rPr>
        <w:t>A source must make the following reports:</w:t>
      </w:r>
    </w:p>
    <w:p w:rsidR="00872048" w:rsidRPr="0013546A" w:rsidRDefault="00872048" w:rsidP="00197E54">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997"/>
        <w:gridCol w:w="2344"/>
      </w:tblGrid>
      <w:tr w:rsidR="00A73600" w:rsidRPr="0013546A" w:rsidTr="00007EA7">
        <w:trPr>
          <w:tblHeader/>
          <w:jc w:val="center"/>
        </w:trPr>
        <w:tc>
          <w:tcPr>
            <w:tcW w:w="9341" w:type="dxa"/>
            <w:gridSpan w:val="2"/>
            <w:tcBorders>
              <w:top w:val="single" w:sz="7" w:space="0" w:color="000000"/>
              <w:left w:val="single" w:sz="7" w:space="0" w:color="000000"/>
              <w:bottom w:val="single" w:sz="7" w:space="0" w:color="000000"/>
              <w:right w:val="single" w:sz="7" w:space="0" w:color="000000"/>
            </w:tcBorders>
          </w:tcPr>
          <w:p w:rsidR="00CA4CD6" w:rsidRPr="0013546A" w:rsidRDefault="00CA4CD6">
            <w:pPr>
              <w:spacing w:line="120" w:lineRule="exact"/>
            </w:pPr>
          </w:p>
          <w:p w:rsidR="00CA4CD6" w:rsidRPr="0013546A"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3546A">
              <w:rPr>
                <w:b/>
              </w:rPr>
              <w:t>Reports</w:t>
            </w:r>
            <w:r w:rsidR="00C93D7A">
              <w:rPr>
                <w:b/>
              </w:rPr>
              <w:t xml:space="preserve"> </w:t>
            </w:r>
          </w:p>
        </w:tc>
      </w:tr>
      <w:tr w:rsidR="00007EA7" w:rsidRPr="00070F08" w:rsidTr="00C93D7A">
        <w:tblPrEx>
          <w:tblCellMar>
            <w:left w:w="82" w:type="dxa"/>
            <w:right w:w="82" w:type="dxa"/>
          </w:tblCellMar>
        </w:tblPrEx>
        <w:trPr>
          <w:cantSplit/>
          <w:jc w:val="center"/>
        </w:trPr>
        <w:tc>
          <w:tcPr>
            <w:tcW w:w="6997" w:type="dxa"/>
            <w:tcBorders>
              <w:top w:val="single" w:sz="6" w:space="0" w:color="auto"/>
              <w:left w:val="single" w:sz="6" w:space="0" w:color="auto"/>
              <w:bottom w:val="nil"/>
              <w:right w:val="nil"/>
            </w:tcBorders>
            <w:vAlign w:val="bottom"/>
          </w:tcPr>
          <w:p w:rsidR="00007EA7" w:rsidRPr="00B60723" w:rsidRDefault="00007EA7" w:rsidP="00197E54">
            <w:pPr>
              <w:spacing w:before="99" w:after="51"/>
              <w:ind w:firstLine="8"/>
            </w:pPr>
            <w:r w:rsidRPr="00B60723">
              <w:t>Initial performance test results</w:t>
            </w:r>
          </w:p>
        </w:tc>
        <w:tc>
          <w:tcPr>
            <w:tcW w:w="2344" w:type="dxa"/>
            <w:tcBorders>
              <w:top w:val="single" w:sz="6" w:space="0" w:color="auto"/>
              <w:left w:val="single" w:sz="6" w:space="0" w:color="auto"/>
              <w:bottom w:val="nil"/>
              <w:right w:val="single" w:sz="6" w:space="0" w:color="auto"/>
            </w:tcBorders>
            <w:vAlign w:val="center"/>
          </w:tcPr>
          <w:p w:rsidR="00007EA7" w:rsidRPr="00B60723" w:rsidRDefault="00007EA7" w:rsidP="00C93D7A">
            <w:pPr>
              <w:spacing w:before="99" w:after="51"/>
            </w:pPr>
            <w:r w:rsidRPr="00B60723">
              <w:t>60.8(a), 60.676(f)</w:t>
            </w:r>
          </w:p>
        </w:tc>
      </w:tr>
      <w:tr w:rsidR="00007EA7" w:rsidRPr="00070F08" w:rsidTr="00C93D7A">
        <w:tblPrEx>
          <w:tblCellMar>
            <w:left w:w="82" w:type="dxa"/>
            <w:right w:w="82" w:type="dxa"/>
          </w:tblCellMar>
        </w:tblPrEx>
        <w:trPr>
          <w:cantSplit/>
          <w:jc w:val="center"/>
        </w:trPr>
        <w:tc>
          <w:tcPr>
            <w:tcW w:w="6997" w:type="dxa"/>
            <w:tcBorders>
              <w:top w:val="single" w:sz="6" w:space="0" w:color="auto"/>
              <w:left w:val="single" w:sz="6" w:space="0" w:color="auto"/>
              <w:bottom w:val="single" w:sz="6" w:space="0" w:color="auto"/>
              <w:right w:val="nil"/>
            </w:tcBorders>
            <w:vAlign w:val="bottom"/>
          </w:tcPr>
          <w:p w:rsidR="00007EA7" w:rsidRPr="00B60723" w:rsidRDefault="00007EA7" w:rsidP="00197E54">
            <w:pPr>
              <w:spacing w:before="99" w:after="51"/>
              <w:ind w:firstLine="8"/>
            </w:pPr>
            <w:r w:rsidRPr="00B60723">
              <w:t>Repeat performance test results</w:t>
            </w:r>
          </w:p>
        </w:tc>
        <w:tc>
          <w:tcPr>
            <w:tcW w:w="2344" w:type="dxa"/>
            <w:tcBorders>
              <w:top w:val="single" w:sz="6" w:space="0" w:color="auto"/>
              <w:left w:val="single" w:sz="6" w:space="0" w:color="auto"/>
              <w:bottom w:val="single" w:sz="6" w:space="0" w:color="auto"/>
              <w:right w:val="single" w:sz="6" w:space="0" w:color="auto"/>
            </w:tcBorders>
            <w:vAlign w:val="center"/>
          </w:tcPr>
          <w:p w:rsidR="00007EA7" w:rsidRPr="00B60723" w:rsidRDefault="00007EA7" w:rsidP="00C93D7A">
            <w:pPr>
              <w:spacing w:before="99" w:after="51"/>
            </w:pPr>
            <w:r w:rsidRPr="00B60723">
              <w:t>60.8(a), 60.11, 60.675</w:t>
            </w:r>
          </w:p>
        </w:tc>
      </w:tr>
      <w:tr w:rsidR="00F577F3" w:rsidRPr="00070F08" w:rsidTr="00C93D7A">
        <w:tblPrEx>
          <w:tblCellMar>
            <w:left w:w="82" w:type="dxa"/>
            <w:right w:w="82" w:type="dxa"/>
          </w:tblCellMar>
        </w:tblPrEx>
        <w:trPr>
          <w:cantSplit/>
          <w:jc w:val="center"/>
        </w:trPr>
        <w:tc>
          <w:tcPr>
            <w:tcW w:w="6997" w:type="dxa"/>
            <w:tcBorders>
              <w:top w:val="single" w:sz="6" w:space="0" w:color="auto"/>
              <w:left w:val="single" w:sz="6" w:space="0" w:color="auto"/>
              <w:bottom w:val="single" w:sz="6" w:space="0" w:color="auto"/>
              <w:right w:val="nil"/>
            </w:tcBorders>
            <w:vAlign w:val="bottom"/>
          </w:tcPr>
          <w:p w:rsidR="00F577F3" w:rsidRPr="00070F08" w:rsidRDefault="00F577F3" w:rsidP="00F577F3">
            <w:pPr>
              <w:spacing w:before="99" w:after="51"/>
              <w:ind w:firstLine="8"/>
            </w:pPr>
            <w:r>
              <w:t>Report of replacement activities</w:t>
            </w:r>
          </w:p>
        </w:tc>
        <w:tc>
          <w:tcPr>
            <w:tcW w:w="2344" w:type="dxa"/>
            <w:tcBorders>
              <w:top w:val="single" w:sz="6" w:space="0" w:color="auto"/>
              <w:left w:val="single" w:sz="6" w:space="0" w:color="auto"/>
              <w:bottom w:val="single" w:sz="6" w:space="0" w:color="auto"/>
              <w:right w:val="single" w:sz="6" w:space="0" w:color="auto"/>
            </w:tcBorders>
            <w:vAlign w:val="center"/>
          </w:tcPr>
          <w:p w:rsidR="00F577F3" w:rsidRPr="00070F08" w:rsidRDefault="00F577F3" w:rsidP="00C93D7A">
            <w:pPr>
              <w:spacing w:before="99" w:after="51"/>
            </w:pPr>
            <w:r>
              <w:t>60.676(a)</w:t>
            </w:r>
          </w:p>
        </w:tc>
      </w:tr>
      <w:tr w:rsidR="00070F08" w:rsidRPr="00070F08" w:rsidTr="00C93D7A">
        <w:tblPrEx>
          <w:tblCellMar>
            <w:left w:w="82" w:type="dxa"/>
            <w:right w:w="82" w:type="dxa"/>
          </w:tblCellMar>
        </w:tblPrEx>
        <w:trPr>
          <w:cantSplit/>
          <w:jc w:val="center"/>
        </w:trPr>
        <w:tc>
          <w:tcPr>
            <w:tcW w:w="6997" w:type="dxa"/>
            <w:tcBorders>
              <w:top w:val="single" w:sz="6" w:space="0" w:color="auto"/>
              <w:left w:val="single" w:sz="6" w:space="0" w:color="auto"/>
              <w:bottom w:val="single" w:sz="6" w:space="0" w:color="auto"/>
              <w:right w:val="nil"/>
            </w:tcBorders>
            <w:vAlign w:val="bottom"/>
          </w:tcPr>
          <w:p w:rsidR="00070F08" w:rsidRPr="00070F08" w:rsidRDefault="00070F08" w:rsidP="00197E54">
            <w:pPr>
              <w:spacing w:before="99" w:after="51"/>
              <w:ind w:firstLine="8"/>
            </w:pPr>
            <w:r w:rsidRPr="00070F08">
              <w:t xml:space="preserve">Semiannual reports </w:t>
            </w:r>
            <w:r w:rsidR="00197E54">
              <w:t xml:space="preserve">of when </w:t>
            </w:r>
            <w:r w:rsidRPr="00070F08">
              <w:t xml:space="preserve">scrubber pressure losses and liquid flow rates are 30 percent below the average determined </w:t>
            </w:r>
            <w:r w:rsidR="00197E54">
              <w:t xml:space="preserve">from </w:t>
            </w:r>
            <w:r w:rsidRPr="00070F08">
              <w:t>performance testing</w:t>
            </w:r>
          </w:p>
        </w:tc>
        <w:tc>
          <w:tcPr>
            <w:tcW w:w="2344" w:type="dxa"/>
            <w:tcBorders>
              <w:top w:val="single" w:sz="6" w:space="0" w:color="auto"/>
              <w:left w:val="single" w:sz="6" w:space="0" w:color="auto"/>
              <w:bottom w:val="single" w:sz="6" w:space="0" w:color="auto"/>
              <w:right w:val="single" w:sz="6" w:space="0" w:color="auto"/>
            </w:tcBorders>
            <w:vAlign w:val="center"/>
          </w:tcPr>
          <w:p w:rsidR="00070F08" w:rsidRPr="00070F08" w:rsidRDefault="00070F08" w:rsidP="00C93D7A">
            <w:pPr>
              <w:spacing w:before="99" w:after="51"/>
            </w:pPr>
            <w:r w:rsidRPr="00070F08">
              <w:t>60.676(d)</w:t>
            </w:r>
            <w:r w:rsidR="00003625">
              <w:t>, 60.676(e)</w:t>
            </w:r>
          </w:p>
        </w:tc>
      </w:tr>
      <w:tr w:rsidR="00197E54" w:rsidRPr="0013546A" w:rsidTr="00C93D7A">
        <w:tblPrEx>
          <w:tblCellMar>
            <w:left w:w="82" w:type="dxa"/>
            <w:right w:w="82" w:type="dxa"/>
          </w:tblCellMar>
        </w:tblPrEx>
        <w:trPr>
          <w:cantSplit/>
          <w:jc w:val="center"/>
        </w:trPr>
        <w:tc>
          <w:tcPr>
            <w:tcW w:w="6997" w:type="dxa"/>
            <w:tcBorders>
              <w:top w:val="single" w:sz="6" w:space="0" w:color="auto"/>
              <w:left w:val="single" w:sz="6" w:space="0" w:color="auto"/>
              <w:bottom w:val="single" w:sz="6" w:space="0" w:color="auto"/>
              <w:right w:val="nil"/>
            </w:tcBorders>
            <w:vAlign w:val="bottom"/>
          </w:tcPr>
          <w:p w:rsidR="00197E54" w:rsidRPr="0013546A" w:rsidRDefault="00197E54" w:rsidP="00197E54">
            <w:pPr>
              <w:spacing w:before="99" w:after="51"/>
              <w:ind w:firstLine="8"/>
            </w:pPr>
            <w:r w:rsidRPr="0013546A">
              <w:t>Report of process change</w:t>
            </w:r>
          </w:p>
        </w:tc>
        <w:tc>
          <w:tcPr>
            <w:tcW w:w="2344" w:type="dxa"/>
            <w:tcBorders>
              <w:top w:val="single" w:sz="6" w:space="0" w:color="auto"/>
              <w:left w:val="single" w:sz="6" w:space="0" w:color="auto"/>
              <w:bottom w:val="single" w:sz="6" w:space="0" w:color="auto"/>
              <w:right w:val="single" w:sz="6" w:space="0" w:color="auto"/>
            </w:tcBorders>
            <w:vAlign w:val="center"/>
          </w:tcPr>
          <w:p w:rsidR="00197E54" w:rsidRPr="0013546A" w:rsidRDefault="00197E54" w:rsidP="00C93D7A">
            <w:pPr>
              <w:spacing w:before="99" w:after="51"/>
            </w:pPr>
            <w:r w:rsidRPr="0013546A">
              <w:t>60.676(g)</w:t>
            </w:r>
          </w:p>
        </w:tc>
      </w:tr>
    </w:tbl>
    <w:p w:rsidR="00CA4CD6" w:rsidRPr="0013546A"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13546A" w:rsidRDefault="00CA4CD6" w:rsidP="000D47DC">
      <w:pPr>
        <w:keepNext/>
        <w:keepLines/>
        <w:pBdr>
          <w:top w:val="single" w:sz="6" w:space="0" w:color="FFFFFF"/>
          <w:left w:val="single" w:sz="6" w:space="0" w:color="FFFFFF"/>
          <w:bottom w:val="single" w:sz="6" w:space="0" w:color="FFFFFF"/>
          <w:right w:val="single" w:sz="6" w:space="0" w:color="FFFFFF"/>
        </w:pBdr>
        <w:ind w:firstLine="720"/>
        <w:rPr>
          <w:color w:val="000000"/>
        </w:rPr>
      </w:pPr>
      <w:r w:rsidRPr="0013546A">
        <w:rPr>
          <w:color w:val="000000"/>
        </w:rPr>
        <w:lastRenderedPageBreak/>
        <w:t>A source must keep the following records:</w:t>
      </w:r>
    </w:p>
    <w:p w:rsidR="00CA4CD6" w:rsidRPr="0013546A" w:rsidRDefault="00CA4CD6" w:rsidP="000D47DC">
      <w:pPr>
        <w:keepNext/>
        <w:keepLines/>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39"/>
        <w:gridCol w:w="2331"/>
      </w:tblGrid>
      <w:tr w:rsidR="00A73600" w:rsidRPr="0013546A" w:rsidTr="00007EA7">
        <w:trPr>
          <w:tblHeader/>
          <w:jc w:val="center"/>
        </w:trPr>
        <w:tc>
          <w:tcPr>
            <w:tcW w:w="9370" w:type="dxa"/>
            <w:gridSpan w:val="2"/>
            <w:tcBorders>
              <w:top w:val="single" w:sz="7" w:space="0" w:color="000000"/>
              <w:left w:val="single" w:sz="7" w:space="0" w:color="000000"/>
              <w:bottom w:val="single" w:sz="7" w:space="0" w:color="000000"/>
              <w:right w:val="single" w:sz="7" w:space="0" w:color="000000"/>
            </w:tcBorders>
          </w:tcPr>
          <w:p w:rsidR="00CA4CD6" w:rsidRPr="0013546A" w:rsidRDefault="00CA4CD6" w:rsidP="000D47DC">
            <w:pPr>
              <w:keepNext/>
              <w:keepLines/>
              <w:spacing w:line="120" w:lineRule="exact"/>
            </w:pPr>
          </w:p>
          <w:p w:rsidR="00CA4CD6" w:rsidRPr="0013546A" w:rsidRDefault="00CA4CD6" w:rsidP="000D47DC">
            <w:pPr>
              <w:keepNext/>
              <w:keepLines/>
              <w:pBdr>
                <w:top w:val="single" w:sz="6" w:space="0" w:color="FFFFFF"/>
                <w:left w:val="single" w:sz="6" w:space="0" w:color="FFFFFF"/>
                <w:bottom w:val="single" w:sz="6" w:space="0" w:color="FFFFFF"/>
                <w:right w:val="single" w:sz="6" w:space="0" w:color="FFFFFF"/>
              </w:pBdr>
              <w:spacing w:after="58"/>
              <w:jc w:val="center"/>
              <w:rPr>
                <w:b/>
              </w:rPr>
            </w:pPr>
            <w:r w:rsidRPr="0013546A">
              <w:rPr>
                <w:b/>
              </w:rPr>
              <w:t>Recordkeeping</w:t>
            </w:r>
          </w:p>
        </w:tc>
      </w:tr>
      <w:tr w:rsidR="00007EA7" w:rsidRPr="00F577F3" w:rsidTr="00007EA7">
        <w:tblPrEx>
          <w:tblCellMar>
            <w:left w:w="82" w:type="dxa"/>
            <w:right w:w="82" w:type="dxa"/>
          </w:tblCellMar>
        </w:tblPrEx>
        <w:trPr>
          <w:cantSplit/>
          <w:jc w:val="center"/>
        </w:trPr>
        <w:tc>
          <w:tcPr>
            <w:tcW w:w="7039" w:type="dxa"/>
            <w:tcBorders>
              <w:top w:val="single" w:sz="6" w:space="0" w:color="auto"/>
              <w:left w:val="single" w:sz="6" w:space="0" w:color="auto"/>
              <w:bottom w:val="nil"/>
              <w:right w:val="nil"/>
            </w:tcBorders>
            <w:vAlign w:val="bottom"/>
          </w:tcPr>
          <w:p w:rsidR="00007EA7" w:rsidRPr="00F577F3" w:rsidRDefault="00007EA7" w:rsidP="00197E54">
            <w:pPr>
              <w:spacing w:before="99" w:after="48"/>
            </w:pPr>
            <w:r w:rsidRPr="00F577F3">
              <w:t>Startups, shutdowns, malfunctions, periods where the continuous monitoring system is inoperative</w:t>
            </w:r>
          </w:p>
        </w:tc>
        <w:tc>
          <w:tcPr>
            <w:tcW w:w="2331" w:type="dxa"/>
            <w:tcBorders>
              <w:top w:val="single" w:sz="6" w:space="0" w:color="auto"/>
              <w:left w:val="single" w:sz="6" w:space="0" w:color="auto"/>
              <w:bottom w:val="nil"/>
              <w:right w:val="single" w:sz="6" w:space="0" w:color="auto"/>
            </w:tcBorders>
          </w:tcPr>
          <w:p w:rsidR="00007EA7" w:rsidRPr="00F577F3" w:rsidRDefault="00007EA7" w:rsidP="00197E54">
            <w:pPr>
              <w:spacing w:before="99" w:after="48"/>
            </w:pPr>
            <w:r w:rsidRPr="00F577F3">
              <w:t>60.7(b)</w:t>
            </w:r>
          </w:p>
        </w:tc>
      </w:tr>
      <w:tr w:rsidR="00007EA7" w:rsidRPr="00F577F3" w:rsidTr="00007EA7">
        <w:tblPrEx>
          <w:tblCellMar>
            <w:left w:w="82" w:type="dxa"/>
            <w:right w:w="82" w:type="dxa"/>
          </w:tblCellMar>
        </w:tblPrEx>
        <w:trPr>
          <w:cantSplit/>
          <w:jc w:val="center"/>
        </w:trPr>
        <w:tc>
          <w:tcPr>
            <w:tcW w:w="7039" w:type="dxa"/>
            <w:tcBorders>
              <w:top w:val="single" w:sz="6" w:space="0" w:color="auto"/>
              <w:left w:val="single" w:sz="6" w:space="0" w:color="auto"/>
              <w:bottom w:val="single" w:sz="6" w:space="0" w:color="auto"/>
              <w:right w:val="nil"/>
            </w:tcBorders>
            <w:vAlign w:val="bottom"/>
          </w:tcPr>
          <w:p w:rsidR="00007EA7" w:rsidRPr="00F577F3" w:rsidRDefault="00007EA7" w:rsidP="00197E54">
            <w:pPr>
              <w:spacing w:before="99" w:after="48"/>
            </w:pPr>
            <w:r w:rsidRPr="00F577F3">
              <w:t>Records are required to be retained for two years and kept onsite</w:t>
            </w:r>
          </w:p>
        </w:tc>
        <w:tc>
          <w:tcPr>
            <w:tcW w:w="2331" w:type="dxa"/>
            <w:tcBorders>
              <w:top w:val="single" w:sz="6" w:space="0" w:color="auto"/>
              <w:left w:val="single" w:sz="6" w:space="0" w:color="auto"/>
              <w:bottom w:val="single" w:sz="6" w:space="0" w:color="auto"/>
              <w:right w:val="single" w:sz="6" w:space="0" w:color="auto"/>
            </w:tcBorders>
          </w:tcPr>
          <w:p w:rsidR="00007EA7" w:rsidRPr="00F577F3" w:rsidRDefault="00007EA7" w:rsidP="00197E54">
            <w:pPr>
              <w:spacing w:before="99" w:after="48"/>
            </w:pPr>
            <w:r w:rsidRPr="00F577F3">
              <w:t>60.7(f)</w:t>
            </w:r>
          </w:p>
        </w:tc>
      </w:tr>
      <w:tr w:rsidR="00007EA7" w:rsidRPr="00F577F3" w:rsidTr="00C93D7A">
        <w:tblPrEx>
          <w:tblCellMar>
            <w:left w:w="82" w:type="dxa"/>
            <w:right w:w="82" w:type="dxa"/>
          </w:tblCellMar>
        </w:tblPrEx>
        <w:trPr>
          <w:cantSplit/>
          <w:jc w:val="center"/>
        </w:trPr>
        <w:tc>
          <w:tcPr>
            <w:tcW w:w="7039" w:type="dxa"/>
            <w:tcBorders>
              <w:top w:val="single" w:sz="6" w:space="0" w:color="auto"/>
              <w:left w:val="single" w:sz="6" w:space="0" w:color="auto"/>
              <w:bottom w:val="single" w:sz="6" w:space="0" w:color="auto"/>
              <w:right w:val="nil"/>
            </w:tcBorders>
            <w:vAlign w:val="center"/>
          </w:tcPr>
          <w:p w:rsidR="00007EA7" w:rsidRPr="00F577F3" w:rsidRDefault="00007EA7" w:rsidP="00C93D7A">
            <w:pPr>
              <w:spacing w:before="99" w:after="48"/>
            </w:pPr>
            <w:r w:rsidRPr="00F577F3">
              <w:t xml:space="preserve">Records of </w:t>
            </w:r>
            <w:r w:rsidR="00197E54" w:rsidRPr="00F577F3">
              <w:t xml:space="preserve">inspections and </w:t>
            </w:r>
            <w:r w:rsidRPr="00F577F3">
              <w:t>monitoring</w:t>
            </w:r>
          </w:p>
        </w:tc>
        <w:tc>
          <w:tcPr>
            <w:tcW w:w="2331" w:type="dxa"/>
            <w:tcBorders>
              <w:top w:val="single" w:sz="6" w:space="0" w:color="auto"/>
              <w:left w:val="single" w:sz="6" w:space="0" w:color="auto"/>
              <w:bottom w:val="single" w:sz="6" w:space="0" w:color="auto"/>
              <w:right w:val="single" w:sz="6" w:space="0" w:color="auto"/>
            </w:tcBorders>
          </w:tcPr>
          <w:p w:rsidR="00007EA7" w:rsidRPr="00F577F3" w:rsidRDefault="00007EA7" w:rsidP="00197E54">
            <w:pPr>
              <w:spacing w:before="99" w:after="48"/>
            </w:pPr>
            <w:r w:rsidRPr="00F577F3">
              <w:t>60.7(f), 60.674(b), 60.674(c)</w:t>
            </w:r>
            <w:r w:rsidR="00070F08" w:rsidRPr="00F577F3">
              <w:t>, 60.676(b)</w:t>
            </w:r>
            <w:r w:rsidR="00197E54" w:rsidRPr="00F577F3">
              <w:t>, 60.676(d)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07EA7" w:rsidRDefault="00CA4CD6">
      <w:pPr>
        <w:pBdr>
          <w:top w:val="single" w:sz="6" w:space="0" w:color="FFFFFF"/>
          <w:left w:val="single" w:sz="6" w:space="0" w:color="FFFFFF"/>
          <w:bottom w:val="single" w:sz="6" w:space="0" w:color="FFFFFF"/>
          <w:right w:val="single" w:sz="6" w:space="0" w:color="FFFFFF"/>
        </w:pBdr>
        <w:ind w:firstLine="720"/>
      </w:pPr>
      <w:r>
        <w:rPr>
          <w:color w:val="000000"/>
        </w:rPr>
        <w:t>Also, regulat</w:t>
      </w:r>
      <w:r w:rsidRPr="00007EA7">
        <w:t>ory agencies in cooperation with th</w:t>
      </w:r>
      <w:r w:rsidR="00724BC7" w:rsidRPr="00007EA7">
        <w:t>e respondents</w:t>
      </w:r>
      <w:r w:rsidRPr="00007EA7">
        <w:t xml:space="preserve"> continue to create reporting systems to transmit data electronically.  However, electronic reporting systems are still not widely used.  At this time, it is estimated that approximately 10</w:t>
      </w:r>
      <w:r w:rsidR="003B384B" w:rsidRPr="00007EA7">
        <w:t xml:space="preserve"> </w:t>
      </w:r>
      <w:r w:rsidRPr="00007EA7">
        <w:t>percent of the respon</w:t>
      </w:r>
      <w:r w:rsidR="00007EA7" w:rsidRPr="00007EA7">
        <w:t>dents use electronic reporting.</w:t>
      </w:r>
    </w:p>
    <w:p w:rsidR="00CA4CD6" w:rsidRPr="00007EA7"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007EA7">
        <w:rPr>
          <w:b/>
          <w:bCs/>
        </w:rPr>
        <w:t xml:space="preserve">(ii)  </w:t>
      </w:r>
      <w:r>
        <w:rPr>
          <w:b/>
          <w:bCs/>
          <w:color w:val="000000"/>
        </w:rPr>
        <w:t>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Tr="00007EA7">
        <w:trPr>
          <w:tblHeade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007EA7">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007EA7">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007EA7">
              <w:rPr>
                <w:color w:val="000000"/>
              </w:rPr>
              <w:t xml:space="preserve"> using appropriate </w:t>
            </w:r>
            <w:r>
              <w:rPr>
                <w:color w:val="000000"/>
              </w:rPr>
              <w:t>Reference Method</w:t>
            </w:r>
            <w:r w:rsidR="00007EA7">
              <w:rPr>
                <w:color w:val="000000"/>
              </w:rPr>
              <w:t xml:space="preserve">, and repeat </w:t>
            </w:r>
            <w:r>
              <w:rPr>
                <w:color w:val="000000"/>
              </w:rPr>
              <w:t>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0D47DC">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rsidTr="000D47DC">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007EA7" w:rsidTr="000D47DC">
        <w:trPr>
          <w:jc w:val="center"/>
        </w:trPr>
        <w:tc>
          <w:tcPr>
            <w:tcW w:w="9360" w:type="dxa"/>
            <w:tcBorders>
              <w:top w:val="single" w:sz="4" w:space="0" w:color="auto"/>
              <w:left w:val="single" w:sz="7" w:space="0" w:color="000000"/>
              <w:bottom w:val="single" w:sz="4" w:space="0" w:color="auto"/>
              <w:right w:val="single" w:sz="7" w:space="0" w:color="000000"/>
            </w:tcBorders>
          </w:tcPr>
          <w:p w:rsidR="00007EA7" w:rsidRDefault="00007EA7" w:rsidP="00197E54">
            <w:pPr>
              <w:spacing w:line="120" w:lineRule="exact"/>
              <w:rPr>
                <w:color w:val="000000"/>
              </w:rPr>
            </w:pPr>
          </w:p>
          <w:p w:rsidR="00007EA7" w:rsidRDefault="00007EA7" w:rsidP="00197E54">
            <w:pPr>
              <w:pBdr>
                <w:top w:val="single" w:sz="6" w:space="0" w:color="FFFFFF"/>
                <w:left w:val="single" w:sz="6" w:space="0" w:color="FFFFFF"/>
                <w:bottom w:val="single" w:sz="6" w:space="0" w:color="FFFFFF"/>
                <w:right w:val="single" w:sz="6" w:space="0" w:color="FFFFFF"/>
              </w:pBdr>
              <w:spacing w:after="55"/>
              <w:rPr>
                <w:color w:val="000000"/>
              </w:rPr>
            </w:pPr>
            <w:r w:rsidRPr="00007EA7">
              <w:rPr>
                <w:color w:val="000000"/>
              </w:rPr>
              <w:t>Adjust the existing ways to comply with any previously applicable instructions and requirements</w:t>
            </w:r>
            <w:r>
              <w:rPr>
                <w:color w:val="000000"/>
              </w:rPr>
              <w:t>.</w:t>
            </w:r>
          </w:p>
        </w:tc>
      </w:tr>
      <w:tr w:rsidR="00CA4CD6" w:rsidTr="00007EA7">
        <w:trP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rsidTr="00007EA7">
        <w:trPr>
          <w:jc w:val="center"/>
        </w:trPr>
        <w:tc>
          <w:tcPr>
            <w:tcW w:w="9360" w:type="dxa"/>
            <w:tcBorders>
              <w:top w:val="single" w:sz="4" w:space="0" w:color="auto"/>
              <w:left w:val="single" w:sz="7" w:space="0" w:color="000000"/>
              <w:bottom w:val="single" w:sz="7" w:space="0" w:color="000000"/>
              <w:right w:val="single" w:sz="7" w:space="0" w:color="000000"/>
            </w:tcBorders>
          </w:tcPr>
          <w:p w:rsidR="00CA4CD6" w:rsidRDefault="00CA4CD6" w:rsidP="00007EA7">
            <w:pPr>
              <w:keepNext/>
              <w:keepLines/>
              <w:spacing w:line="120" w:lineRule="exact"/>
              <w:rPr>
                <w:color w:val="000000"/>
              </w:rPr>
            </w:pPr>
          </w:p>
          <w:p w:rsidR="00CA4CD6" w:rsidRDefault="00CA4CD6" w:rsidP="00007EA7">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007EA7" w:rsidRDefault="00CA4CD6">
      <w:pPr>
        <w:pBdr>
          <w:top w:val="single" w:sz="6" w:space="0" w:color="FFFFFF"/>
          <w:left w:val="single" w:sz="6" w:space="0" w:color="FFFFFF"/>
          <w:bottom w:val="single" w:sz="6" w:space="0" w:color="FFFFFF"/>
          <w:right w:val="single" w:sz="6" w:space="0" w:color="FFFFFF"/>
        </w:pBdr>
      </w:pPr>
    </w:p>
    <w:p w:rsidR="00606DEF" w:rsidRPr="00007EA7" w:rsidRDefault="00CF2B37" w:rsidP="00CF2B37">
      <w:pPr>
        <w:pBdr>
          <w:top w:val="single" w:sz="6" w:space="0" w:color="FFFFFF"/>
          <w:left w:val="single" w:sz="6" w:space="0" w:color="FFFFFF"/>
          <w:bottom w:val="single" w:sz="6" w:space="0" w:color="FFFFFF"/>
          <w:right w:val="single" w:sz="6" w:space="0" w:color="FFFFFF"/>
        </w:pBdr>
        <w:ind w:firstLine="720"/>
      </w:pPr>
      <w:r w:rsidRPr="00007EA7">
        <w:t xml:space="preserve">Currently sources are using monitoring and reporting equipment that provide parameter data in an automated way </w:t>
      </w:r>
      <w:r w:rsidR="00007EA7" w:rsidRPr="00007EA7">
        <w:t>(</w:t>
      </w:r>
      <w:r w:rsidRPr="00007EA7">
        <w:t>e.g., continuous parameter monitoring system</w:t>
      </w:r>
      <w:r w:rsidR="00007EA7" w:rsidRPr="00007EA7">
        <w:t>)</w:t>
      </w:r>
      <w:r w:rsidRPr="00007EA7">
        <w:t xml:space="preserve">.  Although personnel at the source still need to evaluate the data, this type of monitoring equipment has significantly reduced the burden associated with monitoring and recordkeeping. </w:t>
      </w:r>
    </w:p>
    <w:p w:rsidR="00CF2B37" w:rsidRPr="00007EA7" w:rsidRDefault="00CF2B37">
      <w:pPr>
        <w:pBdr>
          <w:top w:val="single" w:sz="6" w:space="0" w:color="FFFFFF"/>
          <w:left w:val="single" w:sz="6" w:space="0" w:color="FFFFFF"/>
          <w:bottom w:val="single" w:sz="6" w:space="0" w:color="FFFFFF"/>
          <w:right w:val="single" w:sz="6" w:space="0" w:color="FFFFFF"/>
        </w:pBdr>
        <w:rPr>
          <w:b/>
          <w:bCs/>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4D38A5"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9C066B" w:rsidTr="00197E54">
        <w:tc>
          <w:tcPr>
            <w:tcW w:w="9360" w:type="dxa"/>
            <w:tcBorders>
              <w:top w:val="single" w:sz="7" w:space="0" w:color="000000"/>
              <w:left w:val="single" w:sz="7" w:space="0" w:color="000000"/>
              <w:bottom w:val="single" w:sz="6" w:space="0" w:color="FFFFFF"/>
              <w:right w:val="single" w:sz="7" w:space="0" w:color="000000"/>
            </w:tcBorders>
          </w:tcPr>
          <w:p w:rsidR="009C066B" w:rsidRDefault="009C066B" w:rsidP="00197E54">
            <w:pPr>
              <w:spacing w:line="120" w:lineRule="exact"/>
              <w:rPr>
                <w:color w:val="000000"/>
              </w:rPr>
            </w:pPr>
          </w:p>
          <w:p w:rsidR="009C066B" w:rsidRDefault="009C066B" w:rsidP="009C066B">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w:t>
            </w:r>
            <w:r w:rsidR="00761F66">
              <w:rPr>
                <w:color w:val="000000"/>
              </w:rPr>
              <w:t>luding performance test reports</w:t>
            </w:r>
            <w:r>
              <w:rPr>
                <w:color w:val="000000"/>
              </w:rPr>
              <w:t xml:space="preserve">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rsidR="00CA4CD6" w:rsidRPr="009C066B" w:rsidRDefault="00CA4CD6">
      <w:pPr>
        <w:pBdr>
          <w:top w:val="single" w:sz="6" w:space="0" w:color="FFFFFF"/>
          <w:left w:val="single" w:sz="6" w:space="0" w:color="FFFFFF"/>
          <w:bottom w:val="single" w:sz="6" w:space="0" w:color="FFFFFF"/>
          <w:right w:val="single" w:sz="6" w:space="0" w:color="FFFFFF"/>
        </w:pBdr>
        <w:rPr>
          <w:b/>
          <w:bCs/>
        </w:rPr>
      </w:pPr>
    </w:p>
    <w:p w:rsidR="00CA4CD6" w:rsidRPr="009C066B" w:rsidRDefault="00CA4CD6">
      <w:pPr>
        <w:pBdr>
          <w:top w:val="single" w:sz="6" w:space="0" w:color="FFFFFF"/>
          <w:left w:val="single" w:sz="6" w:space="0" w:color="FFFFFF"/>
          <w:bottom w:val="single" w:sz="6" w:space="0" w:color="FFFFFF"/>
          <w:right w:val="single" w:sz="6" w:space="0" w:color="FFFFFF"/>
        </w:pBdr>
        <w:ind w:firstLine="720"/>
      </w:pPr>
      <w:r w:rsidRPr="009C066B">
        <w:rPr>
          <w:b/>
          <w:bCs/>
        </w:rPr>
        <w:t>5(b)  Collection Methodology and Management</w:t>
      </w:r>
    </w:p>
    <w:p w:rsidR="00CA4CD6" w:rsidRPr="009C066B" w:rsidRDefault="00CA4CD6">
      <w:pPr>
        <w:pBdr>
          <w:top w:val="single" w:sz="6" w:space="0" w:color="FFFFFF"/>
          <w:left w:val="single" w:sz="6" w:space="0" w:color="FFFFFF"/>
          <w:bottom w:val="single" w:sz="6" w:space="0" w:color="FFFFFF"/>
          <w:right w:val="single" w:sz="6" w:space="0" w:color="FFFFFF"/>
        </w:pBdr>
      </w:pPr>
    </w:p>
    <w:p w:rsidR="00CA4CD6" w:rsidRPr="009C066B" w:rsidRDefault="00CA4CD6">
      <w:pPr>
        <w:pBdr>
          <w:top w:val="single" w:sz="6" w:space="0" w:color="FFFFFF"/>
          <w:left w:val="single" w:sz="6" w:space="0" w:color="FFFFFF"/>
          <w:bottom w:val="single" w:sz="6" w:space="0" w:color="FFFFFF"/>
          <w:right w:val="single" w:sz="6" w:space="0" w:color="FFFFFF"/>
        </w:pBdr>
        <w:ind w:firstLine="720"/>
      </w:pPr>
      <w:r w:rsidRPr="009C066B">
        <w:t xml:space="preserve">Following notification of startup, the reviewing authority </w:t>
      </w:r>
      <w:r w:rsidR="002B29A7" w:rsidRPr="009C066B">
        <w:t xml:space="preserve">could </w:t>
      </w:r>
      <w:r w:rsidRPr="009C066B">
        <w:t>inspect the source to determine whether the pollution control devices are properly installed and operated</w:t>
      </w:r>
      <w:r w:rsidR="009C066B" w:rsidRPr="009C066B">
        <w:t xml:space="preserve">.  </w:t>
      </w:r>
      <w:r w:rsidRPr="009C066B">
        <w:t>Performance test reports are used by the Agency to discern a source</w:t>
      </w:r>
      <w:r w:rsidR="004C701D" w:rsidRPr="009C066B">
        <w:t>’</w:t>
      </w:r>
      <w:r w:rsidRPr="009C066B">
        <w:t>s initial capability to comply with the emission standard.</w:t>
      </w:r>
      <w:r w:rsidR="009C066B" w:rsidRPr="009C066B">
        <w:t xml:space="preserve">  </w:t>
      </w:r>
      <w:r w:rsidRPr="009C066B">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9C066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C066B">
        <w:lastRenderedPageBreak/>
        <w:t>Informa</w:t>
      </w:r>
      <w:r>
        <w:rPr>
          <w:color w:val="000000"/>
        </w:rPr>
        <w:t xml:space="preserve">tion contained in </w:t>
      </w:r>
      <w:r w:rsidR="004C701D">
        <w:rPr>
          <w:color w:val="000000"/>
        </w:rPr>
        <w:t xml:space="preserve">the reports is </w:t>
      </w:r>
      <w:r w:rsidR="0036229C">
        <w:rPr>
          <w:color w:val="000000"/>
        </w:rPr>
        <w:t>reported by state and local governments in the ICIS Air database</w:t>
      </w:r>
      <w:r w:rsidR="007B0AD6">
        <w:rPr>
          <w:color w:val="000000"/>
        </w:rPr>
        <w:t>,</w:t>
      </w:r>
      <w:r w:rsidR="0036229C">
        <w:rPr>
          <w:color w:val="000000"/>
        </w:rPr>
        <w:t xml:space="preserv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w:r w:rsidR="00943849">
        <w:rPr>
          <w:color w:val="000000"/>
        </w:rPr>
        <w:t>,</w:t>
      </w:r>
      <w:r>
        <w:rPr>
          <w:color w:val="000000"/>
        </w:rPr>
        <w:t xml:space="preser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B598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records required by this regulation must be retained by the owner/operator for </w:t>
      </w:r>
      <w:r w:rsidR="009C066B">
        <w:rPr>
          <w:color w:val="000000"/>
        </w:rPr>
        <w:t>two years</w:t>
      </w:r>
      <w:r>
        <w:rPr>
          <w:color w:val="000000"/>
        </w:rPr>
        <w:t>.</w:t>
      </w:r>
    </w:p>
    <w:p w:rsidR="00CA4CD6" w:rsidRPr="00AB5983" w:rsidRDefault="00CA4CD6">
      <w:pPr>
        <w:pBdr>
          <w:top w:val="single" w:sz="6" w:space="0" w:color="FFFFFF"/>
          <w:left w:val="single" w:sz="6" w:space="0" w:color="FFFFFF"/>
          <w:bottom w:val="single" w:sz="6" w:space="0" w:color="FFFFFF"/>
          <w:right w:val="single" w:sz="6" w:space="0" w:color="FFFFFF"/>
        </w:pBdr>
      </w:pPr>
    </w:p>
    <w:p w:rsidR="00CA4CD6" w:rsidRPr="00AB5983" w:rsidRDefault="00CA4CD6">
      <w:pPr>
        <w:pBdr>
          <w:top w:val="single" w:sz="6" w:space="0" w:color="FFFFFF"/>
          <w:left w:val="single" w:sz="6" w:space="0" w:color="FFFFFF"/>
          <w:bottom w:val="single" w:sz="6" w:space="0" w:color="FFFFFF"/>
          <w:right w:val="single" w:sz="6" w:space="0" w:color="FFFFFF"/>
        </w:pBdr>
        <w:ind w:firstLine="720"/>
      </w:pPr>
      <w:r w:rsidRPr="00AB5983">
        <w:rPr>
          <w:b/>
          <w:bCs/>
        </w:rPr>
        <w:t>5(c)  Small Entity Flexibility</w:t>
      </w:r>
    </w:p>
    <w:p w:rsidR="00CA4CD6" w:rsidRPr="00AB5983" w:rsidRDefault="00CA4CD6" w:rsidP="006E4A6E">
      <w:pPr>
        <w:pBdr>
          <w:top w:val="single" w:sz="6" w:space="0" w:color="FFFFFF"/>
          <w:left w:val="single" w:sz="6" w:space="0" w:color="FFFFFF"/>
          <w:bottom w:val="single" w:sz="6" w:space="0" w:color="FFFFFF"/>
          <w:right w:val="single" w:sz="6" w:space="0" w:color="FFFFFF"/>
        </w:pBdr>
      </w:pPr>
    </w:p>
    <w:p w:rsidR="00CA4CD6" w:rsidRPr="00AB5983" w:rsidRDefault="00AB5983" w:rsidP="00AB5983">
      <w:pPr>
        <w:pBdr>
          <w:top w:val="single" w:sz="6" w:space="0" w:color="FFFFFF"/>
          <w:left w:val="single" w:sz="6" w:space="0" w:color="FFFFFF"/>
          <w:bottom w:val="single" w:sz="6" w:space="0" w:color="FFFFFF"/>
          <w:right w:val="single" w:sz="6" w:space="0" w:color="FFFFFF"/>
        </w:pBdr>
        <w:ind w:firstLine="720"/>
      </w:pPr>
      <w:r w:rsidRPr="00AB5983">
        <w:t>T</w:t>
      </w:r>
      <w:r w:rsidR="00CA4CD6" w:rsidRPr="00AB5983">
        <w:t xml:space="preserve">he majority of respondents are </w:t>
      </w:r>
      <w:r w:rsidRPr="00AB5983">
        <w:t xml:space="preserve">estimated to be small </w:t>
      </w:r>
      <w:r w:rsidR="00CA4CD6" w:rsidRPr="00AB5983">
        <w:t>entities</w:t>
      </w:r>
      <w:r w:rsidRPr="00AB5983">
        <w:t xml:space="preserve">.  The </w:t>
      </w:r>
      <w:r w:rsidR="00CA4CD6" w:rsidRPr="00AB5983">
        <w:t>impact on small entities (i.e., small businesses) was taken into consideration during the development of the regulation</w:t>
      </w:r>
      <w:r w:rsidRPr="00AB5983">
        <w:t xml:space="preserve"> by exempting wet material processing operations, simplifying certain notification requirements, and selecting relatively low-cost repeat testing and monitoring provisions.  In addition, certain plants operating at small capacities were exempted from Subpart OOO due to economic considerations when the standards were originally developed.  </w:t>
      </w:r>
      <w:r w:rsidR="00CA4CD6" w:rsidRPr="00AB5983">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AB5983">
        <w:t xml:space="preserve">to be the minimum </w:t>
      </w:r>
      <w:r w:rsidR="00CA4CD6" w:rsidRPr="00AB5983">
        <w:t xml:space="preserve">requirements needed to ensure compliance and, therefore, cannot reduce them further for small entities.  To the extent that larger businesses can use economies of scale to reduce their burden, the </w:t>
      </w:r>
      <w:r w:rsidRPr="00AB5983">
        <w:t>overall burden will be reduced.</w:t>
      </w:r>
    </w:p>
    <w:p w:rsidR="00CA4CD6" w:rsidRPr="00AB5983"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sidR="00C7336A">
        <w:t xml:space="preserve"> </w:t>
      </w:r>
      <w:r w:rsidR="00C7336A" w:rsidRPr="00C7336A">
        <w:t>NSPS for Nonmetallic Mineral Processing (40 CFR Part 60, Subpart OOO)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w:t>
      </w:r>
      <w:r w:rsidRPr="00AB5983">
        <w:t>ecordkeeping and reporting requirements applicable to the industry for</w:t>
      </w:r>
      <w:r w:rsidR="00AB5983" w:rsidRPr="00AB5983">
        <w:t xml:space="preserve"> the subpart included </w:t>
      </w:r>
      <w:r w:rsidRPr="00AB5983">
        <w:t>in this ICR.  The individual burdens are expressed under standardized headings believed to</w:t>
      </w:r>
      <w:r>
        <w:rPr>
          <w:color w:val="000000"/>
        </w:rPr>
        <w:t xml:space="preserve">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0D47DC">
        <w:rPr>
          <w:color w:val="000000"/>
        </w:rPr>
        <w:t xml:space="preserve">e </w:t>
      </w:r>
      <w:r w:rsidR="009E2E7D">
        <w:rPr>
          <w:color w:val="000000"/>
        </w:rPr>
        <w:t>14,120</w:t>
      </w:r>
      <w:r w:rsidR="000D47DC">
        <w:rPr>
          <w:color w:val="000000"/>
        </w:rPr>
        <w:t xml:space="preserve"> </w:t>
      </w:r>
      <w:r w:rsidR="004C701D">
        <w:rPr>
          <w:color w:val="000000"/>
        </w:rPr>
        <w:t>(</w:t>
      </w:r>
      <w:r>
        <w:rPr>
          <w:color w:val="000000"/>
        </w:rPr>
        <w:t xml:space="preserve">Total Labor Hours from Table 1). </w:t>
      </w:r>
      <w:r w:rsidR="001C5991">
        <w:rPr>
          <w:color w:val="000000"/>
        </w:rPr>
        <w:t xml:space="preserve">  T</w:t>
      </w:r>
      <w:r>
        <w:rPr>
          <w:color w:val="000000"/>
        </w:rPr>
        <w:t xml:space="preserve">hese </w:t>
      </w:r>
      <w:r>
        <w:rPr>
          <w:color w:val="000000"/>
        </w:rPr>
        <w:lastRenderedPageBreak/>
        <w:t>hours are based on Agency studies and background documen</w:t>
      </w:r>
      <w:r w:rsidR="004C701D">
        <w:rPr>
          <w:color w:val="000000"/>
        </w:rPr>
        <w:t xml:space="preserve">ts from the development of the </w:t>
      </w:r>
      <w:r>
        <w:rPr>
          <w:color w:val="000000"/>
        </w:rPr>
        <w:t>regulation, Agency knowledge and experience with the</w:t>
      </w:r>
      <w:r w:rsidR="006C6F77">
        <w:rPr>
          <w:color w:val="000000"/>
        </w:rPr>
        <w:t xml:space="preserve"> NSPS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Pr="006C6F77" w:rsidRDefault="002712EB" w:rsidP="002712EB">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w:t>
      </w:r>
      <w:r w:rsidRPr="006C6F77">
        <w:t>private industry.</w:t>
      </w:r>
    </w:p>
    <w:p w:rsidR="00CA4CD6" w:rsidRPr="006C6F77" w:rsidRDefault="00CA4CD6">
      <w:pPr>
        <w:pBdr>
          <w:top w:val="single" w:sz="6" w:space="0" w:color="FFFFFF"/>
          <w:left w:val="single" w:sz="6" w:space="0" w:color="FFFFFF"/>
          <w:bottom w:val="single" w:sz="6" w:space="0" w:color="FFFFFF"/>
          <w:right w:val="single" w:sz="6" w:space="0" w:color="FFFFFF"/>
        </w:pBdr>
      </w:pPr>
    </w:p>
    <w:p w:rsidR="00CA4CD6" w:rsidRPr="006C6F7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C6F77">
        <w:rPr>
          <w:b/>
          <w:bCs/>
        </w:rPr>
        <w:t>(ii)  Estimating Capital/Startup and Operation and Maintenance Costs</w:t>
      </w:r>
    </w:p>
    <w:p w:rsidR="001D153C" w:rsidRPr="006C6F77" w:rsidRDefault="001D153C">
      <w:pPr>
        <w:pBdr>
          <w:top w:val="single" w:sz="6" w:space="0" w:color="FFFFFF"/>
          <w:left w:val="single" w:sz="6" w:space="0" w:color="FFFFFF"/>
          <w:bottom w:val="single" w:sz="6" w:space="0" w:color="FFFFFF"/>
          <w:right w:val="single" w:sz="6" w:space="0" w:color="FFFFFF"/>
        </w:pBdr>
        <w:ind w:firstLine="720"/>
      </w:pPr>
    </w:p>
    <w:p w:rsidR="00CA4CD6" w:rsidRPr="006C6F77" w:rsidRDefault="00CA4CD6">
      <w:pPr>
        <w:pBdr>
          <w:top w:val="single" w:sz="6" w:space="0" w:color="FFFFFF"/>
          <w:left w:val="single" w:sz="6" w:space="0" w:color="FFFFFF"/>
          <w:bottom w:val="single" w:sz="6" w:space="0" w:color="FFFFFF"/>
          <w:right w:val="single" w:sz="6" w:space="0" w:color="FFFFFF"/>
        </w:pBdr>
        <w:ind w:firstLine="720"/>
      </w:pPr>
      <w:r w:rsidRPr="006C6F77">
        <w:t>The type of industry costs associated with the information collection activities in the subject standard</w:t>
      </w:r>
      <w:r w:rsidR="006C6F77" w:rsidRPr="006C6F77">
        <w:t xml:space="preserve">s are both </w:t>
      </w:r>
      <w:r w:rsidRPr="006C6F77">
        <w:t>labor costs</w:t>
      </w:r>
      <w:r w:rsidR="00F86736" w:rsidRPr="006C6F77">
        <w:t>,</w:t>
      </w:r>
      <w:r w:rsidRPr="006C6F77">
        <w:t xml:space="preserve"> which are addressed elsewhere in this ICR</w:t>
      </w:r>
      <w:r w:rsidR="00F86736" w:rsidRPr="006C6F77">
        <w:t>,</w:t>
      </w:r>
      <w:r w:rsidRPr="006C6F77">
        <w:t xml:space="preserve"> and the costs associated with continuous monitoring.  The capital/startup costs are one</w:t>
      </w:r>
      <w:r w:rsidR="0056068B" w:rsidRPr="006C6F77">
        <w:t>-</w:t>
      </w:r>
      <w:r w:rsidRPr="006C6F77">
        <w:t xml:space="preserve">time costs when a facility becomes subject to the regulation.  The annual operation and maintenance </w:t>
      </w:r>
      <w:r w:rsidR="0056068B" w:rsidRPr="006C6F77">
        <w:t xml:space="preserve">(O&amp;M) </w:t>
      </w:r>
      <w:r w:rsidRPr="006C6F77">
        <w:t>costs are the ongoing costs to maintain the monito</w:t>
      </w:r>
      <w:r w:rsidR="006C6F77" w:rsidRPr="006C6F77">
        <w:t xml:space="preserve">rs </w:t>
      </w:r>
      <w:r w:rsidRPr="006C6F77">
        <w:t>and other costs su</w:t>
      </w:r>
      <w:r w:rsidR="006C6F77" w:rsidRPr="006C6F77">
        <w:t>ch as photocopying and postage.</w:t>
      </w:r>
    </w:p>
    <w:p w:rsidR="00CA4CD6" w:rsidRPr="006C6F77" w:rsidRDefault="00CA4CD6">
      <w:pPr>
        <w:pBdr>
          <w:top w:val="single" w:sz="6" w:space="0" w:color="FFFFFF"/>
          <w:left w:val="single" w:sz="6" w:space="0" w:color="FFFFFF"/>
          <w:bottom w:val="single" w:sz="6" w:space="0" w:color="FFFFFF"/>
          <w:right w:val="single" w:sz="6" w:space="0" w:color="FFFFFF"/>
        </w:pBdr>
      </w:pPr>
    </w:p>
    <w:p w:rsidR="00CA4CD6" w:rsidRPr="006C6F7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C6F77">
        <w:rPr>
          <w:b/>
          <w:bCs/>
        </w:rPr>
        <w:t>(iii)  Capital/Startup vs. Operation and Maintenance (O&amp;M) Costs</w:t>
      </w:r>
    </w:p>
    <w:p w:rsidR="00CA4CD6" w:rsidRPr="006C6F77" w:rsidRDefault="00CA4CD6">
      <w:pPr>
        <w:pBdr>
          <w:top w:val="single" w:sz="6" w:space="0" w:color="FFFFFF"/>
          <w:left w:val="single" w:sz="6" w:space="0" w:color="FFFFFF"/>
          <w:bottom w:val="single" w:sz="6" w:space="0" w:color="FFFFFF"/>
          <w:right w:val="single" w:sz="6" w:space="0" w:color="FFFFFF"/>
        </w:pBdr>
      </w:pPr>
    </w:p>
    <w:tbl>
      <w:tblPr>
        <w:tblW w:w="9469" w:type="dxa"/>
        <w:jc w:val="center"/>
        <w:tblLayout w:type="fixed"/>
        <w:tblCellMar>
          <w:left w:w="58" w:type="dxa"/>
          <w:right w:w="58" w:type="dxa"/>
        </w:tblCellMar>
        <w:tblLook w:val="0000" w:firstRow="0" w:lastRow="0" w:firstColumn="0" w:lastColumn="0" w:noHBand="0" w:noVBand="0"/>
      </w:tblPr>
      <w:tblGrid>
        <w:gridCol w:w="2197"/>
        <w:gridCol w:w="1350"/>
        <w:gridCol w:w="1242"/>
        <w:gridCol w:w="1344"/>
        <w:gridCol w:w="1251"/>
        <w:gridCol w:w="1210"/>
        <w:gridCol w:w="875"/>
      </w:tblGrid>
      <w:tr w:rsidR="00A73600" w:rsidRPr="000D47DC" w:rsidTr="001146F9">
        <w:trPr>
          <w:tblHeader/>
          <w:jc w:val="center"/>
        </w:trPr>
        <w:tc>
          <w:tcPr>
            <w:tcW w:w="9469" w:type="dxa"/>
            <w:gridSpan w:val="7"/>
            <w:tcBorders>
              <w:top w:val="single" w:sz="4" w:space="0" w:color="auto"/>
              <w:left w:val="single" w:sz="4" w:space="0" w:color="auto"/>
              <w:bottom w:val="single" w:sz="4" w:space="0" w:color="auto"/>
              <w:right w:val="single" w:sz="4" w:space="0" w:color="auto"/>
            </w:tcBorders>
          </w:tcPr>
          <w:p w:rsidR="00CA4CD6" w:rsidRPr="006C6F77" w:rsidRDefault="00CA4CD6">
            <w:pPr>
              <w:spacing w:line="120" w:lineRule="exact"/>
            </w:pPr>
          </w:p>
          <w:p w:rsidR="00CA4CD6" w:rsidRPr="000D47D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D47DC">
              <w:rPr>
                <w:b/>
                <w:bCs/>
              </w:rPr>
              <w:t>Capital/Startup vs. Operation and Maintenance (O&amp;M) Costs</w:t>
            </w:r>
          </w:p>
        </w:tc>
      </w:tr>
      <w:tr w:rsidR="00CA4CD6" w:rsidRPr="000D47DC" w:rsidTr="001146F9">
        <w:trPr>
          <w:tblHeader/>
          <w:jc w:val="center"/>
        </w:trPr>
        <w:tc>
          <w:tcPr>
            <w:tcW w:w="2197" w:type="dxa"/>
            <w:tcBorders>
              <w:top w:val="single" w:sz="4" w:space="0" w:color="auto"/>
              <w:left w:val="single" w:sz="4" w:space="0" w:color="auto"/>
              <w:bottom w:val="single" w:sz="4" w:space="0" w:color="auto"/>
              <w:right w:val="single" w:sz="4" w:space="0" w:color="auto"/>
            </w:tcBorders>
          </w:tcPr>
          <w:p w:rsidR="00CA4CD6" w:rsidRPr="000D47DC" w:rsidRDefault="00CA4CD6" w:rsidP="000D47DC">
            <w:pPr>
              <w:spacing w:line="120" w:lineRule="exact"/>
              <w:jc w:val="center"/>
              <w:rPr>
                <w:b/>
                <w:bCs/>
              </w:rPr>
            </w:pPr>
          </w:p>
          <w:p w:rsidR="00CA4CD6" w:rsidRPr="000D47DC" w:rsidRDefault="00CA4CD6" w:rsidP="000D47DC">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(A)</w:t>
            </w:r>
          </w:p>
          <w:p w:rsidR="00CA4CD6" w:rsidRPr="000D47DC" w:rsidRDefault="006C6F77" w:rsidP="000D47DC">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Requirement</w:t>
            </w:r>
          </w:p>
        </w:tc>
        <w:tc>
          <w:tcPr>
            <w:tcW w:w="1350" w:type="dxa"/>
            <w:tcBorders>
              <w:top w:val="single" w:sz="4" w:space="0" w:color="auto"/>
              <w:left w:val="single" w:sz="4" w:space="0" w:color="auto"/>
              <w:bottom w:val="single" w:sz="4" w:space="0" w:color="auto"/>
              <w:right w:val="single" w:sz="4" w:space="0" w:color="auto"/>
            </w:tcBorders>
          </w:tcPr>
          <w:p w:rsidR="00CA4CD6" w:rsidRPr="000D47DC" w:rsidRDefault="00CA4CD6" w:rsidP="000D47DC">
            <w:pPr>
              <w:spacing w:line="120" w:lineRule="exact"/>
              <w:jc w:val="center"/>
              <w:rPr>
                <w:sz w:val="20"/>
                <w:szCs w:val="20"/>
              </w:rPr>
            </w:pPr>
          </w:p>
          <w:p w:rsidR="00CA4CD6" w:rsidRPr="000D47DC" w:rsidRDefault="00CA4CD6" w:rsidP="000D47DC">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(B)</w:t>
            </w:r>
          </w:p>
          <w:p w:rsidR="00CA4CD6" w:rsidRPr="000D47DC" w:rsidRDefault="00CA4CD6" w:rsidP="000D47DC">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Capital/Startup Cost for One Respondent</w:t>
            </w:r>
          </w:p>
        </w:tc>
        <w:tc>
          <w:tcPr>
            <w:tcW w:w="1242" w:type="dxa"/>
            <w:tcBorders>
              <w:top w:val="single" w:sz="4" w:space="0" w:color="auto"/>
              <w:left w:val="single" w:sz="4" w:space="0" w:color="auto"/>
              <w:bottom w:val="single" w:sz="4" w:space="0" w:color="auto"/>
              <w:right w:val="single" w:sz="4" w:space="0" w:color="auto"/>
            </w:tcBorders>
          </w:tcPr>
          <w:p w:rsidR="00CA4CD6" w:rsidRPr="000D47DC" w:rsidRDefault="00CA4CD6" w:rsidP="000D47DC">
            <w:pPr>
              <w:spacing w:line="120" w:lineRule="exact"/>
              <w:jc w:val="center"/>
              <w:rPr>
                <w:sz w:val="20"/>
                <w:szCs w:val="20"/>
              </w:rPr>
            </w:pPr>
          </w:p>
          <w:p w:rsidR="00CA4CD6" w:rsidRPr="000D47DC" w:rsidRDefault="00CA4CD6" w:rsidP="000D47DC">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(C)</w:t>
            </w:r>
          </w:p>
          <w:p w:rsidR="00CA4CD6" w:rsidRPr="000D47DC" w:rsidRDefault="00CA4CD6" w:rsidP="000D47DC">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Number of New Respondents</w:t>
            </w:r>
            <w:r w:rsidR="002A7742">
              <w:rPr>
                <w:sz w:val="20"/>
                <w:szCs w:val="20"/>
              </w:rPr>
              <w:t xml:space="preserve"> </w:t>
            </w:r>
            <w:r w:rsidR="008E2B69" w:rsidRPr="000D47DC">
              <w:rPr>
                <w:sz w:val="20"/>
                <w:szCs w:val="20"/>
                <w:vertAlign w:val="superscript"/>
              </w:rPr>
              <w:t>a</w:t>
            </w:r>
          </w:p>
        </w:tc>
        <w:tc>
          <w:tcPr>
            <w:tcW w:w="1344" w:type="dxa"/>
            <w:tcBorders>
              <w:top w:val="single" w:sz="4" w:space="0" w:color="auto"/>
              <w:left w:val="single" w:sz="4" w:space="0" w:color="auto"/>
              <w:bottom w:val="single" w:sz="4" w:space="0" w:color="auto"/>
              <w:right w:val="single" w:sz="4" w:space="0" w:color="auto"/>
            </w:tcBorders>
          </w:tcPr>
          <w:p w:rsidR="00CA4CD6" w:rsidRPr="000D47DC" w:rsidRDefault="00CA4CD6" w:rsidP="000D47DC">
            <w:pPr>
              <w:spacing w:line="120" w:lineRule="exact"/>
              <w:jc w:val="center"/>
              <w:rPr>
                <w:sz w:val="20"/>
                <w:szCs w:val="20"/>
              </w:rPr>
            </w:pPr>
          </w:p>
          <w:p w:rsidR="00CA4CD6" w:rsidRPr="000D47DC" w:rsidRDefault="00CA4CD6" w:rsidP="000D47DC">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(D)</w:t>
            </w:r>
          </w:p>
          <w:p w:rsidR="00CA4CD6" w:rsidRPr="000D47DC" w:rsidRDefault="00CA4CD6" w:rsidP="002A7742">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Total Capital/Startup Cost,  (B X C</w:t>
            </w:r>
            <w:r w:rsidR="002A7742">
              <w:rPr>
                <w:sz w:val="20"/>
                <w:szCs w:val="20"/>
              </w:rPr>
              <w:t xml:space="preserve"> x CRF</w:t>
            </w:r>
            <w:r w:rsidRPr="000D47DC">
              <w:rPr>
                <w:sz w:val="20"/>
                <w:szCs w:val="20"/>
              </w:rPr>
              <w:t>)</w:t>
            </w:r>
            <w:r w:rsidR="008E2B69" w:rsidRPr="000D47DC">
              <w:rPr>
                <w:sz w:val="20"/>
                <w:szCs w:val="20"/>
                <w:vertAlign w:val="superscript"/>
              </w:rPr>
              <w:t>b</w:t>
            </w:r>
          </w:p>
        </w:tc>
        <w:tc>
          <w:tcPr>
            <w:tcW w:w="1251" w:type="dxa"/>
            <w:tcBorders>
              <w:top w:val="single" w:sz="4" w:space="0" w:color="auto"/>
              <w:left w:val="single" w:sz="4" w:space="0" w:color="auto"/>
              <w:bottom w:val="single" w:sz="4" w:space="0" w:color="auto"/>
              <w:right w:val="single" w:sz="4" w:space="0" w:color="auto"/>
            </w:tcBorders>
          </w:tcPr>
          <w:p w:rsidR="00CA4CD6" w:rsidRPr="000D47DC" w:rsidRDefault="00CA4CD6" w:rsidP="000D47DC">
            <w:pPr>
              <w:spacing w:line="120" w:lineRule="exact"/>
              <w:jc w:val="center"/>
              <w:rPr>
                <w:sz w:val="20"/>
                <w:szCs w:val="20"/>
              </w:rPr>
            </w:pPr>
          </w:p>
          <w:p w:rsidR="00CA4CD6" w:rsidRPr="000D47DC" w:rsidRDefault="00CA4CD6" w:rsidP="000D47DC">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(E)</w:t>
            </w:r>
          </w:p>
          <w:p w:rsidR="00CA4CD6" w:rsidRPr="000D47DC" w:rsidRDefault="00CA4CD6" w:rsidP="000D47DC">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Annual O&amp;M Costs for One Respondent</w:t>
            </w:r>
          </w:p>
        </w:tc>
        <w:tc>
          <w:tcPr>
            <w:tcW w:w="1210" w:type="dxa"/>
            <w:tcBorders>
              <w:top w:val="single" w:sz="4" w:space="0" w:color="auto"/>
              <w:left w:val="single" w:sz="4" w:space="0" w:color="auto"/>
              <w:bottom w:val="single" w:sz="4" w:space="0" w:color="auto"/>
              <w:right w:val="single" w:sz="4" w:space="0" w:color="auto"/>
            </w:tcBorders>
          </w:tcPr>
          <w:p w:rsidR="00CA4CD6" w:rsidRPr="000D47DC" w:rsidRDefault="00CA4CD6" w:rsidP="000D47DC">
            <w:pPr>
              <w:spacing w:line="120" w:lineRule="exact"/>
              <w:jc w:val="center"/>
              <w:rPr>
                <w:sz w:val="20"/>
                <w:szCs w:val="20"/>
              </w:rPr>
            </w:pPr>
          </w:p>
          <w:p w:rsidR="00CA4CD6" w:rsidRPr="000D47DC" w:rsidRDefault="00CA4CD6" w:rsidP="000D47DC">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(F)</w:t>
            </w:r>
          </w:p>
          <w:p w:rsidR="00CA4CD6" w:rsidRPr="000D47DC" w:rsidRDefault="00CA4CD6" w:rsidP="000D47DC">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Number of Respondents  with O&amp;M</w:t>
            </w:r>
          </w:p>
        </w:tc>
        <w:tc>
          <w:tcPr>
            <w:tcW w:w="875" w:type="dxa"/>
            <w:tcBorders>
              <w:top w:val="single" w:sz="4" w:space="0" w:color="auto"/>
              <w:left w:val="single" w:sz="4" w:space="0" w:color="auto"/>
              <w:bottom w:val="single" w:sz="4" w:space="0" w:color="auto"/>
              <w:right w:val="single" w:sz="4" w:space="0" w:color="auto"/>
            </w:tcBorders>
          </w:tcPr>
          <w:p w:rsidR="00CA4CD6" w:rsidRPr="000D47DC" w:rsidRDefault="00CA4CD6" w:rsidP="000D47DC">
            <w:pPr>
              <w:spacing w:line="120" w:lineRule="exact"/>
              <w:jc w:val="center"/>
              <w:rPr>
                <w:sz w:val="20"/>
                <w:szCs w:val="20"/>
              </w:rPr>
            </w:pPr>
          </w:p>
          <w:p w:rsidR="00CA4CD6" w:rsidRPr="000D47DC" w:rsidRDefault="00CA4CD6" w:rsidP="000D47DC">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(G)</w:t>
            </w:r>
          </w:p>
          <w:p w:rsidR="00CA4CD6" w:rsidRPr="000D47DC" w:rsidRDefault="00CA4CD6" w:rsidP="000D47DC">
            <w:pPr>
              <w:pBdr>
                <w:top w:val="single" w:sz="6" w:space="0" w:color="FFFFFF"/>
                <w:left w:val="single" w:sz="6" w:space="0" w:color="FFFFFF"/>
                <w:bottom w:val="single" w:sz="6" w:space="0" w:color="FFFFFF"/>
                <w:right w:val="single" w:sz="6" w:space="0" w:color="FFFFFF"/>
              </w:pBdr>
              <w:jc w:val="center"/>
              <w:rPr>
                <w:sz w:val="20"/>
                <w:szCs w:val="20"/>
              </w:rPr>
            </w:pPr>
            <w:r w:rsidRPr="000D47DC">
              <w:rPr>
                <w:sz w:val="20"/>
                <w:szCs w:val="20"/>
              </w:rPr>
              <w:t>Total O&amp;M,</w:t>
            </w:r>
          </w:p>
          <w:p w:rsidR="00CA4CD6" w:rsidRPr="000D47DC" w:rsidRDefault="00CA4CD6" w:rsidP="000D47DC">
            <w:pPr>
              <w:pBdr>
                <w:top w:val="single" w:sz="6" w:space="0" w:color="FFFFFF"/>
                <w:left w:val="single" w:sz="6" w:space="0" w:color="FFFFFF"/>
                <w:bottom w:val="single" w:sz="6" w:space="0" w:color="FFFFFF"/>
                <w:right w:val="single" w:sz="6" w:space="0" w:color="FFFFFF"/>
              </w:pBdr>
              <w:spacing w:after="52"/>
              <w:jc w:val="center"/>
              <w:rPr>
                <w:sz w:val="20"/>
                <w:szCs w:val="20"/>
              </w:rPr>
            </w:pPr>
            <w:r w:rsidRPr="000D47DC">
              <w:rPr>
                <w:sz w:val="20"/>
                <w:szCs w:val="20"/>
              </w:rPr>
              <w:t>(E X F)</w:t>
            </w:r>
          </w:p>
        </w:tc>
      </w:tr>
      <w:tr w:rsidR="000D47DC" w:rsidRPr="000D47DC" w:rsidTr="001146F9">
        <w:trPr>
          <w:jc w:val="center"/>
        </w:trPr>
        <w:tc>
          <w:tcPr>
            <w:tcW w:w="2197" w:type="dxa"/>
            <w:tcBorders>
              <w:top w:val="single" w:sz="4" w:space="0" w:color="auto"/>
              <w:left w:val="single" w:sz="7" w:space="0" w:color="000000"/>
              <w:bottom w:val="single" w:sz="6" w:space="0" w:color="FFFFFF"/>
              <w:right w:val="single" w:sz="6" w:space="0" w:color="FFFFFF"/>
            </w:tcBorders>
          </w:tcPr>
          <w:p w:rsidR="000D47DC" w:rsidRPr="000D47DC" w:rsidRDefault="000D47DC" w:rsidP="00792668">
            <w:pPr>
              <w:spacing w:line="120" w:lineRule="exact"/>
              <w:rPr>
                <w:color w:val="000000"/>
                <w:sz w:val="20"/>
                <w:szCs w:val="20"/>
              </w:rPr>
            </w:pPr>
          </w:p>
          <w:p w:rsidR="000D47DC" w:rsidRPr="000D47DC" w:rsidRDefault="000D47DC" w:rsidP="000D47DC">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7DC">
              <w:rPr>
                <w:color w:val="000000"/>
                <w:sz w:val="20"/>
                <w:szCs w:val="20"/>
              </w:rPr>
              <w:t xml:space="preserve">Method 9 performance tests (new sources) </w:t>
            </w:r>
            <w:r w:rsidRPr="000D47DC">
              <w:rPr>
                <w:color w:val="000000"/>
                <w:sz w:val="20"/>
                <w:szCs w:val="20"/>
                <w:vertAlign w:val="superscript"/>
              </w:rPr>
              <w:t>c</w:t>
            </w:r>
          </w:p>
        </w:tc>
        <w:tc>
          <w:tcPr>
            <w:tcW w:w="1350" w:type="dxa"/>
            <w:tcBorders>
              <w:top w:val="single" w:sz="4" w:space="0" w:color="auto"/>
              <w:left w:val="single" w:sz="7" w:space="0" w:color="000000"/>
              <w:bottom w:val="single" w:sz="6" w:space="0" w:color="FFFFFF"/>
              <w:right w:val="single" w:sz="6" w:space="0" w:color="FFFFFF"/>
            </w:tcBorders>
            <w:vAlign w:val="center"/>
          </w:tcPr>
          <w:p w:rsidR="000D47DC" w:rsidRPr="000D47DC" w:rsidRDefault="000D47DC" w:rsidP="00792668">
            <w:pPr>
              <w:spacing w:line="120" w:lineRule="exact"/>
              <w:jc w:val="center"/>
              <w:rPr>
                <w:color w:val="000000"/>
                <w:sz w:val="20"/>
                <w:szCs w:val="20"/>
              </w:rPr>
            </w:pPr>
          </w:p>
          <w:p w:rsidR="000D47DC" w:rsidRPr="000D47DC" w:rsidRDefault="001146F9" w:rsidP="007926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$4,767</w:t>
            </w:r>
          </w:p>
        </w:tc>
        <w:tc>
          <w:tcPr>
            <w:tcW w:w="1242" w:type="dxa"/>
            <w:tcBorders>
              <w:top w:val="single" w:sz="4" w:space="0" w:color="auto"/>
              <w:left w:val="single" w:sz="7" w:space="0" w:color="000000"/>
              <w:bottom w:val="single" w:sz="6" w:space="0" w:color="FFFFFF"/>
              <w:right w:val="single" w:sz="6" w:space="0" w:color="FFFFFF"/>
            </w:tcBorders>
            <w:vAlign w:val="center"/>
          </w:tcPr>
          <w:p w:rsidR="000D47DC" w:rsidRPr="000D47DC" w:rsidRDefault="000D47DC" w:rsidP="00792668">
            <w:pPr>
              <w:spacing w:line="120" w:lineRule="exact"/>
              <w:jc w:val="center"/>
              <w:rPr>
                <w:color w:val="000000"/>
                <w:sz w:val="20"/>
                <w:szCs w:val="20"/>
              </w:rPr>
            </w:pPr>
          </w:p>
          <w:p w:rsidR="000D47DC" w:rsidRPr="000D47DC" w:rsidRDefault="001146F9" w:rsidP="001146F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60.9</w:t>
            </w:r>
          </w:p>
        </w:tc>
        <w:tc>
          <w:tcPr>
            <w:tcW w:w="1344" w:type="dxa"/>
            <w:tcBorders>
              <w:top w:val="single" w:sz="4" w:space="0" w:color="auto"/>
              <w:left w:val="single" w:sz="7" w:space="0" w:color="000000"/>
              <w:bottom w:val="single" w:sz="6" w:space="0" w:color="FFFFFF"/>
              <w:right w:val="single" w:sz="6" w:space="0" w:color="FFFFFF"/>
            </w:tcBorders>
            <w:vAlign w:val="center"/>
          </w:tcPr>
          <w:p w:rsidR="000D47DC" w:rsidRPr="000D47DC" w:rsidRDefault="000D47DC" w:rsidP="00792668">
            <w:pPr>
              <w:spacing w:line="120" w:lineRule="exact"/>
              <w:jc w:val="center"/>
              <w:rPr>
                <w:color w:val="000000"/>
                <w:sz w:val="20"/>
                <w:szCs w:val="20"/>
              </w:rPr>
            </w:pPr>
          </w:p>
          <w:p w:rsidR="000D47DC" w:rsidRPr="000D47DC" w:rsidRDefault="001146F9" w:rsidP="001146F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$70,807</w:t>
            </w:r>
          </w:p>
        </w:tc>
        <w:tc>
          <w:tcPr>
            <w:tcW w:w="1251" w:type="dxa"/>
            <w:tcBorders>
              <w:top w:val="single" w:sz="4" w:space="0" w:color="auto"/>
              <w:left w:val="single" w:sz="7" w:space="0" w:color="000000"/>
              <w:bottom w:val="single" w:sz="6" w:space="0" w:color="FFFFFF"/>
              <w:right w:val="single" w:sz="6" w:space="0" w:color="FFFFFF"/>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0D47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10" w:type="dxa"/>
            <w:tcBorders>
              <w:top w:val="single" w:sz="4" w:space="0" w:color="auto"/>
              <w:left w:val="single" w:sz="7" w:space="0" w:color="000000"/>
              <w:bottom w:val="single" w:sz="6" w:space="0" w:color="FFFFFF"/>
              <w:right w:val="single" w:sz="6" w:space="0" w:color="FFFFFF"/>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0D47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875" w:type="dxa"/>
            <w:tcBorders>
              <w:top w:val="single" w:sz="4" w:space="0" w:color="auto"/>
              <w:left w:val="single" w:sz="7" w:space="0" w:color="000000"/>
              <w:bottom w:val="single" w:sz="6" w:space="0" w:color="FFFFFF"/>
              <w:right w:val="single" w:sz="7" w:space="0" w:color="000000"/>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0D47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0D47DC" w:rsidRPr="000D47DC" w:rsidTr="001146F9">
        <w:trPr>
          <w:jc w:val="center"/>
        </w:trPr>
        <w:tc>
          <w:tcPr>
            <w:tcW w:w="2197" w:type="dxa"/>
            <w:tcBorders>
              <w:top w:val="single" w:sz="7" w:space="0" w:color="000000"/>
              <w:left w:val="single" w:sz="7" w:space="0" w:color="000000"/>
              <w:bottom w:val="single" w:sz="4" w:space="0" w:color="auto"/>
              <w:right w:val="single" w:sz="6" w:space="0" w:color="FFFFFF"/>
            </w:tcBorders>
          </w:tcPr>
          <w:p w:rsidR="000D47DC" w:rsidRPr="000D47DC" w:rsidRDefault="000D47DC" w:rsidP="00792668">
            <w:pPr>
              <w:spacing w:line="120" w:lineRule="exact"/>
              <w:rPr>
                <w:color w:val="000000"/>
                <w:sz w:val="20"/>
                <w:szCs w:val="20"/>
              </w:rPr>
            </w:pPr>
          </w:p>
          <w:p w:rsidR="000D47DC" w:rsidRPr="000D47DC" w:rsidRDefault="000D47DC" w:rsidP="00792668">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7DC">
              <w:rPr>
                <w:color w:val="000000"/>
                <w:sz w:val="20"/>
                <w:szCs w:val="20"/>
              </w:rPr>
              <w:t xml:space="preserve">Method 9 performance tests (existing sources) </w:t>
            </w:r>
            <w:r w:rsidRPr="000D47DC">
              <w:rPr>
                <w:color w:val="000000"/>
                <w:sz w:val="20"/>
                <w:szCs w:val="20"/>
                <w:vertAlign w:val="superscript"/>
              </w:rPr>
              <w:t>c, d</w:t>
            </w:r>
          </w:p>
        </w:tc>
        <w:tc>
          <w:tcPr>
            <w:tcW w:w="1350" w:type="dxa"/>
            <w:tcBorders>
              <w:top w:val="single" w:sz="7" w:space="0" w:color="000000"/>
              <w:left w:val="single" w:sz="7" w:space="0" w:color="000000"/>
              <w:bottom w:val="single" w:sz="4" w:space="0" w:color="auto"/>
              <w:right w:val="single" w:sz="6" w:space="0" w:color="FFFFFF"/>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0D47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$4,767</w:t>
            </w:r>
          </w:p>
        </w:tc>
        <w:tc>
          <w:tcPr>
            <w:tcW w:w="1242" w:type="dxa"/>
            <w:tcBorders>
              <w:top w:val="single" w:sz="7" w:space="0" w:color="000000"/>
              <w:left w:val="single" w:sz="7" w:space="0" w:color="000000"/>
              <w:bottom w:val="single" w:sz="4" w:space="0" w:color="auto"/>
              <w:right w:val="single" w:sz="6" w:space="0" w:color="FFFFFF"/>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7926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60.9</w:t>
            </w:r>
          </w:p>
        </w:tc>
        <w:tc>
          <w:tcPr>
            <w:tcW w:w="1344" w:type="dxa"/>
            <w:tcBorders>
              <w:top w:val="single" w:sz="7" w:space="0" w:color="000000"/>
              <w:left w:val="single" w:sz="7" w:space="0" w:color="000000"/>
              <w:bottom w:val="single" w:sz="4" w:space="0" w:color="auto"/>
              <w:right w:val="single" w:sz="6" w:space="0" w:color="FFFFFF"/>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0D47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$70,807</w:t>
            </w:r>
          </w:p>
        </w:tc>
        <w:tc>
          <w:tcPr>
            <w:tcW w:w="1251" w:type="dxa"/>
            <w:tcBorders>
              <w:top w:val="single" w:sz="7" w:space="0" w:color="000000"/>
              <w:left w:val="single" w:sz="7" w:space="0" w:color="000000"/>
              <w:bottom w:val="single" w:sz="4" w:space="0" w:color="auto"/>
              <w:right w:val="single" w:sz="6" w:space="0" w:color="FFFFFF"/>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7926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10" w:type="dxa"/>
            <w:tcBorders>
              <w:top w:val="single" w:sz="7" w:space="0" w:color="000000"/>
              <w:left w:val="single" w:sz="7" w:space="0" w:color="000000"/>
              <w:bottom w:val="single" w:sz="4" w:space="0" w:color="auto"/>
              <w:right w:val="single" w:sz="6" w:space="0" w:color="FFFFFF"/>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7926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875" w:type="dxa"/>
            <w:tcBorders>
              <w:top w:val="single" w:sz="7" w:space="0" w:color="000000"/>
              <w:left w:val="single" w:sz="7" w:space="0" w:color="000000"/>
              <w:bottom w:val="single" w:sz="4" w:space="0" w:color="auto"/>
              <w:right w:val="single" w:sz="7" w:space="0" w:color="000000"/>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7926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0D47DC" w:rsidRPr="000D47DC" w:rsidTr="001146F9">
        <w:trPr>
          <w:jc w:val="center"/>
        </w:trPr>
        <w:tc>
          <w:tcPr>
            <w:tcW w:w="2197" w:type="dxa"/>
            <w:tcBorders>
              <w:top w:val="single" w:sz="4" w:space="0" w:color="auto"/>
              <w:left w:val="single" w:sz="4" w:space="0" w:color="auto"/>
              <w:bottom w:val="single" w:sz="4" w:space="0" w:color="auto"/>
              <w:right w:val="single" w:sz="4" w:space="0" w:color="auto"/>
            </w:tcBorders>
          </w:tcPr>
          <w:p w:rsidR="000D47DC" w:rsidRPr="000D47DC" w:rsidRDefault="000D47DC" w:rsidP="00792668">
            <w:pPr>
              <w:spacing w:line="120" w:lineRule="exact"/>
              <w:rPr>
                <w:color w:val="000000"/>
                <w:sz w:val="20"/>
                <w:szCs w:val="20"/>
              </w:rPr>
            </w:pPr>
          </w:p>
          <w:p w:rsidR="000D47DC" w:rsidRPr="000D47DC" w:rsidRDefault="000D47DC" w:rsidP="00792668">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D47DC">
              <w:rPr>
                <w:color w:val="000000"/>
                <w:sz w:val="20"/>
                <w:szCs w:val="20"/>
              </w:rPr>
              <w:t xml:space="preserve">Method 5 performance tests (new sources) </w:t>
            </w:r>
            <w:r w:rsidRPr="000D47DC">
              <w:rPr>
                <w:color w:val="000000"/>
                <w:sz w:val="20"/>
                <w:szCs w:val="20"/>
                <w:vertAlign w:val="superscript"/>
              </w:rPr>
              <w:t>e</w:t>
            </w:r>
          </w:p>
        </w:tc>
        <w:tc>
          <w:tcPr>
            <w:tcW w:w="1350" w:type="dxa"/>
            <w:tcBorders>
              <w:top w:val="single" w:sz="4" w:space="0" w:color="auto"/>
              <w:left w:val="single" w:sz="4" w:space="0" w:color="auto"/>
              <w:bottom w:val="single" w:sz="4" w:space="0" w:color="auto"/>
              <w:right w:val="single" w:sz="4" w:space="0" w:color="auto"/>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0D47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$63,000</w:t>
            </w:r>
          </w:p>
        </w:tc>
        <w:tc>
          <w:tcPr>
            <w:tcW w:w="1242" w:type="dxa"/>
            <w:tcBorders>
              <w:top w:val="single" w:sz="4" w:space="0" w:color="auto"/>
              <w:left w:val="single" w:sz="4" w:space="0" w:color="auto"/>
              <w:bottom w:val="single" w:sz="4" w:space="0" w:color="auto"/>
              <w:right w:val="single" w:sz="4" w:space="0" w:color="auto"/>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0D47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5.5</w:t>
            </w:r>
          </w:p>
        </w:tc>
        <w:tc>
          <w:tcPr>
            <w:tcW w:w="1344" w:type="dxa"/>
            <w:tcBorders>
              <w:top w:val="single" w:sz="4" w:space="0" w:color="auto"/>
              <w:left w:val="single" w:sz="4" w:space="0" w:color="auto"/>
              <w:bottom w:val="single" w:sz="4" w:space="0" w:color="auto"/>
              <w:right w:val="single" w:sz="4" w:space="0" w:color="auto"/>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7926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 xml:space="preserve"> $84,511</w:t>
            </w:r>
          </w:p>
        </w:tc>
        <w:tc>
          <w:tcPr>
            <w:tcW w:w="1251" w:type="dxa"/>
            <w:tcBorders>
              <w:top w:val="single" w:sz="4" w:space="0" w:color="auto"/>
              <w:left w:val="single" w:sz="4" w:space="0" w:color="auto"/>
              <w:bottom w:val="single" w:sz="4" w:space="0" w:color="auto"/>
              <w:right w:val="single" w:sz="4" w:space="0" w:color="auto"/>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0D47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10" w:type="dxa"/>
            <w:tcBorders>
              <w:top w:val="single" w:sz="4" w:space="0" w:color="auto"/>
              <w:left w:val="single" w:sz="4" w:space="0" w:color="auto"/>
              <w:bottom w:val="single" w:sz="4" w:space="0" w:color="auto"/>
              <w:right w:val="single" w:sz="4" w:space="0" w:color="auto"/>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7926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875" w:type="dxa"/>
            <w:tcBorders>
              <w:top w:val="single" w:sz="4" w:space="0" w:color="auto"/>
              <w:left w:val="single" w:sz="4" w:space="0" w:color="auto"/>
              <w:bottom w:val="single" w:sz="4" w:space="0" w:color="auto"/>
              <w:right w:val="single" w:sz="4" w:space="0" w:color="auto"/>
            </w:tcBorders>
            <w:vAlign w:val="center"/>
          </w:tcPr>
          <w:p w:rsidR="000D47DC" w:rsidRPr="000D47DC" w:rsidRDefault="000D47DC" w:rsidP="00792668">
            <w:pPr>
              <w:spacing w:line="120" w:lineRule="exact"/>
              <w:jc w:val="center"/>
              <w:rPr>
                <w:color w:val="000000"/>
                <w:sz w:val="20"/>
                <w:szCs w:val="20"/>
              </w:rPr>
            </w:pPr>
          </w:p>
          <w:p w:rsidR="000D47DC" w:rsidRPr="000D47DC" w:rsidRDefault="000D47DC" w:rsidP="007926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0D47DC" w:rsidRPr="000D47DC" w:rsidTr="001146F9">
        <w:trPr>
          <w:jc w:val="center"/>
        </w:trPr>
        <w:tc>
          <w:tcPr>
            <w:tcW w:w="2197" w:type="dxa"/>
            <w:tcBorders>
              <w:top w:val="single" w:sz="4" w:space="0" w:color="auto"/>
              <w:left w:val="single" w:sz="7" w:space="0" w:color="000000"/>
              <w:bottom w:val="single" w:sz="6" w:space="0" w:color="FFFFFF"/>
              <w:right w:val="single" w:sz="6" w:space="0" w:color="FFFFFF"/>
            </w:tcBorders>
          </w:tcPr>
          <w:p w:rsidR="000D47DC" w:rsidRPr="000D47DC" w:rsidRDefault="000D47DC" w:rsidP="001146F9">
            <w:pPr>
              <w:keepNext/>
              <w:keepLines/>
              <w:spacing w:line="120" w:lineRule="exact"/>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0D47DC">
              <w:rPr>
                <w:color w:val="000000"/>
                <w:sz w:val="20"/>
                <w:szCs w:val="20"/>
              </w:rPr>
              <w:t>File cabinets</w:t>
            </w:r>
          </w:p>
        </w:tc>
        <w:tc>
          <w:tcPr>
            <w:tcW w:w="1350" w:type="dxa"/>
            <w:tcBorders>
              <w:top w:val="single" w:sz="4" w:space="0" w:color="auto"/>
              <w:left w:val="single" w:sz="7" w:space="0" w:color="000000"/>
              <w:bottom w:val="single" w:sz="6" w:space="0" w:color="FFFFFF"/>
              <w:right w:val="single" w:sz="6" w:space="0" w:color="FFFFFF"/>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$235</w:t>
            </w:r>
          </w:p>
        </w:tc>
        <w:tc>
          <w:tcPr>
            <w:tcW w:w="1242" w:type="dxa"/>
            <w:tcBorders>
              <w:top w:val="single" w:sz="4" w:space="0" w:color="auto"/>
              <w:left w:val="single" w:sz="7" w:space="0" w:color="000000"/>
              <w:bottom w:val="single" w:sz="6" w:space="0" w:color="FFFFFF"/>
              <w:right w:val="single" w:sz="6" w:space="0" w:color="FFFFFF"/>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66.4</w:t>
            </w:r>
          </w:p>
        </w:tc>
        <w:tc>
          <w:tcPr>
            <w:tcW w:w="1344" w:type="dxa"/>
            <w:tcBorders>
              <w:top w:val="single" w:sz="4" w:space="0" w:color="auto"/>
              <w:left w:val="single" w:sz="7" w:space="0" w:color="000000"/>
              <w:bottom w:val="single" w:sz="6" w:space="0" w:color="FFFFFF"/>
              <w:right w:val="single" w:sz="6" w:space="0" w:color="FFFFFF"/>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$1,713</w:t>
            </w:r>
          </w:p>
        </w:tc>
        <w:tc>
          <w:tcPr>
            <w:tcW w:w="1251" w:type="dxa"/>
            <w:tcBorders>
              <w:top w:val="single" w:sz="4" w:space="0" w:color="auto"/>
              <w:left w:val="single" w:sz="7" w:space="0" w:color="000000"/>
              <w:bottom w:val="single" w:sz="6" w:space="0" w:color="FFFFFF"/>
              <w:right w:val="single" w:sz="6" w:space="0" w:color="FFFFFF"/>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N/A</w:t>
            </w:r>
          </w:p>
        </w:tc>
        <w:tc>
          <w:tcPr>
            <w:tcW w:w="1210" w:type="dxa"/>
            <w:tcBorders>
              <w:top w:val="single" w:sz="4" w:space="0" w:color="auto"/>
              <w:left w:val="single" w:sz="7" w:space="0" w:color="000000"/>
              <w:bottom w:val="single" w:sz="6" w:space="0" w:color="FFFFFF"/>
              <w:right w:val="single" w:sz="6" w:space="0" w:color="FFFFFF"/>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N/A</w:t>
            </w:r>
          </w:p>
        </w:tc>
        <w:tc>
          <w:tcPr>
            <w:tcW w:w="875" w:type="dxa"/>
            <w:tcBorders>
              <w:top w:val="single" w:sz="4" w:space="0" w:color="auto"/>
              <w:left w:val="single" w:sz="7" w:space="0" w:color="000000"/>
              <w:bottom w:val="single" w:sz="6" w:space="0" w:color="FFFFFF"/>
              <w:right w:val="single" w:sz="7" w:space="0" w:color="000000"/>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D47DC">
              <w:rPr>
                <w:color w:val="000000"/>
                <w:sz w:val="20"/>
                <w:szCs w:val="20"/>
              </w:rPr>
              <w:t>N/A</w:t>
            </w:r>
          </w:p>
        </w:tc>
      </w:tr>
      <w:tr w:rsidR="000D47DC" w:rsidRPr="008E2B69" w:rsidTr="001146F9">
        <w:trPr>
          <w:jc w:val="center"/>
        </w:trPr>
        <w:tc>
          <w:tcPr>
            <w:tcW w:w="2197" w:type="dxa"/>
            <w:tcBorders>
              <w:top w:val="single" w:sz="7" w:space="0" w:color="000000"/>
              <w:left w:val="single" w:sz="7" w:space="0" w:color="000000"/>
              <w:bottom w:val="single" w:sz="7" w:space="0" w:color="000000"/>
              <w:right w:val="single" w:sz="6" w:space="0" w:color="FFFFFF"/>
            </w:tcBorders>
          </w:tcPr>
          <w:p w:rsidR="000D47DC" w:rsidRPr="000D47DC" w:rsidRDefault="000D47DC" w:rsidP="001146F9">
            <w:pPr>
              <w:keepNext/>
              <w:keepLines/>
              <w:spacing w:line="120" w:lineRule="exact"/>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sidRPr="000D47DC">
              <w:rPr>
                <w:color w:val="000000"/>
                <w:sz w:val="20"/>
                <w:szCs w:val="20"/>
              </w:rPr>
              <w:t>Total</w:t>
            </w:r>
          </w:p>
        </w:tc>
        <w:tc>
          <w:tcPr>
            <w:tcW w:w="1350" w:type="dxa"/>
            <w:tcBorders>
              <w:top w:val="single" w:sz="7" w:space="0" w:color="000000"/>
              <w:left w:val="single" w:sz="7" w:space="0" w:color="000000"/>
              <w:bottom w:val="single" w:sz="7" w:space="0" w:color="000000"/>
              <w:right w:val="single" w:sz="6" w:space="0" w:color="FFFFFF"/>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42" w:type="dxa"/>
            <w:tcBorders>
              <w:top w:val="single" w:sz="7" w:space="0" w:color="000000"/>
              <w:left w:val="single" w:sz="7" w:space="0" w:color="000000"/>
              <w:bottom w:val="single" w:sz="7" w:space="0" w:color="000000"/>
              <w:right w:val="single" w:sz="6" w:space="0" w:color="FFFFFF"/>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44" w:type="dxa"/>
            <w:tcBorders>
              <w:top w:val="single" w:sz="7" w:space="0" w:color="000000"/>
              <w:left w:val="single" w:sz="7" w:space="0" w:color="000000"/>
              <w:bottom w:val="single" w:sz="7" w:space="0" w:color="000000"/>
              <w:right w:val="single" w:sz="6" w:space="0" w:color="FFFFFF"/>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0D47DC">
              <w:rPr>
                <w:color w:val="000000"/>
                <w:sz w:val="20"/>
                <w:szCs w:val="20"/>
              </w:rPr>
              <w:t>$227,838</w:t>
            </w:r>
          </w:p>
        </w:tc>
        <w:tc>
          <w:tcPr>
            <w:tcW w:w="1251" w:type="dxa"/>
            <w:tcBorders>
              <w:top w:val="single" w:sz="7" w:space="0" w:color="000000"/>
              <w:left w:val="single" w:sz="7" w:space="0" w:color="000000"/>
              <w:bottom w:val="single" w:sz="7" w:space="0" w:color="000000"/>
              <w:right w:val="single" w:sz="6" w:space="0" w:color="FFFFFF"/>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10" w:type="dxa"/>
            <w:tcBorders>
              <w:top w:val="single" w:sz="7" w:space="0" w:color="000000"/>
              <w:left w:val="single" w:sz="7" w:space="0" w:color="000000"/>
              <w:bottom w:val="single" w:sz="7" w:space="0" w:color="000000"/>
              <w:right w:val="single" w:sz="6" w:space="0" w:color="FFFFFF"/>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875" w:type="dxa"/>
            <w:tcBorders>
              <w:top w:val="single" w:sz="7" w:space="0" w:color="000000"/>
              <w:left w:val="single" w:sz="7" w:space="0" w:color="000000"/>
              <w:bottom w:val="single" w:sz="7" w:space="0" w:color="000000"/>
              <w:right w:val="single" w:sz="7" w:space="0" w:color="000000"/>
            </w:tcBorders>
            <w:vAlign w:val="center"/>
          </w:tcPr>
          <w:p w:rsidR="000D47DC" w:rsidRPr="000D47DC" w:rsidRDefault="000D47DC" w:rsidP="001146F9">
            <w:pPr>
              <w:keepNext/>
              <w:keepLines/>
              <w:spacing w:line="120" w:lineRule="exact"/>
              <w:jc w:val="center"/>
              <w:rPr>
                <w:color w:val="000000"/>
                <w:sz w:val="20"/>
                <w:szCs w:val="20"/>
              </w:rPr>
            </w:pPr>
          </w:p>
          <w:p w:rsidR="000D47DC" w:rsidRPr="000D47DC" w:rsidRDefault="000D47DC" w:rsidP="001146F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r>
    </w:tbl>
    <w:p w:rsidR="00CA4CD6" w:rsidRPr="000D47DC" w:rsidRDefault="006C6F77">
      <w:pPr>
        <w:pBdr>
          <w:top w:val="single" w:sz="6" w:space="0" w:color="FFFFFF"/>
          <w:left w:val="single" w:sz="6" w:space="0" w:color="FFFFFF"/>
          <w:bottom w:val="single" w:sz="6" w:space="0" w:color="FFFFFF"/>
          <w:right w:val="single" w:sz="6" w:space="0" w:color="FFFFFF"/>
        </w:pBdr>
        <w:rPr>
          <w:color w:val="000000"/>
          <w:sz w:val="20"/>
          <w:szCs w:val="20"/>
        </w:rPr>
      </w:pPr>
      <w:r w:rsidRPr="000D47DC">
        <w:rPr>
          <w:color w:val="000000"/>
          <w:sz w:val="20"/>
          <w:szCs w:val="20"/>
        </w:rPr>
        <w:t xml:space="preserve"> </w:t>
      </w:r>
      <w:r w:rsidR="000D47DC" w:rsidRPr="000D47DC">
        <w:rPr>
          <w:color w:val="000000"/>
          <w:sz w:val="20"/>
          <w:szCs w:val="20"/>
        </w:rPr>
        <w:t>N/A – Not Applicable</w:t>
      </w:r>
    </w:p>
    <w:p w:rsidR="000D47DC" w:rsidRPr="000D47DC" w:rsidRDefault="000D47DC">
      <w:pPr>
        <w:pBdr>
          <w:top w:val="single" w:sz="6" w:space="0" w:color="FFFFFF"/>
          <w:left w:val="single" w:sz="6" w:space="0" w:color="FFFFFF"/>
          <w:bottom w:val="single" w:sz="6" w:space="0" w:color="FFFFFF"/>
          <w:right w:val="single" w:sz="6" w:space="0" w:color="FFFFFF"/>
        </w:pBdr>
        <w:rPr>
          <w:color w:val="000000"/>
          <w:sz w:val="20"/>
          <w:szCs w:val="20"/>
        </w:rPr>
      </w:pPr>
    </w:p>
    <w:p w:rsidR="001146F9" w:rsidRDefault="001146F9" w:rsidP="00114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ind w:left="90" w:hanging="90"/>
        <w:rPr>
          <w:iCs/>
          <w:sz w:val="20"/>
          <w:szCs w:val="20"/>
        </w:rPr>
      </w:pPr>
      <w:r>
        <w:rPr>
          <w:iCs/>
          <w:sz w:val="20"/>
          <w:szCs w:val="20"/>
          <w:vertAlign w:val="superscript"/>
        </w:rPr>
        <w:t>a</w:t>
      </w:r>
      <w:r w:rsidR="008E2B69" w:rsidRPr="000D47DC">
        <w:rPr>
          <w:iCs/>
          <w:sz w:val="20"/>
          <w:szCs w:val="20"/>
        </w:rPr>
        <w:t xml:space="preserve"> </w:t>
      </w:r>
      <w:r w:rsidRPr="001146F9">
        <w:rPr>
          <w:iCs/>
          <w:sz w:val="20"/>
          <w:szCs w:val="20"/>
        </w:rPr>
        <w:t>Of the 66.4 new respondents per year, EPA estimates 60.9 will be in the crushed/broken stone and sand/gravel industrial sectors and 5.5 will be in other industrial sectors.</w:t>
      </w:r>
    </w:p>
    <w:p w:rsidR="006C6F77" w:rsidRDefault="001146F9" w:rsidP="001146F9">
      <w:pPr>
        <w:pBdr>
          <w:top w:val="single" w:sz="6" w:space="0" w:color="FFFFFF"/>
          <w:left w:val="single" w:sz="6" w:space="0" w:color="FFFFFF"/>
          <w:bottom w:val="single" w:sz="6" w:space="0" w:color="FFFFFF"/>
          <w:right w:val="single" w:sz="6" w:space="0" w:color="FFFFFF"/>
        </w:pBdr>
        <w:ind w:left="90" w:hanging="90"/>
        <w:rPr>
          <w:iCs/>
          <w:sz w:val="20"/>
          <w:szCs w:val="20"/>
        </w:rPr>
      </w:pPr>
      <w:r>
        <w:rPr>
          <w:iCs/>
          <w:sz w:val="20"/>
          <w:szCs w:val="20"/>
          <w:vertAlign w:val="superscript"/>
        </w:rPr>
        <w:t>b</w:t>
      </w:r>
      <w:r w:rsidRPr="000D47DC">
        <w:rPr>
          <w:iCs/>
          <w:sz w:val="20"/>
          <w:szCs w:val="20"/>
        </w:rPr>
        <w:t xml:space="preserve"> </w:t>
      </w:r>
      <w:r>
        <w:rPr>
          <w:iCs/>
          <w:sz w:val="20"/>
          <w:szCs w:val="20"/>
        </w:rPr>
        <w:t>T</w:t>
      </w:r>
      <w:r w:rsidRPr="001146F9">
        <w:rPr>
          <w:iCs/>
          <w:sz w:val="20"/>
          <w:szCs w:val="20"/>
        </w:rPr>
        <w:t>hese are annualized costs for all new respondents.  The capital cost associated with testing was annualized assuming a 7% interest rate and 5-year life (i.e., capital recovery factor (CRF) of 0.2439). The annualized capital cost for file cabinets was calculated using a 7% interest rate and a 15-year life (i.e., CRF of 0.1098).</w:t>
      </w:r>
    </w:p>
    <w:p w:rsidR="001146F9" w:rsidRDefault="001146F9" w:rsidP="001146F9">
      <w:pPr>
        <w:pBdr>
          <w:top w:val="single" w:sz="6" w:space="0" w:color="FFFFFF"/>
          <w:left w:val="single" w:sz="6" w:space="0" w:color="FFFFFF"/>
          <w:bottom w:val="single" w:sz="6" w:space="0" w:color="FFFFFF"/>
          <w:right w:val="single" w:sz="6" w:space="0" w:color="FFFFFF"/>
        </w:pBdr>
        <w:ind w:left="90" w:hanging="90"/>
        <w:rPr>
          <w:iCs/>
          <w:sz w:val="20"/>
          <w:szCs w:val="20"/>
        </w:rPr>
      </w:pPr>
      <w:r>
        <w:rPr>
          <w:iCs/>
          <w:sz w:val="20"/>
          <w:szCs w:val="20"/>
          <w:vertAlign w:val="superscript"/>
        </w:rPr>
        <w:t>c</w:t>
      </w:r>
      <w:r w:rsidRPr="000D47DC">
        <w:rPr>
          <w:iCs/>
          <w:sz w:val="20"/>
          <w:szCs w:val="20"/>
        </w:rPr>
        <w:t xml:space="preserve"> </w:t>
      </w:r>
      <w:r w:rsidRPr="001146F9">
        <w:rPr>
          <w:iCs/>
          <w:sz w:val="20"/>
          <w:szCs w:val="20"/>
        </w:rPr>
        <w:t>EPA estimates a testing cost of $216.67 per 30-minute Method 9 test.  EPA assumes each plant in the crushed/broken stone and sand/gravel industrial sectors has 22 emissions points requiring Method 9 testing; therefore, the capital/startup cost per respondent is $4,767 (rounded) ($216.67x22 = 4,766.74).</w:t>
      </w:r>
    </w:p>
    <w:p w:rsidR="001146F9" w:rsidRDefault="001146F9" w:rsidP="001146F9">
      <w:pPr>
        <w:pBdr>
          <w:top w:val="single" w:sz="6" w:space="0" w:color="FFFFFF"/>
          <w:left w:val="single" w:sz="6" w:space="0" w:color="FFFFFF"/>
          <w:bottom w:val="single" w:sz="6" w:space="0" w:color="FFFFFF"/>
          <w:right w:val="single" w:sz="6" w:space="0" w:color="FFFFFF"/>
        </w:pBdr>
        <w:ind w:left="90" w:hanging="90"/>
        <w:rPr>
          <w:iCs/>
          <w:sz w:val="20"/>
          <w:szCs w:val="20"/>
        </w:rPr>
      </w:pPr>
      <w:r>
        <w:rPr>
          <w:iCs/>
          <w:sz w:val="20"/>
          <w:szCs w:val="20"/>
          <w:vertAlign w:val="superscript"/>
        </w:rPr>
        <w:t>d</w:t>
      </w:r>
      <w:r w:rsidRPr="000D47DC">
        <w:rPr>
          <w:iCs/>
          <w:sz w:val="20"/>
          <w:szCs w:val="20"/>
        </w:rPr>
        <w:t xml:space="preserve"> </w:t>
      </w:r>
      <w:r w:rsidRPr="001146F9">
        <w:rPr>
          <w:iCs/>
          <w:sz w:val="20"/>
          <w:szCs w:val="20"/>
        </w:rPr>
        <w:t>Existing sources in the crushed/broken stone and sand/gravel industrial sectors, built in 2008 or later, must repeat performance testing every five years. Over the next three years (2016 to 2018), an average of 60.9 existing sources per year will repeat performance testing.  These existing sources were the new sources that conducted initial performance testing in 2011, 2012, and 2013.</w:t>
      </w:r>
    </w:p>
    <w:p w:rsidR="001146F9" w:rsidRDefault="001146F9" w:rsidP="001146F9">
      <w:pPr>
        <w:pBdr>
          <w:top w:val="single" w:sz="6" w:space="0" w:color="FFFFFF"/>
          <w:left w:val="single" w:sz="6" w:space="0" w:color="FFFFFF"/>
          <w:bottom w:val="single" w:sz="6" w:space="0" w:color="FFFFFF"/>
          <w:right w:val="single" w:sz="6" w:space="0" w:color="FFFFFF"/>
        </w:pBdr>
        <w:ind w:left="90" w:hanging="90"/>
        <w:rPr>
          <w:iCs/>
          <w:sz w:val="20"/>
          <w:szCs w:val="20"/>
        </w:rPr>
      </w:pPr>
      <w:r>
        <w:rPr>
          <w:iCs/>
          <w:sz w:val="20"/>
          <w:szCs w:val="20"/>
          <w:vertAlign w:val="superscript"/>
        </w:rPr>
        <w:t>e</w:t>
      </w:r>
      <w:r w:rsidRPr="000D47DC">
        <w:rPr>
          <w:iCs/>
          <w:sz w:val="20"/>
          <w:szCs w:val="20"/>
        </w:rPr>
        <w:t xml:space="preserve"> </w:t>
      </w:r>
      <w:r w:rsidRPr="001146F9">
        <w:rPr>
          <w:iCs/>
          <w:sz w:val="20"/>
          <w:szCs w:val="20"/>
        </w:rPr>
        <w:t>EPA estimates a testing cost of $7,000 per Method 5 test.  EPA assumes each plant in other industrial sectors subject to the rule has 9 emission points requiring Method 5 testing; therefore, the capital/startup cost per respondent is $63,000 ($7,000x9 = $63,000).</w:t>
      </w:r>
    </w:p>
    <w:p w:rsidR="001146F9" w:rsidRDefault="001146F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1146F9">
        <w:rPr>
          <w:color w:val="000000"/>
        </w:rPr>
        <w:t>$</w:t>
      </w:r>
      <w:r w:rsidR="009E2E7D">
        <w:rPr>
          <w:color w:val="000000"/>
        </w:rPr>
        <w:t>228,000</w:t>
      </w:r>
      <w:r>
        <w:rPr>
          <w:color w:val="000000"/>
        </w:rPr>
        <w:t>.</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1146F9">
        <w:rPr>
          <w:color w:val="000000"/>
        </w:rPr>
        <w:t>$0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7615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w:t>
      </w:r>
      <w:r w:rsidR="001146F9" w:rsidRPr="001146F9">
        <w:rPr>
          <w:color w:val="000000"/>
        </w:rPr>
        <w:t xml:space="preserve"> </w:t>
      </w:r>
      <w:r w:rsidR="001146F9">
        <w:rPr>
          <w:color w:val="000000"/>
        </w:rPr>
        <w:t>O&amp;M</w:t>
      </w:r>
      <w:r>
        <w:rPr>
          <w:color w:val="000000"/>
        </w:rPr>
        <w:t xml:space="preserve"> costs to industry over the next three years of the ICR is estimated to be </w:t>
      </w:r>
      <w:r w:rsidR="001146F9" w:rsidRPr="001146F9">
        <w:rPr>
          <w:color w:val="000000"/>
        </w:rPr>
        <w:t>$22</w:t>
      </w:r>
      <w:r w:rsidR="009E2E7D">
        <w:rPr>
          <w:color w:val="000000"/>
        </w:rPr>
        <w:t>8,000</w:t>
      </w:r>
      <w:r>
        <w:rPr>
          <w:color w:val="000000"/>
        </w:rPr>
        <w:t>.</w:t>
      </w:r>
      <w:r w:rsidR="001C5991">
        <w:rPr>
          <w:color w:val="000000"/>
        </w:rPr>
        <w:t xml:space="preserve">  These are </w:t>
      </w:r>
      <w:r w:rsidR="00761500">
        <w:rPr>
          <w:color w:val="000000"/>
        </w:rPr>
        <w:t>capital/startup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146F9">
        <w:rPr>
          <w:color w:val="000000"/>
        </w:rPr>
        <w:t>$</w:t>
      </w:r>
      <w:r w:rsidR="001146F9" w:rsidRPr="001146F9">
        <w:rPr>
          <w:color w:val="000000"/>
        </w:rPr>
        <w:t>22</w:t>
      </w:r>
      <w:r w:rsidR="009E2E7D">
        <w:rPr>
          <w:color w:val="000000"/>
        </w:rPr>
        <w:t>1,000</w:t>
      </w:r>
      <w:r w:rsidR="001146F9">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146F9">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rsidR="00D2273E" w:rsidRPr="00D2273E" w:rsidRDefault="00D2273E" w:rsidP="001146F9">
      <w:pPr>
        <w:keepNext/>
        <w:keepLines/>
      </w:pPr>
    </w:p>
    <w:p w:rsidR="00CA4CD6" w:rsidRPr="00D2273E" w:rsidRDefault="00D2273E" w:rsidP="001146F9">
      <w:pPr>
        <w:keepNext/>
        <w:keepLines/>
      </w:pPr>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C7336A">
        <w:t xml:space="preserve"> </w:t>
      </w:r>
      <w:r w:rsidR="00C7336A" w:rsidRPr="00C7336A">
        <w:t>NSPS for Nonmetallic Mineral Processing (40 CFR Part 60, Subpart OOO) (Renewal)</w:t>
      </w:r>
      <w:r w:rsidR="00C7336A">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w:t>
      </w:r>
      <w:r w:rsidR="001146F9">
        <w:rPr>
          <w:color w:val="000000"/>
        </w:rPr>
        <w:t xml:space="preserve">y </w:t>
      </w:r>
      <w:r w:rsidR="001146F9" w:rsidRPr="001146F9">
        <w:rPr>
          <w:color w:val="000000"/>
        </w:rPr>
        <w:t>4,8</w:t>
      </w:r>
      <w:r w:rsidR="002A7742">
        <w:rPr>
          <w:color w:val="000000"/>
        </w:rPr>
        <w:t>30</w:t>
      </w:r>
      <w:r w:rsidR="001146F9">
        <w:rPr>
          <w:color w:val="000000"/>
        </w:rPr>
        <w:t xml:space="preserve"> e</w:t>
      </w:r>
      <w:r>
        <w:rPr>
          <w:color w:val="000000"/>
        </w:rPr>
        <w:t>xisting respondents will be subject to the standard.  It is estimated that an additiona</w:t>
      </w:r>
      <w:r w:rsidR="001146F9">
        <w:rPr>
          <w:color w:val="000000"/>
        </w:rPr>
        <w:t xml:space="preserve">l 66.4 respondents </w:t>
      </w:r>
      <w:r>
        <w:rPr>
          <w:color w:val="000000"/>
        </w:rPr>
        <w:t>per year will become subject.  The overall average number of responden</w:t>
      </w:r>
      <w:r w:rsidR="0035325B">
        <w:rPr>
          <w:color w:val="000000"/>
        </w:rPr>
        <w:t>ts, as shown in the table below,</w:t>
      </w:r>
      <w:r>
        <w:rPr>
          <w:color w:val="000000"/>
        </w:rPr>
        <w:t xml:space="preserve"> i</w:t>
      </w:r>
      <w:r w:rsidR="001146F9">
        <w:rPr>
          <w:color w:val="000000"/>
        </w:rPr>
        <w:t xml:space="preserve">s </w:t>
      </w:r>
      <w:r w:rsidR="001146F9" w:rsidRPr="001146F9">
        <w:rPr>
          <w:color w:val="000000"/>
        </w:rPr>
        <w:t>4,896</w:t>
      </w:r>
      <w:r w:rsidR="001146F9">
        <w:rPr>
          <w:color w:val="000000"/>
        </w:rPr>
        <w:t xml:space="preserve"> </w:t>
      </w:r>
      <w:r w:rsidR="00761500">
        <w:rPr>
          <w:color w:val="000000"/>
        </w:rPr>
        <w:t>(rounded)</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Pr="00761500" w:rsidRDefault="00CA4CD6">
            <w:pPr>
              <w:spacing w:line="120" w:lineRule="exact"/>
              <w:rPr>
                <w:sz w:val="20"/>
                <w:szCs w:val="20"/>
              </w:rPr>
            </w:pPr>
          </w:p>
          <w:p w:rsidR="00CA4CD6" w:rsidRPr="0076150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66.4</w:t>
            </w:r>
          </w:p>
        </w:tc>
        <w:tc>
          <w:tcPr>
            <w:tcW w:w="1282" w:type="dxa"/>
            <w:tcBorders>
              <w:top w:val="single" w:sz="8"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1146F9">
            <w:pPr>
              <w:pBdr>
                <w:top w:val="single" w:sz="6" w:space="0" w:color="FFFFFF"/>
                <w:left w:val="single" w:sz="6" w:space="0" w:color="FFFFFF"/>
                <w:bottom w:val="single" w:sz="6" w:space="0" w:color="FFFFFF"/>
                <w:right w:val="single" w:sz="6" w:space="0" w:color="FFFFFF"/>
              </w:pBdr>
              <w:spacing w:after="52"/>
              <w:jc w:val="center"/>
              <w:rPr>
                <w:sz w:val="18"/>
                <w:szCs w:val="18"/>
              </w:rPr>
            </w:pPr>
            <w:r w:rsidRPr="001146F9">
              <w:rPr>
                <w:sz w:val="18"/>
                <w:szCs w:val="18"/>
              </w:rPr>
              <w:t>4,763.2</w:t>
            </w:r>
          </w:p>
        </w:tc>
        <w:tc>
          <w:tcPr>
            <w:tcW w:w="2070" w:type="dxa"/>
            <w:tcBorders>
              <w:top w:val="single" w:sz="8"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761500" w:rsidRDefault="00CA4CD6">
            <w:pPr>
              <w:spacing w:line="120" w:lineRule="exact"/>
              <w:rPr>
                <w:sz w:val="18"/>
                <w:szCs w:val="18"/>
              </w:rPr>
            </w:pPr>
          </w:p>
          <w:p w:rsidR="00CA4CD6" w:rsidRPr="00761500" w:rsidRDefault="001146F9">
            <w:pPr>
              <w:pBdr>
                <w:top w:val="single" w:sz="6" w:space="0" w:color="FFFFFF"/>
                <w:left w:val="single" w:sz="6" w:space="0" w:color="FFFFFF"/>
                <w:bottom w:val="single" w:sz="6" w:space="0" w:color="FFFFFF"/>
                <w:right w:val="single" w:sz="6" w:space="0" w:color="FFFFFF"/>
              </w:pBdr>
              <w:spacing w:after="52"/>
              <w:jc w:val="center"/>
              <w:rPr>
                <w:sz w:val="18"/>
                <w:szCs w:val="18"/>
              </w:rPr>
            </w:pPr>
            <w:r w:rsidRPr="001146F9">
              <w:rPr>
                <w:sz w:val="18"/>
                <w:szCs w:val="18"/>
              </w:rPr>
              <w:t>4,829.6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66.4</w:t>
            </w:r>
          </w:p>
        </w:tc>
        <w:tc>
          <w:tcPr>
            <w:tcW w:w="1282" w:type="dxa"/>
            <w:tcBorders>
              <w:top w:val="single" w:sz="6"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1146F9">
            <w:pPr>
              <w:pBdr>
                <w:top w:val="single" w:sz="6" w:space="0" w:color="FFFFFF"/>
                <w:left w:val="single" w:sz="6" w:space="0" w:color="FFFFFF"/>
                <w:bottom w:val="single" w:sz="6" w:space="0" w:color="FFFFFF"/>
                <w:right w:val="single" w:sz="6" w:space="0" w:color="FFFFFF"/>
              </w:pBdr>
              <w:spacing w:after="52"/>
              <w:jc w:val="center"/>
              <w:rPr>
                <w:sz w:val="18"/>
                <w:szCs w:val="18"/>
              </w:rPr>
            </w:pPr>
            <w:r w:rsidRPr="001146F9">
              <w:rPr>
                <w:sz w:val="18"/>
                <w:szCs w:val="18"/>
              </w:rPr>
              <w:t>4,829.6</w:t>
            </w:r>
          </w:p>
        </w:tc>
        <w:tc>
          <w:tcPr>
            <w:tcW w:w="2070" w:type="dxa"/>
            <w:tcBorders>
              <w:top w:val="single" w:sz="6"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52"/>
              <w:jc w:val="center"/>
              <w:rPr>
                <w:sz w:val="18"/>
                <w:szCs w:val="18"/>
              </w:rPr>
            </w:pPr>
            <w:r w:rsidRPr="0076150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761500" w:rsidRDefault="00CA4CD6">
            <w:pPr>
              <w:spacing w:line="120" w:lineRule="exact"/>
              <w:rPr>
                <w:sz w:val="18"/>
                <w:szCs w:val="18"/>
              </w:rPr>
            </w:pPr>
          </w:p>
          <w:p w:rsidR="00CA4CD6" w:rsidRPr="00761500" w:rsidRDefault="001146F9">
            <w:pPr>
              <w:pBdr>
                <w:top w:val="single" w:sz="6" w:space="0" w:color="FFFFFF"/>
                <w:left w:val="single" w:sz="6" w:space="0" w:color="FFFFFF"/>
                <w:bottom w:val="single" w:sz="6" w:space="0" w:color="FFFFFF"/>
                <w:right w:val="single" w:sz="6" w:space="0" w:color="FFFFFF"/>
              </w:pBdr>
              <w:spacing w:after="52"/>
              <w:jc w:val="center"/>
              <w:rPr>
                <w:sz w:val="18"/>
                <w:szCs w:val="18"/>
              </w:rPr>
            </w:pPr>
            <w:r w:rsidRPr="001146F9">
              <w:rPr>
                <w:sz w:val="18"/>
                <w:szCs w:val="18"/>
              </w:rPr>
              <w:t>4,896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66.4</w:t>
            </w:r>
          </w:p>
        </w:tc>
        <w:tc>
          <w:tcPr>
            <w:tcW w:w="1282" w:type="dxa"/>
            <w:tcBorders>
              <w:top w:val="single" w:sz="6"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1146F9">
            <w:pPr>
              <w:pBdr>
                <w:top w:val="single" w:sz="6" w:space="0" w:color="FFFFFF"/>
                <w:left w:val="single" w:sz="6" w:space="0" w:color="FFFFFF"/>
                <w:bottom w:val="single" w:sz="6" w:space="0" w:color="FFFFFF"/>
                <w:right w:val="single" w:sz="6" w:space="0" w:color="FFFFFF"/>
              </w:pBdr>
              <w:spacing w:after="72"/>
              <w:jc w:val="center"/>
              <w:rPr>
                <w:sz w:val="18"/>
                <w:szCs w:val="18"/>
              </w:rPr>
            </w:pPr>
            <w:r w:rsidRPr="001146F9">
              <w:rPr>
                <w:sz w:val="18"/>
                <w:szCs w:val="18"/>
              </w:rPr>
              <w:t>4,896</w:t>
            </w:r>
          </w:p>
        </w:tc>
        <w:tc>
          <w:tcPr>
            <w:tcW w:w="2070" w:type="dxa"/>
            <w:tcBorders>
              <w:top w:val="single" w:sz="6"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761500" w:rsidRDefault="00CA4CD6">
            <w:pPr>
              <w:spacing w:line="120" w:lineRule="exact"/>
              <w:rPr>
                <w:sz w:val="18"/>
                <w:szCs w:val="18"/>
              </w:rPr>
            </w:pPr>
          </w:p>
          <w:p w:rsidR="00CA4CD6" w:rsidRPr="00761500" w:rsidRDefault="001146F9">
            <w:pPr>
              <w:pBdr>
                <w:top w:val="single" w:sz="6" w:space="0" w:color="FFFFFF"/>
                <w:left w:val="single" w:sz="6" w:space="0" w:color="FFFFFF"/>
                <w:bottom w:val="single" w:sz="6" w:space="0" w:color="FFFFFF"/>
                <w:right w:val="single" w:sz="6" w:space="0" w:color="FFFFFF"/>
              </w:pBdr>
              <w:spacing w:after="72"/>
              <w:jc w:val="center"/>
              <w:rPr>
                <w:sz w:val="18"/>
                <w:szCs w:val="18"/>
              </w:rPr>
            </w:pPr>
            <w:r w:rsidRPr="001146F9">
              <w:rPr>
                <w:sz w:val="18"/>
                <w:szCs w:val="18"/>
              </w:rPr>
              <w:t>4,962.4</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Pr="00761500" w:rsidRDefault="00CA4CD6">
            <w:pPr>
              <w:spacing w:line="120" w:lineRule="exact"/>
              <w:rPr>
                <w:sz w:val="18"/>
                <w:szCs w:val="18"/>
              </w:rPr>
            </w:pPr>
          </w:p>
          <w:p w:rsidR="00CA4CD6" w:rsidRPr="00761500"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66.4</w:t>
            </w:r>
          </w:p>
        </w:tc>
        <w:tc>
          <w:tcPr>
            <w:tcW w:w="1282" w:type="dxa"/>
            <w:tcBorders>
              <w:top w:val="single" w:sz="6" w:space="0" w:color="000000"/>
              <w:left w:val="single" w:sz="6" w:space="0" w:color="000000"/>
              <w:bottom w:val="single" w:sz="8" w:space="0" w:color="000000"/>
              <w:right w:val="single" w:sz="6" w:space="0" w:color="000000"/>
            </w:tcBorders>
          </w:tcPr>
          <w:p w:rsidR="00CA4CD6" w:rsidRPr="00761500" w:rsidRDefault="00CA4CD6">
            <w:pPr>
              <w:spacing w:line="120" w:lineRule="exact"/>
              <w:rPr>
                <w:sz w:val="18"/>
                <w:szCs w:val="18"/>
              </w:rPr>
            </w:pPr>
          </w:p>
          <w:p w:rsidR="00CA4CD6" w:rsidRPr="00761500" w:rsidRDefault="001146F9">
            <w:pPr>
              <w:pBdr>
                <w:top w:val="single" w:sz="6" w:space="0" w:color="FFFFFF"/>
                <w:left w:val="single" w:sz="6" w:space="0" w:color="FFFFFF"/>
                <w:bottom w:val="single" w:sz="6" w:space="0" w:color="FFFFFF"/>
                <w:right w:val="single" w:sz="6" w:space="0" w:color="FFFFFF"/>
              </w:pBdr>
              <w:spacing w:after="72"/>
              <w:jc w:val="center"/>
              <w:rPr>
                <w:sz w:val="18"/>
                <w:szCs w:val="18"/>
              </w:rPr>
            </w:pPr>
            <w:r w:rsidRPr="001146F9">
              <w:rPr>
                <w:sz w:val="18"/>
                <w:szCs w:val="18"/>
              </w:rPr>
              <w:t>4,829.6</w:t>
            </w:r>
          </w:p>
        </w:tc>
        <w:tc>
          <w:tcPr>
            <w:tcW w:w="2070" w:type="dxa"/>
            <w:tcBorders>
              <w:top w:val="single" w:sz="6" w:space="0" w:color="000000"/>
              <w:left w:val="single" w:sz="6" w:space="0" w:color="000000"/>
              <w:bottom w:val="single" w:sz="8"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761500" w:rsidRDefault="00CA4CD6">
            <w:pPr>
              <w:spacing w:line="120" w:lineRule="exact"/>
              <w:rPr>
                <w:sz w:val="18"/>
                <w:szCs w:val="18"/>
              </w:rPr>
            </w:pPr>
          </w:p>
          <w:p w:rsidR="00CA4CD6" w:rsidRPr="00761500" w:rsidRDefault="00761500">
            <w:pPr>
              <w:pBdr>
                <w:top w:val="single" w:sz="6" w:space="0" w:color="FFFFFF"/>
                <w:left w:val="single" w:sz="6" w:space="0" w:color="FFFFFF"/>
                <w:bottom w:val="single" w:sz="6" w:space="0" w:color="FFFFFF"/>
                <w:right w:val="single" w:sz="6" w:space="0" w:color="FFFFFF"/>
              </w:pBdr>
              <w:spacing w:after="72"/>
              <w:jc w:val="center"/>
              <w:rPr>
                <w:sz w:val="18"/>
                <w:szCs w:val="18"/>
              </w:rPr>
            </w:pPr>
            <w:r w:rsidRPr="00761500">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761500" w:rsidRDefault="00CA4CD6">
            <w:pPr>
              <w:spacing w:line="120" w:lineRule="exact"/>
              <w:rPr>
                <w:sz w:val="18"/>
                <w:szCs w:val="18"/>
              </w:rPr>
            </w:pPr>
          </w:p>
          <w:p w:rsidR="00CA4CD6" w:rsidRPr="00761500" w:rsidRDefault="001146F9" w:rsidP="001146F9">
            <w:pPr>
              <w:pBdr>
                <w:top w:val="single" w:sz="6" w:space="0" w:color="FFFFFF"/>
                <w:left w:val="single" w:sz="6" w:space="0" w:color="FFFFFF"/>
                <w:bottom w:val="single" w:sz="6" w:space="0" w:color="FFFFFF"/>
                <w:right w:val="single" w:sz="6" w:space="0" w:color="FFFFFF"/>
              </w:pBdr>
              <w:spacing w:after="72"/>
              <w:jc w:val="center"/>
              <w:rPr>
                <w:sz w:val="18"/>
                <w:szCs w:val="18"/>
              </w:rPr>
            </w:pPr>
            <w:r w:rsidRPr="001146F9">
              <w:rPr>
                <w:sz w:val="18"/>
                <w:szCs w:val="18"/>
              </w:rPr>
              <w:t>4,896</w:t>
            </w:r>
          </w:p>
        </w:tc>
      </w:tr>
    </w:tbl>
    <w:p w:rsidR="00097FEE" w:rsidRPr="00097FEE"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097FEE">
        <w:rPr>
          <w:sz w:val="20"/>
          <w:szCs w:val="20"/>
          <w:vertAlign w:val="superscript"/>
        </w:rPr>
        <w:t>1</w:t>
      </w:r>
      <w:r w:rsidRPr="00097FEE">
        <w:rPr>
          <w:sz w:val="20"/>
          <w:szCs w:val="20"/>
        </w:rPr>
        <w:t xml:space="preserve"> </w:t>
      </w:r>
      <w:r w:rsidR="00097FEE" w:rsidRPr="00097FEE">
        <w:rPr>
          <w:sz w:val="20"/>
          <w:szCs w:val="20"/>
        </w:rPr>
        <w:t>New respondents include sources with constructed, reconstructed, and modified affected facilities.</w:t>
      </w:r>
    </w:p>
    <w:p w:rsidR="00761500" w:rsidRDefault="00761500">
      <w:pPr>
        <w:pBdr>
          <w:top w:val="single" w:sz="6" w:space="0" w:color="FFFFFF"/>
          <w:left w:val="single" w:sz="6" w:space="0" w:color="FFFFFF"/>
          <w:bottom w:val="single" w:sz="6" w:space="0" w:color="FFFFFF"/>
          <w:right w:val="single" w:sz="6" w:space="0" w:color="FFFFFF"/>
        </w:pBdr>
        <w:ind w:firstLine="720"/>
        <w:rPr>
          <w:color w:val="FF0000"/>
          <w:sz w:val="20"/>
          <w:szCs w:val="20"/>
        </w:rPr>
      </w:pPr>
    </w:p>
    <w:p w:rsidR="00CA4CD6" w:rsidRPr="00014EC7"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w:t>
      </w:r>
      <w:r w:rsidR="00CA4CD6" w:rsidRPr="00014EC7">
        <w:t>i</w:t>
      </w:r>
      <w:r w:rsidR="00014EC7" w:rsidRPr="00014EC7">
        <w:t>s 4,896</w:t>
      </w:r>
      <w:r w:rsidR="00507EC5" w:rsidRPr="00014EC7">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014EC7">
      <w:pPr>
        <w:keepNext/>
        <w:keepLines/>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total number of annual responses per year is calculated using the following table: </w:t>
      </w:r>
    </w:p>
    <w:p w:rsidR="00CA4CD6" w:rsidRDefault="00CA4CD6" w:rsidP="00014EC7">
      <w:pPr>
        <w:keepNext/>
        <w:keepLines/>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761500">
        <w:trPr>
          <w:tblHeader/>
        </w:trPr>
        <w:tc>
          <w:tcPr>
            <w:tcW w:w="9180" w:type="dxa"/>
            <w:gridSpan w:val="5"/>
          </w:tcPr>
          <w:p w:rsidR="00CA4CD6" w:rsidRDefault="00CA4CD6" w:rsidP="00014EC7">
            <w:pPr>
              <w:keepNext/>
              <w:keepLines/>
              <w:spacing w:line="120" w:lineRule="exact"/>
              <w:rPr>
                <w:color w:val="000000"/>
              </w:rPr>
            </w:pPr>
          </w:p>
          <w:p w:rsidR="00CA4CD6" w:rsidRDefault="00CA4CD6" w:rsidP="00014EC7">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761500">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146F9" w:rsidTr="002A7742">
        <w:tc>
          <w:tcPr>
            <w:tcW w:w="2700" w:type="dxa"/>
          </w:tcPr>
          <w:p w:rsidR="001146F9" w:rsidRDefault="001146F9" w:rsidP="001146F9">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actual startup</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r>
      <w:tr w:rsidR="001146F9" w:rsidTr="002A7742">
        <w:tc>
          <w:tcPr>
            <w:tcW w:w="2700" w:type="dxa"/>
          </w:tcPr>
          <w:p w:rsidR="001146F9" w:rsidRDefault="001146F9" w:rsidP="001146F9">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initial performance test</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r>
      <w:tr w:rsidR="001146F9" w:rsidTr="002A7742">
        <w:tc>
          <w:tcPr>
            <w:tcW w:w="2700" w:type="dxa"/>
          </w:tcPr>
          <w:p w:rsidR="001146F9" w:rsidRDefault="002A7742" w:rsidP="001146F9">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physical or operational change</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r>
      <w:tr w:rsidR="001146F9" w:rsidTr="002A7742">
        <w:tc>
          <w:tcPr>
            <w:tcW w:w="2700" w:type="dxa"/>
          </w:tcPr>
          <w:p w:rsidR="001146F9" w:rsidRDefault="001146F9" w:rsidP="001146F9">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Report of initial performance test (new sources)</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66.4</w:t>
            </w:r>
          </w:p>
        </w:tc>
      </w:tr>
      <w:tr w:rsidR="001146F9" w:rsidTr="002A7742">
        <w:tc>
          <w:tcPr>
            <w:tcW w:w="2700" w:type="dxa"/>
          </w:tcPr>
          <w:p w:rsidR="001146F9" w:rsidRDefault="001146F9" w:rsidP="001146F9">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Report of repeat initial performance test (new sources)</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16.6</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16.6</w:t>
            </w:r>
          </w:p>
        </w:tc>
      </w:tr>
      <w:tr w:rsidR="001146F9" w:rsidTr="002A7742">
        <w:tc>
          <w:tcPr>
            <w:tcW w:w="2700" w:type="dxa"/>
          </w:tcPr>
          <w:p w:rsidR="001146F9" w:rsidRDefault="001146F9" w:rsidP="001146F9">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Report of five-year performance test (existing sources)</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60.9</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207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60.9</w:t>
            </w:r>
          </w:p>
        </w:tc>
      </w:tr>
      <w:tr w:rsidR="001146F9" w:rsidTr="002A7742">
        <w:tc>
          <w:tcPr>
            <w:tcW w:w="2700" w:type="dxa"/>
          </w:tcPr>
          <w:p w:rsidR="001146F9" w:rsidRDefault="001146F9" w:rsidP="001146F9">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Records of startups, shutdowns, and malfunctions</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26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89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4,896</w:t>
            </w:r>
          </w:p>
        </w:tc>
        <w:tc>
          <w:tcPr>
            <w:tcW w:w="2070" w:type="dxa"/>
            <w:vAlign w:val="center"/>
          </w:tcPr>
          <w:p w:rsidR="001146F9" w:rsidRDefault="001146F9" w:rsidP="002A774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4,896</w:t>
            </w:r>
          </w:p>
        </w:tc>
      </w:tr>
      <w:tr w:rsidR="00CA4CD6" w:rsidRPr="001146F9" w:rsidTr="002A7742">
        <w:tc>
          <w:tcPr>
            <w:tcW w:w="2700" w:type="dxa"/>
          </w:tcPr>
          <w:p w:rsidR="00CA4CD6" w:rsidRPr="001146F9" w:rsidRDefault="00CA4CD6">
            <w:pPr>
              <w:spacing w:line="120" w:lineRule="exact"/>
              <w:rPr>
                <w:sz w:val="18"/>
                <w:szCs w:val="18"/>
              </w:rPr>
            </w:pPr>
          </w:p>
          <w:p w:rsidR="00CA4CD6" w:rsidRPr="001146F9"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vAlign w:val="center"/>
          </w:tcPr>
          <w:p w:rsidR="00CA4CD6" w:rsidRPr="001146F9" w:rsidRDefault="00CA4CD6" w:rsidP="002A7742">
            <w:pPr>
              <w:spacing w:line="120" w:lineRule="exact"/>
              <w:jc w:val="center"/>
              <w:rPr>
                <w:sz w:val="18"/>
                <w:szCs w:val="18"/>
              </w:rPr>
            </w:pPr>
          </w:p>
          <w:p w:rsidR="00CA4CD6" w:rsidRPr="001146F9" w:rsidRDefault="00CA4CD6" w:rsidP="002A774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vAlign w:val="center"/>
          </w:tcPr>
          <w:p w:rsidR="00CA4CD6" w:rsidRPr="001146F9" w:rsidRDefault="00CA4CD6" w:rsidP="002A7742">
            <w:pPr>
              <w:spacing w:line="120" w:lineRule="exact"/>
              <w:jc w:val="center"/>
              <w:rPr>
                <w:sz w:val="18"/>
                <w:szCs w:val="18"/>
              </w:rPr>
            </w:pPr>
          </w:p>
          <w:p w:rsidR="00CA4CD6" w:rsidRPr="001146F9" w:rsidRDefault="00CA4CD6" w:rsidP="002A7742">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vAlign w:val="center"/>
          </w:tcPr>
          <w:p w:rsidR="00CA4CD6" w:rsidRPr="001146F9" w:rsidRDefault="00CA4CD6" w:rsidP="002A7742">
            <w:pPr>
              <w:spacing w:line="120" w:lineRule="exact"/>
              <w:jc w:val="center"/>
              <w:rPr>
                <w:sz w:val="18"/>
                <w:szCs w:val="18"/>
              </w:rPr>
            </w:pPr>
          </w:p>
          <w:p w:rsidR="00CA4CD6" w:rsidRPr="001146F9" w:rsidRDefault="00CA4CD6" w:rsidP="002A7742">
            <w:pPr>
              <w:pBdr>
                <w:top w:val="single" w:sz="6" w:space="0" w:color="FFFFFF"/>
                <w:left w:val="single" w:sz="6" w:space="0" w:color="FFFFFF"/>
                <w:bottom w:val="single" w:sz="6" w:space="0" w:color="FFFFFF"/>
                <w:right w:val="single" w:sz="6" w:space="0" w:color="FFFFFF"/>
              </w:pBdr>
              <w:spacing w:after="52"/>
              <w:jc w:val="center"/>
              <w:rPr>
                <w:sz w:val="18"/>
                <w:szCs w:val="18"/>
              </w:rPr>
            </w:pPr>
            <w:r w:rsidRPr="001146F9">
              <w:rPr>
                <w:sz w:val="18"/>
                <w:szCs w:val="18"/>
              </w:rPr>
              <w:t>Total</w:t>
            </w:r>
          </w:p>
        </w:tc>
        <w:tc>
          <w:tcPr>
            <w:tcW w:w="2070" w:type="dxa"/>
            <w:vAlign w:val="center"/>
          </w:tcPr>
          <w:p w:rsidR="00CA4CD6" w:rsidRPr="001146F9" w:rsidRDefault="00CA4CD6" w:rsidP="002A7742">
            <w:pPr>
              <w:spacing w:line="120" w:lineRule="exact"/>
              <w:jc w:val="center"/>
              <w:rPr>
                <w:sz w:val="18"/>
                <w:szCs w:val="18"/>
              </w:rPr>
            </w:pPr>
          </w:p>
          <w:p w:rsidR="00CA4CD6" w:rsidRPr="001146F9" w:rsidRDefault="001146F9" w:rsidP="002A7742">
            <w:pPr>
              <w:pBdr>
                <w:top w:val="single" w:sz="6" w:space="0" w:color="FFFFFF"/>
                <w:left w:val="single" w:sz="6" w:space="0" w:color="FFFFFF"/>
                <w:bottom w:val="single" w:sz="6" w:space="0" w:color="FFFFFF"/>
                <w:right w:val="single" w:sz="6" w:space="0" w:color="FFFFFF"/>
              </w:pBdr>
              <w:spacing w:after="52"/>
              <w:jc w:val="center"/>
              <w:rPr>
                <w:sz w:val="18"/>
                <w:szCs w:val="18"/>
              </w:rPr>
            </w:pPr>
            <w:r w:rsidRPr="001146F9">
              <w:rPr>
                <w:sz w:val="18"/>
                <w:szCs w:val="18"/>
              </w:rPr>
              <w:t>5,239</w:t>
            </w:r>
            <w:r>
              <w:rPr>
                <w:sz w:val="18"/>
                <w:szCs w:val="18"/>
              </w:rPr>
              <w:t>.1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61500" w:rsidRDefault="00CA4CD6" w:rsidP="007615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w:t>
      </w:r>
      <w:r w:rsidR="001146F9">
        <w:rPr>
          <w:color w:val="000000"/>
        </w:rPr>
        <w:t xml:space="preserve">s </w:t>
      </w:r>
      <w:r w:rsidR="001146F9" w:rsidRPr="001146F9">
        <w:rPr>
          <w:color w:val="000000"/>
        </w:rPr>
        <w:t>5,239</w:t>
      </w:r>
      <w:r w:rsidR="001146F9">
        <w:rPr>
          <w:color w:val="000000"/>
        </w:rPr>
        <w:t xml:space="preserve"> </w:t>
      </w:r>
      <w:r w:rsidR="00761500">
        <w:rPr>
          <w:color w:val="000000"/>
        </w:rPr>
        <w:t>(rounded).</w:t>
      </w:r>
    </w:p>
    <w:p w:rsidR="00761500" w:rsidRDefault="00761500" w:rsidP="0076150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761500" w:rsidP="00C7336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CA4CD6">
        <w:rPr>
          <w:color w:val="000000"/>
        </w:rPr>
        <w:t>total annual labor costs ar</w:t>
      </w:r>
      <w:r w:rsidR="00014EC7">
        <w:rPr>
          <w:color w:val="000000"/>
        </w:rPr>
        <w:t>e $</w:t>
      </w:r>
      <w:r w:rsidR="00014EC7" w:rsidRPr="00014EC7">
        <w:rPr>
          <w:color w:val="000000"/>
        </w:rPr>
        <w:t>1,420,0</w:t>
      </w:r>
      <w:r w:rsidR="009E2E7D">
        <w:rPr>
          <w:color w:val="000000"/>
        </w:rPr>
        <w:t>00</w:t>
      </w:r>
      <w:r w:rsidR="00CA4CD6">
        <w:rPr>
          <w:color w:val="000000"/>
        </w:rPr>
        <w:t>.</w:t>
      </w:r>
      <w:r w:rsidR="00507EC5">
        <w:rPr>
          <w:color w:val="000000"/>
        </w:rPr>
        <w:t xml:space="preserve">  </w:t>
      </w:r>
      <w:r w:rsidR="00CA4CD6">
        <w:rPr>
          <w:color w:val="000000"/>
        </w:rPr>
        <w:t xml:space="preserve">Details regarding these estimates may be found </w:t>
      </w:r>
      <w:r w:rsidR="007A458D">
        <w:rPr>
          <w:color w:val="000000"/>
        </w:rPr>
        <w:t xml:space="preserve">below </w:t>
      </w:r>
      <w:r w:rsidR="0035325B">
        <w:rPr>
          <w:color w:val="000000"/>
        </w:rPr>
        <w:t>in Table 1:</w:t>
      </w:r>
      <w:r w:rsidR="00CA4CD6">
        <w:rPr>
          <w:color w:val="000000"/>
        </w:rPr>
        <w:t xml:space="preserve"> Annual Respondent Burden and Cost</w:t>
      </w:r>
      <w:r w:rsidR="00CF2B37">
        <w:rPr>
          <w:color w:val="000000"/>
        </w:rPr>
        <w:t xml:space="preserve"> –</w:t>
      </w:r>
      <w:r w:rsidR="00C7336A">
        <w:rPr>
          <w:color w:val="000000"/>
        </w:rPr>
        <w:t xml:space="preserve"> </w:t>
      </w:r>
      <w:r w:rsidR="00C7336A" w:rsidRPr="00C7336A">
        <w:rPr>
          <w:color w:val="000000"/>
        </w:rPr>
        <w:t>NSPS for Nonmetallic Mineral Processing (40 CFR Part 60, Subpart OOO) (Renewal)</w:t>
      </w:r>
      <w:r w:rsidR="00C7336A">
        <w:rPr>
          <w:color w:val="000000"/>
        </w:rPr>
        <w:t>.</w:t>
      </w:r>
    </w:p>
    <w:p w:rsidR="00C7336A" w:rsidRPr="00C7336A" w:rsidRDefault="00C7336A" w:rsidP="00C7336A">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w:t>
      </w:r>
      <w:r w:rsidRPr="00C7336A">
        <w:t>hours and cost calculations for the respondents and the Agency are shown in Tables 1 and 2</w:t>
      </w:r>
      <w:r w:rsidR="00FE2099" w:rsidRPr="00C7336A">
        <w:t xml:space="preserve"> below</w:t>
      </w:r>
      <w:r w:rsidRPr="00C7336A">
        <w:t>, respectively</w:t>
      </w:r>
      <w:r>
        <w:rPr>
          <w:color w:val="000000"/>
        </w:rPr>
        <w:t xml:space="preserve">,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w:t>
      </w:r>
      <w:r w:rsidR="00792668">
        <w:rPr>
          <w:color w:val="000000"/>
        </w:rPr>
        <w:t xml:space="preserve">e </w:t>
      </w:r>
      <w:r w:rsidR="00792668" w:rsidRPr="00792668">
        <w:rPr>
          <w:color w:val="000000"/>
        </w:rPr>
        <w:t>14,12</w:t>
      </w:r>
      <w:r w:rsidR="009E2E7D">
        <w:rPr>
          <w:color w:val="000000"/>
        </w:rPr>
        <w:t>0</w:t>
      </w:r>
      <w:r>
        <w:rPr>
          <w:color w:val="000000"/>
        </w:rPr>
        <w:t>.</w:t>
      </w:r>
      <w:r w:rsidR="00507EC5">
        <w:rPr>
          <w:color w:val="000000"/>
        </w:rPr>
        <w:t xml:space="preserve">  </w:t>
      </w:r>
      <w:r>
        <w:rPr>
          <w:color w:val="000000"/>
        </w:rPr>
        <w:t>Details regarding these estimates may be found in Table 1</w:t>
      </w:r>
      <w:r w:rsidR="00CF1739">
        <w:rPr>
          <w:color w:val="000000"/>
        </w:rPr>
        <w:t>:</w:t>
      </w:r>
      <w:r>
        <w:rPr>
          <w:color w:val="000000"/>
        </w:rPr>
        <w:t xml:space="preserve"> Annual Respondent Burden and Cost</w:t>
      </w:r>
      <w:r w:rsidR="00CF2B37">
        <w:rPr>
          <w:color w:val="000000"/>
        </w:rPr>
        <w:t xml:space="preserve"> –</w:t>
      </w:r>
      <w:r w:rsidR="00C7336A">
        <w:rPr>
          <w:color w:val="000000"/>
        </w:rPr>
        <w:t xml:space="preserve"> </w:t>
      </w:r>
      <w:r w:rsidR="00C7336A" w:rsidRPr="00C7336A">
        <w:rPr>
          <w:color w:val="000000"/>
        </w:rPr>
        <w:t>NSPS for Nonmetallic Mineral Processing (40 CFR Part 60, Subpart OOO) (Renewal)</w:t>
      </w:r>
      <w:r w:rsidR="00C7336A">
        <w:rPr>
          <w:color w:val="000000"/>
        </w:rPr>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00792668">
        <w:rPr>
          <w:color w:val="000000"/>
        </w:rPr>
        <w:t xml:space="preserve">e 3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792668">
        <w:rPr>
          <w:color w:val="000000"/>
        </w:rPr>
        <w:t xml:space="preserve"> </w:t>
      </w:r>
      <w:r w:rsidR="00792668" w:rsidRPr="00792668">
        <w:rPr>
          <w:color w:val="000000"/>
        </w:rPr>
        <w:t>$227,838</w:t>
      </w:r>
      <w:r w:rsidR="00792668">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w:t>
      </w:r>
      <w:r w:rsidR="009C6F16">
        <w:rPr>
          <w:color w:val="000000"/>
        </w:rPr>
        <w:t xml:space="preserve"> the</w:t>
      </w:r>
      <w:r>
        <w:rPr>
          <w:color w:val="000000"/>
        </w:rPr>
        <w:t xml:space="preserve"> next three years is estimated to b</w:t>
      </w:r>
      <w:r w:rsidR="00792668">
        <w:rPr>
          <w:color w:val="000000"/>
        </w:rPr>
        <w:t xml:space="preserve">e </w:t>
      </w:r>
      <w:r w:rsidR="00792668" w:rsidRPr="00792668">
        <w:rPr>
          <w:color w:val="000000"/>
        </w:rPr>
        <w:t>4,850</w:t>
      </w:r>
      <w:r w:rsidR="00792668">
        <w:rPr>
          <w:color w:val="000000"/>
        </w:rPr>
        <w:t xml:space="preserve"> </w:t>
      </w:r>
      <w:r>
        <w:rPr>
          <w:color w:val="000000"/>
        </w:rPr>
        <w:t>labor hours at a cost o</w:t>
      </w:r>
      <w:r w:rsidR="00792668">
        <w:rPr>
          <w:color w:val="000000"/>
        </w:rPr>
        <w:t>f $</w:t>
      </w:r>
      <w:r w:rsidR="00792668" w:rsidRPr="00792668">
        <w:rPr>
          <w:color w:val="000000"/>
        </w:rPr>
        <w:t>22</w:t>
      </w:r>
      <w:r w:rsidR="009E2E7D">
        <w:rPr>
          <w:color w:val="000000"/>
        </w:rPr>
        <w:t>1,000</w:t>
      </w:r>
      <w:r w:rsidR="00144F35">
        <w:rPr>
          <w:color w:val="000000"/>
        </w:rPr>
        <w:t xml:space="preserve">.  See Table 2: </w:t>
      </w:r>
      <w:r w:rsidR="00CF2B37" w:rsidRPr="00CF2B37">
        <w:t>Average Annual EPA Burden and Cost –</w:t>
      </w:r>
      <w:r w:rsidR="00C7336A">
        <w:t xml:space="preserve"> </w:t>
      </w:r>
      <w:r w:rsidR="00C7336A" w:rsidRPr="00C7336A">
        <w:t>NSPS for Nonmetallic Mineral Processing (40 CFR Part 60, Subpart OOO) (Renewal)</w:t>
      </w:r>
      <w:r w:rsidR="00C7336A">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D168FF"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6(f)  </w:t>
      </w:r>
      <w:r w:rsidRPr="00D168FF">
        <w:rPr>
          <w:b/>
          <w:bCs/>
        </w:rPr>
        <w:t>Reasons for Change in Burden</w:t>
      </w:r>
    </w:p>
    <w:p w:rsidR="00CA4CD6" w:rsidRPr="00D168FF" w:rsidRDefault="00CA4CD6">
      <w:pPr>
        <w:pBdr>
          <w:top w:val="single" w:sz="6" w:space="0" w:color="FFFFFF"/>
          <w:left w:val="single" w:sz="6" w:space="0" w:color="FFFFFF"/>
          <w:bottom w:val="single" w:sz="6" w:space="0" w:color="FFFFFF"/>
          <w:right w:val="single" w:sz="6" w:space="0" w:color="FFFFFF"/>
        </w:pBdr>
      </w:pPr>
    </w:p>
    <w:p w:rsidR="00C75DFD" w:rsidRPr="001F1137" w:rsidRDefault="00D168FF" w:rsidP="00C75DFD">
      <w:pPr>
        <w:pBdr>
          <w:top w:val="single" w:sz="6" w:space="0" w:color="FFFFFF"/>
          <w:left w:val="single" w:sz="6" w:space="0" w:color="FFFFFF"/>
          <w:bottom w:val="single" w:sz="6" w:space="0" w:color="FFFFFF"/>
          <w:right w:val="single" w:sz="6" w:space="0" w:color="FFFFFF"/>
        </w:pBdr>
      </w:pPr>
      <w:r w:rsidRPr="00D168FF">
        <w:tab/>
      </w:r>
      <w:r w:rsidR="00C75DFD">
        <w:t xml:space="preserve">There is an increase in the respondent burden from the </w:t>
      </w:r>
      <w:r w:rsidR="00C75DFD" w:rsidRPr="00D168FF">
        <w:t xml:space="preserve">most recently approved ICR.  This increase is not due to any program changes.  </w:t>
      </w:r>
      <w:r w:rsidR="00C75DFD">
        <w:t>T</w:t>
      </w:r>
      <w:r w:rsidR="00C75DFD" w:rsidRPr="00D168FF">
        <w:t>he previous ICR reflected burdens and costs associated with initial activities for subject facilities</w:t>
      </w:r>
      <w:r w:rsidR="00C75DFD">
        <w:t xml:space="preserve">, including </w:t>
      </w:r>
      <w:r w:rsidR="00C75DFD" w:rsidRPr="00D168FF">
        <w:t>performance test</w:t>
      </w:r>
      <w:r w:rsidR="00C75DFD">
        <w:t>ing</w:t>
      </w:r>
      <w:r w:rsidR="00C75DFD" w:rsidRPr="00D168FF">
        <w:t xml:space="preserve"> and establishing recordkeeping systems.  This ICR</w:t>
      </w:r>
      <w:r w:rsidR="00C75DFD">
        <w:t xml:space="preserve"> accounts for the additional </w:t>
      </w:r>
      <w:r w:rsidR="00C75DFD" w:rsidRPr="00D168FF">
        <w:t xml:space="preserve">burden </w:t>
      </w:r>
      <w:r w:rsidR="00C75DFD">
        <w:t xml:space="preserve">incurred by existing sources that must conduct </w:t>
      </w:r>
      <w:r w:rsidR="00C75DFD" w:rsidRPr="00D168FF">
        <w:t>five-year performance testing</w:t>
      </w:r>
      <w:r w:rsidR="00C75DFD">
        <w:t xml:space="preserve"> during this ICR period</w:t>
      </w:r>
      <w:r w:rsidR="00C75DFD" w:rsidRPr="00D168FF">
        <w:t xml:space="preserve">. </w:t>
      </w:r>
      <w:r w:rsidR="002A7742">
        <w:t xml:space="preserve"> </w:t>
      </w:r>
      <w:r w:rsidR="00C75DFD">
        <w:t xml:space="preserve">This ICR also reflects an increase in the total number of respondents due to industry growth. </w:t>
      </w:r>
      <w:r w:rsidR="00C75DFD" w:rsidRPr="001F1137">
        <w:t xml:space="preserve">The overall result is an increase </w:t>
      </w:r>
      <w:r w:rsidR="00C75DFD">
        <w:t xml:space="preserve">in total </w:t>
      </w:r>
      <w:r w:rsidR="00C75DFD" w:rsidRPr="001F1137">
        <w:t>burden hours and costs.</w:t>
      </w:r>
    </w:p>
    <w:p w:rsidR="00C75DFD" w:rsidRPr="001F1137" w:rsidRDefault="00C75DFD" w:rsidP="00C75DFD"/>
    <w:p w:rsidR="00C75DFD" w:rsidRDefault="00C75DFD" w:rsidP="00C75DFD">
      <w:pPr>
        <w:pBdr>
          <w:top w:val="single" w:sz="6" w:space="0" w:color="FFFFFF"/>
          <w:left w:val="single" w:sz="6" w:space="0" w:color="FFFFFF"/>
          <w:bottom w:val="single" w:sz="6" w:space="0" w:color="FFFFFF"/>
          <w:right w:val="single" w:sz="6" w:space="0" w:color="FFFFFF"/>
        </w:pBdr>
        <w:ind w:firstLine="720"/>
      </w:pPr>
      <w:r>
        <w:t>EPA has also updated the capital/startup and O&amp;M costs to reflect the additional costs incurred by existing sources that must conduct five year performance tests.  This adjustment resulted in an overall increase in the total capital/startup and O&amp;M cost.</w:t>
      </w:r>
    </w:p>
    <w:p w:rsidR="00C75DFD" w:rsidRDefault="00C75DFD" w:rsidP="00C75DFD">
      <w:pPr>
        <w:pBdr>
          <w:top w:val="single" w:sz="6" w:space="0" w:color="FFFFFF"/>
          <w:left w:val="single" w:sz="6" w:space="0" w:color="FFFFFF"/>
          <w:bottom w:val="single" w:sz="6" w:space="0" w:color="FFFFFF"/>
          <w:right w:val="single" w:sz="6" w:space="0" w:color="FFFFFF"/>
        </w:pBdr>
        <w:ind w:firstLine="720"/>
      </w:pPr>
    </w:p>
    <w:p w:rsidR="00C75DFD" w:rsidRPr="001F1137" w:rsidRDefault="00C75DFD" w:rsidP="00C75DFD">
      <w:pPr>
        <w:pBdr>
          <w:top w:val="single" w:sz="6" w:space="0" w:color="FFFFFF"/>
          <w:left w:val="single" w:sz="6" w:space="0" w:color="FFFFFF"/>
          <w:bottom w:val="single" w:sz="6" w:space="0" w:color="FFFFFF"/>
          <w:right w:val="single" w:sz="6" w:space="0" w:color="FFFFFF"/>
        </w:pBdr>
        <w:ind w:firstLine="720"/>
      </w:pPr>
      <w:r w:rsidRPr="008D41F0">
        <w:t xml:space="preserve">There is a decrease in Agency burden from the most recently approved ICR.  The previous ICR’s burden calculations largely overestimated the number of existing sources submitting performance test reports to EPA.  </w:t>
      </w:r>
      <w:r>
        <w:t>We have adjusted the number of sources accordingly.  This adjustment resulted in the overall decrease in the Agency burden.</w:t>
      </w:r>
    </w:p>
    <w:p w:rsidR="001F1137" w:rsidRPr="001F1137" w:rsidRDefault="001F1137" w:rsidP="00C75DFD">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00792668">
        <w:rPr>
          <w:color w:val="000000"/>
        </w:rPr>
        <w:t xml:space="preserve">e 3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w:t>
      </w:r>
      <w:bookmarkStart w:id="0" w:name="_GoBack"/>
      <w:bookmarkEnd w:id="0"/>
      <w:r>
        <w:rPr>
          <w:color w:val="000000"/>
        </w:rPr>
        <w:t xml:space="preserve">ollection of information unless it displays a valid OMB Control Number.  The OMB Control </w:t>
      </w:r>
      <w:r>
        <w:rPr>
          <w:color w:val="000000"/>
        </w:rPr>
        <w:lastRenderedPageBreak/>
        <w:t>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B0910" w:rsidRPr="001B0910">
        <w:t>EPA-HQ-OECA-2014-0039</w:t>
      </w:r>
      <w:r w:rsidR="001B0910">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B0910" w:rsidRPr="001B0910">
        <w:t>EPA-HQ-OECA-2014-0039</w:t>
      </w:r>
      <w:r w:rsidR="001B0910">
        <w:t xml:space="preserve"> </w:t>
      </w:r>
      <w:r w:rsidR="00CA4CD6">
        <w:t>and OMB Control Numbe</w:t>
      </w:r>
      <w:r w:rsidR="001B0910">
        <w:t xml:space="preserve">r 2060-0050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792668" w:rsidRDefault="00144F35" w:rsidP="002A7742">
      <w:pPr>
        <w:jc w:val="center"/>
        <w:outlineLvl w:val="0"/>
        <w:rPr>
          <w:b/>
          <w:bCs/>
        </w:rPr>
      </w:pPr>
      <w:r w:rsidRPr="00C4183F">
        <w:rPr>
          <w:b/>
          <w:bCs/>
          <w:color w:val="000000"/>
        </w:rPr>
        <w:lastRenderedPageBreak/>
        <w:t>Table 1: Annual Respondent Burden and Cost</w:t>
      </w:r>
      <w:r>
        <w:rPr>
          <w:b/>
          <w:bCs/>
          <w:color w:val="000000"/>
        </w:rPr>
        <w:t xml:space="preserve"> –</w:t>
      </w:r>
      <w:r w:rsidR="00C7336A">
        <w:rPr>
          <w:b/>
          <w:bCs/>
          <w:color w:val="000000"/>
        </w:rPr>
        <w:t xml:space="preserve"> </w:t>
      </w:r>
      <w:r w:rsidR="00C7336A" w:rsidRPr="00C7336A">
        <w:rPr>
          <w:b/>
          <w:bCs/>
          <w:color w:val="000000"/>
        </w:rPr>
        <w:t xml:space="preserve">NSPS for Nonmetallic Mineral Processing (40 CFR Part 60, Subpart OOO) </w:t>
      </w:r>
      <w:r w:rsidR="00C7336A" w:rsidRPr="00792668">
        <w:rPr>
          <w:b/>
          <w:bCs/>
        </w:rPr>
        <w:t>(Renewal)</w:t>
      </w:r>
    </w:p>
    <w:p w:rsidR="00144F35" w:rsidRPr="00792668" w:rsidRDefault="00144F35" w:rsidP="00F340DF">
      <w:pPr>
        <w:rPr>
          <w:b/>
          <w:bCs/>
        </w:rPr>
      </w:pPr>
    </w:p>
    <w:tbl>
      <w:tblPr>
        <w:tblW w:w="13064" w:type="dxa"/>
        <w:jc w:val="center"/>
        <w:tblCellMar>
          <w:left w:w="58" w:type="dxa"/>
          <w:right w:w="58" w:type="dxa"/>
        </w:tblCellMar>
        <w:tblLook w:val="04A0" w:firstRow="1" w:lastRow="0" w:firstColumn="1" w:lastColumn="0" w:noHBand="0" w:noVBand="1"/>
      </w:tblPr>
      <w:tblGrid>
        <w:gridCol w:w="3357"/>
        <w:gridCol w:w="1340"/>
        <w:gridCol w:w="1257"/>
        <w:gridCol w:w="1420"/>
        <w:gridCol w:w="1206"/>
        <w:gridCol w:w="1080"/>
        <w:gridCol w:w="1240"/>
        <w:gridCol w:w="1084"/>
        <w:gridCol w:w="1080"/>
      </w:tblGrid>
      <w:tr w:rsidR="00792668" w:rsidRPr="00792668" w:rsidTr="00792668">
        <w:trPr>
          <w:trHeight w:val="255"/>
          <w:tblHeader/>
          <w:jc w:val="center"/>
        </w:trPr>
        <w:tc>
          <w:tcPr>
            <w:tcW w:w="335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92668" w:rsidRPr="00792668" w:rsidRDefault="00792668" w:rsidP="00792668">
            <w:pPr>
              <w:widowControl/>
              <w:autoSpaceDE/>
              <w:autoSpaceDN/>
              <w:adjustRightInd/>
              <w:rPr>
                <w:b/>
                <w:bCs/>
                <w:sz w:val="20"/>
                <w:szCs w:val="20"/>
              </w:rPr>
            </w:pPr>
            <w:r w:rsidRPr="00792668">
              <w:rPr>
                <w:b/>
                <w:bCs/>
                <w:sz w:val="20"/>
                <w:szCs w:val="20"/>
              </w:rPr>
              <w:t>Burden item</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F</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H</w:t>
            </w:r>
          </w:p>
        </w:tc>
      </w:tr>
      <w:tr w:rsidR="00792668" w:rsidRPr="00792668" w:rsidTr="00792668">
        <w:trPr>
          <w:trHeight w:val="899"/>
          <w:tblHeader/>
          <w:jc w:val="center"/>
        </w:trPr>
        <w:tc>
          <w:tcPr>
            <w:tcW w:w="3357" w:type="dxa"/>
            <w:vMerge/>
            <w:tcBorders>
              <w:top w:val="single" w:sz="4" w:space="0" w:color="auto"/>
              <w:left w:val="single" w:sz="4" w:space="0" w:color="auto"/>
              <w:bottom w:val="single" w:sz="4" w:space="0" w:color="000000"/>
              <w:right w:val="single" w:sz="4" w:space="0" w:color="auto"/>
            </w:tcBorders>
            <w:vAlign w:val="center"/>
            <w:hideMark/>
          </w:tcPr>
          <w:p w:rsidR="00792668" w:rsidRPr="00792668" w:rsidRDefault="00792668" w:rsidP="00792668">
            <w:pPr>
              <w:widowControl/>
              <w:autoSpaceDE/>
              <w:autoSpaceDN/>
              <w:adjustRightInd/>
              <w:rPr>
                <w:b/>
                <w:bCs/>
                <w:sz w:val="20"/>
                <w:szCs w:val="20"/>
              </w:rPr>
            </w:pPr>
          </w:p>
        </w:tc>
        <w:tc>
          <w:tcPr>
            <w:tcW w:w="1340" w:type="dxa"/>
            <w:tcBorders>
              <w:top w:val="nil"/>
              <w:left w:val="nil"/>
              <w:bottom w:val="single" w:sz="4" w:space="0" w:color="auto"/>
              <w:right w:val="single" w:sz="4" w:space="0" w:color="auto"/>
            </w:tcBorders>
            <w:shd w:val="clear" w:color="auto" w:fill="auto"/>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Person-hours</w:t>
            </w:r>
            <w:r w:rsidRPr="00792668">
              <w:rPr>
                <w:b/>
                <w:bCs/>
                <w:sz w:val="20"/>
                <w:szCs w:val="20"/>
              </w:rPr>
              <w:br/>
              <w:t>per occurrence</w:t>
            </w:r>
          </w:p>
        </w:tc>
        <w:tc>
          <w:tcPr>
            <w:tcW w:w="1257" w:type="dxa"/>
            <w:tcBorders>
              <w:top w:val="nil"/>
              <w:left w:val="nil"/>
              <w:bottom w:val="single" w:sz="4" w:space="0" w:color="auto"/>
              <w:right w:val="single" w:sz="4" w:space="0" w:color="auto"/>
            </w:tcBorders>
            <w:shd w:val="clear" w:color="auto" w:fill="auto"/>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Annual occurrences</w:t>
            </w:r>
            <w:r w:rsidRPr="00792668">
              <w:rPr>
                <w:b/>
                <w:bCs/>
                <w:sz w:val="20"/>
                <w:szCs w:val="20"/>
              </w:rPr>
              <w:br/>
              <w:t>per respondent</w:t>
            </w:r>
          </w:p>
        </w:tc>
        <w:tc>
          <w:tcPr>
            <w:tcW w:w="1420" w:type="dxa"/>
            <w:tcBorders>
              <w:top w:val="nil"/>
              <w:left w:val="nil"/>
              <w:bottom w:val="single" w:sz="4" w:space="0" w:color="auto"/>
              <w:right w:val="single" w:sz="4" w:space="0" w:color="auto"/>
            </w:tcBorders>
            <w:shd w:val="clear" w:color="auto" w:fill="auto"/>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Person-hours</w:t>
            </w:r>
            <w:r w:rsidRPr="00792668">
              <w:rPr>
                <w:b/>
                <w:bCs/>
                <w:sz w:val="20"/>
                <w:szCs w:val="20"/>
              </w:rPr>
              <w:br/>
              <w:t>per respondent</w:t>
            </w:r>
            <w:r w:rsidRPr="00792668">
              <w:rPr>
                <w:b/>
                <w:bCs/>
                <w:sz w:val="20"/>
                <w:szCs w:val="20"/>
              </w:rPr>
              <w:br/>
              <w:t>per year (AxB)</w:t>
            </w:r>
          </w:p>
        </w:tc>
        <w:tc>
          <w:tcPr>
            <w:tcW w:w="1206" w:type="dxa"/>
            <w:tcBorders>
              <w:top w:val="nil"/>
              <w:left w:val="nil"/>
              <w:bottom w:val="single" w:sz="4" w:space="0" w:color="auto"/>
              <w:right w:val="single" w:sz="4" w:space="0" w:color="auto"/>
            </w:tcBorders>
            <w:shd w:val="clear" w:color="auto" w:fill="auto"/>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Respondents</w:t>
            </w:r>
            <w:r w:rsidRPr="00792668">
              <w:rPr>
                <w:b/>
                <w:bCs/>
                <w:sz w:val="20"/>
                <w:szCs w:val="20"/>
              </w:rPr>
              <w:br/>
              <w:t xml:space="preserve">per year </w:t>
            </w:r>
            <w:r w:rsidRPr="00792668">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Technical hours per</w:t>
            </w:r>
            <w:r w:rsidRPr="00792668">
              <w:rPr>
                <w:b/>
                <w:bCs/>
                <w:sz w:val="20"/>
                <w:szCs w:val="20"/>
              </w:rPr>
              <w:br/>
              <w:t>year (CxD)</w:t>
            </w:r>
          </w:p>
        </w:tc>
        <w:tc>
          <w:tcPr>
            <w:tcW w:w="1240" w:type="dxa"/>
            <w:tcBorders>
              <w:top w:val="nil"/>
              <w:left w:val="nil"/>
              <w:bottom w:val="single" w:sz="4" w:space="0" w:color="auto"/>
              <w:right w:val="single" w:sz="4" w:space="0" w:color="auto"/>
            </w:tcBorders>
            <w:shd w:val="clear" w:color="auto" w:fill="auto"/>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Management hours per year (Ex0.05)</w:t>
            </w:r>
          </w:p>
        </w:tc>
        <w:tc>
          <w:tcPr>
            <w:tcW w:w="1084" w:type="dxa"/>
            <w:tcBorders>
              <w:top w:val="nil"/>
              <w:left w:val="nil"/>
              <w:bottom w:val="single" w:sz="4" w:space="0" w:color="auto"/>
              <w:right w:val="single" w:sz="4" w:space="0" w:color="auto"/>
            </w:tcBorders>
            <w:shd w:val="clear" w:color="auto" w:fill="auto"/>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Clerical hours</w:t>
            </w:r>
            <w:r w:rsidRPr="00792668">
              <w:rPr>
                <w:b/>
                <w:bCs/>
                <w:sz w:val="20"/>
                <w:szCs w:val="20"/>
              </w:rPr>
              <w:br/>
              <w:t>per year</w:t>
            </w:r>
            <w:r w:rsidRPr="00792668">
              <w:rPr>
                <w:b/>
                <w:bCs/>
                <w:sz w:val="20"/>
                <w:szCs w:val="20"/>
              </w:rPr>
              <w:br/>
              <w:t>(Ex0.10)</w:t>
            </w:r>
          </w:p>
        </w:tc>
        <w:tc>
          <w:tcPr>
            <w:tcW w:w="1080" w:type="dxa"/>
            <w:tcBorders>
              <w:top w:val="nil"/>
              <w:left w:val="nil"/>
              <w:bottom w:val="single" w:sz="4" w:space="0" w:color="auto"/>
              <w:right w:val="single" w:sz="4" w:space="0" w:color="auto"/>
            </w:tcBorders>
            <w:shd w:val="clear" w:color="auto" w:fill="auto"/>
            <w:vAlign w:val="bottom"/>
            <w:hideMark/>
          </w:tcPr>
          <w:p w:rsidR="00792668" w:rsidRPr="00792668" w:rsidRDefault="00792668" w:rsidP="00792668">
            <w:pPr>
              <w:widowControl/>
              <w:autoSpaceDE/>
              <w:autoSpaceDN/>
              <w:adjustRightInd/>
              <w:jc w:val="center"/>
              <w:rPr>
                <w:b/>
                <w:bCs/>
                <w:sz w:val="20"/>
                <w:szCs w:val="20"/>
              </w:rPr>
            </w:pPr>
            <w:r w:rsidRPr="00792668">
              <w:rPr>
                <w:b/>
                <w:bCs/>
                <w:sz w:val="20"/>
                <w:szCs w:val="20"/>
              </w:rPr>
              <w:t>Annual cost</w:t>
            </w:r>
            <w:r w:rsidRPr="00792668">
              <w:rPr>
                <w:b/>
                <w:bCs/>
                <w:sz w:val="20"/>
                <w:szCs w:val="20"/>
              </w:rPr>
              <w:br/>
              <w:t xml:space="preserve">($) </w:t>
            </w:r>
            <w:r w:rsidRPr="00792668">
              <w:rPr>
                <w:b/>
                <w:bCs/>
                <w:sz w:val="20"/>
                <w:szCs w:val="20"/>
                <w:vertAlign w:val="superscript"/>
              </w:rPr>
              <w:t>b</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219" w:hanging="219"/>
              <w:rPr>
                <w:sz w:val="20"/>
                <w:szCs w:val="20"/>
              </w:rPr>
            </w:pPr>
            <w:r w:rsidRPr="00792668">
              <w:rPr>
                <w:sz w:val="20"/>
                <w:szCs w:val="20"/>
              </w:rPr>
              <w:t>1.  Applications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N/A</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219" w:hanging="219"/>
              <w:rPr>
                <w:sz w:val="20"/>
                <w:szCs w:val="20"/>
              </w:rPr>
            </w:pPr>
            <w:r w:rsidRPr="00792668">
              <w:rPr>
                <w:sz w:val="20"/>
                <w:szCs w:val="20"/>
              </w:rPr>
              <w:t>2.  Surveys and studies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N/A</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510"/>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219" w:hanging="219"/>
              <w:rPr>
                <w:sz w:val="20"/>
                <w:szCs w:val="20"/>
              </w:rPr>
            </w:pPr>
            <w:r w:rsidRPr="00792668">
              <w:rPr>
                <w:sz w:val="20"/>
                <w:szCs w:val="20"/>
              </w:rPr>
              <w:t>3.  Acquisition, installation, and utilization of technology and systems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N/A</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rPr>
                <w:sz w:val="20"/>
                <w:szCs w:val="20"/>
              </w:rPr>
            </w:pPr>
            <w:r w:rsidRPr="00792668">
              <w:rPr>
                <w:sz w:val="20"/>
                <w:szCs w:val="20"/>
              </w:rPr>
              <w:t>4.  Reporting requirements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A.  Read instructions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66.4</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66.4</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3.32</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6.64</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7,678.86</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B.  Required activities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31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579"/>
              <w:rPr>
                <w:sz w:val="20"/>
                <w:szCs w:val="20"/>
              </w:rPr>
            </w:pPr>
            <w:r w:rsidRPr="00792668">
              <w:rPr>
                <w:sz w:val="20"/>
                <w:szCs w:val="20"/>
              </w:rPr>
              <w:t xml:space="preserve">Monitoring: wet suppression </w:t>
            </w:r>
            <w:r w:rsidRPr="00792668">
              <w:rPr>
                <w:sz w:val="20"/>
                <w:szCs w:val="20"/>
                <w:vertAlign w:val="superscript"/>
              </w:rPr>
              <w:t>c</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0.17</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12</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2.04</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60.9</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124.24</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6.21</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12.42</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14,367.33</w:t>
            </w:r>
          </w:p>
        </w:tc>
      </w:tr>
      <w:tr w:rsidR="00792668" w:rsidRPr="00792668" w:rsidTr="00792668">
        <w:trPr>
          <w:trHeight w:val="31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579"/>
              <w:rPr>
                <w:sz w:val="20"/>
                <w:szCs w:val="20"/>
              </w:rPr>
            </w:pPr>
            <w:r w:rsidRPr="00792668">
              <w:rPr>
                <w:sz w:val="20"/>
                <w:szCs w:val="20"/>
              </w:rPr>
              <w:t xml:space="preserve">Monitoring: M22 readings </w:t>
            </w:r>
            <w:r w:rsidRPr="00792668">
              <w:rPr>
                <w:sz w:val="20"/>
                <w:szCs w:val="20"/>
                <w:vertAlign w:val="superscript"/>
              </w:rPr>
              <w:t>d</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4</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4</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5.5</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22</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1.1</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2.2</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2,544.2</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C.  Create information</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See 4B</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D.  Gather existing information</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See 4E</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E.  Write reports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firstLineChars="300" w:firstLine="600"/>
              <w:rPr>
                <w:sz w:val="20"/>
                <w:szCs w:val="20"/>
              </w:rPr>
            </w:pPr>
            <w:r w:rsidRPr="00792668">
              <w:rPr>
                <w:sz w:val="20"/>
                <w:szCs w:val="20"/>
              </w:rPr>
              <w:t>Notification of actual startup</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2</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2</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66.4</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132.8</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6.64</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13.28</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15,357.72</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579"/>
              <w:rPr>
                <w:sz w:val="20"/>
                <w:szCs w:val="20"/>
              </w:rPr>
            </w:pPr>
            <w:r w:rsidRPr="00792668">
              <w:rPr>
                <w:sz w:val="20"/>
                <w:szCs w:val="20"/>
              </w:rPr>
              <w:t>Notification of initial performance test</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2</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2</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66.4</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132.8</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6.64</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13.28</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15,357.72</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firstLineChars="300" w:firstLine="600"/>
              <w:rPr>
                <w:sz w:val="20"/>
                <w:szCs w:val="20"/>
              </w:rPr>
            </w:pPr>
            <w:r w:rsidRPr="00792668">
              <w:rPr>
                <w:sz w:val="20"/>
                <w:szCs w:val="20"/>
              </w:rPr>
              <w:t>Report of performance test</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See 5B</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579"/>
              <w:rPr>
                <w:sz w:val="20"/>
                <w:szCs w:val="20"/>
              </w:rPr>
            </w:pPr>
            <w:r w:rsidRPr="00792668">
              <w:rPr>
                <w:sz w:val="20"/>
                <w:szCs w:val="20"/>
              </w:rPr>
              <w:t>Notification of physical/</w:t>
            </w:r>
            <w:r>
              <w:rPr>
                <w:sz w:val="20"/>
                <w:szCs w:val="20"/>
              </w:rPr>
              <w:t xml:space="preserve"> </w:t>
            </w:r>
            <w:r w:rsidRPr="00792668">
              <w:rPr>
                <w:sz w:val="20"/>
                <w:szCs w:val="20"/>
              </w:rPr>
              <w:t>operational change</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2</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2</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66.4</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132.8</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6.64</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13.28</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15,357.72</w:t>
            </w:r>
          </w:p>
        </w:tc>
      </w:tr>
      <w:tr w:rsidR="00792668" w:rsidRPr="00792668" w:rsidTr="00792668">
        <w:trPr>
          <w:trHeight w:val="270"/>
          <w:jc w:val="center"/>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792668" w:rsidRPr="00792668" w:rsidRDefault="00792668" w:rsidP="00792668">
            <w:pPr>
              <w:widowControl/>
              <w:autoSpaceDE/>
              <w:autoSpaceDN/>
              <w:adjustRightInd/>
              <w:rPr>
                <w:b/>
                <w:bCs/>
                <w:i/>
                <w:iCs/>
                <w:color w:val="000000"/>
                <w:sz w:val="20"/>
                <w:szCs w:val="20"/>
              </w:rPr>
            </w:pPr>
            <w:r w:rsidRPr="00792668">
              <w:rPr>
                <w:b/>
                <w:bCs/>
                <w:i/>
                <w:iCs/>
                <w:color w:val="000000"/>
                <w:sz w:val="20"/>
                <w:szCs w:val="20"/>
              </w:rPr>
              <w:t>Reporting Subtotal</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b/>
                <w:bCs/>
                <w:i/>
                <w:iCs/>
                <w:sz w:val="20"/>
                <w:szCs w:val="20"/>
              </w:rPr>
            </w:pPr>
            <w:r w:rsidRPr="00792668">
              <w:rPr>
                <w:b/>
                <w:bCs/>
                <w:i/>
                <w:iCs/>
                <w:sz w:val="20"/>
                <w:szCs w:val="20"/>
              </w:rPr>
              <w:t> </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b/>
                <w:bCs/>
                <w:i/>
                <w:iCs/>
                <w:sz w:val="20"/>
                <w:szCs w:val="20"/>
              </w:rPr>
            </w:pPr>
            <w:r w:rsidRPr="00792668">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b/>
                <w:bCs/>
                <w:i/>
                <w:iCs/>
                <w:sz w:val="20"/>
                <w:szCs w:val="20"/>
              </w:rPr>
            </w:pPr>
            <w:r w:rsidRPr="00792668">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b/>
                <w:bCs/>
                <w:i/>
                <w:iCs/>
                <w:sz w:val="20"/>
                <w:szCs w:val="20"/>
              </w:rPr>
            </w:pPr>
            <w:r w:rsidRPr="00792668">
              <w:rPr>
                <w:b/>
                <w:bCs/>
                <w:i/>
                <w:iCs/>
                <w:sz w:val="20"/>
                <w:szCs w:val="20"/>
              </w:rPr>
              <w:t> </w:t>
            </w:r>
          </w:p>
        </w:tc>
        <w:tc>
          <w:tcPr>
            <w:tcW w:w="3404" w:type="dxa"/>
            <w:gridSpan w:val="3"/>
            <w:tcBorders>
              <w:top w:val="single" w:sz="4" w:space="0" w:color="auto"/>
              <w:left w:val="nil"/>
              <w:bottom w:val="single" w:sz="4" w:space="0" w:color="auto"/>
              <w:right w:val="single" w:sz="4" w:space="0" w:color="000000"/>
            </w:tcBorders>
            <w:shd w:val="clear" w:color="auto" w:fill="auto"/>
            <w:hideMark/>
          </w:tcPr>
          <w:p w:rsidR="00792668" w:rsidRPr="00792668" w:rsidRDefault="00792668" w:rsidP="00792668">
            <w:pPr>
              <w:widowControl/>
              <w:autoSpaceDE/>
              <w:autoSpaceDN/>
              <w:adjustRightInd/>
              <w:jc w:val="center"/>
              <w:rPr>
                <w:b/>
                <w:bCs/>
                <w:i/>
                <w:iCs/>
                <w:sz w:val="20"/>
                <w:szCs w:val="20"/>
              </w:rPr>
            </w:pPr>
            <w:r w:rsidRPr="00792668">
              <w:rPr>
                <w:b/>
                <w:bCs/>
                <w:i/>
                <w:iCs/>
                <w:sz w:val="20"/>
                <w:szCs w:val="20"/>
              </w:rPr>
              <w:t>703</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b/>
                <w:bCs/>
                <w:i/>
                <w:iCs/>
                <w:sz w:val="20"/>
                <w:szCs w:val="20"/>
              </w:rPr>
            </w:pPr>
            <w:r w:rsidRPr="00792668">
              <w:rPr>
                <w:b/>
                <w:bCs/>
                <w:i/>
                <w:iCs/>
                <w:sz w:val="20"/>
                <w:szCs w:val="20"/>
              </w:rPr>
              <w:t>70,664</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219" w:hanging="219"/>
              <w:rPr>
                <w:sz w:val="20"/>
                <w:szCs w:val="20"/>
              </w:rPr>
            </w:pPr>
            <w:r w:rsidRPr="00792668">
              <w:rPr>
                <w:sz w:val="20"/>
                <w:szCs w:val="20"/>
              </w:rPr>
              <w:t>5.  Recordkeeping</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A.  Read instructions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See 4A</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B.  Plan activities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31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579"/>
              <w:rPr>
                <w:sz w:val="20"/>
                <w:szCs w:val="20"/>
              </w:rPr>
            </w:pPr>
            <w:r w:rsidRPr="00792668">
              <w:rPr>
                <w:sz w:val="20"/>
                <w:szCs w:val="20"/>
              </w:rPr>
              <w:t xml:space="preserve">Initial performance test (new sources) </w:t>
            </w:r>
            <w:r w:rsidRPr="00792668">
              <w:rPr>
                <w:sz w:val="20"/>
                <w:szCs w:val="20"/>
                <w:vertAlign w:val="superscript"/>
              </w:rPr>
              <w:t>e</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30</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30</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66.4</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1,992</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99.6</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199.2</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230,365.84</w:t>
            </w:r>
          </w:p>
        </w:tc>
      </w:tr>
      <w:tr w:rsidR="00792668" w:rsidRPr="00792668" w:rsidTr="00792668">
        <w:trPr>
          <w:trHeight w:val="31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579"/>
              <w:rPr>
                <w:sz w:val="20"/>
                <w:szCs w:val="20"/>
              </w:rPr>
            </w:pPr>
            <w:r w:rsidRPr="00792668">
              <w:rPr>
                <w:sz w:val="20"/>
                <w:szCs w:val="20"/>
              </w:rPr>
              <w:t xml:space="preserve">Repeat initial performance test (new sources) </w:t>
            </w:r>
            <w:r w:rsidRPr="00792668">
              <w:rPr>
                <w:sz w:val="20"/>
                <w:szCs w:val="20"/>
                <w:vertAlign w:val="superscript"/>
              </w:rPr>
              <w:t>e, f</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30</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30</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16.6</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498</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24.9</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49.8</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57,591.46</w:t>
            </w:r>
          </w:p>
        </w:tc>
      </w:tr>
      <w:tr w:rsidR="00792668" w:rsidRPr="00792668" w:rsidTr="00792668">
        <w:trPr>
          <w:trHeight w:val="31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579"/>
              <w:rPr>
                <w:sz w:val="20"/>
                <w:szCs w:val="20"/>
              </w:rPr>
            </w:pPr>
            <w:r w:rsidRPr="00792668">
              <w:rPr>
                <w:sz w:val="20"/>
                <w:szCs w:val="20"/>
              </w:rPr>
              <w:lastRenderedPageBreak/>
              <w:t xml:space="preserve">Five-year performance test (existing sources) </w:t>
            </w:r>
            <w:r w:rsidRPr="00792668">
              <w:rPr>
                <w:sz w:val="20"/>
                <w:szCs w:val="20"/>
                <w:vertAlign w:val="superscript"/>
              </w:rPr>
              <w:t>e, g</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30</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30</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60.9</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1,827</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91.35</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182.7</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211,284.33</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C.  Implement activities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See 4B</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D.  Record data</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579"/>
              <w:rPr>
                <w:sz w:val="20"/>
                <w:szCs w:val="20"/>
              </w:rPr>
            </w:pPr>
            <w:r w:rsidRPr="00792668">
              <w:rPr>
                <w:sz w:val="20"/>
                <w:szCs w:val="20"/>
              </w:rPr>
              <w:t>Monitoring: wet suppression</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0.1</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0.1</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60.9</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6.09</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0.3</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0.61</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703.75</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579"/>
              <w:rPr>
                <w:sz w:val="20"/>
                <w:szCs w:val="20"/>
              </w:rPr>
            </w:pPr>
            <w:r w:rsidRPr="00792668">
              <w:rPr>
                <w:sz w:val="20"/>
                <w:szCs w:val="20"/>
              </w:rPr>
              <w:t>Monitoring: M22 readings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0.2</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0.2</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5.5</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1.1</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0.06</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0.11</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127.86</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E.  Time to transmit or disclose information</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579"/>
              <w:rPr>
                <w:sz w:val="20"/>
                <w:szCs w:val="20"/>
              </w:rPr>
            </w:pPr>
            <w:r w:rsidRPr="00792668">
              <w:rPr>
                <w:sz w:val="20"/>
                <w:szCs w:val="20"/>
              </w:rPr>
              <w:t>Records of startups, shutdowns, and malfunctions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1.5</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1.5</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4,896</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7,344</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367.2</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734.4</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849,300.55</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F.  Time to train personnel</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N/A</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55"/>
          <w:jc w:val="center"/>
        </w:trPr>
        <w:tc>
          <w:tcPr>
            <w:tcW w:w="3357" w:type="dxa"/>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ind w:left="489" w:hanging="270"/>
              <w:rPr>
                <w:sz w:val="20"/>
                <w:szCs w:val="20"/>
              </w:rPr>
            </w:pPr>
            <w:r w:rsidRPr="00792668">
              <w:rPr>
                <w:sz w:val="20"/>
                <w:szCs w:val="20"/>
              </w:rPr>
              <w:t>G.  Time for audits</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N/A</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4"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sz w:val="20"/>
                <w:szCs w:val="20"/>
              </w:rPr>
            </w:pPr>
            <w:r w:rsidRPr="007926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sz w:val="20"/>
                <w:szCs w:val="20"/>
              </w:rPr>
            </w:pPr>
            <w:r w:rsidRPr="00792668">
              <w:rPr>
                <w:sz w:val="20"/>
                <w:szCs w:val="20"/>
              </w:rPr>
              <w:t> </w:t>
            </w:r>
          </w:p>
        </w:tc>
      </w:tr>
      <w:tr w:rsidR="00792668" w:rsidRPr="00792668" w:rsidTr="00792668">
        <w:trPr>
          <w:trHeight w:val="270"/>
          <w:jc w:val="center"/>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792668" w:rsidRPr="00792668" w:rsidRDefault="00792668" w:rsidP="00792668">
            <w:pPr>
              <w:widowControl/>
              <w:autoSpaceDE/>
              <w:autoSpaceDN/>
              <w:adjustRightInd/>
              <w:rPr>
                <w:b/>
                <w:bCs/>
                <w:i/>
                <w:iCs/>
                <w:color w:val="000000"/>
                <w:sz w:val="20"/>
                <w:szCs w:val="20"/>
              </w:rPr>
            </w:pPr>
            <w:r w:rsidRPr="00792668">
              <w:rPr>
                <w:b/>
                <w:bCs/>
                <w:i/>
                <w:iCs/>
                <w:color w:val="000000"/>
                <w:sz w:val="20"/>
                <w:szCs w:val="20"/>
              </w:rPr>
              <w:t>Recordkeeping Subtotal</w:t>
            </w:r>
          </w:p>
        </w:tc>
        <w:tc>
          <w:tcPr>
            <w:tcW w:w="134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b/>
                <w:bCs/>
                <w:i/>
                <w:iCs/>
                <w:sz w:val="20"/>
                <w:szCs w:val="20"/>
              </w:rPr>
            </w:pPr>
            <w:r w:rsidRPr="00792668">
              <w:rPr>
                <w:b/>
                <w:bCs/>
                <w:i/>
                <w:iCs/>
                <w:sz w:val="20"/>
                <w:szCs w:val="20"/>
              </w:rPr>
              <w:t> </w:t>
            </w:r>
          </w:p>
        </w:tc>
        <w:tc>
          <w:tcPr>
            <w:tcW w:w="1257"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b/>
                <w:bCs/>
                <w:i/>
                <w:iCs/>
                <w:sz w:val="20"/>
                <w:szCs w:val="20"/>
              </w:rPr>
            </w:pPr>
            <w:r w:rsidRPr="00792668">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b/>
                <w:bCs/>
                <w:i/>
                <w:iCs/>
                <w:sz w:val="20"/>
                <w:szCs w:val="20"/>
              </w:rPr>
            </w:pPr>
            <w:r w:rsidRPr="00792668">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b/>
                <w:bCs/>
                <w:i/>
                <w:iCs/>
                <w:sz w:val="20"/>
                <w:szCs w:val="20"/>
              </w:rPr>
            </w:pPr>
            <w:r w:rsidRPr="00792668">
              <w:rPr>
                <w:b/>
                <w:bCs/>
                <w:i/>
                <w:iCs/>
                <w:sz w:val="20"/>
                <w:szCs w:val="20"/>
              </w:rPr>
              <w:t> </w:t>
            </w:r>
          </w:p>
        </w:tc>
        <w:tc>
          <w:tcPr>
            <w:tcW w:w="3404" w:type="dxa"/>
            <w:gridSpan w:val="3"/>
            <w:tcBorders>
              <w:top w:val="single" w:sz="4" w:space="0" w:color="auto"/>
              <w:left w:val="nil"/>
              <w:bottom w:val="single" w:sz="4" w:space="0" w:color="auto"/>
              <w:right w:val="single" w:sz="4" w:space="0" w:color="000000"/>
            </w:tcBorders>
            <w:shd w:val="clear" w:color="auto" w:fill="auto"/>
            <w:hideMark/>
          </w:tcPr>
          <w:p w:rsidR="00792668" w:rsidRPr="00792668" w:rsidRDefault="00792668" w:rsidP="00792668">
            <w:pPr>
              <w:widowControl/>
              <w:autoSpaceDE/>
              <w:autoSpaceDN/>
              <w:adjustRightInd/>
              <w:jc w:val="center"/>
              <w:rPr>
                <w:b/>
                <w:bCs/>
                <w:i/>
                <w:iCs/>
                <w:sz w:val="20"/>
                <w:szCs w:val="20"/>
              </w:rPr>
            </w:pPr>
            <w:r w:rsidRPr="00792668">
              <w:rPr>
                <w:b/>
                <w:bCs/>
                <w:i/>
                <w:iCs/>
                <w:sz w:val="20"/>
                <w:szCs w:val="20"/>
              </w:rPr>
              <w:t>13,418</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b/>
                <w:bCs/>
                <w:i/>
                <w:iCs/>
                <w:sz w:val="20"/>
                <w:szCs w:val="20"/>
              </w:rPr>
            </w:pPr>
            <w:r w:rsidRPr="00792668">
              <w:rPr>
                <w:b/>
                <w:bCs/>
                <w:i/>
                <w:iCs/>
                <w:sz w:val="20"/>
                <w:szCs w:val="20"/>
              </w:rPr>
              <w:t>1,349,374</w:t>
            </w:r>
          </w:p>
        </w:tc>
      </w:tr>
      <w:tr w:rsidR="00792668" w:rsidRPr="00792668" w:rsidTr="00792668">
        <w:trPr>
          <w:trHeight w:val="281"/>
          <w:jc w:val="center"/>
        </w:trPr>
        <w:tc>
          <w:tcPr>
            <w:tcW w:w="8580" w:type="dxa"/>
            <w:gridSpan w:val="5"/>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rPr>
                <w:b/>
                <w:bCs/>
                <w:sz w:val="20"/>
                <w:szCs w:val="20"/>
              </w:rPr>
            </w:pPr>
            <w:r w:rsidRPr="00792668">
              <w:rPr>
                <w:b/>
                <w:bCs/>
                <w:sz w:val="20"/>
                <w:szCs w:val="20"/>
              </w:rPr>
              <w:t>TOTAL ANNUAL BURDEN AND COST (ROUNDED)</w:t>
            </w:r>
          </w:p>
        </w:tc>
        <w:tc>
          <w:tcPr>
            <w:tcW w:w="3404" w:type="dxa"/>
            <w:gridSpan w:val="3"/>
            <w:tcBorders>
              <w:top w:val="single" w:sz="4" w:space="0" w:color="auto"/>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center"/>
              <w:rPr>
                <w:b/>
                <w:bCs/>
                <w:sz w:val="20"/>
                <w:szCs w:val="20"/>
              </w:rPr>
            </w:pPr>
            <w:r w:rsidRPr="00792668">
              <w:rPr>
                <w:b/>
                <w:bCs/>
                <w:sz w:val="20"/>
                <w:szCs w:val="20"/>
              </w:rPr>
              <w:t>14,121</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b/>
                <w:bCs/>
                <w:sz w:val="20"/>
                <w:szCs w:val="20"/>
              </w:rPr>
            </w:pPr>
            <w:r w:rsidRPr="00792668">
              <w:rPr>
                <w:b/>
                <w:bCs/>
                <w:sz w:val="20"/>
                <w:szCs w:val="20"/>
              </w:rPr>
              <w:t>1,420,037</w:t>
            </w:r>
          </w:p>
        </w:tc>
      </w:tr>
      <w:tr w:rsidR="00792668" w:rsidRPr="00792668" w:rsidTr="00792668">
        <w:trPr>
          <w:trHeight w:val="281"/>
          <w:jc w:val="center"/>
        </w:trPr>
        <w:tc>
          <w:tcPr>
            <w:tcW w:w="11984" w:type="dxa"/>
            <w:gridSpan w:val="8"/>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rPr>
                <w:b/>
                <w:bCs/>
                <w:sz w:val="20"/>
                <w:szCs w:val="20"/>
              </w:rPr>
            </w:pPr>
            <w:r w:rsidRPr="00792668">
              <w:rPr>
                <w:b/>
                <w:bCs/>
                <w:sz w:val="20"/>
                <w:szCs w:val="20"/>
              </w:rPr>
              <w:t>TOTAL ANNUAL CAPITAL AND O&amp;M COST (SEE SECTION 6(b)(iii))</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b/>
                <w:bCs/>
                <w:sz w:val="20"/>
                <w:szCs w:val="20"/>
              </w:rPr>
            </w:pPr>
            <w:r w:rsidRPr="00792668">
              <w:rPr>
                <w:b/>
                <w:bCs/>
                <w:sz w:val="20"/>
                <w:szCs w:val="20"/>
              </w:rPr>
              <w:t>227,838</w:t>
            </w:r>
          </w:p>
        </w:tc>
      </w:tr>
      <w:tr w:rsidR="00792668" w:rsidRPr="00792668" w:rsidTr="00792668">
        <w:trPr>
          <w:trHeight w:val="281"/>
          <w:jc w:val="center"/>
        </w:trPr>
        <w:tc>
          <w:tcPr>
            <w:tcW w:w="11984" w:type="dxa"/>
            <w:gridSpan w:val="8"/>
            <w:tcBorders>
              <w:top w:val="nil"/>
              <w:left w:val="single" w:sz="4" w:space="0" w:color="auto"/>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rPr>
                <w:b/>
                <w:bCs/>
                <w:sz w:val="20"/>
                <w:szCs w:val="20"/>
              </w:rPr>
            </w:pPr>
            <w:r w:rsidRPr="00792668">
              <w:rPr>
                <w:b/>
                <w:bCs/>
                <w:sz w:val="20"/>
                <w:szCs w:val="20"/>
              </w:rPr>
              <w:t>GRAND TOTAL (LABOR, CAPITAL, AND O&amp;M)</w:t>
            </w:r>
          </w:p>
        </w:tc>
        <w:tc>
          <w:tcPr>
            <w:tcW w:w="1080" w:type="dxa"/>
            <w:tcBorders>
              <w:top w:val="nil"/>
              <w:left w:val="nil"/>
              <w:bottom w:val="single" w:sz="4" w:space="0" w:color="auto"/>
              <w:right w:val="single" w:sz="4" w:space="0" w:color="auto"/>
            </w:tcBorders>
            <w:shd w:val="clear" w:color="auto" w:fill="auto"/>
            <w:hideMark/>
          </w:tcPr>
          <w:p w:rsidR="00792668" w:rsidRPr="00792668" w:rsidRDefault="00792668" w:rsidP="00792668">
            <w:pPr>
              <w:widowControl/>
              <w:autoSpaceDE/>
              <w:autoSpaceDN/>
              <w:adjustRightInd/>
              <w:jc w:val="right"/>
              <w:rPr>
                <w:b/>
                <w:bCs/>
                <w:sz w:val="20"/>
                <w:szCs w:val="20"/>
              </w:rPr>
            </w:pPr>
            <w:r w:rsidRPr="00792668">
              <w:rPr>
                <w:b/>
                <w:bCs/>
                <w:sz w:val="20"/>
                <w:szCs w:val="20"/>
              </w:rPr>
              <w:t>1,647,875</w:t>
            </w:r>
          </w:p>
        </w:tc>
      </w:tr>
    </w:tbl>
    <w:p w:rsidR="00792668" w:rsidRPr="00792668" w:rsidRDefault="00792668" w:rsidP="00792668">
      <w:pPr>
        <w:rPr>
          <w:bCs/>
          <w:sz w:val="20"/>
          <w:szCs w:val="20"/>
        </w:rPr>
      </w:pPr>
      <w:r w:rsidRPr="00792668">
        <w:rPr>
          <w:bCs/>
          <w:sz w:val="20"/>
          <w:szCs w:val="20"/>
        </w:rPr>
        <w:t>N/A – Not Applicable</w:t>
      </w:r>
    </w:p>
    <w:p w:rsidR="00792668" w:rsidRDefault="00792668" w:rsidP="00144F35">
      <w:pPr>
        <w:rPr>
          <w:bCs/>
          <w:sz w:val="20"/>
          <w:szCs w:val="20"/>
        </w:rPr>
      </w:pPr>
    </w:p>
    <w:p w:rsidR="00792668" w:rsidRPr="00792668" w:rsidRDefault="00792668" w:rsidP="00CD3493">
      <w:pPr>
        <w:ind w:left="180" w:hanging="180"/>
        <w:rPr>
          <w:bCs/>
          <w:sz w:val="20"/>
          <w:szCs w:val="20"/>
        </w:rPr>
      </w:pPr>
      <w:r w:rsidRPr="00CD3493">
        <w:rPr>
          <w:bCs/>
          <w:sz w:val="20"/>
          <w:szCs w:val="20"/>
          <w:vertAlign w:val="superscript"/>
        </w:rPr>
        <w:t>a</w:t>
      </w:r>
      <w:r w:rsidRPr="00792668">
        <w:rPr>
          <w:bCs/>
          <w:sz w:val="20"/>
          <w:szCs w:val="20"/>
        </w:rPr>
        <w:t xml:space="preserve">  EPA estimates an average of 4,896 existing sources will be subject to the standard and 66.4 new sources per year will become subject over the next three years.  These estimates are based on model plant parameters used in development of the original promulgated NSPS and 2005/2006 USGS production data. Of the 66.4 new respondents per year, EPA estimates 60.9 will be in the crushed/broken stone and sand/gravel industrial sectors and 5.5 will be in other industrial sectors.</w:t>
      </w:r>
    </w:p>
    <w:p w:rsidR="00792668" w:rsidRPr="00792668" w:rsidRDefault="00792668" w:rsidP="00CD3493">
      <w:pPr>
        <w:ind w:left="180" w:hanging="180"/>
        <w:rPr>
          <w:bCs/>
          <w:sz w:val="20"/>
          <w:szCs w:val="20"/>
        </w:rPr>
      </w:pPr>
      <w:r w:rsidRPr="00CD3493">
        <w:rPr>
          <w:bCs/>
          <w:sz w:val="20"/>
          <w:szCs w:val="20"/>
          <w:vertAlign w:val="superscript"/>
        </w:rPr>
        <w:t>b</w:t>
      </w:r>
      <w:r w:rsidRPr="00792668">
        <w:rPr>
          <w:bCs/>
          <w:sz w:val="20"/>
          <w:szCs w:val="20"/>
        </w:rPr>
        <w:t xml:space="preserve">  This ICR uses the following labor rates: $103.97 (technical), $129.93 (managerial), and $51.79 (clerical).  These rates are from the United States Department of Labor, Bureau of Labor Statistics, June 2014, “Table 2. Civilian Workers, by occupational and industry group.”  The rates are from column 1, “Total compensation.”  They have been increased by 110 percent to account for the benefit packages available to those employed by private industry.</w:t>
      </w:r>
    </w:p>
    <w:p w:rsidR="00792668" w:rsidRPr="00792668" w:rsidRDefault="00792668" w:rsidP="00CD3493">
      <w:pPr>
        <w:ind w:left="180" w:hanging="180"/>
        <w:rPr>
          <w:bCs/>
          <w:sz w:val="20"/>
          <w:szCs w:val="20"/>
        </w:rPr>
      </w:pPr>
      <w:r w:rsidRPr="00CD3493">
        <w:rPr>
          <w:bCs/>
          <w:sz w:val="20"/>
          <w:szCs w:val="20"/>
          <w:vertAlign w:val="superscript"/>
        </w:rPr>
        <w:t>c</w:t>
      </w:r>
      <w:r w:rsidRPr="00792668">
        <w:rPr>
          <w:bCs/>
          <w:sz w:val="20"/>
          <w:szCs w:val="20"/>
        </w:rPr>
        <w:t xml:space="preserve">  Monitoring for wet suppression involves checking that water is actually flowing.  EPA estimates it will occur on a monthly basis and take 10 minutes per check.  Wet suppression is expected to be used in the crushed/broken stone and sand/gravel industrial sectors</w:t>
      </w:r>
      <w:r>
        <w:rPr>
          <w:bCs/>
          <w:sz w:val="20"/>
          <w:szCs w:val="20"/>
        </w:rPr>
        <w:t>.</w:t>
      </w:r>
    </w:p>
    <w:p w:rsidR="00792668" w:rsidRPr="00792668" w:rsidRDefault="00792668" w:rsidP="00CD3493">
      <w:pPr>
        <w:ind w:left="180" w:hanging="180"/>
        <w:rPr>
          <w:bCs/>
          <w:sz w:val="20"/>
          <w:szCs w:val="20"/>
        </w:rPr>
      </w:pPr>
      <w:r w:rsidRPr="00CD3493">
        <w:rPr>
          <w:bCs/>
          <w:sz w:val="20"/>
          <w:szCs w:val="20"/>
          <w:vertAlign w:val="superscript"/>
        </w:rPr>
        <w:t>d</w:t>
      </w:r>
      <w:r w:rsidRPr="00792668">
        <w:rPr>
          <w:bCs/>
          <w:sz w:val="20"/>
          <w:szCs w:val="20"/>
        </w:rPr>
        <w:t xml:space="preserve">  EPA estimates it will take each respondent one hour four times per year to complete Method 22 readings.  All other industry sectors except for crushed/broken stone and sand/gravel are expected to use baghouses and will employ baghouse Method 22 readings to comply with the periodic monitoring requirements.</w:t>
      </w:r>
    </w:p>
    <w:p w:rsidR="00792668" w:rsidRPr="00792668" w:rsidRDefault="00792668" w:rsidP="00CD3493">
      <w:pPr>
        <w:ind w:left="180" w:hanging="180"/>
        <w:rPr>
          <w:bCs/>
          <w:sz w:val="20"/>
          <w:szCs w:val="20"/>
        </w:rPr>
      </w:pPr>
      <w:r w:rsidRPr="00CD3493">
        <w:rPr>
          <w:bCs/>
          <w:sz w:val="20"/>
          <w:szCs w:val="20"/>
          <w:vertAlign w:val="superscript"/>
        </w:rPr>
        <w:t>e</w:t>
      </w:r>
      <w:r w:rsidRPr="00792668">
        <w:rPr>
          <w:bCs/>
          <w:sz w:val="20"/>
          <w:szCs w:val="20"/>
        </w:rPr>
        <w:t xml:space="preserve">  Includes 8 hours to develop and review performance test report and 22 hours to plan for performance testing.  The time required to conduct Method 5 and Method 9 performance tests is included under capital costs because a contractor is typically hired to perform these tests.</w:t>
      </w:r>
    </w:p>
    <w:p w:rsidR="00792668" w:rsidRPr="00792668" w:rsidRDefault="00792668" w:rsidP="00CD3493">
      <w:pPr>
        <w:ind w:left="180" w:hanging="180"/>
        <w:rPr>
          <w:bCs/>
          <w:sz w:val="20"/>
          <w:szCs w:val="20"/>
        </w:rPr>
      </w:pPr>
      <w:r w:rsidRPr="00CD3493">
        <w:rPr>
          <w:bCs/>
          <w:sz w:val="20"/>
          <w:szCs w:val="20"/>
          <w:vertAlign w:val="superscript"/>
        </w:rPr>
        <w:t>f</w:t>
      </w:r>
      <w:r w:rsidRPr="00792668">
        <w:rPr>
          <w:bCs/>
          <w:sz w:val="20"/>
          <w:szCs w:val="20"/>
        </w:rPr>
        <w:t xml:space="preserve">  EPA assumes 25% of initial performance tests will be repeated due to failure (66.4 x 0.25 = 16.6).</w:t>
      </w:r>
    </w:p>
    <w:p w:rsidR="00792668" w:rsidRPr="00792668" w:rsidRDefault="00792668" w:rsidP="00CD3493">
      <w:pPr>
        <w:ind w:left="180" w:hanging="180"/>
        <w:rPr>
          <w:bCs/>
          <w:sz w:val="20"/>
          <w:szCs w:val="20"/>
        </w:rPr>
      </w:pPr>
      <w:r w:rsidRPr="00CD3493">
        <w:rPr>
          <w:bCs/>
          <w:sz w:val="20"/>
          <w:szCs w:val="20"/>
          <w:vertAlign w:val="superscript"/>
        </w:rPr>
        <w:lastRenderedPageBreak/>
        <w:t>g</w:t>
      </w:r>
      <w:r w:rsidRPr="00792668">
        <w:rPr>
          <w:bCs/>
          <w:sz w:val="20"/>
          <w:szCs w:val="20"/>
        </w:rPr>
        <w:t xml:space="preserve">  Existing sources in the crushed/broken stone and sand/gravel industrial sectors, built in 2008 or later, must repeat performance testing every five years. Over the next three years (2016 to 2018), an average of 60.9 existing sources per year will repeat performance testing.  These existing sources were the new sources that conducted initial performance testing in 2011, 2012, and 2013.</w:t>
      </w:r>
    </w:p>
    <w:p w:rsidR="00792668" w:rsidRPr="00792668" w:rsidRDefault="00792668" w:rsidP="00144F35">
      <w:pPr>
        <w:rPr>
          <w:bCs/>
          <w:sz w:val="20"/>
          <w:szCs w:val="20"/>
        </w:rPr>
      </w:pPr>
    </w:p>
    <w:p w:rsidR="003D6951" w:rsidRPr="00792668" w:rsidRDefault="003D6951" w:rsidP="003D6951"/>
    <w:p w:rsidR="00144F35" w:rsidRDefault="00144F35" w:rsidP="00A15C01">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w:t>
      </w:r>
      <w:r w:rsidR="00061B73">
        <w:rPr>
          <w:b/>
          <w:bCs/>
          <w:color w:val="000000"/>
        </w:rPr>
        <w:t xml:space="preserve"> </w:t>
      </w:r>
      <w:r w:rsidR="00061B73" w:rsidRPr="00061B73">
        <w:rPr>
          <w:b/>
          <w:bCs/>
          <w:color w:val="000000"/>
        </w:rPr>
        <w:t>NSPS for Nonmetallic Mineral Processing (40 CFR Part 60, Subpart OOO) (Renewal)</w:t>
      </w:r>
    </w:p>
    <w:p w:rsidR="00144F35" w:rsidRPr="00792668" w:rsidRDefault="00144F35" w:rsidP="00F340DF">
      <w:pPr>
        <w:rPr>
          <w:b/>
          <w:bCs/>
        </w:rPr>
      </w:pPr>
    </w:p>
    <w:tbl>
      <w:tblPr>
        <w:tblW w:w="12945" w:type="dxa"/>
        <w:jc w:val="center"/>
        <w:tblCellMar>
          <w:left w:w="58" w:type="dxa"/>
          <w:right w:w="58" w:type="dxa"/>
        </w:tblCellMar>
        <w:tblLook w:val="04A0" w:firstRow="1" w:lastRow="0" w:firstColumn="1" w:lastColumn="0" w:noHBand="0" w:noVBand="1"/>
      </w:tblPr>
      <w:tblGrid>
        <w:gridCol w:w="3478"/>
        <w:gridCol w:w="1360"/>
        <w:gridCol w:w="1177"/>
        <w:gridCol w:w="1320"/>
        <w:gridCol w:w="1240"/>
        <w:gridCol w:w="1130"/>
        <w:gridCol w:w="1170"/>
        <w:gridCol w:w="1080"/>
        <w:gridCol w:w="990"/>
      </w:tblGrid>
      <w:tr w:rsidR="00792668" w:rsidTr="00792668">
        <w:trPr>
          <w:trHeight w:val="255"/>
          <w:jc w:val="center"/>
        </w:trPr>
        <w:tc>
          <w:tcPr>
            <w:tcW w:w="3478"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bottom"/>
            <w:hideMark/>
          </w:tcPr>
          <w:p w:rsidR="00792668" w:rsidRDefault="00792668" w:rsidP="00792668">
            <w:pPr>
              <w:ind w:left="21"/>
              <w:rPr>
                <w:b/>
                <w:bCs/>
                <w:sz w:val="20"/>
                <w:szCs w:val="20"/>
              </w:rPr>
            </w:pPr>
            <w:r>
              <w:rPr>
                <w:b/>
                <w:bCs/>
                <w:sz w:val="20"/>
                <w:szCs w:val="20"/>
              </w:rPr>
              <w:t>Burden item</w:t>
            </w:r>
          </w:p>
        </w:tc>
        <w:tc>
          <w:tcPr>
            <w:tcW w:w="136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2668" w:rsidRDefault="00792668">
            <w:pPr>
              <w:jc w:val="center"/>
              <w:rPr>
                <w:b/>
                <w:bCs/>
                <w:sz w:val="20"/>
                <w:szCs w:val="20"/>
              </w:rPr>
            </w:pPr>
            <w:r>
              <w:rPr>
                <w:b/>
                <w:bCs/>
                <w:sz w:val="20"/>
                <w:szCs w:val="20"/>
              </w:rPr>
              <w:t>A</w:t>
            </w:r>
          </w:p>
        </w:tc>
        <w:tc>
          <w:tcPr>
            <w:tcW w:w="1177"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2668" w:rsidRDefault="00792668">
            <w:pPr>
              <w:jc w:val="center"/>
              <w:rPr>
                <w:b/>
                <w:bCs/>
                <w:sz w:val="20"/>
                <w:szCs w:val="20"/>
              </w:rPr>
            </w:pPr>
            <w:r>
              <w:rPr>
                <w:b/>
                <w:bCs/>
                <w:sz w:val="20"/>
                <w:szCs w:val="20"/>
              </w:rPr>
              <w:t>B</w:t>
            </w:r>
          </w:p>
        </w:tc>
        <w:tc>
          <w:tcPr>
            <w:tcW w:w="132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2668" w:rsidRDefault="00792668">
            <w:pPr>
              <w:jc w:val="center"/>
              <w:rPr>
                <w:b/>
                <w:bCs/>
                <w:sz w:val="20"/>
                <w:szCs w:val="20"/>
              </w:rPr>
            </w:pPr>
            <w:r>
              <w:rPr>
                <w:b/>
                <w:bCs/>
                <w:sz w:val="20"/>
                <w:szCs w:val="20"/>
              </w:rPr>
              <w:t>C</w:t>
            </w:r>
          </w:p>
        </w:tc>
        <w:tc>
          <w:tcPr>
            <w:tcW w:w="124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2668" w:rsidRDefault="00792668">
            <w:pPr>
              <w:jc w:val="center"/>
              <w:rPr>
                <w:b/>
                <w:bCs/>
                <w:sz w:val="20"/>
                <w:szCs w:val="20"/>
              </w:rPr>
            </w:pPr>
            <w:r>
              <w:rPr>
                <w:b/>
                <w:bCs/>
                <w:sz w:val="20"/>
                <w:szCs w:val="20"/>
              </w:rPr>
              <w:t>D</w:t>
            </w:r>
          </w:p>
        </w:tc>
        <w:tc>
          <w:tcPr>
            <w:tcW w:w="113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2668" w:rsidRDefault="00792668">
            <w:pPr>
              <w:jc w:val="center"/>
              <w:rPr>
                <w:b/>
                <w:bCs/>
                <w:sz w:val="20"/>
                <w:szCs w:val="20"/>
              </w:rPr>
            </w:pPr>
            <w:r>
              <w:rPr>
                <w:b/>
                <w:bCs/>
                <w:sz w:val="20"/>
                <w:szCs w:val="20"/>
              </w:rPr>
              <w:t>E</w:t>
            </w:r>
          </w:p>
        </w:tc>
        <w:tc>
          <w:tcPr>
            <w:tcW w:w="117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2668" w:rsidRDefault="00792668">
            <w:pPr>
              <w:jc w:val="center"/>
              <w:rPr>
                <w:b/>
                <w:bCs/>
                <w:sz w:val="20"/>
                <w:szCs w:val="20"/>
              </w:rPr>
            </w:pPr>
            <w:r>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2668" w:rsidRDefault="00792668">
            <w:pPr>
              <w:jc w:val="center"/>
              <w:rPr>
                <w:b/>
                <w:bCs/>
                <w:sz w:val="20"/>
                <w:szCs w:val="20"/>
              </w:rPr>
            </w:pPr>
            <w:r>
              <w:rPr>
                <w:b/>
                <w:bCs/>
                <w:sz w:val="20"/>
                <w:szCs w:val="20"/>
              </w:rPr>
              <w:t>G</w:t>
            </w:r>
          </w:p>
        </w:tc>
        <w:tc>
          <w:tcPr>
            <w:tcW w:w="990"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792668" w:rsidRDefault="00792668">
            <w:pPr>
              <w:jc w:val="center"/>
              <w:rPr>
                <w:b/>
                <w:bCs/>
                <w:sz w:val="20"/>
                <w:szCs w:val="20"/>
              </w:rPr>
            </w:pPr>
            <w:r>
              <w:rPr>
                <w:b/>
                <w:bCs/>
                <w:sz w:val="20"/>
                <w:szCs w:val="20"/>
              </w:rPr>
              <w:t>H</w:t>
            </w:r>
          </w:p>
        </w:tc>
      </w:tr>
      <w:tr w:rsidR="00792668" w:rsidTr="00A15C01">
        <w:trPr>
          <w:trHeight w:val="1035"/>
          <w:jc w:val="center"/>
        </w:trPr>
        <w:tc>
          <w:tcPr>
            <w:tcW w:w="3478" w:type="dxa"/>
            <w:vMerge/>
            <w:tcBorders>
              <w:top w:val="single" w:sz="4" w:space="0" w:color="auto"/>
              <w:left w:val="single" w:sz="4" w:space="0" w:color="auto"/>
              <w:bottom w:val="single" w:sz="4" w:space="0" w:color="auto"/>
              <w:right w:val="single" w:sz="4" w:space="0" w:color="auto"/>
            </w:tcBorders>
            <w:vAlign w:val="center"/>
            <w:hideMark/>
          </w:tcPr>
          <w:p w:rsidR="00792668" w:rsidRDefault="00792668">
            <w:pPr>
              <w:rPr>
                <w:b/>
                <w:bCs/>
                <w:sz w:val="20"/>
                <w:szCs w:val="20"/>
              </w:rPr>
            </w:pP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2668" w:rsidRDefault="00792668" w:rsidP="00A15C01">
            <w:pPr>
              <w:jc w:val="center"/>
              <w:rPr>
                <w:b/>
                <w:bCs/>
                <w:sz w:val="20"/>
                <w:szCs w:val="20"/>
              </w:rPr>
            </w:pPr>
            <w:r>
              <w:rPr>
                <w:b/>
                <w:bCs/>
                <w:sz w:val="20"/>
                <w:szCs w:val="20"/>
              </w:rPr>
              <w:t>EPA</w:t>
            </w:r>
            <w:r>
              <w:rPr>
                <w:b/>
                <w:bCs/>
                <w:sz w:val="20"/>
                <w:szCs w:val="20"/>
              </w:rPr>
              <w:br/>
              <w:t>person-hours</w:t>
            </w:r>
            <w:r>
              <w:rPr>
                <w:b/>
                <w:bCs/>
                <w:sz w:val="20"/>
                <w:szCs w:val="20"/>
              </w:rPr>
              <w:br/>
              <w:t>per occurrence</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2668" w:rsidRDefault="00792668" w:rsidP="00A15C01">
            <w:pPr>
              <w:jc w:val="center"/>
              <w:rPr>
                <w:b/>
                <w:bCs/>
                <w:sz w:val="20"/>
                <w:szCs w:val="20"/>
              </w:rPr>
            </w:pPr>
            <w:r>
              <w:rPr>
                <w:b/>
                <w:bCs/>
                <w:sz w:val="20"/>
                <w:szCs w:val="20"/>
              </w:rPr>
              <w:t>Annual occurrences</w:t>
            </w:r>
            <w:r>
              <w:rPr>
                <w:b/>
                <w:bCs/>
                <w:sz w:val="20"/>
                <w:szCs w:val="20"/>
              </w:rPr>
              <w:br/>
              <w:t>per respondent</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2668" w:rsidRDefault="00792668" w:rsidP="00A15C01">
            <w:pPr>
              <w:jc w:val="center"/>
              <w:rPr>
                <w:b/>
                <w:bCs/>
                <w:sz w:val="20"/>
                <w:szCs w:val="20"/>
              </w:rPr>
            </w:pPr>
            <w:r>
              <w:rPr>
                <w:b/>
                <w:bCs/>
                <w:sz w:val="20"/>
                <w:szCs w:val="20"/>
              </w:rPr>
              <w:t>EPA</w:t>
            </w:r>
            <w:r>
              <w:rPr>
                <w:b/>
                <w:bCs/>
                <w:sz w:val="20"/>
                <w:szCs w:val="20"/>
              </w:rPr>
              <w:br/>
              <w:t>person-hours</w:t>
            </w:r>
            <w:r>
              <w:rPr>
                <w:b/>
                <w:bCs/>
                <w:sz w:val="20"/>
                <w:szCs w:val="20"/>
              </w:rPr>
              <w:br/>
              <w:t>per respondent</w:t>
            </w:r>
            <w:r>
              <w:rPr>
                <w:b/>
                <w:bCs/>
                <w:sz w:val="20"/>
                <w:szCs w:val="20"/>
              </w:rPr>
              <w:br/>
              <w:t>per year (AxB)</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2668" w:rsidRDefault="00792668" w:rsidP="00A15C01">
            <w:pPr>
              <w:jc w:val="center"/>
              <w:rPr>
                <w:b/>
                <w:bCs/>
                <w:sz w:val="20"/>
                <w:szCs w:val="20"/>
              </w:rPr>
            </w:pPr>
            <w:r>
              <w:rPr>
                <w:b/>
                <w:bCs/>
                <w:sz w:val="20"/>
                <w:szCs w:val="20"/>
              </w:rPr>
              <w:t>Respondents</w:t>
            </w:r>
            <w:r>
              <w:rPr>
                <w:b/>
                <w:bCs/>
                <w:sz w:val="20"/>
                <w:szCs w:val="20"/>
              </w:rPr>
              <w:br/>
              <w:t xml:space="preserve">per year </w:t>
            </w:r>
            <w:r>
              <w:rPr>
                <w:b/>
                <w:bCs/>
                <w:sz w:val="20"/>
                <w:szCs w:val="20"/>
                <w:vertAlign w:val="superscript"/>
              </w:rPr>
              <w:t>a</w:t>
            </w:r>
          </w:p>
        </w:tc>
        <w:tc>
          <w:tcPr>
            <w:tcW w:w="113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2668" w:rsidRDefault="00792668" w:rsidP="00A15C01">
            <w:pPr>
              <w:jc w:val="center"/>
              <w:rPr>
                <w:b/>
                <w:bCs/>
                <w:sz w:val="20"/>
                <w:szCs w:val="20"/>
              </w:rPr>
            </w:pPr>
            <w:r>
              <w:rPr>
                <w:b/>
                <w:bCs/>
                <w:sz w:val="20"/>
                <w:szCs w:val="20"/>
              </w:rPr>
              <w:t>Technical hours</w:t>
            </w:r>
            <w:r>
              <w:rPr>
                <w:b/>
                <w:bCs/>
                <w:sz w:val="20"/>
                <w:szCs w:val="20"/>
              </w:rPr>
              <w:br/>
              <w:t>per year</w:t>
            </w:r>
            <w:r>
              <w:rPr>
                <w:b/>
                <w:bCs/>
                <w:sz w:val="20"/>
                <w:szCs w:val="20"/>
              </w:rPr>
              <w:br/>
              <w:t>(CxD)</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2668" w:rsidRDefault="00792668" w:rsidP="00A15C01">
            <w:pPr>
              <w:jc w:val="center"/>
              <w:rPr>
                <w:b/>
                <w:bCs/>
                <w:sz w:val="20"/>
                <w:szCs w:val="20"/>
              </w:rPr>
            </w:pPr>
            <w:r>
              <w:rPr>
                <w:b/>
                <w:bCs/>
                <w:sz w:val="20"/>
                <w:szCs w:val="20"/>
              </w:rPr>
              <w:t>Management</w:t>
            </w:r>
            <w:r>
              <w:rPr>
                <w:b/>
                <w:bCs/>
                <w:sz w:val="20"/>
                <w:szCs w:val="20"/>
              </w:rPr>
              <w:br/>
              <w:t>hours</w:t>
            </w:r>
          </w:p>
          <w:p w:rsidR="00792668" w:rsidRDefault="00792668" w:rsidP="00A15C01">
            <w:pPr>
              <w:jc w:val="center"/>
              <w:rPr>
                <w:b/>
                <w:bCs/>
                <w:sz w:val="20"/>
                <w:szCs w:val="20"/>
              </w:rPr>
            </w:pPr>
            <w:r>
              <w:rPr>
                <w:b/>
                <w:bCs/>
                <w:sz w:val="20"/>
                <w:szCs w:val="20"/>
              </w:rPr>
              <w:t>per year</w:t>
            </w:r>
            <w:r>
              <w:rPr>
                <w:b/>
                <w:bCs/>
                <w:sz w:val="20"/>
                <w:szCs w:val="20"/>
              </w:rPr>
              <w:br/>
              <w:t>(Ex0.05)</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2668" w:rsidRDefault="00792668" w:rsidP="00A15C01">
            <w:pPr>
              <w:jc w:val="center"/>
              <w:rPr>
                <w:b/>
                <w:bCs/>
                <w:sz w:val="20"/>
                <w:szCs w:val="20"/>
              </w:rPr>
            </w:pPr>
            <w:r>
              <w:rPr>
                <w:b/>
                <w:bCs/>
                <w:sz w:val="20"/>
                <w:szCs w:val="20"/>
              </w:rPr>
              <w:t>Clerical hours</w:t>
            </w:r>
            <w:r>
              <w:rPr>
                <w:b/>
                <w:bCs/>
                <w:sz w:val="20"/>
                <w:szCs w:val="20"/>
              </w:rPr>
              <w:br/>
              <w:t>per year</w:t>
            </w:r>
            <w:r>
              <w:rPr>
                <w:b/>
                <w:bCs/>
                <w:sz w:val="20"/>
                <w:szCs w:val="20"/>
              </w:rPr>
              <w:br/>
              <w:t>(Ex0.10)</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792668" w:rsidRDefault="00792668" w:rsidP="00A15C01">
            <w:pPr>
              <w:jc w:val="center"/>
              <w:rPr>
                <w:b/>
                <w:bCs/>
                <w:sz w:val="20"/>
                <w:szCs w:val="20"/>
              </w:rPr>
            </w:pPr>
            <w:r>
              <w:rPr>
                <w:b/>
                <w:bCs/>
                <w:sz w:val="20"/>
                <w:szCs w:val="20"/>
              </w:rPr>
              <w:t>Annual cost</w:t>
            </w:r>
            <w:r>
              <w:rPr>
                <w:b/>
                <w:bCs/>
                <w:sz w:val="20"/>
                <w:szCs w:val="20"/>
              </w:rPr>
              <w:br/>
              <w:t xml:space="preserve">($) </w:t>
            </w:r>
            <w:r>
              <w:rPr>
                <w:b/>
                <w:bCs/>
                <w:sz w:val="20"/>
                <w:szCs w:val="20"/>
                <w:vertAlign w:val="superscript"/>
              </w:rPr>
              <w:t>b</w:t>
            </w:r>
          </w:p>
        </w:tc>
      </w:tr>
      <w:tr w:rsidR="00792668" w:rsidTr="00792668">
        <w:trPr>
          <w:trHeight w:val="255"/>
          <w:jc w:val="center"/>
        </w:trPr>
        <w:tc>
          <w:tcPr>
            <w:tcW w:w="3478"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92668" w:rsidRPr="00792668" w:rsidRDefault="00792668" w:rsidP="00792668">
            <w:pPr>
              <w:ind w:left="21"/>
              <w:rPr>
                <w:sz w:val="20"/>
                <w:szCs w:val="20"/>
              </w:rPr>
            </w:pPr>
            <w:r w:rsidRPr="00792668">
              <w:rPr>
                <w:sz w:val="20"/>
                <w:szCs w:val="20"/>
              </w:rPr>
              <w:t xml:space="preserve">Initial </w:t>
            </w:r>
            <w:r w:rsidRPr="00792668">
              <w:rPr>
                <w:bCs/>
                <w:sz w:val="20"/>
                <w:szCs w:val="20"/>
              </w:rPr>
              <w:t>performance</w:t>
            </w:r>
            <w:r w:rsidRPr="00792668">
              <w:rPr>
                <w:sz w:val="20"/>
                <w:szCs w:val="20"/>
              </w:rPr>
              <w:t xml:space="preserve"> test (new sources)</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24</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24</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66.4</w:t>
            </w:r>
          </w:p>
        </w:tc>
        <w:tc>
          <w:tcPr>
            <w:tcW w:w="113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1,593.6</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79.68</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159.36</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right"/>
              <w:rPr>
                <w:sz w:val="20"/>
                <w:szCs w:val="20"/>
              </w:rPr>
            </w:pPr>
            <w:r>
              <w:rPr>
                <w:sz w:val="20"/>
                <w:szCs w:val="20"/>
              </w:rPr>
              <w:t>83,409.02</w:t>
            </w:r>
          </w:p>
        </w:tc>
      </w:tr>
      <w:tr w:rsidR="00792668" w:rsidTr="00792668">
        <w:trPr>
          <w:trHeight w:val="315"/>
          <w:jc w:val="center"/>
        </w:trPr>
        <w:tc>
          <w:tcPr>
            <w:tcW w:w="3478"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rsidP="00792668">
            <w:pPr>
              <w:ind w:left="21"/>
              <w:rPr>
                <w:sz w:val="20"/>
                <w:szCs w:val="20"/>
              </w:rPr>
            </w:pPr>
            <w:r>
              <w:rPr>
                <w:sz w:val="20"/>
                <w:szCs w:val="20"/>
              </w:rPr>
              <w:t xml:space="preserve">Repeat initial performance test (new sources) </w:t>
            </w:r>
            <w:r w:rsidRPr="00792668">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24</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24</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16.6</w:t>
            </w:r>
          </w:p>
        </w:tc>
        <w:tc>
          <w:tcPr>
            <w:tcW w:w="113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398.4</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19.92</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39.84</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right"/>
              <w:rPr>
                <w:sz w:val="20"/>
                <w:szCs w:val="20"/>
              </w:rPr>
            </w:pPr>
            <w:r>
              <w:rPr>
                <w:sz w:val="20"/>
                <w:szCs w:val="20"/>
              </w:rPr>
              <w:t>20,852.26</w:t>
            </w:r>
          </w:p>
        </w:tc>
      </w:tr>
      <w:tr w:rsidR="00792668" w:rsidTr="00792668">
        <w:trPr>
          <w:trHeight w:val="255"/>
          <w:jc w:val="center"/>
        </w:trPr>
        <w:tc>
          <w:tcPr>
            <w:tcW w:w="3478"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rsidP="00792668">
            <w:pPr>
              <w:ind w:left="21"/>
              <w:rPr>
                <w:sz w:val="20"/>
                <w:szCs w:val="20"/>
              </w:rPr>
            </w:pPr>
            <w:r>
              <w:rPr>
                <w:sz w:val="20"/>
                <w:szCs w:val="20"/>
              </w:rPr>
              <w:t>Five-year performance test (existing sources)</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24</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24</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60.9</w:t>
            </w:r>
          </w:p>
        </w:tc>
        <w:tc>
          <w:tcPr>
            <w:tcW w:w="113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1,461.60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73.08</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146.16</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right"/>
              <w:rPr>
                <w:sz w:val="20"/>
                <w:szCs w:val="20"/>
              </w:rPr>
            </w:pPr>
            <w:r>
              <w:rPr>
                <w:sz w:val="20"/>
                <w:szCs w:val="20"/>
              </w:rPr>
              <w:t>76,500.14</w:t>
            </w:r>
          </w:p>
        </w:tc>
      </w:tr>
      <w:tr w:rsidR="00792668" w:rsidTr="00792668">
        <w:trPr>
          <w:trHeight w:val="255"/>
          <w:jc w:val="center"/>
        </w:trPr>
        <w:tc>
          <w:tcPr>
            <w:tcW w:w="3478"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rsidP="00792668">
            <w:pPr>
              <w:ind w:left="21"/>
              <w:rPr>
                <w:sz w:val="20"/>
                <w:szCs w:val="20"/>
              </w:rPr>
            </w:pPr>
            <w:r>
              <w:rPr>
                <w:sz w:val="20"/>
                <w:szCs w:val="20"/>
              </w:rPr>
              <w:t>Report review (new sources)</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right"/>
              <w:rPr>
                <w:sz w:val="20"/>
                <w:szCs w:val="20"/>
              </w:rPr>
            </w:pPr>
            <w:r>
              <w:rPr>
                <w:sz w:val="20"/>
                <w:szCs w:val="20"/>
              </w:rPr>
              <w:t> </w:t>
            </w:r>
          </w:p>
        </w:tc>
      </w:tr>
      <w:tr w:rsidR="00792668" w:rsidTr="00792668">
        <w:trPr>
          <w:trHeight w:val="255"/>
          <w:jc w:val="center"/>
        </w:trPr>
        <w:tc>
          <w:tcPr>
            <w:tcW w:w="3478"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92668" w:rsidRDefault="00792668">
            <w:pPr>
              <w:ind w:firstLineChars="100" w:firstLine="200"/>
              <w:rPr>
                <w:sz w:val="20"/>
                <w:szCs w:val="20"/>
              </w:rPr>
            </w:pPr>
            <w:r>
              <w:rPr>
                <w:sz w:val="20"/>
                <w:szCs w:val="20"/>
              </w:rPr>
              <w:t>Notification of actual startup</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0.5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66.4</w:t>
            </w:r>
          </w:p>
        </w:tc>
        <w:tc>
          <w:tcPr>
            <w:tcW w:w="113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33.2</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1.66</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3.32</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right"/>
              <w:rPr>
                <w:sz w:val="20"/>
                <w:szCs w:val="20"/>
              </w:rPr>
            </w:pPr>
            <w:r>
              <w:rPr>
                <w:sz w:val="20"/>
                <w:szCs w:val="20"/>
              </w:rPr>
              <w:t>1,737.69</w:t>
            </w:r>
          </w:p>
        </w:tc>
      </w:tr>
      <w:tr w:rsidR="00792668" w:rsidTr="00792668">
        <w:trPr>
          <w:trHeight w:val="255"/>
          <w:jc w:val="center"/>
        </w:trPr>
        <w:tc>
          <w:tcPr>
            <w:tcW w:w="3478"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92668" w:rsidRDefault="00792668">
            <w:pPr>
              <w:ind w:firstLineChars="100" w:firstLine="200"/>
              <w:rPr>
                <w:sz w:val="20"/>
                <w:szCs w:val="20"/>
              </w:rPr>
            </w:pPr>
            <w:r>
              <w:rPr>
                <w:sz w:val="20"/>
                <w:szCs w:val="20"/>
              </w:rPr>
              <w:t>Notification of initial performance test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0.5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66.4</w:t>
            </w:r>
          </w:p>
        </w:tc>
        <w:tc>
          <w:tcPr>
            <w:tcW w:w="113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33.2</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1.66</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3.32</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right"/>
              <w:rPr>
                <w:sz w:val="20"/>
                <w:szCs w:val="20"/>
              </w:rPr>
            </w:pPr>
            <w:r>
              <w:rPr>
                <w:sz w:val="20"/>
                <w:szCs w:val="20"/>
              </w:rPr>
              <w:t>1,737.69</w:t>
            </w:r>
          </w:p>
        </w:tc>
      </w:tr>
      <w:tr w:rsidR="00792668" w:rsidTr="00792668">
        <w:trPr>
          <w:trHeight w:val="315"/>
          <w:jc w:val="center"/>
        </w:trPr>
        <w:tc>
          <w:tcPr>
            <w:tcW w:w="3478"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92668" w:rsidRDefault="00792668">
            <w:pPr>
              <w:ind w:firstLineChars="100" w:firstLine="200"/>
              <w:rPr>
                <w:sz w:val="20"/>
                <w:szCs w:val="20"/>
              </w:rPr>
            </w:pPr>
            <w:r>
              <w:rPr>
                <w:sz w:val="20"/>
                <w:szCs w:val="20"/>
              </w:rPr>
              <w:t xml:space="preserve">Report of initial performance test </w:t>
            </w:r>
            <w:r>
              <w:rPr>
                <w:sz w:val="20"/>
                <w:szCs w:val="20"/>
                <w:vertAlign w:val="superscript"/>
              </w:rPr>
              <w:t>d</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8</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8</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83</w:t>
            </w:r>
          </w:p>
        </w:tc>
        <w:tc>
          <w:tcPr>
            <w:tcW w:w="113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664.0</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33.20</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66.40</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right"/>
              <w:rPr>
                <w:sz w:val="20"/>
                <w:szCs w:val="20"/>
              </w:rPr>
            </w:pPr>
            <w:r>
              <w:rPr>
                <w:sz w:val="20"/>
                <w:szCs w:val="20"/>
              </w:rPr>
              <w:t>34,753.76</w:t>
            </w:r>
          </w:p>
        </w:tc>
      </w:tr>
      <w:tr w:rsidR="00792668" w:rsidTr="00792668">
        <w:trPr>
          <w:trHeight w:val="255"/>
          <w:jc w:val="center"/>
        </w:trPr>
        <w:tc>
          <w:tcPr>
            <w:tcW w:w="3478"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92668" w:rsidRDefault="00792668">
            <w:pPr>
              <w:ind w:firstLineChars="100" w:firstLine="200"/>
              <w:rPr>
                <w:sz w:val="20"/>
                <w:szCs w:val="20"/>
              </w:rPr>
            </w:pPr>
            <w:r>
              <w:rPr>
                <w:sz w:val="20"/>
                <w:szCs w:val="20"/>
              </w:rPr>
              <w:t>Notification of physical/</w:t>
            </w:r>
          </w:p>
          <w:p w:rsidR="00792668" w:rsidRDefault="00792668">
            <w:pPr>
              <w:ind w:firstLineChars="100" w:firstLine="200"/>
              <w:rPr>
                <w:sz w:val="20"/>
                <w:szCs w:val="20"/>
              </w:rPr>
            </w:pPr>
            <w:r>
              <w:rPr>
                <w:sz w:val="20"/>
                <w:szCs w:val="20"/>
              </w:rPr>
              <w:t>operational change</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0.5</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66.4</w:t>
            </w:r>
          </w:p>
        </w:tc>
        <w:tc>
          <w:tcPr>
            <w:tcW w:w="113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33.2</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1.66</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3.32</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right"/>
              <w:rPr>
                <w:sz w:val="20"/>
                <w:szCs w:val="20"/>
              </w:rPr>
            </w:pPr>
            <w:r>
              <w:rPr>
                <w:sz w:val="20"/>
                <w:szCs w:val="20"/>
              </w:rPr>
              <w:t>1,737.69</w:t>
            </w:r>
          </w:p>
        </w:tc>
      </w:tr>
      <w:tr w:rsidR="00792668" w:rsidTr="00792668">
        <w:trPr>
          <w:trHeight w:val="255"/>
          <w:jc w:val="center"/>
        </w:trPr>
        <w:tc>
          <w:tcPr>
            <w:tcW w:w="3478"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rsidP="00792668">
            <w:pPr>
              <w:ind w:left="21"/>
              <w:rPr>
                <w:sz w:val="20"/>
                <w:szCs w:val="20"/>
              </w:rPr>
            </w:pPr>
            <w:r>
              <w:rPr>
                <w:sz w:val="20"/>
                <w:szCs w:val="20"/>
              </w:rPr>
              <w:t>Report review (existing sources)</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 </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right"/>
              <w:rPr>
                <w:sz w:val="20"/>
                <w:szCs w:val="20"/>
              </w:rPr>
            </w:pPr>
            <w:r>
              <w:rPr>
                <w:sz w:val="20"/>
                <w:szCs w:val="20"/>
              </w:rPr>
              <w:t> </w:t>
            </w:r>
          </w:p>
        </w:tc>
      </w:tr>
      <w:tr w:rsidR="00792668" w:rsidTr="00792668">
        <w:trPr>
          <w:trHeight w:val="255"/>
          <w:jc w:val="center"/>
        </w:trPr>
        <w:tc>
          <w:tcPr>
            <w:tcW w:w="3478" w:type="dxa"/>
            <w:tcBorders>
              <w:top w:val="nil"/>
              <w:left w:val="single" w:sz="4" w:space="0" w:color="auto"/>
              <w:bottom w:val="single" w:sz="4" w:space="0" w:color="auto"/>
              <w:right w:val="single" w:sz="4" w:space="0" w:color="auto"/>
            </w:tcBorders>
            <w:shd w:val="clear" w:color="auto" w:fill="auto"/>
            <w:tcMar>
              <w:top w:w="17" w:type="dxa"/>
              <w:left w:w="151" w:type="dxa"/>
              <w:bottom w:w="0" w:type="dxa"/>
              <w:right w:w="17" w:type="dxa"/>
            </w:tcMar>
            <w:hideMark/>
          </w:tcPr>
          <w:p w:rsidR="00792668" w:rsidRDefault="00792668">
            <w:pPr>
              <w:ind w:firstLineChars="100" w:firstLine="200"/>
              <w:rPr>
                <w:sz w:val="20"/>
                <w:szCs w:val="20"/>
              </w:rPr>
            </w:pPr>
            <w:r>
              <w:rPr>
                <w:sz w:val="20"/>
                <w:szCs w:val="20"/>
              </w:rPr>
              <w:t>Report of five-year performance test</w:t>
            </w:r>
          </w:p>
        </w:tc>
        <w:tc>
          <w:tcPr>
            <w:tcW w:w="136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8</w:t>
            </w:r>
          </w:p>
        </w:tc>
        <w:tc>
          <w:tcPr>
            <w:tcW w:w="1177"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1</w:t>
            </w:r>
          </w:p>
        </w:tc>
        <w:tc>
          <w:tcPr>
            <w:tcW w:w="132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8</w:t>
            </w:r>
          </w:p>
        </w:tc>
        <w:tc>
          <w:tcPr>
            <w:tcW w:w="124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60.9</w:t>
            </w:r>
          </w:p>
        </w:tc>
        <w:tc>
          <w:tcPr>
            <w:tcW w:w="113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487.2</w:t>
            </w:r>
          </w:p>
        </w:tc>
        <w:tc>
          <w:tcPr>
            <w:tcW w:w="117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24.36</w:t>
            </w:r>
          </w:p>
        </w:tc>
        <w:tc>
          <w:tcPr>
            <w:tcW w:w="108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sz w:val="20"/>
                <w:szCs w:val="20"/>
              </w:rPr>
            </w:pPr>
            <w:r>
              <w:rPr>
                <w:sz w:val="20"/>
                <w:szCs w:val="20"/>
              </w:rPr>
              <w:t>48.72</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right"/>
              <w:rPr>
                <w:sz w:val="20"/>
                <w:szCs w:val="20"/>
              </w:rPr>
            </w:pPr>
            <w:r>
              <w:rPr>
                <w:sz w:val="20"/>
                <w:szCs w:val="20"/>
              </w:rPr>
              <w:t>25,500.05</w:t>
            </w:r>
          </w:p>
        </w:tc>
      </w:tr>
      <w:tr w:rsidR="00792668" w:rsidTr="00792668">
        <w:trPr>
          <w:trHeight w:val="300"/>
          <w:jc w:val="center"/>
        </w:trPr>
        <w:tc>
          <w:tcPr>
            <w:tcW w:w="8575" w:type="dxa"/>
            <w:gridSpan w:val="5"/>
            <w:tcBorders>
              <w:top w:val="single" w:sz="4" w:space="0" w:color="auto"/>
              <w:left w:val="single" w:sz="4" w:space="0" w:color="auto"/>
              <w:bottom w:val="single" w:sz="4" w:space="0" w:color="auto"/>
              <w:right w:val="single" w:sz="4" w:space="0" w:color="000000"/>
            </w:tcBorders>
            <w:shd w:val="clear" w:color="auto" w:fill="auto"/>
            <w:tcMar>
              <w:top w:w="17" w:type="dxa"/>
              <w:left w:w="17" w:type="dxa"/>
              <w:bottom w:w="0" w:type="dxa"/>
              <w:right w:w="17" w:type="dxa"/>
            </w:tcMar>
            <w:vAlign w:val="center"/>
            <w:hideMark/>
          </w:tcPr>
          <w:p w:rsidR="00792668" w:rsidRDefault="00792668">
            <w:pPr>
              <w:rPr>
                <w:b/>
                <w:bCs/>
                <w:sz w:val="20"/>
                <w:szCs w:val="20"/>
              </w:rPr>
            </w:pPr>
            <w:r>
              <w:rPr>
                <w:b/>
                <w:bCs/>
                <w:sz w:val="20"/>
                <w:szCs w:val="20"/>
              </w:rPr>
              <w:t>TOTAL ANNUAL BURDEN AND COST (ROUNDED)</w:t>
            </w:r>
          </w:p>
        </w:tc>
        <w:tc>
          <w:tcPr>
            <w:tcW w:w="3380" w:type="dxa"/>
            <w:gridSpan w:val="3"/>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center"/>
              <w:rPr>
                <w:b/>
                <w:bCs/>
                <w:sz w:val="20"/>
                <w:szCs w:val="20"/>
              </w:rPr>
            </w:pPr>
            <w:r>
              <w:rPr>
                <w:b/>
                <w:bCs/>
                <w:sz w:val="20"/>
                <w:szCs w:val="20"/>
              </w:rPr>
              <w:t>4,850</w:t>
            </w:r>
          </w:p>
        </w:tc>
        <w:tc>
          <w:tcPr>
            <w:tcW w:w="990"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792668" w:rsidRDefault="00792668">
            <w:pPr>
              <w:jc w:val="right"/>
              <w:rPr>
                <w:b/>
                <w:bCs/>
                <w:sz w:val="20"/>
                <w:szCs w:val="20"/>
              </w:rPr>
            </w:pPr>
            <w:r>
              <w:rPr>
                <w:b/>
                <w:bCs/>
                <w:sz w:val="20"/>
                <w:szCs w:val="20"/>
              </w:rPr>
              <w:t>220,728</w:t>
            </w:r>
          </w:p>
        </w:tc>
      </w:tr>
    </w:tbl>
    <w:p w:rsidR="00792668" w:rsidRPr="00792668" w:rsidRDefault="00792668" w:rsidP="00792668">
      <w:pPr>
        <w:rPr>
          <w:bCs/>
          <w:sz w:val="20"/>
          <w:szCs w:val="20"/>
        </w:rPr>
      </w:pPr>
      <w:r w:rsidRPr="00792668">
        <w:rPr>
          <w:bCs/>
          <w:sz w:val="20"/>
          <w:szCs w:val="20"/>
        </w:rPr>
        <w:t>N/A – Not Applicable</w:t>
      </w:r>
    </w:p>
    <w:p w:rsidR="00144F35" w:rsidRPr="00792668" w:rsidRDefault="00144F35" w:rsidP="00F340DF">
      <w:pPr>
        <w:rPr>
          <w:sz w:val="20"/>
          <w:szCs w:val="20"/>
        </w:rPr>
      </w:pPr>
    </w:p>
    <w:p w:rsidR="00792668" w:rsidRPr="00792668" w:rsidRDefault="00792668" w:rsidP="00792668">
      <w:pPr>
        <w:ind w:left="180" w:hanging="180"/>
        <w:rPr>
          <w:sz w:val="20"/>
          <w:szCs w:val="20"/>
        </w:rPr>
      </w:pPr>
      <w:r w:rsidRPr="00792668">
        <w:rPr>
          <w:sz w:val="20"/>
          <w:szCs w:val="20"/>
          <w:vertAlign w:val="superscript"/>
        </w:rPr>
        <w:t>a</w:t>
      </w:r>
      <w:r w:rsidRPr="00792668">
        <w:rPr>
          <w:sz w:val="20"/>
          <w:szCs w:val="20"/>
        </w:rPr>
        <w:t xml:space="preserve">  EPA estimates an average of 4,896 existing sources will be subject to the standard and 66.4 new sources per year will become subject over the next three years.  These estimates are based on model plant parameters used in development of the original promulgated NSPS and 2005/2006 USGS production data. Of the 66.4 new respondents per year, EPA estimates 60.9 will be in the crushed/broken stone and sand/gravel industrial sectors and 5.5 will be in other industrial sectors.</w:t>
      </w:r>
    </w:p>
    <w:p w:rsidR="00792668" w:rsidRPr="00792668" w:rsidRDefault="00792668" w:rsidP="00792668">
      <w:pPr>
        <w:ind w:left="180" w:hanging="180"/>
        <w:rPr>
          <w:sz w:val="20"/>
          <w:szCs w:val="20"/>
        </w:rPr>
      </w:pPr>
      <w:r w:rsidRPr="00792668">
        <w:rPr>
          <w:sz w:val="20"/>
          <w:szCs w:val="20"/>
          <w:vertAlign w:val="superscript"/>
        </w:rPr>
        <w:t>b</w:t>
      </w:r>
      <w:r w:rsidRPr="00792668">
        <w:rPr>
          <w:sz w:val="20"/>
          <w:szCs w:val="20"/>
        </w:rPr>
        <w:t xml:space="preserve">  This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to government employees.</w:t>
      </w:r>
    </w:p>
    <w:p w:rsidR="00792668" w:rsidRPr="00792668" w:rsidRDefault="00792668" w:rsidP="00792668">
      <w:pPr>
        <w:ind w:left="180" w:hanging="180"/>
        <w:rPr>
          <w:sz w:val="20"/>
          <w:szCs w:val="20"/>
        </w:rPr>
      </w:pPr>
      <w:r w:rsidRPr="00792668">
        <w:rPr>
          <w:sz w:val="20"/>
          <w:szCs w:val="20"/>
          <w:vertAlign w:val="superscript"/>
        </w:rPr>
        <w:t>c</w:t>
      </w:r>
      <w:r w:rsidRPr="00792668">
        <w:rPr>
          <w:sz w:val="20"/>
          <w:szCs w:val="20"/>
        </w:rPr>
        <w:t xml:space="preserve">  EPA assumes 25% of initial performance tests will be repeated due to failure (66.4 x 0.25 = 16.6).</w:t>
      </w:r>
    </w:p>
    <w:p w:rsidR="00792668" w:rsidRPr="00792668" w:rsidRDefault="00792668" w:rsidP="00792668">
      <w:pPr>
        <w:ind w:left="180" w:hanging="180"/>
        <w:rPr>
          <w:sz w:val="20"/>
          <w:szCs w:val="20"/>
        </w:rPr>
      </w:pPr>
      <w:r w:rsidRPr="00792668">
        <w:rPr>
          <w:sz w:val="20"/>
          <w:szCs w:val="20"/>
          <w:vertAlign w:val="superscript"/>
        </w:rPr>
        <w:t>d</w:t>
      </w:r>
      <w:r w:rsidRPr="00792668">
        <w:rPr>
          <w:sz w:val="20"/>
          <w:szCs w:val="20"/>
        </w:rPr>
        <w:t xml:space="preserve">  Includes EPA review of initial and repeat performance tests conducted by new sources (66.4 + 16.6 = 83).</w:t>
      </w:r>
    </w:p>
    <w:p w:rsidR="00792668" w:rsidRPr="00792668" w:rsidRDefault="00792668" w:rsidP="00F340DF">
      <w:pPr>
        <w:rPr>
          <w:sz w:val="20"/>
          <w:szCs w:val="20"/>
        </w:rPr>
      </w:pPr>
    </w:p>
    <w:sectPr w:rsidR="00792668" w:rsidRPr="00792668"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D12" w:rsidRDefault="00511D12">
      <w:r>
        <w:separator/>
      </w:r>
    </w:p>
  </w:endnote>
  <w:endnote w:type="continuationSeparator" w:id="0">
    <w:p w:rsidR="00511D12" w:rsidRDefault="0051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D12" w:rsidRDefault="00511D12">
      <w:r>
        <w:separator/>
      </w:r>
    </w:p>
  </w:footnote>
  <w:footnote w:type="continuationSeparator" w:id="0">
    <w:p w:rsidR="00511D12" w:rsidRDefault="00511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742" w:rsidRDefault="00511D12">
    <w:pPr>
      <w:framePr w:w="9361" w:wrap="notBeside" w:vAnchor="text" w:hAnchor="text" w:x="1" w:y="1"/>
      <w:jc w:val="center"/>
    </w:pPr>
    <w:r>
      <w:fldChar w:fldCharType="begin"/>
    </w:r>
    <w:r>
      <w:instrText xml:space="preserve">PAGE </w:instrText>
    </w:r>
    <w:r>
      <w:fldChar w:fldCharType="separate"/>
    </w:r>
    <w:r w:rsidR="009E2E7D">
      <w:rPr>
        <w:noProof/>
      </w:rPr>
      <w:t>15</w:t>
    </w:r>
    <w:r>
      <w:rPr>
        <w:noProof/>
      </w:rPr>
      <w:fldChar w:fldCharType="end"/>
    </w:r>
  </w:p>
  <w:p w:rsidR="002A7742" w:rsidRDefault="002A7742"/>
  <w:p w:rsidR="002A7742" w:rsidRDefault="002A7742">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742" w:rsidRDefault="00511D12" w:rsidP="00C75DFD">
    <w:pPr>
      <w:framePr w:w="12960" w:wrap="notBeside" w:vAnchor="text" w:hAnchor="text" w:x="1" w:y="1"/>
      <w:jc w:val="center"/>
    </w:pPr>
    <w:r>
      <w:fldChar w:fldCharType="begin"/>
    </w:r>
    <w:r>
      <w:instrText xml:space="preserve">PAGE </w:instrText>
    </w:r>
    <w:r>
      <w:fldChar w:fldCharType="separate"/>
    </w:r>
    <w:r w:rsidR="009E2E7D">
      <w:rPr>
        <w:noProof/>
      </w:rPr>
      <w:t>19</w:t>
    </w:r>
    <w:r>
      <w:rPr>
        <w:noProof/>
      </w:rPr>
      <w:fldChar w:fldCharType="end"/>
    </w:r>
  </w:p>
  <w:p w:rsidR="002A7742" w:rsidRDefault="002A7742"/>
  <w:p w:rsidR="002A7742" w:rsidRDefault="002A774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3625"/>
    <w:rsid w:val="0000687D"/>
    <w:rsid w:val="00007EA7"/>
    <w:rsid w:val="00014EC7"/>
    <w:rsid w:val="0003619B"/>
    <w:rsid w:val="00055BDF"/>
    <w:rsid w:val="00055DC5"/>
    <w:rsid w:val="00061B73"/>
    <w:rsid w:val="00070F08"/>
    <w:rsid w:val="00097FEE"/>
    <w:rsid w:val="000A1FBB"/>
    <w:rsid w:val="000A687C"/>
    <w:rsid w:val="000C54C3"/>
    <w:rsid w:val="000D2272"/>
    <w:rsid w:val="000D47DC"/>
    <w:rsid w:val="000F772C"/>
    <w:rsid w:val="00101B40"/>
    <w:rsid w:val="00102B52"/>
    <w:rsid w:val="0010697C"/>
    <w:rsid w:val="001146F9"/>
    <w:rsid w:val="0011574D"/>
    <w:rsid w:val="00123889"/>
    <w:rsid w:val="00126A7C"/>
    <w:rsid w:val="0013546A"/>
    <w:rsid w:val="001356D4"/>
    <w:rsid w:val="0014079D"/>
    <w:rsid w:val="00144978"/>
    <w:rsid w:val="00144A82"/>
    <w:rsid w:val="00144F35"/>
    <w:rsid w:val="0015433E"/>
    <w:rsid w:val="00186DA3"/>
    <w:rsid w:val="0019177B"/>
    <w:rsid w:val="00195753"/>
    <w:rsid w:val="00197E54"/>
    <w:rsid w:val="001A0B41"/>
    <w:rsid w:val="001B0910"/>
    <w:rsid w:val="001B0B9A"/>
    <w:rsid w:val="001B35F2"/>
    <w:rsid w:val="001C0203"/>
    <w:rsid w:val="001C5991"/>
    <w:rsid w:val="001D153C"/>
    <w:rsid w:val="001D7301"/>
    <w:rsid w:val="001D762C"/>
    <w:rsid w:val="001F1137"/>
    <w:rsid w:val="001F19FF"/>
    <w:rsid w:val="001F3060"/>
    <w:rsid w:val="002041C5"/>
    <w:rsid w:val="002063FE"/>
    <w:rsid w:val="00206932"/>
    <w:rsid w:val="0021722B"/>
    <w:rsid w:val="0022738C"/>
    <w:rsid w:val="00234A28"/>
    <w:rsid w:val="00236DB3"/>
    <w:rsid w:val="002431D9"/>
    <w:rsid w:val="002638A0"/>
    <w:rsid w:val="002712EB"/>
    <w:rsid w:val="0027222A"/>
    <w:rsid w:val="002743D2"/>
    <w:rsid w:val="002772F6"/>
    <w:rsid w:val="00277F42"/>
    <w:rsid w:val="00281CAE"/>
    <w:rsid w:val="0029006A"/>
    <w:rsid w:val="002904E7"/>
    <w:rsid w:val="002976E9"/>
    <w:rsid w:val="002A3E76"/>
    <w:rsid w:val="002A7742"/>
    <w:rsid w:val="002B29A5"/>
    <w:rsid w:val="002B29A7"/>
    <w:rsid w:val="002B517F"/>
    <w:rsid w:val="002B6993"/>
    <w:rsid w:val="002C1F95"/>
    <w:rsid w:val="002C416A"/>
    <w:rsid w:val="002C77DF"/>
    <w:rsid w:val="002D7683"/>
    <w:rsid w:val="002F1F6A"/>
    <w:rsid w:val="002F674B"/>
    <w:rsid w:val="002F6DB3"/>
    <w:rsid w:val="003139FC"/>
    <w:rsid w:val="00333BE8"/>
    <w:rsid w:val="00341540"/>
    <w:rsid w:val="003511C6"/>
    <w:rsid w:val="0035325B"/>
    <w:rsid w:val="00354C15"/>
    <w:rsid w:val="0036229C"/>
    <w:rsid w:val="00377AA2"/>
    <w:rsid w:val="00377D7F"/>
    <w:rsid w:val="003B384B"/>
    <w:rsid w:val="003C4B46"/>
    <w:rsid w:val="003C5023"/>
    <w:rsid w:val="003D536B"/>
    <w:rsid w:val="003D6951"/>
    <w:rsid w:val="003D6E33"/>
    <w:rsid w:val="003E30B5"/>
    <w:rsid w:val="003E3BD0"/>
    <w:rsid w:val="003E4C18"/>
    <w:rsid w:val="003F1AFC"/>
    <w:rsid w:val="0040391F"/>
    <w:rsid w:val="0040650A"/>
    <w:rsid w:val="004133AB"/>
    <w:rsid w:val="004372CF"/>
    <w:rsid w:val="0044133C"/>
    <w:rsid w:val="00455557"/>
    <w:rsid w:val="00473407"/>
    <w:rsid w:val="00484557"/>
    <w:rsid w:val="00484A45"/>
    <w:rsid w:val="004A4B25"/>
    <w:rsid w:val="004C5E95"/>
    <w:rsid w:val="004C701D"/>
    <w:rsid w:val="004D38A5"/>
    <w:rsid w:val="004F1469"/>
    <w:rsid w:val="004F6FCD"/>
    <w:rsid w:val="00504745"/>
    <w:rsid w:val="00507EC5"/>
    <w:rsid w:val="00511D12"/>
    <w:rsid w:val="00516952"/>
    <w:rsid w:val="005253D4"/>
    <w:rsid w:val="00525AD7"/>
    <w:rsid w:val="00551815"/>
    <w:rsid w:val="0056068B"/>
    <w:rsid w:val="00560AD2"/>
    <w:rsid w:val="005659DB"/>
    <w:rsid w:val="00565A51"/>
    <w:rsid w:val="00571260"/>
    <w:rsid w:val="00583626"/>
    <w:rsid w:val="005A1986"/>
    <w:rsid w:val="005B5DE8"/>
    <w:rsid w:val="005C3665"/>
    <w:rsid w:val="005C42AC"/>
    <w:rsid w:val="005C4731"/>
    <w:rsid w:val="005D385C"/>
    <w:rsid w:val="005E194B"/>
    <w:rsid w:val="005F42F8"/>
    <w:rsid w:val="00601205"/>
    <w:rsid w:val="00606DEF"/>
    <w:rsid w:val="00631517"/>
    <w:rsid w:val="00635DBD"/>
    <w:rsid w:val="006432A9"/>
    <w:rsid w:val="006741F7"/>
    <w:rsid w:val="006810C3"/>
    <w:rsid w:val="00694B55"/>
    <w:rsid w:val="006C6F77"/>
    <w:rsid w:val="006D1B12"/>
    <w:rsid w:val="006E4A6E"/>
    <w:rsid w:val="006E642B"/>
    <w:rsid w:val="00712A2F"/>
    <w:rsid w:val="00724BC7"/>
    <w:rsid w:val="00761500"/>
    <w:rsid w:val="00761F66"/>
    <w:rsid w:val="00763160"/>
    <w:rsid w:val="00780612"/>
    <w:rsid w:val="00786A20"/>
    <w:rsid w:val="00792668"/>
    <w:rsid w:val="007A0634"/>
    <w:rsid w:val="007A16F4"/>
    <w:rsid w:val="007A458D"/>
    <w:rsid w:val="007B0AD6"/>
    <w:rsid w:val="007B41C4"/>
    <w:rsid w:val="007C0FAA"/>
    <w:rsid w:val="007C361C"/>
    <w:rsid w:val="007E6FF4"/>
    <w:rsid w:val="007F07FB"/>
    <w:rsid w:val="00801440"/>
    <w:rsid w:val="0080475E"/>
    <w:rsid w:val="00810507"/>
    <w:rsid w:val="00813E69"/>
    <w:rsid w:val="00817E8B"/>
    <w:rsid w:val="008202FD"/>
    <w:rsid w:val="008338D4"/>
    <w:rsid w:val="00833FA0"/>
    <w:rsid w:val="00837642"/>
    <w:rsid w:val="0084255D"/>
    <w:rsid w:val="00847C61"/>
    <w:rsid w:val="00850ACF"/>
    <w:rsid w:val="008514BA"/>
    <w:rsid w:val="00852038"/>
    <w:rsid w:val="008551C2"/>
    <w:rsid w:val="00861489"/>
    <w:rsid w:val="00872048"/>
    <w:rsid w:val="0088639E"/>
    <w:rsid w:val="008A46EB"/>
    <w:rsid w:val="008A4C07"/>
    <w:rsid w:val="008B22E8"/>
    <w:rsid w:val="008B407C"/>
    <w:rsid w:val="008D3F32"/>
    <w:rsid w:val="008D41F0"/>
    <w:rsid w:val="008E2B69"/>
    <w:rsid w:val="008E65E6"/>
    <w:rsid w:val="008F285B"/>
    <w:rsid w:val="008F4564"/>
    <w:rsid w:val="00900D84"/>
    <w:rsid w:val="009018EC"/>
    <w:rsid w:val="00906EDB"/>
    <w:rsid w:val="00912E00"/>
    <w:rsid w:val="00923C46"/>
    <w:rsid w:val="00943849"/>
    <w:rsid w:val="00946A8C"/>
    <w:rsid w:val="009711DB"/>
    <w:rsid w:val="009A0F50"/>
    <w:rsid w:val="009A16CD"/>
    <w:rsid w:val="009B3A34"/>
    <w:rsid w:val="009C066B"/>
    <w:rsid w:val="009C06F5"/>
    <w:rsid w:val="009C6F16"/>
    <w:rsid w:val="009D6567"/>
    <w:rsid w:val="009E0F31"/>
    <w:rsid w:val="009E2E7D"/>
    <w:rsid w:val="00A007F5"/>
    <w:rsid w:val="00A038EC"/>
    <w:rsid w:val="00A05CCC"/>
    <w:rsid w:val="00A145B0"/>
    <w:rsid w:val="00A15172"/>
    <w:rsid w:val="00A15C01"/>
    <w:rsid w:val="00A24738"/>
    <w:rsid w:val="00A26EF7"/>
    <w:rsid w:val="00A277D6"/>
    <w:rsid w:val="00A379F8"/>
    <w:rsid w:val="00A45669"/>
    <w:rsid w:val="00A479C5"/>
    <w:rsid w:val="00A53C9A"/>
    <w:rsid w:val="00A54EEA"/>
    <w:rsid w:val="00A56BFF"/>
    <w:rsid w:val="00A656A0"/>
    <w:rsid w:val="00A73600"/>
    <w:rsid w:val="00A74C1E"/>
    <w:rsid w:val="00A7661C"/>
    <w:rsid w:val="00A949F7"/>
    <w:rsid w:val="00A95BC7"/>
    <w:rsid w:val="00A962DF"/>
    <w:rsid w:val="00AA4008"/>
    <w:rsid w:val="00AB5983"/>
    <w:rsid w:val="00AC0183"/>
    <w:rsid w:val="00AD0B9F"/>
    <w:rsid w:val="00AD4E32"/>
    <w:rsid w:val="00AF70A1"/>
    <w:rsid w:val="00B07F79"/>
    <w:rsid w:val="00B16C07"/>
    <w:rsid w:val="00B25114"/>
    <w:rsid w:val="00B46A57"/>
    <w:rsid w:val="00B60723"/>
    <w:rsid w:val="00B65754"/>
    <w:rsid w:val="00B66231"/>
    <w:rsid w:val="00B769F1"/>
    <w:rsid w:val="00B82025"/>
    <w:rsid w:val="00B9471A"/>
    <w:rsid w:val="00BA0A91"/>
    <w:rsid w:val="00BA4887"/>
    <w:rsid w:val="00BA5BCC"/>
    <w:rsid w:val="00BB3390"/>
    <w:rsid w:val="00BB3C1A"/>
    <w:rsid w:val="00BC11E9"/>
    <w:rsid w:val="00BC6DEF"/>
    <w:rsid w:val="00BD7CAE"/>
    <w:rsid w:val="00BE2989"/>
    <w:rsid w:val="00BE7A11"/>
    <w:rsid w:val="00BF722F"/>
    <w:rsid w:val="00C13FE8"/>
    <w:rsid w:val="00C14AC2"/>
    <w:rsid w:val="00C30A60"/>
    <w:rsid w:val="00C33ABA"/>
    <w:rsid w:val="00C37BB6"/>
    <w:rsid w:val="00C40BF8"/>
    <w:rsid w:val="00C52EFD"/>
    <w:rsid w:val="00C64378"/>
    <w:rsid w:val="00C7336A"/>
    <w:rsid w:val="00C75CF0"/>
    <w:rsid w:val="00C75DFD"/>
    <w:rsid w:val="00C808B5"/>
    <w:rsid w:val="00C82DB6"/>
    <w:rsid w:val="00C93D7A"/>
    <w:rsid w:val="00CA4CD6"/>
    <w:rsid w:val="00CA7DA0"/>
    <w:rsid w:val="00CB1CEF"/>
    <w:rsid w:val="00CC48AB"/>
    <w:rsid w:val="00CC58F6"/>
    <w:rsid w:val="00CD2069"/>
    <w:rsid w:val="00CD280D"/>
    <w:rsid w:val="00CD3493"/>
    <w:rsid w:val="00CD5F2A"/>
    <w:rsid w:val="00CF1739"/>
    <w:rsid w:val="00CF2B37"/>
    <w:rsid w:val="00CF59C5"/>
    <w:rsid w:val="00D043CA"/>
    <w:rsid w:val="00D13D9A"/>
    <w:rsid w:val="00D14A8D"/>
    <w:rsid w:val="00D153BF"/>
    <w:rsid w:val="00D168FF"/>
    <w:rsid w:val="00D21198"/>
    <w:rsid w:val="00D2273E"/>
    <w:rsid w:val="00D40CF7"/>
    <w:rsid w:val="00D42D52"/>
    <w:rsid w:val="00D4352D"/>
    <w:rsid w:val="00D46FA2"/>
    <w:rsid w:val="00D5080D"/>
    <w:rsid w:val="00D56F5F"/>
    <w:rsid w:val="00D61B37"/>
    <w:rsid w:val="00D63B96"/>
    <w:rsid w:val="00D770CA"/>
    <w:rsid w:val="00D92F66"/>
    <w:rsid w:val="00D95819"/>
    <w:rsid w:val="00DA7285"/>
    <w:rsid w:val="00DB59E1"/>
    <w:rsid w:val="00DC2FB9"/>
    <w:rsid w:val="00DD0312"/>
    <w:rsid w:val="00DD1AC1"/>
    <w:rsid w:val="00DD7D49"/>
    <w:rsid w:val="00DE0869"/>
    <w:rsid w:val="00DE77CD"/>
    <w:rsid w:val="00DF5C4E"/>
    <w:rsid w:val="00E10DA7"/>
    <w:rsid w:val="00E1538C"/>
    <w:rsid w:val="00E22F9E"/>
    <w:rsid w:val="00E25DB6"/>
    <w:rsid w:val="00E276CD"/>
    <w:rsid w:val="00E32EDA"/>
    <w:rsid w:val="00E53137"/>
    <w:rsid w:val="00E702F6"/>
    <w:rsid w:val="00E72D70"/>
    <w:rsid w:val="00E77D5E"/>
    <w:rsid w:val="00E868BB"/>
    <w:rsid w:val="00EA37A9"/>
    <w:rsid w:val="00EA5B44"/>
    <w:rsid w:val="00EA7026"/>
    <w:rsid w:val="00EC4074"/>
    <w:rsid w:val="00ED741E"/>
    <w:rsid w:val="00EF113F"/>
    <w:rsid w:val="00F02EB3"/>
    <w:rsid w:val="00F033F0"/>
    <w:rsid w:val="00F03803"/>
    <w:rsid w:val="00F066C9"/>
    <w:rsid w:val="00F20584"/>
    <w:rsid w:val="00F20822"/>
    <w:rsid w:val="00F30FDB"/>
    <w:rsid w:val="00F340DF"/>
    <w:rsid w:val="00F35857"/>
    <w:rsid w:val="00F3634A"/>
    <w:rsid w:val="00F36441"/>
    <w:rsid w:val="00F538BC"/>
    <w:rsid w:val="00F577F3"/>
    <w:rsid w:val="00F86736"/>
    <w:rsid w:val="00F87E6A"/>
    <w:rsid w:val="00F9092B"/>
    <w:rsid w:val="00F92D22"/>
    <w:rsid w:val="00FB0650"/>
    <w:rsid w:val="00FB4D98"/>
    <w:rsid w:val="00FB517C"/>
    <w:rsid w:val="00FB6378"/>
    <w:rsid w:val="00FB7BCE"/>
    <w:rsid w:val="00FC11DA"/>
    <w:rsid w:val="00FC4E09"/>
    <w:rsid w:val="00FD72B2"/>
    <w:rsid w:val="00FE2099"/>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82965C-9407-4C9F-97AC-EFEF5841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0D47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50007338">
      <w:bodyDiv w:val="1"/>
      <w:marLeft w:val="0"/>
      <w:marRight w:val="0"/>
      <w:marTop w:val="0"/>
      <w:marBottom w:val="0"/>
      <w:divBdr>
        <w:top w:val="none" w:sz="0" w:space="0" w:color="auto"/>
        <w:left w:val="none" w:sz="0" w:space="0" w:color="auto"/>
        <w:bottom w:val="none" w:sz="0" w:space="0" w:color="auto"/>
        <w:right w:val="none" w:sz="0" w:space="0" w:color="auto"/>
      </w:divBdr>
    </w:div>
    <w:div w:id="15913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405E6-10DC-480A-9CCA-BBB77463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5762</Words>
  <Characters>32845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2015-07-24T15:00:00Z</dcterms:created>
  <dcterms:modified xsi:type="dcterms:W3CDTF">2015-07-24T15:00:00Z</dcterms:modified>
</cp:coreProperties>
</file>