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2E7" w:rsidRPr="00D049CA" w:rsidRDefault="000362E7">
      <w:pPr>
        <w:rPr>
          <w:rFonts w:ascii="Courier New" w:hAnsi="Courier New"/>
          <w:color w:val="000000" w:themeColor="text1"/>
        </w:rPr>
      </w:pPr>
    </w:p>
    <w:p w:rsidR="000362E7" w:rsidRPr="00D049CA" w:rsidRDefault="000362E7">
      <w:pPr>
        <w:rPr>
          <w:rFonts w:ascii="Courier New" w:hAnsi="Courier New"/>
          <w:color w:val="000000" w:themeColor="text1"/>
        </w:rPr>
      </w:pPr>
    </w:p>
    <w:p w:rsidR="000362E7" w:rsidRPr="00D049CA" w:rsidRDefault="000362E7">
      <w:pPr>
        <w:rPr>
          <w:rFonts w:ascii="Courier New" w:hAnsi="Courier New"/>
          <w:color w:val="000000" w:themeColor="text1"/>
        </w:rPr>
      </w:pPr>
    </w:p>
    <w:p w:rsidR="00C25485" w:rsidRPr="00D049CA" w:rsidRDefault="00C25485" w:rsidP="00254190">
      <w:pPr>
        <w:tabs>
          <w:tab w:val="center" w:pos="4824"/>
        </w:tabs>
        <w:rPr>
          <w:b/>
          <w:bCs/>
          <w:color w:val="000000" w:themeColor="text1"/>
          <w:u w:val="single"/>
        </w:rPr>
      </w:pPr>
    </w:p>
    <w:p w:rsidR="000362E7" w:rsidRPr="00D049CA" w:rsidRDefault="00894FB4" w:rsidP="002807D6">
      <w:pPr>
        <w:pStyle w:val="Default3"/>
        <w:spacing w:line="360" w:lineRule="auto"/>
        <w:jc w:val="center"/>
        <w:rPr>
          <w:color w:val="000000" w:themeColor="text1"/>
        </w:rPr>
      </w:pPr>
      <w:r w:rsidRPr="00894FB4">
        <w:rPr>
          <w:color w:val="000000" w:themeColor="text1"/>
        </w:rPr>
        <w:t>Supporting Statement for</w:t>
      </w:r>
    </w:p>
    <w:p w:rsidR="000362E7" w:rsidRPr="00D049CA" w:rsidRDefault="000362E7" w:rsidP="002807D6">
      <w:pPr>
        <w:pStyle w:val="Default3"/>
        <w:spacing w:line="360" w:lineRule="auto"/>
        <w:jc w:val="center"/>
        <w:rPr>
          <w:color w:val="000000" w:themeColor="text1"/>
        </w:rPr>
      </w:pPr>
    </w:p>
    <w:p w:rsidR="000362E7" w:rsidRPr="00D049CA" w:rsidRDefault="00894FB4" w:rsidP="002807D6">
      <w:pPr>
        <w:pStyle w:val="Default3"/>
        <w:spacing w:line="360" w:lineRule="auto"/>
        <w:jc w:val="center"/>
        <w:rPr>
          <w:color w:val="000000" w:themeColor="text1"/>
        </w:rPr>
      </w:pPr>
      <w:r w:rsidRPr="00894FB4">
        <w:rPr>
          <w:color w:val="000000" w:themeColor="text1"/>
        </w:rPr>
        <w:t>Information Collection Request</w:t>
      </w:r>
    </w:p>
    <w:p w:rsidR="000362E7" w:rsidRPr="00D049CA" w:rsidRDefault="000362E7" w:rsidP="002807D6">
      <w:pPr>
        <w:pStyle w:val="Default3"/>
        <w:spacing w:line="360" w:lineRule="auto"/>
        <w:jc w:val="center"/>
        <w:rPr>
          <w:color w:val="000000" w:themeColor="text1"/>
        </w:rPr>
      </w:pPr>
    </w:p>
    <w:p w:rsidR="000362E7" w:rsidRPr="00D049CA" w:rsidRDefault="000362E7" w:rsidP="002807D6">
      <w:pPr>
        <w:pStyle w:val="Default3"/>
        <w:spacing w:line="360" w:lineRule="auto"/>
        <w:jc w:val="center"/>
        <w:rPr>
          <w:color w:val="000000" w:themeColor="text1"/>
        </w:rPr>
      </w:pPr>
    </w:p>
    <w:p w:rsidR="000362E7" w:rsidRPr="00D049CA" w:rsidRDefault="00894FB4" w:rsidP="002807D6">
      <w:pPr>
        <w:pStyle w:val="Default3"/>
        <w:spacing w:line="360" w:lineRule="auto"/>
        <w:jc w:val="center"/>
        <w:rPr>
          <w:color w:val="000000" w:themeColor="text1"/>
        </w:rPr>
      </w:pPr>
      <w:r w:rsidRPr="00894FB4">
        <w:rPr>
          <w:color w:val="000000" w:themeColor="text1"/>
        </w:rPr>
        <w:t>Notice of Proposed Rulemaking</w:t>
      </w:r>
    </w:p>
    <w:p w:rsidR="00806970" w:rsidRPr="00D049CA" w:rsidRDefault="00894FB4" w:rsidP="002807D6">
      <w:pPr>
        <w:pStyle w:val="Default3"/>
        <w:spacing w:line="360" w:lineRule="auto"/>
        <w:jc w:val="center"/>
        <w:rPr>
          <w:color w:val="000000" w:themeColor="text1"/>
        </w:rPr>
      </w:pPr>
      <w:r w:rsidRPr="00894FB4">
        <w:rPr>
          <w:b/>
          <w:color w:val="000000" w:themeColor="text1"/>
        </w:rPr>
        <w:t>Greenhouse Gas Emissions and Fuel Efficiency Standards for Medium- and Heavy-Duty Engines and Vehicles - Phase 2</w:t>
      </w:r>
    </w:p>
    <w:p w:rsidR="00254190" w:rsidRPr="00D049CA" w:rsidRDefault="00894FB4" w:rsidP="002807D6">
      <w:pPr>
        <w:pStyle w:val="Default3"/>
        <w:spacing w:line="360" w:lineRule="auto"/>
        <w:jc w:val="center"/>
        <w:rPr>
          <w:color w:val="000000" w:themeColor="text1"/>
        </w:rPr>
      </w:pPr>
      <w:r w:rsidRPr="00894FB4">
        <w:rPr>
          <w:color w:val="000000" w:themeColor="text1"/>
        </w:rPr>
        <w:t xml:space="preserve">EPA ICR Tracking Number </w:t>
      </w:r>
      <w:r w:rsidR="002936FA" w:rsidRPr="00894FB4">
        <w:rPr>
          <w:color w:val="000000" w:themeColor="text1"/>
        </w:rPr>
        <w:t>2394.0</w:t>
      </w:r>
      <w:r w:rsidR="002936FA">
        <w:rPr>
          <w:color w:val="000000" w:themeColor="text1"/>
        </w:rPr>
        <w:t>4</w:t>
      </w:r>
    </w:p>
    <w:p w:rsidR="000362E7" w:rsidRPr="00D049CA" w:rsidRDefault="000362E7" w:rsidP="002807D6">
      <w:pPr>
        <w:pStyle w:val="Default3"/>
        <w:spacing w:line="360" w:lineRule="auto"/>
        <w:jc w:val="center"/>
        <w:rPr>
          <w:color w:val="000000" w:themeColor="text1"/>
        </w:rPr>
      </w:pPr>
    </w:p>
    <w:p w:rsidR="000362E7" w:rsidRPr="00D049CA" w:rsidRDefault="00894FB4" w:rsidP="002807D6">
      <w:pPr>
        <w:pStyle w:val="Default3"/>
        <w:spacing w:line="360" w:lineRule="auto"/>
        <w:jc w:val="center"/>
        <w:rPr>
          <w:color w:val="000000" w:themeColor="text1"/>
        </w:rPr>
      </w:pPr>
      <w:r w:rsidRPr="00894FB4">
        <w:rPr>
          <w:color w:val="000000" w:themeColor="text1"/>
        </w:rPr>
        <w:t>Office of Transportation and Air Quality</w:t>
      </w:r>
    </w:p>
    <w:p w:rsidR="000362E7" w:rsidRPr="00D049CA" w:rsidRDefault="00894FB4" w:rsidP="002807D6">
      <w:pPr>
        <w:pStyle w:val="Default3"/>
        <w:spacing w:line="360" w:lineRule="auto"/>
        <w:jc w:val="center"/>
        <w:rPr>
          <w:color w:val="000000" w:themeColor="text1"/>
        </w:rPr>
      </w:pPr>
      <w:r w:rsidRPr="00894FB4">
        <w:rPr>
          <w:color w:val="000000" w:themeColor="text1"/>
        </w:rPr>
        <w:t>Office of Air and Radiation</w:t>
      </w:r>
    </w:p>
    <w:p w:rsidR="000362E7" w:rsidRPr="00D049CA" w:rsidRDefault="00894FB4" w:rsidP="002807D6">
      <w:pPr>
        <w:pStyle w:val="Default3"/>
        <w:spacing w:line="360" w:lineRule="auto"/>
        <w:jc w:val="center"/>
        <w:rPr>
          <w:color w:val="000000" w:themeColor="text1"/>
        </w:rPr>
      </w:pPr>
      <w:r w:rsidRPr="00894FB4">
        <w:rPr>
          <w:color w:val="000000" w:themeColor="text1"/>
        </w:rPr>
        <w:t>U.S. Environmental Protection Agency</w:t>
      </w:r>
    </w:p>
    <w:p w:rsidR="00806970" w:rsidRPr="00D049CA" w:rsidRDefault="00806970" w:rsidP="002807D6">
      <w:pPr>
        <w:pStyle w:val="Default3"/>
        <w:spacing w:line="360" w:lineRule="auto"/>
        <w:jc w:val="center"/>
        <w:rPr>
          <w:color w:val="000000" w:themeColor="text1"/>
        </w:rPr>
      </w:pPr>
    </w:p>
    <w:p w:rsidR="00806970" w:rsidRPr="00D049CA" w:rsidRDefault="00894FB4" w:rsidP="002807D6">
      <w:pPr>
        <w:pStyle w:val="Default3"/>
        <w:spacing w:line="360" w:lineRule="auto"/>
        <w:jc w:val="center"/>
        <w:rPr>
          <w:color w:val="000000" w:themeColor="text1"/>
        </w:rPr>
      </w:pPr>
      <w:proofErr w:type="gramStart"/>
      <w:r w:rsidRPr="00894FB4">
        <w:rPr>
          <w:color w:val="000000" w:themeColor="text1"/>
        </w:rPr>
        <w:t>and</w:t>
      </w:r>
      <w:proofErr w:type="gramEnd"/>
    </w:p>
    <w:p w:rsidR="00806970" w:rsidRPr="00D049CA" w:rsidRDefault="00806970" w:rsidP="002807D6">
      <w:pPr>
        <w:pStyle w:val="Default3"/>
        <w:spacing w:line="360" w:lineRule="auto"/>
        <w:jc w:val="center"/>
        <w:rPr>
          <w:color w:val="000000" w:themeColor="text1"/>
        </w:rPr>
      </w:pPr>
    </w:p>
    <w:p w:rsidR="00806970" w:rsidRPr="00D049CA" w:rsidRDefault="00894FB4" w:rsidP="002807D6">
      <w:pPr>
        <w:pStyle w:val="Default3"/>
        <w:spacing w:line="360" w:lineRule="auto"/>
        <w:jc w:val="center"/>
        <w:rPr>
          <w:color w:val="000000" w:themeColor="text1"/>
        </w:rPr>
      </w:pPr>
      <w:r w:rsidRPr="00894FB4">
        <w:rPr>
          <w:color w:val="000000" w:themeColor="text1"/>
        </w:rPr>
        <w:t>National Highway Traffic Safety Administration</w:t>
      </w:r>
    </w:p>
    <w:p w:rsidR="00806970" w:rsidRPr="00D049CA" w:rsidRDefault="00894FB4" w:rsidP="002807D6">
      <w:pPr>
        <w:pStyle w:val="Default3"/>
        <w:spacing w:line="360" w:lineRule="auto"/>
        <w:jc w:val="center"/>
        <w:rPr>
          <w:color w:val="000000" w:themeColor="text1"/>
        </w:rPr>
      </w:pPr>
      <w:r w:rsidRPr="00894FB4">
        <w:rPr>
          <w:color w:val="000000" w:themeColor="text1"/>
        </w:rPr>
        <w:t>U.S. Department of Transportation</w:t>
      </w:r>
    </w:p>
    <w:p w:rsidR="00723F94" w:rsidRPr="00D049CA" w:rsidRDefault="00894FB4">
      <w:pPr>
        <w:widowControl/>
        <w:rPr>
          <w:b/>
          <w:color w:val="000000" w:themeColor="text1"/>
        </w:rPr>
      </w:pPr>
      <w:r w:rsidRPr="00894FB4">
        <w:rPr>
          <w:b/>
          <w:color w:val="000000" w:themeColor="text1"/>
        </w:rPr>
        <w:br w:type="page"/>
      </w:r>
    </w:p>
    <w:p w:rsidR="005A63AF" w:rsidRDefault="00894FB4">
      <w:pPr>
        <w:pStyle w:val="Heading1"/>
        <w:rPr>
          <w:color w:val="000000" w:themeColor="text1"/>
        </w:rPr>
      </w:pPr>
      <w:r w:rsidRPr="00894FB4">
        <w:rPr>
          <w:color w:val="000000" w:themeColor="text1"/>
        </w:rPr>
        <w:lastRenderedPageBreak/>
        <w:t>Identification of the Information Collection</w:t>
      </w:r>
    </w:p>
    <w:p w:rsidR="005A63AF" w:rsidRDefault="00894FB4">
      <w:pPr>
        <w:pStyle w:val="Heading2"/>
        <w:rPr>
          <w:color w:val="000000" w:themeColor="text1"/>
        </w:rPr>
      </w:pPr>
      <w:r w:rsidRPr="00894FB4">
        <w:rPr>
          <w:color w:val="000000" w:themeColor="text1"/>
        </w:rPr>
        <w:t>Title and Number of the Information Collection</w:t>
      </w:r>
    </w:p>
    <w:p w:rsidR="00EC5B36" w:rsidRPr="00D049CA" w:rsidRDefault="00894FB4" w:rsidP="00EC5B36">
      <w:pPr>
        <w:rPr>
          <w:color w:val="000000" w:themeColor="text1"/>
        </w:rPr>
      </w:pPr>
      <w:r w:rsidRPr="00894FB4">
        <w:rPr>
          <w:b/>
          <w:color w:val="000000" w:themeColor="text1"/>
        </w:rPr>
        <w:t xml:space="preserve"> </w:t>
      </w:r>
      <w:r w:rsidRPr="00894FB4">
        <w:rPr>
          <w:color w:val="000000" w:themeColor="text1"/>
        </w:rPr>
        <w:t>Greenhouse Gas Emissions and Fuel Efficiency Standards for Medium- and Heavy-Duty Engines and Vehicles – Phase 2, EPA ICR Number 2394.0</w:t>
      </w:r>
      <w:r w:rsidR="006D5FE5">
        <w:rPr>
          <w:color w:val="000000" w:themeColor="text1"/>
        </w:rPr>
        <w:t>4</w:t>
      </w:r>
      <w:r w:rsidRPr="00894FB4">
        <w:rPr>
          <w:color w:val="000000" w:themeColor="text1"/>
        </w:rPr>
        <w:t xml:space="preserve">, </w:t>
      </w:r>
      <w:proofErr w:type="gramStart"/>
      <w:r w:rsidRPr="00894FB4">
        <w:rPr>
          <w:color w:val="000000" w:themeColor="text1"/>
        </w:rPr>
        <w:t>OMB</w:t>
      </w:r>
      <w:proofErr w:type="gramEnd"/>
      <w:r w:rsidRPr="00894FB4">
        <w:rPr>
          <w:color w:val="000000" w:themeColor="text1"/>
        </w:rPr>
        <w:t xml:space="preserve"> Control Number 2060-0678.</w:t>
      </w:r>
    </w:p>
    <w:p w:rsidR="005A63AF" w:rsidRDefault="00894FB4">
      <w:pPr>
        <w:pStyle w:val="Heading2"/>
        <w:rPr>
          <w:color w:val="000000" w:themeColor="text1"/>
        </w:rPr>
      </w:pPr>
      <w:r w:rsidRPr="00894FB4">
        <w:rPr>
          <w:color w:val="000000" w:themeColor="text1"/>
        </w:rPr>
        <w:t>Short Characterization</w:t>
      </w:r>
    </w:p>
    <w:p w:rsidR="005E2D99" w:rsidRPr="00D049CA" w:rsidRDefault="00894FB4" w:rsidP="002A0657">
      <w:pPr>
        <w:rPr>
          <w:color w:val="000000" w:themeColor="text1"/>
        </w:rPr>
      </w:pPr>
      <w:r w:rsidRPr="00894FB4">
        <w:rPr>
          <w:color w:val="000000" w:themeColor="text1"/>
        </w:rPr>
        <w:t xml:space="preserve">The Environmental Protection Agency (EPA) and the National Highway Traffic Safety Administration (NHTSA) are proposing Phase 2 standards to address greenhouse gas (GHG) emissions and fuel consumption in the </w:t>
      </w:r>
      <w:r w:rsidR="004B38D7">
        <w:rPr>
          <w:color w:val="000000" w:themeColor="text1"/>
        </w:rPr>
        <w:t xml:space="preserve">medium- and </w:t>
      </w:r>
      <w:r w:rsidRPr="00894FB4">
        <w:rPr>
          <w:color w:val="000000" w:themeColor="text1"/>
        </w:rPr>
        <w:t>heavy-duty (HD) trucking sector.  As a result of these proposed standards, HD engine and HD vehicle manufacturers would be subject to new testing, reporting, recordkeeping</w:t>
      </w:r>
      <w:r w:rsidR="004B38D7">
        <w:rPr>
          <w:color w:val="000000" w:themeColor="text1"/>
        </w:rPr>
        <w:t>, and labeling</w:t>
      </w:r>
      <w:r w:rsidRPr="00894FB4">
        <w:rPr>
          <w:color w:val="000000" w:themeColor="text1"/>
        </w:rPr>
        <w:t xml:space="preserve"> requirements. The paperwork and cost burdens associated with these requirements are identified in this ICR, which is an extension of a currently approved ICR that covers the HD Phase 1 program. </w:t>
      </w:r>
      <w:r w:rsidR="004B38D7">
        <w:rPr>
          <w:color w:val="000000" w:themeColor="text1"/>
        </w:rPr>
        <w:t>The cost burden is also adjusted to account for amendments made to the Phase 1 program which reduce final reporting provisions.</w:t>
      </w:r>
    </w:p>
    <w:p w:rsidR="00B40695" w:rsidRPr="00D049CA" w:rsidRDefault="00894FB4" w:rsidP="002A0657">
      <w:pPr>
        <w:rPr>
          <w:color w:val="000000" w:themeColor="text1"/>
        </w:rPr>
      </w:pPr>
      <w:r w:rsidRPr="00894FB4">
        <w:rPr>
          <w:color w:val="000000" w:themeColor="text1"/>
        </w:rPr>
        <w:t xml:space="preserve">EPA and NHTSA are each proposing rules to establish a comprehensive Phase 2 Heavy-Duty National Program that will reduce GHG emissions and fuel consumption for new </w:t>
      </w:r>
      <w:r w:rsidR="004B38D7">
        <w:rPr>
          <w:color w:val="000000" w:themeColor="text1"/>
        </w:rPr>
        <w:t>HD</w:t>
      </w:r>
      <w:r w:rsidRPr="00894FB4">
        <w:rPr>
          <w:color w:val="000000" w:themeColor="text1"/>
        </w:rPr>
        <w:t xml:space="preserve"> vehicles.  This technology-advancing program would phase in over the long-term, beginning in the 2018 model year and culminating in standards for model year 2027, responding to the President’s directive on February 18, 2014, to develop new standards that will take us well into the next decade.  </w:t>
      </w:r>
      <w:proofErr w:type="spellStart"/>
      <w:r w:rsidRPr="00894FB4">
        <w:rPr>
          <w:color w:val="000000" w:themeColor="text1"/>
        </w:rPr>
        <w:t>NHTSA’s</w:t>
      </w:r>
      <w:proofErr w:type="spellEnd"/>
      <w:r w:rsidRPr="00894FB4">
        <w:rPr>
          <w:color w:val="000000" w:themeColor="text1"/>
        </w:rPr>
        <w:t xml:space="preserve"> proposed fuel consumption standards and EPA’s proposed carbon dioxide (CO</w:t>
      </w:r>
      <w:r w:rsidRPr="00894FB4">
        <w:rPr>
          <w:color w:val="000000" w:themeColor="text1"/>
          <w:vertAlign w:val="subscript"/>
        </w:rPr>
        <w:t>2</w:t>
      </w:r>
      <w:r w:rsidRPr="00894FB4">
        <w:rPr>
          <w:color w:val="000000" w:themeColor="text1"/>
        </w:rPr>
        <w:t>) emissions standards are tailored to each of four regulatory categories of heavy-duty vehicles: (1) Combination Tractors; (2) Trailers used in combination with those tractors; (3) Heavy-duty Pickup Trucks and Vans; and (4) Vocational Vehicles.  The proposal also includes separate standards for the engines that power combination tractors and vocational vehicles.  Certain proposed requirements for control of GHG emissions</w:t>
      </w:r>
      <w:r w:rsidRPr="00894FB4">
        <w:rPr>
          <w:b/>
          <w:color w:val="000000" w:themeColor="text1"/>
        </w:rPr>
        <w:t xml:space="preserve"> </w:t>
      </w:r>
      <w:r w:rsidRPr="00894FB4">
        <w:rPr>
          <w:color w:val="000000" w:themeColor="text1"/>
        </w:rPr>
        <w:t>are exclusive to EPA programs.  These include EPA’s proposed hydrofluorocarbon standards to control leakage from air conditioning systems in vocational vehicles, and EPA’s proposed nitrous oxide (N</w:t>
      </w:r>
      <w:r w:rsidRPr="00894FB4">
        <w:rPr>
          <w:color w:val="000000" w:themeColor="text1"/>
          <w:vertAlign w:val="subscript"/>
        </w:rPr>
        <w:t>2</w:t>
      </w:r>
      <w:r w:rsidRPr="00894FB4">
        <w:rPr>
          <w:color w:val="000000" w:themeColor="text1"/>
        </w:rPr>
        <w:t>O) and methane (CH</w:t>
      </w:r>
      <w:r w:rsidRPr="00894FB4">
        <w:rPr>
          <w:color w:val="000000" w:themeColor="text1"/>
          <w:vertAlign w:val="subscript"/>
        </w:rPr>
        <w:t>4</w:t>
      </w:r>
      <w:r w:rsidRPr="00894FB4">
        <w:rPr>
          <w:color w:val="000000" w:themeColor="text1"/>
        </w:rPr>
        <w:t xml:space="preserve">) standards for heavy-duty engines.  </w:t>
      </w:r>
    </w:p>
    <w:p w:rsidR="008A4905" w:rsidRPr="00D049CA" w:rsidRDefault="00894FB4" w:rsidP="00425A49">
      <w:pPr>
        <w:rPr>
          <w:color w:val="000000" w:themeColor="text1"/>
        </w:rPr>
      </w:pPr>
      <w:r w:rsidRPr="00894FB4">
        <w:rPr>
          <w:color w:val="000000" w:themeColor="text1"/>
        </w:rPr>
        <w:t>As a result, the standards that support the HD Phase 2 National Program address the complete vehicle, through complementary engine and vehicle standards.  Consistent with the structure of this program and the Phase 1 program, the testing, reporting, labeling and recordkeeping requirements described in this ICR cover heavy-duty gas and diesel engines, and four regulatory categories of heavy-duty vehicles, including combination tractors, combination trailers, vocational vehicles and heavy-duty pickup trucks and vans.</w:t>
      </w:r>
    </w:p>
    <w:p w:rsidR="00733821" w:rsidRPr="00D049CA" w:rsidRDefault="00894FB4" w:rsidP="008A4905">
      <w:pPr>
        <w:rPr>
          <w:color w:val="000000" w:themeColor="text1"/>
        </w:rPr>
      </w:pPr>
      <w:r w:rsidRPr="00894FB4">
        <w:rPr>
          <w:color w:val="000000" w:themeColor="text1"/>
        </w:rPr>
        <w:t>Under the HD Phase 2 National Program these manufacturers would be subject to new CO</w:t>
      </w:r>
      <w:r w:rsidRPr="00CF70D5">
        <w:rPr>
          <w:color w:val="000000" w:themeColor="text1"/>
          <w:vertAlign w:val="subscript"/>
        </w:rPr>
        <w:t>2</w:t>
      </w:r>
      <w:r w:rsidRPr="00894FB4">
        <w:rPr>
          <w:color w:val="000000" w:themeColor="text1"/>
        </w:rPr>
        <w:t xml:space="preserve"> and fuel consumption standards.  As their vehicles are not directly responsible for N</w:t>
      </w:r>
      <w:r w:rsidRPr="00CF70D5">
        <w:rPr>
          <w:color w:val="000000" w:themeColor="text1"/>
          <w:vertAlign w:val="subscript"/>
        </w:rPr>
        <w:t>2</w:t>
      </w:r>
      <w:r w:rsidRPr="00894FB4">
        <w:rPr>
          <w:color w:val="000000" w:themeColor="text1"/>
        </w:rPr>
        <w:t>O and CH</w:t>
      </w:r>
      <w:r w:rsidRPr="00CF70D5">
        <w:rPr>
          <w:color w:val="000000" w:themeColor="text1"/>
          <w:vertAlign w:val="subscript"/>
        </w:rPr>
        <w:t>4</w:t>
      </w:r>
      <w:r w:rsidRPr="00894FB4">
        <w:rPr>
          <w:color w:val="000000" w:themeColor="text1"/>
        </w:rPr>
        <w:t xml:space="preserve"> emissions, trailer, vocational vehicle chassis and combination tractor manufacturers are not subject to the new standards for these pollutants.  To demonstrate compliance with the Phase 2 CO</w:t>
      </w:r>
      <w:r w:rsidRPr="00CF70D5">
        <w:rPr>
          <w:color w:val="000000" w:themeColor="text1"/>
          <w:vertAlign w:val="subscript"/>
        </w:rPr>
        <w:t>2</w:t>
      </w:r>
      <w:r w:rsidRPr="00894FB4">
        <w:rPr>
          <w:color w:val="000000" w:themeColor="text1"/>
        </w:rPr>
        <w:t xml:space="preserve"> and fuel consumption standards, vocational vehicle chassis and tractor manufacturers would need to modify the testing programs, reporting, labeling and recordkeeping systems developed </w:t>
      </w:r>
      <w:r w:rsidRPr="00894FB4">
        <w:rPr>
          <w:color w:val="000000" w:themeColor="text1"/>
        </w:rPr>
        <w:lastRenderedPageBreak/>
        <w:t>for the Phase 1 HD National Program.  Trailer manufacturers, who would be subject to CO</w:t>
      </w:r>
      <w:r w:rsidRPr="00CF70D5">
        <w:rPr>
          <w:color w:val="000000" w:themeColor="text1"/>
          <w:vertAlign w:val="subscript"/>
        </w:rPr>
        <w:t>2</w:t>
      </w:r>
      <w:r w:rsidRPr="00894FB4">
        <w:rPr>
          <w:color w:val="000000" w:themeColor="text1"/>
        </w:rPr>
        <w:t xml:space="preserve"> and fuel consumption standards for the first time, would have </w:t>
      </w:r>
      <w:r w:rsidR="006A7AC5">
        <w:rPr>
          <w:color w:val="000000" w:themeColor="text1"/>
        </w:rPr>
        <w:t xml:space="preserve">to </w:t>
      </w:r>
      <w:r w:rsidRPr="00894FB4">
        <w:rPr>
          <w:color w:val="000000" w:themeColor="text1"/>
        </w:rPr>
        <w:t>put in place entirely new testing programs, reporting, labeling</w:t>
      </w:r>
      <w:r w:rsidR="00C2196B">
        <w:rPr>
          <w:color w:val="000000" w:themeColor="text1"/>
        </w:rPr>
        <w:t>,</w:t>
      </w:r>
      <w:r w:rsidRPr="00894FB4">
        <w:rPr>
          <w:color w:val="000000" w:themeColor="text1"/>
        </w:rPr>
        <w:t xml:space="preserve"> and recordkeeping systems.</w:t>
      </w:r>
    </w:p>
    <w:p w:rsidR="008071D5" w:rsidRPr="00D049CA" w:rsidRDefault="00894FB4" w:rsidP="008A4905">
      <w:pPr>
        <w:rPr>
          <w:color w:val="000000" w:themeColor="text1"/>
        </w:rPr>
      </w:pPr>
      <w:r w:rsidRPr="00894FB4">
        <w:rPr>
          <w:color w:val="000000" w:themeColor="text1"/>
        </w:rPr>
        <w:t>The proposed Phase 2 program sets new CO</w:t>
      </w:r>
      <w:r w:rsidRPr="00CF70D5">
        <w:rPr>
          <w:color w:val="000000" w:themeColor="text1"/>
          <w:vertAlign w:val="subscript"/>
        </w:rPr>
        <w:t>2</w:t>
      </w:r>
      <w:r w:rsidRPr="00894FB4">
        <w:rPr>
          <w:color w:val="000000" w:themeColor="text1"/>
        </w:rPr>
        <w:t>, fuel consumption, and N</w:t>
      </w:r>
      <w:r w:rsidRPr="00CF70D5">
        <w:rPr>
          <w:color w:val="000000" w:themeColor="text1"/>
          <w:vertAlign w:val="subscript"/>
        </w:rPr>
        <w:t>2</w:t>
      </w:r>
      <w:r w:rsidRPr="00894FB4">
        <w:rPr>
          <w:color w:val="000000" w:themeColor="text1"/>
        </w:rPr>
        <w:t xml:space="preserve">O standards with the following implementation years, as shown in </w:t>
      </w:r>
      <w:r w:rsidR="007112DA">
        <w:fldChar w:fldCharType="begin"/>
      </w:r>
      <w:r w:rsidR="007112DA">
        <w:instrText xml:space="preserve"> REF _Ref418865130 \h  \* MERGEFORMAT </w:instrText>
      </w:r>
      <w:r w:rsidR="007112DA">
        <w:fldChar w:fldCharType="separate"/>
      </w:r>
      <w:r w:rsidR="00673E30" w:rsidRPr="00673E30">
        <w:rPr>
          <w:color w:val="000000" w:themeColor="text1"/>
        </w:rPr>
        <w:t>Table 1</w:t>
      </w:r>
      <w:r w:rsidR="007112DA">
        <w:fldChar w:fldCharType="end"/>
      </w:r>
      <w:r w:rsidRPr="00894FB4">
        <w:rPr>
          <w:color w:val="000000" w:themeColor="text1"/>
        </w:rPr>
        <w:t>.</w:t>
      </w:r>
    </w:p>
    <w:p w:rsidR="005A63AF" w:rsidRPr="00BF034E" w:rsidRDefault="00894FB4">
      <w:pPr>
        <w:pStyle w:val="Caption"/>
        <w:rPr>
          <w:color w:val="000000" w:themeColor="text1"/>
          <w:sz w:val="20"/>
          <w:szCs w:val="20"/>
        </w:rPr>
      </w:pPr>
      <w:bookmarkStart w:id="0" w:name="_Ref418865130"/>
      <w:r w:rsidRPr="00BF034E">
        <w:rPr>
          <w:color w:val="000000" w:themeColor="text1"/>
          <w:sz w:val="20"/>
          <w:szCs w:val="20"/>
        </w:rPr>
        <w:t xml:space="preserve">Table </w:t>
      </w:r>
      <w:r w:rsidR="00121BAD" w:rsidRPr="00BF034E">
        <w:rPr>
          <w:color w:val="000000" w:themeColor="text1"/>
          <w:sz w:val="20"/>
          <w:szCs w:val="20"/>
        </w:rPr>
        <w:fldChar w:fldCharType="begin"/>
      </w:r>
      <w:r w:rsidRPr="00BF034E">
        <w:rPr>
          <w:color w:val="000000" w:themeColor="text1"/>
          <w:sz w:val="20"/>
          <w:szCs w:val="20"/>
        </w:rPr>
        <w:instrText xml:space="preserve"> SEQ Table \* ARABIC </w:instrText>
      </w:r>
      <w:r w:rsidR="00121BAD" w:rsidRPr="00BF034E">
        <w:rPr>
          <w:color w:val="000000" w:themeColor="text1"/>
          <w:sz w:val="20"/>
          <w:szCs w:val="20"/>
        </w:rPr>
        <w:fldChar w:fldCharType="separate"/>
      </w:r>
      <w:r w:rsidR="00673E30">
        <w:rPr>
          <w:noProof/>
          <w:color w:val="000000" w:themeColor="text1"/>
          <w:sz w:val="20"/>
          <w:szCs w:val="20"/>
        </w:rPr>
        <w:t>1</w:t>
      </w:r>
      <w:r w:rsidR="00121BAD" w:rsidRPr="00BF034E">
        <w:rPr>
          <w:color w:val="000000" w:themeColor="text1"/>
          <w:sz w:val="20"/>
          <w:szCs w:val="20"/>
        </w:rPr>
        <w:fldChar w:fldCharType="end"/>
      </w:r>
      <w:bookmarkEnd w:id="0"/>
      <w:r w:rsidRPr="00BF034E">
        <w:rPr>
          <w:color w:val="000000" w:themeColor="text1"/>
          <w:sz w:val="20"/>
          <w:szCs w:val="20"/>
        </w:rPr>
        <w:t xml:space="preserve"> Implementation Years for Proposed Phase 2 Standards</w:t>
      </w:r>
    </w:p>
    <w:tbl>
      <w:tblPr>
        <w:tblStyle w:val="TableGrid"/>
        <w:tblW w:w="0" w:type="auto"/>
        <w:tblCellMar>
          <w:top w:w="14" w:type="dxa"/>
          <w:left w:w="72" w:type="dxa"/>
          <w:bottom w:w="14" w:type="dxa"/>
          <w:right w:w="72" w:type="dxa"/>
        </w:tblCellMar>
        <w:tblLook w:val="04A0" w:firstRow="1" w:lastRow="0" w:firstColumn="1" w:lastColumn="0" w:noHBand="0" w:noVBand="1"/>
      </w:tblPr>
      <w:tblGrid>
        <w:gridCol w:w="2117"/>
        <w:gridCol w:w="3271"/>
        <w:gridCol w:w="3962"/>
      </w:tblGrid>
      <w:tr w:rsidR="008071D5" w:rsidRPr="00D049CA" w:rsidTr="004B38D7">
        <w:tc>
          <w:tcPr>
            <w:tcW w:w="2142" w:type="dxa"/>
          </w:tcPr>
          <w:p w:rsidR="005A63AF" w:rsidRDefault="00894FB4">
            <w:pPr>
              <w:spacing w:before="0" w:after="0"/>
              <w:ind w:firstLine="0"/>
              <w:rPr>
                <w:b/>
                <w:color w:val="000000" w:themeColor="text1"/>
                <w:sz w:val="22"/>
              </w:rPr>
            </w:pPr>
            <w:r w:rsidRPr="00894FB4">
              <w:rPr>
                <w:b/>
                <w:color w:val="000000" w:themeColor="text1"/>
                <w:sz w:val="22"/>
              </w:rPr>
              <w:t>Regulatory Category</w:t>
            </w:r>
          </w:p>
        </w:tc>
        <w:tc>
          <w:tcPr>
            <w:tcW w:w="3330" w:type="dxa"/>
          </w:tcPr>
          <w:p w:rsidR="005A63AF" w:rsidRDefault="00894FB4">
            <w:pPr>
              <w:spacing w:before="0" w:after="0"/>
              <w:ind w:firstLine="0"/>
              <w:rPr>
                <w:b/>
                <w:color w:val="000000" w:themeColor="text1"/>
                <w:sz w:val="22"/>
              </w:rPr>
            </w:pPr>
            <w:r w:rsidRPr="00894FB4">
              <w:rPr>
                <w:b/>
                <w:color w:val="000000" w:themeColor="text1"/>
                <w:sz w:val="22"/>
              </w:rPr>
              <w:t>EPA GHG Standards</w:t>
            </w:r>
          </w:p>
        </w:tc>
        <w:tc>
          <w:tcPr>
            <w:tcW w:w="4032" w:type="dxa"/>
          </w:tcPr>
          <w:p w:rsidR="005A63AF" w:rsidRDefault="00894FB4">
            <w:pPr>
              <w:spacing w:before="0" w:after="0"/>
              <w:ind w:firstLine="0"/>
              <w:rPr>
                <w:b/>
                <w:color w:val="000000" w:themeColor="text1"/>
                <w:sz w:val="22"/>
              </w:rPr>
            </w:pPr>
            <w:r w:rsidRPr="00894FB4">
              <w:rPr>
                <w:b/>
                <w:color w:val="000000" w:themeColor="text1"/>
                <w:sz w:val="22"/>
              </w:rPr>
              <w:t>NHTSA Fuel Consumption Standards</w:t>
            </w:r>
          </w:p>
        </w:tc>
      </w:tr>
      <w:tr w:rsidR="008071D5" w:rsidRPr="00D049CA" w:rsidTr="004B38D7">
        <w:tc>
          <w:tcPr>
            <w:tcW w:w="2142" w:type="dxa"/>
          </w:tcPr>
          <w:p w:rsidR="005A63AF" w:rsidRDefault="00894FB4">
            <w:pPr>
              <w:spacing w:before="0" w:after="0"/>
              <w:ind w:firstLine="0"/>
              <w:rPr>
                <w:color w:val="000000" w:themeColor="text1"/>
                <w:sz w:val="22"/>
              </w:rPr>
            </w:pPr>
            <w:r w:rsidRPr="00894FB4">
              <w:rPr>
                <w:color w:val="000000" w:themeColor="text1"/>
                <w:sz w:val="22"/>
              </w:rPr>
              <w:t>HD Engines</w:t>
            </w:r>
          </w:p>
        </w:tc>
        <w:tc>
          <w:tcPr>
            <w:tcW w:w="3330" w:type="dxa"/>
          </w:tcPr>
          <w:p w:rsidR="005A63AF" w:rsidRDefault="00894FB4">
            <w:pPr>
              <w:spacing w:before="0" w:after="0"/>
              <w:ind w:firstLine="0"/>
              <w:rPr>
                <w:color w:val="000000" w:themeColor="text1"/>
                <w:sz w:val="22"/>
              </w:rPr>
            </w:pPr>
            <w:r w:rsidRPr="00894FB4">
              <w:rPr>
                <w:color w:val="000000" w:themeColor="text1"/>
                <w:sz w:val="22"/>
              </w:rPr>
              <w:t>2021, 2024, 2027 Model Years</w:t>
            </w:r>
          </w:p>
        </w:tc>
        <w:tc>
          <w:tcPr>
            <w:tcW w:w="4032" w:type="dxa"/>
          </w:tcPr>
          <w:p w:rsidR="005A63AF" w:rsidRDefault="00894FB4">
            <w:pPr>
              <w:spacing w:before="0" w:after="0"/>
              <w:ind w:firstLine="0"/>
              <w:rPr>
                <w:color w:val="000000" w:themeColor="text1"/>
                <w:sz w:val="22"/>
              </w:rPr>
            </w:pPr>
            <w:r w:rsidRPr="00894FB4">
              <w:rPr>
                <w:color w:val="000000" w:themeColor="text1"/>
                <w:sz w:val="22"/>
              </w:rPr>
              <w:t>2021, 2024, 2027 Model Years</w:t>
            </w:r>
          </w:p>
        </w:tc>
      </w:tr>
      <w:tr w:rsidR="008071D5" w:rsidRPr="00D049CA" w:rsidTr="004B38D7">
        <w:tc>
          <w:tcPr>
            <w:tcW w:w="2142" w:type="dxa"/>
          </w:tcPr>
          <w:p w:rsidR="005A63AF" w:rsidRDefault="00894FB4">
            <w:pPr>
              <w:spacing w:before="0" w:after="0"/>
              <w:ind w:firstLine="0"/>
              <w:rPr>
                <w:color w:val="000000" w:themeColor="text1"/>
                <w:sz w:val="22"/>
              </w:rPr>
            </w:pPr>
            <w:r w:rsidRPr="00894FB4">
              <w:rPr>
                <w:color w:val="000000" w:themeColor="text1"/>
                <w:sz w:val="22"/>
              </w:rPr>
              <w:t>HD Pickups and Vans</w:t>
            </w:r>
          </w:p>
        </w:tc>
        <w:tc>
          <w:tcPr>
            <w:tcW w:w="3330" w:type="dxa"/>
          </w:tcPr>
          <w:p w:rsidR="005A63AF" w:rsidRDefault="00894FB4">
            <w:pPr>
              <w:spacing w:before="0" w:after="0"/>
              <w:ind w:firstLine="0"/>
              <w:rPr>
                <w:color w:val="000000" w:themeColor="text1"/>
                <w:sz w:val="22"/>
              </w:rPr>
            </w:pPr>
            <w:r w:rsidRPr="00894FB4">
              <w:rPr>
                <w:color w:val="000000" w:themeColor="text1"/>
                <w:sz w:val="22"/>
              </w:rPr>
              <w:t>Phase in 2021 through 2027 Model Years</w:t>
            </w:r>
          </w:p>
        </w:tc>
        <w:tc>
          <w:tcPr>
            <w:tcW w:w="4032" w:type="dxa"/>
          </w:tcPr>
          <w:p w:rsidR="005A63AF" w:rsidRDefault="00894FB4">
            <w:pPr>
              <w:spacing w:before="0" w:after="0"/>
              <w:ind w:firstLine="0"/>
              <w:rPr>
                <w:color w:val="000000" w:themeColor="text1"/>
                <w:sz w:val="22"/>
              </w:rPr>
            </w:pPr>
            <w:r w:rsidRPr="00894FB4">
              <w:rPr>
                <w:color w:val="000000" w:themeColor="text1"/>
                <w:sz w:val="22"/>
              </w:rPr>
              <w:t>Phase in 2021 through 2027 Model Years</w:t>
            </w:r>
          </w:p>
        </w:tc>
      </w:tr>
      <w:tr w:rsidR="008071D5" w:rsidRPr="00D049CA" w:rsidTr="004B38D7">
        <w:tc>
          <w:tcPr>
            <w:tcW w:w="2142" w:type="dxa"/>
          </w:tcPr>
          <w:p w:rsidR="005A63AF" w:rsidRDefault="00894FB4">
            <w:pPr>
              <w:spacing w:before="0" w:after="0"/>
              <w:ind w:firstLine="0"/>
              <w:rPr>
                <w:color w:val="000000" w:themeColor="text1"/>
                <w:sz w:val="22"/>
              </w:rPr>
            </w:pPr>
            <w:r w:rsidRPr="00894FB4">
              <w:rPr>
                <w:color w:val="000000" w:themeColor="text1"/>
                <w:sz w:val="22"/>
              </w:rPr>
              <w:t>Vocational Vehicles</w:t>
            </w:r>
          </w:p>
        </w:tc>
        <w:tc>
          <w:tcPr>
            <w:tcW w:w="3330" w:type="dxa"/>
          </w:tcPr>
          <w:p w:rsidR="005A63AF" w:rsidRDefault="00894FB4">
            <w:pPr>
              <w:spacing w:before="0" w:after="0"/>
              <w:ind w:firstLine="0"/>
              <w:rPr>
                <w:color w:val="000000" w:themeColor="text1"/>
                <w:sz w:val="22"/>
              </w:rPr>
            </w:pPr>
            <w:r w:rsidRPr="00894FB4">
              <w:rPr>
                <w:color w:val="000000" w:themeColor="text1"/>
                <w:sz w:val="22"/>
              </w:rPr>
              <w:t>2021, 2024, 2027 Model Years</w:t>
            </w:r>
          </w:p>
        </w:tc>
        <w:tc>
          <w:tcPr>
            <w:tcW w:w="4032" w:type="dxa"/>
          </w:tcPr>
          <w:p w:rsidR="005A63AF" w:rsidRDefault="00894FB4">
            <w:pPr>
              <w:spacing w:before="0" w:after="0"/>
              <w:ind w:firstLine="0"/>
              <w:rPr>
                <w:color w:val="000000" w:themeColor="text1"/>
                <w:sz w:val="22"/>
              </w:rPr>
            </w:pPr>
            <w:r w:rsidRPr="00894FB4">
              <w:rPr>
                <w:color w:val="000000" w:themeColor="text1"/>
                <w:sz w:val="22"/>
              </w:rPr>
              <w:t>2021, 2024, 2027 Model Years</w:t>
            </w:r>
          </w:p>
        </w:tc>
      </w:tr>
      <w:tr w:rsidR="008071D5" w:rsidRPr="00D049CA" w:rsidTr="004B38D7">
        <w:tc>
          <w:tcPr>
            <w:tcW w:w="2142" w:type="dxa"/>
          </w:tcPr>
          <w:p w:rsidR="005A63AF" w:rsidRDefault="00894FB4">
            <w:pPr>
              <w:spacing w:before="0" w:after="0"/>
              <w:ind w:firstLine="0"/>
              <w:rPr>
                <w:color w:val="000000" w:themeColor="text1"/>
                <w:sz w:val="22"/>
              </w:rPr>
            </w:pPr>
            <w:r w:rsidRPr="00894FB4">
              <w:rPr>
                <w:color w:val="000000" w:themeColor="text1"/>
                <w:sz w:val="22"/>
              </w:rPr>
              <w:t>Tractors</w:t>
            </w:r>
          </w:p>
        </w:tc>
        <w:tc>
          <w:tcPr>
            <w:tcW w:w="3330" w:type="dxa"/>
          </w:tcPr>
          <w:p w:rsidR="005A63AF" w:rsidRDefault="00894FB4">
            <w:pPr>
              <w:spacing w:before="0" w:after="0"/>
              <w:ind w:firstLine="0"/>
              <w:rPr>
                <w:color w:val="000000" w:themeColor="text1"/>
                <w:sz w:val="22"/>
              </w:rPr>
            </w:pPr>
            <w:r w:rsidRPr="00894FB4">
              <w:rPr>
                <w:color w:val="000000" w:themeColor="text1"/>
                <w:sz w:val="22"/>
              </w:rPr>
              <w:t>2021, 2024, 2027 Model Years</w:t>
            </w:r>
          </w:p>
        </w:tc>
        <w:tc>
          <w:tcPr>
            <w:tcW w:w="4032" w:type="dxa"/>
          </w:tcPr>
          <w:p w:rsidR="005A63AF" w:rsidRDefault="00894FB4">
            <w:pPr>
              <w:spacing w:before="0" w:after="0"/>
              <w:ind w:firstLine="0"/>
              <w:rPr>
                <w:color w:val="000000" w:themeColor="text1"/>
                <w:sz w:val="22"/>
              </w:rPr>
            </w:pPr>
            <w:r w:rsidRPr="00894FB4">
              <w:rPr>
                <w:color w:val="000000" w:themeColor="text1"/>
                <w:sz w:val="22"/>
              </w:rPr>
              <w:t>2021, 2024, 2027 Model Years</w:t>
            </w:r>
          </w:p>
        </w:tc>
      </w:tr>
      <w:tr w:rsidR="008071D5" w:rsidRPr="00D049CA" w:rsidTr="004B38D7">
        <w:tc>
          <w:tcPr>
            <w:tcW w:w="2142" w:type="dxa"/>
          </w:tcPr>
          <w:p w:rsidR="005A63AF" w:rsidRDefault="00894FB4">
            <w:pPr>
              <w:spacing w:before="0" w:after="0"/>
              <w:ind w:firstLine="0"/>
              <w:rPr>
                <w:color w:val="000000" w:themeColor="text1"/>
                <w:sz w:val="22"/>
              </w:rPr>
            </w:pPr>
            <w:r w:rsidRPr="00894FB4">
              <w:rPr>
                <w:color w:val="000000" w:themeColor="text1"/>
                <w:sz w:val="22"/>
              </w:rPr>
              <w:t>Trailers</w:t>
            </w:r>
          </w:p>
        </w:tc>
        <w:tc>
          <w:tcPr>
            <w:tcW w:w="3330" w:type="dxa"/>
          </w:tcPr>
          <w:p w:rsidR="005A63AF" w:rsidRDefault="00894FB4">
            <w:pPr>
              <w:spacing w:before="0" w:after="0"/>
              <w:ind w:firstLine="0"/>
              <w:rPr>
                <w:color w:val="000000" w:themeColor="text1"/>
                <w:sz w:val="22"/>
              </w:rPr>
            </w:pPr>
            <w:r w:rsidRPr="00894FB4">
              <w:rPr>
                <w:color w:val="000000" w:themeColor="text1"/>
                <w:sz w:val="22"/>
              </w:rPr>
              <w:t>2018, 2021, 2024, 2027 Model Years</w:t>
            </w:r>
          </w:p>
        </w:tc>
        <w:tc>
          <w:tcPr>
            <w:tcW w:w="4032" w:type="dxa"/>
          </w:tcPr>
          <w:p w:rsidR="005A63AF" w:rsidRDefault="004B38D7">
            <w:pPr>
              <w:spacing w:before="0" w:after="0"/>
              <w:ind w:firstLine="0"/>
              <w:rPr>
                <w:color w:val="000000" w:themeColor="text1"/>
                <w:sz w:val="22"/>
              </w:rPr>
            </w:pPr>
            <w:r>
              <w:rPr>
                <w:color w:val="000000" w:themeColor="text1"/>
                <w:sz w:val="22"/>
              </w:rPr>
              <w:t>2018 (voluntary)</w:t>
            </w:r>
            <w:r>
              <w:rPr>
                <w:color w:val="000000" w:themeColor="text1"/>
                <w:sz w:val="22"/>
              </w:rPr>
              <w:br/>
            </w:r>
            <w:r w:rsidR="00894FB4" w:rsidRPr="00894FB4">
              <w:rPr>
                <w:color w:val="000000" w:themeColor="text1"/>
                <w:sz w:val="22"/>
              </w:rPr>
              <w:t>2021, 2024, 2027 Model Years</w:t>
            </w:r>
            <w:r>
              <w:rPr>
                <w:color w:val="000000" w:themeColor="text1"/>
                <w:sz w:val="22"/>
              </w:rPr>
              <w:t xml:space="preserve"> (mandatory)</w:t>
            </w:r>
          </w:p>
        </w:tc>
      </w:tr>
    </w:tbl>
    <w:p w:rsidR="004B38D7" w:rsidRDefault="004B38D7" w:rsidP="008A4905">
      <w:pPr>
        <w:rPr>
          <w:color w:val="000000" w:themeColor="text1"/>
        </w:rPr>
      </w:pPr>
      <w:r>
        <w:rPr>
          <w:color w:val="000000" w:themeColor="text1"/>
        </w:rPr>
        <w:t xml:space="preserve">For model years 2018 through 2020, </w:t>
      </w:r>
      <w:proofErr w:type="spellStart"/>
      <w:r>
        <w:rPr>
          <w:color w:val="000000" w:themeColor="text1"/>
        </w:rPr>
        <w:t>NHTSA’s</w:t>
      </w:r>
      <w:proofErr w:type="spellEnd"/>
      <w:r>
        <w:rPr>
          <w:color w:val="000000" w:themeColor="text1"/>
        </w:rPr>
        <w:t xml:space="preserve"> fuel consumption standards </w:t>
      </w:r>
      <w:r w:rsidR="000A7342">
        <w:rPr>
          <w:color w:val="000000" w:themeColor="text1"/>
        </w:rPr>
        <w:t xml:space="preserve">for trailers </w:t>
      </w:r>
      <w:r>
        <w:rPr>
          <w:color w:val="000000" w:themeColor="text1"/>
        </w:rPr>
        <w:t>are voluntary for manufacturers.   For the purpose of determining the cost burden to manufacturers and the government, all estimates are derived assuming 100 percent participation of all regulated entities during the voluntary compliance model years.</w:t>
      </w:r>
    </w:p>
    <w:p w:rsidR="00136CD6" w:rsidRPr="00D049CA" w:rsidRDefault="00894FB4" w:rsidP="008A4905">
      <w:pPr>
        <w:rPr>
          <w:color w:val="000000" w:themeColor="text1"/>
        </w:rPr>
      </w:pPr>
      <w:r w:rsidRPr="00894FB4">
        <w:rPr>
          <w:color w:val="000000" w:themeColor="text1"/>
        </w:rPr>
        <w:t xml:space="preserve">Notably, to streamline the reporting process and reduce industry burden for all manufacturers, EPA and NHTSA established a harmonized approach by which all information for the HD Phase 1 and Phase 2 National Programs is submitted by manufacturers through </w:t>
      </w:r>
      <w:r w:rsidR="004B38D7">
        <w:rPr>
          <w:color w:val="000000" w:themeColor="text1"/>
        </w:rPr>
        <w:t>the EPA</w:t>
      </w:r>
      <w:r w:rsidR="00F87F6B">
        <w:rPr>
          <w:color w:val="000000" w:themeColor="text1"/>
        </w:rPr>
        <w:t>’s</w:t>
      </w:r>
      <w:r w:rsidRPr="00894FB4">
        <w:rPr>
          <w:color w:val="000000" w:themeColor="text1"/>
        </w:rPr>
        <w:t xml:space="preserve"> database system.  Both EPA and NHTSA have access to data in this database system, which also helps t</w:t>
      </w:r>
      <w:r w:rsidR="00C62D24">
        <w:rPr>
          <w:color w:val="000000" w:themeColor="text1"/>
        </w:rPr>
        <w:t>he agenc</w:t>
      </w:r>
      <w:r w:rsidRPr="00894FB4">
        <w:rPr>
          <w:color w:val="000000" w:themeColor="text1"/>
        </w:rPr>
        <w:t xml:space="preserve">ies to efficiently review, process, and store the heavy duty data relevant to each agency’s program requirements. </w:t>
      </w:r>
    </w:p>
    <w:p w:rsidR="002F45B1" w:rsidRPr="00D049CA" w:rsidRDefault="00894FB4" w:rsidP="00425A49">
      <w:pPr>
        <w:rPr>
          <w:color w:val="000000" w:themeColor="text1"/>
        </w:rPr>
      </w:pPr>
      <w:r w:rsidRPr="00894FB4">
        <w:rPr>
          <w:color w:val="000000" w:themeColor="text1"/>
        </w:rPr>
        <w:t>Over the years 2017 through 2019, 12 engine manufacturers</w:t>
      </w:r>
      <w:r w:rsidR="00F2325C">
        <w:rPr>
          <w:color w:val="000000" w:themeColor="text1"/>
        </w:rPr>
        <w:t xml:space="preserve"> and</w:t>
      </w:r>
      <w:r w:rsidRPr="00894FB4">
        <w:rPr>
          <w:color w:val="000000" w:themeColor="text1"/>
        </w:rPr>
        <w:t xml:space="preserve"> 14</w:t>
      </w:r>
      <w:r w:rsidR="00F2325C">
        <w:rPr>
          <w:color w:val="000000" w:themeColor="text1"/>
        </w:rPr>
        <w:t>3</w:t>
      </w:r>
      <w:r w:rsidRPr="00894FB4">
        <w:rPr>
          <w:color w:val="000000" w:themeColor="text1"/>
        </w:rPr>
        <w:t xml:space="preserve"> vehicle manufacturers will submit</w:t>
      </w:r>
      <w:r w:rsidR="00F2325C">
        <w:rPr>
          <w:color w:val="000000" w:themeColor="text1"/>
        </w:rPr>
        <w:t xml:space="preserve"> a combined 3-year total of</w:t>
      </w:r>
      <w:r w:rsidRPr="00894FB4">
        <w:rPr>
          <w:color w:val="000000" w:themeColor="text1"/>
        </w:rPr>
        <w:t xml:space="preserve"> </w:t>
      </w:r>
      <w:r w:rsidR="00F2325C">
        <w:rPr>
          <w:color w:val="000000" w:themeColor="text1"/>
        </w:rPr>
        <w:t>1,1</w:t>
      </w:r>
      <w:r w:rsidR="00401DEA">
        <w:rPr>
          <w:color w:val="000000" w:themeColor="text1"/>
        </w:rPr>
        <w:t>28</w:t>
      </w:r>
      <w:r w:rsidRPr="00894FB4">
        <w:rPr>
          <w:color w:val="000000" w:themeColor="text1"/>
        </w:rPr>
        <w:t xml:space="preserve"> applications (</w:t>
      </w:r>
      <w:r w:rsidR="00F2325C">
        <w:rPr>
          <w:color w:val="000000" w:themeColor="text1"/>
        </w:rPr>
        <w:t>7</w:t>
      </w:r>
      <w:r w:rsidRPr="00894FB4">
        <w:rPr>
          <w:color w:val="000000" w:themeColor="text1"/>
        </w:rPr>
        <w:t xml:space="preserve">2 heavy-duty pickup truck, </w:t>
      </w:r>
      <w:r w:rsidR="00F2325C">
        <w:rPr>
          <w:color w:val="000000" w:themeColor="text1"/>
        </w:rPr>
        <w:t>324</w:t>
      </w:r>
      <w:r w:rsidRPr="00894FB4">
        <w:rPr>
          <w:color w:val="000000" w:themeColor="text1"/>
        </w:rPr>
        <w:t xml:space="preserve"> heavy-duty engine, </w:t>
      </w:r>
      <w:r w:rsidR="00F2325C">
        <w:rPr>
          <w:color w:val="000000" w:themeColor="text1"/>
        </w:rPr>
        <w:t>18</w:t>
      </w:r>
      <w:r w:rsidRPr="00894FB4">
        <w:rPr>
          <w:color w:val="000000" w:themeColor="text1"/>
        </w:rPr>
        <w:t xml:space="preserve">0 vocational vehicle, 96 combination tractor, and </w:t>
      </w:r>
      <w:r w:rsidR="00F2325C">
        <w:rPr>
          <w:color w:val="000000" w:themeColor="text1"/>
        </w:rPr>
        <w:t>4</w:t>
      </w:r>
      <w:r w:rsidR="00401DEA">
        <w:rPr>
          <w:color w:val="000000" w:themeColor="text1"/>
        </w:rPr>
        <w:t>56</w:t>
      </w:r>
      <w:r w:rsidRPr="00894FB4">
        <w:rPr>
          <w:color w:val="000000" w:themeColor="text1"/>
        </w:rPr>
        <w:t xml:space="preserve"> trailer applications) to certify their products and respond to the information collection activities detailed in the HD National Program.</w:t>
      </w:r>
    </w:p>
    <w:p w:rsidR="00237CFE" w:rsidRPr="00D049CA" w:rsidRDefault="00894FB4" w:rsidP="00B92F1F">
      <w:pPr>
        <w:rPr>
          <w:color w:val="000000" w:themeColor="text1"/>
        </w:rPr>
      </w:pPr>
      <w:r w:rsidRPr="00894FB4">
        <w:rPr>
          <w:color w:val="000000" w:themeColor="text1"/>
        </w:rPr>
        <w:t xml:space="preserve">The manufacturers regulated under this program would need to: 1) submit applications to certify vehicles; 2) submit reports with early estimates to demonstrate their compliance plans; 3) conduct compliance testing; 4) label certified vehicles; 5) provide final year-end-reports with compliance test results; and 6) retain records of information submitted to the agencies, which will be maintained for </w:t>
      </w:r>
      <w:r w:rsidR="00784CA0">
        <w:rPr>
          <w:color w:val="000000" w:themeColor="text1"/>
        </w:rPr>
        <w:t>eight</w:t>
      </w:r>
      <w:r w:rsidRPr="00894FB4">
        <w:rPr>
          <w:color w:val="000000" w:themeColor="text1"/>
        </w:rPr>
        <w:t xml:space="preserve"> years.  A manufacturer would need to send an application for a certificate of conformity and gain approval by EPA before it can legally introduce any vehicle or engine into commerce in the U.S. To ensure compliance with the </w:t>
      </w:r>
      <w:r w:rsidR="00784CA0">
        <w:rPr>
          <w:color w:val="000000" w:themeColor="text1"/>
        </w:rPr>
        <w:t>Clean Air Act (</w:t>
      </w:r>
      <w:r w:rsidRPr="00894FB4">
        <w:rPr>
          <w:color w:val="000000" w:themeColor="text1"/>
        </w:rPr>
        <w:t>CAA</w:t>
      </w:r>
      <w:r w:rsidR="00784CA0">
        <w:rPr>
          <w:color w:val="000000" w:themeColor="text1"/>
        </w:rPr>
        <w:t>)</w:t>
      </w:r>
      <w:r w:rsidRPr="00894FB4">
        <w:rPr>
          <w:color w:val="000000" w:themeColor="text1"/>
        </w:rPr>
        <w:t xml:space="preserve"> and </w:t>
      </w:r>
      <w:r w:rsidR="00784CA0">
        <w:rPr>
          <w:color w:val="000000" w:themeColor="text1"/>
        </w:rPr>
        <w:t>the Energy Independence and Security Act (</w:t>
      </w:r>
      <w:r w:rsidRPr="00894FB4">
        <w:rPr>
          <w:color w:val="000000" w:themeColor="text1"/>
        </w:rPr>
        <w:t>EISA</w:t>
      </w:r>
      <w:r w:rsidR="00784CA0">
        <w:rPr>
          <w:color w:val="000000" w:themeColor="text1"/>
        </w:rPr>
        <w:t>)</w:t>
      </w:r>
      <w:r w:rsidRPr="00894FB4">
        <w:rPr>
          <w:color w:val="000000" w:themeColor="text1"/>
        </w:rPr>
        <w:t xml:space="preserve">, EPA and NHTSA would annually </w:t>
      </w:r>
      <w:r w:rsidR="004B38D7">
        <w:rPr>
          <w:color w:val="000000" w:themeColor="text1"/>
        </w:rPr>
        <w:t>audit</w:t>
      </w:r>
      <w:r w:rsidRPr="00894FB4">
        <w:rPr>
          <w:color w:val="000000" w:themeColor="text1"/>
        </w:rPr>
        <w:t xml:space="preserve"> manufacturer</w:t>
      </w:r>
      <w:r w:rsidR="004B38D7">
        <w:rPr>
          <w:color w:val="000000" w:themeColor="text1"/>
        </w:rPr>
        <w:t>s</w:t>
      </w:r>
      <w:r w:rsidRPr="00894FB4">
        <w:rPr>
          <w:color w:val="000000" w:themeColor="text1"/>
        </w:rPr>
        <w:t>’ submitted information and compliance test results</w:t>
      </w:r>
      <w:r w:rsidR="004B38D7" w:rsidRPr="004B38D7">
        <w:rPr>
          <w:color w:val="000000" w:themeColor="text1"/>
        </w:rPr>
        <w:t xml:space="preserve"> </w:t>
      </w:r>
      <w:r w:rsidR="004B38D7">
        <w:rPr>
          <w:color w:val="000000" w:themeColor="text1"/>
        </w:rPr>
        <w:t xml:space="preserve">and conduct inspections and </w:t>
      </w:r>
      <w:r w:rsidR="004B38D7">
        <w:rPr>
          <w:color w:val="000000" w:themeColor="text1"/>
        </w:rPr>
        <w:lastRenderedPageBreak/>
        <w:t>confirmatory testing on vehicles</w:t>
      </w:r>
      <w:r w:rsidR="004B38D7" w:rsidRPr="00894FB4">
        <w:rPr>
          <w:color w:val="000000" w:themeColor="text1"/>
        </w:rPr>
        <w:t>.</w:t>
      </w:r>
      <w:r w:rsidR="004B38D7">
        <w:rPr>
          <w:color w:val="000000" w:themeColor="text1"/>
        </w:rPr>
        <w:t xml:space="preserve">  NHTSA would conduct such inspections and confirmatory testing on vehicles prior to first sale</w:t>
      </w:r>
      <w:r w:rsidRPr="00894FB4">
        <w:rPr>
          <w:color w:val="000000" w:themeColor="text1"/>
        </w:rPr>
        <w:t xml:space="preserve">.  Manufacturer test results would be used by EPA to perform confirmatory testing on a sufficient number of engines and vehicles to confirm manufacturer-reported results.  Limited equipment testing and modeling runs would also be performed by NHTSA to confirm manufacturer test results.  </w:t>
      </w:r>
    </w:p>
    <w:p w:rsidR="002F45B1" w:rsidRPr="00D049CA" w:rsidRDefault="00894FB4" w:rsidP="004177A3">
      <w:pPr>
        <w:rPr>
          <w:color w:val="000000" w:themeColor="text1"/>
        </w:rPr>
      </w:pPr>
      <w:r w:rsidRPr="00894FB4">
        <w:rPr>
          <w:color w:val="000000" w:themeColor="text1"/>
        </w:rPr>
        <w:t xml:space="preserve">The testing data submitted by manufacturers are needed for EPA and NHTSA to verify that manufacturers have selected the proper engines and vehicles, and conducted the testing necessary to demonstrate that their equipment complies with the new GHG emissions and fuel consumption standards. </w:t>
      </w:r>
    </w:p>
    <w:p w:rsidR="00425A49" w:rsidRPr="00D049CA" w:rsidRDefault="00894FB4" w:rsidP="00723F94">
      <w:pPr>
        <w:rPr>
          <w:color w:val="000000" w:themeColor="text1"/>
        </w:rPr>
      </w:pPr>
      <w:r w:rsidRPr="00894FB4">
        <w:rPr>
          <w:color w:val="000000" w:themeColor="text1"/>
        </w:rPr>
        <w:t>The first year the Phase 2 program becomes effective is in the calendar year 201</w:t>
      </w:r>
      <w:r w:rsidR="009A2407">
        <w:rPr>
          <w:color w:val="000000" w:themeColor="text1"/>
        </w:rPr>
        <w:t>8</w:t>
      </w:r>
      <w:r w:rsidRPr="00894FB4">
        <w:rPr>
          <w:color w:val="000000" w:themeColor="text1"/>
        </w:rPr>
        <w:t xml:space="preserve">. </w:t>
      </w:r>
      <w:r w:rsidR="00D049CA">
        <w:rPr>
          <w:color w:val="000000" w:themeColor="text1"/>
        </w:rPr>
        <w:t xml:space="preserve"> </w:t>
      </w:r>
      <w:r w:rsidRPr="00894FB4">
        <w:rPr>
          <w:color w:val="000000" w:themeColor="text1"/>
        </w:rPr>
        <w:t>For the years 2017, 2018, and 2019, these collection activities are estimated to impose annual costs of $</w:t>
      </w:r>
      <w:r w:rsidR="00910DB3">
        <w:rPr>
          <w:color w:val="000000" w:themeColor="text1"/>
        </w:rPr>
        <w:t>8</w:t>
      </w:r>
      <w:r w:rsidRPr="00894FB4">
        <w:rPr>
          <w:color w:val="000000" w:themeColor="text1"/>
        </w:rPr>
        <w:t xml:space="preserve"> million and a</w:t>
      </w:r>
      <w:r w:rsidR="00910DB3">
        <w:rPr>
          <w:color w:val="000000" w:themeColor="text1"/>
        </w:rPr>
        <w:t>n annual</w:t>
      </w:r>
      <w:r w:rsidRPr="00894FB4">
        <w:rPr>
          <w:color w:val="000000" w:themeColor="text1"/>
        </w:rPr>
        <w:t xml:space="preserve"> labor hour burden of </w:t>
      </w:r>
      <w:r w:rsidR="00910DB3">
        <w:rPr>
          <w:color w:val="000000" w:themeColor="text1"/>
        </w:rPr>
        <w:t>62,400</w:t>
      </w:r>
      <w:r w:rsidRPr="00894FB4">
        <w:rPr>
          <w:color w:val="000000" w:themeColor="text1"/>
        </w:rPr>
        <w:t xml:space="preserve"> hours. </w:t>
      </w:r>
    </w:p>
    <w:p w:rsidR="005A63AF" w:rsidRDefault="00894FB4">
      <w:pPr>
        <w:pStyle w:val="Heading1"/>
        <w:rPr>
          <w:color w:val="000000" w:themeColor="text1"/>
        </w:rPr>
      </w:pPr>
      <w:r w:rsidRPr="00894FB4">
        <w:rPr>
          <w:color w:val="000000" w:themeColor="text1"/>
        </w:rPr>
        <w:t>Need for and Use of the Collection</w:t>
      </w:r>
    </w:p>
    <w:p w:rsidR="005A63AF" w:rsidRDefault="00894FB4">
      <w:pPr>
        <w:pStyle w:val="Heading2"/>
        <w:rPr>
          <w:color w:val="000000" w:themeColor="text1"/>
        </w:rPr>
      </w:pPr>
      <w:r w:rsidRPr="00894FB4">
        <w:rPr>
          <w:color w:val="000000" w:themeColor="text1"/>
        </w:rPr>
        <w:t>Need/Authority for the Collection</w:t>
      </w:r>
    </w:p>
    <w:p w:rsidR="00C1456C" w:rsidRPr="00D049CA" w:rsidRDefault="00894FB4" w:rsidP="00C47B23">
      <w:pPr>
        <w:rPr>
          <w:color w:val="000000" w:themeColor="text1"/>
        </w:rPr>
      </w:pPr>
      <w:r w:rsidRPr="00894FB4">
        <w:rPr>
          <w:color w:val="000000" w:themeColor="text1"/>
        </w:rPr>
        <w:t xml:space="preserve">Under Title II of the Clean Air Act (42 </w:t>
      </w:r>
      <w:proofErr w:type="spellStart"/>
      <w:r w:rsidRPr="00894FB4">
        <w:rPr>
          <w:color w:val="000000" w:themeColor="text1"/>
        </w:rPr>
        <w:t>U.S.C</w:t>
      </w:r>
      <w:proofErr w:type="spellEnd"/>
      <w:r w:rsidRPr="00894FB4">
        <w:rPr>
          <w:color w:val="000000" w:themeColor="text1"/>
        </w:rPr>
        <w:t>. 7521 et seq.), EPA is charged with issuing certificates of conformity for motor vehicle designs and engines that comply with applicable emission standards set under section 202(a)(1) of the Act, such as those for CO</w:t>
      </w:r>
      <w:r w:rsidRPr="00894FB4">
        <w:rPr>
          <w:color w:val="000000" w:themeColor="text1"/>
          <w:vertAlign w:val="subscript"/>
        </w:rPr>
        <w:t>2</w:t>
      </w:r>
      <w:r w:rsidRPr="00894FB4">
        <w:rPr>
          <w:color w:val="000000" w:themeColor="text1"/>
        </w:rPr>
        <w:t>, N</w:t>
      </w:r>
      <w:r w:rsidRPr="00894FB4">
        <w:rPr>
          <w:color w:val="000000" w:themeColor="text1"/>
          <w:vertAlign w:val="subscript"/>
        </w:rPr>
        <w:t>2</w:t>
      </w:r>
      <w:r w:rsidRPr="00894FB4">
        <w:rPr>
          <w:color w:val="000000" w:themeColor="text1"/>
        </w:rPr>
        <w:t>O, and CH</w:t>
      </w:r>
      <w:r w:rsidRPr="00894FB4">
        <w:rPr>
          <w:color w:val="000000" w:themeColor="text1"/>
          <w:vertAlign w:val="subscript"/>
        </w:rPr>
        <w:t>4</w:t>
      </w:r>
      <w:r w:rsidRPr="00894FB4">
        <w:rPr>
          <w:color w:val="000000" w:themeColor="text1"/>
        </w:rPr>
        <w:t xml:space="preserve"> in the final regulation.  This authority was clarified in the Supreme Court’s decision </w:t>
      </w:r>
      <w:r w:rsidRPr="00894FB4">
        <w:rPr>
          <w:color w:val="000000" w:themeColor="text1"/>
          <w:u w:val="single"/>
        </w:rPr>
        <w:t>State of Massachusetts v. EPA</w:t>
      </w:r>
      <w:r w:rsidRPr="00894FB4">
        <w:rPr>
          <w:color w:val="000000" w:themeColor="text1"/>
        </w:rPr>
        <w:t>, 549 U.S. 497 (2007)</w:t>
      </w:r>
      <w:r w:rsidR="00784CA0">
        <w:rPr>
          <w:color w:val="000000" w:themeColor="text1"/>
        </w:rPr>
        <w:t>,</w:t>
      </w:r>
      <w:r w:rsidR="00F87F6B">
        <w:rPr>
          <w:color w:val="000000" w:themeColor="text1"/>
        </w:rPr>
        <w:t xml:space="preserve"> </w:t>
      </w:r>
      <w:r w:rsidRPr="00894FB4">
        <w:rPr>
          <w:color w:val="000000" w:themeColor="text1"/>
        </w:rPr>
        <w:t xml:space="preserve">holding that greenhouse gases are pollutants under the Clean Air Act.  </w:t>
      </w:r>
    </w:p>
    <w:p w:rsidR="00044340" w:rsidRPr="00D049CA" w:rsidRDefault="00894FB4" w:rsidP="00044340">
      <w:pPr>
        <w:rPr>
          <w:color w:val="000000" w:themeColor="text1"/>
        </w:rPr>
      </w:pPr>
      <w:r w:rsidRPr="00894FB4">
        <w:rPr>
          <w:color w:val="000000" w:themeColor="text1"/>
          <w:spacing w:val="6"/>
        </w:rPr>
        <w:t xml:space="preserve">Specifically, under </w:t>
      </w:r>
      <w:r w:rsidRPr="00894FB4">
        <w:rPr>
          <w:color w:val="000000" w:themeColor="text1"/>
        </w:rPr>
        <w:t xml:space="preserve">Section 206(a) of the CAA (42 USC 7521): </w:t>
      </w:r>
    </w:p>
    <w:p w:rsidR="00044340" w:rsidRPr="00D049CA" w:rsidRDefault="00894FB4" w:rsidP="00B92F1F">
      <w:pPr>
        <w:pStyle w:val="Default3"/>
        <w:spacing w:before="240" w:after="240"/>
        <w:ind w:left="720" w:right="720"/>
        <w:rPr>
          <w:color w:val="000000" w:themeColor="text1"/>
        </w:rPr>
      </w:pPr>
      <w:r w:rsidRPr="00894FB4">
        <w:rPr>
          <w:color w:val="000000" w:themeColor="text1"/>
        </w:rPr>
        <w:t>“The Administrator shall test, or require to be tested in such manner as he deems appropriate, any new motor vehicle or new motor vehicle engine submitted by a manufacturer to determine whether such vehicle or engine conforms with the regulations prescribed under §202 of this Act.  If such vehicle or engine conforms to such regulations, the Administrator shall issue a certificate of conformity upon such terms, and for such period (not in excess of one year) as he may prescribe.”</w:t>
      </w:r>
    </w:p>
    <w:p w:rsidR="004F1621" w:rsidRDefault="004B38D7" w:rsidP="00385DFD">
      <w:pPr>
        <w:rPr>
          <w:color w:val="000000" w:themeColor="text1"/>
        </w:rPr>
      </w:pPr>
      <w:r>
        <w:rPr>
          <w:color w:val="000000" w:themeColor="text1"/>
        </w:rPr>
        <w:t>Pursuant to</w:t>
      </w:r>
      <w:r w:rsidR="004F1621" w:rsidRPr="00894FB4">
        <w:rPr>
          <w:color w:val="000000" w:themeColor="text1"/>
        </w:rPr>
        <w:t xml:space="preserve"> 49 </w:t>
      </w:r>
      <w:proofErr w:type="spellStart"/>
      <w:r w:rsidR="004F1621" w:rsidRPr="00894FB4">
        <w:rPr>
          <w:color w:val="000000" w:themeColor="text1"/>
        </w:rPr>
        <w:t>U.S.C</w:t>
      </w:r>
      <w:proofErr w:type="spellEnd"/>
      <w:r w:rsidR="004F1621" w:rsidRPr="00894FB4">
        <w:rPr>
          <w:color w:val="000000" w:themeColor="text1"/>
        </w:rPr>
        <w:t>. 32902</w:t>
      </w:r>
      <w:r>
        <w:rPr>
          <w:color w:val="000000" w:themeColor="text1"/>
        </w:rPr>
        <w:t>(k)</w:t>
      </w:r>
      <w:r w:rsidR="004F1621" w:rsidRPr="00894FB4">
        <w:rPr>
          <w:color w:val="000000" w:themeColor="text1"/>
        </w:rPr>
        <w:t>, NHTSA require</w:t>
      </w:r>
      <w:r>
        <w:rPr>
          <w:color w:val="000000" w:themeColor="text1"/>
        </w:rPr>
        <w:t>s that</w:t>
      </w:r>
      <w:r w:rsidR="004F1621" w:rsidRPr="00894FB4">
        <w:rPr>
          <w:color w:val="000000" w:themeColor="text1"/>
        </w:rPr>
        <w:t xml:space="preserve"> manufacturers comply with fuel economy and consumption standards</w:t>
      </w:r>
      <w:r>
        <w:rPr>
          <w:color w:val="000000" w:themeColor="text1"/>
        </w:rPr>
        <w:t>:</w:t>
      </w:r>
    </w:p>
    <w:p w:rsidR="004B38D7" w:rsidRDefault="004B38D7" w:rsidP="004B38D7">
      <w:pPr>
        <w:pStyle w:val="Default3"/>
        <w:spacing w:before="240" w:after="240"/>
        <w:ind w:left="720" w:right="720"/>
        <w:rPr>
          <w:color w:val="000000" w:themeColor="text1"/>
        </w:rPr>
      </w:pPr>
      <w:r>
        <w:rPr>
          <w:color w:val="000000" w:themeColor="text1"/>
        </w:rPr>
        <w:t>“…</w:t>
      </w:r>
      <w:r w:rsidRPr="008A014C">
        <w:rPr>
          <w:color w:val="000000" w:themeColor="text1"/>
        </w:rPr>
        <w:t xml:space="preserve">the Secretary, in consultation with the Secretary of Energy and the Administrator of the Environmental Protection Agency, by regulation, shall determine in a rulemaking proceeding how to implement a commercial medium- and heavy-duty on-highway vehicle and work truck fuel efficiency improvement program designed to achieve the maximum feasible improvement, and shall adopt and implement appropriate test methods, measurement metrics, fuel economy standards, and compliance and enforcement protocols that are appropriate, cost-effective, and technologically feasible for commercial medium- and heavy-duty </w:t>
      </w:r>
      <w:r w:rsidRPr="008A014C">
        <w:rPr>
          <w:color w:val="000000" w:themeColor="text1"/>
        </w:rPr>
        <w:lastRenderedPageBreak/>
        <w:t xml:space="preserve">on-highway vehicles and work trucks. </w:t>
      </w:r>
      <w:r>
        <w:rPr>
          <w:color w:val="000000" w:themeColor="text1"/>
        </w:rPr>
        <w:t xml:space="preserve"> </w:t>
      </w:r>
      <w:r w:rsidRPr="008A014C">
        <w:rPr>
          <w:color w:val="000000" w:themeColor="text1"/>
        </w:rPr>
        <w:t>The Secretary may prescribe separate standards for different classes of vehicles under this subsection.</w:t>
      </w:r>
      <w:r>
        <w:rPr>
          <w:color w:val="000000" w:themeColor="text1"/>
        </w:rPr>
        <w:t>”</w:t>
      </w:r>
    </w:p>
    <w:p w:rsidR="00D12F9A" w:rsidRPr="00D049CA" w:rsidRDefault="00894FB4" w:rsidP="00385DFD">
      <w:pPr>
        <w:rPr>
          <w:color w:val="000000" w:themeColor="text1"/>
          <w:spacing w:val="6"/>
        </w:rPr>
      </w:pPr>
      <w:r w:rsidRPr="00894FB4">
        <w:rPr>
          <w:color w:val="000000" w:themeColor="text1"/>
        </w:rPr>
        <w:t>In addition to test results, as part of their application for a certificate of conformity, under CAA §217, manufacturers are required to pay an application fee when applying for a vehicle or engine certificate.  At this time, the exact costs associated with the heavy-duty vehicle compliance are not known. T</w:t>
      </w:r>
      <w:r w:rsidR="00C62D24">
        <w:rPr>
          <w:color w:val="000000" w:themeColor="text1"/>
        </w:rPr>
        <w:t>he agenc</w:t>
      </w:r>
      <w:r w:rsidRPr="00894FB4">
        <w:rPr>
          <w:color w:val="000000" w:themeColor="text1"/>
        </w:rPr>
        <w:t xml:space="preserve">y is not modifying its fees provisions in this </w:t>
      </w:r>
      <w:r w:rsidR="009A2407">
        <w:rPr>
          <w:color w:val="000000" w:themeColor="text1"/>
        </w:rPr>
        <w:t>proposed</w:t>
      </w:r>
      <w:r w:rsidR="009A2407" w:rsidRPr="00894FB4">
        <w:rPr>
          <w:color w:val="000000" w:themeColor="text1"/>
        </w:rPr>
        <w:t xml:space="preserve"> </w:t>
      </w:r>
      <w:r w:rsidRPr="00894FB4">
        <w:rPr>
          <w:color w:val="000000" w:themeColor="text1"/>
        </w:rPr>
        <w:t>rule and is determining how to appropriately address this issue in the future. When EPA finalizes a cost assessment of its compliance program, it will amend its fees regulations to include any warranted new costs.</w:t>
      </w:r>
    </w:p>
    <w:p w:rsidR="002807D6" w:rsidRPr="00D049CA" w:rsidRDefault="00894FB4" w:rsidP="00B92F1F">
      <w:pPr>
        <w:rPr>
          <w:color w:val="000000" w:themeColor="text1"/>
        </w:rPr>
      </w:pPr>
      <w:r w:rsidRPr="00894FB4">
        <w:rPr>
          <w:color w:val="000000" w:themeColor="text1"/>
        </w:rPr>
        <w:t>EPA and NHTSA also established an Averaging, Banking and Trading (ABT) program, as outlined in 40 CFR parts 1036.701 and 1037.701, and in 49 CFR part 535.7.  Engine and vehicle manufacturers covered by th</w:t>
      </w:r>
      <w:r w:rsidR="004B38D7">
        <w:rPr>
          <w:color w:val="000000" w:themeColor="text1"/>
        </w:rPr>
        <w:t>e</w:t>
      </w:r>
      <w:r w:rsidRPr="00894FB4">
        <w:rPr>
          <w:color w:val="000000" w:themeColor="text1"/>
        </w:rPr>
        <w:t xml:space="preserve"> HD Phase </w:t>
      </w:r>
      <w:r w:rsidR="004B38D7">
        <w:rPr>
          <w:color w:val="000000" w:themeColor="text1"/>
        </w:rPr>
        <w:t xml:space="preserve">1 and </w:t>
      </w:r>
      <w:r w:rsidRPr="00894FB4">
        <w:rPr>
          <w:color w:val="000000" w:themeColor="text1"/>
        </w:rPr>
        <w:t xml:space="preserve">2 National Program have </w:t>
      </w:r>
      <w:r w:rsidR="004B38D7">
        <w:rPr>
          <w:color w:val="000000" w:themeColor="text1"/>
        </w:rPr>
        <w:t>the</w:t>
      </w:r>
      <w:r w:rsidRPr="00894FB4">
        <w:rPr>
          <w:color w:val="000000" w:themeColor="text1"/>
        </w:rPr>
        <w:t xml:space="preserve"> option to participate in this ABT program.  T</w:t>
      </w:r>
      <w:r w:rsidR="00C62D24">
        <w:rPr>
          <w:color w:val="000000" w:themeColor="text1"/>
        </w:rPr>
        <w:t>he agenc</w:t>
      </w:r>
      <w:r w:rsidRPr="00894FB4">
        <w:rPr>
          <w:color w:val="000000" w:themeColor="text1"/>
        </w:rPr>
        <w:t xml:space="preserve">ies’ ABT programs, and others like it, are designed to enhance compliance flexibility and reduce the burden on affected manufacturers, without compromising the expected emissions benefits derived from EPA’s emissions standards and </w:t>
      </w:r>
      <w:proofErr w:type="spellStart"/>
      <w:r w:rsidRPr="00894FB4">
        <w:rPr>
          <w:color w:val="000000" w:themeColor="text1"/>
        </w:rPr>
        <w:t>NHTSA’s</w:t>
      </w:r>
      <w:proofErr w:type="spellEnd"/>
      <w:r w:rsidRPr="00894FB4">
        <w:rPr>
          <w:color w:val="000000" w:themeColor="text1"/>
        </w:rPr>
        <w:t xml:space="preserve"> fuel consumption standards. </w:t>
      </w:r>
    </w:p>
    <w:p w:rsidR="00F12DB1" w:rsidRPr="00D049CA" w:rsidRDefault="00894FB4" w:rsidP="00D049CA">
      <w:pPr>
        <w:rPr>
          <w:color w:val="000000" w:themeColor="text1"/>
        </w:rPr>
      </w:pPr>
      <w:r w:rsidRPr="00894FB4">
        <w:rPr>
          <w:color w:val="000000" w:themeColor="text1"/>
        </w:rPr>
        <w:t xml:space="preserve">EPA’s Phase 2 GHG standards for HD engines and vehicles amend 40 CFR part 86 part 1036 (engines), and part 1037 (vehicles).  </w:t>
      </w:r>
      <w:proofErr w:type="spellStart"/>
      <w:r w:rsidRPr="00894FB4">
        <w:rPr>
          <w:color w:val="000000" w:themeColor="text1"/>
        </w:rPr>
        <w:t>NHTSA’s</w:t>
      </w:r>
      <w:proofErr w:type="spellEnd"/>
      <w:r w:rsidRPr="00894FB4">
        <w:rPr>
          <w:color w:val="000000" w:themeColor="text1"/>
        </w:rPr>
        <w:t xml:space="preserve"> Phase 2 fuel consumption standards for HD engines and vehicles amend 49 CFR parts 523, 534, and 535. These regulations are not attached to this statement due to their length and technical nature.   </w:t>
      </w:r>
    </w:p>
    <w:p w:rsidR="005D0258" w:rsidRPr="00D049CA" w:rsidRDefault="00894FB4" w:rsidP="00B92F1F">
      <w:pPr>
        <w:rPr>
          <w:color w:val="000000" w:themeColor="text1"/>
        </w:rPr>
      </w:pPr>
      <w:r w:rsidRPr="00894FB4">
        <w:rPr>
          <w:color w:val="000000" w:themeColor="text1"/>
        </w:rPr>
        <w:t xml:space="preserve">The testing data submitted by manufacturers are needed for EPA and NHTSA to verify that manufacturers have selected the proper engines and vehicles, and conducted the testing necessary to demonstrate that their equipment complies with the new GHG emissions and fuel consumption standards.  </w:t>
      </w:r>
    </w:p>
    <w:p w:rsidR="005D0258" w:rsidRPr="00D049CA" w:rsidRDefault="00894FB4" w:rsidP="00B92F1F">
      <w:pPr>
        <w:rPr>
          <w:color w:val="000000" w:themeColor="text1"/>
        </w:rPr>
      </w:pPr>
      <w:r w:rsidRPr="00894FB4">
        <w:rPr>
          <w:color w:val="000000" w:themeColor="text1"/>
        </w:rPr>
        <w:t>Under the proposed Phase 2 rule</w:t>
      </w:r>
      <w:r w:rsidR="003712CB">
        <w:rPr>
          <w:color w:val="000000" w:themeColor="text1"/>
        </w:rPr>
        <w:t>s</w:t>
      </w:r>
      <w:r w:rsidRPr="00894FB4">
        <w:rPr>
          <w:color w:val="000000" w:themeColor="text1"/>
        </w:rPr>
        <w:t xml:space="preserve">, manufacturers of heavy-duty pickup trucks and vans would submit “pre-model year reports” to satisfy </w:t>
      </w:r>
      <w:r w:rsidR="004B38D7">
        <w:rPr>
          <w:color w:val="000000" w:themeColor="text1"/>
        </w:rPr>
        <w:t xml:space="preserve">EPA’s and </w:t>
      </w:r>
      <w:proofErr w:type="spellStart"/>
      <w:r w:rsidRPr="00894FB4">
        <w:rPr>
          <w:color w:val="000000" w:themeColor="text1"/>
        </w:rPr>
        <w:t>NHTSA’s</w:t>
      </w:r>
      <w:proofErr w:type="spellEnd"/>
      <w:r w:rsidRPr="00894FB4">
        <w:rPr>
          <w:color w:val="000000" w:themeColor="text1"/>
        </w:rPr>
        <w:t xml:space="preserve"> requirements for receiving compliance reports in advance of the model year.  These pre-model reports for heavy duty pickup trucks and vans are similar to early model year compliance reports that are required for light duty vehicles.</w:t>
      </w:r>
    </w:p>
    <w:p w:rsidR="00041F67" w:rsidRPr="00D049CA" w:rsidRDefault="00894FB4" w:rsidP="00C95501">
      <w:pPr>
        <w:rPr>
          <w:color w:val="000000" w:themeColor="text1"/>
        </w:rPr>
      </w:pPr>
      <w:r w:rsidRPr="00894FB4">
        <w:rPr>
          <w:color w:val="000000" w:themeColor="text1"/>
        </w:rPr>
        <w:t>For engine</w:t>
      </w:r>
      <w:r w:rsidR="006B2997">
        <w:rPr>
          <w:color w:val="000000" w:themeColor="text1"/>
        </w:rPr>
        <w:t xml:space="preserve"> and </w:t>
      </w:r>
      <w:r w:rsidRPr="00894FB4">
        <w:rPr>
          <w:color w:val="000000" w:themeColor="text1"/>
        </w:rPr>
        <w:t>vehicle manufacturers, the agencies are using the manufacturer’s applications for certificates of conformity to obtain early model production estimates and related data.  T</w:t>
      </w:r>
      <w:r w:rsidR="00C62D24">
        <w:rPr>
          <w:color w:val="000000" w:themeColor="text1"/>
        </w:rPr>
        <w:t>he agenc</w:t>
      </w:r>
      <w:r w:rsidRPr="00894FB4">
        <w:rPr>
          <w:color w:val="000000" w:themeColor="text1"/>
        </w:rPr>
        <w:t xml:space="preserve">ies treat information submitted in the applications as a manufacturer’s demonstration of providing early compliance information, similar to the pre-model year report submitted for heavy-duty pickup trucks and vans.  A summary of that information can be found in </w:t>
      </w:r>
      <w:proofErr w:type="spellStart"/>
      <w:r w:rsidR="006B2997">
        <w:rPr>
          <w:color w:val="000000" w:themeColor="text1"/>
        </w:rPr>
        <w:t>IV.C</w:t>
      </w:r>
      <w:proofErr w:type="spellEnd"/>
      <w:r w:rsidRPr="00894FB4">
        <w:rPr>
          <w:color w:val="000000" w:themeColor="text1"/>
        </w:rPr>
        <w:t xml:space="preserve">.  </w:t>
      </w:r>
    </w:p>
    <w:p w:rsidR="00B92F1F" w:rsidRPr="00D049CA" w:rsidRDefault="00894FB4" w:rsidP="00C47B23">
      <w:pPr>
        <w:rPr>
          <w:color w:val="000000" w:themeColor="text1"/>
        </w:rPr>
      </w:pPr>
      <w:r w:rsidRPr="00894FB4">
        <w:rPr>
          <w:color w:val="000000" w:themeColor="text1"/>
        </w:rPr>
        <w:t xml:space="preserve">Once the engines and vehicles have been produced, EPA and NHTSA would use the test data and the data included in the </w:t>
      </w:r>
      <w:r w:rsidR="006B2997">
        <w:rPr>
          <w:color w:val="000000" w:themeColor="text1"/>
        </w:rPr>
        <w:t xml:space="preserve">final </w:t>
      </w:r>
      <w:r w:rsidRPr="00894FB4">
        <w:rPr>
          <w:color w:val="000000" w:themeColor="text1"/>
        </w:rPr>
        <w:t>reports and certification applications to support various enforcement actions, such as selective enforcement audits</w:t>
      </w:r>
      <w:r w:rsidR="004B38D7">
        <w:rPr>
          <w:color w:val="000000" w:themeColor="text1"/>
        </w:rPr>
        <w:t>, inspections</w:t>
      </w:r>
      <w:r w:rsidRPr="00894FB4">
        <w:rPr>
          <w:color w:val="000000" w:themeColor="text1"/>
        </w:rPr>
        <w:t xml:space="preserve"> and </w:t>
      </w:r>
      <w:r w:rsidR="004B38D7">
        <w:rPr>
          <w:color w:val="000000" w:themeColor="text1"/>
        </w:rPr>
        <w:t>confirmatory</w:t>
      </w:r>
      <w:r w:rsidRPr="00894FB4">
        <w:rPr>
          <w:color w:val="000000" w:themeColor="text1"/>
        </w:rPr>
        <w:t xml:space="preserve"> compliance testing.</w:t>
      </w:r>
    </w:p>
    <w:p w:rsidR="00DC55B2" w:rsidRPr="00D049CA" w:rsidRDefault="00894FB4" w:rsidP="00C47B23">
      <w:pPr>
        <w:rPr>
          <w:color w:val="000000" w:themeColor="text1"/>
        </w:rPr>
      </w:pPr>
      <w:r w:rsidRPr="00894FB4">
        <w:rPr>
          <w:color w:val="000000" w:themeColor="text1"/>
        </w:rPr>
        <w:lastRenderedPageBreak/>
        <w:t>As noted, the HD National Program offers manufacturers an opportunity to participate in an Averaging, Banking and Trading (ABT) program and other regulatory flexibilities that allow manufacturers to generate emission and fuel consumption credits.  For manufacturers that choose to participate and take advantage of these flexibilities, EPA and NHTSA collect data to ensure that allowable emission and fuel consumption credits are properly allocated, traded and applied.  Th</w:t>
      </w:r>
      <w:r w:rsidR="003712CB">
        <w:rPr>
          <w:color w:val="000000" w:themeColor="text1"/>
        </w:rPr>
        <w:t>e</w:t>
      </w:r>
      <w:r w:rsidRPr="00894FB4">
        <w:rPr>
          <w:color w:val="000000" w:themeColor="text1"/>
        </w:rPr>
        <w:t>s</w:t>
      </w:r>
      <w:r w:rsidR="003712CB">
        <w:rPr>
          <w:color w:val="000000" w:themeColor="text1"/>
        </w:rPr>
        <w:t>e</w:t>
      </w:r>
      <w:r w:rsidRPr="00894FB4">
        <w:rPr>
          <w:color w:val="000000" w:themeColor="text1"/>
        </w:rPr>
        <w:t xml:space="preserve"> data </w:t>
      </w:r>
      <w:r w:rsidR="003712CB">
        <w:rPr>
          <w:color w:val="000000" w:themeColor="text1"/>
        </w:rPr>
        <w:t>are</w:t>
      </w:r>
      <w:r w:rsidRPr="00894FB4">
        <w:rPr>
          <w:color w:val="000000" w:themeColor="text1"/>
        </w:rPr>
        <w:t xml:space="preserve"> provided in a</w:t>
      </w:r>
      <w:r w:rsidR="003712CB">
        <w:rPr>
          <w:color w:val="000000" w:themeColor="text1"/>
        </w:rPr>
        <w:t xml:space="preserve"> final</w:t>
      </w:r>
      <w:r w:rsidRPr="00894FB4">
        <w:rPr>
          <w:color w:val="000000" w:themeColor="text1"/>
        </w:rPr>
        <w:t xml:space="preserve"> production report and compared against production estimates submitted in the pre-model year report and certification applications.    </w:t>
      </w:r>
    </w:p>
    <w:p w:rsidR="00041F67" w:rsidRPr="00D049CA" w:rsidRDefault="00894FB4" w:rsidP="00C47B23">
      <w:pPr>
        <w:rPr>
          <w:color w:val="000000" w:themeColor="text1"/>
        </w:rPr>
      </w:pPr>
      <w:r w:rsidRPr="00894FB4">
        <w:rPr>
          <w:color w:val="000000" w:themeColor="text1"/>
        </w:rPr>
        <w:t xml:space="preserve">Throughout the year, manufacturers may also be required to report various submissions to the agencies to comply with other various aspects of the rule.  This other data collected, such as notifications that a manufacturer intends to participate in the ABT program or that a vehicle qualifies for an exclusion are needed so that the agencies can ensure that manufacturers are complying with the HD National Program’s regulatory provisions. </w:t>
      </w:r>
      <w:r w:rsidR="004B38D7">
        <w:rPr>
          <w:color w:val="000000" w:themeColor="text1"/>
        </w:rPr>
        <w:t>The agencies would also continue to require manufacturers to submit a credit plan whenever a credit transaction is required.</w:t>
      </w:r>
      <w:r w:rsidRPr="00894FB4">
        <w:rPr>
          <w:color w:val="000000" w:themeColor="text1"/>
        </w:rPr>
        <w:t xml:space="preserve">    </w:t>
      </w:r>
    </w:p>
    <w:p w:rsidR="00B060EE" w:rsidRPr="00D049CA" w:rsidRDefault="00894FB4" w:rsidP="00C47B23">
      <w:pPr>
        <w:rPr>
          <w:color w:val="000000" w:themeColor="text1"/>
        </w:rPr>
      </w:pPr>
      <w:r w:rsidRPr="00894FB4">
        <w:rPr>
          <w:color w:val="000000" w:themeColor="text1"/>
        </w:rPr>
        <w:t>All test and ABT data w</w:t>
      </w:r>
      <w:r w:rsidR="009A2407">
        <w:rPr>
          <w:color w:val="000000" w:themeColor="text1"/>
        </w:rPr>
        <w:t>ill be</w:t>
      </w:r>
      <w:r w:rsidRPr="00894FB4">
        <w:rPr>
          <w:color w:val="000000" w:themeColor="text1"/>
        </w:rPr>
        <w:t xml:space="preserve"> received and used by EPA’s Compliance Division (CD) within t</w:t>
      </w:r>
      <w:r w:rsidR="00C62D24">
        <w:rPr>
          <w:color w:val="000000" w:themeColor="text1"/>
        </w:rPr>
        <w:t>he agenc</w:t>
      </w:r>
      <w:r w:rsidRPr="00894FB4">
        <w:rPr>
          <w:color w:val="000000" w:themeColor="text1"/>
        </w:rPr>
        <w:t xml:space="preserve">y’s Office of Transportation and Air Quality.  Other EPA offices and divisions also may access the data to assess the effectiveness of the HD Phase 2 National program.  Non-confidential portions of the information submitted to CD are available to and may be used by importers, engine users, environmental groups, members of the public and state and local government organizations.  </w:t>
      </w:r>
      <w:r w:rsidR="004B38D7" w:rsidRPr="00894FB4">
        <w:rPr>
          <w:color w:val="000000" w:themeColor="text1"/>
        </w:rPr>
        <w:t xml:space="preserve">Information </w:t>
      </w:r>
      <w:r w:rsidR="004B38D7">
        <w:rPr>
          <w:color w:val="000000" w:themeColor="text1"/>
        </w:rPr>
        <w:t>would be</w:t>
      </w:r>
      <w:r w:rsidR="004B38D7" w:rsidRPr="00894FB4">
        <w:rPr>
          <w:color w:val="000000" w:themeColor="text1"/>
        </w:rPr>
        <w:t xml:space="preserve"> shared with NHTSA as needed</w:t>
      </w:r>
      <w:r w:rsidR="004B38D7">
        <w:rPr>
          <w:color w:val="000000" w:themeColor="text1"/>
        </w:rPr>
        <w:t>.  The NHTSA Office of Vehicle Safety Compliance would use the data for compliance purposes and the Office of Rulemaking would use it to measure the effectiveness of fuel consumption standards and in future rulemaking efforts.</w:t>
      </w:r>
    </w:p>
    <w:p w:rsidR="005A63AF" w:rsidRDefault="00894FB4">
      <w:pPr>
        <w:pStyle w:val="Heading1"/>
        <w:rPr>
          <w:color w:val="000000" w:themeColor="text1"/>
        </w:rPr>
      </w:pPr>
      <w:proofErr w:type="spellStart"/>
      <w:r w:rsidRPr="00894FB4">
        <w:rPr>
          <w:color w:val="000000" w:themeColor="text1"/>
        </w:rPr>
        <w:t>Nonduplication</w:t>
      </w:r>
      <w:proofErr w:type="spellEnd"/>
      <w:r w:rsidRPr="00894FB4">
        <w:rPr>
          <w:color w:val="000000" w:themeColor="text1"/>
        </w:rPr>
        <w:t>, Consultations and Other Collection Criteria</w:t>
      </w:r>
    </w:p>
    <w:p w:rsidR="005A63AF" w:rsidRDefault="00894FB4">
      <w:pPr>
        <w:pStyle w:val="Heading2"/>
        <w:rPr>
          <w:color w:val="000000" w:themeColor="text1"/>
        </w:rPr>
      </w:pPr>
      <w:proofErr w:type="spellStart"/>
      <w:r w:rsidRPr="00894FB4">
        <w:rPr>
          <w:color w:val="000000" w:themeColor="text1"/>
        </w:rPr>
        <w:t>Nonduplication</w:t>
      </w:r>
      <w:proofErr w:type="spellEnd"/>
    </w:p>
    <w:p w:rsidR="002D5924" w:rsidRPr="00D049CA" w:rsidRDefault="00894FB4" w:rsidP="001A578A">
      <w:pPr>
        <w:rPr>
          <w:color w:val="000000" w:themeColor="text1"/>
        </w:rPr>
      </w:pPr>
      <w:r w:rsidRPr="00894FB4">
        <w:rPr>
          <w:color w:val="000000" w:themeColor="text1"/>
        </w:rPr>
        <w:t xml:space="preserve">This proposed rulemaking contains specific recordkeeping provisions in 40 CFR 1036.205 and 1037.205, which are summarized in </w:t>
      </w:r>
      <w:r w:rsidR="007112DA">
        <w:fldChar w:fldCharType="begin"/>
      </w:r>
      <w:r w:rsidR="007112DA">
        <w:instrText xml:space="preserve"> REF _Ref418854233 \h  \* MERGEFORMAT </w:instrText>
      </w:r>
      <w:r w:rsidR="007112DA">
        <w:fldChar w:fldCharType="separate"/>
      </w:r>
      <w:r w:rsidR="00673E30" w:rsidRPr="00673E30">
        <w:rPr>
          <w:color w:val="000000" w:themeColor="text1"/>
        </w:rPr>
        <w:t>Table 3</w:t>
      </w:r>
      <w:r w:rsidR="007112DA">
        <w:fldChar w:fldCharType="end"/>
      </w:r>
      <w:r w:rsidRPr="00894FB4">
        <w:rPr>
          <w:color w:val="000000" w:themeColor="text1"/>
        </w:rPr>
        <w:t xml:space="preserve">.  </w:t>
      </w:r>
      <w:proofErr w:type="spellStart"/>
      <w:r w:rsidR="004B38D7">
        <w:rPr>
          <w:color w:val="000000" w:themeColor="text1"/>
        </w:rPr>
        <w:t>NHTSA’s</w:t>
      </w:r>
      <w:proofErr w:type="spellEnd"/>
      <w:r w:rsidR="004B38D7">
        <w:rPr>
          <w:color w:val="000000" w:themeColor="text1"/>
        </w:rPr>
        <w:t xml:space="preserve"> proposed rule contains the same recordkeeping requirement</w:t>
      </w:r>
      <w:r w:rsidR="004B38D7" w:rsidRPr="004B38D7">
        <w:rPr>
          <w:color w:val="000000" w:themeColor="text1"/>
        </w:rPr>
        <w:t xml:space="preserve"> </w:t>
      </w:r>
      <w:r w:rsidR="004B38D7">
        <w:rPr>
          <w:color w:val="000000" w:themeColor="text1"/>
        </w:rPr>
        <w:t xml:space="preserve">at 49 CFR 535.8 that is currently in EPA’s regulations requiring manufacturers to keep records with equivalent fuel consumption information.  </w:t>
      </w:r>
      <w:r w:rsidRPr="00894FB4">
        <w:rPr>
          <w:color w:val="000000" w:themeColor="text1"/>
        </w:rPr>
        <w:t>Because of its specialized (and sometimes confidential) nature, and the fact that it is submitted jointly with NHTSA prior to the start of vehicle or engine production, the information collected is not available from any other source.  The agencies developed this rulemaking to build on existing test procedures and reporting structures where possible to prevent duplication</w:t>
      </w:r>
    </w:p>
    <w:p w:rsidR="005A63AF" w:rsidRDefault="00894FB4">
      <w:pPr>
        <w:pStyle w:val="Heading2"/>
        <w:rPr>
          <w:color w:val="000000" w:themeColor="text1"/>
        </w:rPr>
      </w:pPr>
      <w:r w:rsidRPr="00894FB4">
        <w:rPr>
          <w:color w:val="000000" w:themeColor="text1"/>
        </w:rPr>
        <w:t>Public Notice Required Prior to ICR Submission to OMB</w:t>
      </w:r>
    </w:p>
    <w:p w:rsidR="005A63AF" w:rsidRDefault="00894FB4">
      <w:pPr>
        <w:rPr>
          <w:color w:val="000000" w:themeColor="text1"/>
        </w:rPr>
      </w:pPr>
      <w:r w:rsidRPr="00894FB4">
        <w:rPr>
          <w:color w:val="000000" w:themeColor="text1"/>
        </w:rPr>
        <w:t>Through the proposed rulemaking that EPA and NHTSA are issuing, EPA is seeking public comment on the testing, reporting, and recordkeeping burdens outlined in this ICR and associated with demonstrating compliance with the proposal’s GHG and fuel consumption standards</w:t>
      </w:r>
      <w:r w:rsidR="002718A9">
        <w:rPr>
          <w:color w:val="000000" w:themeColor="text1"/>
        </w:rPr>
        <w:t>.</w:t>
      </w:r>
      <w:r w:rsidRPr="00894FB4">
        <w:rPr>
          <w:color w:val="000000" w:themeColor="text1"/>
        </w:rPr>
        <w:t xml:space="preserve">  To comment on the agencies’ needs for this information, the accuracy of the provided burden estimates, and any suggested methods for minimizing respondent burden, including the </w:t>
      </w:r>
      <w:r w:rsidRPr="00894FB4">
        <w:rPr>
          <w:color w:val="000000" w:themeColor="text1"/>
        </w:rPr>
        <w:lastRenderedPageBreak/>
        <w:t>use of automated collection techniques, the agencies have established public dockets for this proposal, which includes this ICR, under Docket ID numbers EPA–HQ–OAR–2014–0827 and NHTSA- 2014-0132.   The final rules will respond to any OMB or public comments on the information collection requirements contained in th</w:t>
      </w:r>
      <w:r w:rsidR="006B2997">
        <w:rPr>
          <w:color w:val="000000" w:themeColor="text1"/>
        </w:rPr>
        <w:t>e</w:t>
      </w:r>
      <w:r w:rsidRPr="00894FB4">
        <w:rPr>
          <w:color w:val="000000" w:themeColor="text1"/>
        </w:rPr>
        <w:t xml:space="preserve"> proposal.</w:t>
      </w:r>
    </w:p>
    <w:p w:rsidR="005A63AF" w:rsidRDefault="00894FB4">
      <w:pPr>
        <w:pStyle w:val="Heading2"/>
        <w:rPr>
          <w:color w:val="000000" w:themeColor="text1"/>
        </w:rPr>
      </w:pPr>
      <w:r w:rsidRPr="00894FB4">
        <w:rPr>
          <w:color w:val="000000" w:themeColor="text1"/>
        </w:rPr>
        <w:t>Consultations</w:t>
      </w:r>
    </w:p>
    <w:p w:rsidR="005A63AF" w:rsidRDefault="00894FB4">
      <w:pPr>
        <w:rPr>
          <w:color w:val="000000" w:themeColor="text1"/>
        </w:rPr>
      </w:pPr>
      <w:r w:rsidRPr="00894FB4">
        <w:rPr>
          <w:color w:val="000000" w:themeColor="text1"/>
        </w:rPr>
        <w:t xml:space="preserve">The proposed regulations, including the cost analysis that is reflected in this ICR, were developed based on experience with the Phase 1 regulations developed in the past in close consultation with the affected industry.  Prior to publication of the proposal, EPA </w:t>
      </w:r>
      <w:r w:rsidR="004F1621">
        <w:rPr>
          <w:color w:val="000000" w:themeColor="text1"/>
        </w:rPr>
        <w:t xml:space="preserve">and NHTSA </w:t>
      </w:r>
      <w:r w:rsidRPr="00894FB4">
        <w:rPr>
          <w:color w:val="000000" w:themeColor="text1"/>
        </w:rPr>
        <w:t xml:space="preserve">also met extensively with individual manufacturers, groups of manufacturers, industrial trade associations, public interest groups, environmental and professional industry organizations. </w:t>
      </w:r>
    </w:p>
    <w:p w:rsidR="005A63AF" w:rsidRDefault="00894FB4">
      <w:pPr>
        <w:rPr>
          <w:color w:val="000000" w:themeColor="text1"/>
        </w:rPr>
      </w:pPr>
      <w:r w:rsidRPr="00894FB4">
        <w:rPr>
          <w:color w:val="000000" w:themeColor="text1"/>
        </w:rPr>
        <w:t xml:space="preserve">In preparing this ICR submission, </w:t>
      </w:r>
      <w:r w:rsidR="004F1621">
        <w:rPr>
          <w:color w:val="000000" w:themeColor="text1"/>
        </w:rPr>
        <w:t>the agencies</w:t>
      </w:r>
      <w:r w:rsidR="004F1621" w:rsidRPr="00894FB4">
        <w:rPr>
          <w:color w:val="000000" w:themeColor="text1"/>
        </w:rPr>
        <w:t xml:space="preserve"> </w:t>
      </w:r>
      <w:r w:rsidRPr="00894FB4">
        <w:rPr>
          <w:color w:val="000000" w:themeColor="text1"/>
        </w:rPr>
        <w:t xml:space="preserve">considered these discussions.  Following the publication and formal request for comment on </w:t>
      </w:r>
      <w:r w:rsidR="004F1621">
        <w:rPr>
          <w:color w:val="000000" w:themeColor="text1"/>
        </w:rPr>
        <w:t>the Phase 2 proposal</w:t>
      </w:r>
      <w:r w:rsidRPr="00894FB4">
        <w:rPr>
          <w:color w:val="000000" w:themeColor="text1"/>
        </w:rPr>
        <w:t xml:space="preserve">, EPA </w:t>
      </w:r>
      <w:r w:rsidR="004F1621">
        <w:rPr>
          <w:color w:val="000000" w:themeColor="text1"/>
        </w:rPr>
        <w:t xml:space="preserve">and NHTSA </w:t>
      </w:r>
      <w:r w:rsidRPr="00894FB4">
        <w:rPr>
          <w:color w:val="000000" w:themeColor="text1"/>
        </w:rPr>
        <w:t xml:space="preserve">will further develop the testing, reporting and recordkeeping requirement included in this ICR, as needed. </w:t>
      </w:r>
    </w:p>
    <w:p w:rsidR="005A63AF" w:rsidRDefault="00894FB4">
      <w:pPr>
        <w:pStyle w:val="Heading2"/>
        <w:rPr>
          <w:color w:val="000000" w:themeColor="text1"/>
        </w:rPr>
      </w:pPr>
      <w:r w:rsidRPr="00894FB4">
        <w:rPr>
          <w:color w:val="000000" w:themeColor="text1"/>
        </w:rPr>
        <w:t>Effects of Less Frequent Collection</w:t>
      </w:r>
    </w:p>
    <w:p w:rsidR="00D86602" w:rsidRPr="00D049CA" w:rsidRDefault="00894FB4">
      <w:pPr>
        <w:rPr>
          <w:color w:val="000000" w:themeColor="text1"/>
        </w:rPr>
      </w:pPr>
      <w:r w:rsidRPr="00894FB4">
        <w:rPr>
          <w:color w:val="000000" w:themeColor="text1"/>
        </w:rPr>
        <w:t>The CAA states that emission certification must be done on a yearly basis (CAA 206(a</w:t>
      </w:r>
      <w:proofErr w:type="gramStart"/>
      <w:r w:rsidRPr="00894FB4">
        <w:rPr>
          <w:color w:val="000000" w:themeColor="text1"/>
        </w:rPr>
        <w:t>)(</w:t>
      </w:r>
      <w:proofErr w:type="gramEnd"/>
      <w:r w:rsidRPr="00894FB4">
        <w:rPr>
          <w:color w:val="000000" w:themeColor="text1"/>
        </w:rPr>
        <w:t xml:space="preserve">1)), coinciding with the industry's ‘model year’.  Major product changes typically occur at the start of a model year.  For these reasons, a collection frequency of less than a model year is not possible.  However, when an engine or vehicle design is "carried over" to a subsequent model year, the amount of new information required is substantially reduced.  Existing regulations also call for an end-of-year report, with final production numbers, and the HD Phase 2 National Program conforms to this existing requirement as well.  </w:t>
      </w:r>
    </w:p>
    <w:p w:rsidR="005A63AF" w:rsidRDefault="00894FB4">
      <w:pPr>
        <w:pStyle w:val="Heading2"/>
        <w:rPr>
          <w:color w:val="000000" w:themeColor="text1"/>
        </w:rPr>
      </w:pPr>
      <w:r w:rsidRPr="00894FB4">
        <w:rPr>
          <w:color w:val="000000" w:themeColor="text1"/>
        </w:rPr>
        <w:t>General Guidelines</w:t>
      </w:r>
    </w:p>
    <w:p w:rsidR="005E5ECD" w:rsidRPr="00D049CA" w:rsidRDefault="00894FB4" w:rsidP="00D12F9A">
      <w:pPr>
        <w:rPr>
          <w:rFonts w:ascii="Arial" w:hAnsi="Arial" w:cs="Arial"/>
          <w:color w:val="000000" w:themeColor="text1"/>
          <w:sz w:val="18"/>
          <w:szCs w:val="18"/>
        </w:rPr>
      </w:pPr>
      <w:r w:rsidRPr="00894FB4">
        <w:rPr>
          <w:color w:val="000000" w:themeColor="text1"/>
        </w:rPr>
        <w:t>Under 40 CFR 1036.250 and 1037.250 of the proposed regulations, copies of all documents sent to EPA including pre-model reports, certification applications, ABT</w:t>
      </w:r>
      <w:r w:rsidR="006B2997">
        <w:rPr>
          <w:color w:val="000000" w:themeColor="text1"/>
        </w:rPr>
        <w:t xml:space="preserve"> reports</w:t>
      </w:r>
      <w:r w:rsidRPr="00894FB4">
        <w:rPr>
          <w:color w:val="000000" w:themeColor="text1"/>
        </w:rPr>
        <w:t xml:space="preserve">, and </w:t>
      </w:r>
      <w:r w:rsidR="003712CB">
        <w:rPr>
          <w:color w:val="000000" w:themeColor="text1"/>
        </w:rPr>
        <w:t>final</w:t>
      </w:r>
      <w:r w:rsidRPr="00894FB4">
        <w:rPr>
          <w:color w:val="000000" w:themeColor="text1"/>
        </w:rPr>
        <w:t xml:space="preserve"> reports, must be kept and maintained for eight years.  These records may be stored in any format and on any media, as long as they are organized and can be sent promptly to EPA, if requested.  These recordkeeping requirements stem, in part, from the statutory requirement to warrant some items for long periods of time.  Manufacturers also must comply with requirements to submit to an EPA audit, and recall vehicles and engines failing to meet emission standards during their useful lives.  Other data, (such as routine emissions tests, i.e.: test cell temperatures and relative humidity readings, etc.) need to be kept for only one year after a certificate of conformity is issued.  </w:t>
      </w:r>
    </w:p>
    <w:p w:rsidR="00C548DC" w:rsidRPr="00D049CA" w:rsidRDefault="00894FB4" w:rsidP="00C548DC">
      <w:pPr>
        <w:rPr>
          <w:color w:val="000000" w:themeColor="text1"/>
        </w:rPr>
      </w:pPr>
      <w:r w:rsidRPr="00894FB4">
        <w:rPr>
          <w:color w:val="000000" w:themeColor="text1"/>
        </w:rPr>
        <w:t>Manufacturers would be required to submit confidential business information such as sales projections and certain sensitive technical descriptions (see section 4(b</w:t>
      </w:r>
      <w:proofErr w:type="gramStart"/>
      <w:r w:rsidRPr="00894FB4">
        <w:rPr>
          <w:color w:val="000000" w:themeColor="text1"/>
        </w:rPr>
        <w:t>)(</w:t>
      </w:r>
      <w:proofErr w:type="gramEnd"/>
      <w:r w:rsidRPr="00894FB4">
        <w:rPr>
          <w:color w:val="000000" w:themeColor="text1"/>
        </w:rPr>
        <w:t xml:space="preserve">i) for reference). This information is kept confidential in accordance with the Freedom of Information Act, EPA regulations at 40 CFR </w:t>
      </w:r>
      <w:r w:rsidR="00114EA4">
        <w:rPr>
          <w:color w:val="000000" w:themeColor="text1"/>
        </w:rPr>
        <w:t>p</w:t>
      </w:r>
      <w:r w:rsidRPr="00894FB4">
        <w:rPr>
          <w:color w:val="000000" w:themeColor="text1"/>
        </w:rPr>
        <w:t xml:space="preserve">art 2, and class determinations issued by EPA's Office of General Counsel. Also, non-proprietary information submitted by manufacturers is held as confidential </w:t>
      </w:r>
      <w:r w:rsidRPr="00894FB4">
        <w:rPr>
          <w:color w:val="000000" w:themeColor="text1"/>
        </w:rPr>
        <w:lastRenderedPageBreak/>
        <w:t xml:space="preserve">until the specific vehicle or engine to which it pertains is available for purchase. No other general guideline is exceeded by this information collection.  </w:t>
      </w:r>
    </w:p>
    <w:p w:rsidR="005A63AF" w:rsidRDefault="00894FB4">
      <w:pPr>
        <w:pStyle w:val="Heading2"/>
        <w:rPr>
          <w:color w:val="000000" w:themeColor="text1"/>
        </w:rPr>
      </w:pPr>
      <w:r w:rsidRPr="00894FB4">
        <w:rPr>
          <w:color w:val="000000" w:themeColor="text1"/>
        </w:rPr>
        <w:t>Confidentiality</w:t>
      </w:r>
    </w:p>
    <w:p w:rsidR="000362E7" w:rsidRPr="00D049CA" w:rsidRDefault="00894FB4" w:rsidP="00336DF0">
      <w:pPr>
        <w:rPr>
          <w:color w:val="000000" w:themeColor="text1"/>
        </w:rPr>
      </w:pPr>
      <w:r w:rsidRPr="00894FB4">
        <w:rPr>
          <w:color w:val="000000" w:themeColor="text1"/>
        </w:rPr>
        <w:t xml:space="preserve">Manufacturers are allowed to assert a claim of confidentiality over information provided to EPA.  Confidentiality is provided in accordance with the Freedom of Information Act and EPA regulations at 40 CFR </w:t>
      </w:r>
      <w:r w:rsidR="00114EA4">
        <w:rPr>
          <w:color w:val="000000" w:themeColor="text1"/>
        </w:rPr>
        <w:t>p</w:t>
      </w:r>
      <w:r w:rsidRPr="00894FB4">
        <w:rPr>
          <w:color w:val="000000" w:themeColor="text1"/>
        </w:rPr>
        <w:t xml:space="preserve">art 2.  For further detail, refer to section </w:t>
      </w:r>
      <w:proofErr w:type="spellStart"/>
      <w:r w:rsidR="006B2997">
        <w:rPr>
          <w:color w:val="000000" w:themeColor="text1"/>
        </w:rPr>
        <w:t>III.E</w:t>
      </w:r>
      <w:proofErr w:type="spellEnd"/>
      <w:r w:rsidRPr="00894FB4">
        <w:rPr>
          <w:color w:val="000000" w:themeColor="text1"/>
        </w:rPr>
        <w:t xml:space="preserve">, above.  </w:t>
      </w:r>
    </w:p>
    <w:p w:rsidR="005A63AF" w:rsidRDefault="00894FB4">
      <w:pPr>
        <w:pStyle w:val="Heading2"/>
        <w:rPr>
          <w:color w:val="000000" w:themeColor="text1"/>
        </w:rPr>
      </w:pPr>
      <w:r w:rsidRPr="00894FB4">
        <w:rPr>
          <w:color w:val="000000" w:themeColor="text1"/>
        </w:rPr>
        <w:t>Sensitive Questions</w:t>
      </w:r>
    </w:p>
    <w:p w:rsidR="00775B7A" w:rsidRPr="00D049CA" w:rsidRDefault="00894FB4" w:rsidP="00775B7A">
      <w:pPr>
        <w:pStyle w:val="Style6"/>
        <w:jc w:val="left"/>
        <w:rPr>
          <w:color w:val="000000" w:themeColor="text1"/>
          <w:spacing w:val="6"/>
        </w:rPr>
      </w:pPr>
      <w:r w:rsidRPr="00894FB4">
        <w:rPr>
          <w:color w:val="000000" w:themeColor="text1"/>
        </w:rPr>
        <w:t xml:space="preserve">No sensitive questions are asked in this information collection. </w:t>
      </w:r>
      <w:r w:rsidRPr="00894FB4">
        <w:rPr>
          <w:color w:val="000000" w:themeColor="text1"/>
          <w:spacing w:val="6"/>
        </w:rPr>
        <w:t>This collection complies with the Privacy Act and OMB Circular A-108.</w:t>
      </w:r>
    </w:p>
    <w:p w:rsidR="005A63AF" w:rsidRDefault="00894FB4">
      <w:pPr>
        <w:pStyle w:val="Heading1"/>
        <w:rPr>
          <w:color w:val="000000" w:themeColor="text1"/>
        </w:rPr>
      </w:pPr>
      <w:r w:rsidRPr="00894FB4">
        <w:rPr>
          <w:color w:val="000000" w:themeColor="text1"/>
        </w:rPr>
        <w:t>Respondents and Information Requested</w:t>
      </w:r>
    </w:p>
    <w:p w:rsidR="005A63AF" w:rsidRDefault="00894FB4">
      <w:pPr>
        <w:pStyle w:val="Heading2"/>
        <w:rPr>
          <w:color w:val="000000" w:themeColor="text1"/>
        </w:rPr>
      </w:pPr>
      <w:r w:rsidRPr="00894FB4">
        <w:rPr>
          <w:color w:val="000000" w:themeColor="text1"/>
        </w:rPr>
        <w:t>Respondents/NAICS Codes</w:t>
      </w:r>
    </w:p>
    <w:p w:rsidR="00555FB2" w:rsidRPr="00D049CA" w:rsidRDefault="00894FB4" w:rsidP="00C47B23">
      <w:pPr>
        <w:rPr>
          <w:color w:val="000000" w:themeColor="text1"/>
        </w:rPr>
      </w:pPr>
      <w:r w:rsidRPr="00894FB4">
        <w:rPr>
          <w:color w:val="000000" w:themeColor="text1"/>
        </w:rPr>
        <w:t>Respondents are manufacturers of engines and vehicles within the North American Industry Classification System (NAICS) and use the coding structure as defined by NAICS. 336111, 336112, 333618, 336120, 541514, 811112, 811198, 336111, 336112, 422720, 454312, 541514, 541690, 811198, 333618, 336510, for Motor Vehicle Manufacturers, Engine and Truck Manufacturers, Truck Trailer Manufacturers, Commercial Importers of Vehicles and Vehicle Components, and Alternative Fuel Vehicle Converters and Manufacturers.</w:t>
      </w:r>
    </w:p>
    <w:p w:rsidR="005A63AF" w:rsidRDefault="00894FB4">
      <w:pPr>
        <w:pStyle w:val="Heading2"/>
        <w:rPr>
          <w:color w:val="000000" w:themeColor="text1"/>
        </w:rPr>
      </w:pPr>
      <w:r w:rsidRPr="00894FB4">
        <w:rPr>
          <w:color w:val="000000" w:themeColor="text1"/>
        </w:rPr>
        <w:t>Information Requested</w:t>
      </w:r>
    </w:p>
    <w:p w:rsidR="007E517E" w:rsidRPr="00D049CA" w:rsidRDefault="00894FB4" w:rsidP="00401DEA">
      <w:pPr>
        <w:widowControl/>
        <w:rPr>
          <w:color w:val="000000" w:themeColor="text1"/>
        </w:rPr>
      </w:pPr>
      <w:r w:rsidRPr="00894FB4">
        <w:rPr>
          <w:color w:val="000000" w:themeColor="text1"/>
        </w:rPr>
        <w:t xml:space="preserve">All manufacturers would be required to provide </w:t>
      </w:r>
      <w:r w:rsidR="006B2997">
        <w:rPr>
          <w:color w:val="000000" w:themeColor="text1"/>
        </w:rPr>
        <w:t xml:space="preserve">good faith estimates of </w:t>
      </w:r>
      <w:r w:rsidRPr="00894FB4">
        <w:rPr>
          <w:color w:val="000000" w:themeColor="text1"/>
        </w:rPr>
        <w:t xml:space="preserve">production </w:t>
      </w:r>
      <w:r w:rsidR="006B2997">
        <w:rPr>
          <w:color w:val="000000" w:themeColor="text1"/>
        </w:rPr>
        <w:t xml:space="preserve">volumes </w:t>
      </w:r>
      <w:r w:rsidRPr="00894FB4">
        <w:rPr>
          <w:color w:val="000000" w:themeColor="text1"/>
        </w:rPr>
        <w:t xml:space="preserve">and related data in either a pre-model year report or as part of their application for a certificate of conformity.  Data included in the pre-model year report and application will provide the best estimate of the vehicles and engines that a manufacturer will produce for the year and are needed to help construct an annual testing plan.  Information that manufacturers would include in their pre-model year reports and certification applications </w:t>
      </w:r>
      <w:r w:rsidR="006B2997">
        <w:rPr>
          <w:color w:val="000000" w:themeColor="text1"/>
        </w:rPr>
        <w:t>is</w:t>
      </w:r>
      <w:r w:rsidRPr="00894FB4">
        <w:rPr>
          <w:color w:val="000000" w:themeColor="text1"/>
        </w:rPr>
        <w:t xml:space="preserve"> outlined in the sections below. </w:t>
      </w:r>
    </w:p>
    <w:p w:rsidR="009152EF" w:rsidRPr="00D049CA" w:rsidRDefault="00894FB4" w:rsidP="00C47B23">
      <w:pPr>
        <w:rPr>
          <w:color w:val="000000" w:themeColor="text1"/>
        </w:rPr>
      </w:pPr>
      <w:r w:rsidRPr="00894FB4">
        <w:rPr>
          <w:color w:val="000000" w:themeColor="text1"/>
        </w:rPr>
        <w:t>NHTSA would require manufacturers to determine equivalent fuel consumption values from CO</w:t>
      </w:r>
      <w:r w:rsidRPr="00CF70D5">
        <w:rPr>
          <w:color w:val="000000" w:themeColor="text1"/>
          <w:vertAlign w:val="subscript"/>
        </w:rPr>
        <w:t>2</w:t>
      </w:r>
      <w:r w:rsidRPr="00894FB4">
        <w:rPr>
          <w:color w:val="000000" w:themeColor="text1"/>
        </w:rPr>
        <w:t xml:space="preserve"> emissions test results and provide the values along with the applications for certification submitted to EPA.  Manufacturers would submit their pre-model year reports, applications, test data and related information to EPA electronically via a single database system that NHTSA will access as needed.   </w:t>
      </w:r>
    </w:p>
    <w:p w:rsidR="00066336" w:rsidRPr="00D049CA" w:rsidRDefault="00894FB4" w:rsidP="00C47B23">
      <w:pPr>
        <w:rPr>
          <w:color w:val="000000" w:themeColor="text1"/>
        </w:rPr>
      </w:pPr>
      <w:r w:rsidRPr="00894FB4">
        <w:rPr>
          <w:color w:val="000000" w:themeColor="text1"/>
        </w:rPr>
        <w:t xml:space="preserve">In order to obtain a certificate of conformity, all manufacturers would complete a compliance demonstration, normally consisting of test data showing that their engines or vehicles meet the rule’s emission standards and other regulatory requirements.  For testing purposes, manufacturers typically establish either “test groups” or engine and vehicle “families” that share certain design and emissions characteristics.  </w:t>
      </w:r>
    </w:p>
    <w:p w:rsidR="00066336" w:rsidRPr="00D049CA" w:rsidRDefault="00894FB4" w:rsidP="00C47B23">
      <w:pPr>
        <w:rPr>
          <w:color w:val="000000" w:themeColor="text1"/>
        </w:rPr>
      </w:pPr>
      <w:r w:rsidRPr="00894FB4">
        <w:rPr>
          <w:color w:val="000000" w:themeColor="text1"/>
        </w:rPr>
        <w:lastRenderedPageBreak/>
        <w:t>Specific criteria for establishing these test groups and families for each regulatory category is outlined in the rule</w:t>
      </w:r>
      <w:r w:rsidR="009A2407">
        <w:rPr>
          <w:color w:val="000000" w:themeColor="text1"/>
        </w:rPr>
        <w:t xml:space="preserve"> at 40 CFR </w:t>
      </w:r>
      <w:r w:rsidR="00467C56">
        <w:rPr>
          <w:color w:val="000000" w:themeColor="text1"/>
        </w:rPr>
        <w:t>86</w:t>
      </w:r>
      <w:r w:rsidR="009A2407">
        <w:rPr>
          <w:color w:val="000000" w:themeColor="text1"/>
        </w:rPr>
        <w:t>.</w:t>
      </w:r>
      <w:r w:rsidR="00467C56">
        <w:rPr>
          <w:color w:val="000000" w:themeColor="text1"/>
        </w:rPr>
        <w:t>1827</w:t>
      </w:r>
      <w:r w:rsidR="009A2407">
        <w:rPr>
          <w:color w:val="000000" w:themeColor="text1"/>
        </w:rPr>
        <w:t xml:space="preserve"> (pickup trucks and vans),</w:t>
      </w:r>
      <w:r w:rsidRPr="00894FB4">
        <w:rPr>
          <w:color w:val="000000" w:themeColor="text1"/>
        </w:rPr>
        <w:t xml:space="preserve"> 40 CFR 1036.230 (engines)</w:t>
      </w:r>
      <w:r w:rsidR="009A2407">
        <w:rPr>
          <w:color w:val="000000" w:themeColor="text1"/>
        </w:rPr>
        <w:t>,</w:t>
      </w:r>
      <w:r w:rsidRPr="00894FB4">
        <w:rPr>
          <w:color w:val="000000" w:themeColor="text1"/>
        </w:rPr>
        <w:t xml:space="preserve"> and </w:t>
      </w:r>
      <w:r w:rsidR="00114EA4">
        <w:rPr>
          <w:color w:val="000000" w:themeColor="text1"/>
        </w:rPr>
        <w:t xml:space="preserve">40 CFR </w:t>
      </w:r>
      <w:r w:rsidRPr="00894FB4">
        <w:rPr>
          <w:color w:val="000000" w:themeColor="text1"/>
        </w:rPr>
        <w:t>1037.230 (trailers, vocational vehicles and combination tractors).  Within the families and test groups a manufacture</w:t>
      </w:r>
      <w:r w:rsidR="009A2407">
        <w:rPr>
          <w:color w:val="000000" w:themeColor="text1"/>
        </w:rPr>
        <w:t>r</w:t>
      </w:r>
      <w:r w:rsidRPr="00894FB4">
        <w:rPr>
          <w:color w:val="000000" w:themeColor="text1"/>
        </w:rPr>
        <w:t xml:space="preserve"> establishes, engines and vehicles are selected and subject to actual testing.  </w:t>
      </w:r>
    </w:p>
    <w:p w:rsidR="001456E5" w:rsidRPr="00D049CA" w:rsidRDefault="00894FB4" w:rsidP="00C47B23">
      <w:pPr>
        <w:rPr>
          <w:color w:val="000000" w:themeColor="text1"/>
        </w:rPr>
      </w:pPr>
      <w:r w:rsidRPr="00894FB4">
        <w:rPr>
          <w:color w:val="000000" w:themeColor="text1"/>
        </w:rPr>
        <w:t xml:space="preserve">In addition to test results and related documents that demonstrate compliance, an application for a certificate of conformity describes other key aspects of the manufacturer’s proposed product line, such as controls put in place to reduce GHG emissions and fuel consumption, warranty and service information, and emission control information labels.  </w:t>
      </w:r>
    </w:p>
    <w:p w:rsidR="0079446D" w:rsidRPr="00D049CA" w:rsidRDefault="00894FB4" w:rsidP="00C47B23">
      <w:pPr>
        <w:rPr>
          <w:color w:val="000000" w:themeColor="text1"/>
        </w:rPr>
      </w:pPr>
      <w:r w:rsidRPr="00894FB4">
        <w:rPr>
          <w:color w:val="000000" w:themeColor="text1"/>
        </w:rPr>
        <w:t xml:space="preserve">All manufacturers would be also required to submit </w:t>
      </w:r>
      <w:r w:rsidR="006B2997">
        <w:rPr>
          <w:color w:val="000000" w:themeColor="text1"/>
        </w:rPr>
        <w:t xml:space="preserve">final </w:t>
      </w:r>
      <w:r w:rsidRPr="00894FB4">
        <w:rPr>
          <w:color w:val="000000" w:themeColor="text1"/>
        </w:rPr>
        <w:t xml:space="preserve">reports that will be used to reconcile </w:t>
      </w:r>
      <w:r w:rsidR="006B2997">
        <w:rPr>
          <w:color w:val="000000" w:themeColor="text1"/>
        </w:rPr>
        <w:t>initial</w:t>
      </w:r>
      <w:r w:rsidRPr="00894FB4">
        <w:rPr>
          <w:color w:val="000000" w:themeColor="text1"/>
        </w:rPr>
        <w:t xml:space="preserve"> production estimates with final year figures. </w:t>
      </w:r>
      <w:r w:rsidR="00F87F6B">
        <w:rPr>
          <w:color w:val="000000" w:themeColor="text1"/>
        </w:rPr>
        <w:t xml:space="preserve"> </w:t>
      </w:r>
      <w:r w:rsidRPr="00894FB4">
        <w:rPr>
          <w:color w:val="000000" w:themeColor="text1"/>
        </w:rPr>
        <w:t xml:space="preserve">For manufacturers not participating in ABT, the </w:t>
      </w:r>
      <w:r w:rsidR="006B2997">
        <w:rPr>
          <w:color w:val="000000" w:themeColor="text1"/>
        </w:rPr>
        <w:t>final</w:t>
      </w:r>
      <w:r w:rsidR="006B2997" w:rsidRPr="00894FB4">
        <w:rPr>
          <w:color w:val="000000" w:themeColor="text1"/>
        </w:rPr>
        <w:t xml:space="preserve"> </w:t>
      </w:r>
      <w:r w:rsidRPr="00894FB4">
        <w:rPr>
          <w:color w:val="000000" w:themeColor="text1"/>
        </w:rPr>
        <w:t xml:space="preserve">reports are required to assess compliance. The requirements for </w:t>
      </w:r>
      <w:r w:rsidR="006B2997">
        <w:rPr>
          <w:color w:val="000000" w:themeColor="text1"/>
        </w:rPr>
        <w:t>final</w:t>
      </w:r>
      <w:r w:rsidR="006B2997" w:rsidRPr="00894FB4">
        <w:rPr>
          <w:color w:val="000000" w:themeColor="text1"/>
        </w:rPr>
        <w:t xml:space="preserve"> </w:t>
      </w:r>
      <w:r w:rsidRPr="00894FB4">
        <w:rPr>
          <w:color w:val="000000" w:themeColor="text1"/>
        </w:rPr>
        <w:t>reports for engine, HD pickup truck, vocational chassis, and tractor manufacturers in years 2017 through 2019 would be identical to the Phase 1 requirements</w:t>
      </w:r>
      <w:r w:rsidR="004B38D7">
        <w:rPr>
          <w:color w:val="000000" w:themeColor="text1"/>
        </w:rPr>
        <w:t xml:space="preserve"> except for an allowance to streamline reporting for tractor, vocational vehicle, and engine manufacturers with the option for these manufacturers to provide only one final ABT report, 90-days after the end of each model year</w:t>
      </w:r>
      <w:r w:rsidRPr="00894FB4">
        <w:rPr>
          <w:color w:val="000000" w:themeColor="text1"/>
        </w:rPr>
        <w:t xml:space="preserve">.  The </w:t>
      </w:r>
      <w:r w:rsidR="006B2997">
        <w:rPr>
          <w:color w:val="000000" w:themeColor="text1"/>
        </w:rPr>
        <w:t>final report</w:t>
      </w:r>
      <w:r w:rsidR="006B2997" w:rsidRPr="00894FB4">
        <w:rPr>
          <w:color w:val="000000" w:themeColor="text1"/>
        </w:rPr>
        <w:t xml:space="preserve"> </w:t>
      </w:r>
      <w:r w:rsidRPr="00894FB4">
        <w:rPr>
          <w:color w:val="000000" w:themeColor="text1"/>
        </w:rPr>
        <w:t xml:space="preserve">requirements for trailer manufacturers would begin with the 2018 model year.  A summary of the data included in a </w:t>
      </w:r>
      <w:r w:rsidR="006B2997">
        <w:rPr>
          <w:color w:val="000000" w:themeColor="text1"/>
        </w:rPr>
        <w:t>final</w:t>
      </w:r>
      <w:r w:rsidR="006B2997" w:rsidRPr="00894FB4">
        <w:rPr>
          <w:color w:val="000000" w:themeColor="text1"/>
        </w:rPr>
        <w:t xml:space="preserve"> </w:t>
      </w:r>
      <w:r w:rsidRPr="00894FB4">
        <w:rPr>
          <w:color w:val="000000" w:themeColor="text1"/>
        </w:rPr>
        <w:t xml:space="preserve">report is listed in </w:t>
      </w:r>
      <w:r w:rsidR="007112DA">
        <w:fldChar w:fldCharType="begin"/>
      </w:r>
      <w:r w:rsidR="007112DA">
        <w:instrText xml:space="preserve"> REF _Ref418854263 \h  \* MERGEFORMAT </w:instrText>
      </w:r>
      <w:r w:rsidR="007112DA">
        <w:fldChar w:fldCharType="separate"/>
      </w:r>
      <w:r w:rsidR="00673E30" w:rsidRPr="00673E30">
        <w:rPr>
          <w:color w:val="000000" w:themeColor="text1"/>
        </w:rPr>
        <w:t>Table 2</w:t>
      </w:r>
      <w:r w:rsidR="007112DA">
        <w:fldChar w:fldCharType="end"/>
      </w:r>
      <w:r w:rsidRPr="00894FB4">
        <w:rPr>
          <w:color w:val="000000" w:themeColor="text1"/>
        </w:rPr>
        <w:t xml:space="preserve">. </w:t>
      </w:r>
      <w:r w:rsidR="008A060C">
        <w:rPr>
          <w:color w:val="000000" w:themeColor="text1"/>
        </w:rPr>
        <w:t xml:space="preserve"> Tractor, vocational, HD pickup truck and van, and engine m</w:t>
      </w:r>
      <w:r w:rsidR="008A060C" w:rsidRPr="00894FB4">
        <w:rPr>
          <w:color w:val="000000" w:themeColor="text1"/>
        </w:rPr>
        <w:t xml:space="preserve">anufacturers also must state whether they intend to participate in the Averaging, Banking and Trading (ABT) program that EPA and NHTSA have proposed for </w:t>
      </w:r>
      <w:r w:rsidR="008A060C">
        <w:rPr>
          <w:color w:val="000000" w:themeColor="text1"/>
        </w:rPr>
        <w:t>these</w:t>
      </w:r>
      <w:r w:rsidR="008A060C" w:rsidRPr="00894FB4">
        <w:rPr>
          <w:color w:val="000000" w:themeColor="text1"/>
        </w:rPr>
        <w:t xml:space="preserve"> regulatory categor</w:t>
      </w:r>
      <w:r w:rsidR="008A060C">
        <w:rPr>
          <w:color w:val="000000" w:themeColor="text1"/>
        </w:rPr>
        <w:t>ies</w:t>
      </w:r>
      <w:r w:rsidR="008A060C" w:rsidRPr="00894FB4">
        <w:rPr>
          <w:color w:val="000000" w:themeColor="text1"/>
        </w:rPr>
        <w:t xml:space="preserve">. </w:t>
      </w:r>
      <w:r w:rsidR="008A060C">
        <w:rPr>
          <w:color w:val="000000" w:themeColor="text1"/>
        </w:rPr>
        <w:t>Separate</w:t>
      </w:r>
      <w:r w:rsidR="008A060C" w:rsidRPr="00894FB4">
        <w:rPr>
          <w:color w:val="000000" w:themeColor="text1"/>
        </w:rPr>
        <w:t xml:space="preserve"> </w:t>
      </w:r>
      <w:r w:rsidR="008A060C">
        <w:rPr>
          <w:color w:val="000000" w:themeColor="text1"/>
        </w:rPr>
        <w:t>final</w:t>
      </w:r>
      <w:r w:rsidR="008A060C" w:rsidRPr="00894FB4">
        <w:rPr>
          <w:color w:val="000000" w:themeColor="text1"/>
        </w:rPr>
        <w:t xml:space="preserve"> reports also are necessary for the ABT program since they are a resource for identifying emissions </w:t>
      </w:r>
      <w:r w:rsidR="004B38D7">
        <w:rPr>
          <w:color w:val="000000" w:themeColor="text1"/>
        </w:rPr>
        <w:t xml:space="preserve">and fuel consumption </w:t>
      </w:r>
      <w:r w:rsidR="008A060C" w:rsidRPr="00894FB4">
        <w:rPr>
          <w:color w:val="000000" w:themeColor="text1"/>
        </w:rPr>
        <w:t xml:space="preserve">credits and deficits. </w:t>
      </w:r>
      <w:r w:rsidR="008A060C">
        <w:rPr>
          <w:color w:val="000000" w:themeColor="text1"/>
        </w:rPr>
        <w:t xml:space="preserve"> Box trailer manufacturers that choose to participate in the proposed averaging program and would also be required to submit a separate averaging report.  </w:t>
      </w:r>
    </w:p>
    <w:p w:rsidR="005A63AF" w:rsidRPr="00BF034E" w:rsidRDefault="00894FB4" w:rsidP="00BF034E">
      <w:pPr>
        <w:pStyle w:val="Caption"/>
        <w:rPr>
          <w:color w:val="000000" w:themeColor="text1"/>
          <w:sz w:val="20"/>
          <w:szCs w:val="20"/>
        </w:rPr>
      </w:pPr>
      <w:bookmarkStart w:id="1" w:name="_Ref418854263"/>
      <w:r w:rsidRPr="00BF034E">
        <w:rPr>
          <w:color w:val="000000" w:themeColor="text1"/>
          <w:sz w:val="20"/>
          <w:szCs w:val="20"/>
        </w:rPr>
        <w:t xml:space="preserve">Table </w:t>
      </w:r>
      <w:r w:rsidR="00121BAD" w:rsidRPr="00BF034E">
        <w:rPr>
          <w:color w:val="000000" w:themeColor="text1"/>
          <w:sz w:val="20"/>
          <w:szCs w:val="20"/>
        </w:rPr>
        <w:fldChar w:fldCharType="begin"/>
      </w:r>
      <w:r w:rsidRPr="00BF034E">
        <w:rPr>
          <w:color w:val="000000" w:themeColor="text1"/>
          <w:sz w:val="20"/>
          <w:szCs w:val="20"/>
        </w:rPr>
        <w:instrText xml:space="preserve"> SEQ Table \* ARABIC </w:instrText>
      </w:r>
      <w:r w:rsidR="00121BAD" w:rsidRPr="00BF034E">
        <w:rPr>
          <w:color w:val="000000" w:themeColor="text1"/>
          <w:sz w:val="20"/>
          <w:szCs w:val="20"/>
        </w:rPr>
        <w:fldChar w:fldCharType="separate"/>
      </w:r>
      <w:r w:rsidR="00673E30">
        <w:rPr>
          <w:noProof/>
          <w:color w:val="000000" w:themeColor="text1"/>
          <w:sz w:val="20"/>
          <w:szCs w:val="20"/>
        </w:rPr>
        <w:t>2</w:t>
      </w:r>
      <w:r w:rsidR="00121BAD" w:rsidRPr="00BF034E">
        <w:rPr>
          <w:color w:val="000000" w:themeColor="text1"/>
          <w:sz w:val="20"/>
          <w:szCs w:val="20"/>
        </w:rPr>
        <w:fldChar w:fldCharType="end"/>
      </w:r>
      <w:bookmarkEnd w:id="1"/>
      <w:r w:rsidRPr="00BF034E">
        <w:rPr>
          <w:color w:val="000000" w:themeColor="text1"/>
          <w:sz w:val="20"/>
          <w:szCs w:val="20"/>
        </w:rPr>
        <w:t xml:space="preserve"> Summary of Required Information for Final Reports</w:t>
      </w:r>
    </w:p>
    <w:tbl>
      <w:tblPr>
        <w:tblStyle w:val="TableGrid"/>
        <w:tblW w:w="0" w:type="auto"/>
        <w:tblLook w:val="04A0" w:firstRow="1" w:lastRow="0" w:firstColumn="1" w:lastColumn="0" w:noHBand="0" w:noVBand="1"/>
      </w:tblPr>
      <w:tblGrid>
        <w:gridCol w:w="9350"/>
      </w:tblGrid>
      <w:tr w:rsidR="0079446D" w:rsidRPr="00D049CA" w:rsidTr="00B92F1F">
        <w:tc>
          <w:tcPr>
            <w:tcW w:w="9576" w:type="dxa"/>
          </w:tcPr>
          <w:p w:rsidR="005A63AF" w:rsidRDefault="00894FB4" w:rsidP="00682AA4">
            <w:pPr>
              <w:pStyle w:val="Default3"/>
              <w:keepNext/>
              <w:widowControl w:val="0"/>
              <w:outlineLvl w:val="0"/>
              <w:rPr>
                <w:color w:val="000000" w:themeColor="text1"/>
              </w:rPr>
            </w:pPr>
            <w:r w:rsidRPr="00894FB4">
              <w:rPr>
                <w:color w:val="000000" w:themeColor="text1"/>
              </w:rPr>
              <w:t>Vehicle family or test group designation and averaging set</w:t>
            </w:r>
          </w:p>
        </w:tc>
      </w:tr>
      <w:tr w:rsidR="0079446D" w:rsidRPr="00D049CA" w:rsidTr="00B92F1F">
        <w:tc>
          <w:tcPr>
            <w:tcW w:w="9576" w:type="dxa"/>
          </w:tcPr>
          <w:p w:rsidR="005A63AF" w:rsidRDefault="00894FB4" w:rsidP="00682AA4">
            <w:pPr>
              <w:pStyle w:val="Default3"/>
              <w:keepNext/>
              <w:widowControl w:val="0"/>
              <w:outlineLvl w:val="0"/>
              <w:rPr>
                <w:color w:val="000000" w:themeColor="text1"/>
              </w:rPr>
            </w:pPr>
            <w:r w:rsidRPr="00894FB4">
              <w:rPr>
                <w:color w:val="000000" w:themeColor="text1"/>
              </w:rPr>
              <w:t>Vehicle emissions and fuel consumption standards including any alternative standards used</w:t>
            </w:r>
          </w:p>
        </w:tc>
      </w:tr>
      <w:tr w:rsidR="0079446D" w:rsidRPr="00D049CA" w:rsidTr="00B92F1F">
        <w:tc>
          <w:tcPr>
            <w:tcW w:w="9576" w:type="dxa"/>
          </w:tcPr>
          <w:p w:rsidR="005A63AF" w:rsidRDefault="00894FB4" w:rsidP="00682AA4">
            <w:pPr>
              <w:pStyle w:val="Default3"/>
              <w:keepNext/>
              <w:widowControl w:val="0"/>
              <w:outlineLvl w:val="0"/>
              <w:rPr>
                <w:color w:val="000000" w:themeColor="text1"/>
              </w:rPr>
            </w:pPr>
            <w:r w:rsidRPr="00894FB4">
              <w:rPr>
                <w:color w:val="000000" w:themeColor="text1"/>
              </w:rPr>
              <w:t xml:space="preserve">Vehicle family </w:t>
            </w:r>
            <w:proofErr w:type="spellStart"/>
            <w:r w:rsidRPr="00894FB4">
              <w:rPr>
                <w:color w:val="000000" w:themeColor="text1"/>
              </w:rPr>
              <w:t>FELs</w:t>
            </w:r>
            <w:proofErr w:type="spellEnd"/>
          </w:p>
        </w:tc>
      </w:tr>
      <w:tr w:rsidR="0079446D" w:rsidRPr="00D049CA" w:rsidTr="00B92F1F">
        <w:tc>
          <w:tcPr>
            <w:tcW w:w="9576" w:type="dxa"/>
          </w:tcPr>
          <w:p w:rsidR="005A63AF" w:rsidRDefault="00894FB4" w:rsidP="00682AA4">
            <w:pPr>
              <w:pStyle w:val="Default3"/>
              <w:keepNext/>
              <w:widowControl w:val="0"/>
              <w:outlineLvl w:val="0"/>
              <w:rPr>
                <w:color w:val="000000" w:themeColor="text1"/>
              </w:rPr>
            </w:pPr>
            <w:r w:rsidRPr="00894FB4">
              <w:rPr>
                <w:color w:val="000000" w:themeColor="text1"/>
              </w:rPr>
              <w:t>Final production volumes</w:t>
            </w:r>
          </w:p>
        </w:tc>
      </w:tr>
      <w:tr w:rsidR="0079446D" w:rsidRPr="00D049CA" w:rsidTr="00B92F1F">
        <w:tc>
          <w:tcPr>
            <w:tcW w:w="9576" w:type="dxa"/>
          </w:tcPr>
          <w:p w:rsidR="005A63AF" w:rsidRDefault="00894FB4" w:rsidP="00682AA4">
            <w:pPr>
              <w:pStyle w:val="Default3"/>
              <w:keepNext/>
              <w:widowControl w:val="0"/>
              <w:outlineLvl w:val="0"/>
              <w:rPr>
                <w:color w:val="000000" w:themeColor="text1"/>
              </w:rPr>
            </w:pPr>
            <w:r w:rsidRPr="00894FB4">
              <w:rPr>
                <w:color w:val="000000" w:themeColor="text1"/>
              </w:rPr>
              <w:t>Certified test cycles</w:t>
            </w:r>
          </w:p>
        </w:tc>
      </w:tr>
      <w:tr w:rsidR="0079446D" w:rsidRPr="00D049CA" w:rsidTr="00B92F1F">
        <w:tc>
          <w:tcPr>
            <w:tcW w:w="9576" w:type="dxa"/>
          </w:tcPr>
          <w:p w:rsidR="005A63AF" w:rsidRDefault="00894FB4" w:rsidP="00682AA4">
            <w:pPr>
              <w:pStyle w:val="Default3"/>
              <w:keepNext/>
              <w:widowControl w:val="0"/>
              <w:outlineLvl w:val="0"/>
              <w:rPr>
                <w:color w:val="000000" w:themeColor="text1"/>
              </w:rPr>
            </w:pPr>
            <w:r w:rsidRPr="00894FB4">
              <w:rPr>
                <w:color w:val="000000" w:themeColor="text1"/>
              </w:rPr>
              <w:t>A credit plan identifying the manufacturers actual credit balances, credit flexibilities, credit trades and a credit deficit plan if needed demonstrating how it plans to resolve any credit deficits that might occur for a model year within a period of up to three model years after that deficit has occurred</w:t>
            </w:r>
          </w:p>
        </w:tc>
      </w:tr>
      <w:tr w:rsidR="0079446D" w:rsidRPr="00D049CA" w:rsidTr="00B92F1F">
        <w:tc>
          <w:tcPr>
            <w:tcW w:w="9576" w:type="dxa"/>
          </w:tcPr>
          <w:p w:rsidR="005A63AF" w:rsidRDefault="00894FB4" w:rsidP="00682AA4">
            <w:pPr>
              <w:pStyle w:val="Default3"/>
              <w:keepNext/>
              <w:widowControl w:val="0"/>
              <w:outlineLvl w:val="0"/>
              <w:rPr>
                <w:color w:val="000000" w:themeColor="text1"/>
              </w:rPr>
            </w:pPr>
            <w:r w:rsidRPr="00894FB4">
              <w:rPr>
                <w:color w:val="000000" w:themeColor="text1"/>
              </w:rPr>
              <w:t>A plan describing the vehicles that were exempted such as for off-road or small business purposes</w:t>
            </w:r>
          </w:p>
        </w:tc>
      </w:tr>
      <w:tr w:rsidR="0079446D" w:rsidRPr="00D049CA" w:rsidTr="00B92F1F">
        <w:tc>
          <w:tcPr>
            <w:tcW w:w="9576" w:type="dxa"/>
          </w:tcPr>
          <w:p w:rsidR="005A63AF" w:rsidRDefault="00894FB4" w:rsidP="00682AA4">
            <w:pPr>
              <w:pStyle w:val="Default3"/>
              <w:keepNext/>
              <w:widowControl w:val="0"/>
              <w:outlineLvl w:val="0"/>
              <w:rPr>
                <w:color w:val="000000" w:themeColor="text1"/>
              </w:rPr>
            </w:pPr>
            <w:r w:rsidRPr="00894FB4">
              <w:rPr>
                <w:color w:val="000000" w:themeColor="text1"/>
              </w:rPr>
              <w:t>A plan describing any alternative fueled vehicles that were produced for the model year identifying the approaches used to determinate compliance and the production volumes</w:t>
            </w:r>
          </w:p>
        </w:tc>
      </w:tr>
    </w:tbl>
    <w:p w:rsidR="002D5924" w:rsidRPr="00D049CA" w:rsidRDefault="00894FB4" w:rsidP="00A33718">
      <w:pPr>
        <w:widowControl/>
        <w:rPr>
          <w:color w:val="000000" w:themeColor="text1"/>
        </w:rPr>
      </w:pPr>
      <w:r w:rsidRPr="00894FB4">
        <w:rPr>
          <w:color w:val="000000" w:themeColor="text1"/>
        </w:rPr>
        <w:t xml:space="preserve">In addition, all manufacturers would be required to retain records per the provisions in 40 CFR parts </w:t>
      </w:r>
      <w:r w:rsidR="00114EA4">
        <w:rPr>
          <w:color w:val="000000" w:themeColor="text1"/>
        </w:rPr>
        <w:t xml:space="preserve">86, </w:t>
      </w:r>
      <w:r w:rsidRPr="00894FB4">
        <w:rPr>
          <w:color w:val="000000" w:themeColor="text1"/>
        </w:rPr>
        <w:t>1036</w:t>
      </w:r>
      <w:r w:rsidR="00114EA4">
        <w:rPr>
          <w:color w:val="000000" w:themeColor="text1"/>
        </w:rPr>
        <w:t>,</w:t>
      </w:r>
      <w:r w:rsidRPr="00894FB4">
        <w:rPr>
          <w:color w:val="000000" w:themeColor="text1"/>
        </w:rPr>
        <w:t xml:space="preserve"> and 1037, </w:t>
      </w:r>
      <w:r w:rsidR="00714020">
        <w:rPr>
          <w:color w:val="000000" w:themeColor="text1"/>
        </w:rPr>
        <w:t xml:space="preserve">and 49 CFR Part 535.8 </w:t>
      </w:r>
      <w:r w:rsidRPr="00894FB4">
        <w:rPr>
          <w:color w:val="000000" w:themeColor="text1"/>
        </w:rPr>
        <w:t xml:space="preserve">as outlined in </w:t>
      </w:r>
      <w:r w:rsidR="007112DA">
        <w:fldChar w:fldCharType="begin"/>
      </w:r>
      <w:r w:rsidR="007112DA">
        <w:instrText xml:space="preserve"> REF _Ref418854233 \h  \* MERGEFORMAT </w:instrText>
      </w:r>
      <w:r w:rsidR="007112DA">
        <w:fldChar w:fldCharType="separate"/>
      </w:r>
      <w:r w:rsidR="00673E30" w:rsidRPr="00673E30">
        <w:rPr>
          <w:color w:val="000000" w:themeColor="text1"/>
        </w:rPr>
        <w:t>Table 3</w:t>
      </w:r>
      <w:r w:rsidR="007112DA">
        <w:fldChar w:fldCharType="end"/>
      </w:r>
      <w:r w:rsidRPr="00894FB4">
        <w:rPr>
          <w:color w:val="000000" w:themeColor="text1"/>
        </w:rPr>
        <w:t xml:space="preserve">.  The record retention requirements for engine, HD pickup truck, vocational chassis, and tractor </w:t>
      </w:r>
      <w:r w:rsidRPr="00894FB4">
        <w:rPr>
          <w:color w:val="000000" w:themeColor="text1"/>
        </w:rPr>
        <w:lastRenderedPageBreak/>
        <w:t xml:space="preserve">manufacturers in years 2017 through 2019 would be identical to the Phase 1 requirements.  The record retention requirements for trailer manufacturers would be required beginning with the 2018 model year.   </w:t>
      </w:r>
    </w:p>
    <w:p w:rsidR="005A63AF" w:rsidRPr="00BF034E" w:rsidRDefault="00894FB4" w:rsidP="00BF034E">
      <w:pPr>
        <w:pStyle w:val="Caption"/>
        <w:rPr>
          <w:color w:val="000000" w:themeColor="text1"/>
          <w:sz w:val="20"/>
          <w:szCs w:val="20"/>
        </w:rPr>
      </w:pPr>
      <w:bookmarkStart w:id="2" w:name="_Ref418854233"/>
      <w:r w:rsidRPr="00BF034E">
        <w:rPr>
          <w:color w:val="000000" w:themeColor="text1"/>
          <w:sz w:val="20"/>
          <w:szCs w:val="20"/>
        </w:rPr>
        <w:t xml:space="preserve">Table </w:t>
      </w:r>
      <w:r w:rsidR="00121BAD" w:rsidRPr="00BF034E">
        <w:rPr>
          <w:color w:val="000000" w:themeColor="text1"/>
          <w:sz w:val="20"/>
          <w:szCs w:val="20"/>
        </w:rPr>
        <w:fldChar w:fldCharType="begin"/>
      </w:r>
      <w:r w:rsidRPr="00BF034E">
        <w:rPr>
          <w:color w:val="000000" w:themeColor="text1"/>
          <w:sz w:val="20"/>
          <w:szCs w:val="20"/>
        </w:rPr>
        <w:instrText xml:space="preserve"> SEQ Table \* ARABIC </w:instrText>
      </w:r>
      <w:r w:rsidR="00121BAD" w:rsidRPr="00BF034E">
        <w:rPr>
          <w:color w:val="000000" w:themeColor="text1"/>
          <w:sz w:val="20"/>
          <w:szCs w:val="20"/>
        </w:rPr>
        <w:fldChar w:fldCharType="separate"/>
      </w:r>
      <w:r w:rsidR="00673E30">
        <w:rPr>
          <w:noProof/>
          <w:color w:val="000000" w:themeColor="text1"/>
          <w:sz w:val="20"/>
          <w:szCs w:val="20"/>
        </w:rPr>
        <w:t>3</w:t>
      </w:r>
      <w:r w:rsidR="00121BAD" w:rsidRPr="00BF034E">
        <w:rPr>
          <w:color w:val="000000" w:themeColor="text1"/>
          <w:sz w:val="20"/>
          <w:szCs w:val="20"/>
        </w:rPr>
        <w:fldChar w:fldCharType="end"/>
      </w:r>
      <w:bookmarkEnd w:id="2"/>
      <w:r w:rsidRPr="00BF034E">
        <w:rPr>
          <w:color w:val="000000" w:themeColor="text1"/>
          <w:sz w:val="20"/>
          <w:szCs w:val="20"/>
        </w:rPr>
        <w:t xml:space="preserve"> Key Recordkeeping requirements, HD National Certification Program</w:t>
      </w:r>
    </w:p>
    <w:tbl>
      <w:tblPr>
        <w:tblStyle w:val="TableGrid"/>
        <w:tblW w:w="9360" w:type="dxa"/>
        <w:jc w:val="center"/>
        <w:tblLayout w:type="fixed"/>
        <w:tblCellMar>
          <w:top w:w="14" w:type="dxa"/>
          <w:left w:w="72" w:type="dxa"/>
          <w:bottom w:w="14" w:type="dxa"/>
          <w:right w:w="72" w:type="dxa"/>
        </w:tblCellMar>
        <w:tblLook w:val="0000" w:firstRow="0" w:lastRow="0" w:firstColumn="0" w:lastColumn="0" w:noHBand="0" w:noVBand="0"/>
      </w:tblPr>
      <w:tblGrid>
        <w:gridCol w:w="3960"/>
        <w:gridCol w:w="1800"/>
        <w:gridCol w:w="1800"/>
        <w:gridCol w:w="1800"/>
      </w:tblGrid>
      <w:tr w:rsidR="00114EA4" w:rsidRPr="00D049CA" w:rsidTr="00A33718">
        <w:trPr>
          <w:trHeight w:val="633"/>
          <w:jc w:val="center"/>
        </w:trPr>
        <w:tc>
          <w:tcPr>
            <w:tcW w:w="3960" w:type="dxa"/>
          </w:tcPr>
          <w:p w:rsidR="00114EA4" w:rsidRDefault="00114EA4" w:rsidP="00BF034E">
            <w:pPr>
              <w:pStyle w:val="Default3"/>
              <w:keepNext/>
              <w:widowControl w:val="0"/>
              <w:outlineLvl w:val="0"/>
              <w:rPr>
                <w:color w:val="000000" w:themeColor="text1"/>
              </w:rPr>
            </w:pPr>
            <w:r w:rsidRPr="00894FB4">
              <w:rPr>
                <w:color w:val="000000" w:themeColor="text1"/>
              </w:rPr>
              <w:t xml:space="preserve">Information </w:t>
            </w:r>
            <w:proofErr w:type="spellStart"/>
            <w:r w:rsidRPr="00894FB4">
              <w:rPr>
                <w:color w:val="000000" w:themeColor="text1"/>
              </w:rPr>
              <w:t>Item</w:t>
            </w:r>
            <w:r w:rsidR="00BF034E" w:rsidRPr="00A33718">
              <w:rPr>
                <w:color w:val="000000" w:themeColor="text1"/>
                <w:vertAlign w:val="superscript"/>
              </w:rPr>
              <w:t>a</w:t>
            </w:r>
            <w:proofErr w:type="spellEnd"/>
          </w:p>
        </w:tc>
        <w:tc>
          <w:tcPr>
            <w:tcW w:w="1800" w:type="dxa"/>
          </w:tcPr>
          <w:p w:rsidR="00114EA4" w:rsidRDefault="00114EA4" w:rsidP="00C36757">
            <w:pPr>
              <w:pStyle w:val="Default3"/>
              <w:keepNext/>
              <w:widowControl w:val="0"/>
              <w:outlineLvl w:val="0"/>
              <w:rPr>
                <w:color w:val="000000" w:themeColor="text1"/>
              </w:rPr>
            </w:pPr>
            <w:r w:rsidRPr="00894FB4">
              <w:rPr>
                <w:color w:val="000000" w:themeColor="text1"/>
              </w:rPr>
              <w:t xml:space="preserve">Engine </w:t>
            </w:r>
          </w:p>
          <w:p w:rsidR="00114EA4" w:rsidRDefault="00114EA4" w:rsidP="00C36757">
            <w:pPr>
              <w:pStyle w:val="Default3"/>
              <w:keepNext/>
              <w:widowControl w:val="0"/>
              <w:outlineLvl w:val="0"/>
              <w:rPr>
                <w:color w:val="000000" w:themeColor="text1"/>
              </w:rPr>
            </w:pPr>
            <w:r w:rsidRPr="00894FB4">
              <w:rPr>
                <w:color w:val="000000" w:themeColor="text1"/>
              </w:rPr>
              <w:t xml:space="preserve">Manufacturers </w:t>
            </w:r>
          </w:p>
        </w:tc>
        <w:tc>
          <w:tcPr>
            <w:tcW w:w="1800" w:type="dxa"/>
          </w:tcPr>
          <w:p w:rsidR="00114EA4" w:rsidRDefault="00114EA4" w:rsidP="00C36757">
            <w:pPr>
              <w:pStyle w:val="Default3"/>
              <w:keepNext/>
              <w:widowControl w:val="0"/>
              <w:outlineLvl w:val="0"/>
              <w:rPr>
                <w:color w:val="000000" w:themeColor="text1"/>
              </w:rPr>
            </w:pPr>
            <w:r w:rsidRPr="00894FB4">
              <w:rPr>
                <w:color w:val="000000" w:themeColor="text1"/>
              </w:rPr>
              <w:t xml:space="preserve">Vehicle </w:t>
            </w:r>
          </w:p>
          <w:p w:rsidR="00114EA4" w:rsidRDefault="00114EA4" w:rsidP="00BF034E">
            <w:pPr>
              <w:pStyle w:val="Default3"/>
              <w:keepNext/>
              <w:widowControl w:val="0"/>
              <w:outlineLvl w:val="0"/>
              <w:rPr>
                <w:color w:val="000000" w:themeColor="text1"/>
              </w:rPr>
            </w:pPr>
            <w:proofErr w:type="spellStart"/>
            <w:r w:rsidRPr="00894FB4">
              <w:rPr>
                <w:color w:val="000000" w:themeColor="text1"/>
              </w:rPr>
              <w:t>Manufacturers</w:t>
            </w:r>
            <w:r w:rsidR="00BF034E">
              <w:rPr>
                <w:color w:val="000000" w:themeColor="text1"/>
                <w:vertAlign w:val="superscript"/>
              </w:rPr>
              <w:t>b</w:t>
            </w:r>
            <w:proofErr w:type="spellEnd"/>
          </w:p>
        </w:tc>
        <w:tc>
          <w:tcPr>
            <w:tcW w:w="1800" w:type="dxa"/>
          </w:tcPr>
          <w:p w:rsidR="00114EA4" w:rsidRPr="00894FB4" w:rsidRDefault="00114EA4" w:rsidP="00C36757">
            <w:pPr>
              <w:pStyle w:val="Default3"/>
              <w:keepNext/>
              <w:widowControl w:val="0"/>
              <w:outlineLvl w:val="0"/>
              <w:rPr>
                <w:color w:val="000000" w:themeColor="text1"/>
              </w:rPr>
            </w:pPr>
            <w:r>
              <w:rPr>
                <w:color w:val="000000" w:themeColor="text1"/>
              </w:rPr>
              <w:t>Pickup Truck and Van Manufacturers</w:t>
            </w:r>
          </w:p>
        </w:tc>
      </w:tr>
      <w:tr w:rsidR="00114EA4" w:rsidRPr="00D049CA" w:rsidTr="00A33718">
        <w:trPr>
          <w:trHeight w:val="300"/>
          <w:jc w:val="center"/>
        </w:trPr>
        <w:tc>
          <w:tcPr>
            <w:tcW w:w="3960" w:type="dxa"/>
          </w:tcPr>
          <w:p w:rsidR="00114EA4" w:rsidRDefault="00114EA4" w:rsidP="00114EA4">
            <w:pPr>
              <w:pStyle w:val="Default3"/>
              <w:rPr>
                <w:color w:val="000000" w:themeColor="text1"/>
              </w:rPr>
            </w:pPr>
            <w:r w:rsidRPr="00894FB4">
              <w:rPr>
                <w:color w:val="000000" w:themeColor="text1"/>
              </w:rPr>
              <w:t xml:space="preserve">General records:  </w:t>
            </w:r>
            <w:r w:rsidRPr="00894FB4">
              <w:rPr>
                <w:color w:val="000000" w:themeColor="text1"/>
              </w:rPr>
              <w:tab/>
            </w:r>
          </w:p>
        </w:tc>
        <w:tc>
          <w:tcPr>
            <w:tcW w:w="1800" w:type="dxa"/>
            <w:vMerge w:val="restart"/>
          </w:tcPr>
          <w:p w:rsidR="00114EA4" w:rsidRDefault="00114EA4" w:rsidP="004E2E20">
            <w:pPr>
              <w:pStyle w:val="Default3"/>
              <w:widowControl w:val="0"/>
              <w:rPr>
                <w:color w:val="000000" w:themeColor="text1"/>
              </w:rPr>
            </w:pPr>
            <w:r w:rsidRPr="00894FB4">
              <w:rPr>
                <w:color w:val="000000" w:themeColor="text1"/>
              </w:rPr>
              <w:t>40 CFR 1036.205</w:t>
            </w:r>
            <w:r w:rsidR="004E2E20">
              <w:rPr>
                <w:color w:val="000000" w:themeColor="text1"/>
              </w:rPr>
              <w:t xml:space="preserve"> and 1036.735</w:t>
            </w:r>
          </w:p>
        </w:tc>
        <w:tc>
          <w:tcPr>
            <w:tcW w:w="1800" w:type="dxa"/>
            <w:vMerge w:val="restart"/>
          </w:tcPr>
          <w:p w:rsidR="00114EA4" w:rsidRDefault="00114EA4" w:rsidP="00114EA4">
            <w:pPr>
              <w:pStyle w:val="Default3"/>
              <w:widowControl w:val="0"/>
              <w:rPr>
                <w:color w:val="000000" w:themeColor="text1"/>
              </w:rPr>
            </w:pPr>
            <w:r w:rsidRPr="00894FB4">
              <w:rPr>
                <w:color w:val="000000" w:themeColor="text1"/>
              </w:rPr>
              <w:t>40 CFR 1037.205</w:t>
            </w:r>
            <w:r w:rsidR="004E2E20">
              <w:rPr>
                <w:color w:val="000000" w:themeColor="text1"/>
              </w:rPr>
              <w:t xml:space="preserve"> and 1037.735</w:t>
            </w:r>
          </w:p>
        </w:tc>
        <w:tc>
          <w:tcPr>
            <w:tcW w:w="1800" w:type="dxa"/>
            <w:vMerge w:val="restart"/>
          </w:tcPr>
          <w:p w:rsidR="00114EA4" w:rsidRPr="00894FB4" w:rsidRDefault="00114EA4" w:rsidP="00114EA4">
            <w:pPr>
              <w:pStyle w:val="Default3"/>
              <w:widowControl w:val="0"/>
              <w:rPr>
                <w:color w:val="000000" w:themeColor="text1"/>
              </w:rPr>
            </w:pPr>
            <w:r w:rsidRPr="00894FB4">
              <w:rPr>
                <w:color w:val="000000" w:themeColor="text1"/>
              </w:rPr>
              <w:t xml:space="preserve">40 CFR </w:t>
            </w:r>
            <w:r>
              <w:rPr>
                <w:color w:val="000000" w:themeColor="text1"/>
              </w:rPr>
              <w:t>86.1844-01</w:t>
            </w:r>
          </w:p>
        </w:tc>
      </w:tr>
      <w:tr w:rsidR="00114EA4" w:rsidRPr="00D049CA" w:rsidTr="00A33718">
        <w:trPr>
          <w:trHeight w:val="585"/>
          <w:jc w:val="center"/>
        </w:trPr>
        <w:tc>
          <w:tcPr>
            <w:tcW w:w="3960" w:type="dxa"/>
          </w:tcPr>
          <w:p w:rsidR="00114EA4" w:rsidRDefault="00114EA4" w:rsidP="00114EA4">
            <w:pPr>
              <w:pStyle w:val="Default3"/>
              <w:rPr>
                <w:color w:val="000000" w:themeColor="text1"/>
              </w:rPr>
            </w:pPr>
            <w:r w:rsidRPr="00894FB4">
              <w:rPr>
                <w:color w:val="000000" w:themeColor="text1"/>
              </w:rPr>
              <w:t xml:space="preserve">Identification and description of all engines and vehicles for which testing is required </w:t>
            </w:r>
          </w:p>
        </w:tc>
        <w:tc>
          <w:tcPr>
            <w:tcW w:w="1800" w:type="dxa"/>
            <w:vMerge/>
          </w:tcPr>
          <w:p w:rsidR="00114EA4" w:rsidRDefault="00114EA4" w:rsidP="00114EA4">
            <w:pPr>
              <w:pStyle w:val="Default3"/>
              <w:widowControl w:val="0"/>
              <w:ind w:firstLine="720"/>
              <w:rPr>
                <w:color w:val="000000" w:themeColor="text1"/>
              </w:rPr>
            </w:pPr>
          </w:p>
        </w:tc>
        <w:tc>
          <w:tcPr>
            <w:tcW w:w="1800" w:type="dxa"/>
            <w:vMerge/>
          </w:tcPr>
          <w:p w:rsidR="00114EA4" w:rsidRDefault="00114EA4" w:rsidP="00114EA4">
            <w:pPr>
              <w:pStyle w:val="Default3"/>
              <w:widowControl w:val="0"/>
              <w:ind w:firstLine="720"/>
              <w:rPr>
                <w:color w:val="000000" w:themeColor="text1"/>
              </w:rPr>
            </w:pPr>
          </w:p>
        </w:tc>
        <w:tc>
          <w:tcPr>
            <w:tcW w:w="1800" w:type="dxa"/>
            <w:vMerge/>
          </w:tcPr>
          <w:p w:rsidR="00114EA4" w:rsidRDefault="00114EA4" w:rsidP="00114EA4">
            <w:pPr>
              <w:pStyle w:val="Default3"/>
              <w:widowControl w:val="0"/>
              <w:ind w:firstLine="720"/>
              <w:rPr>
                <w:color w:val="000000" w:themeColor="text1"/>
              </w:rPr>
            </w:pPr>
          </w:p>
        </w:tc>
      </w:tr>
      <w:tr w:rsidR="00114EA4" w:rsidRPr="00D049CA" w:rsidTr="00A33718">
        <w:trPr>
          <w:trHeight w:val="396"/>
          <w:jc w:val="center"/>
        </w:trPr>
        <w:tc>
          <w:tcPr>
            <w:tcW w:w="3960" w:type="dxa"/>
          </w:tcPr>
          <w:p w:rsidR="00114EA4" w:rsidRDefault="00114EA4" w:rsidP="00114EA4">
            <w:pPr>
              <w:pStyle w:val="Default3"/>
              <w:rPr>
                <w:color w:val="000000" w:themeColor="text1"/>
              </w:rPr>
            </w:pPr>
            <w:r w:rsidRPr="00894FB4">
              <w:rPr>
                <w:color w:val="000000" w:themeColor="text1"/>
              </w:rPr>
              <w:t>Description of emission control system</w:t>
            </w:r>
          </w:p>
        </w:tc>
        <w:tc>
          <w:tcPr>
            <w:tcW w:w="1800" w:type="dxa"/>
            <w:vMerge/>
          </w:tcPr>
          <w:p w:rsidR="00114EA4" w:rsidRDefault="00114EA4" w:rsidP="00114EA4">
            <w:pPr>
              <w:pStyle w:val="Default3"/>
              <w:widowControl w:val="0"/>
              <w:ind w:firstLine="720"/>
              <w:rPr>
                <w:color w:val="000000" w:themeColor="text1"/>
              </w:rPr>
            </w:pPr>
          </w:p>
        </w:tc>
        <w:tc>
          <w:tcPr>
            <w:tcW w:w="1800" w:type="dxa"/>
            <w:vMerge/>
          </w:tcPr>
          <w:p w:rsidR="00114EA4" w:rsidRDefault="00114EA4" w:rsidP="00114EA4">
            <w:pPr>
              <w:pStyle w:val="Default3"/>
              <w:widowControl w:val="0"/>
              <w:ind w:firstLine="720"/>
              <w:rPr>
                <w:color w:val="000000" w:themeColor="text1"/>
              </w:rPr>
            </w:pPr>
          </w:p>
        </w:tc>
        <w:tc>
          <w:tcPr>
            <w:tcW w:w="1800" w:type="dxa"/>
            <w:vMerge/>
          </w:tcPr>
          <w:p w:rsidR="00114EA4" w:rsidRDefault="00114EA4" w:rsidP="00114EA4">
            <w:pPr>
              <w:pStyle w:val="Default3"/>
              <w:widowControl w:val="0"/>
              <w:ind w:firstLine="720"/>
              <w:rPr>
                <w:color w:val="000000" w:themeColor="text1"/>
              </w:rPr>
            </w:pPr>
          </w:p>
        </w:tc>
      </w:tr>
      <w:tr w:rsidR="00114EA4" w:rsidRPr="00D049CA" w:rsidTr="00A33718">
        <w:trPr>
          <w:trHeight w:val="396"/>
          <w:jc w:val="center"/>
        </w:trPr>
        <w:tc>
          <w:tcPr>
            <w:tcW w:w="3960" w:type="dxa"/>
          </w:tcPr>
          <w:p w:rsidR="00114EA4" w:rsidRDefault="00114EA4" w:rsidP="00114EA4">
            <w:pPr>
              <w:pStyle w:val="Default3"/>
              <w:rPr>
                <w:color w:val="000000" w:themeColor="text1"/>
              </w:rPr>
            </w:pPr>
            <w:r w:rsidRPr="00894FB4">
              <w:rPr>
                <w:color w:val="000000" w:themeColor="text1"/>
              </w:rPr>
              <w:t xml:space="preserve">Description of test procedures and supporting documents demonstrating compliance </w:t>
            </w:r>
          </w:p>
        </w:tc>
        <w:tc>
          <w:tcPr>
            <w:tcW w:w="1800" w:type="dxa"/>
            <w:vMerge/>
          </w:tcPr>
          <w:p w:rsidR="00114EA4" w:rsidRDefault="00114EA4" w:rsidP="00114EA4">
            <w:pPr>
              <w:pStyle w:val="Default3"/>
              <w:widowControl w:val="0"/>
              <w:ind w:firstLine="720"/>
              <w:rPr>
                <w:color w:val="000000" w:themeColor="text1"/>
              </w:rPr>
            </w:pPr>
          </w:p>
        </w:tc>
        <w:tc>
          <w:tcPr>
            <w:tcW w:w="1800" w:type="dxa"/>
            <w:vMerge/>
          </w:tcPr>
          <w:p w:rsidR="00114EA4" w:rsidRDefault="00114EA4" w:rsidP="00114EA4">
            <w:pPr>
              <w:pStyle w:val="Default3"/>
              <w:widowControl w:val="0"/>
              <w:ind w:firstLine="720"/>
              <w:rPr>
                <w:color w:val="000000" w:themeColor="text1"/>
              </w:rPr>
            </w:pPr>
          </w:p>
        </w:tc>
        <w:tc>
          <w:tcPr>
            <w:tcW w:w="1800" w:type="dxa"/>
            <w:vMerge/>
          </w:tcPr>
          <w:p w:rsidR="00114EA4" w:rsidRDefault="00114EA4" w:rsidP="00114EA4">
            <w:pPr>
              <w:pStyle w:val="Default3"/>
              <w:widowControl w:val="0"/>
              <w:ind w:firstLine="720"/>
              <w:rPr>
                <w:color w:val="000000" w:themeColor="text1"/>
              </w:rPr>
            </w:pPr>
          </w:p>
        </w:tc>
      </w:tr>
      <w:tr w:rsidR="00114EA4" w:rsidRPr="00D049CA" w:rsidTr="00A33718">
        <w:trPr>
          <w:trHeight w:val="300"/>
          <w:jc w:val="center"/>
        </w:trPr>
        <w:tc>
          <w:tcPr>
            <w:tcW w:w="3960" w:type="dxa"/>
          </w:tcPr>
          <w:p w:rsidR="00114EA4" w:rsidRDefault="00114EA4" w:rsidP="00114EA4">
            <w:pPr>
              <w:pStyle w:val="Default3"/>
              <w:rPr>
                <w:color w:val="000000" w:themeColor="text1"/>
              </w:rPr>
            </w:pPr>
            <w:r w:rsidRPr="00894FB4">
              <w:rPr>
                <w:color w:val="000000" w:themeColor="text1"/>
              </w:rPr>
              <w:t xml:space="preserve">Individual Records: </w:t>
            </w:r>
          </w:p>
        </w:tc>
        <w:tc>
          <w:tcPr>
            <w:tcW w:w="1800" w:type="dxa"/>
            <w:vMerge w:val="restart"/>
          </w:tcPr>
          <w:p w:rsidR="00114EA4" w:rsidRDefault="00114EA4" w:rsidP="00114EA4">
            <w:pPr>
              <w:pStyle w:val="Default3"/>
              <w:widowControl w:val="0"/>
              <w:rPr>
                <w:color w:val="000000" w:themeColor="text1"/>
              </w:rPr>
            </w:pPr>
            <w:r w:rsidRPr="00894FB4">
              <w:rPr>
                <w:color w:val="000000" w:themeColor="text1"/>
              </w:rPr>
              <w:t>40 CFR 1036.</w:t>
            </w:r>
            <w:r>
              <w:rPr>
                <w:color w:val="000000" w:themeColor="text1"/>
              </w:rPr>
              <w:t>250</w:t>
            </w:r>
          </w:p>
        </w:tc>
        <w:tc>
          <w:tcPr>
            <w:tcW w:w="1800" w:type="dxa"/>
            <w:vMerge w:val="restart"/>
          </w:tcPr>
          <w:p w:rsidR="00114EA4" w:rsidRDefault="00114EA4" w:rsidP="00114EA4">
            <w:pPr>
              <w:pStyle w:val="Default3"/>
              <w:widowControl w:val="0"/>
              <w:rPr>
                <w:color w:val="000000" w:themeColor="text1"/>
              </w:rPr>
            </w:pPr>
            <w:r w:rsidRPr="00894FB4">
              <w:rPr>
                <w:color w:val="000000" w:themeColor="text1"/>
              </w:rPr>
              <w:t>40 CFR 1037.</w:t>
            </w:r>
            <w:r>
              <w:rPr>
                <w:color w:val="000000" w:themeColor="text1"/>
              </w:rPr>
              <w:t>250</w:t>
            </w:r>
          </w:p>
        </w:tc>
        <w:tc>
          <w:tcPr>
            <w:tcW w:w="1800" w:type="dxa"/>
            <w:vMerge w:val="restart"/>
          </w:tcPr>
          <w:p w:rsidR="00114EA4" w:rsidRPr="00894FB4" w:rsidRDefault="00114EA4" w:rsidP="00114EA4">
            <w:pPr>
              <w:pStyle w:val="Default3"/>
              <w:widowControl w:val="0"/>
              <w:rPr>
                <w:color w:val="000000" w:themeColor="text1"/>
              </w:rPr>
            </w:pPr>
            <w:r>
              <w:rPr>
                <w:color w:val="000000" w:themeColor="text1"/>
              </w:rPr>
              <w:t>40 CFR 86.1844-01</w:t>
            </w:r>
          </w:p>
        </w:tc>
      </w:tr>
      <w:tr w:rsidR="00114EA4" w:rsidRPr="00D049CA" w:rsidTr="00A33718">
        <w:trPr>
          <w:trHeight w:val="300"/>
          <w:jc w:val="center"/>
        </w:trPr>
        <w:tc>
          <w:tcPr>
            <w:tcW w:w="3960" w:type="dxa"/>
          </w:tcPr>
          <w:p w:rsidR="00114EA4" w:rsidRDefault="00114EA4" w:rsidP="00114EA4">
            <w:pPr>
              <w:pStyle w:val="Default3"/>
              <w:rPr>
                <w:color w:val="000000" w:themeColor="text1"/>
              </w:rPr>
            </w:pPr>
            <w:r w:rsidRPr="00894FB4">
              <w:rPr>
                <w:color w:val="000000" w:themeColor="text1"/>
              </w:rPr>
              <w:t xml:space="preserve">Copies of all applications submitted </w:t>
            </w:r>
          </w:p>
        </w:tc>
        <w:tc>
          <w:tcPr>
            <w:tcW w:w="1800" w:type="dxa"/>
            <w:vMerge/>
          </w:tcPr>
          <w:p w:rsidR="00114EA4" w:rsidRDefault="00114EA4" w:rsidP="00114EA4">
            <w:pPr>
              <w:pStyle w:val="Default3"/>
              <w:widowControl w:val="0"/>
              <w:ind w:firstLine="720"/>
              <w:rPr>
                <w:color w:val="000000" w:themeColor="text1"/>
              </w:rPr>
            </w:pPr>
          </w:p>
        </w:tc>
        <w:tc>
          <w:tcPr>
            <w:tcW w:w="1800" w:type="dxa"/>
            <w:vMerge/>
          </w:tcPr>
          <w:p w:rsidR="00114EA4" w:rsidRDefault="00114EA4" w:rsidP="00114EA4">
            <w:pPr>
              <w:pStyle w:val="Default3"/>
              <w:widowControl w:val="0"/>
              <w:ind w:firstLine="720"/>
              <w:rPr>
                <w:color w:val="000000" w:themeColor="text1"/>
              </w:rPr>
            </w:pPr>
          </w:p>
        </w:tc>
        <w:tc>
          <w:tcPr>
            <w:tcW w:w="1800" w:type="dxa"/>
            <w:vMerge/>
          </w:tcPr>
          <w:p w:rsidR="00114EA4" w:rsidRDefault="00114EA4" w:rsidP="00114EA4">
            <w:pPr>
              <w:pStyle w:val="Default3"/>
              <w:widowControl w:val="0"/>
              <w:ind w:firstLine="720"/>
              <w:rPr>
                <w:color w:val="000000" w:themeColor="text1"/>
              </w:rPr>
            </w:pPr>
          </w:p>
        </w:tc>
      </w:tr>
      <w:tr w:rsidR="00114EA4" w:rsidRPr="00D049CA" w:rsidTr="00A33718">
        <w:trPr>
          <w:trHeight w:val="300"/>
          <w:jc w:val="center"/>
        </w:trPr>
        <w:tc>
          <w:tcPr>
            <w:tcW w:w="3960" w:type="dxa"/>
          </w:tcPr>
          <w:p w:rsidR="00114EA4" w:rsidRDefault="00114EA4" w:rsidP="00114EA4">
            <w:pPr>
              <w:pStyle w:val="Default3"/>
              <w:rPr>
                <w:color w:val="000000" w:themeColor="text1"/>
              </w:rPr>
            </w:pPr>
            <w:r w:rsidRPr="00894FB4">
              <w:rPr>
                <w:color w:val="000000" w:themeColor="text1"/>
              </w:rPr>
              <w:t xml:space="preserve">Test records, instructions and other data provided to or received from other manufacturers (for example:  emissions-related engine installation instructions, instructions for air conditioning installation, etc.) </w:t>
            </w:r>
          </w:p>
        </w:tc>
        <w:tc>
          <w:tcPr>
            <w:tcW w:w="1800" w:type="dxa"/>
            <w:vMerge/>
          </w:tcPr>
          <w:p w:rsidR="00114EA4" w:rsidRDefault="00114EA4" w:rsidP="00114EA4">
            <w:pPr>
              <w:pStyle w:val="Default3"/>
              <w:widowControl w:val="0"/>
              <w:ind w:firstLine="720"/>
              <w:rPr>
                <w:color w:val="000000" w:themeColor="text1"/>
              </w:rPr>
            </w:pPr>
          </w:p>
        </w:tc>
        <w:tc>
          <w:tcPr>
            <w:tcW w:w="1800" w:type="dxa"/>
            <w:vMerge/>
          </w:tcPr>
          <w:p w:rsidR="00114EA4" w:rsidRDefault="00114EA4" w:rsidP="00114EA4">
            <w:pPr>
              <w:pStyle w:val="Default3"/>
              <w:widowControl w:val="0"/>
              <w:ind w:firstLine="720"/>
              <w:rPr>
                <w:color w:val="000000" w:themeColor="text1"/>
              </w:rPr>
            </w:pPr>
          </w:p>
        </w:tc>
        <w:tc>
          <w:tcPr>
            <w:tcW w:w="1800" w:type="dxa"/>
            <w:vMerge/>
          </w:tcPr>
          <w:p w:rsidR="00114EA4" w:rsidRDefault="00114EA4" w:rsidP="00114EA4">
            <w:pPr>
              <w:pStyle w:val="Default3"/>
              <w:widowControl w:val="0"/>
              <w:ind w:firstLine="720"/>
              <w:rPr>
                <w:color w:val="000000" w:themeColor="text1"/>
              </w:rPr>
            </w:pPr>
          </w:p>
        </w:tc>
      </w:tr>
      <w:tr w:rsidR="00114EA4" w:rsidRPr="00D049CA" w:rsidTr="00A33718">
        <w:trPr>
          <w:trHeight w:val="300"/>
          <w:jc w:val="center"/>
        </w:trPr>
        <w:tc>
          <w:tcPr>
            <w:tcW w:w="3960" w:type="dxa"/>
          </w:tcPr>
          <w:p w:rsidR="00114EA4" w:rsidRDefault="00114EA4" w:rsidP="00114EA4">
            <w:pPr>
              <w:pStyle w:val="Default3"/>
              <w:rPr>
                <w:color w:val="000000" w:themeColor="text1"/>
              </w:rPr>
            </w:pPr>
            <w:r w:rsidRPr="00894FB4">
              <w:rPr>
                <w:color w:val="000000" w:themeColor="text1"/>
              </w:rPr>
              <w:t>A complete record of all emission tests performed</w:t>
            </w:r>
          </w:p>
        </w:tc>
        <w:tc>
          <w:tcPr>
            <w:tcW w:w="1800" w:type="dxa"/>
            <w:vMerge/>
          </w:tcPr>
          <w:p w:rsidR="00114EA4" w:rsidRDefault="00114EA4" w:rsidP="00114EA4">
            <w:pPr>
              <w:pStyle w:val="Default3"/>
              <w:widowControl w:val="0"/>
              <w:ind w:firstLine="720"/>
              <w:rPr>
                <w:color w:val="000000" w:themeColor="text1"/>
              </w:rPr>
            </w:pPr>
          </w:p>
        </w:tc>
        <w:tc>
          <w:tcPr>
            <w:tcW w:w="1800" w:type="dxa"/>
            <w:vMerge/>
          </w:tcPr>
          <w:p w:rsidR="00114EA4" w:rsidRDefault="00114EA4" w:rsidP="00114EA4">
            <w:pPr>
              <w:pStyle w:val="Default3"/>
              <w:widowControl w:val="0"/>
              <w:ind w:firstLine="720"/>
              <w:rPr>
                <w:color w:val="000000" w:themeColor="text1"/>
              </w:rPr>
            </w:pPr>
          </w:p>
        </w:tc>
        <w:tc>
          <w:tcPr>
            <w:tcW w:w="1800" w:type="dxa"/>
            <w:vMerge/>
          </w:tcPr>
          <w:p w:rsidR="00114EA4" w:rsidRDefault="00114EA4" w:rsidP="00114EA4">
            <w:pPr>
              <w:pStyle w:val="Default3"/>
              <w:widowControl w:val="0"/>
              <w:ind w:firstLine="720"/>
              <w:rPr>
                <w:color w:val="000000" w:themeColor="text1"/>
              </w:rPr>
            </w:pPr>
          </w:p>
        </w:tc>
      </w:tr>
      <w:tr w:rsidR="00114EA4" w:rsidRPr="00D049CA" w:rsidTr="00A33718">
        <w:trPr>
          <w:trHeight w:val="300"/>
          <w:jc w:val="center"/>
        </w:trPr>
        <w:tc>
          <w:tcPr>
            <w:tcW w:w="3960" w:type="dxa"/>
          </w:tcPr>
          <w:p w:rsidR="00114EA4" w:rsidRDefault="00114EA4" w:rsidP="00114EA4">
            <w:pPr>
              <w:pStyle w:val="Default3"/>
              <w:rPr>
                <w:color w:val="000000" w:themeColor="text1"/>
              </w:rPr>
            </w:pPr>
            <w:r w:rsidRPr="00894FB4">
              <w:rPr>
                <w:color w:val="000000" w:themeColor="text1"/>
              </w:rPr>
              <w:t>A complete record of all model inputs</w:t>
            </w:r>
          </w:p>
        </w:tc>
        <w:tc>
          <w:tcPr>
            <w:tcW w:w="1800" w:type="dxa"/>
            <w:vMerge/>
          </w:tcPr>
          <w:p w:rsidR="00114EA4" w:rsidRDefault="00114EA4" w:rsidP="00114EA4">
            <w:pPr>
              <w:pStyle w:val="Default3"/>
              <w:widowControl w:val="0"/>
              <w:ind w:firstLine="720"/>
              <w:rPr>
                <w:color w:val="000000" w:themeColor="text1"/>
              </w:rPr>
            </w:pPr>
          </w:p>
        </w:tc>
        <w:tc>
          <w:tcPr>
            <w:tcW w:w="1800" w:type="dxa"/>
            <w:vMerge/>
          </w:tcPr>
          <w:p w:rsidR="00114EA4" w:rsidRDefault="00114EA4" w:rsidP="00114EA4">
            <w:pPr>
              <w:pStyle w:val="Default3"/>
              <w:widowControl w:val="0"/>
              <w:ind w:firstLine="720"/>
              <w:rPr>
                <w:color w:val="000000" w:themeColor="text1"/>
              </w:rPr>
            </w:pPr>
          </w:p>
        </w:tc>
        <w:tc>
          <w:tcPr>
            <w:tcW w:w="1800" w:type="dxa"/>
            <w:vMerge/>
          </w:tcPr>
          <w:p w:rsidR="00114EA4" w:rsidRDefault="00114EA4" w:rsidP="00114EA4">
            <w:pPr>
              <w:pStyle w:val="Default3"/>
              <w:widowControl w:val="0"/>
              <w:ind w:firstLine="720"/>
              <w:rPr>
                <w:color w:val="000000" w:themeColor="text1"/>
              </w:rPr>
            </w:pPr>
          </w:p>
        </w:tc>
      </w:tr>
      <w:tr w:rsidR="00114EA4" w:rsidRPr="00D049CA" w:rsidTr="00A33718">
        <w:trPr>
          <w:trHeight w:val="300"/>
          <w:jc w:val="center"/>
        </w:trPr>
        <w:tc>
          <w:tcPr>
            <w:tcW w:w="3960" w:type="dxa"/>
          </w:tcPr>
          <w:p w:rsidR="00114EA4" w:rsidRDefault="00114EA4" w:rsidP="00114EA4">
            <w:pPr>
              <w:pStyle w:val="Default3"/>
              <w:rPr>
                <w:color w:val="000000" w:themeColor="text1"/>
              </w:rPr>
            </w:pPr>
            <w:r w:rsidRPr="00894FB4">
              <w:rPr>
                <w:color w:val="000000" w:themeColor="text1"/>
              </w:rPr>
              <w:t>Record and description of each test performed to diagnose engine and vehicle emissions</w:t>
            </w:r>
          </w:p>
        </w:tc>
        <w:tc>
          <w:tcPr>
            <w:tcW w:w="1800" w:type="dxa"/>
            <w:vMerge/>
          </w:tcPr>
          <w:p w:rsidR="00114EA4" w:rsidRDefault="00114EA4" w:rsidP="00114EA4">
            <w:pPr>
              <w:pStyle w:val="Default3"/>
              <w:widowControl w:val="0"/>
              <w:ind w:firstLine="720"/>
              <w:rPr>
                <w:color w:val="000000" w:themeColor="text1"/>
              </w:rPr>
            </w:pPr>
          </w:p>
        </w:tc>
        <w:tc>
          <w:tcPr>
            <w:tcW w:w="1800" w:type="dxa"/>
            <w:vMerge/>
          </w:tcPr>
          <w:p w:rsidR="00114EA4" w:rsidRDefault="00114EA4" w:rsidP="00114EA4">
            <w:pPr>
              <w:pStyle w:val="Default3"/>
              <w:widowControl w:val="0"/>
              <w:ind w:firstLine="720"/>
              <w:rPr>
                <w:color w:val="000000" w:themeColor="text1"/>
              </w:rPr>
            </w:pPr>
          </w:p>
        </w:tc>
        <w:tc>
          <w:tcPr>
            <w:tcW w:w="1800" w:type="dxa"/>
            <w:vMerge/>
          </w:tcPr>
          <w:p w:rsidR="00114EA4" w:rsidRDefault="00114EA4" w:rsidP="00114EA4">
            <w:pPr>
              <w:pStyle w:val="Default3"/>
              <w:widowControl w:val="0"/>
              <w:ind w:firstLine="720"/>
              <w:rPr>
                <w:color w:val="000000" w:themeColor="text1"/>
              </w:rPr>
            </w:pPr>
          </w:p>
        </w:tc>
      </w:tr>
    </w:tbl>
    <w:p w:rsidR="00BF034E" w:rsidRDefault="00894FB4" w:rsidP="009E3318">
      <w:pPr>
        <w:pStyle w:val="Default3"/>
        <w:rPr>
          <w:color w:val="000000" w:themeColor="text1"/>
          <w:sz w:val="20"/>
        </w:rPr>
      </w:pPr>
      <w:r w:rsidRPr="00C36757">
        <w:rPr>
          <w:color w:val="000000" w:themeColor="text1"/>
          <w:sz w:val="20"/>
        </w:rPr>
        <w:t>Note</w:t>
      </w:r>
      <w:r w:rsidR="00BF034E">
        <w:rPr>
          <w:color w:val="000000" w:themeColor="text1"/>
          <w:sz w:val="20"/>
        </w:rPr>
        <w:t>s</w:t>
      </w:r>
      <w:r w:rsidRPr="00C36757">
        <w:rPr>
          <w:color w:val="000000" w:themeColor="text1"/>
          <w:sz w:val="20"/>
        </w:rPr>
        <w:t>:</w:t>
      </w:r>
      <w:r w:rsidR="00C36757" w:rsidRPr="00C36757">
        <w:rPr>
          <w:color w:val="000000" w:themeColor="text1"/>
          <w:sz w:val="20"/>
        </w:rPr>
        <w:t xml:space="preserve">  </w:t>
      </w:r>
    </w:p>
    <w:p w:rsidR="00E34D5E" w:rsidRDefault="00BF034E" w:rsidP="009E3318">
      <w:pPr>
        <w:pStyle w:val="Default3"/>
        <w:rPr>
          <w:color w:val="000000" w:themeColor="text1"/>
          <w:sz w:val="20"/>
        </w:rPr>
      </w:pPr>
      <w:proofErr w:type="gramStart"/>
      <w:r w:rsidRPr="00A33718">
        <w:rPr>
          <w:color w:val="000000" w:themeColor="text1"/>
          <w:sz w:val="20"/>
          <w:vertAlign w:val="superscript"/>
        </w:rPr>
        <w:t>a</w:t>
      </w:r>
      <w:proofErr w:type="gramEnd"/>
      <w:r>
        <w:rPr>
          <w:color w:val="000000" w:themeColor="text1"/>
          <w:sz w:val="20"/>
        </w:rPr>
        <w:t xml:space="preserve"> </w:t>
      </w:r>
      <w:r w:rsidR="00894FB4" w:rsidRPr="00C36757">
        <w:rPr>
          <w:color w:val="000000" w:themeColor="text1"/>
          <w:sz w:val="20"/>
        </w:rPr>
        <w:t>Records are to be kept for eight years.</w:t>
      </w:r>
    </w:p>
    <w:p w:rsidR="00A33718" w:rsidRPr="00C36757" w:rsidRDefault="00BF034E" w:rsidP="009E3318">
      <w:pPr>
        <w:pStyle w:val="Default3"/>
        <w:rPr>
          <w:color w:val="000000" w:themeColor="text1"/>
          <w:sz w:val="20"/>
        </w:rPr>
      </w:pPr>
      <w:proofErr w:type="gramStart"/>
      <w:r>
        <w:rPr>
          <w:color w:val="000000" w:themeColor="text1"/>
          <w:sz w:val="20"/>
          <w:vertAlign w:val="superscript"/>
        </w:rPr>
        <w:t>b</w:t>
      </w:r>
      <w:proofErr w:type="gramEnd"/>
      <w:r w:rsidR="00A33718">
        <w:rPr>
          <w:color w:val="000000" w:themeColor="text1"/>
          <w:sz w:val="20"/>
        </w:rPr>
        <w:t xml:space="preserve"> </w:t>
      </w:r>
      <w:r>
        <w:rPr>
          <w:color w:val="000000" w:themeColor="text1"/>
          <w:sz w:val="20"/>
        </w:rPr>
        <w:t xml:space="preserve">Part 1037 covers </w:t>
      </w:r>
      <w:r w:rsidR="00A33718">
        <w:rPr>
          <w:color w:val="000000" w:themeColor="text1"/>
          <w:sz w:val="20"/>
        </w:rPr>
        <w:t xml:space="preserve">Tractors, Trailers, and Vocational Vehicles </w:t>
      </w:r>
    </w:p>
    <w:p w:rsidR="002D5924" w:rsidRPr="00D049CA" w:rsidRDefault="00894FB4" w:rsidP="003E714F">
      <w:pPr>
        <w:rPr>
          <w:color w:val="000000" w:themeColor="text1"/>
        </w:rPr>
      </w:pPr>
      <w:r w:rsidRPr="00894FB4">
        <w:rPr>
          <w:color w:val="000000" w:themeColor="text1"/>
        </w:rPr>
        <w:t xml:space="preserve">The proposed Phase 2 rule has an </w:t>
      </w:r>
      <w:r w:rsidR="004863BD">
        <w:rPr>
          <w:color w:val="000000" w:themeColor="text1"/>
        </w:rPr>
        <w:t xml:space="preserve">initial </w:t>
      </w:r>
      <w:r w:rsidRPr="00894FB4">
        <w:rPr>
          <w:color w:val="000000" w:themeColor="text1"/>
        </w:rPr>
        <w:t xml:space="preserve">effective date </w:t>
      </w:r>
      <w:r w:rsidR="004863BD">
        <w:rPr>
          <w:color w:val="000000" w:themeColor="text1"/>
        </w:rPr>
        <w:t>of</w:t>
      </w:r>
      <w:r w:rsidRPr="00894FB4">
        <w:rPr>
          <w:color w:val="000000" w:themeColor="text1"/>
        </w:rPr>
        <w:t xml:space="preserve"> model year 2018.  Under this timeframe, manufacturers </w:t>
      </w:r>
      <w:r w:rsidR="004863BD">
        <w:rPr>
          <w:color w:val="000000" w:themeColor="text1"/>
        </w:rPr>
        <w:t>are expected to</w:t>
      </w:r>
      <w:r w:rsidR="004863BD" w:rsidRPr="00894FB4">
        <w:rPr>
          <w:color w:val="000000" w:themeColor="text1"/>
        </w:rPr>
        <w:t xml:space="preserve"> </w:t>
      </w:r>
      <w:r w:rsidR="004863BD">
        <w:rPr>
          <w:color w:val="000000" w:themeColor="text1"/>
        </w:rPr>
        <w:t>conduct</w:t>
      </w:r>
      <w:r w:rsidRPr="00894FB4">
        <w:rPr>
          <w:color w:val="000000" w:themeColor="text1"/>
        </w:rPr>
        <w:t xml:space="preserve"> test</w:t>
      </w:r>
      <w:r w:rsidR="004863BD">
        <w:rPr>
          <w:color w:val="000000" w:themeColor="text1"/>
        </w:rPr>
        <w:t>ing</w:t>
      </w:r>
      <w:r w:rsidRPr="00894FB4">
        <w:rPr>
          <w:color w:val="000000" w:themeColor="text1"/>
        </w:rPr>
        <w:t xml:space="preserve"> and submit their applications and other pre-production documents to EPA and NHTSA in 2017.  The time horizon of this ICR is intended to cover the annualized impacts of the rule at the time that manufacturers initiate their testing and compliance activities.    </w:t>
      </w:r>
    </w:p>
    <w:p w:rsidR="005A63AF" w:rsidRDefault="00894FB4">
      <w:pPr>
        <w:pStyle w:val="Heading2"/>
        <w:rPr>
          <w:color w:val="000000" w:themeColor="text1"/>
        </w:rPr>
      </w:pPr>
      <w:r w:rsidRPr="00894FB4">
        <w:rPr>
          <w:color w:val="000000" w:themeColor="text1"/>
        </w:rPr>
        <w:t>Data Items</w:t>
      </w:r>
    </w:p>
    <w:p w:rsidR="00DF6099" w:rsidRPr="00D049CA" w:rsidRDefault="00894FB4" w:rsidP="00673E30">
      <w:pPr>
        <w:widowControl/>
        <w:rPr>
          <w:color w:val="000000" w:themeColor="text1"/>
        </w:rPr>
      </w:pPr>
      <w:r w:rsidRPr="00894FB4">
        <w:rPr>
          <w:color w:val="000000" w:themeColor="text1"/>
        </w:rPr>
        <w:t>In addition to the data items described above, brief summaries of the data items t</w:t>
      </w:r>
      <w:r w:rsidR="00C62D24">
        <w:rPr>
          <w:color w:val="000000" w:themeColor="text1"/>
        </w:rPr>
        <w:t>he agenc</w:t>
      </w:r>
      <w:r w:rsidRPr="00894FB4">
        <w:rPr>
          <w:color w:val="000000" w:themeColor="text1"/>
        </w:rPr>
        <w:t xml:space="preserve">y collects from engine manufacturers and the four regulatory categories of the heavy duty </w:t>
      </w:r>
      <w:r w:rsidRPr="00894FB4">
        <w:rPr>
          <w:color w:val="000000" w:themeColor="text1"/>
        </w:rPr>
        <w:lastRenderedPageBreak/>
        <w:t>vehicle manufacturers covered by the rule</w:t>
      </w:r>
      <w:r w:rsidR="00001C7B">
        <w:rPr>
          <w:color w:val="000000" w:themeColor="text1"/>
        </w:rPr>
        <w:t>s</w:t>
      </w:r>
      <w:r w:rsidRPr="00894FB4">
        <w:rPr>
          <w:color w:val="000000" w:themeColor="text1"/>
        </w:rPr>
        <w:t xml:space="preserve"> are provided below.  Detailed lists of these data items are given in </w:t>
      </w:r>
      <w:r w:rsidR="007112DA">
        <w:fldChar w:fldCharType="begin"/>
      </w:r>
      <w:r w:rsidR="007112DA">
        <w:instrText xml:space="preserve"> REF _Ref418854375 \h  \* MERGEFORMAT </w:instrText>
      </w:r>
      <w:r w:rsidR="007112DA">
        <w:fldChar w:fldCharType="separate"/>
      </w:r>
      <w:r w:rsidR="00673E30" w:rsidRPr="00673E30">
        <w:rPr>
          <w:color w:val="000000" w:themeColor="text1"/>
        </w:rPr>
        <w:t>Table 4</w:t>
      </w:r>
      <w:r w:rsidR="007112DA">
        <w:fldChar w:fldCharType="end"/>
      </w:r>
      <w:r w:rsidR="00BB35DE">
        <w:rPr>
          <w:color w:val="000000" w:themeColor="text1"/>
        </w:rPr>
        <w:t xml:space="preserve"> </w:t>
      </w:r>
      <w:r w:rsidRPr="00894FB4">
        <w:rPr>
          <w:color w:val="000000" w:themeColor="text1"/>
        </w:rPr>
        <w:t>through</w:t>
      </w:r>
      <w:r w:rsidR="001F71DC">
        <w:rPr>
          <w:color w:val="000000" w:themeColor="text1"/>
        </w:rPr>
        <w:t xml:space="preserve"> </w:t>
      </w:r>
      <w:r w:rsidR="00121BAD">
        <w:fldChar w:fldCharType="begin"/>
      </w:r>
      <w:r w:rsidR="001F71DC">
        <w:instrText xml:space="preserve"> REF _Ref419460247 \h </w:instrText>
      </w:r>
      <w:r w:rsidR="00121BAD">
        <w:fldChar w:fldCharType="separate"/>
      </w:r>
      <w:r w:rsidR="00673E30" w:rsidRPr="00BF034E">
        <w:rPr>
          <w:color w:val="000000" w:themeColor="text1"/>
          <w:sz w:val="20"/>
        </w:rPr>
        <w:t xml:space="preserve">Table </w:t>
      </w:r>
      <w:r w:rsidR="00673E30">
        <w:rPr>
          <w:noProof/>
          <w:color w:val="000000" w:themeColor="text1"/>
          <w:sz w:val="20"/>
        </w:rPr>
        <w:t>11</w:t>
      </w:r>
      <w:r w:rsidR="00121BAD">
        <w:fldChar w:fldCharType="end"/>
      </w:r>
      <w:r w:rsidRPr="00894FB4">
        <w:rPr>
          <w:color w:val="000000" w:themeColor="text1"/>
        </w:rPr>
        <w:t xml:space="preserve">.  </w:t>
      </w:r>
    </w:p>
    <w:p w:rsidR="005A63AF" w:rsidRDefault="00894FB4">
      <w:pPr>
        <w:pStyle w:val="Heading3"/>
        <w:rPr>
          <w:color w:val="000000" w:themeColor="text1"/>
        </w:rPr>
      </w:pPr>
      <w:r w:rsidRPr="00894FB4">
        <w:rPr>
          <w:color w:val="000000" w:themeColor="text1"/>
        </w:rPr>
        <w:t xml:space="preserve">Heavy Duty Pick Up Trucks and Vans </w:t>
      </w:r>
    </w:p>
    <w:p w:rsidR="00762D14" w:rsidRPr="00D049CA" w:rsidRDefault="00894FB4" w:rsidP="003E714F">
      <w:pPr>
        <w:rPr>
          <w:color w:val="000000" w:themeColor="text1"/>
        </w:rPr>
      </w:pPr>
      <w:r w:rsidRPr="00894FB4">
        <w:rPr>
          <w:color w:val="000000" w:themeColor="text1"/>
        </w:rPr>
        <w:t xml:space="preserve">The vast majority of heavy duty pickup trucks and vans are designed, manufactured and sold by manufacturers as complete vehicles, and many of these truck and van models already are certified to vehicle-based emission standards for criteria pollutants.  Further, these heavy duty truck/van models typically are based on higher sales volume light duty truck/van designs and models, which already are subject to GHG emission and fuel economy standards under the joint light-duty vehicle program promulgated by EPA and NHTSA in March 2010.   </w:t>
      </w:r>
    </w:p>
    <w:p w:rsidR="00906BB7" w:rsidRPr="00D049CA" w:rsidRDefault="00894FB4" w:rsidP="003E714F">
      <w:pPr>
        <w:rPr>
          <w:color w:val="000000" w:themeColor="text1"/>
        </w:rPr>
      </w:pPr>
      <w:r w:rsidRPr="00894FB4">
        <w:rPr>
          <w:color w:val="000000" w:themeColor="text1"/>
        </w:rPr>
        <w:t xml:space="preserve">Thus, the HD national certification program closely tracks existing test procedures and reporting programs already in place for vans and pickup trucks.  For example, the test procedures, GHG and fuel consumption standards for heavy duty pickup trucks and vans apply to the complete vehicle, just as similar procedures and standards apply to complete light duty trucks and vans (there are no separate engine and vehicle requirements, such as those that exist for vocational vehicles and combination tractors).  </w:t>
      </w:r>
    </w:p>
    <w:p w:rsidR="003D71AA" w:rsidRPr="00D049CA" w:rsidRDefault="00894FB4" w:rsidP="003E714F">
      <w:pPr>
        <w:rPr>
          <w:color w:val="000000" w:themeColor="text1"/>
        </w:rPr>
      </w:pPr>
      <w:r w:rsidRPr="00894FB4">
        <w:rPr>
          <w:color w:val="000000" w:themeColor="text1"/>
        </w:rPr>
        <w:t xml:space="preserve">Using test procedures, reporting and compliance requirements from already established and proven test protocols and programs that are applicable to HD pickup trucks and vans helps to minimize test costs and reporting burdens for this category of the HD Phase 1 and Phase 2 National Programs.  Burdens are further reduced for HD pickup truck and van manufacturers because manufacturers already have invested in test facilities and equipment for the light duty trucks and vans that they also produce.  </w:t>
      </w:r>
    </w:p>
    <w:p w:rsidR="002F5AE4" w:rsidRDefault="009A6C70" w:rsidP="002F5AE4">
      <w:pPr>
        <w:pStyle w:val="Heading4"/>
      </w:pPr>
      <w:r>
        <w:t>Phase 1 Data Items: HD Pickups and Vans</w:t>
      </w:r>
    </w:p>
    <w:p w:rsidR="004459FA" w:rsidRPr="00D049CA" w:rsidRDefault="009A6C70" w:rsidP="003E714F">
      <w:pPr>
        <w:rPr>
          <w:color w:val="000000" w:themeColor="text1"/>
        </w:rPr>
      </w:pPr>
      <w:r>
        <w:rPr>
          <w:color w:val="000000" w:themeColor="text1"/>
        </w:rPr>
        <w:t>T</w:t>
      </w:r>
      <w:r w:rsidR="00894FB4" w:rsidRPr="00894FB4">
        <w:rPr>
          <w:color w:val="000000" w:themeColor="text1"/>
        </w:rPr>
        <w:t xml:space="preserve">he </w:t>
      </w:r>
      <w:r>
        <w:rPr>
          <w:color w:val="000000" w:themeColor="text1"/>
        </w:rPr>
        <w:t xml:space="preserve">HD Phase 1 </w:t>
      </w:r>
      <w:r w:rsidR="00894FB4" w:rsidRPr="00894FB4">
        <w:rPr>
          <w:color w:val="000000" w:themeColor="text1"/>
        </w:rPr>
        <w:t xml:space="preserve">standards for HD trucks and vans </w:t>
      </w:r>
      <w:r>
        <w:rPr>
          <w:color w:val="000000" w:themeColor="text1"/>
        </w:rPr>
        <w:t>we</w:t>
      </w:r>
      <w:r w:rsidR="00894FB4" w:rsidRPr="00894FB4">
        <w:rPr>
          <w:color w:val="000000" w:themeColor="text1"/>
        </w:rPr>
        <w:t>re expected to create new testing burdens and reporting requirements. Specifically, EPA and NHTSA established weight-based attributes, namely payload and towing capacity, which support the GHG emission and fuel consumption limits for this vehicle category.   Manufacturers are required to apply these attributes when establishing vehicle test groups to demonstrate compliance with the CO</w:t>
      </w:r>
      <w:r w:rsidR="00894FB4" w:rsidRPr="00CF70D5">
        <w:rPr>
          <w:color w:val="000000" w:themeColor="text1"/>
          <w:vertAlign w:val="subscript"/>
        </w:rPr>
        <w:t>2</w:t>
      </w:r>
      <w:r w:rsidR="00894FB4" w:rsidRPr="00894FB4">
        <w:rPr>
          <w:color w:val="000000" w:themeColor="text1"/>
        </w:rPr>
        <w:t xml:space="preserve"> and fuel consumption standards.  These attributes also are factored into the production volume-weighted calculation of a manufacturer’s annual fleet average compliance requirement.    </w:t>
      </w:r>
    </w:p>
    <w:p w:rsidR="00194672" w:rsidRPr="00D049CA" w:rsidRDefault="00894FB4" w:rsidP="003E714F">
      <w:pPr>
        <w:rPr>
          <w:color w:val="000000" w:themeColor="text1"/>
        </w:rPr>
      </w:pPr>
      <w:r w:rsidRPr="00894FB4">
        <w:rPr>
          <w:color w:val="000000" w:themeColor="text1"/>
        </w:rPr>
        <w:t>For demonstrating compliance with the N</w:t>
      </w:r>
      <w:r w:rsidRPr="00CF70D5">
        <w:rPr>
          <w:color w:val="000000" w:themeColor="text1"/>
          <w:vertAlign w:val="subscript"/>
        </w:rPr>
        <w:t>2</w:t>
      </w:r>
      <w:r w:rsidRPr="00894FB4">
        <w:rPr>
          <w:color w:val="000000" w:themeColor="text1"/>
        </w:rPr>
        <w:t>O and CH</w:t>
      </w:r>
      <w:r w:rsidRPr="00CF70D5">
        <w:rPr>
          <w:color w:val="000000" w:themeColor="text1"/>
          <w:vertAlign w:val="subscript"/>
        </w:rPr>
        <w:t>4</w:t>
      </w:r>
      <w:r w:rsidRPr="00894FB4">
        <w:rPr>
          <w:color w:val="000000" w:themeColor="text1"/>
        </w:rPr>
        <w:t xml:space="preserve"> standards, EPA believes that the current test group concept used by pickup truck and van manufacturers is appropriate because the technologies employed to control N</w:t>
      </w:r>
      <w:r w:rsidRPr="00CF70D5">
        <w:rPr>
          <w:color w:val="000000" w:themeColor="text1"/>
          <w:vertAlign w:val="subscript"/>
        </w:rPr>
        <w:t>2</w:t>
      </w:r>
      <w:r w:rsidRPr="00894FB4">
        <w:rPr>
          <w:color w:val="000000" w:themeColor="text1"/>
        </w:rPr>
        <w:t>O and CH</w:t>
      </w:r>
      <w:r w:rsidRPr="00CF70D5">
        <w:rPr>
          <w:color w:val="000000" w:themeColor="text1"/>
          <w:vertAlign w:val="subscript"/>
        </w:rPr>
        <w:t>4</w:t>
      </w:r>
      <w:r w:rsidRPr="00894FB4">
        <w:rPr>
          <w:color w:val="000000" w:themeColor="text1"/>
        </w:rPr>
        <w:t xml:space="preserve"> emissions are generally the same as those used to control criteria pollutants.  </w:t>
      </w:r>
    </w:p>
    <w:p w:rsidR="00FD5D9F" w:rsidRPr="00D049CA" w:rsidRDefault="00894FB4" w:rsidP="003E714F">
      <w:pPr>
        <w:rPr>
          <w:color w:val="000000" w:themeColor="text1"/>
        </w:rPr>
      </w:pPr>
      <w:r w:rsidRPr="00894FB4">
        <w:rPr>
          <w:color w:val="000000" w:themeColor="text1"/>
        </w:rPr>
        <w:t>However, by applying weight-based attributes to establish CO</w:t>
      </w:r>
      <w:r w:rsidRPr="00CF70D5">
        <w:rPr>
          <w:color w:val="000000" w:themeColor="text1"/>
          <w:vertAlign w:val="subscript"/>
        </w:rPr>
        <w:t>2</w:t>
      </w:r>
      <w:r w:rsidRPr="00894FB4">
        <w:rPr>
          <w:color w:val="000000" w:themeColor="text1"/>
        </w:rPr>
        <w:t xml:space="preserve"> and fuel consumption standards for HD pickup trucks and vans, EPA and NHTSA expect that, manufacturers will find it in their best interest to test multiple vehicle configurations with a given test group to accurately estimate the fleet average CO</w:t>
      </w:r>
      <w:r w:rsidRPr="00CF70D5">
        <w:rPr>
          <w:color w:val="000000" w:themeColor="text1"/>
          <w:vertAlign w:val="subscript"/>
        </w:rPr>
        <w:t>2</w:t>
      </w:r>
      <w:r w:rsidRPr="00894FB4">
        <w:rPr>
          <w:color w:val="000000" w:themeColor="text1"/>
        </w:rPr>
        <w:t xml:space="preserve"> emission levels.  Ultimately these additional tests and estimates are necessary to demonstrate compliance</w:t>
      </w:r>
      <w:r w:rsidR="00D049CA">
        <w:rPr>
          <w:color w:val="000000" w:themeColor="text1"/>
        </w:rPr>
        <w:t xml:space="preserve"> with both Phase 1 and Phase 2</w:t>
      </w:r>
      <w:r w:rsidRPr="00894FB4">
        <w:rPr>
          <w:color w:val="000000" w:themeColor="text1"/>
        </w:rPr>
        <w:t xml:space="preserve">.  </w:t>
      </w:r>
    </w:p>
    <w:p w:rsidR="000226F4" w:rsidRPr="00D049CA" w:rsidRDefault="00894FB4" w:rsidP="003E714F">
      <w:pPr>
        <w:rPr>
          <w:color w:val="000000" w:themeColor="text1"/>
        </w:rPr>
      </w:pPr>
      <w:r w:rsidRPr="00894FB4">
        <w:rPr>
          <w:color w:val="000000" w:themeColor="text1"/>
        </w:rPr>
        <w:lastRenderedPageBreak/>
        <w:t>EPA is requiring manufacturers to meet the air conditioning leakage standard</w:t>
      </w:r>
      <w:r w:rsidR="00D049CA">
        <w:rPr>
          <w:color w:val="000000" w:themeColor="text1"/>
        </w:rPr>
        <w:t xml:space="preserve"> as part of the HD Phase 1 program</w:t>
      </w:r>
      <w:r w:rsidRPr="00894FB4">
        <w:rPr>
          <w:color w:val="000000" w:themeColor="text1"/>
        </w:rPr>
        <w:t xml:space="preserve">.  To demonstrate compliance, the vehicle manufacturer must calculate the percent leakage rate of the hydrofluorocarbon (HFC) emissions from the air conditioning system by dividing the total leakage rate in grams per year by the refrigerant capacity as specified in 40 CFR 1037.115(c).  The agency has adopted a test procedure for determining leakage rate that is consistent with the one adopted for Light Duty GHG, and therefore familiar to the HD pickup truck and van manufacturers. </w:t>
      </w:r>
    </w:p>
    <w:p w:rsidR="003E714F" w:rsidRPr="00BF034E" w:rsidRDefault="00894FB4" w:rsidP="00BF034E">
      <w:pPr>
        <w:pStyle w:val="Caption"/>
        <w:rPr>
          <w:color w:val="000000" w:themeColor="text1"/>
          <w:sz w:val="20"/>
          <w:szCs w:val="20"/>
        </w:rPr>
      </w:pPr>
      <w:bookmarkStart w:id="3" w:name="_Ref418854375"/>
      <w:r w:rsidRPr="00BF034E">
        <w:rPr>
          <w:color w:val="000000" w:themeColor="text1"/>
          <w:sz w:val="20"/>
          <w:szCs w:val="20"/>
        </w:rPr>
        <w:t xml:space="preserve">Table </w:t>
      </w:r>
      <w:r w:rsidR="00121BAD" w:rsidRPr="00BF034E">
        <w:rPr>
          <w:color w:val="000000" w:themeColor="text1"/>
          <w:sz w:val="20"/>
          <w:szCs w:val="20"/>
        </w:rPr>
        <w:fldChar w:fldCharType="begin"/>
      </w:r>
      <w:r w:rsidRPr="00BF034E">
        <w:rPr>
          <w:color w:val="000000" w:themeColor="text1"/>
          <w:sz w:val="20"/>
          <w:szCs w:val="20"/>
        </w:rPr>
        <w:instrText xml:space="preserve"> SEQ Table \* ARABIC </w:instrText>
      </w:r>
      <w:r w:rsidR="00121BAD" w:rsidRPr="00BF034E">
        <w:rPr>
          <w:color w:val="000000" w:themeColor="text1"/>
          <w:sz w:val="20"/>
          <w:szCs w:val="20"/>
        </w:rPr>
        <w:fldChar w:fldCharType="separate"/>
      </w:r>
      <w:r w:rsidR="00673E30">
        <w:rPr>
          <w:noProof/>
          <w:color w:val="000000" w:themeColor="text1"/>
          <w:sz w:val="20"/>
          <w:szCs w:val="20"/>
        </w:rPr>
        <w:t>4</w:t>
      </w:r>
      <w:r w:rsidR="00121BAD" w:rsidRPr="00BF034E">
        <w:rPr>
          <w:color w:val="000000" w:themeColor="text1"/>
          <w:sz w:val="20"/>
          <w:szCs w:val="20"/>
        </w:rPr>
        <w:fldChar w:fldCharType="end"/>
      </w:r>
      <w:bookmarkEnd w:id="3"/>
      <w:r w:rsidRPr="00BF034E">
        <w:rPr>
          <w:color w:val="000000" w:themeColor="text1"/>
          <w:sz w:val="20"/>
          <w:szCs w:val="20"/>
        </w:rPr>
        <w:t xml:space="preserve"> Required Information for Pre-Model Year Reports: </w:t>
      </w:r>
      <w:r w:rsidR="00BF034E">
        <w:rPr>
          <w:color w:val="000000" w:themeColor="text1"/>
          <w:sz w:val="20"/>
          <w:szCs w:val="20"/>
        </w:rPr>
        <w:br/>
      </w:r>
      <w:r w:rsidRPr="00BF034E">
        <w:rPr>
          <w:color w:val="000000" w:themeColor="text1"/>
          <w:sz w:val="20"/>
          <w:szCs w:val="20"/>
        </w:rPr>
        <w:t>Heavy-duty Pickup Truck and Van Manufacturers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9350"/>
      </w:tblGrid>
      <w:tr w:rsidR="005064E8" w:rsidRPr="00D049CA" w:rsidTr="003E714F">
        <w:tc>
          <w:tcPr>
            <w:tcW w:w="9576" w:type="dxa"/>
          </w:tcPr>
          <w:p w:rsidR="005A63AF" w:rsidRPr="009A6C70" w:rsidRDefault="00894FB4">
            <w:pPr>
              <w:pStyle w:val="Default3"/>
              <w:widowControl w:val="0"/>
              <w:rPr>
                <w:color w:val="auto"/>
              </w:rPr>
            </w:pPr>
            <w:r w:rsidRPr="009A6C70">
              <w:rPr>
                <w:color w:val="auto"/>
              </w:rPr>
              <w:t>A list of each unique vehicle configuration included in the manufacturer’s fleet describing the make and model designations, attribute based-values (GVWR, GCWR, Curb Weight and drive configurations) and standards</w:t>
            </w:r>
          </w:p>
        </w:tc>
      </w:tr>
      <w:tr w:rsidR="001B1205" w:rsidRPr="00D049CA" w:rsidTr="003E714F">
        <w:tc>
          <w:tcPr>
            <w:tcW w:w="9576" w:type="dxa"/>
          </w:tcPr>
          <w:p w:rsidR="005A63AF" w:rsidRPr="009A6C70" w:rsidRDefault="00894FB4">
            <w:pPr>
              <w:pStyle w:val="Default3"/>
              <w:widowControl w:val="0"/>
              <w:rPr>
                <w:color w:val="auto"/>
              </w:rPr>
            </w:pPr>
            <w:r w:rsidRPr="009A6C70">
              <w:rPr>
                <w:color w:val="auto"/>
              </w:rPr>
              <w:t>The emission and fuel consumption fleet average standard derived from the unique vehicle configurations</w:t>
            </w:r>
          </w:p>
        </w:tc>
      </w:tr>
      <w:tr w:rsidR="001B1205" w:rsidRPr="00D049CA" w:rsidTr="003E714F">
        <w:tc>
          <w:tcPr>
            <w:tcW w:w="9576" w:type="dxa"/>
          </w:tcPr>
          <w:p w:rsidR="005A63AF" w:rsidRPr="009A6C70" w:rsidRDefault="00894FB4">
            <w:pPr>
              <w:pStyle w:val="Default3"/>
              <w:widowControl w:val="0"/>
              <w:rPr>
                <w:color w:val="auto"/>
              </w:rPr>
            </w:pPr>
            <w:r w:rsidRPr="009A6C70">
              <w:rPr>
                <w:color w:val="auto"/>
              </w:rPr>
              <w:t>The estimated vehicle configuration, test group and fleet production volumes</w:t>
            </w:r>
          </w:p>
        </w:tc>
      </w:tr>
      <w:tr w:rsidR="001B1205" w:rsidRPr="00D049CA" w:rsidTr="003E714F">
        <w:tc>
          <w:tcPr>
            <w:tcW w:w="9576" w:type="dxa"/>
          </w:tcPr>
          <w:p w:rsidR="005A63AF" w:rsidRPr="009A6C70" w:rsidRDefault="00894FB4">
            <w:pPr>
              <w:pStyle w:val="Default3"/>
              <w:widowControl w:val="0"/>
              <w:rPr>
                <w:color w:val="auto"/>
              </w:rPr>
            </w:pPr>
            <w:r w:rsidRPr="009A6C70">
              <w:rPr>
                <w:color w:val="auto"/>
              </w:rPr>
              <w:t>Expected CO</w:t>
            </w:r>
            <w:r w:rsidRPr="00CF70D5">
              <w:rPr>
                <w:color w:val="auto"/>
                <w:vertAlign w:val="subscript"/>
              </w:rPr>
              <w:t>2</w:t>
            </w:r>
            <w:r w:rsidRPr="009A6C70">
              <w:rPr>
                <w:color w:val="auto"/>
              </w:rPr>
              <w:t>, N</w:t>
            </w:r>
            <w:r w:rsidRPr="00CF70D5">
              <w:rPr>
                <w:color w:val="auto"/>
                <w:vertAlign w:val="subscript"/>
              </w:rPr>
              <w:t>2</w:t>
            </w:r>
            <w:r w:rsidRPr="009A6C70">
              <w:rPr>
                <w:color w:val="auto"/>
              </w:rPr>
              <w:t>O, CH</w:t>
            </w:r>
            <w:r w:rsidRPr="00CF70D5">
              <w:rPr>
                <w:color w:val="auto"/>
                <w:vertAlign w:val="subscript"/>
              </w:rPr>
              <w:t>4</w:t>
            </w:r>
            <w:r w:rsidRPr="009A6C70">
              <w:rPr>
                <w:color w:val="auto"/>
              </w:rPr>
              <w:t>, and HFC emissions and  fuel consumption test group results and fleet average performance</w:t>
            </w:r>
          </w:p>
        </w:tc>
      </w:tr>
      <w:tr w:rsidR="001B1205" w:rsidRPr="00D049CA" w:rsidTr="003E714F">
        <w:tc>
          <w:tcPr>
            <w:tcW w:w="9576" w:type="dxa"/>
          </w:tcPr>
          <w:p w:rsidR="005A63AF" w:rsidRPr="009A6C70" w:rsidRDefault="00894FB4">
            <w:pPr>
              <w:pStyle w:val="Default3"/>
              <w:widowControl w:val="0"/>
              <w:rPr>
                <w:color w:val="auto"/>
              </w:rPr>
            </w:pPr>
            <w:r w:rsidRPr="009A6C70">
              <w:rPr>
                <w:color w:val="auto"/>
              </w:rPr>
              <w:t>A statement declaring whether the manufacturer will use fixed or increasing standards; acknowledging that once selected, the decision cannot be reversed and the manufacturer must continue to comply with the same alternative for subsequent model years</w:t>
            </w:r>
          </w:p>
        </w:tc>
      </w:tr>
      <w:tr w:rsidR="001B1205" w:rsidRPr="00D049CA" w:rsidTr="003E714F">
        <w:tc>
          <w:tcPr>
            <w:tcW w:w="9576" w:type="dxa"/>
          </w:tcPr>
          <w:p w:rsidR="005A63AF" w:rsidRPr="009A6C70" w:rsidRDefault="00894FB4" w:rsidP="00BB35DE">
            <w:pPr>
              <w:pStyle w:val="Default3"/>
              <w:widowControl w:val="0"/>
              <w:rPr>
                <w:color w:val="auto"/>
              </w:rPr>
            </w:pPr>
            <w:r w:rsidRPr="009A6C70">
              <w:rPr>
                <w:color w:val="auto"/>
              </w:rPr>
              <w:t xml:space="preserve">A statement declaring whether the manufacturer chooses to comply voluntarily with </w:t>
            </w:r>
            <w:proofErr w:type="spellStart"/>
            <w:r w:rsidRPr="009A6C70">
              <w:rPr>
                <w:color w:val="auto"/>
              </w:rPr>
              <w:t>NHTSA’s</w:t>
            </w:r>
            <w:proofErr w:type="spellEnd"/>
            <w:r w:rsidRPr="009A6C70">
              <w:rPr>
                <w:color w:val="auto"/>
              </w:rPr>
              <w:t xml:space="preserve"> fuel consumption standards for model years 2015 through 2018.  The manufacturers must acknowledge that once selected, the decision cannot be reversed and the manufacturer will continue to comply with the fuel consumption standards for subsequent model years;</w:t>
            </w:r>
          </w:p>
        </w:tc>
      </w:tr>
      <w:tr w:rsidR="001B1205" w:rsidRPr="00D049CA" w:rsidTr="003E714F">
        <w:tc>
          <w:tcPr>
            <w:tcW w:w="9576" w:type="dxa"/>
          </w:tcPr>
          <w:p w:rsidR="005A63AF" w:rsidRPr="009A6C70" w:rsidRDefault="00894FB4">
            <w:pPr>
              <w:pStyle w:val="Default3"/>
              <w:widowControl w:val="0"/>
              <w:rPr>
                <w:color w:val="auto"/>
              </w:rPr>
            </w:pPr>
            <w:r w:rsidRPr="009A6C70">
              <w:rPr>
                <w:color w:val="auto"/>
              </w:rPr>
              <w:t>The list of Class 2b-3 cab-complete vehicles and the method use to certify, as vocational vehicles and engines, or as complete pickups and vans identifying the most similar complete vehicles used to derive the target standards and performance test results</w:t>
            </w:r>
          </w:p>
        </w:tc>
      </w:tr>
      <w:tr w:rsidR="001B1205" w:rsidRPr="00D049CA" w:rsidTr="003E714F">
        <w:tc>
          <w:tcPr>
            <w:tcW w:w="9576" w:type="dxa"/>
          </w:tcPr>
          <w:p w:rsidR="005A63AF" w:rsidRPr="009A6C70" w:rsidRDefault="00894FB4">
            <w:pPr>
              <w:pStyle w:val="Default3"/>
              <w:widowControl w:val="0"/>
              <w:rPr>
                <w:color w:val="auto"/>
              </w:rPr>
            </w:pPr>
            <w:r w:rsidRPr="009A6C70">
              <w:rPr>
                <w:color w:val="auto"/>
              </w:rPr>
              <w:t>The list of Class 2b-3 incomplete vehicles and the method use to certify, as vocational vehicles and engines, or as complete pickups and vans identifying the most similar complete vehicles used to derive the target standards and performance test results</w:t>
            </w:r>
          </w:p>
        </w:tc>
      </w:tr>
      <w:tr w:rsidR="001B1205" w:rsidRPr="00D049CA" w:rsidTr="003E714F">
        <w:tc>
          <w:tcPr>
            <w:tcW w:w="9576" w:type="dxa"/>
          </w:tcPr>
          <w:p w:rsidR="005A63AF" w:rsidRPr="009A6C70" w:rsidRDefault="00894FB4" w:rsidP="00A33718">
            <w:pPr>
              <w:pStyle w:val="Default3"/>
              <w:widowControl w:val="0"/>
              <w:rPr>
                <w:color w:val="auto"/>
              </w:rPr>
            </w:pPr>
            <w:r w:rsidRPr="009A6C70">
              <w:rPr>
                <w:color w:val="auto"/>
              </w:rPr>
              <w:t xml:space="preserve">The list of Class 4 </w:t>
            </w:r>
            <w:r w:rsidR="00A33718">
              <w:rPr>
                <w:color w:val="auto"/>
              </w:rPr>
              <w:t>through 6</w:t>
            </w:r>
            <w:r w:rsidRPr="009A6C70">
              <w:rPr>
                <w:color w:val="auto"/>
              </w:rPr>
              <w:t xml:space="preserve"> incomplete and complete vehicles and the method use</w:t>
            </w:r>
            <w:r w:rsidR="00A33718">
              <w:rPr>
                <w:color w:val="auto"/>
              </w:rPr>
              <w:t>d</w:t>
            </w:r>
            <w:r w:rsidRPr="009A6C70">
              <w:rPr>
                <w:color w:val="auto"/>
              </w:rPr>
              <w:t xml:space="preserve"> to certify, as vocational vehicles and engines, or as complete pickups and vans identifying the most similar complete vehicles used to derive the target standards and performance test results</w:t>
            </w:r>
          </w:p>
        </w:tc>
      </w:tr>
      <w:tr w:rsidR="001B1205" w:rsidRPr="00D049CA" w:rsidTr="003E714F">
        <w:tc>
          <w:tcPr>
            <w:tcW w:w="9576" w:type="dxa"/>
          </w:tcPr>
          <w:p w:rsidR="005A63AF" w:rsidRPr="009A6C70" w:rsidRDefault="00894FB4">
            <w:pPr>
              <w:pStyle w:val="Default3"/>
              <w:widowControl w:val="0"/>
              <w:rPr>
                <w:color w:val="auto"/>
              </w:rPr>
            </w:pPr>
            <w:r w:rsidRPr="009A6C70">
              <w:rPr>
                <w:color w:val="auto"/>
              </w:rPr>
              <w:t>List of loose engines included in the heavy-duty pickup and van category and the list of vehicles used to derive target standards</w:t>
            </w:r>
          </w:p>
        </w:tc>
      </w:tr>
      <w:tr w:rsidR="001B1205" w:rsidRPr="00D049CA" w:rsidTr="003E714F">
        <w:tc>
          <w:tcPr>
            <w:tcW w:w="9576" w:type="dxa"/>
          </w:tcPr>
          <w:p w:rsidR="005A63AF" w:rsidRPr="009A6C70" w:rsidRDefault="00894FB4">
            <w:pPr>
              <w:pStyle w:val="Default3"/>
              <w:widowControl w:val="0"/>
              <w:rPr>
                <w:color w:val="auto"/>
              </w:rPr>
            </w:pPr>
            <w:r w:rsidRPr="009A6C70">
              <w:rPr>
                <w:color w:val="auto"/>
              </w:rPr>
              <w:t>Copy of any notices a vehicle manufacturer sends to the engine manufacturer to notify the engine manufacturers that their engines are subject to emissions and fuel consumption standards and that it intends to use their engines in excluded vehicles</w:t>
            </w:r>
          </w:p>
        </w:tc>
      </w:tr>
      <w:tr w:rsidR="001B1205" w:rsidRPr="00D049CA" w:rsidTr="003E714F">
        <w:tc>
          <w:tcPr>
            <w:tcW w:w="9576" w:type="dxa"/>
          </w:tcPr>
          <w:p w:rsidR="005A63AF" w:rsidRPr="009A6C70" w:rsidRDefault="00894FB4">
            <w:pPr>
              <w:pStyle w:val="Default3"/>
              <w:widowControl w:val="0"/>
              <w:rPr>
                <w:color w:val="auto"/>
              </w:rPr>
            </w:pPr>
            <w:r w:rsidRPr="009A6C70">
              <w:rPr>
                <w:color w:val="auto"/>
              </w:rPr>
              <w:t>A credit plan identifying the manufacturers estimated credit balances, planned credit flexibilities (i.e., credit balances, planned credit trading, innovative, advanced and early credits and etc.) and if needed a credit deficit plan demonstrating how it plans to resolve any credit deficits that might occur for a model year within a period of up to three model years after that deficit has occurred</w:t>
            </w:r>
          </w:p>
        </w:tc>
      </w:tr>
    </w:tbl>
    <w:p w:rsidR="00932B9A" w:rsidRPr="00D049CA" w:rsidRDefault="00894FB4" w:rsidP="00673E30">
      <w:pPr>
        <w:widowControl/>
        <w:rPr>
          <w:color w:val="000000" w:themeColor="text1"/>
        </w:rPr>
      </w:pPr>
      <w:r w:rsidRPr="00894FB4">
        <w:rPr>
          <w:color w:val="000000" w:themeColor="text1"/>
        </w:rPr>
        <w:lastRenderedPageBreak/>
        <w:t xml:space="preserve">For the purposes of this ICR, the test data accompanying these applications will include results from </w:t>
      </w:r>
      <w:proofErr w:type="spellStart"/>
      <w:r w:rsidR="00784CA0">
        <w:rPr>
          <w:color w:val="000000" w:themeColor="text1"/>
        </w:rPr>
        <w:t>coastdown</w:t>
      </w:r>
      <w:proofErr w:type="spellEnd"/>
      <w:r w:rsidRPr="00894FB4">
        <w:rPr>
          <w:color w:val="000000" w:themeColor="text1"/>
        </w:rPr>
        <w:t xml:space="preserve"> and chassis tests.  HD pickup trucks and vans also are subject to HFC leakage, N</w:t>
      </w:r>
      <w:r w:rsidRPr="00CF70D5">
        <w:rPr>
          <w:color w:val="000000" w:themeColor="text1"/>
          <w:vertAlign w:val="subscript"/>
        </w:rPr>
        <w:t>2</w:t>
      </w:r>
      <w:r w:rsidRPr="00894FB4">
        <w:rPr>
          <w:color w:val="000000" w:themeColor="text1"/>
        </w:rPr>
        <w:t>O, and CH</w:t>
      </w:r>
      <w:r w:rsidRPr="00CF70D5">
        <w:rPr>
          <w:color w:val="000000" w:themeColor="text1"/>
          <w:vertAlign w:val="subscript"/>
        </w:rPr>
        <w:t>4</w:t>
      </w:r>
      <w:r w:rsidRPr="00894FB4">
        <w:rPr>
          <w:color w:val="000000" w:themeColor="text1"/>
        </w:rPr>
        <w:t xml:space="preserve"> standards and their applications will need to demonstrate how they are meeting the standards. The testing requirement costs are identified as the following in </w:t>
      </w:r>
      <w:r w:rsidR="007112DA">
        <w:fldChar w:fldCharType="begin"/>
      </w:r>
      <w:r w:rsidR="007112DA">
        <w:instrText xml:space="preserve"> REF _Ref418852361 \h  \* MERGEFORMAT </w:instrText>
      </w:r>
      <w:r w:rsidR="007112DA">
        <w:fldChar w:fldCharType="separate"/>
      </w:r>
      <w:r w:rsidR="00673E30" w:rsidRPr="00673E30">
        <w:rPr>
          <w:color w:val="000000" w:themeColor="text1"/>
        </w:rPr>
        <w:t xml:space="preserve">Table </w:t>
      </w:r>
      <w:r w:rsidR="00673E30" w:rsidRPr="00673E30">
        <w:rPr>
          <w:noProof/>
          <w:color w:val="000000" w:themeColor="text1"/>
        </w:rPr>
        <w:t>16</w:t>
      </w:r>
      <w:r w:rsidR="007112DA">
        <w:fldChar w:fldCharType="end"/>
      </w:r>
      <w:r w:rsidRPr="00894FB4">
        <w:rPr>
          <w:color w:val="000000" w:themeColor="text1"/>
        </w:rPr>
        <w:t>:</w:t>
      </w:r>
    </w:p>
    <w:p w:rsidR="00932B9A" w:rsidRPr="00D049CA" w:rsidRDefault="00894FB4" w:rsidP="00C47B23">
      <w:pPr>
        <w:pStyle w:val="BulletList"/>
        <w:ind w:left="1080"/>
        <w:rPr>
          <w:color w:val="000000" w:themeColor="text1"/>
        </w:rPr>
      </w:pPr>
      <w:r w:rsidRPr="00894FB4">
        <w:rPr>
          <w:color w:val="000000" w:themeColor="text1"/>
        </w:rPr>
        <w:t>Test/Gather CO</w:t>
      </w:r>
      <w:r w:rsidRPr="00CF70D5">
        <w:rPr>
          <w:color w:val="000000" w:themeColor="text1"/>
          <w:vertAlign w:val="subscript"/>
        </w:rPr>
        <w:t>2</w:t>
      </w:r>
      <w:r w:rsidRPr="00894FB4">
        <w:rPr>
          <w:color w:val="000000" w:themeColor="text1"/>
        </w:rPr>
        <w:t>, N</w:t>
      </w:r>
      <w:r w:rsidRPr="00CF70D5">
        <w:rPr>
          <w:color w:val="000000" w:themeColor="text1"/>
          <w:vertAlign w:val="subscript"/>
        </w:rPr>
        <w:t>2</w:t>
      </w:r>
      <w:r w:rsidRPr="00894FB4">
        <w:rPr>
          <w:color w:val="000000" w:themeColor="text1"/>
        </w:rPr>
        <w:t>O, CH</w:t>
      </w:r>
      <w:r w:rsidRPr="00CF70D5">
        <w:rPr>
          <w:color w:val="000000" w:themeColor="text1"/>
          <w:vertAlign w:val="subscript"/>
        </w:rPr>
        <w:t>4</w:t>
      </w:r>
      <w:r w:rsidRPr="00894FB4">
        <w:rPr>
          <w:color w:val="000000" w:themeColor="text1"/>
        </w:rPr>
        <w:t xml:space="preserve">, and HFC emission data on test vehicles </w:t>
      </w:r>
    </w:p>
    <w:p w:rsidR="00932B9A" w:rsidRPr="00D049CA" w:rsidRDefault="00894FB4" w:rsidP="00C47B23">
      <w:pPr>
        <w:pStyle w:val="BulletList"/>
        <w:ind w:left="1080"/>
        <w:rPr>
          <w:color w:val="000000" w:themeColor="text1"/>
        </w:rPr>
      </w:pPr>
      <w:proofErr w:type="spellStart"/>
      <w:r w:rsidRPr="00894FB4">
        <w:rPr>
          <w:color w:val="000000" w:themeColor="text1"/>
        </w:rPr>
        <w:t>Coastdown</w:t>
      </w:r>
      <w:proofErr w:type="spellEnd"/>
      <w:r w:rsidRPr="00894FB4">
        <w:rPr>
          <w:color w:val="000000" w:themeColor="text1"/>
        </w:rPr>
        <w:t xml:space="preserve"> test</w:t>
      </w:r>
    </w:p>
    <w:p w:rsidR="00932B9A" w:rsidRPr="00D049CA" w:rsidRDefault="00894FB4" w:rsidP="00C47B23">
      <w:pPr>
        <w:pStyle w:val="BulletList"/>
        <w:ind w:left="1080"/>
        <w:rPr>
          <w:color w:val="000000" w:themeColor="text1"/>
        </w:rPr>
      </w:pPr>
      <w:r w:rsidRPr="00894FB4">
        <w:rPr>
          <w:color w:val="000000" w:themeColor="text1"/>
        </w:rPr>
        <w:t>Analyze CO</w:t>
      </w:r>
      <w:r w:rsidRPr="00CF70D5">
        <w:rPr>
          <w:color w:val="000000" w:themeColor="text1"/>
          <w:vertAlign w:val="subscript"/>
        </w:rPr>
        <w:t>2</w:t>
      </w:r>
      <w:r w:rsidRPr="00894FB4">
        <w:rPr>
          <w:color w:val="000000" w:themeColor="text1"/>
        </w:rPr>
        <w:t>, N</w:t>
      </w:r>
      <w:r w:rsidRPr="00CF70D5">
        <w:rPr>
          <w:color w:val="000000" w:themeColor="text1"/>
          <w:vertAlign w:val="subscript"/>
        </w:rPr>
        <w:t>2</w:t>
      </w:r>
      <w:r w:rsidRPr="00894FB4">
        <w:rPr>
          <w:color w:val="000000" w:themeColor="text1"/>
        </w:rPr>
        <w:t>O, CH</w:t>
      </w:r>
      <w:r w:rsidRPr="00CF70D5">
        <w:rPr>
          <w:color w:val="000000" w:themeColor="text1"/>
          <w:vertAlign w:val="subscript"/>
        </w:rPr>
        <w:t>4</w:t>
      </w:r>
      <w:r w:rsidRPr="00894FB4">
        <w:rPr>
          <w:color w:val="000000" w:themeColor="text1"/>
        </w:rPr>
        <w:t>, and HFC data to determine compliance</w:t>
      </w:r>
    </w:p>
    <w:p w:rsidR="00074563" w:rsidRPr="00D049CA" w:rsidRDefault="00894FB4" w:rsidP="00C47B23">
      <w:pPr>
        <w:rPr>
          <w:color w:val="000000" w:themeColor="text1"/>
        </w:rPr>
      </w:pPr>
      <w:r w:rsidRPr="00894FB4">
        <w:rPr>
          <w:color w:val="000000" w:themeColor="text1"/>
        </w:rPr>
        <w:t xml:space="preserve">As shown in </w:t>
      </w:r>
      <w:r w:rsidR="007112DA">
        <w:fldChar w:fldCharType="begin"/>
      </w:r>
      <w:r w:rsidR="007112DA">
        <w:instrText xml:space="preserve"> REF _Ref418852361 \h  \* MERGEFORMAT </w:instrText>
      </w:r>
      <w:r w:rsidR="007112DA">
        <w:fldChar w:fldCharType="separate"/>
      </w:r>
      <w:r w:rsidR="00673E30" w:rsidRPr="00673E30">
        <w:rPr>
          <w:color w:val="000000" w:themeColor="text1"/>
        </w:rPr>
        <w:t xml:space="preserve">Table </w:t>
      </w:r>
      <w:r w:rsidR="00673E30" w:rsidRPr="00673E30">
        <w:rPr>
          <w:noProof/>
          <w:color w:val="000000" w:themeColor="text1"/>
        </w:rPr>
        <w:t>16</w:t>
      </w:r>
      <w:r w:rsidR="007112DA">
        <w:fldChar w:fldCharType="end"/>
      </w:r>
      <w:r w:rsidRPr="00894FB4">
        <w:rPr>
          <w:color w:val="000000" w:themeColor="text1"/>
        </w:rPr>
        <w:t xml:space="preserve">, based on these estimates, EPA and NHTSA expect to receive a total of 24 applications for certificates of conformity each year from the heavy-duty pickup truck and van regulatory category.   </w:t>
      </w:r>
      <w:r w:rsidR="00AE1D53">
        <w:rPr>
          <w:color w:val="000000" w:themeColor="text1"/>
        </w:rPr>
        <w:t>Because</w:t>
      </w:r>
      <w:r w:rsidRPr="00894FB4">
        <w:rPr>
          <w:color w:val="000000" w:themeColor="text1"/>
        </w:rPr>
        <w:t xml:space="preserve"> the manufacturers of heavy-duty pickup trucks and vans have recordkeeping systems in place for the existing criteria pollutant requirements, the agencies did not include a recordkeeping burden in this ICR.  The requirements to develop the application for certification are identified as the following in </w:t>
      </w:r>
      <w:r w:rsidR="007112DA">
        <w:fldChar w:fldCharType="begin"/>
      </w:r>
      <w:r w:rsidR="007112DA">
        <w:instrText xml:space="preserve"> REF _Ref418852361 \h  \* MERGEFORMAT </w:instrText>
      </w:r>
      <w:r w:rsidR="007112DA">
        <w:fldChar w:fldCharType="separate"/>
      </w:r>
      <w:r w:rsidR="00673E30" w:rsidRPr="00673E30">
        <w:rPr>
          <w:color w:val="000000" w:themeColor="text1"/>
        </w:rPr>
        <w:t xml:space="preserve">Table </w:t>
      </w:r>
      <w:r w:rsidR="00673E30" w:rsidRPr="00673E30">
        <w:rPr>
          <w:noProof/>
          <w:color w:val="000000" w:themeColor="text1"/>
        </w:rPr>
        <w:t>16</w:t>
      </w:r>
      <w:r w:rsidR="007112DA">
        <w:fldChar w:fldCharType="end"/>
      </w:r>
      <w:r w:rsidRPr="00894FB4">
        <w:rPr>
          <w:color w:val="000000" w:themeColor="text1"/>
        </w:rPr>
        <w:t>:</w:t>
      </w:r>
    </w:p>
    <w:p w:rsidR="00074563" w:rsidRPr="00D049CA" w:rsidRDefault="00894FB4" w:rsidP="00C47B23">
      <w:pPr>
        <w:pStyle w:val="BulletList"/>
        <w:ind w:left="1080"/>
        <w:rPr>
          <w:color w:val="000000" w:themeColor="text1"/>
        </w:rPr>
      </w:pPr>
      <w:r w:rsidRPr="00894FB4">
        <w:rPr>
          <w:color w:val="000000" w:themeColor="text1"/>
        </w:rPr>
        <w:t>Review of regulations</w:t>
      </w:r>
    </w:p>
    <w:p w:rsidR="00932B9A" w:rsidRPr="00D049CA" w:rsidRDefault="00894FB4" w:rsidP="00C47B23">
      <w:pPr>
        <w:pStyle w:val="BulletList"/>
        <w:ind w:left="1080"/>
        <w:rPr>
          <w:color w:val="000000" w:themeColor="text1"/>
        </w:rPr>
      </w:pPr>
      <w:r w:rsidRPr="00894FB4">
        <w:rPr>
          <w:color w:val="000000" w:themeColor="text1"/>
        </w:rPr>
        <w:t>Information technology upgrade to track GHG emissions (CO</w:t>
      </w:r>
      <w:r w:rsidRPr="00CF70D5">
        <w:rPr>
          <w:color w:val="000000" w:themeColor="text1"/>
          <w:vertAlign w:val="subscript"/>
        </w:rPr>
        <w:t>2</w:t>
      </w:r>
      <w:r w:rsidRPr="00894FB4">
        <w:rPr>
          <w:color w:val="000000" w:themeColor="text1"/>
        </w:rPr>
        <w:t>, N</w:t>
      </w:r>
      <w:r w:rsidRPr="00CF70D5">
        <w:rPr>
          <w:color w:val="000000" w:themeColor="text1"/>
          <w:vertAlign w:val="subscript"/>
        </w:rPr>
        <w:t>2</w:t>
      </w:r>
      <w:r w:rsidRPr="00894FB4">
        <w:rPr>
          <w:color w:val="000000" w:themeColor="text1"/>
        </w:rPr>
        <w:t>O, CH</w:t>
      </w:r>
      <w:r w:rsidRPr="00CF70D5">
        <w:rPr>
          <w:color w:val="000000" w:themeColor="text1"/>
          <w:vertAlign w:val="subscript"/>
        </w:rPr>
        <w:t>4</w:t>
      </w:r>
      <w:r w:rsidRPr="00894FB4">
        <w:rPr>
          <w:color w:val="000000" w:themeColor="text1"/>
        </w:rPr>
        <w:t>, and HFC) within the existing systems</w:t>
      </w:r>
    </w:p>
    <w:p w:rsidR="00074563" w:rsidRPr="00D049CA" w:rsidRDefault="00894FB4" w:rsidP="00C47B23">
      <w:pPr>
        <w:pStyle w:val="BulletList"/>
        <w:ind w:left="1080"/>
        <w:rPr>
          <w:color w:val="000000" w:themeColor="text1"/>
        </w:rPr>
      </w:pPr>
      <w:r w:rsidRPr="00894FB4">
        <w:rPr>
          <w:color w:val="000000" w:themeColor="text1"/>
        </w:rPr>
        <w:t>Prepare and submit certification application (including carryover applications)</w:t>
      </w:r>
    </w:p>
    <w:p w:rsidR="00932B9A" w:rsidRPr="00D049CA" w:rsidRDefault="00894FB4" w:rsidP="00C47B23">
      <w:pPr>
        <w:pStyle w:val="BulletList"/>
        <w:ind w:left="1080"/>
        <w:rPr>
          <w:color w:val="000000" w:themeColor="text1"/>
        </w:rPr>
      </w:pPr>
      <w:r w:rsidRPr="00894FB4">
        <w:rPr>
          <w:color w:val="000000" w:themeColor="text1"/>
        </w:rPr>
        <w:t xml:space="preserve">Collect and submit data for </w:t>
      </w:r>
      <w:proofErr w:type="spellStart"/>
      <w:r w:rsidRPr="00894FB4">
        <w:rPr>
          <w:color w:val="000000" w:themeColor="text1"/>
        </w:rPr>
        <w:t>ADFE</w:t>
      </w:r>
      <w:proofErr w:type="spellEnd"/>
      <w:r w:rsidRPr="00894FB4">
        <w:rPr>
          <w:color w:val="000000" w:themeColor="text1"/>
        </w:rPr>
        <w:t xml:space="preserve"> model</w:t>
      </w:r>
    </w:p>
    <w:p w:rsidR="00932B9A" w:rsidRPr="00D049CA" w:rsidRDefault="00894FB4" w:rsidP="00C47B23">
      <w:pPr>
        <w:pStyle w:val="BulletList"/>
        <w:ind w:left="1080"/>
        <w:rPr>
          <w:color w:val="000000" w:themeColor="text1"/>
        </w:rPr>
      </w:pPr>
      <w:r w:rsidRPr="00894FB4">
        <w:rPr>
          <w:color w:val="000000" w:themeColor="text1"/>
        </w:rPr>
        <w:t>Prepare and review GHG compliance plan</w:t>
      </w:r>
    </w:p>
    <w:p w:rsidR="00D049CA" w:rsidRDefault="00894FB4" w:rsidP="00C47B23">
      <w:pPr>
        <w:pStyle w:val="BulletList"/>
        <w:ind w:left="1080"/>
        <w:rPr>
          <w:color w:val="000000" w:themeColor="text1"/>
        </w:rPr>
      </w:pPr>
      <w:r w:rsidRPr="00894FB4">
        <w:rPr>
          <w:color w:val="000000" w:themeColor="text1"/>
        </w:rPr>
        <w:t>End of year and final production reports</w:t>
      </w:r>
    </w:p>
    <w:p w:rsidR="009A6C70" w:rsidRDefault="009A6C70" w:rsidP="009A6C70">
      <w:pPr>
        <w:pStyle w:val="Heading4"/>
      </w:pPr>
      <w:r>
        <w:t>Phase 2 Data Items: HD Pickups and Vans</w:t>
      </w:r>
    </w:p>
    <w:p w:rsidR="005A63AF" w:rsidRDefault="003712CB" w:rsidP="001F71DC">
      <w:pPr>
        <w:rPr>
          <w:color w:val="000000" w:themeColor="text1"/>
        </w:rPr>
      </w:pPr>
      <w:r>
        <w:t xml:space="preserve">The agencies are not proposing to require any new data items to be collected or reported </w:t>
      </w:r>
      <w:r w:rsidR="009A6C70">
        <w:t>in MY 2020 and beyond for these vehicle manufacturers</w:t>
      </w:r>
      <w:r>
        <w:t>.</w:t>
      </w:r>
    </w:p>
    <w:p w:rsidR="005A63AF" w:rsidRDefault="00894FB4">
      <w:pPr>
        <w:pStyle w:val="Heading3"/>
        <w:rPr>
          <w:color w:val="000000" w:themeColor="text1"/>
        </w:rPr>
      </w:pPr>
      <w:r w:rsidRPr="00894FB4">
        <w:rPr>
          <w:color w:val="000000" w:themeColor="text1"/>
        </w:rPr>
        <w:t xml:space="preserve">Engine Manufacturers </w:t>
      </w:r>
    </w:p>
    <w:p w:rsidR="00762D14" w:rsidRPr="00D049CA" w:rsidRDefault="00894FB4" w:rsidP="008B7FD9">
      <w:pPr>
        <w:rPr>
          <w:color w:val="000000" w:themeColor="text1"/>
        </w:rPr>
      </w:pPr>
      <w:r w:rsidRPr="00894FB4">
        <w:rPr>
          <w:color w:val="000000" w:themeColor="text1"/>
        </w:rPr>
        <w:t xml:space="preserve">For engine manufacturers, the information and reporting burden associated with the proposed Phase 2 National HD Program occur within the context of EPA’s existing engine certification program for controlling criteria pollutants and the HD Phase 1 National Program.  In constructing a program to address GHG pollutants, EPA built upon this existing infrastructure, thus creating minimal new certification testing and reporting requirements for engine manufacturers for Phase 2.  </w:t>
      </w:r>
    </w:p>
    <w:p w:rsidR="009A6C70" w:rsidRPr="00D76E2F" w:rsidRDefault="009A6C70" w:rsidP="00D76E2F">
      <w:pPr>
        <w:pStyle w:val="Heading4"/>
        <w:numPr>
          <w:ilvl w:val="3"/>
          <w:numId w:val="19"/>
        </w:numPr>
        <w:rPr>
          <w:b/>
          <w:bCs/>
          <w:color w:val="000000" w:themeColor="text1"/>
          <w:u w:val="single"/>
        </w:rPr>
      </w:pPr>
      <w:r w:rsidRPr="00D76E2F">
        <w:rPr>
          <w:b/>
          <w:bCs/>
          <w:color w:val="000000" w:themeColor="text1"/>
          <w:u w:val="single"/>
        </w:rPr>
        <w:t>Phase 1 Data Items: HD Engines</w:t>
      </w:r>
    </w:p>
    <w:p w:rsidR="00762D14" w:rsidRPr="00D049CA" w:rsidRDefault="00D76E2F" w:rsidP="008B7FD9">
      <w:pPr>
        <w:rPr>
          <w:color w:val="000000" w:themeColor="text1"/>
        </w:rPr>
      </w:pPr>
      <w:r>
        <w:rPr>
          <w:color w:val="000000" w:themeColor="text1"/>
        </w:rPr>
        <w:t>T</w:t>
      </w:r>
      <w:r w:rsidRPr="00894FB4">
        <w:rPr>
          <w:color w:val="000000" w:themeColor="text1"/>
        </w:rPr>
        <w:t>he agencies developed the GHG certification by building on the existing criteria pollutant certification template.</w:t>
      </w:r>
      <w:r>
        <w:rPr>
          <w:color w:val="000000" w:themeColor="text1"/>
        </w:rPr>
        <w:t xml:space="preserve"> T</w:t>
      </w:r>
      <w:r w:rsidR="00894FB4" w:rsidRPr="00894FB4">
        <w:rPr>
          <w:color w:val="000000" w:themeColor="text1"/>
        </w:rPr>
        <w:t xml:space="preserve">he </w:t>
      </w:r>
      <w:r>
        <w:rPr>
          <w:color w:val="000000" w:themeColor="text1"/>
        </w:rPr>
        <w:t xml:space="preserve">Phase 1 </w:t>
      </w:r>
      <w:r w:rsidR="00894FB4" w:rsidRPr="00894FB4">
        <w:rPr>
          <w:color w:val="000000" w:themeColor="text1"/>
        </w:rPr>
        <w:t xml:space="preserve">rule directs engine manufacturers to use the same selection criteria, as outlined in 40 CFR </w:t>
      </w:r>
      <w:r w:rsidR="00114EA4">
        <w:rPr>
          <w:color w:val="000000" w:themeColor="text1"/>
        </w:rPr>
        <w:t>p</w:t>
      </w:r>
      <w:r w:rsidR="00894FB4" w:rsidRPr="00894FB4">
        <w:rPr>
          <w:color w:val="000000" w:themeColor="text1"/>
        </w:rPr>
        <w:t xml:space="preserve">art 86, </w:t>
      </w:r>
      <w:r w:rsidR="00114EA4">
        <w:rPr>
          <w:color w:val="000000" w:themeColor="text1"/>
        </w:rPr>
        <w:t>subpart A</w:t>
      </w:r>
      <w:r w:rsidR="00894FB4" w:rsidRPr="00894FB4">
        <w:rPr>
          <w:color w:val="000000" w:themeColor="text1"/>
        </w:rPr>
        <w:t xml:space="preserve">, to define a single engine family designation for both criteria pollutant and GHG emissions. </w:t>
      </w:r>
    </w:p>
    <w:p w:rsidR="00DF6099" w:rsidRPr="00D049CA" w:rsidRDefault="00894FB4" w:rsidP="00673E30">
      <w:pPr>
        <w:widowControl/>
        <w:rPr>
          <w:color w:val="000000" w:themeColor="text1"/>
        </w:rPr>
      </w:pPr>
      <w:r w:rsidRPr="00894FB4">
        <w:rPr>
          <w:color w:val="000000" w:themeColor="text1"/>
        </w:rPr>
        <w:lastRenderedPageBreak/>
        <w:t xml:space="preserve">The Phase </w:t>
      </w:r>
      <w:r w:rsidR="00D76E2F">
        <w:rPr>
          <w:color w:val="000000" w:themeColor="text1"/>
        </w:rPr>
        <w:t>1</w:t>
      </w:r>
      <w:r w:rsidRPr="00894FB4">
        <w:rPr>
          <w:color w:val="000000" w:themeColor="text1"/>
        </w:rPr>
        <w:t xml:space="preserve"> requirements for engine manufacturers’ application for certification in </w:t>
      </w:r>
      <w:r w:rsidR="00D76E2F">
        <w:rPr>
          <w:color w:val="000000" w:themeColor="text1"/>
        </w:rPr>
        <w:t xml:space="preserve">model </w:t>
      </w:r>
      <w:r w:rsidRPr="00894FB4">
        <w:rPr>
          <w:color w:val="000000" w:themeColor="text1"/>
        </w:rPr>
        <w:t xml:space="preserve">years 2017-2019 are listed in </w:t>
      </w:r>
      <w:r w:rsidR="007112DA">
        <w:fldChar w:fldCharType="begin"/>
      </w:r>
      <w:r w:rsidR="007112DA">
        <w:instrText xml:space="preserve"> REF _Ref418852424 \h  \* MERGEFORMAT </w:instrText>
      </w:r>
      <w:r w:rsidR="007112DA">
        <w:fldChar w:fldCharType="separate"/>
      </w:r>
      <w:r w:rsidR="00673E30" w:rsidRPr="00673E30">
        <w:rPr>
          <w:color w:val="000000" w:themeColor="text1"/>
        </w:rPr>
        <w:t>Table 5</w:t>
      </w:r>
      <w:r w:rsidR="007112DA">
        <w:fldChar w:fldCharType="end"/>
      </w:r>
      <w:r w:rsidRPr="00894FB4">
        <w:rPr>
          <w:color w:val="000000" w:themeColor="text1"/>
        </w:rPr>
        <w:t xml:space="preserve"> and </w:t>
      </w:r>
      <w:r w:rsidR="007112DA">
        <w:fldChar w:fldCharType="begin"/>
      </w:r>
      <w:r w:rsidR="007112DA">
        <w:instrText xml:space="preserve"> REF _Ref418852434 \h  \* MERGEFORMAT </w:instrText>
      </w:r>
      <w:r w:rsidR="007112DA">
        <w:fldChar w:fldCharType="separate"/>
      </w:r>
      <w:r w:rsidR="00673E30" w:rsidRPr="00673E30">
        <w:rPr>
          <w:color w:val="000000" w:themeColor="text1"/>
        </w:rPr>
        <w:t>Table 6</w:t>
      </w:r>
      <w:r w:rsidR="007112DA">
        <w:fldChar w:fldCharType="end"/>
      </w:r>
      <w:r w:rsidRPr="00894FB4">
        <w:rPr>
          <w:color w:val="000000" w:themeColor="text1"/>
        </w:rPr>
        <w:t>.  The majority of these requirements would be reported to t</w:t>
      </w:r>
      <w:r w:rsidR="00C62D24">
        <w:rPr>
          <w:color w:val="000000" w:themeColor="text1"/>
        </w:rPr>
        <w:t>he agenc</w:t>
      </w:r>
      <w:r w:rsidRPr="00894FB4">
        <w:rPr>
          <w:color w:val="000000" w:themeColor="text1"/>
        </w:rPr>
        <w:t xml:space="preserve">ies through the HD engine certification template provided to manufacturers.  </w:t>
      </w:r>
    </w:p>
    <w:p w:rsidR="005A63AF" w:rsidRPr="00BF034E" w:rsidRDefault="00894FB4" w:rsidP="00BF034E">
      <w:pPr>
        <w:pStyle w:val="Caption"/>
        <w:rPr>
          <w:color w:val="000000" w:themeColor="text1"/>
          <w:sz w:val="20"/>
          <w:szCs w:val="20"/>
        </w:rPr>
      </w:pPr>
      <w:bookmarkStart w:id="4" w:name="_Ref418852424"/>
      <w:r w:rsidRPr="00BF034E">
        <w:rPr>
          <w:color w:val="000000" w:themeColor="text1"/>
          <w:sz w:val="20"/>
          <w:szCs w:val="20"/>
        </w:rPr>
        <w:t xml:space="preserve">Table </w:t>
      </w:r>
      <w:r w:rsidR="00121BAD" w:rsidRPr="00BF034E">
        <w:rPr>
          <w:color w:val="000000" w:themeColor="text1"/>
          <w:sz w:val="20"/>
          <w:szCs w:val="20"/>
        </w:rPr>
        <w:fldChar w:fldCharType="begin"/>
      </w:r>
      <w:r w:rsidRPr="00BF034E">
        <w:rPr>
          <w:color w:val="000000" w:themeColor="text1"/>
          <w:sz w:val="20"/>
          <w:szCs w:val="20"/>
        </w:rPr>
        <w:instrText xml:space="preserve"> SEQ Table \* ARABIC </w:instrText>
      </w:r>
      <w:r w:rsidR="00121BAD" w:rsidRPr="00BF034E">
        <w:rPr>
          <w:color w:val="000000" w:themeColor="text1"/>
          <w:sz w:val="20"/>
          <w:szCs w:val="20"/>
        </w:rPr>
        <w:fldChar w:fldCharType="separate"/>
      </w:r>
      <w:r w:rsidR="00673E30">
        <w:rPr>
          <w:noProof/>
          <w:color w:val="000000" w:themeColor="text1"/>
          <w:sz w:val="20"/>
          <w:szCs w:val="20"/>
        </w:rPr>
        <w:t>5</w:t>
      </w:r>
      <w:r w:rsidR="00121BAD" w:rsidRPr="00BF034E">
        <w:rPr>
          <w:color w:val="000000" w:themeColor="text1"/>
          <w:sz w:val="20"/>
          <w:szCs w:val="20"/>
        </w:rPr>
        <w:fldChar w:fldCharType="end"/>
      </w:r>
      <w:bookmarkEnd w:id="4"/>
      <w:r w:rsidRPr="00BF034E">
        <w:rPr>
          <w:color w:val="000000" w:themeColor="text1"/>
          <w:sz w:val="20"/>
          <w:szCs w:val="20"/>
        </w:rPr>
        <w:t xml:space="preserve"> Engine Manufacturers 40 CFR 1036.205</w:t>
      </w:r>
    </w:p>
    <w:tbl>
      <w:tblPr>
        <w:tblW w:w="8910" w:type="dxa"/>
        <w:tblInd w:w="35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8910"/>
      </w:tblGrid>
      <w:tr w:rsidR="00154BE3" w:rsidRPr="00D049CA"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5A63AF" w:rsidRDefault="00894FB4">
            <w:pPr>
              <w:pStyle w:val="Default3"/>
              <w:keepNext/>
              <w:widowControl w:val="0"/>
              <w:outlineLvl w:val="0"/>
              <w:rPr>
                <w:color w:val="000000" w:themeColor="text1"/>
              </w:rPr>
            </w:pPr>
            <w:r w:rsidRPr="00894FB4">
              <w:rPr>
                <w:color w:val="000000" w:themeColor="text1"/>
              </w:rPr>
              <w:t>Description of engine families as related to requirements for GHG standards, including CO</w:t>
            </w:r>
            <w:r w:rsidRPr="00CF70D5">
              <w:rPr>
                <w:color w:val="000000" w:themeColor="text1"/>
                <w:vertAlign w:val="subscript"/>
              </w:rPr>
              <w:t>2</w:t>
            </w:r>
            <w:r w:rsidRPr="00894FB4">
              <w:rPr>
                <w:color w:val="000000" w:themeColor="text1"/>
              </w:rPr>
              <w:t>, CH</w:t>
            </w:r>
            <w:r w:rsidRPr="00CF70D5">
              <w:rPr>
                <w:color w:val="000000" w:themeColor="text1"/>
                <w:vertAlign w:val="subscript"/>
              </w:rPr>
              <w:t>4</w:t>
            </w:r>
            <w:r w:rsidRPr="00894FB4">
              <w:rPr>
                <w:color w:val="000000" w:themeColor="text1"/>
              </w:rPr>
              <w:t xml:space="preserve"> and N</w:t>
            </w:r>
            <w:r w:rsidRPr="00CF70D5">
              <w:rPr>
                <w:color w:val="000000" w:themeColor="text1"/>
                <w:vertAlign w:val="subscript"/>
              </w:rPr>
              <w:t>2</w:t>
            </w:r>
            <w:r w:rsidRPr="00894FB4">
              <w:rPr>
                <w:color w:val="000000" w:themeColor="text1"/>
              </w:rPr>
              <w:t>O, as applicable</w:t>
            </w:r>
          </w:p>
        </w:tc>
      </w:tr>
      <w:tr w:rsidR="00154BE3" w:rsidRPr="00D049CA" w:rsidTr="00154BE3">
        <w:trPr>
          <w:cantSplit/>
          <w:trHeight w:val="441"/>
        </w:trPr>
        <w:tc>
          <w:tcPr>
            <w:tcW w:w="8910" w:type="dxa"/>
            <w:tcBorders>
              <w:top w:val="double" w:sz="7" w:space="0" w:color="000000"/>
              <w:left w:val="double" w:sz="7" w:space="0" w:color="000000"/>
              <w:bottom w:val="double" w:sz="7" w:space="0" w:color="000000"/>
              <w:right w:val="single" w:sz="7" w:space="0" w:color="000000"/>
            </w:tcBorders>
          </w:tcPr>
          <w:p w:rsidR="005A63AF" w:rsidRDefault="00894FB4">
            <w:pPr>
              <w:pStyle w:val="Default3"/>
              <w:keepNext/>
              <w:widowControl w:val="0"/>
              <w:outlineLvl w:val="0"/>
              <w:rPr>
                <w:color w:val="000000" w:themeColor="text1"/>
              </w:rPr>
            </w:pPr>
            <w:r w:rsidRPr="00894FB4">
              <w:rPr>
                <w:color w:val="000000" w:themeColor="text1"/>
              </w:rPr>
              <w:t>Description of emission control system, including auxiliary-emission control devices to be installed on production vehicles</w:t>
            </w:r>
          </w:p>
        </w:tc>
      </w:tr>
      <w:tr w:rsidR="00154BE3" w:rsidRPr="00D049CA" w:rsidTr="00154BE3">
        <w:trPr>
          <w:cantSplit/>
          <w:trHeight w:val="297"/>
        </w:trPr>
        <w:tc>
          <w:tcPr>
            <w:tcW w:w="8910" w:type="dxa"/>
            <w:tcBorders>
              <w:top w:val="double" w:sz="7" w:space="0" w:color="000000"/>
              <w:left w:val="double" w:sz="7" w:space="0" w:color="000000"/>
              <w:bottom w:val="double" w:sz="7" w:space="0" w:color="000000"/>
              <w:right w:val="single" w:sz="7" w:space="0" w:color="000000"/>
            </w:tcBorders>
          </w:tcPr>
          <w:p w:rsidR="005A63AF" w:rsidRDefault="00894FB4">
            <w:pPr>
              <w:pStyle w:val="Default3"/>
              <w:keepNext/>
              <w:widowControl w:val="0"/>
              <w:outlineLvl w:val="0"/>
              <w:rPr>
                <w:color w:val="000000" w:themeColor="text1"/>
              </w:rPr>
            </w:pPr>
            <w:r w:rsidRPr="00894FB4">
              <w:rPr>
                <w:color w:val="000000" w:themeColor="text1"/>
              </w:rPr>
              <w:t>Description of test engines selected for testing and rationale for selection</w:t>
            </w:r>
          </w:p>
        </w:tc>
      </w:tr>
      <w:tr w:rsidR="00154BE3" w:rsidRPr="00D049CA" w:rsidTr="00154BE3">
        <w:trPr>
          <w:cantSplit/>
          <w:trHeight w:val="216"/>
        </w:trPr>
        <w:tc>
          <w:tcPr>
            <w:tcW w:w="8910" w:type="dxa"/>
            <w:tcBorders>
              <w:top w:val="double" w:sz="7" w:space="0" w:color="000000"/>
              <w:left w:val="double" w:sz="7" w:space="0" w:color="000000"/>
              <w:bottom w:val="double" w:sz="7" w:space="0" w:color="000000"/>
              <w:right w:val="single" w:sz="7" w:space="0" w:color="000000"/>
            </w:tcBorders>
          </w:tcPr>
          <w:p w:rsidR="005A63AF" w:rsidRDefault="00894FB4">
            <w:pPr>
              <w:pStyle w:val="Default3"/>
              <w:keepNext/>
              <w:widowControl w:val="0"/>
              <w:outlineLvl w:val="0"/>
              <w:rPr>
                <w:color w:val="000000" w:themeColor="text1"/>
              </w:rPr>
            </w:pPr>
            <w:r w:rsidRPr="00894FB4">
              <w:rPr>
                <w:color w:val="000000" w:themeColor="text1"/>
              </w:rPr>
              <w:t xml:space="preserve">Description of test procedures and equipment, including alternate tests if applicable  </w:t>
            </w:r>
          </w:p>
        </w:tc>
      </w:tr>
      <w:tr w:rsidR="00154BE3" w:rsidRPr="00D049CA"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5A63AF" w:rsidRDefault="00894FB4">
            <w:pPr>
              <w:pStyle w:val="Default3"/>
              <w:keepNext/>
              <w:widowControl w:val="0"/>
              <w:outlineLvl w:val="0"/>
              <w:rPr>
                <w:color w:val="000000" w:themeColor="text1"/>
              </w:rPr>
            </w:pPr>
            <w:r w:rsidRPr="00894FB4">
              <w:rPr>
                <w:color w:val="000000" w:themeColor="text1"/>
              </w:rPr>
              <w:t>Instructions for Engine Installation</w:t>
            </w:r>
          </w:p>
        </w:tc>
      </w:tr>
      <w:tr w:rsidR="00154BE3" w:rsidRPr="00D049CA" w:rsidTr="00154BE3">
        <w:trPr>
          <w:cantSplit/>
          <w:trHeight w:val="297"/>
        </w:trPr>
        <w:tc>
          <w:tcPr>
            <w:tcW w:w="8910" w:type="dxa"/>
            <w:tcBorders>
              <w:top w:val="double" w:sz="7" w:space="0" w:color="000000"/>
              <w:left w:val="double" w:sz="7" w:space="0" w:color="000000"/>
              <w:bottom w:val="double" w:sz="7" w:space="0" w:color="000000"/>
              <w:right w:val="single" w:sz="7" w:space="0" w:color="000000"/>
            </w:tcBorders>
          </w:tcPr>
          <w:p w:rsidR="005A63AF" w:rsidRDefault="00894FB4">
            <w:pPr>
              <w:pStyle w:val="Default3"/>
              <w:keepNext/>
              <w:widowControl w:val="0"/>
              <w:outlineLvl w:val="0"/>
              <w:rPr>
                <w:color w:val="000000" w:themeColor="text1"/>
              </w:rPr>
            </w:pPr>
            <w:r w:rsidRPr="00894FB4">
              <w:rPr>
                <w:color w:val="000000" w:themeColor="text1"/>
              </w:rPr>
              <w:t xml:space="preserve">Describe Label Information </w:t>
            </w:r>
          </w:p>
        </w:tc>
      </w:tr>
      <w:tr w:rsidR="00154BE3" w:rsidRPr="00D049CA"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5A63AF" w:rsidRDefault="00894FB4">
            <w:pPr>
              <w:pStyle w:val="Default3"/>
              <w:keepNext/>
              <w:widowControl w:val="0"/>
              <w:outlineLvl w:val="0"/>
              <w:rPr>
                <w:color w:val="000000" w:themeColor="text1"/>
              </w:rPr>
            </w:pPr>
            <w:r w:rsidRPr="00894FB4">
              <w:rPr>
                <w:color w:val="000000" w:themeColor="text1"/>
              </w:rPr>
              <w:t>Engine placement (combination tractors, vocational vehicles)</w:t>
            </w:r>
          </w:p>
        </w:tc>
      </w:tr>
      <w:tr w:rsidR="00154BE3" w:rsidRPr="00D049CA"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5A63AF" w:rsidRDefault="00894FB4">
            <w:pPr>
              <w:pStyle w:val="Default3"/>
              <w:keepNext/>
              <w:widowControl w:val="0"/>
              <w:outlineLvl w:val="0"/>
              <w:rPr>
                <w:color w:val="000000" w:themeColor="text1"/>
              </w:rPr>
            </w:pPr>
            <w:r w:rsidRPr="00894FB4">
              <w:rPr>
                <w:color w:val="000000" w:themeColor="text1"/>
              </w:rPr>
              <w:t xml:space="preserve">Intent to participate in Averaging, Banking &amp; Trading and/or other available emissions credit programs </w:t>
            </w:r>
          </w:p>
        </w:tc>
      </w:tr>
      <w:tr w:rsidR="00154BE3" w:rsidRPr="00D049CA" w:rsidTr="00154BE3">
        <w:trPr>
          <w:cantSplit/>
          <w:trHeight w:val="234"/>
        </w:trPr>
        <w:tc>
          <w:tcPr>
            <w:tcW w:w="8910" w:type="dxa"/>
            <w:tcBorders>
              <w:top w:val="double" w:sz="7" w:space="0" w:color="000000"/>
              <w:left w:val="double" w:sz="7" w:space="0" w:color="000000"/>
              <w:bottom w:val="double" w:sz="7" w:space="0" w:color="000000"/>
              <w:right w:val="single" w:sz="7" w:space="0" w:color="000000"/>
            </w:tcBorders>
          </w:tcPr>
          <w:p w:rsidR="005A63AF" w:rsidRDefault="00894FB4">
            <w:pPr>
              <w:pStyle w:val="Default3"/>
              <w:keepNext/>
              <w:widowControl w:val="0"/>
              <w:outlineLvl w:val="0"/>
              <w:rPr>
                <w:color w:val="000000" w:themeColor="text1"/>
              </w:rPr>
            </w:pPr>
            <w:r w:rsidRPr="00894FB4">
              <w:rPr>
                <w:color w:val="000000" w:themeColor="text1"/>
              </w:rPr>
              <w:t>Family Certification Limits</w:t>
            </w:r>
          </w:p>
        </w:tc>
      </w:tr>
      <w:tr w:rsidR="00154BE3" w:rsidRPr="00D049CA" w:rsidTr="00154BE3">
        <w:trPr>
          <w:cantSplit/>
          <w:trHeight w:val="216"/>
        </w:trPr>
        <w:tc>
          <w:tcPr>
            <w:tcW w:w="8910" w:type="dxa"/>
            <w:tcBorders>
              <w:top w:val="double" w:sz="7" w:space="0" w:color="000000"/>
              <w:left w:val="double" w:sz="7" w:space="0" w:color="000000"/>
              <w:bottom w:val="double" w:sz="7" w:space="0" w:color="000000"/>
              <w:right w:val="single" w:sz="7" w:space="0" w:color="000000"/>
            </w:tcBorders>
          </w:tcPr>
          <w:p w:rsidR="005A63AF" w:rsidRDefault="00894FB4">
            <w:pPr>
              <w:pStyle w:val="Default3"/>
              <w:keepNext/>
              <w:widowControl w:val="0"/>
              <w:outlineLvl w:val="0"/>
              <w:rPr>
                <w:color w:val="000000" w:themeColor="text1"/>
              </w:rPr>
            </w:pPr>
            <w:r w:rsidRPr="00894FB4">
              <w:rPr>
                <w:color w:val="000000" w:themeColor="text1"/>
              </w:rPr>
              <w:t>Family Emission Limits</w:t>
            </w:r>
          </w:p>
        </w:tc>
      </w:tr>
      <w:tr w:rsidR="00154BE3" w:rsidRPr="00D049CA"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5A63AF" w:rsidRDefault="00894FB4">
            <w:pPr>
              <w:pStyle w:val="Default3"/>
              <w:keepNext/>
              <w:widowControl w:val="0"/>
              <w:outlineLvl w:val="0"/>
              <w:rPr>
                <w:color w:val="000000" w:themeColor="text1"/>
              </w:rPr>
            </w:pPr>
            <w:r w:rsidRPr="00894FB4">
              <w:rPr>
                <w:color w:val="000000" w:themeColor="text1"/>
              </w:rPr>
              <w:t>Statement of Compliance</w:t>
            </w:r>
          </w:p>
        </w:tc>
      </w:tr>
      <w:tr w:rsidR="00154BE3" w:rsidRPr="00D049CA" w:rsidTr="00154BE3">
        <w:trPr>
          <w:cantSplit/>
          <w:trHeight w:val="216"/>
        </w:trPr>
        <w:tc>
          <w:tcPr>
            <w:tcW w:w="8910" w:type="dxa"/>
            <w:tcBorders>
              <w:top w:val="double" w:sz="7" w:space="0" w:color="000000"/>
              <w:left w:val="double" w:sz="7" w:space="0" w:color="000000"/>
              <w:bottom w:val="double" w:sz="7" w:space="0" w:color="000000"/>
              <w:right w:val="single" w:sz="7" w:space="0" w:color="000000"/>
            </w:tcBorders>
          </w:tcPr>
          <w:p w:rsidR="005A63AF" w:rsidRDefault="00894FB4">
            <w:pPr>
              <w:pStyle w:val="Default3"/>
              <w:keepNext/>
              <w:widowControl w:val="0"/>
              <w:outlineLvl w:val="0"/>
              <w:rPr>
                <w:color w:val="000000" w:themeColor="text1"/>
              </w:rPr>
            </w:pPr>
            <w:r w:rsidRPr="00894FB4">
              <w:rPr>
                <w:color w:val="000000" w:themeColor="text1"/>
              </w:rPr>
              <w:t>Good-faith estimates of U.S. production volumes</w:t>
            </w:r>
          </w:p>
        </w:tc>
      </w:tr>
      <w:tr w:rsidR="00154BE3" w:rsidRPr="00D049CA"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5A63AF" w:rsidRDefault="004E1501" w:rsidP="004E1501">
            <w:pPr>
              <w:pStyle w:val="Default3"/>
              <w:keepNext/>
              <w:widowControl w:val="0"/>
              <w:outlineLvl w:val="0"/>
              <w:rPr>
                <w:color w:val="000000" w:themeColor="text1"/>
              </w:rPr>
            </w:pPr>
            <w:r>
              <w:rPr>
                <w:color w:val="000000" w:themeColor="text1"/>
              </w:rPr>
              <w:t>Final</w:t>
            </w:r>
            <w:r w:rsidR="00894FB4" w:rsidRPr="00894FB4">
              <w:rPr>
                <w:color w:val="000000" w:themeColor="text1"/>
              </w:rPr>
              <w:t xml:space="preserve"> production reports</w:t>
            </w:r>
          </w:p>
        </w:tc>
      </w:tr>
      <w:tr w:rsidR="00154BE3" w:rsidRPr="00D049CA"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5A63AF" w:rsidRDefault="00894FB4">
            <w:pPr>
              <w:pStyle w:val="Default3"/>
              <w:keepNext/>
              <w:widowControl w:val="0"/>
              <w:outlineLvl w:val="0"/>
              <w:rPr>
                <w:color w:val="000000" w:themeColor="text1"/>
              </w:rPr>
            </w:pPr>
            <w:r w:rsidRPr="00894FB4">
              <w:rPr>
                <w:color w:val="000000" w:themeColor="text1"/>
              </w:rPr>
              <w:t>Amendment to certification application</w:t>
            </w:r>
          </w:p>
        </w:tc>
      </w:tr>
      <w:tr w:rsidR="00154BE3" w:rsidRPr="00D049CA"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5A63AF" w:rsidRDefault="00894FB4">
            <w:pPr>
              <w:pStyle w:val="Default3"/>
              <w:keepNext/>
              <w:widowControl w:val="0"/>
              <w:outlineLvl w:val="0"/>
              <w:rPr>
                <w:color w:val="000000" w:themeColor="text1"/>
              </w:rPr>
            </w:pPr>
            <w:r w:rsidRPr="00894FB4">
              <w:rPr>
                <w:color w:val="000000" w:themeColor="text1"/>
              </w:rPr>
              <w:t>Name of U.S.-based service agent</w:t>
            </w:r>
          </w:p>
        </w:tc>
      </w:tr>
    </w:tbl>
    <w:p w:rsidR="00154BE3" w:rsidRPr="00D049CA" w:rsidRDefault="00154BE3" w:rsidP="008B7FD9">
      <w:pPr>
        <w:pStyle w:val="BulletList"/>
        <w:numPr>
          <w:ilvl w:val="0"/>
          <w:numId w:val="0"/>
        </w:numPr>
        <w:ind w:left="360"/>
        <w:rPr>
          <w:color w:val="000000" w:themeColor="text1"/>
        </w:rPr>
      </w:pPr>
    </w:p>
    <w:p w:rsidR="00AE1D53" w:rsidRDefault="00894FB4" w:rsidP="00AE1D53">
      <w:pPr>
        <w:pStyle w:val="Caption"/>
        <w:keepNext/>
        <w:rPr>
          <w:color w:val="000000" w:themeColor="text1"/>
        </w:rPr>
      </w:pPr>
      <w:bookmarkStart w:id="5" w:name="_Ref418852434"/>
      <w:r w:rsidRPr="00BF034E">
        <w:rPr>
          <w:color w:val="000000" w:themeColor="text1"/>
          <w:sz w:val="20"/>
          <w:szCs w:val="20"/>
        </w:rPr>
        <w:t xml:space="preserve">Table </w:t>
      </w:r>
      <w:r w:rsidR="00121BAD" w:rsidRPr="00BF034E">
        <w:rPr>
          <w:color w:val="000000" w:themeColor="text1"/>
          <w:sz w:val="20"/>
          <w:szCs w:val="20"/>
        </w:rPr>
        <w:fldChar w:fldCharType="begin"/>
      </w:r>
      <w:r w:rsidRPr="00BF034E">
        <w:rPr>
          <w:color w:val="000000" w:themeColor="text1"/>
          <w:sz w:val="20"/>
          <w:szCs w:val="20"/>
        </w:rPr>
        <w:instrText xml:space="preserve"> SEQ Table \* ARABIC </w:instrText>
      </w:r>
      <w:r w:rsidR="00121BAD" w:rsidRPr="00BF034E">
        <w:rPr>
          <w:color w:val="000000" w:themeColor="text1"/>
          <w:sz w:val="20"/>
          <w:szCs w:val="20"/>
        </w:rPr>
        <w:fldChar w:fldCharType="separate"/>
      </w:r>
      <w:r w:rsidR="00673E30">
        <w:rPr>
          <w:noProof/>
          <w:color w:val="000000" w:themeColor="text1"/>
          <w:sz w:val="20"/>
          <w:szCs w:val="20"/>
        </w:rPr>
        <w:t>6</w:t>
      </w:r>
      <w:r w:rsidR="00121BAD" w:rsidRPr="00BF034E">
        <w:rPr>
          <w:color w:val="000000" w:themeColor="text1"/>
          <w:sz w:val="20"/>
          <w:szCs w:val="20"/>
        </w:rPr>
        <w:fldChar w:fldCharType="end"/>
      </w:r>
      <w:bookmarkEnd w:id="5"/>
      <w:r w:rsidRPr="00BF034E">
        <w:rPr>
          <w:color w:val="000000" w:themeColor="text1"/>
          <w:sz w:val="20"/>
          <w:szCs w:val="20"/>
        </w:rPr>
        <w:t xml:space="preserve"> Summary of Additional Information Required for Compliance - Engines</w:t>
      </w:r>
    </w:p>
    <w:tbl>
      <w:tblPr>
        <w:tblW w:w="0" w:type="auto"/>
        <w:jc w:val="center"/>
        <w:tblLayout w:type="fixed"/>
        <w:tblCellMar>
          <w:left w:w="72" w:type="dxa"/>
          <w:right w:w="72" w:type="dxa"/>
        </w:tblCellMar>
        <w:tblLook w:val="00A0" w:firstRow="1" w:lastRow="0" w:firstColumn="1" w:lastColumn="0" w:noHBand="0" w:noVBand="0"/>
      </w:tblPr>
      <w:tblGrid>
        <w:gridCol w:w="1350"/>
        <w:gridCol w:w="3029"/>
        <w:gridCol w:w="2281"/>
        <w:gridCol w:w="1260"/>
        <w:gridCol w:w="1440"/>
      </w:tblGrid>
      <w:tr w:rsidR="00154BE3" w:rsidRPr="00D049CA" w:rsidTr="00154BE3">
        <w:trPr>
          <w:trHeight w:val="503"/>
          <w:jc w:val="center"/>
        </w:trPr>
        <w:tc>
          <w:tcPr>
            <w:tcW w:w="1350" w:type="dxa"/>
            <w:tcBorders>
              <w:top w:val="double" w:sz="6" w:space="0" w:color="000000"/>
              <w:left w:val="double" w:sz="6" w:space="0" w:color="000000"/>
              <w:bottom w:val="single" w:sz="6" w:space="0" w:color="000000"/>
              <w:right w:val="single" w:sz="6" w:space="0" w:color="000000"/>
            </w:tcBorders>
          </w:tcPr>
          <w:p w:rsidR="005A63AF" w:rsidRDefault="00894FB4">
            <w:pPr>
              <w:pStyle w:val="Default3"/>
              <w:keepNext/>
              <w:widowControl w:val="0"/>
              <w:outlineLvl w:val="0"/>
              <w:rPr>
                <w:color w:val="000000" w:themeColor="text1"/>
              </w:rPr>
            </w:pPr>
            <w:r w:rsidRPr="00894FB4">
              <w:rPr>
                <w:color w:val="000000" w:themeColor="text1"/>
              </w:rPr>
              <w:t>Submission</w:t>
            </w:r>
          </w:p>
        </w:tc>
        <w:tc>
          <w:tcPr>
            <w:tcW w:w="3029" w:type="dxa"/>
            <w:tcBorders>
              <w:top w:val="double" w:sz="6" w:space="0" w:color="000000"/>
              <w:left w:val="single" w:sz="6" w:space="0" w:color="000000"/>
              <w:bottom w:val="single" w:sz="6" w:space="0" w:color="000000"/>
              <w:right w:val="single" w:sz="6" w:space="0" w:color="000000"/>
            </w:tcBorders>
          </w:tcPr>
          <w:p w:rsidR="005A63AF" w:rsidRDefault="00894FB4">
            <w:pPr>
              <w:pStyle w:val="Default3"/>
              <w:keepNext/>
              <w:widowControl w:val="0"/>
              <w:outlineLvl w:val="0"/>
              <w:rPr>
                <w:color w:val="000000" w:themeColor="text1"/>
              </w:rPr>
            </w:pPr>
            <w:r w:rsidRPr="00894FB4">
              <w:rPr>
                <w:color w:val="000000" w:themeColor="text1"/>
              </w:rPr>
              <w:t>Applies to</w:t>
            </w:r>
          </w:p>
        </w:tc>
        <w:tc>
          <w:tcPr>
            <w:tcW w:w="2281" w:type="dxa"/>
            <w:tcBorders>
              <w:top w:val="double" w:sz="6" w:space="0" w:color="000000"/>
              <w:left w:val="single" w:sz="6" w:space="0" w:color="000000"/>
              <w:bottom w:val="single" w:sz="6" w:space="0" w:color="000000"/>
              <w:right w:val="single" w:sz="6" w:space="0" w:color="000000"/>
            </w:tcBorders>
          </w:tcPr>
          <w:p w:rsidR="005A63AF" w:rsidRDefault="00894FB4">
            <w:pPr>
              <w:pStyle w:val="Default3"/>
              <w:keepNext/>
              <w:widowControl w:val="0"/>
              <w:outlineLvl w:val="0"/>
              <w:rPr>
                <w:color w:val="000000" w:themeColor="text1"/>
              </w:rPr>
            </w:pPr>
            <w:r w:rsidRPr="00894FB4">
              <w:rPr>
                <w:color w:val="000000" w:themeColor="text1"/>
              </w:rPr>
              <w:t>Required Submissions Date</w:t>
            </w:r>
          </w:p>
        </w:tc>
        <w:tc>
          <w:tcPr>
            <w:tcW w:w="1260" w:type="dxa"/>
            <w:tcBorders>
              <w:top w:val="double" w:sz="6" w:space="0" w:color="000000"/>
              <w:left w:val="single" w:sz="6" w:space="0" w:color="000000"/>
              <w:bottom w:val="single" w:sz="6" w:space="0" w:color="000000"/>
              <w:right w:val="single" w:sz="6" w:space="0" w:color="000000"/>
            </w:tcBorders>
          </w:tcPr>
          <w:p w:rsidR="005A63AF" w:rsidRDefault="00894FB4">
            <w:pPr>
              <w:pStyle w:val="Default3"/>
              <w:keepNext/>
              <w:widowControl w:val="0"/>
              <w:outlineLvl w:val="0"/>
              <w:rPr>
                <w:color w:val="000000" w:themeColor="text1"/>
              </w:rPr>
            </w:pPr>
            <w:r w:rsidRPr="00894FB4">
              <w:rPr>
                <w:color w:val="000000" w:themeColor="text1"/>
              </w:rPr>
              <w:t>EPA Regulation Reference</w:t>
            </w:r>
          </w:p>
        </w:tc>
        <w:tc>
          <w:tcPr>
            <w:tcW w:w="1440" w:type="dxa"/>
            <w:tcBorders>
              <w:top w:val="double" w:sz="6" w:space="0" w:color="000000"/>
              <w:left w:val="single" w:sz="6" w:space="0" w:color="000000"/>
              <w:bottom w:val="single" w:sz="6" w:space="0" w:color="000000"/>
              <w:right w:val="double" w:sz="6" w:space="0" w:color="000000"/>
            </w:tcBorders>
          </w:tcPr>
          <w:p w:rsidR="005A63AF" w:rsidRDefault="00894FB4">
            <w:pPr>
              <w:pStyle w:val="Default3"/>
              <w:keepNext/>
              <w:widowControl w:val="0"/>
              <w:outlineLvl w:val="0"/>
              <w:rPr>
                <w:color w:val="000000" w:themeColor="text1"/>
              </w:rPr>
            </w:pPr>
            <w:r w:rsidRPr="00894FB4">
              <w:rPr>
                <w:color w:val="000000" w:themeColor="text1"/>
              </w:rPr>
              <w:t>NHTSA Regulation Reference</w:t>
            </w:r>
          </w:p>
        </w:tc>
      </w:tr>
      <w:tr w:rsidR="00154BE3" w:rsidRPr="00D049CA" w:rsidTr="00154BE3">
        <w:trPr>
          <w:trHeight w:val="503"/>
          <w:jc w:val="center"/>
        </w:trPr>
        <w:tc>
          <w:tcPr>
            <w:tcW w:w="1350" w:type="dxa"/>
            <w:tcBorders>
              <w:top w:val="single" w:sz="6" w:space="0" w:color="000000"/>
              <w:left w:val="double" w:sz="6" w:space="0" w:color="000000"/>
              <w:bottom w:val="single" w:sz="6" w:space="0" w:color="000000"/>
              <w:right w:val="single" w:sz="6" w:space="0" w:color="000000"/>
            </w:tcBorders>
          </w:tcPr>
          <w:p w:rsidR="005A63AF" w:rsidRDefault="00894FB4">
            <w:pPr>
              <w:pStyle w:val="Default3"/>
              <w:keepNext/>
              <w:widowControl w:val="0"/>
              <w:outlineLvl w:val="0"/>
              <w:rPr>
                <w:color w:val="000000" w:themeColor="text1"/>
              </w:rPr>
            </w:pPr>
            <w:r w:rsidRPr="00894FB4">
              <w:rPr>
                <w:color w:val="000000" w:themeColor="text1"/>
              </w:rPr>
              <w:t>Small business exemptions</w:t>
            </w:r>
          </w:p>
        </w:tc>
        <w:tc>
          <w:tcPr>
            <w:tcW w:w="3029" w:type="dxa"/>
            <w:tcBorders>
              <w:top w:val="single" w:sz="6" w:space="0" w:color="000000"/>
              <w:left w:val="single" w:sz="6" w:space="0" w:color="000000"/>
              <w:bottom w:val="single" w:sz="6" w:space="0" w:color="000000"/>
              <w:right w:val="single" w:sz="6" w:space="0" w:color="000000"/>
            </w:tcBorders>
          </w:tcPr>
          <w:p w:rsidR="005A63AF" w:rsidRDefault="00894FB4">
            <w:pPr>
              <w:pStyle w:val="Default3"/>
              <w:keepNext/>
              <w:widowControl w:val="0"/>
              <w:outlineLvl w:val="0"/>
              <w:rPr>
                <w:color w:val="000000" w:themeColor="text1"/>
              </w:rPr>
            </w:pPr>
            <w:r w:rsidRPr="00894FB4">
              <w:rPr>
                <w:color w:val="000000" w:themeColor="text1"/>
              </w:rPr>
              <w:t>Engine manufacturers meeting the Small Business Administration (SBA) size criteria of a small business as described in 13 CFR 121.201.</w:t>
            </w:r>
          </w:p>
        </w:tc>
        <w:tc>
          <w:tcPr>
            <w:tcW w:w="2281" w:type="dxa"/>
            <w:tcBorders>
              <w:top w:val="single" w:sz="6" w:space="0" w:color="000000"/>
              <w:left w:val="single" w:sz="6" w:space="0" w:color="000000"/>
              <w:bottom w:val="single" w:sz="6" w:space="0" w:color="000000"/>
              <w:right w:val="single" w:sz="6" w:space="0" w:color="000000"/>
            </w:tcBorders>
          </w:tcPr>
          <w:p w:rsidR="005A63AF" w:rsidRDefault="00894FB4">
            <w:pPr>
              <w:pStyle w:val="Default3"/>
              <w:keepNext/>
              <w:widowControl w:val="0"/>
              <w:outlineLvl w:val="0"/>
              <w:rPr>
                <w:color w:val="000000" w:themeColor="text1"/>
              </w:rPr>
            </w:pPr>
            <w:r w:rsidRPr="00894FB4">
              <w:rPr>
                <w:color w:val="000000" w:themeColor="text1"/>
              </w:rPr>
              <w:t>Before introducing any  excluded vehicle into U.S. for commerce</w:t>
            </w:r>
          </w:p>
        </w:tc>
        <w:tc>
          <w:tcPr>
            <w:tcW w:w="1260" w:type="dxa"/>
            <w:tcBorders>
              <w:top w:val="single" w:sz="6" w:space="0" w:color="000000"/>
              <w:left w:val="single" w:sz="6" w:space="0" w:color="000000"/>
              <w:bottom w:val="single" w:sz="6" w:space="0" w:color="000000"/>
              <w:right w:val="single" w:sz="6" w:space="0" w:color="000000"/>
            </w:tcBorders>
          </w:tcPr>
          <w:p w:rsidR="005A63AF" w:rsidRDefault="00114EA4">
            <w:pPr>
              <w:pStyle w:val="Default3"/>
              <w:keepNext/>
              <w:widowControl w:val="0"/>
              <w:outlineLvl w:val="0"/>
              <w:rPr>
                <w:color w:val="000000" w:themeColor="text1"/>
              </w:rPr>
            </w:pPr>
            <w:r>
              <w:rPr>
                <w:color w:val="000000" w:themeColor="text1"/>
              </w:rPr>
              <w:t xml:space="preserve">40 CFR </w:t>
            </w:r>
            <w:r w:rsidR="00894FB4" w:rsidRPr="00894FB4">
              <w:rPr>
                <w:color w:val="000000" w:themeColor="text1"/>
              </w:rPr>
              <w:t>1036.150</w:t>
            </w:r>
          </w:p>
        </w:tc>
        <w:tc>
          <w:tcPr>
            <w:tcW w:w="1440" w:type="dxa"/>
            <w:tcBorders>
              <w:top w:val="single" w:sz="6" w:space="0" w:color="000000"/>
              <w:left w:val="single" w:sz="6" w:space="0" w:color="000000"/>
              <w:bottom w:val="single" w:sz="6" w:space="0" w:color="000000"/>
              <w:right w:val="double" w:sz="6" w:space="0" w:color="000000"/>
            </w:tcBorders>
          </w:tcPr>
          <w:p w:rsidR="005A63AF" w:rsidRDefault="00114EA4">
            <w:pPr>
              <w:pStyle w:val="Default3"/>
              <w:keepNext/>
              <w:widowControl w:val="0"/>
              <w:outlineLvl w:val="0"/>
              <w:rPr>
                <w:color w:val="000000" w:themeColor="text1"/>
              </w:rPr>
            </w:pPr>
            <w:r>
              <w:rPr>
                <w:color w:val="000000" w:themeColor="text1"/>
              </w:rPr>
              <w:t xml:space="preserve">49 CFR </w:t>
            </w:r>
            <w:r w:rsidR="00894FB4" w:rsidRPr="00894FB4">
              <w:rPr>
                <w:color w:val="000000" w:themeColor="text1"/>
              </w:rPr>
              <w:t>535.8</w:t>
            </w:r>
          </w:p>
        </w:tc>
      </w:tr>
    </w:tbl>
    <w:p w:rsidR="005A63AF" w:rsidRDefault="005A63AF">
      <w:pPr>
        <w:pStyle w:val="Style6"/>
        <w:spacing w:before="0" w:after="0"/>
        <w:jc w:val="center"/>
        <w:rPr>
          <w:color w:val="000000" w:themeColor="text1"/>
          <w:spacing w:val="6"/>
          <w:sz w:val="22"/>
          <w:szCs w:val="22"/>
        </w:rPr>
      </w:pPr>
    </w:p>
    <w:p w:rsidR="006328E5" w:rsidRPr="00D049CA" w:rsidRDefault="00894FB4" w:rsidP="008B7FD9">
      <w:pPr>
        <w:rPr>
          <w:color w:val="000000" w:themeColor="text1"/>
        </w:rPr>
      </w:pPr>
      <w:r w:rsidRPr="00894FB4">
        <w:rPr>
          <w:color w:val="000000" w:themeColor="text1"/>
        </w:rPr>
        <w:t>The existing HD criteria pollutant and HD GHG Phase 1 programs require engine labels per 40 CFR 86.007-35(a</w:t>
      </w:r>
      <w:proofErr w:type="gramStart"/>
      <w:r w:rsidRPr="00894FB4">
        <w:rPr>
          <w:color w:val="000000" w:themeColor="text1"/>
        </w:rPr>
        <w:t>)(</w:t>
      </w:r>
      <w:proofErr w:type="gramEnd"/>
      <w:r w:rsidRPr="00894FB4">
        <w:rPr>
          <w:color w:val="000000" w:themeColor="text1"/>
        </w:rPr>
        <w:t xml:space="preserve">3).  </w:t>
      </w:r>
    </w:p>
    <w:p w:rsidR="005A63AF" w:rsidRPr="00BF034E" w:rsidRDefault="00894FB4" w:rsidP="00BF034E">
      <w:pPr>
        <w:pStyle w:val="Caption"/>
        <w:keepNext/>
        <w:rPr>
          <w:color w:val="000000" w:themeColor="text1"/>
          <w:sz w:val="20"/>
          <w:szCs w:val="20"/>
        </w:rPr>
      </w:pPr>
      <w:bookmarkStart w:id="6" w:name="_Ref418852447"/>
      <w:r w:rsidRPr="00BF034E">
        <w:rPr>
          <w:color w:val="000000" w:themeColor="text1"/>
          <w:sz w:val="20"/>
          <w:szCs w:val="20"/>
        </w:rPr>
        <w:lastRenderedPageBreak/>
        <w:t xml:space="preserve">Table </w:t>
      </w:r>
      <w:r w:rsidR="00121BAD" w:rsidRPr="00BF034E">
        <w:rPr>
          <w:color w:val="000000" w:themeColor="text1"/>
          <w:sz w:val="20"/>
          <w:szCs w:val="20"/>
        </w:rPr>
        <w:fldChar w:fldCharType="begin"/>
      </w:r>
      <w:r w:rsidRPr="00BF034E">
        <w:rPr>
          <w:color w:val="000000" w:themeColor="text1"/>
          <w:sz w:val="20"/>
          <w:szCs w:val="20"/>
        </w:rPr>
        <w:instrText xml:space="preserve"> SEQ Table \* ARABIC </w:instrText>
      </w:r>
      <w:r w:rsidR="00121BAD" w:rsidRPr="00BF034E">
        <w:rPr>
          <w:color w:val="000000" w:themeColor="text1"/>
          <w:sz w:val="20"/>
          <w:szCs w:val="20"/>
        </w:rPr>
        <w:fldChar w:fldCharType="separate"/>
      </w:r>
      <w:r w:rsidR="00673E30">
        <w:rPr>
          <w:noProof/>
          <w:color w:val="000000" w:themeColor="text1"/>
          <w:sz w:val="20"/>
          <w:szCs w:val="20"/>
        </w:rPr>
        <w:t>7</w:t>
      </w:r>
      <w:r w:rsidR="00121BAD" w:rsidRPr="00BF034E">
        <w:rPr>
          <w:color w:val="000000" w:themeColor="text1"/>
          <w:sz w:val="20"/>
          <w:szCs w:val="20"/>
        </w:rPr>
        <w:fldChar w:fldCharType="end"/>
      </w:r>
      <w:bookmarkEnd w:id="6"/>
      <w:r w:rsidRPr="00BF034E">
        <w:rPr>
          <w:color w:val="000000" w:themeColor="text1"/>
          <w:sz w:val="20"/>
          <w:szCs w:val="20"/>
        </w:rPr>
        <w:t xml:space="preserve"> Key labeling requirements, HD Phase 2 National Certification Program</w:t>
      </w:r>
    </w:p>
    <w:tbl>
      <w:tblPr>
        <w:tblStyle w:val="TableGrid"/>
        <w:tblW w:w="8167" w:type="dxa"/>
        <w:jc w:val="center"/>
        <w:tblLayout w:type="fixed"/>
        <w:tblLook w:val="0000" w:firstRow="0" w:lastRow="0" w:firstColumn="0" w:lastColumn="0" w:noHBand="0" w:noVBand="0"/>
      </w:tblPr>
      <w:tblGrid>
        <w:gridCol w:w="6097"/>
        <w:gridCol w:w="2070"/>
      </w:tblGrid>
      <w:tr w:rsidR="0064717A" w:rsidRPr="00D049CA" w:rsidTr="00673E30">
        <w:trPr>
          <w:jc w:val="center"/>
        </w:trPr>
        <w:tc>
          <w:tcPr>
            <w:tcW w:w="6097" w:type="dxa"/>
          </w:tcPr>
          <w:p w:rsidR="005A63AF" w:rsidRDefault="00894FB4" w:rsidP="00673E30">
            <w:pPr>
              <w:pStyle w:val="Default3"/>
              <w:keepNext/>
              <w:widowControl w:val="0"/>
              <w:outlineLvl w:val="0"/>
              <w:rPr>
                <w:color w:val="000000" w:themeColor="text1"/>
              </w:rPr>
            </w:pPr>
            <w:r w:rsidRPr="00894FB4">
              <w:rPr>
                <w:color w:val="000000" w:themeColor="text1"/>
              </w:rPr>
              <w:t>Information Item</w:t>
            </w:r>
          </w:p>
        </w:tc>
        <w:tc>
          <w:tcPr>
            <w:tcW w:w="2070" w:type="dxa"/>
          </w:tcPr>
          <w:p w:rsidR="005A63AF" w:rsidRDefault="00894FB4" w:rsidP="00673E30">
            <w:pPr>
              <w:pStyle w:val="Default3"/>
              <w:keepNext/>
              <w:widowControl w:val="0"/>
              <w:outlineLvl w:val="0"/>
              <w:rPr>
                <w:color w:val="000000" w:themeColor="text1"/>
              </w:rPr>
            </w:pPr>
            <w:r w:rsidRPr="00894FB4">
              <w:rPr>
                <w:color w:val="000000" w:themeColor="text1"/>
              </w:rPr>
              <w:t>Engine Manufacturers</w:t>
            </w:r>
          </w:p>
        </w:tc>
      </w:tr>
      <w:tr w:rsidR="0064717A" w:rsidRPr="00D049CA" w:rsidTr="00673E30">
        <w:trPr>
          <w:jc w:val="center"/>
        </w:trPr>
        <w:tc>
          <w:tcPr>
            <w:tcW w:w="6097" w:type="dxa"/>
          </w:tcPr>
          <w:p w:rsidR="00AE1D53" w:rsidRDefault="00894FB4" w:rsidP="00673E30">
            <w:pPr>
              <w:pStyle w:val="Default3"/>
              <w:rPr>
                <w:color w:val="000000" w:themeColor="text1"/>
              </w:rPr>
            </w:pPr>
            <w:r w:rsidRPr="00894FB4">
              <w:rPr>
                <w:color w:val="000000" w:themeColor="text1"/>
              </w:rPr>
              <w:t>Engine Labels</w:t>
            </w:r>
          </w:p>
        </w:tc>
        <w:tc>
          <w:tcPr>
            <w:tcW w:w="2070" w:type="dxa"/>
          </w:tcPr>
          <w:p w:rsidR="005A63AF" w:rsidRDefault="00894FB4" w:rsidP="00673E30">
            <w:pPr>
              <w:pStyle w:val="Default3"/>
              <w:widowControl w:val="0"/>
              <w:rPr>
                <w:color w:val="000000" w:themeColor="text1"/>
              </w:rPr>
            </w:pPr>
            <w:r w:rsidRPr="00894FB4">
              <w:rPr>
                <w:color w:val="000000" w:themeColor="text1"/>
              </w:rPr>
              <w:t xml:space="preserve">40 CFR </w:t>
            </w:r>
            <w:r w:rsidR="00114EA4" w:rsidRPr="00894FB4">
              <w:rPr>
                <w:color w:val="000000" w:themeColor="text1"/>
              </w:rPr>
              <w:t>86.007-35(a)(3)</w:t>
            </w:r>
            <w:r w:rsidR="00114EA4">
              <w:rPr>
                <w:color w:val="000000" w:themeColor="text1"/>
              </w:rPr>
              <w:t xml:space="preserve"> and </w:t>
            </w:r>
            <w:r w:rsidRPr="00894FB4">
              <w:rPr>
                <w:color w:val="000000" w:themeColor="text1"/>
              </w:rPr>
              <w:t>1036.135</w:t>
            </w:r>
          </w:p>
        </w:tc>
      </w:tr>
      <w:tr w:rsidR="0064717A" w:rsidRPr="00D049CA" w:rsidTr="00673E30">
        <w:trPr>
          <w:jc w:val="center"/>
        </w:trPr>
        <w:tc>
          <w:tcPr>
            <w:tcW w:w="6097" w:type="dxa"/>
          </w:tcPr>
          <w:p w:rsidR="00AE1D53" w:rsidRDefault="00894FB4" w:rsidP="00673E30">
            <w:pPr>
              <w:pStyle w:val="Default3"/>
              <w:rPr>
                <w:color w:val="000000" w:themeColor="text1"/>
              </w:rPr>
            </w:pPr>
            <w:r w:rsidRPr="00894FB4">
              <w:rPr>
                <w:color w:val="000000" w:themeColor="text1"/>
              </w:rPr>
              <w:t>Additional Engine GHG Labeling:</w:t>
            </w:r>
          </w:p>
        </w:tc>
        <w:tc>
          <w:tcPr>
            <w:tcW w:w="2070" w:type="dxa"/>
          </w:tcPr>
          <w:p w:rsidR="005A63AF" w:rsidRDefault="005A63AF" w:rsidP="00673E30">
            <w:pPr>
              <w:pStyle w:val="Default3"/>
              <w:widowControl w:val="0"/>
              <w:rPr>
                <w:color w:val="000000" w:themeColor="text1"/>
              </w:rPr>
            </w:pPr>
          </w:p>
        </w:tc>
      </w:tr>
      <w:tr w:rsidR="0064717A" w:rsidRPr="00D049CA" w:rsidTr="00673E30">
        <w:trPr>
          <w:jc w:val="center"/>
        </w:trPr>
        <w:tc>
          <w:tcPr>
            <w:tcW w:w="6097" w:type="dxa"/>
          </w:tcPr>
          <w:p w:rsidR="00AE1D53" w:rsidRDefault="00894FB4" w:rsidP="00673E30">
            <w:pPr>
              <w:pStyle w:val="Default3"/>
              <w:rPr>
                <w:color w:val="000000" w:themeColor="text1"/>
              </w:rPr>
            </w:pPr>
            <w:r w:rsidRPr="00894FB4">
              <w:rPr>
                <w:color w:val="000000" w:themeColor="text1"/>
              </w:rPr>
              <w:t>Identify the emission control system.  Use terms and abbreviations as described in 40 CFR 1068.45 or other applicable conventions.</w:t>
            </w:r>
          </w:p>
        </w:tc>
        <w:tc>
          <w:tcPr>
            <w:tcW w:w="2070" w:type="dxa"/>
          </w:tcPr>
          <w:p w:rsidR="005A63AF" w:rsidRDefault="00894FB4" w:rsidP="00673E30">
            <w:pPr>
              <w:pStyle w:val="Default3"/>
              <w:widowControl w:val="0"/>
              <w:rPr>
                <w:color w:val="000000" w:themeColor="text1"/>
              </w:rPr>
            </w:pPr>
            <w:r w:rsidRPr="00894FB4">
              <w:rPr>
                <w:color w:val="000000" w:themeColor="text1"/>
              </w:rPr>
              <w:t>40 CFR 1068.</w:t>
            </w:r>
            <w:r w:rsidR="00114EA4">
              <w:rPr>
                <w:color w:val="000000" w:themeColor="text1"/>
              </w:rPr>
              <w:t>45</w:t>
            </w:r>
          </w:p>
        </w:tc>
      </w:tr>
      <w:tr w:rsidR="0064717A" w:rsidRPr="00D049CA" w:rsidTr="00673E30">
        <w:trPr>
          <w:jc w:val="center"/>
        </w:trPr>
        <w:tc>
          <w:tcPr>
            <w:tcW w:w="6097" w:type="dxa"/>
          </w:tcPr>
          <w:p w:rsidR="00AE1D53" w:rsidRDefault="00894FB4" w:rsidP="00673E30">
            <w:pPr>
              <w:pStyle w:val="Default3"/>
              <w:rPr>
                <w:color w:val="000000" w:themeColor="text1"/>
              </w:rPr>
            </w:pPr>
            <w:r w:rsidRPr="00894FB4">
              <w:rPr>
                <w:color w:val="000000" w:themeColor="text1"/>
              </w:rPr>
              <w:t>Identify any limitations on your certification.  For example, if you certify heavy heavy-duty engines to the CO</w:t>
            </w:r>
            <w:r w:rsidRPr="00CF70D5">
              <w:rPr>
                <w:color w:val="000000" w:themeColor="text1"/>
                <w:vertAlign w:val="subscript"/>
              </w:rPr>
              <w:t>2</w:t>
            </w:r>
            <w:r w:rsidRPr="00894FB4">
              <w:rPr>
                <w:color w:val="000000" w:themeColor="text1"/>
              </w:rPr>
              <w:t xml:space="preserve"> standards using only transient cycle testing, include the statement “VOCATIONAL VEHICLES ONLY”.  </w:t>
            </w:r>
          </w:p>
        </w:tc>
        <w:tc>
          <w:tcPr>
            <w:tcW w:w="2070" w:type="dxa"/>
          </w:tcPr>
          <w:p w:rsidR="005A63AF" w:rsidRDefault="00894FB4" w:rsidP="00673E30">
            <w:pPr>
              <w:pStyle w:val="Default3"/>
              <w:widowControl w:val="0"/>
              <w:rPr>
                <w:color w:val="000000" w:themeColor="text1"/>
              </w:rPr>
            </w:pPr>
            <w:r w:rsidRPr="00894FB4">
              <w:rPr>
                <w:color w:val="000000" w:themeColor="text1"/>
              </w:rPr>
              <w:t>40 CFR 1036.135</w:t>
            </w:r>
          </w:p>
        </w:tc>
      </w:tr>
      <w:tr w:rsidR="0064717A" w:rsidRPr="00D049CA" w:rsidTr="00673E30">
        <w:trPr>
          <w:jc w:val="center"/>
        </w:trPr>
        <w:tc>
          <w:tcPr>
            <w:tcW w:w="6097" w:type="dxa"/>
          </w:tcPr>
          <w:p w:rsidR="00AE1D53" w:rsidRDefault="00894FB4" w:rsidP="00673E30">
            <w:pPr>
              <w:pStyle w:val="Default3"/>
              <w:rPr>
                <w:color w:val="000000" w:themeColor="text1"/>
              </w:rPr>
            </w:pPr>
            <w:r w:rsidRPr="00894FB4">
              <w:rPr>
                <w:color w:val="000000" w:themeColor="text1"/>
              </w:rPr>
              <w:t xml:space="preserve">You may ask us to approve modified labeling requirements in this part 1036 if you show that it is necessary or appropriate.  We will approve your request if your alternate label is consistent with the requirements of this part.  We may also specify modified labeling requirement to be consistent with the intent of 40 CFR part 1037.  </w:t>
            </w:r>
          </w:p>
        </w:tc>
        <w:tc>
          <w:tcPr>
            <w:tcW w:w="2070" w:type="dxa"/>
          </w:tcPr>
          <w:p w:rsidR="005A63AF" w:rsidRDefault="00894FB4" w:rsidP="00673E30">
            <w:pPr>
              <w:pStyle w:val="Default3"/>
              <w:widowControl w:val="0"/>
              <w:rPr>
                <w:color w:val="000000" w:themeColor="text1"/>
              </w:rPr>
            </w:pPr>
            <w:r w:rsidRPr="00894FB4">
              <w:rPr>
                <w:color w:val="000000" w:themeColor="text1"/>
              </w:rPr>
              <w:t>40 CFR 1036.135</w:t>
            </w:r>
          </w:p>
        </w:tc>
      </w:tr>
    </w:tbl>
    <w:p w:rsidR="00762D14" w:rsidRPr="00D049CA" w:rsidRDefault="00894FB4" w:rsidP="00C47B23">
      <w:pPr>
        <w:rPr>
          <w:color w:val="000000" w:themeColor="text1"/>
        </w:rPr>
      </w:pPr>
      <w:r w:rsidRPr="00894FB4">
        <w:rPr>
          <w:color w:val="000000" w:themeColor="text1"/>
        </w:rPr>
        <w:t>Further, tests used today to demonstrate compliance with criteria pollutants in addition to Phase 1</w:t>
      </w:r>
      <w:r w:rsidR="00AE1D53">
        <w:rPr>
          <w:color w:val="000000" w:themeColor="text1"/>
        </w:rPr>
        <w:t xml:space="preserve"> </w:t>
      </w:r>
      <w:r w:rsidRPr="00894FB4">
        <w:rPr>
          <w:color w:val="000000" w:themeColor="text1"/>
        </w:rPr>
        <w:t xml:space="preserve">GHG emissions and fuel consumption standards are all based on the Heavy Duty Federal Test Procedure (FTP) and Supplemental Engine Test (SET).  However, depending on the type of vehicle in which the engine would be placed, manufacturers are required to identify relevant test results (steady state, transient or steady state and transient test results) in their certification application. The agencies calculated the burden of these </w:t>
      </w:r>
      <w:r w:rsidRPr="00673E30">
        <w:rPr>
          <w:color w:val="000000" w:themeColor="text1"/>
          <w:szCs w:val="24"/>
        </w:rPr>
        <w:t xml:space="preserve">activities in </w:t>
      </w:r>
      <w:r w:rsidR="007112DA">
        <w:fldChar w:fldCharType="begin"/>
      </w:r>
      <w:r w:rsidR="007112DA">
        <w:instrText xml:space="preserve"> REF _Ref418854502 \h  \* MERGEFORMAT </w:instrText>
      </w:r>
      <w:r w:rsidR="007112DA">
        <w:fldChar w:fldCharType="separate"/>
      </w:r>
      <w:r w:rsidR="00673E30" w:rsidRPr="00673E30">
        <w:rPr>
          <w:color w:val="000000" w:themeColor="text1"/>
          <w:szCs w:val="24"/>
        </w:rPr>
        <w:t xml:space="preserve">Table </w:t>
      </w:r>
      <w:r w:rsidR="00673E30" w:rsidRPr="00673E30">
        <w:rPr>
          <w:noProof/>
          <w:color w:val="000000" w:themeColor="text1"/>
          <w:szCs w:val="24"/>
        </w:rPr>
        <w:t>17</w:t>
      </w:r>
      <w:r w:rsidR="007112DA">
        <w:fldChar w:fldCharType="end"/>
      </w:r>
      <w:r w:rsidRPr="00673E30">
        <w:rPr>
          <w:color w:val="000000" w:themeColor="text1"/>
          <w:szCs w:val="24"/>
        </w:rPr>
        <w:t xml:space="preserve"> as</w:t>
      </w:r>
      <w:r w:rsidRPr="00894FB4">
        <w:rPr>
          <w:color w:val="000000" w:themeColor="text1"/>
        </w:rPr>
        <w:t xml:space="preserve"> the “Testing/Gathering emission data on test vehicles” and “Analyze data to determine compliance” costs.  The </w:t>
      </w:r>
      <w:r w:rsidR="004E1501">
        <w:rPr>
          <w:color w:val="000000" w:themeColor="text1"/>
        </w:rPr>
        <w:t xml:space="preserve">engine </w:t>
      </w:r>
      <w:r w:rsidRPr="00894FB4">
        <w:rPr>
          <w:color w:val="000000" w:themeColor="text1"/>
        </w:rPr>
        <w:t xml:space="preserve">testing requirements for </w:t>
      </w:r>
      <w:r w:rsidR="004E1501">
        <w:rPr>
          <w:color w:val="000000" w:themeColor="text1"/>
        </w:rPr>
        <w:t xml:space="preserve">the </w:t>
      </w:r>
      <w:r w:rsidRPr="00894FB4">
        <w:rPr>
          <w:color w:val="000000" w:themeColor="text1"/>
        </w:rPr>
        <w:t xml:space="preserve">Phase 2 </w:t>
      </w:r>
      <w:r w:rsidR="004E1501">
        <w:rPr>
          <w:color w:val="000000" w:themeColor="text1"/>
        </w:rPr>
        <w:t xml:space="preserve">amendment to the HD ICR </w:t>
      </w:r>
      <w:r w:rsidRPr="00894FB4">
        <w:rPr>
          <w:color w:val="000000" w:themeColor="text1"/>
        </w:rPr>
        <w:t>in years 2017 through 2019 are identical to the testing requirements for Phase 1.</w:t>
      </w:r>
    </w:p>
    <w:p w:rsidR="00762D14" w:rsidRPr="00D049CA" w:rsidRDefault="00894FB4" w:rsidP="00C47B23">
      <w:pPr>
        <w:rPr>
          <w:color w:val="000000" w:themeColor="text1"/>
        </w:rPr>
      </w:pPr>
      <w:r w:rsidRPr="00894FB4">
        <w:rPr>
          <w:color w:val="000000" w:themeColor="text1"/>
        </w:rPr>
        <w:t>With the exception of these GHG certification requirements for heavy duty engines, the existing compliance structure that engine manufacturers use for criteria pollutants is also valid for demonstrating compliance with the GHG regulations.  Specifically, engine manufacturers would utilize the emissions, warranty and service programs already in place for CO</w:t>
      </w:r>
      <w:r w:rsidRPr="00CF70D5">
        <w:rPr>
          <w:color w:val="000000" w:themeColor="text1"/>
          <w:vertAlign w:val="subscript"/>
        </w:rPr>
        <w:t>2</w:t>
      </w:r>
      <w:r w:rsidRPr="00894FB4">
        <w:rPr>
          <w:color w:val="000000" w:themeColor="text1"/>
        </w:rPr>
        <w:t>, CH</w:t>
      </w:r>
      <w:r w:rsidRPr="00CF70D5">
        <w:rPr>
          <w:color w:val="000000" w:themeColor="text1"/>
          <w:vertAlign w:val="subscript"/>
        </w:rPr>
        <w:t>4</w:t>
      </w:r>
      <w:r w:rsidRPr="00894FB4">
        <w:rPr>
          <w:color w:val="000000" w:themeColor="text1"/>
        </w:rPr>
        <w:t xml:space="preserve"> and N</w:t>
      </w:r>
      <w:r w:rsidRPr="00CF70D5">
        <w:rPr>
          <w:color w:val="000000" w:themeColor="text1"/>
          <w:vertAlign w:val="subscript"/>
        </w:rPr>
        <w:t>2</w:t>
      </w:r>
      <w:r w:rsidRPr="00894FB4">
        <w:rPr>
          <w:color w:val="000000" w:themeColor="text1"/>
        </w:rPr>
        <w:t xml:space="preserve">O as outlined in 40 CFR part 86.  </w:t>
      </w:r>
    </w:p>
    <w:p w:rsidR="00932B9A" w:rsidRPr="00D049CA" w:rsidRDefault="00894FB4" w:rsidP="00C47B23">
      <w:pPr>
        <w:rPr>
          <w:color w:val="000000" w:themeColor="text1"/>
        </w:rPr>
      </w:pPr>
      <w:r w:rsidRPr="00894FB4">
        <w:rPr>
          <w:color w:val="000000" w:themeColor="text1"/>
        </w:rPr>
        <w:t xml:space="preserve">As a consequence, the burden associated with submitting engine certification applications in years 2017 through 2019, </w:t>
      </w:r>
      <w:r w:rsidR="004E1501">
        <w:rPr>
          <w:color w:val="000000" w:themeColor="text1"/>
        </w:rPr>
        <w:t>final</w:t>
      </w:r>
      <w:r w:rsidRPr="00894FB4">
        <w:rPr>
          <w:color w:val="000000" w:themeColor="text1"/>
        </w:rPr>
        <w:t xml:space="preserve"> reports and other data is minimal.  This information will simply be integrated into the existing data already submitted to EPA.  This ICR assumes and reflects the cost burden to report this new information for 12 heavy-duty engine manufacturers that on average will submit nine applications each, for a total of 108 engine certification applications. The requirements to develop the application for certification are identified as the following in </w:t>
      </w:r>
      <w:r w:rsidR="007112DA">
        <w:fldChar w:fldCharType="begin"/>
      </w:r>
      <w:r w:rsidR="007112DA">
        <w:instrText xml:space="preserve"> REF _Ref418854502 \h  \* MERGEFORMAT </w:instrText>
      </w:r>
      <w:r w:rsidR="007112DA">
        <w:fldChar w:fldCharType="separate"/>
      </w:r>
      <w:r w:rsidR="00673E30" w:rsidRPr="00673E30">
        <w:rPr>
          <w:color w:val="000000" w:themeColor="text1"/>
        </w:rPr>
        <w:t xml:space="preserve">Table </w:t>
      </w:r>
      <w:r w:rsidR="00673E30" w:rsidRPr="00673E30">
        <w:rPr>
          <w:noProof/>
          <w:color w:val="000000" w:themeColor="text1"/>
        </w:rPr>
        <w:t>17</w:t>
      </w:r>
      <w:r w:rsidR="007112DA">
        <w:fldChar w:fldCharType="end"/>
      </w:r>
      <w:r w:rsidRPr="00894FB4">
        <w:rPr>
          <w:color w:val="000000" w:themeColor="text1"/>
        </w:rPr>
        <w:t>:</w:t>
      </w:r>
    </w:p>
    <w:p w:rsidR="00932B9A" w:rsidRPr="00D049CA" w:rsidRDefault="00894FB4" w:rsidP="00C47B23">
      <w:pPr>
        <w:pStyle w:val="BulletList"/>
        <w:ind w:left="1080"/>
        <w:rPr>
          <w:color w:val="000000" w:themeColor="text1"/>
        </w:rPr>
      </w:pPr>
      <w:r w:rsidRPr="00894FB4">
        <w:rPr>
          <w:color w:val="000000" w:themeColor="text1"/>
        </w:rPr>
        <w:lastRenderedPageBreak/>
        <w:t>Review of regulations</w:t>
      </w:r>
    </w:p>
    <w:p w:rsidR="00932B9A" w:rsidRPr="00D049CA" w:rsidRDefault="00894FB4" w:rsidP="00C47B23">
      <w:pPr>
        <w:pStyle w:val="BulletList"/>
        <w:ind w:left="1080"/>
        <w:rPr>
          <w:color w:val="000000" w:themeColor="text1"/>
        </w:rPr>
      </w:pPr>
      <w:r w:rsidRPr="00894FB4">
        <w:rPr>
          <w:color w:val="000000" w:themeColor="text1"/>
        </w:rPr>
        <w:t>Prepare and submit certification application (including carryover applications)</w:t>
      </w:r>
    </w:p>
    <w:p w:rsidR="00932B9A" w:rsidRPr="00D049CA" w:rsidRDefault="00894FB4" w:rsidP="00C47B23">
      <w:pPr>
        <w:pStyle w:val="BulletList"/>
        <w:ind w:left="1080"/>
        <w:rPr>
          <w:color w:val="000000" w:themeColor="text1"/>
        </w:rPr>
      </w:pPr>
      <w:r w:rsidRPr="00894FB4">
        <w:rPr>
          <w:color w:val="000000" w:themeColor="text1"/>
        </w:rPr>
        <w:t>Prepare and review GHG compliance plan</w:t>
      </w:r>
    </w:p>
    <w:p w:rsidR="002D5924" w:rsidRPr="00D049CA" w:rsidRDefault="00894FB4" w:rsidP="00C47B23">
      <w:pPr>
        <w:pStyle w:val="BulletList"/>
        <w:ind w:left="1080"/>
        <w:rPr>
          <w:color w:val="000000" w:themeColor="text1"/>
        </w:rPr>
      </w:pPr>
      <w:r w:rsidRPr="00894FB4">
        <w:rPr>
          <w:color w:val="000000" w:themeColor="text1"/>
        </w:rPr>
        <w:t>End of year and final production reports</w:t>
      </w:r>
    </w:p>
    <w:p w:rsidR="002D5924" w:rsidRPr="00D049CA" w:rsidRDefault="00894FB4" w:rsidP="00C47B23">
      <w:pPr>
        <w:pStyle w:val="BulletList"/>
        <w:ind w:left="1080"/>
        <w:rPr>
          <w:color w:val="000000" w:themeColor="text1"/>
        </w:rPr>
      </w:pPr>
      <w:r w:rsidRPr="00894FB4">
        <w:rPr>
          <w:color w:val="000000" w:themeColor="text1"/>
        </w:rPr>
        <w:t xml:space="preserve">Store, file and maintain records </w:t>
      </w:r>
    </w:p>
    <w:p w:rsidR="009A6C70" w:rsidRPr="00D76E2F" w:rsidRDefault="009A6C70" w:rsidP="00D76E2F">
      <w:pPr>
        <w:pStyle w:val="Heading4"/>
        <w:rPr>
          <w:b/>
          <w:bCs/>
          <w:color w:val="000000" w:themeColor="text1"/>
          <w:u w:val="single"/>
        </w:rPr>
      </w:pPr>
      <w:r w:rsidRPr="00D76E2F">
        <w:rPr>
          <w:b/>
          <w:bCs/>
          <w:color w:val="000000" w:themeColor="text1"/>
          <w:u w:val="single"/>
        </w:rPr>
        <w:t>Phase 2 Data Items: HD Engines</w:t>
      </w:r>
    </w:p>
    <w:p w:rsidR="005632D6" w:rsidRPr="00D049CA" w:rsidRDefault="00D76E2F" w:rsidP="00D76E2F">
      <w:r>
        <w:t>Because t</w:t>
      </w:r>
      <w:r w:rsidRPr="00894FB4">
        <w:t>he Phase 2 requirements for engine manufacturers’ applicati</w:t>
      </w:r>
      <w:r>
        <w:t>ons for certification build on</w:t>
      </w:r>
      <w:r w:rsidRPr="00894FB4">
        <w:t xml:space="preserve"> the Phase 1 requirements</w:t>
      </w:r>
      <w:r>
        <w:t>, the same data items</w:t>
      </w:r>
      <w:r w:rsidRPr="00894FB4">
        <w:t xml:space="preserve"> listed </w:t>
      </w:r>
      <w:r>
        <w:t xml:space="preserve">above </w:t>
      </w:r>
      <w:r w:rsidRPr="00894FB4">
        <w:t xml:space="preserve">in </w:t>
      </w:r>
      <w:r w:rsidR="007112DA">
        <w:fldChar w:fldCharType="begin"/>
      </w:r>
      <w:r w:rsidR="007112DA">
        <w:instrText xml:space="preserve"> REF _Ref418852424 \h  \* MERGEFORMAT </w:instrText>
      </w:r>
      <w:r w:rsidR="007112DA">
        <w:fldChar w:fldCharType="separate"/>
      </w:r>
      <w:r w:rsidR="00673E30" w:rsidRPr="00673E30">
        <w:t>Table 5</w:t>
      </w:r>
      <w:r w:rsidR="007112DA">
        <w:fldChar w:fldCharType="end"/>
      </w:r>
      <w:r w:rsidRPr="00894FB4">
        <w:t xml:space="preserve"> and </w:t>
      </w:r>
      <w:r w:rsidR="007112DA">
        <w:fldChar w:fldCharType="begin"/>
      </w:r>
      <w:r w:rsidR="007112DA">
        <w:instrText xml:space="preserve"> REF _Ref418852434 \h  \* MERGEFORMAT </w:instrText>
      </w:r>
      <w:r w:rsidR="007112DA">
        <w:fldChar w:fldCharType="separate"/>
      </w:r>
      <w:r w:rsidR="00673E30" w:rsidRPr="00673E30">
        <w:t>Table 6</w:t>
      </w:r>
      <w:r w:rsidR="007112DA">
        <w:fldChar w:fldCharType="end"/>
      </w:r>
      <w:r>
        <w:t xml:space="preserve"> </w:t>
      </w:r>
      <w:r w:rsidRPr="00894FB4">
        <w:rPr>
          <w:color w:val="000000" w:themeColor="text1"/>
        </w:rPr>
        <w:t xml:space="preserve"> </w:t>
      </w:r>
      <w:r>
        <w:rPr>
          <w:color w:val="000000" w:themeColor="text1"/>
        </w:rPr>
        <w:t xml:space="preserve">and </w:t>
      </w:r>
      <w:r w:rsidR="007112DA">
        <w:fldChar w:fldCharType="begin"/>
      </w:r>
      <w:r w:rsidR="007112DA">
        <w:instrText xml:space="preserve"> REF _Ref418852447 \h  \* MERGEFORMAT </w:instrText>
      </w:r>
      <w:r w:rsidR="007112DA">
        <w:fldChar w:fldCharType="separate"/>
      </w:r>
      <w:r w:rsidR="00673E30" w:rsidRPr="00673E30">
        <w:rPr>
          <w:color w:val="000000" w:themeColor="text1"/>
        </w:rPr>
        <w:t>Table 7</w:t>
      </w:r>
      <w:r w:rsidR="007112DA">
        <w:fldChar w:fldCharType="end"/>
      </w:r>
      <w:r>
        <w:t xml:space="preserve"> would also apply in model years 2020 and beyond.</w:t>
      </w:r>
      <w:r w:rsidRPr="00D76E2F">
        <w:rPr>
          <w:color w:val="000000" w:themeColor="text1"/>
        </w:rPr>
        <w:t xml:space="preserve"> </w:t>
      </w:r>
      <w:r w:rsidRPr="00894FB4">
        <w:rPr>
          <w:color w:val="000000" w:themeColor="text1"/>
        </w:rPr>
        <w:t xml:space="preserve">The </w:t>
      </w:r>
      <w:r w:rsidR="003734E8">
        <w:rPr>
          <w:color w:val="000000" w:themeColor="text1"/>
        </w:rPr>
        <w:t xml:space="preserve">proposed HD </w:t>
      </w:r>
      <w:r w:rsidRPr="00894FB4">
        <w:rPr>
          <w:color w:val="000000" w:themeColor="text1"/>
        </w:rPr>
        <w:t xml:space="preserve">Phase 2 rule </w:t>
      </w:r>
      <w:r>
        <w:rPr>
          <w:color w:val="000000" w:themeColor="text1"/>
        </w:rPr>
        <w:t xml:space="preserve">would also </w:t>
      </w:r>
      <w:r w:rsidRPr="00894FB4">
        <w:rPr>
          <w:color w:val="000000" w:themeColor="text1"/>
        </w:rPr>
        <w:t>require</w:t>
      </w:r>
      <w:r>
        <w:rPr>
          <w:color w:val="000000" w:themeColor="text1"/>
        </w:rPr>
        <w:t xml:space="preserve"> new information that was not required</w:t>
      </w:r>
      <w:r w:rsidRPr="00894FB4">
        <w:rPr>
          <w:color w:val="000000" w:themeColor="text1"/>
        </w:rPr>
        <w:t xml:space="preserve"> Phase 1</w:t>
      </w:r>
      <w:r>
        <w:rPr>
          <w:color w:val="000000" w:themeColor="text1"/>
        </w:rPr>
        <w:t xml:space="preserve">. </w:t>
      </w:r>
      <w:r w:rsidR="004E1501">
        <w:rPr>
          <w:color w:val="000000" w:themeColor="text1"/>
        </w:rPr>
        <w:t xml:space="preserve"> The new information includes conducting tests to generate steady-state fuel maps to characterize engine performance for use with the GEM simulation tool.  For manufacturers who elect to conduct powertrain testing, new dynamometer testing would be required to characterize the performance of engines that are integrated with transmissions.  The burdens associated with these future requirements would potentially have both capital and operating expenses, depending on the current testing capacity of the manufacturer.</w:t>
      </w:r>
    </w:p>
    <w:p w:rsidR="005A63AF" w:rsidRPr="00E46BDB" w:rsidRDefault="00894FB4" w:rsidP="00E46BDB">
      <w:pPr>
        <w:pStyle w:val="Heading3"/>
        <w:rPr>
          <w:bCs/>
          <w:color w:val="000000" w:themeColor="text1"/>
        </w:rPr>
      </w:pPr>
      <w:r w:rsidRPr="00E46BDB">
        <w:rPr>
          <w:bCs/>
          <w:color w:val="000000" w:themeColor="text1"/>
        </w:rPr>
        <w:t>Vocational Vehicles and Combination Tractors</w:t>
      </w:r>
    </w:p>
    <w:p w:rsidR="00942AC9" w:rsidRPr="00D76E2F" w:rsidRDefault="00942AC9" w:rsidP="00E46BDB">
      <w:pPr>
        <w:pStyle w:val="Heading4"/>
        <w:numPr>
          <w:ilvl w:val="3"/>
          <w:numId w:val="20"/>
        </w:numPr>
      </w:pPr>
      <w:r>
        <w:t>Phase 1 Data Items: Vocational Vehicles and Tractor</w:t>
      </w:r>
      <w:r w:rsidRPr="00D76E2F">
        <w:t>s</w:t>
      </w:r>
    </w:p>
    <w:p w:rsidR="00270662" w:rsidRPr="00D049CA" w:rsidRDefault="00942AC9" w:rsidP="001F71DC">
      <w:pPr>
        <w:rPr>
          <w:color w:val="000000" w:themeColor="text1"/>
        </w:rPr>
      </w:pPr>
      <w:r>
        <w:rPr>
          <w:color w:val="000000" w:themeColor="text1"/>
        </w:rPr>
        <w:t>F</w:t>
      </w:r>
      <w:r w:rsidR="00894FB4" w:rsidRPr="00894FB4">
        <w:rPr>
          <w:color w:val="000000" w:themeColor="text1"/>
        </w:rPr>
        <w:t xml:space="preserve">uel consumption and emissions from vocational vehicles and combination tractors </w:t>
      </w:r>
      <w:r>
        <w:rPr>
          <w:color w:val="000000" w:themeColor="text1"/>
        </w:rPr>
        <w:t xml:space="preserve">were </w:t>
      </w:r>
      <w:r w:rsidR="00894FB4" w:rsidRPr="00894FB4">
        <w:rPr>
          <w:color w:val="000000" w:themeColor="text1"/>
        </w:rPr>
        <w:t>regulated</w:t>
      </w:r>
      <w:r>
        <w:rPr>
          <w:color w:val="000000" w:themeColor="text1"/>
        </w:rPr>
        <w:t xml:space="preserve"> for the first time in Phase 1</w:t>
      </w:r>
      <w:r w:rsidR="00894FB4" w:rsidRPr="00894FB4">
        <w:rPr>
          <w:color w:val="000000" w:themeColor="text1"/>
        </w:rPr>
        <w:t>, and EPA recognizes that the HD National Program presents these segments with several testing, reporting, recordkeeping, and labeling requirements</w:t>
      </w:r>
      <w:r w:rsidR="00E46BDB">
        <w:rPr>
          <w:color w:val="000000" w:themeColor="text1"/>
        </w:rPr>
        <w:t xml:space="preserve"> that will continue through model year 2019</w:t>
      </w:r>
      <w:r w:rsidR="00894FB4" w:rsidRPr="00894FB4">
        <w:rPr>
          <w:color w:val="000000" w:themeColor="text1"/>
        </w:rPr>
        <w:t xml:space="preserve">, as shown in </w:t>
      </w:r>
      <w:r w:rsidR="007112DA">
        <w:fldChar w:fldCharType="begin"/>
      </w:r>
      <w:r w:rsidR="007112DA">
        <w:instrText xml:space="preserve"> REF _Ref418852520 \h  \* MERGEFORMAT </w:instrText>
      </w:r>
      <w:r w:rsidR="007112DA">
        <w:fldChar w:fldCharType="separate"/>
      </w:r>
      <w:r w:rsidR="00673E30" w:rsidRPr="00673E30">
        <w:rPr>
          <w:color w:val="000000" w:themeColor="text1"/>
        </w:rPr>
        <w:t>Table 8</w:t>
      </w:r>
      <w:r w:rsidR="007112DA">
        <w:fldChar w:fldCharType="end"/>
      </w:r>
      <w:r w:rsidR="00894FB4" w:rsidRPr="00894FB4">
        <w:rPr>
          <w:color w:val="000000" w:themeColor="text1"/>
        </w:rPr>
        <w:t xml:space="preserve"> through</w:t>
      </w:r>
      <w:r w:rsidR="001F71DC">
        <w:t xml:space="preserve"> </w:t>
      </w:r>
      <w:r w:rsidR="00121BAD">
        <w:fldChar w:fldCharType="begin"/>
      </w:r>
      <w:r w:rsidR="001F71DC">
        <w:instrText xml:space="preserve"> REF _Ref419460247 \h </w:instrText>
      </w:r>
      <w:r w:rsidR="00121BAD">
        <w:fldChar w:fldCharType="separate"/>
      </w:r>
      <w:r w:rsidR="00673E30" w:rsidRPr="00BF034E">
        <w:rPr>
          <w:color w:val="000000" w:themeColor="text1"/>
          <w:sz w:val="20"/>
        </w:rPr>
        <w:t xml:space="preserve">Table </w:t>
      </w:r>
      <w:r w:rsidR="00673E30">
        <w:rPr>
          <w:noProof/>
          <w:color w:val="000000" w:themeColor="text1"/>
          <w:sz w:val="20"/>
        </w:rPr>
        <w:t>11</w:t>
      </w:r>
      <w:r w:rsidR="00121BAD">
        <w:fldChar w:fldCharType="end"/>
      </w:r>
      <w:r w:rsidR="00894FB4" w:rsidRPr="00894FB4">
        <w:rPr>
          <w:color w:val="000000" w:themeColor="text1"/>
        </w:rPr>
        <w:t>.  The reporting requirements for the application for certification are covered in the HD GHG Vehicle application for certification template.</w:t>
      </w:r>
    </w:p>
    <w:p w:rsidR="005A63AF" w:rsidRPr="00BF034E" w:rsidRDefault="00894FB4">
      <w:pPr>
        <w:pStyle w:val="Caption"/>
        <w:keepNext/>
        <w:rPr>
          <w:color w:val="000000" w:themeColor="text1"/>
          <w:sz w:val="20"/>
          <w:szCs w:val="20"/>
        </w:rPr>
      </w:pPr>
      <w:bookmarkStart w:id="7" w:name="_Ref418852520"/>
      <w:r w:rsidRPr="00BF034E">
        <w:rPr>
          <w:color w:val="000000" w:themeColor="text1"/>
          <w:sz w:val="20"/>
          <w:szCs w:val="20"/>
        </w:rPr>
        <w:t xml:space="preserve">Table </w:t>
      </w:r>
      <w:r w:rsidR="00121BAD" w:rsidRPr="00BF034E">
        <w:rPr>
          <w:color w:val="000000" w:themeColor="text1"/>
          <w:sz w:val="20"/>
          <w:szCs w:val="20"/>
        </w:rPr>
        <w:fldChar w:fldCharType="begin"/>
      </w:r>
      <w:r w:rsidRPr="00BF034E">
        <w:rPr>
          <w:color w:val="000000" w:themeColor="text1"/>
          <w:sz w:val="20"/>
          <w:szCs w:val="20"/>
        </w:rPr>
        <w:instrText xml:space="preserve"> SEQ Table \* ARABIC </w:instrText>
      </w:r>
      <w:r w:rsidR="00121BAD" w:rsidRPr="00BF034E">
        <w:rPr>
          <w:color w:val="000000" w:themeColor="text1"/>
          <w:sz w:val="20"/>
          <w:szCs w:val="20"/>
        </w:rPr>
        <w:fldChar w:fldCharType="separate"/>
      </w:r>
      <w:r w:rsidR="00673E30">
        <w:rPr>
          <w:noProof/>
          <w:color w:val="000000" w:themeColor="text1"/>
          <w:sz w:val="20"/>
          <w:szCs w:val="20"/>
        </w:rPr>
        <w:t>8</w:t>
      </w:r>
      <w:r w:rsidR="00121BAD" w:rsidRPr="00BF034E">
        <w:rPr>
          <w:color w:val="000000" w:themeColor="text1"/>
          <w:sz w:val="20"/>
          <w:szCs w:val="20"/>
        </w:rPr>
        <w:fldChar w:fldCharType="end"/>
      </w:r>
      <w:bookmarkEnd w:id="7"/>
      <w:r w:rsidRPr="00BF034E">
        <w:rPr>
          <w:color w:val="000000" w:themeColor="text1"/>
          <w:sz w:val="20"/>
          <w:szCs w:val="20"/>
        </w:rPr>
        <w:t xml:space="preserve"> Required Information for Certification Applications</w:t>
      </w:r>
      <w:r w:rsidR="00942AC9" w:rsidRPr="00BF034E">
        <w:rPr>
          <w:color w:val="000000" w:themeColor="text1"/>
          <w:sz w:val="20"/>
          <w:szCs w:val="20"/>
        </w:rPr>
        <w:t>:</w:t>
      </w:r>
      <w:r w:rsidRPr="00BF034E">
        <w:rPr>
          <w:color w:val="000000" w:themeColor="text1"/>
          <w:sz w:val="20"/>
          <w:szCs w:val="20"/>
        </w:rPr>
        <w:t xml:space="preserve"> Vocational Vehicle Chassis and Tractor </w:t>
      </w:r>
      <w:r w:rsidRPr="00BF034E">
        <w:rPr>
          <w:color w:val="000000" w:themeColor="text1"/>
          <w:sz w:val="20"/>
          <w:szCs w:val="20"/>
        </w:rPr>
        <w:lastRenderedPageBreak/>
        <w:t>Manufacturers (</w:t>
      </w:r>
      <w:r w:rsidR="00156671" w:rsidRPr="00BF034E">
        <w:rPr>
          <w:color w:val="000000" w:themeColor="text1"/>
          <w:sz w:val="20"/>
          <w:szCs w:val="20"/>
        </w:rPr>
        <w:t xml:space="preserve">49 CFR </w:t>
      </w:r>
      <w:r w:rsidRPr="00BF034E">
        <w:rPr>
          <w:color w:val="000000" w:themeColor="text1"/>
          <w:sz w:val="20"/>
          <w:szCs w:val="20"/>
        </w:rPr>
        <w:t>553.8)</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270662" w:rsidRPr="00D049CA" w:rsidTr="00E46BDB">
        <w:tc>
          <w:tcPr>
            <w:tcW w:w="9648" w:type="dxa"/>
          </w:tcPr>
          <w:p w:rsidR="005A63AF" w:rsidRDefault="00894FB4">
            <w:pPr>
              <w:pStyle w:val="Default3"/>
              <w:keepNext/>
              <w:widowControl w:val="0"/>
              <w:outlineLvl w:val="0"/>
              <w:rPr>
                <w:color w:val="000000" w:themeColor="text1"/>
              </w:rPr>
            </w:pPr>
            <w:r w:rsidRPr="00894FB4">
              <w:rPr>
                <w:color w:val="000000" w:themeColor="text1"/>
              </w:rPr>
              <w:t xml:space="preserve">A description of the vehicle family’s specifications and other basic parameters of the vehicle’s design and emission controls.  List the fuel type on which the vehicles are designed to operate (for example, </w:t>
            </w:r>
            <w:proofErr w:type="spellStart"/>
            <w:r w:rsidRPr="00894FB4">
              <w:rPr>
                <w:color w:val="000000" w:themeColor="text1"/>
              </w:rPr>
              <w:t>ultra low</w:t>
            </w:r>
            <w:proofErr w:type="spellEnd"/>
            <w:r w:rsidRPr="00894FB4">
              <w:rPr>
                <w:color w:val="000000" w:themeColor="text1"/>
              </w:rPr>
              <w:t xml:space="preserve">-sulfur diesel fuel).  </w:t>
            </w:r>
          </w:p>
        </w:tc>
      </w:tr>
      <w:tr w:rsidR="00270662" w:rsidRPr="00D049CA" w:rsidTr="00E46BDB">
        <w:tc>
          <w:tcPr>
            <w:tcW w:w="9648" w:type="dxa"/>
          </w:tcPr>
          <w:p w:rsidR="005A63AF" w:rsidRDefault="00894FB4">
            <w:pPr>
              <w:pStyle w:val="Default3"/>
              <w:keepNext/>
              <w:widowControl w:val="0"/>
              <w:outlineLvl w:val="0"/>
              <w:rPr>
                <w:color w:val="000000" w:themeColor="text1"/>
              </w:rPr>
            </w:pPr>
            <w:r w:rsidRPr="00894FB4">
              <w:rPr>
                <w:color w:val="000000" w:themeColor="text1"/>
              </w:rPr>
              <w:t>An explanation of how the emission control system operates.  As applicable, describe in detail all system components for controlling greenhouse gas and evaporative emissions, including all auxiliary emission control devices (</w:t>
            </w:r>
            <w:proofErr w:type="spellStart"/>
            <w:r w:rsidRPr="00894FB4">
              <w:rPr>
                <w:color w:val="000000" w:themeColor="text1"/>
              </w:rPr>
              <w:t>AECDs</w:t>
            </w:r>
            <w:proofErr w:type="spellEnd"/>
            <w:r w:rsidRPr="00894FB4">
              <w:rPr>
                <w:color w:val="000000" w:themeColor="text1"/>
              </w:rPr>
              <w:t xml:space="preserve">) and all fuel-system components will be installed on any production vehicle.  Identify the part number of each component you describe.  Treat as separate </w:t>
            </w:r>
            <w:proofErr w:type="spellStart"/>
            <w:r w:rsidRPr="00894FB4">
              <w:rPr>
                <w:color w:val="000000" w:themeColor="text1"/>
              </w:rPr>
              <w:t>AECDs</w:t>
            </w:r>
            <w:proofErr w:type="spellEnd"/>
            <w:r w:rsidRPr="00894FB4">
              <w:rPr>
                <w:color w:val="000000" w:themeColor="text1"/>
              </w:rPr>
              <w:t xml:space="preserve"> any devices that modulate or activate differently from each other. </w:t>
            </w:r>
          </w:p>
        </w:tc>
      </w:tr>
      <w:tr w:rsidR="00270662" w:rsidRPr="00D049CA" w:rsidTr="00E46BDB">
        <w:tc>
          <w:tcPr>
            <w:tcW w:w="9648" w:type="dxa"/>
          </w:tcPr>
          <w:p w:rsidR="005A63AF" w:rsidRDefault="00894FB4">
            <w:pPr>
              <w:pStyle w:val="Default3"/>
              <w:keepNext/>
              <w:widowControl w:val="0"/>
              <w:outlineLvl w:val="0"/>
              <w:rPr>
                <w:color w:val="000000" w:themeColor="text1"/>
              </w:rPr>
            </w:pPr>
            <w:r w:rsidRPr="00894FB4">
              <w:rPr>
                <w:color w:val="000000" w:themeColor="text1"/>
              </w:rPr>
              <w:t>For vehicles subject to air conditioning standards</w:t>
            </w:r>
            <w:r w:rsidR="00942AC9">
              <w:rPr>
                <w:color w:val="000000" w:themeColor="text1"/>
              </w:rPr>
              <w:t xml:space="preserve"> (this means tractors for Phase 1)</w:t>
            </w:r>
            <w:r w:rsidRPr="00894FB4">
              <w:rPr>
                <w:color w:val="000000" w:themeColor="text1"/>
              </w:rPr>
              <w:t>, include:</w:t>
            </w:r>
          </w:p>
          <w:p w:rsidR="005A63AF" w:rsidRDefault="00894FB4">
            <w:pPr>
              <w:pStyle w:val="Default3"/>
              <w:keepNext/>
              <w:widowControl w:val="0"/>
              <w:outlineLvl w:val="0"/>
              <w:rPr>
                <w:color w:val="000000" w:themeColor="text1"/>
              </w:rPr>
            </w:pPr>
            <w:r w:rsidRPr="00894FB4">
              <w:rPr>
                <w:color w:val="000000" w:themeColor="text1"/>
              </w:rPr>
              <w:t>(1) The refrigerant leakage rates (leak scores).</w:t>
            </w:r>
          </w:p>
          <w:p w:rsidR="005A63AF" w:rsidRDefault="00894FB4">
            <w:pPr>
              <w:pStyle w:val="Default3"/>
              <w:keepNext/>
              <w:widowControl w:val="0"/>
              <w:outlineLvl w:val="0"/>
              <w:rPr>
                <w:color w:val="000000" w:themeColor="text1"/>
              </w:rPr>
            </w:pPr>
            <w:r w:rsidRPr="00894FB4">
              <w:rPr>
                <w:color w:val="000000" w:themeColor="text1"/>
              </w:rPr>
              <w:t>(2) The refrigerant capacity of the air conditioning systems.</w:t>
            </w:r>
          </w:p>
          <w:p w:rsidR="005A63AF" w:rsidRDefault="00894FB4">
            <w:pPr>
              <w:pStyle w:val="Default3"/>
              <w:keepNext/>
              <w:widowControl w:val="0"/>
              <w:outlineLvl w:val="0"/>
              <w:rPr>
                <w:color w:val="000000" w:themeColor="text1"/>
              </w:rPr>
            </w:pPr>
            <w:r w:rsidRPr="00894FB4">
              <w:rPr>
                <w:color w:val="000000" w:themeColor="text1"/>
              </w:rPr>
              <w:t>(3) The corporate name of the final installer of the air conditioning system.</w:t>
            </w:r>
          </w:p>
        </w:tc>
      </w:tr>
      <w:tr w:rsidR="00270662" w:rsidRPr="00D049CA" w:rsidTr="00E46BDB">
        <w:tc>
          <w:tcPr>
            <w:tcW w:w="9648" w:type="dxa"/>
          </w:tcPr>
          <w:p w:rsidR="005A63AF" w:rsidRDefault="00894FB4">
            <w:pPr>
              <w:pStyle w:val="Default3"/>
              <w:keepNext/>
              <w:widowControl w:val="0"/>
              <w:outlineLvl w:val="0"/>
              <w:rPr>
                <w:color w:val="000000" w:themeColor="text1"/>
              </w:rPr>
            </w:pPr>
            <w:r w:rsidRPr="00894FB4">
              <w:rPr>
                <w:color w:val="000000" w:themeColor="text1"/>
              </w:rPr>
              <w:t>A description of any vehicles selected for testing and the reasons for selecting them.</w:t>
            </w:r>
          </w:p>
        </w:tc>
      </w:tr>
      <w:tr w:rsidR="00270662" w:rsidRPr="00D049CA" w:rsidTr="00E46BDB">
        <w:tc>
          <w:tcPr>
            <w:tcW w:w="9648" w:type="dxa"/>
          </w:tcPr>
          <w:p w:rsidR="005A63AF" w:rsidRDefault="00894FB4">
            <w:pPr>
              <w:pStyle w:val="Default3"/>
              <w:rPr>
                <w:color w:val="000000" w:themeColor="text1"/>
              </w:rPr>
            </w:pPr>
            <w:r w:rsidRPr="00894FB4">
              <w:rPr>
                <w:color w:val="000000" w:themeColor="text1"/>
              </w:rPr>
              <w:t xml:space="preserve">A description of any test equipment and procedures that were used, including any special or alternate test procedures used (see § 1037.501). </w:t>
            </w:r>
          </w:p>
        </w:tc>
      </w:tr>
      <w:tr w:rsidR="00270662" w:rsidRPr="00D049CA" w:rsidTr="00E46BDB">
        <w:tc>
          <w:tcPr>
            <w:tcW w:w="9648" w:type="dxa"/>
          </w:tcPr>
          <w:p w:rsidR="005A63AF" w:rsidRDefault="00894FB4">
            <w:pPr>
              <w:pStyle w:val="Default3"/>
              <w:rPr>
                <w:color w:val="000000" w:themeColor="text1"/>
              </w:rPr>
            </w:pPr>
            <w:r w:rsidRPr="00894FB4">
              <w:rPr>
                <w:color w:val="000000" w:themeColor="text1"/>
              </w:rPr>
              <w:t>A description of how any emission-data vehicle was operated before testing, including the duty cycle and the number of vehicle operating miles used to stabilize emission levels.  Explain why this method of service accumulation was selected.  Include a description of any scheduled maintenance performed.</w:t>
            </w:r>
          </w:p>
        </w:tc>
      </w:tr>
      <w:tr w:rsidR="00270662" w:rsidRPr="00D049CA" w:rsidTr="00E46BDB">
        <w:tc>
          <w:tcPr>
            <w:tcW w:w="9648" w:type="dxa"/>
          </w:tcPr>
          <w:p w:rsidR="005A63AF" w:rsidRDefault="00894FB4">
            <w:pPr>
              <w:pStyle w:val="Default3"/>
              <w:rPr>
                <w:color w:val="000000" w:themeColor="text1"/>
              </w:rPr>
            </w:pPr>
            <w:r w:rsidRPr="00894FB4">
              <w:rPr>
                <w:color w:val="000000" w:themeColor="text1"/>
              </w:rPr>
              <w:t>A list of the specifications of any test fuel used to show that it falls within the required ranges specified in 40 CFR part 1065.</w:t>
            </w:r>
          </w:p>
        </w:tc>
      </w:tr>
      <w:tr w:rsidR="00270662" w:rsidRPr="00D049CA" w:rsidTr="00E46BDB">
        <w:tc>
          <w:tcPr>
            <w:tcW w:w="9648" w:type="dxa"/>
          </w:tcPr>
          <w:p w:rsidR="005A63AF" w:rsidRDefault="00BB35DE">
            <w:pPr>
              <w:pStyle w:val="Default3"/>
              <w:rPr>
                <w:color w:val="000000" w:themeColor="text1"/>
              </w:rPr>
            </w:pPr>
            <w:r>
              <w:rPr>
                <w:color w:val="000000" w:themeColor="text1"/>
              </w:rPr>
              <w:t xml:space="preserve">Identification of </w:t>
            </w:r>
            <w:r w:rsidR="00894FB4" w:rsidRPr="00894FB4">
              <w:rPr>
                <w:color w:val="000000" w:themeColor="text1"/>
              </w:rPr>
              <w:t>the vehicle family’s useful life.</w:t>
            </w:r>
          </w:p>
        </w:tc>
      </w:tr>
      <w:tr w:rsidR="00270662" w:rsidRPr="00D049CA" w:rsidTr="00E46BDB">
        <w:tc>
          <w:tcPr>
            <w:tcW w:w="9648" w:type="dxa"/>
          </w:tcPr>
          <w:p w:rsidR="005A63AF" w:rsidRDefault="00894FB4" w:rsidP="00114EA4">
            <w:pPr>
              <w:pStyle w:val="Default3"/>
              <w:rPr>
                <w:color w:val="000000" w:themeColor="text1"/>
              </w:rPr>
            </w:pPr>
            <w:r w:rsidRPr="00894FB4">
              <w:rPr>
                <w:color w:val="000000" w:themeColor="text1"/>
              </w:rPr>
              <w:t>The maintenance instructions and warranty statement that will be provided to the ultimate purchaser of each new vehicle (see §§ 1037.120 and 1037.125).</w:t>
            </w:r>
          </w:p>
        </w:tc>
      </w:tr>
      <w:tr w:rsidR="00270662" w:rsidRPr="00D049CA" w:rsidTr="00E46BDB">
        <w:tc>
          <w:tcPr>
            <w:tcW w:w="9648" w:type="dxa"/>
          </w:tcPr>
          <w:p w:rsidR="005A63AF" w:rsidRDefault="00894FB4">
            <w:pPr>
              <w:pStyle w:val="Default3"/>
              <w:rPr>
                <w:color w:val="000000" w:themeColor="text1"/>
              </w:rPr>
            </w:pPr>
            <w:r w:rsidRPr="00894FB4">
              <w:rPr>
                <w:color w:val="000000" w:themeColor="text1"/>
              </w:rPr>
              <w:t>A description of the vehicle’s emission control information label (see § 1037.135).</w:t>
            </w:r>
          </w:p>
        </w:tc>
      </w:tr>
      <w:tr w:rsidR="00270662" w:rsidRPr="00D049CA" w:rsidTr="00E46BDB">
        <w:tc>
          <w:tcPr>
            <w:tcW w:w="9648" w:type="dxa"/>
          </w:tcPr>
          <w:p w:rsidR="005A63AF" w:rsidRDefault="00894FB4">
            <w:pPr>
              <w:pStyle w:val="Default3"/>
              <w:rPr>
                <w:color w:val="000000" w:themeColor="text1"/>
              </w:rPr>
            </w:pPr>
            <w:r w:rsidRPr="00894FB4">
              <w:rPr>
                <w:color w:val="000000" w:themeColor="text1"/>
              </w:rPr>
              <w:t xml:space="preserve">Identify the emission </w:t>
            </w:r>
            <w:r w:rsidR="00156671">
              <w:rPr>
                <w:color w:val="000000" w:themeColor="text1"/>
              </w:rPr>
              <w:t xml:space="preserve">and fuel consumption </w:t>
            </w:r>
            <w:r w:rsidRPr="00894FB4">
              <w:rPr>
                <w:color w:val="000000" w:themeColor="text1"/>
              </w:rPr>
              <w:t>standards or family emission limits (FEL</w:t>
            </w:r>
            <w:proofErr w:type="gramStart"/>
            <w:r w:rsidRPr="00894FB4">
              <w:rPr>
                <w:color w:val="000000" w:themeColor="text1"/>
              </w:rPr>
              <w:t>)s</w:t>
            </w:r>
            <w:proofErr w:type="gramEnd"/>
            <w:r w:rsidRPr="00894FB4">
              <w:rPr>
                <w:color w:val="000000" w:themeColor="text1"/>
              </w:rPr>
              <w:t xml:space="preserve"> to which you are certifying vehicles in the vehicle family.  For families containing multiple subfamilies, this means that you must identify multiple CO</w:t>
            </w:r>
            <w:r w:rsidRPr="00894FB4">
              <w:rPr>
                <w:color w:val="000000" w:themeColor="text1"/>
                <w:vertAlign w:val="subscript"/>
              </w:rPr>
              <w:t>2</w:t>
            </w:r>
            <w:r w:rsidRPr="00894FB4">
              <w:rPr>
                <w:color w:val="000000" w:themeColor="text1"/>
              </w:rPr>
              <w:t xml:space="preserve"> </w:t>
            </w:r>
            <w:r w:rsidR="00156671">
              <w:rPr>
                <w:color w:val="000000" w:themeColor="text1"/>
              </w:rPr>
              <w:t xml:space="preserve">and FC </w:t>
            </w:r>
            <w:proofErr w:type="spellStart"/>
            <w:r w:rsidRPr="00894FB4">
              <w:rPr>
                <w:color w:val="000000" w:themeColor="text1"/>
              </w:rPr>
              <w:t>FELs</w:t>
            </w:r>
            <w:proofErr w:type="spellEnd"/>
            <w:r w:rsidRPr="00894FB4">
              <w:rPr>
                <w:color w:val="000000" w:themeColor="text1"/>
              </w:rPr>
              <w:t xml:space="preserve">.   For example, you may identify the highest and lowest </w:t>
            </w:r>
            <w:proofErr w:type="spellStart"/>
            <w:r w:rsidRPr="00894FB4">
              <w:rPr>
                <w:color w:val="000000" w:themeColor="text1"/>
              </w:rPr>
              <w:t>FELs</w:t>
            </w:r>
            <w:proofErr w:type="spellEnd"/>
            <w:r w:rsidRPr="00894FB4">
              <w:rPr>
                <w:color w:val="000000" w:themeColor="text1"/>
              </w:rPr>
              <w:t xml:space="preserve"> to which any of your subfamilies will be certified and also list all possible </w:t>
            </w:r>
            <w:proofErr w:type="spellStart"/>
            <w:r w:rsidRPr="00894FB4">
              <w:rPr>
                <w:color w:val="000000" w:themeColor="text1"/>
              </w:rPr>
              <w:t>FELs</w:t>
            </w:r>
            <w:proofErr w:type="spellEnd"/>
            <w:r w:rsidRPr="00894FB4">
              <w:rPr>
                <w:color w:val="000000" w:themeColor="text1"/>
              </w:rPr>
              <w:t xml:space="preserve"> in between (which will be in 1 g/ton-mile </w:t>
            </w:r>
            <w:r w:rsidR="00156671">
              <w:rPr>
                <w:color w:val="000000" w:themeColor="text1"/>
              </w:rPr>
              <w:t xml:space="preserve">and gallons/1,000 ton-mile </w:t>
            </w:r>
            <w:r w:rsidRPr="00894FB4">
              <w:rPr>
                <w:color w:val="000000" w:themeColor="text1"/>
              </w:rPr>
              <w:t>increments).</w:t>
            </w:r>
          </w:p>
        </w:tc>
      </w:tr>
      <w:tr w:rsidR="00270662" w:rsidRPr="00D049CA" w:rsidTr="00E46BDB">
        <w:tc>
          <w:tcPr>
            <w:tcW w:w="9648" w:type="dxa"/>
          </w:tcPr>
          <w:p w:rsidR="005A63AF" w:rsidRDefault="00894FB4">
            <w:pPr>
              <w:pStyle w:val="Default3"/>
              <w:rPr>
                <w:color w:val="000000" w:themeColor="text1"/>
              </w:rPr>
            </w:pPr>
            <w:r w:rsidRPr="00894FB4">
              <w:rPr>
                <w:color w:val="000000" w:themeColor="text1"/>
              </w:rPr>
              <w:t>Where applicable, identify the vehicle family’s deterioration factors and describe how they were developed.  Present any emission test data used for determining the deterioration factors (see §1037.241(c)).</w:t>
            </w:r>
          </w:p>
        </w:tc>
      </w:tr>
      <w:tr w:rsidR="00270662" w:rsidRPr="00D049CA" w:rsidTr="00E46BDB">
        <w:tc>
          <w:tcPr>
            <w:tcW w:w="9648" w:type="dxa"/>
          </w:tcPr>
          <w:p w:rsidR="005A63AF" w:rsidRDefault="00894FB4">
            <w:pPr>
              <w:pStyle w:val="Default3"/>
              <w:rPr>
                <w:color w:val="000000" w:themeColor="text1"/>
              </w:rPr>
            </w:pPr>
            <w:r w:rsidRPr="00894FB4">
              <w:rPr>
                <w:color w:val="000000" w:themeColor="text1"/>
              </w:rPr>
              <w:t>Where applicable, state that you operated your emission-data vehicles as described in the application (including the test procedures, test parameters, and test fuels) to show you meet the requirements of this part.</w:t>
            </w:r>
          </w:p>
        </w:tc>
      </w:tr>
      <w:tr w:rsidR="00270662" w:rsidRPr="00D049CA" w:rsidTr="00E46BDB">
        <w:tc>
          <w:tcPr>
            <w:tcW w:w="9648" w:type="dxa"/>
          </w:tcPr>
          <w:p w:rsidR="005A63AF" w:rsidRDefault="00894FB4">
            <w:pPr>
              <w:pStyle w:val="Default3"/>
              <w:rPr>
                <w:color w:val="000000" w:themeColor="text1"/>
              </w:rPr>
            </w:pPr>
            <w:r w:rsidRPr="00894FB4">
              <w:rPr>
                <w:color w:val="000000" w:themeColor="text1"/>
              </w:rPr>
              <w:t>Present evaporative test data to show your vehicles meet the evaporative emission standards specified in subpart B of this part, if applicable.  Report all valid test results from emission-data vehicles and indicate whether there are test results from invalid tests or from any other tests of the emission-data vehicle, whether or not they were conducted according to the test procedures of subpart F of this part.  You may be required to report these additional test results.  You may be asked to send other information to confirm the validity of test data.</w:t>
            </w:r>
          </w:p>
        </w:tc>
      </w:tr>
      <w:tr w:rsidR="00270662" w:rsidRPr="00D049CA" w:rsidTr="00E46BDB">
        <w:tc>
          <w:tcPr>
            <w:tcW w:w="9648" w:type="dxa"/>
          </w:tcPr>
          <w:p w:rsidR="005A63AF" w:rsidRDefault="00894FB4">
            <w:pPr>
              <w:pStyle w:val="Default3"/>
              <w:rPr>
                <w:color w:val="000000" w:themeColor="text1"/>
              </w:rPr>
            </w:pPr>
            <w:r w:rsidRPr="00894FB4">
              <w:rPr>
                <w:color w:val="000000" w:themeColor="text1"/>
              </w:rPr>
              <w:t xml:space="preserve">Report modeling results for ten configurations.  Include modeling inputs and detailed descriptions of how they were derived.  Unless otherwise specified, include the configuration with the highest </w:t>
            </w:r>
            <w:r w:rsidRPr="00894FB4">
              <w:rPr>
                <w:color w:val="000000" w:themeColor="text1"/>
              </w:rPr>
              <w:lastRenderedPageBreak/>
              <w:t xml:space="preserve">modeling result, the lowest modeling result, and the configurations with the highest projected sales. </w:t>
            </w:r>
          </w:p>
        </w:tc>
      </w:tr>
      <w:tr w:rsidR="00270662" w:rsidRPr="00D049CA" w:rsidTr="00E46BDB">
        <w:tc>
          <w:tcPr>
            <w:tcW w:w="9648" w:type="dxa"/>
          </w:tcPr>
          <w:p w:rsidR="005A63AF" w:rsidRDefault="00894FB4">
            <w:pPr>
              <w:pStyle w:val="Default3"/>
              <w:rPr>
                <w:color w:val="000000" w:themeColor="text1"/>
              </w:rPr>
            </w:pPr>
            <w:r w:rsidRPr="00894FB4">
              <w:rPr>
                <w:color w:val="000000" w:themeColor="text1"/>
              </w:rPr>
              <w:lastRenderedPageBreak/>
              <w:t>A description of all adjustable operating parameters (see § 1037.115), including production tolerances.  It is not necessary to include parameters that do not affect emissions covered by the application.  Include the following in your description of each parameter:</w:t>
            </w:r>
          </w:p>
          <w:p w:rsidR="005A63AF" w:rsidRDefault="00894FB4">
            <w:pPr>
              <w:pStyle w:val="Default3"/>
              <w:rPr>
                <w:color w:val="000000" w:themeColor="text1"/>
              </w:rPr>
            </w:pPr>
            <w:r w:rsidRPr="00894FB4">
              <w:rPr>
                <w:color w:val="000000" w:themeColor="text1"/>
              </w:rPr>
              <w:t>(1) The nominal or recommended setting.</w:t>
            </w:r>
          </w:p>
          <w:p w:rsidR="005A63AF" w:rsidRDefault="00894FB4">
            <w:pPr>
              <w:pStyle w:val="Default3"/>
              <w:rPr>
                <w:color w:val="000000" w:themeColor="text1"/>
              </w:rPr>
            </w:pPr>
            <w:r w:rsidRPr="00894FB4">
              <w:rPr>
                <w:color w:val="000000" w:themeColor="text1"/>
              </w:rPr>
              <w:t>(2) The intended physically adjustable range.</w:t>
            </w:r>
          </w:p>
          <w:p w:rsidR="005A63AF" w:rsidRDefault="00894FB4">
            <w:pPr>
              <w:pStyle w:val="Default3"/>
              <w:rPr>
                <w:color w:val="000000" w:themeColor="text1"/>
              </w:rPr>
            </w:pPr>
            <w:r w:rsidRPr="00894FB4">
              <w:rPr>
                <w:color w:val="000000" w:themeColor="text1"/>
              </w:rPr>
              <w:t>(3) The limits or stops used to establish adjustable ranges.</w:t>
            </w:r>
          </w:p>
          <w:p w:rsidR="005A63AF" w:rsidRDefault="00894FB4">
            <w:pPr>
              <w:pStyle w:val="Default3"/>
              <w:rPr>
                <w:color w:val="000000" w:themeColor="text1"/>
              </w:rPr>
            </w:pPr>
            <w:r w:rsidRPr="00894FB4">
              <w:rPr>
                <w:color w:val="000000" w:themeColor="text1"/>
              </w:rPr>
              <w:t xml:space="preserve">(4) Information showing why the limits, stops, or other means of inhibiting adjustment are effective in preventing adjustment of parameters on in-use vehicles to settings outside the intended physically adjustable ranges. </w:t>
            </w:r>
          </w:p>
        </w:tc>
      </w:tr>
      <w:tr w:rsidR="00270662" w:rsidRPr="00D049CA" w:rsidTr="00E46BDB">
        <w:tc>
          <w:tcPr>
            <w:tcW w:w="9648" w:type="dxa"/>
          </w:tcPr>
          <w:p w:rsidR="005A63AF" w:rsidRDefault="00894FB4">
            <w:pPr>
              <w:pStyle w:val="Default3"/>
              <w:rPr>
                <w:color w:val="000000" w:themeColor="text1"/>
              </w:rPr>
            </w:pPr>
            <w:r w:rsidRPr="00894FB4">
              <w:rPr>
                <w:color w:val="000000" w:themeColor="text1"/>
              </w:rPr>
              <w:t>A statement that unconditionally certifies that all the vehicles in the vehicle family comply with the requirements of the Clean Air Act.</w:t>
            </w:r>
          </w:p>
        </w:tc>
      </w:tr>
      <w:tr w:rsidR="00270662" w:rsidRPr="00D049CA" w:rsidTr="00E46BDB">
        <w:tc>
          <w:tcPr>
            <w:tcW w:w="9648" w:type="dxa"/>
          </w:tcPr>
          <w:p w:rsidR="005A63AF" w:rsidRDefault="00894FB4">
            <w:pPr>
              <w:pStyle w:val="Default3"/>
              <w:rPr>
                <w:color w:val="000000" w:themeColor="text1"/>
              </w:rPr>
            </w:pPr>
            <w:r w:rsidRPr="00894FB4">
              <w:rPr>
                <w:color w:val="000000" w:themeColor="text1"/>
              </w:rPr>
              <w:t>Good-faith estimates of U.S.-directed production volumes by subfamily.  You may be required to describe the basis of your estimates.</w:t>
            </w:r>
          </w:p>
        </w:tc>
      </w:tr>
      <w:tr w:rsidR="00270662" w:rsidRPr="00D049CA" w:rsidTr="00E46BDB">
        <w:tc>
          <w:tcPr>
            <w:tcW w:w="9648" w:type="dxa"/>
          </w:tcPr>
          <w:p w:rsidR="005A63AF" w:rsidRDefault="00894FB4" w:rsidP="00114EA4">
            <w:pPr>
              <w:pStyle w:val="Default3"/>
              <w:rPr>
                <w:color w:val="000000" w:themeColor="text1"/>
              </w:rPr>
            </w:pPr>
            <w:r w:rsidRPr="00894FB4">
              <w:rPr>
                <w:color w:val="000000" w:themeColor="text1"/>
              </w:rPr>
              <w:t>Other information, such as information required by § 1037.725 if participating in the ABT program.</w:t>
            </w:r>
          </w:p>
        </w:tc>
      </w:tr>
      <w:tr w:rsidR="00270662" w:rsidRPr="00D049CA" w:rsidTr="00E46BDB">
        <w:tc>
          <w:tcPr>
            <w:tcW w:w="9648" w:type="dxa"/>
          </w:tcPr>
          <w:p w:rsidR="005A63AF" w:rsidRDefault="00894FB4">
            <w:pPr>
              <w:pStyle w:val="Default3"/>
              <w:rPr>
                <w:color w:val="000000" w:themeColor="text1"/>
              </w:rPr>
            </w:pPr>
            <w:r w:rsidRPr="00894FB4">
              <w:rPr>
                <w:color w:val="000000" w:themeColor="text1"/>
              </w:rPr>
              <w:t>Other applicable information, such as information specified in this part or 40 CFR part 1068 related to requests for exemptions.</w:t>
            </w:r>
          </w:p>
        </w:tc>
      </w:tr>
      <w:tr w:rsidR="00270662" w:rsidRPr="00D049CA" w:rsidTr="00E46BDB">
        <w:tc>
          <w:tcPr>
            <w:tcW w:w="9648" w:type="dxa"/>
          </w:tcPr>
          <w:p w:rsidR="005A63AF" w:rsidRDefault="00894FB4">
            <w:pPr>
              <w:pStyle w:val="Default3"/>
              <w:rPr>
                <w:color w:val="000000" w:themeColor="text1"/>
              </w:rPr>
            </w:pPr>
            <w:r w:rsidRPr="00894FB4">
              <w:rPr>
                <w:color w:val="000000" w:themeColor="text1"/>
              </w:rPr>
              <w:t>Name an agent for service located in the United States.  Service on this agent constitutes service on the manufacturer or any of the manufacturer’s officers or employees for any action by EPA or otherwise by the United States related to the requirements of these regulations.</w:t>
            </w:r>
          </w:p>
        </w:tc>
      </w:tr>
    </w:tbl>
    <w:p w:rsidR="0083777F" w:rsidRPr="00D049CA" w:rsidRDefault="0083777F" w:rsidP="0064717A">
      <w:pPr>
        <w:pStyle w:val="Style6"/>
        <w:jc w:val="center"/>
        <w:rPr>
          <w:color w:val="000000" w:themeColor="text1"/>
          <w:spacing w:val="6"/>
        </w:rPr>
      </w:pPr>
    </w:p>
    <w:p w:rsidR="005A63AF" w:rsidRPr="00BF034E" w:rsidRDefault="00894FB4">
      <w:pPr>
        <w:pStyle w:val="Caption"/>
        <w:keepNext/>
        <w:rPr>
          <w:color w:val="000000" w:themeColor="text1"/>
          <w:sz w:val="20"/>
          <w:szCs w:val="20"/>
        </w:rPr>
      </w:pPr>
      <w:bookmarkStart w:id="8" w:name="_Ref419460231"/>
      <w:r w:rsidRPr="00BF034E">
        <w:rPr>
          <w:color w:val="000000" w:themeColor="text1"/>
          <w:sz w:val="20"/>
          <w:szCs w:val="20"/>
        </w:rPr>
        <w:t xml:space="preserve">Table </w:t>
      </w:r>
      <w:r w:rsidR="00121BAD" w:rsidRPr="00BF034E">
        <w:rPr>
          <w:color w:val="000000" w:themeColor="text1"/>
          <w:sz w:val="20"/>
          <w:szCs w:val="20"/>
        </w:rPr>
        <w:fldChar w:fldCharType="begin"/>
      </w:r>
      <w:r w:rsidRPr="00BF034E">
        <w:rPr>
          <w:color w:val="000000" w:themeColor="text1"/>
          <w:sz w:val="20"/>
          <w:szCs w:val="20"/>
        </w:rPr>
        <w:instrText xml:space="preserve"> SEQ Table \* ARABIC </w:instrText>
      </w:r>
      <w:r w:rsidR="00121BAD" w:rsidRPr="00BF034E">
        <w:rPr>
          <w:color w:val="000000" w:themeColor="text1"/>
          <w:sz w:val="20"/>
          <w:szCs w:val="20"/>
        </w:rPr>
        <w:fldChar w:fldCharType="separate"/>
      </w:r>
      <w:r w:rsidR="00673E30">
        <w:rPr>
          <w:noProof/>
          <w:color w:val="000000" w:themeColor="text1"/>
          <w:sz w:val="20"/>
          <w:szCs w:val="20"/>
        </w:rPr>
        <w:t>9</w:t>
      </w:r>
      <w:r w:rsidR="00121BAD" w:rsidRPr="00BF034E">
        <w:rPr>
          <w:color w:val="000000" w:themeColor="text1"/>
          <w:sz w:val="20"/>
          <w:szCs w:val="20"/>
        </w:rPr>
        <w:fldChar w:fldCharType="end"/>
      </w:r>
      <w:bookmarkEnd w:id="8"/>
      <w:r w:rsidRPr="00BF034E">
        <w:rPr>
          <w:color w:val="000000" w:themeColor="text1"/>
          <w:sz w:val="20"/>
          <w:szCs w:val="20"/>
        </w:rPr>
        <w:t xml:space="preserve"> Key Information Items Requested: HD National Certification Program</w:t>
      </w:r>
      <w:r w:rsidR="00156671" w:rsidRPr="00BF034E">
        <w:rPr>
          <w:color w:val="000000" w:themeColor="text1"/>
          <w:sz w:val="20"/>
          <w:szCs w:val="20"/>
        </w:rPr>
        <w:t xml:space="preserve">: Vehicle Manufacturers </w:t>
      </w:r>
      <w:r w:rsidR="00156671" w:rsidRPr="00BF034E">
        <w:rPr>
          <w:color w:val="000000" w:themeColor="text1"/>
          <w:sz w:val="20"/>
          <w:szCs w:val="20"/>
        </w:rPr>
        <w:br/>
        <w:t>(40 CFR 1037.205)</w:t>
      </w:r>
    </w:p>
    <w:tbl>
      <w:tblPr>
        <w:tblStyle w:val="TableGrid"/>
        <w:tblW w:w="8910" w:type="dxa"/>
        <w:tblLayout w:type="fixed"/>
        <w:tblLook w:val="0000" w:firstRow="0" w:lastRow="0" w:firstColumn="0" w:lastColumn="0" w:noHBand="0" w:noVBand="0"/>
      </w:tblPr>
      <w:tblGrid>
        <w:gridCol w:w="8910"/>
      </w:tblGrid>
      <w:tr w:rsidR="0064717A" w:rsidRPr="00D049CA" w:rsidTr="001F71DC">
        <w:trPr>
          <w:trHeight w:val="303"/>
        </w:trPr>
        <w:tc>
          <w:tcPr>
            <w:tcW w:w="8910" w:type="dxa"/>
          </w:tcPr>
          <w:p w:rsidR="005A63AF" w:rsidRDefault="00894FB4">
            <w:pPr>
              <w:pStyle w:val="Default3"/>
              <w:widowControl w:val="0"/>
              <w:rPr>
                <w:color w:val="000000" w:themeColor="text1"/>
              </w:rPr>
            </w:pPr>
            <w:r w:rsidRPr="00894FB4">
              <w:rPr>
                <w:color w:val="000000" w:themeColor="text1"/>
              </w:rPr>
              <w:t>Description of vehicle families as related to requirements for GHG standards, including CO</w:t>
            </w:r>
            <w:r w:rsidRPr="00CF70D5">
              <w:rPr>
                <w:color w:val="000000" w:themeColor="text1"/>
                <w:vertAlign w:val="subscript"/>
              </w:rPr>
              <w:t>2</w:t>
            </w:r>
            <w:r w:rsidRPr="00894FB4">
              <w:rPr>
                <w:color w:val="000000" w:themeColor="text1"/>
              </w:rPr>
              <w:t xml:space="preserve"> and HFC, as applicable</w:t>
            </w:r>
            <w:r w:rsidRPr="00894FB4">
              <w:rPr>
                <w:color w:val="000000" w:themeColor="text1"/>
              </w:rPr>
              <w:tab/>
            </w:r>
          </w:p>
        </w:tc>
      </w:tr>
      <w:tr w:rsidR="0064717A" w:rsidRPr="00D049CA" w:rsidTr="001F71DC">
        <w:trPr>
          <w:trHeight w:val="441"/>
        </w:trPr>
        <w:tc>
          <w:tcPr>
            <w:tcW w:w="8910" w:type="dxa"/>
          </w:tcPr>
          <w:p w:rsidR="005A63AF" w:rsidRDefault="00894FB4">
            <w:pPr>
              <w:pStyle w:val="Default3"/>
              <w:widowControl w:val="0"/>
              <w:rPr>
                <w:color w:val="000000" w:themeColor="text1"/>
              </w:rPr>
            </w:pPr>
            <w:r w:rsidRPr="00894FB4">
              <w:rPr>
                <w:color w:val="000000" w:themeColor="text1"/>
              </w:rPr>
              <w:t>Description of emission control system, including auxiliary-emission control devices to be installed on production vehicles</w:t>
            </w:r>
          </w:p>
        </w:tc>
      </w:tr>
      <w:tr w:rsidR="0064717A" w:rsidRPr="00D049CA" w:rsidTr="001F71DC">
        <w:trPr>
          <w:trHeight w:val="297"/>
        </w:trPr>
        <w:tc>
          <w:tcPr>
            <w:tcW w:w="8910" w:type="dxa"/>
          </w:tcPr>
          <w:p w:rsidR="005A63AF" w:rsidRDefault="00894FB4">
            <w:pPr>
              <w:pStyle w:val="Default3"/>
              <w:widowControl w:val="0"/>
              <w:rPr>
                <w:color w:val="000000" w:themeColor="text1"/>
              </w:rPr>
            </w:pPr>
            <w:r w:rsidRPr="00894FB4">
              <w:rPr>
                <w:color w:val="000000" w:themeColor="text1"/>
              </w:rPr>
              <w:t>Description of test vehicles selected for testing and rationale for selection</w:t>
            </w:r>
          </w:p>
        </w:tc>
      </w:tr>
      <w:tr w:rsidR="0064717A" w:rsidRPr="00D049CA" w:rsidTr="001F71DC">
        <w:trPr>
          <w:trHeight w:val="216"/>
        </w:trPr>
        <w:tc>
          <w:tcPr>
            <w:tcW w:w="8910" w:type="dxa"/>
          </w:tcPr>
          <w:p w:rsidR="005A63AF" w:rsidRDefault="00894FB4">
            <w:pPr>
              <w:pStyle w:val="Default3"/>
              <w:widowControl w:val="0"/>
              <w:rPr>
                <w:color w:val="000000" w:themeColor="text1"/>
              </w:rPr>
            </w:pPr>
            <w:r w:rsidRPr="00894FB4">
              <w:rPr>
                <w:color w:val="000000" w:themeColor="text1"/>
              </w:rPr>
              <w:t xml:space="preserve">Description of test procedures and equipment, including alternate tests if applicable  </w:t>
            </w:r>
          </w:p>
        </w:tc>
      </w:tr>
      <w:tr w:rsidR="0064717A" w:rsidRPr="00D049CA" w:rsidTr="001F71DC">
        <w:trPr>
          <w:trHeight w:val="297"/>
        </w:trPr>
        <w:tc>
          <w:tcPr>
            <w:tcW w:w="8910" w:type="dxa"/>
          </w:tcPr>
          <w:p w:rsidR="005A63AF" w:rsidRDefault="00894FB4">
            <w:pPr>
              <w:pStyle w:val="Default3"/>
              <w:widowControl w:val="0"/>
              <w:rPr>
                <w:color w:val="000000" w:themeColor="text1"/>
              </w:rPr>
            </w:pPr>
            <w:r w:rsidRPr="00894FB4">
              <w:rPr>
                <w:color w:val="000000" w:themeColor="text1"/>
              </w:rPr>
              <w:t xml:space="preserve">Describe Label Information </w:t>
            </w:r>
          </w:p>
        </w:tc>
      </w:tr>
      <w:tr w:rsidR="0064717A" w:rsidRPr="00D049CA" w:rsidTr="001F71DC">
        <w:trPr>
          <w:trHeight w:val="303"/>
        </w:trPr>
        <w:tc>
          <w:tcPr>
            <w:tcW w:w="8910" w:type="dxa"/>
          </w:tcPr>
          <w:p w:rsidR="005A63AF" w:rsidRDefault="00894FB4">
            <w:pPr>
              <w:pStyle w:val="Default3"/>
              <w:widowControl w:val="0"/>
              <w:rPr>
                <w:color w:val="000000" w:themeColor="text1"/>
              </w:rPr>
            </w:pPr>
            <w:r w:rsidRPr="00894FB4">
              <w:rPr>
                <w:color w:val="000000" w:themeColor="text1"/>
              </w:rPr>
              <w:t xml:space="preserve">Intent to participate in Average, Banking &amp; Trading and/or other available emissions credit programs </w:t>
            </w:r>
          </w:p>
        </w:tc>
      </w:tr>
      <w:tr w:rsidR="0064717A" w:rsidRPr="00D049CA" w:rsidTr="001F71DC">
        <w:trPr>
          <w:trHeight w:val="216"/>
        </w:trPr>
        <w:tc>
          <w:tcPr>
            <w:tcW w:w="8910" w:type="dxa"/>
          </w:tcPr>
          <w:p w:rsidR="005A63AF" w:rsidRDefault="00894FB4">
            <w:pPr>
              <w:pStyle w:val="Default3"/>
              <w:widowControl w:val="0"/>
              <w:rPr>
                <w:color w:val="000000" w:themeColor="text1"/>
              </w:rPr>
            </w:pPr>
            <w:r w:rsidRPr="00894FB4">
              <w:rPr>
                <w:color w:val="000000" w:themeColor="text1"/>
              </w:rPr>
              <w:t>Family Emission Limits</w:t>
            </w:r>
          </w:p>
        </w:tc>
      </w:tr>
      <w:tr w:rsidR="0064717A" w:rsidRPr="00D049CA" w:rsidTr="001F71DC">
        <w:trPr>
          <w:trHeight w:val="303"/>
        </w:trPr>
        <w:tc>
          <w:tcPr>
            <w:tcW w:w="8910" w:type="dxa"/>
          </w:tcPr>
          <w:p w:rsidR="005A63AF" w:rsidRDefault="00894FB4">
            <w:pPr>
              <w:pStyle w:val="Default3"/>
              <w:widowControl w:val="0"/>
              <w:rPr>
                <w:color w:val="000000" w:themeColor="text1"/>
              </w:rPr>
            </w:pPr>
            <w:r w:rsidRPr="00894FB4">
              <w:rPr>
                <w:color w:val="000000" w:themeColor="text1"/>
              </w:rPr>
              <w:t>Statement of Compliance</w:t>
            </w:r>
          </w:p>
        </w:tc>
      </w:tr>
      <w:tr w:rsidR="0064717A" w:rsidRPr="00D049CA" w:rsidTr="001F71DC">
        <w:trPr>
          <w:trHeight w:val="216"/>
        </w:trPr>
        <w:tc>
          <w:tcPr>
            <w:tcW w:w="8910" w:type="dxa"/>
          </w:tcPr>
          <w:p w:rsidR="005A63AF" w:rsidRDefault="00894FB4">
            <w:pPr>
              <w:pStyle w:val="Default3"/>
              <w:widowControl w:val="0"/>
              <w:rPr>
                <w:color w:val="000000" w:themeColor="text1"/>
              </w:rPr>
            </w:pPr>
            <w:r w:rsidRPr="00894FB4">
              <w:rPr>
                <w:color w:val="000000" w:themeColor="text1"/>
              </w:rPr>
              <w:t>Good-faith estimates of U.S. production volumes</w:t>
            </w:r>
          </w:p>
        </w:tc>
      </w:tr>
      <w:tr w:rsidR="0064717A" w:rsidRPr="00D049CA" w:rsidTr="001F71DC">
        <w:trPr>
          <w:trHeight w:val="303"/>
        </w:trPr>
        <w:tc>
          <w:tcPr>
            <w:tcW w:w="8910" w:type="dxa"/>
          </w:tcPr>
          <w:p w:rsidR="005A63AF" w:rsidRDefault="004E1501" w:rsidP="004E1501">
            <w:pPr>
              <w:pStyle w:val="Default3"/>
              <w:widowControl w:val="0"/>
              <w:rPr>
                <w:color w:val="000000" w:themeColor="text1"/>
              </w:rPr>
            </w:pPr>
            <w:r>
              <w:rPr>
                <w:color w:val="000000" w:themeColor="text1"/>
              </w:rPr>
              <w:t>Final</w:t>
            </w:r>
            <w:r w:rsidR="00894FB4" w:rsidRPr="00894FB4">
              <w:rPr>
                <w:color w:val="000000" w:themeColor="text1"/>
              </w:rPr>
              <w:t xml:space="preserve"> production reports</w:t>
            </w:r>
          </w:p>
        </w:tc>
      </w:tr>
      <w:tr w:rsidR="0064717A" w:rsidRPr="00D049CA" w:rsidTr="001F71DC">
        <w:trPr>
          <w:trHeight w:val="303"/>
        </w:trPr>
        <w:tc>
          <w:tcPr>
            <w:tcW w:w="8910" w:type="dxa"/>
          </w:tcPr>
          <w:p w:rsidR="005A63AF" w:rsidRDefault="00894FB4">
            <w:pPr>
              <w:pStyle w:val="Default3"/>
              <w:widowControl w:val="0"/>
              <w:rPr>
                <w:color w:val="000000" w:themeColor="text1"/>
              </w:rPr>
            </w:pPr>
            <w:r w:rsidRPr="00894FB4">
              <w:rPr>
                <w:color w:val="000000" w:themeColor="text1"/>
              </w:rPr>
              <w:t>Amendment to certification application</w:t>
            </w:r>
          </w:p>
        </w:tc>
      </w:tr>
      <w:tr w:rsidR="0064717A" w:rsidRPr="00D049CA" w:rsidTr="001F71DC">
        <w:trPr>
          <w:trHeight w:val="303"/>
        </w:trPr>
        <w:tc>
          <w:tcPr>
            <w:tcW w:w="8910" w:type="dxa"/>
          </w:tcPr>
          <w:p w:rsidR="005A63AF" w:rsidRDefault="00894FB4">
            <w:pPr>
              <w:pStyle w:val="Default3"/>
              <w:widowControl w:val="0"/>
              <w:rPr>
                <w:color w:val="000000" w:themeColor="text1"/>
              </w:rPr>
            </w:pPr>
            <w:r w:rsidRPr="00894FB4">
              <w:rPr>
                <w:color w:val="000000" w:themeColor="text1"/>
              </w:rPr>
              <w:t>Name of U.S.-based service agent</w:t>
            </w:r>
          </w:p>
        </w:tc>
      </w:tr>
    </w:tbl>
    <w:p w:rsidR="0064717A" w:rsidRPr="00D049CA" w:rsidRDefault="0064717A" w:rsidP="008B7FD9">
      <w:pPr>
        <w:pStyle w:val="BulletList"/>
        <w:numPr>
          <w:ilvl w:val="0"/>
          <w:numId w:val="0"/>
        </w:numPr>
        <w:ind w:left="360"/>
        <w:rPr>
          <w:color w:val="000000" w:themeColor="text1"/>
        </w:rPr>
      </w:pPr>
    </w:p>
    <w:p w:rsidR="005A63AF" w:rsidRPr="00BF034E" w:rsidRDefault="00894FB4">
      <w:pPr>
        <w:pStyle w:val="Caption"/>
        <w:keepNext/>
        <w:rPr>
          <w:color w:val="000000" w:themeColor="text1"/>
          <w:sz w:val="20"/>
          <w:szCs w:val="20"/>
        </w:rPr>
      </w:pPr>
      <w:bookmarkStart w:id="9" w:name="_Ref419460239"/>
      <w:r w:rsidRPr="00BF034E">
        <w:rPr>
          <w:color w:val="000000" w:themeColor="text1"/>
          <w:sz w:val="20"/>
          <w:szCs w:val="20"/>
        </w:rPr>
        <w:lastRenderedPageBreak/>
        <w:t xml:space="preserve">Table </w:t>
      </w:r>
      <w:r w:rsidR="00121BAD" w:rsidRPr="00BF034E">
        <w:rPr>
          <w:color w:val="000000" w:themeColor="text1"/>
          <w:sz w:val="20"/>
          <w:szCs w:val="20"/>
        </w:rPr>
        <w:fldChar w:fldCharType="begin"/>
      </w:r>
      <w:r w:rsidRPr="00BF034E">
        <w:rPr>
          <w:color w:val="000000" w:themeColor="text1"/>
          <w:sz w:val="20"/>
          <w:szCs w:val="20"/>
        </w:rPr>
        <w:instrText xml:space="preserve"> SEQ Table \* ARABIC </w:instrText>
      </w:r>
      <w:r w:rsidR="00121BAD" w:rsidRPr="00BF034E">
        <w:rPr>
          <w:color w:val="000000" w:themeColor="text1"/>
          <w:sz w:val="20"/>
          <w:szCs w:val="20"/>
        </w:rPr>
        <w:fldChar w:fldCharType="separate"/>
      </w:r>
      <w:r w:rsidR="00673E30">
        <w:rPr>
          <w:noProof/>
          <w:color w:val="000000" w:themeColor="text1"/>
          <w:sz w:val="20"/>
          <w:szCs w:val="20"/>
        </w:rPr>
        <w:t>10</w:t>
      </w:r>
      <w:r w:rsidR="00121BAD" w:rsidRPr="00BF034E">
        <w:rPr>
          <w:color w:val="000000" w:themeColor="text1"/>
          <w:sz w:val="20"/>
          <w:szCs w:val="20"/>
        </w:rPr>
        <w:fldChar w:fldCharType="end"/>
      </w:r>
      <w:bookmarkEnd w:id="9"/>
      <w:r w:rsidRPr="00BF034E">
        <w:rPr>
          <w:color w:val="000000" w:themeColor="text1"/>
          <w:sz w:val="20"/>
          <w:szCs w:val="20"/>
        </w:rPr>
        <w:t xml:space="preserve"> Summary of Additional Information Required for Compliance </w:t>
      </w:r>
    </w:p>
    <w:tbl>
      <w:tblPr>
        <w:tblStyle w:val="TableGrid"/>
        <w:tblW w:w="9645" w:type="dxa"/>
        <w:tblLayout w:type="fixed"/>
        <w:tblLook w:val="00A0" w:firstRow="1" w:lastRow="0" w:firstColumn="1" w:lastColumn="0" w:noHBand="0" w:noVBand="0"/>
      </w:tblPr>
      <w:tblGrid>
        <w:gridCol w:w="1853"/>
        <w:gridCol w:w="2520"/>
        <w:gridCol w:w="2572"/>
        <w:gridCol w:w="1350"/>
        <w:gridCol w:w="1350"/>
      </w:tblGrid>
      <w:tr w:rsidR="0064717A" w:rsidRPr="00D049CA" w:rsidTr="00156671">
        <w:trPr>
          <w:trHeight w:val="503"/>
        </w:trPr>
        <w:tc>
          <w:tcPr>
            <w:tcW w:w="1853" w:type="dxa"/>
          </w:tcPr>
          <w:p w:rsidR="005A63AF" w:rsidRDefault="00894FB4">
            <w:pPr>
              <w:pStyle w:val="Default3"/>
              <w:keepNext/>
              <w:widowControl w:val="0"/>
              <w:outlineLvl w:val="0"/>
              <w:rPr>
                <w:color w:val="000000" w:themeColor="text1"/>
              </w:rPr>
            </w:pPr>
            <w:r w:rsidRPr="00894FB4">
              <w:rPr>
                <w:color w:val="000000" w:themeColor="text1"/>
              </w:rPr>
              <w:t>Submission</w:t>
            </w:r>
          </w:p>
        </w:tc>
        <w:tc>
          <w:tcPr>
            <w:tcW w:w="2520" w:type="dxa"/>
          </w:tcPr>
          <w:p w:rsidR="005A63AF" w:rsidRDefault="00894FB4">
            <w:pPr>
              <w:pStyle w:val="Default3"/>
              <w:keepNext/>
              <w:widowControl w:val="0"/>
              <w:outlineLvl w:val="0"/>
              <w:rPr>
                <w:color w:val="000000" w:themeColor="text1"/>
              </w:rPr>
            </w:pPr>
            <w:r w:rsidRPr="00894FB4">
              <w:rPr>
                <w:color w:val="000000" w:themeColor="text1"/>
              </w:rPr>
              <w:t>Applies to</w:t>
            </w:r>
          </w:p>
        </w:tc>
        <w:tc>
          <w:tcPr>
            <w:tcW w:w="2572" w:type="dxa"/>
          </w:tcPr>
          <w:p w:rsidR="005A63AF" w:rsidRDefault="00894FB4">
            <w:pPr>
              <w:pStyle w:val="Default3"/>
              <w:keepNext/>
              <w:widowControl w:val="0"/>
              <w:outlineLvl w:val="0"/>
              <w:rPr>
                <w:color w:val="000000" w:themeColor="text1"/>
              </w:rPr>
            </w:pPr>
            <w:r w:rsidRPr="00894FB4">
              <w:rPr>
                <w:color w:val="000000" w:themeColor="text1"/>
              </w:rPr>
              <w:t>Required Submissions Date</w:t>
            </w:r>
          </w:p>
        </w:tc>
        <w:tc>
          <w:tcPr>
            <w:tcW w:w="1350" w:type="dxa"/>
          </w:tcPr>
          <w:p w:rsidR="005A63AF" w:rsidRDefault="00894FB4">
            <w:pPr>
              <w:pStyle w:val="Default3"/>
              <w:keepNext/>
              <w:widowControl w:val="0"/>
              <w:outlineLvl w:val="0"/>
              <w:rPr>
                <w:color w:val="000000" w:themeColor="text1"/>
              </w:rPr>
            </w:pPr>
            <w:r w:rsidRPr="00894FB4">
              <w:rPr>
                <w:color w:val="000000" w:themeColor="text1"/>
              </w:rPr>
              <w:t>EPA Regulation Reference</w:t>
            </w:r>
          </w:p>
          <w:p w:rsidR="00114EA4" w:rsidRDefault="00114EA4">
            <w:pPr>
              <w:pStyle w:val="Default3"/>
              <w:keepNext/>
              <w:widowControl w:val="0"/>
              <w:outlineLvl w:val="0"/>
              <w:rPr>
                <w:color w:val="000000" w:themeColor="text1"/>
              </w:rPr>
            </w:pPr>
            <w:r>
              <w:rPr>
                <w:color w:val="000000" w:themeColor="text1"/>
              </w:rPr>
              <w:t>40 CFR part 1037</w:t>
            </w:r>
          </w:p>
        </w:tc>
        <w:tc>
          <w:tcPr>
            <w:tcW w:w="1350" w:type="dxa"/>
          </w:tcPr>
          <w:p w:rsidR="005A63AF" w:rsidRDefault="00894FB4">
            <w:pPr>
              <w:pStyle w:val="Default3"/>
              <w:keepNext/>
              <w:widowControl w:val="0"/>
              <w:outlineLvl w:val="0"/>
              <w:rPr>
                <w:color w:val="000000" w:themeColor="text1"/>
              </w:rPr>
            </w:pPr>
            <w:r w:rsidRPr="00894FB4">
              <w:rPr>
                <w:color w:val="000000" w:themeColor="text1"/>
              </w:rPr>
              <w:t>NHTSA Regulation Reference</w:t>
            </w:r>
          </w:p>
          <w:p w:rsidR="00114EA4" w:rsidRDefault="00114EA4">
            <w:pPr>
              <w:pStyle w:val="Default3"/>
              <w:keepNext/>
              <w:widowControl w:val="0"/>
              <w:outlineLvl w:val="0"/>
              <w:rPr>
                <w:color w:val="000000" w:themeColor="text1"/>
              </w:rPr>
            </w:pPr>
            <w:r>
              <w:rPr>
                <w:color w:val="000000" w:themeColor="text1"/>
              </w:rPr>
              <w:t>49 CFR part 535</w:t>
            </w:r>
          </w:p>
        </w:tc>
      </w:tr>
      <w:tr w:rsidR="0064717A" w:rsidRPr="00D049CA" w:rsidTr="00156671">
        <w:trPr>
          <w:trHeight w:val="503"/>
        </w:trPr>
        <w:tc>
          <w:tcPr>
            <w:tcW w:w="1853" w:type="dxa"/>
          </w:tcPr>
          <w:p w:rsidR="005A63AF" w:rsidRDefault="00894FB4">
            <w:pPr>
              <w:pStyle w:val="Default3"/>
              <w:keepNext/>
              <w:widowControl w:val="0"/>
              <w:outlineLvl w:val="0"/>
              <w:rPr>
                <w:color w:val="000000" w:themeColor="text1"/>
              </w:rPr>
            </w:pPr>
            <w:r w:rsidRPr="00894FB4">
              <w:rPr>
                <w:color w:val="000000" w:themeColor="text1"/>
              </w:rPr>
              <w:t>Small business exemptions</w:t>
            </w:r>
          </w:p>
        </w:tc>
        <w:tc>
          <w:tcPr>
            <w:tcW w:w="2520" w:type="dxa"/>
          </w:tcPr>
          <w:p w:rsidR="005A63AF" w:rsidRDefault="00894FB4">
            <w:pPr>
              <w:pStyle w:val="Default3"/>
              <w:keepNext/>
              <w:widowControl w:val="0"/>
              <w:outlineLvl w:val="0"/>
              <w:rPr>
                <w:color w:val="000000" w:themeColor="text1"/>
              </w:rPr>
            </w:pPr>
            <w:r w:rsidRPr="00894FB4">
              <w:rPr>
                <w:color w:val="000000" w:themeColor="text1"/>
              </w:rPr>
              <w:t>Vehicle manufacturers meeting the Small Business Administration (SBA) size criteria of a small business as described in 13 CFR 121.201.</w:t>
            </w:r>
          </w:p>
        </w:tc>
        <w:tc>
          <w:tcPr>
            <w:tcW w:w="2572" w:type="dxa"/>
          </w:tcPr>
          <w:p w:rsidR="005A63AF" w:rsidRDefault="00894FB4">
            <w:pPr>
              <w:pStyle w:val="Default3"/>
              <w:keepNext/>
              <w:widowControl w:val="0"/>
              <w:outlineLvl w:val="0"/>
              <w:rPr>
                <w:color w:val="000000" w:themeColor="text1"/>
              </w:rPr>
            </w:pPr>
            <w:r w:rsidRPr="00894FB4">
              <w:rPr>
                <w:color w:val="000000" w:themeColor="text1"/>
              </w:rPr>
              <w:t>Before introducing any  excluded vehicle into U.S. commerce</w:t>
            </w:r>
          </w:p>
        </w:tc>
        <w:tc>
          <w:tcPr>
            <w:tcW w:w="1350" w:type="dxa"/>
          </w:tcPr>
          <w:p w:rsidR="005A63AF" w:rsidRDefault="00894FB4">
            <w:pPr>
              <w:pStyle w:val="Default3"/>
              <w:keepNext/>
              <w:widowControl w:val="0"/>
              <w:outlineLvl w:val="0"/>
              <w:rPr>
                <w:color w:val="000000" w:themeColor="text1"/>
              </w:rPr>
            </w:pPr>
            <w:r w:rsidRPr="00894FB4">
              <w:rPr>
                <w:color w:val="000000" w:themeColor="text1"/>
              </w:rPr>
              <w:t>§1037.150</w:t>
            </w:r>
          </w:p>
        </w:tc>
        <w:tc>
          <w:tcPr>
            <w:tcW w:w="1350" w:type="dxa"/>
          </w:tcPr>
          <w:p w:rsidR="005A63AF" w:rsidRDefault="00894FB4">
            <w:pPr>
              <w:pStyle w:val="Default3"/>
              <w:keepNext/>
              <w:widowControl w:val="0"/>
              <w:outlineLvl w:val="0"/>
              <w:rPr>
                <w:color w:val="000000" w:themeColor="text1"/>
              </w:rPr>
            </w:pPr>
            <w:r w:rsidRPr="00894FB4">
              <w:rPr>
                <w:color w:val="000000" w:themeColor="text1"/>
              </w:rPr>
              <w:t>§535.8</w:t>
            </w:r>
          </w:p>
        </w:tc>
      </w:tr>
      <w:tr w:rsidR="0064717A" w:rsidRPr="00D049CA" w:rsidTr="00156671">
        <w:trPr>
          <w:trHeight w:val="503"/>
        </w:trPr>
        <w:tc>
          <w:tcPr>
            <w:tcW w:w="1853" w:type="dxa"/>
          </w:tcPr>
          <w:p w:rsidR="005A63AF" w:rsidRDefault="00894FB4">
            <w:pPr>
              <w:pStyle w:val="Default3"/>
              <w:widowControl w:val="0"/>
              <w:rPr>
                <w:color w:val="000000" w:themeColor="text1"/>
              </w:rPr>
            </w:pPr>
            <w:r w:rsidRPr="00894FB4">
              <w:rPr>
                <w:color w:val="000000" w:themeColor="text1"/>
              </w:rPr>
              <w:t>Approval of alternate methods to determine drag coefficients</w:t>
            </w:r>
            <w:r w:rsidR="00E46BDB">
              <w:rPr>
                <w:color w:val="000000" w:themeColor="text1"/>
              </w:rPr>
              <w:t xml:space="preserve"> for tractors</w:t>
            </w:r>
          </w:p>
        </w:tc>
        <w:tc>
          <w:tcPr>
            <w:tcW w:w="2520" w:type="dxa"/>
          </w:tcPr>
          <w:p w:rsidR="005A63AF" w:rsidRDefault="00894FB4">
            <w:pPr>
              <w:pStyle w:val="Default3"/>
              <w:widowControl w:val="0"/>
              <w:rPr>
                <w:color w:val="000000" w:themeColor="text1"/>
              </w:rPr>
            </w:pPr>
            <w:r w:rsidRPr="00894FB4">
              <w:rPr>
                <w:color w:val="000000" w:themeColor="text1"/>
              </w:rPr>
              <w:t>Tractors meeting § 1037.106</w:t>
            </w:r>
          </w:p>
        </w:tc>
        <w:tc>
          <w:tcPr>
            <w:tcW w:w="2572" w:type="dxa"/>
          </w:tcPr>
          <w:p w:rsidR="005A63AF" w:rsidRDefault="00894FB4">
            <w:pPr>
              <w:pStyle w:val="Default3"/>
              <w:widowControl w:val="0"/>
              <w:rPr>
                <w:color w:val="000000" w:themeColor="text1"/>
              </w:rPr>
            </w:pPr>
            <w:r w:rsidRPr="00894FB4">
              <w:rPr>
                <w:color w:val="000000" w:themeColor="text1"/>
              </w:rPr>
              <w:t>EPA must be notified before the manufacturer submits its applications for certificates of conformity</w:t>
            </w:r>
          </w:p>
        </w:tc>
        <w:tc>
          <w:tcPr>
            <w:tcW w:w="1350" w:type="dxa"/>
          </w:tcPr>
          <w:p w:rsidR="005A63AF" w:rsidRDefault="00894FB4">
            <w:pPr>
              <w:pStyle w:val="Default3"/>
              <w:widowControl w:val="0"/>
              <w:rPr>
                <w:color w:val="000000" w:themeColor="text1"/>
              </w:rPr>
            </w:pPr>
            <w:r w:rsidRPr="00894FB4">
              <w:rPr>
                <w:color w:val="000000" w:themeColor="text1"/>
              </w:rPr>
              <w:t>§1037.150</w:t>
            </w:r>
          </w:p>
        </w:tc>
        <w:tc>
          <w:tcPr>
            <w:tcW w:w="1350" w:type="dxa"/>
          </w:tcPr>
          <w:p w:rsidR="005A63AF" w:rsidRDefault="00894FB4">
            <w:pPr>
              <w:pStyle w:val="Default3"/>
              <w:widowControl w:val="0"/>
              <w:rPr>
                <w:color w:val="000000" w:themeColor="text1"/>
              </w:rPr>
            </w:pPr>
            <w:r w:rsidRPr="00894FB4">
              <w:rPr>
                <w:color w:val="000000" w:themeColor="text1"/>
              </w:rPr>
              <w:t>§535.8</w:t>
            </w:r>
          </w:p>
        </w:tc>
      </w:tr>
      <w:tr w:rsidR="00E46BDB" w:rsidRPr="00D049CA" w:rsidTr="00156671">
        <w:trPr>
          <w:trHeight w:val="503"/>
        </w:trPr>
        <w:tc>
          <w:tcPr>
            <w:tcW w:w="1853" w:type="dxa"/>
          </w:tcPr>
          <w:p w:rsidR="00E46BDB" w:rsidRPr="00894FB4" w:rsidRDefault="00E46BDB">
            <w:pPr>
              <w:pStyle w:val="Default3"/>
              <w:widowControl w:val="0"/>
              <w:rPr>
                <w:color w:val="000000" w:themeColor="text1"/>
              </w:rPr>
            </w:pPr>
            <w:r w:rsidRPr="00894FB4">
              <w:rPr>
                <w:color w:val="000000" w:themeColor="text1"/>
              </w:rPr>
              <w:t>Air condition</w:t>
            </w:r>
            <w:r>
              <w:rPr>
                <w:color w:val="000000" w:themeColor="text1"/>
              </w:rPr>
              <w:t>ing</w:t>
            </w:r>
            <w:r w:rsidRPr="00894FB4">
              <w:rPr>
                <w:color w:val="000000" w:themeColor="text1"/>
              </w:rPr>
              <w:t xml:space="preserve"> leakage exemption for vocational vehicles</w:t>
            </w:r>
          </w:p>
        </w:tc>
        <w:tc>
          <w:tcPr>
            <w:tcW w:w="2520" w:type="dxa"/>
          </w:tcPr>
          <w:p w:rsidR="00E46BDB" w:rsidRPr="00894FB4" w:rsidRDefault="00E46BDB" w:rsidP="00942AC9">
            <w:pPr>
              <w:pStyle w:val="Default3"/>
              <w:widowControl w:val="0"/>
              <w:rPr>
                <w:color w:val="000000" w:themeColor="text1"/>
              </w:rPr>
            </w:pPr>
            <w:r w:rsidRPr="00894FB4">
              <w:rPr>
                <w:color w:val="000000" w:themeColor="text1"/>
              </w:rPr>
              <w:t xml:space="preserve">Vocational Vehicles excluded from § 1037.115 </w:t>
            </w:r>
          </w:p>
        </w:tc>
        <w:tc>
          <w:tcPr>
            <w:tcW w:w="2572" w:type="dxa"/>
          </w:tcPr>
          <w:p w:rsidR="00E46BDB" w:rsidRPr="00894FB4" w:rsidRDefault="00E46BDB">
            <w:pPr>
              <w:pStyle w:val="Default3"/>
              <w:widowControl w:val="0"/>
              <w:rPr>
                <w:color w:val="000000" w:themeColor="text1"/>
              </w:rPr>
            </w:pPr>
            <w:r w:rsidRPr="00894FB4">
              <w:rPr>
                <w:color w:val="000000" w:themeColor="text1"/>
              </w:rPr>
              <w:t>EPA must be notified before the manufacturer submits it</w:t>
            </w:r>
            <w:r>
              <w:rPr>
                <w:color w:val="000000" w:themeColor="text1"/>
              </w:rPr>
              <w:t>s</w:t>
            </w:r>
            <w:r w:rsidRPr="00894FB4">
              <w:rPr>
                <w:color w:val="000000" w:themeColor="text1"/>
              </w:rPr>
              <w:t xml:space="preserve"> application for certificates of conformity</w:t>
            </w:r>
          </w:p>
        </w:tc>
        <w:tc>
          <w:tcPr>
            <w:tcW w:w="1350" w:type="dxa"/>
          </w:tcPr>
          <w:p w:rsidR="00E46BDB" w:rsidRPr="00894FB4" w:rsidRDefault="00E46BDB">
            <w:pPr>
              <w:pStyle w:val="Default3"/>
              <w:widowControl w:val="0"/>
              <w:rPr>
                <w:color w:val="000000" w:themeColor="text1"/>
              </w:rPr>
            </w:pPr>
            <w:r w:rsidRPr="00894FB4">
              <w:rPr>
                <w:color w:val="000000" w:themeColor="text1"/>
              </w:rPr>
              <w:t xml:space="preserve">§1037.150 </w:t>
            </w:r>
          </w:p>
        </w:tc>
        <w:tc>
          <w:tcPr>
            <w:tcW w:w="1350" w:type="dxa"/>
          </w:tcPr>
          <w:p w:rsidR="00E46BDB" w:rsidRPr="00894FB4" w:rsidRDefault="00E46BDB">
            <w:pPr>
              <w:pStyle w:val="Default3"/>
              <w:widowControl w:val="0"/>
              <w:rPr>
                <w:color w:val="000000" w:themeColor="text1"/>
              </w:rPr>
            </w:pPr>
            <w:r w:rsidRPr="00894FB4">
              <w:rPr>
                <w:color w:val="000000" w:themeColor="text1"/>
              </w:rPr>
              <w:t>§535.8</w:t>
            </w:r>
          </w:p>
        </w:tc>
      </w:tr>
      <w:tr w:rsidR="00E46BDB" w:rsidRPr="00D049CA" w:rsidTr="00156671">
        <w:trPr>
          <w:trHeight w:val="503"/>
        </w:trPr>
        <w:tc>
          <w:tcPr>
            <w:tcW w:w="1853" w:type="dxa"/>
          </w:tcPr>
          <w:p w:rsidR="00E46BDB" w:rsidRDefault="00E46BDB">
            <w:pPr>
              <w:pStyle w:val="Default3"/>
              <w:widowControl w:val="0"/>
              <w:rPr>
                <w:color w:val="000000" w:themeColor="text1"/>
              </w:rPr>
            </w:pPr>
            <w:r w:rsidRPr="00894FB4">
              <w:rPr>
                <w:color w:val="000000" w:themeColor="text1"/>
              </w:rPr>
              <w:t>Off-road exemption</w:t>
            </w:r>
          </w:p>
        </w:tc>
        <w:tc>
          <w:tcPr>
            <w:tcW w:w="2520" w:type="dxa"/>
          </w:tcPr>
          <w:p w:rsidR="00E46BDB" w:rsidRDefault="00E46BDB" w:rsidP="00942AC9">
            <w:pPr>
              <w:pStyle w:val="Default3"/>
              <w:widowControl w:val="0"/>
              <w:rPr>
                <w:color w:val="000000" w:themeColor="text1"/>
              </w:rPr>
            </w:pPr>
            <w:r w:rsidRPr="00894FB4">
              <w:rPr>
                <w:color w:val="000000" w:themeColor="text1"/>
              </w:rPr>
              <w:t xml:space="preserve">Manufacturers wanting to exclude tractors </w:t>
            </w:r>
            <w:r>
              <w:rPr>
                <w:color w:val="000000" w:themeColor="text1"/>
              </w:rPr>
              <w:t xml:space="preserve">or vocational vehicles </w:t>
            </w:r>
            <w:r w:rsidRPr="00894FB4">
              <w:rPr>
                <w:color w:val="000000" w:themeColor="text1"/>
              </w:rPr>
              <w:t>from vehicle standards</w:t>
            </w:r>
          </w:p>
        </w:tc>
        <w:tc>
          <w:tcPr>
            <w:tcW w:w="2572" w:type="dxa"/>
          </w:tcPr>
          <w:p w:rsidR="00E46BDB" w:rsidRDefault="00E46BDB">
            <w:pPr>
              <w:pStyle w:val="Default3"/>
              <w:widowControl w:val="0"/>
              <w:rPr>
                <w:color w:val="000000" w:themeColor="text1"/>
              </w:rPr>
            </w:pPr>
            <w:r w:rsidRPr="00894FB4">
              <w:rPr>
                <w:color w:val="000000" w:themeColor="text1"/>
              </w:rPr>
              <w:t>EPA must be notified before the manufacturer submits its applications for certificates of conformity</w:t>
            </w:r>
          </w:p>
        </w:tc>
        <w:tc>
          <w:tcPr>
            <w:tcW w:w="1350" w:type="dxa"/>
          </w:tcPr>
          <w:p w:rsidR="00E46BDB" w:rsidRDefault="00E46BDB">
            <w:pPr>
              <w:pStyle w:val="Default3"/>
              <w:widowControl w:val="0"/>
              <w:rPr>
                <w:color w:val="000000" w:themeColor="text1"/>
              </w:rPr>
            </w:pPr>
            <w:r w:rsidRPr="00894FB4">
              <w:rPr>
                <w:color w:val="000000" w:themeColor="text1"/>
              </w:rPr>
              <w:t>§1037.150</w:t>
            </w:r>
          </w:p>
        </w:tc>
        <w:tc>
          <w:tcPr>
            <w:tcW w:w="1350" w:type="dxa"/>
          </w:tcPr>
          <w:p w:rsidR="00E46BDB" w:rsidRDefault="00E46BDB">
            <w:pPr>
              <w:pStyle w:val="Default3"/>
              <w:widowControl w:val="0"/>
              <w:rPr>
                <w:color w:val="000000" w:themeColor="text1"/>
              </w:rPr>
            </w:pPr>
            <w:r w:rsidRPr="00894FB4">
              <w:rPr>
                <w:color w:val="000000" w:themeColor="text1"/>
              </w:rPr>
              <w:t>§535.8</w:t>
            </w:r>
          </w:p>
        </w:tc>
      </w:tr>
      <w:tr w:rsidR="00E46BDB" w:rsidRPr="00D049CA" w:rsidTr="00156671">
        <w:trPr>
          <w:trHeight w:val="503"/>
        </w:trPr>
        <w:tc>
          <w:tcPr>
            <w:tcW w:w="1853" w:type="dxa"/>
          </w:tcPr>
          <w:p w:rsidR="00E46BDB" w:rsidRDefault="00E46BDB">
            <w:pPr>
              <w:pStyle w:val="Default3"/>
              <w:widowControl w:val="0"/>
              <w:rPr>
                <w:color w:val="000000" w:themeColor="text1"/>
              </w:rPr>
            </w:pPr>
            <w:r w:rsidRPr="00894FB4">
              <w:rPr>
                <w:color w:val="000000" w:themeColor="text1"/>
              </w:rPr>
              <w:t>Vocational Tractor</w:t>
            </w:r>
          </w:p>
        </w:tc>
        <w:tc>
          <w:tcPr>
            <w:tcW w:w="2520" w:type="dxa"/>
          </w:tcPr>
          <w:p w:rsidR="00E46BDB" w:rsidRDefault="00E46BDB">
            <w:pPr>
              <w:pStyle w:val="Default3"/>
              <w:widowControl w:val="0"/>
              <w:rPr>
                <w:color w:val="000000" w:themeColor="text1"/>
              </w:rPr>
            </w:pPr>
            <w:r w:rsidRPr="00894FB4">
              <w:rPr>
                <w:color w:val="000000" w:themeColor="text1"/>
              </w:rPr>
              <w:t>Manufacturers wanting to reclassify tractor as vocational tractors making them applicable to vocational vehicle standards</w:t>
            </w:r>
          </w:p>
        </w:tc>
        <w:tc>
          <w:tcPr>
            <w:tcW w:w="2572" w:type="dxa"/>
          </w:tcPr>
          <w:p w:rsidR="00E46BDB" w:rsidRDefault="00E46BDB" w:rsidP="00942AC9">
            <w:pPr>
              <w:pStyle w:val="Default3"/>
              <w:widowControl w:val="0"/>
              <w:rPr>
                <w:color w:val="000000" w:themeColor="text1"/>
              </w:rPr>
            </w:pPr>
            <w:r w:rsidRPr="00894FB4">
              <w:rPr>
                <w:color w:val="000000" w:themeColor="text1"/>
              </w:rPr>
              <w:t>EPA must be notified before the manufacturer submits it</w:t>
            </w:r>
            <w:r>
              <w:rPr>
                <w:color w:val="000000" w:themeColor="text1"/>
              </w:rPr>
              <w:t>s</w:t>
            </w:r>
            <w:r w:rsidRPr="00894FB4">
              <w:rPr>
                <w:color w:val="000000" w:themeColor="text1"/>
              </w:rPr>
              <w:t xml:space="preserve"> application for certificates of conformity</w:t>
            </w:r>
          </w:p>
        </w:tc>
        <w:tc>
          <w:tcPr>
            <w:tcW w:w="1350" w:type="dxa"/>
          </w:tcPr>
          <w:p w:rsidR="00E46BDB" w:rsidRDefault="00E46BDB">
            <w:pPr>
              <w:pStyle w:val="Default3"/>
              <w:widowControl w:val="0"/>
              <w:rPr>
                <w:color w:val="000000" w:themeColor="text1"/>
              </w:rPr>
            </w:pPr>
            <w:r w:rsidRPr="00894FB4">
              <w:rPr>
                <w:color w:val="000000" w:themeColor="text1"/>
              </w:rPr>
              <w:t>§1037.150</w:t>
            </w:r>
          </w:p>
        </w:tc>
        <w:tc>
          <w:tcPr>
            <w:tcW w:w="1350" w:type="dxa"/>
          </w:tcPr>
          <w:p w:rsidR="00E46BDB" w:rsidRDefault="00E46BDB">
            <w:pPr>
              <w:pStyle w:val="Default3"/>
              <w:widowControl w:val="0"/>
              <w:rPr>
                <w:color w:val="000000" w:themeColor="text1"/>
              </w:rPr>
            </w:pPr>
            <w:r w:rsidRPr="00894FB4">
              <w:rPr>
                <w:color w:val="000000" w:themeColor="text1"/>
              </w:rPr>
              <w:t>§535.8</w:t>
            </w:r>
          </w:p>
        </w:tc>
      </w:tr>
      <w:tr w:rsidR="00E46BDB" w:rsidRPr="00D049CA" w:rsidTr="00156671">
        <w:trPr>
          <w:trHeight w:val="503"/>
        </w:trPr>
        <w:tc>
          <w:tcPr>
            <w:tcW w:w="1853" w:type="dxa"/>
          </w:tcPr>
          <w:p w:rsidR="00E46BDB" w:rsidRPr="00894FB4" w:rsidRDefault="00E46BDB">
            <w:pPr>
              <w:pStyle w:val="Default3"/>
              <w:widowControl w:val="0"/>
              <w:rPr>
                <w:color w:val="000000" w:themeColor="text1"/>
              </w:rPr>
            </w:pPr>
            <w:r w:rsidRPr="00894FB4">
              <w:rPr>
                <w:color w:val="000000" w:themeColor="text1"/>
              </w:rPr>
              <w:t>Exemption for electric vehicles</w:t>
            </w:r>
          </w:p>
        </w:tc>
        <w:tc>
          <w:tcPr>
            <w:tcW w:w="2520" w:type="dxa"/>
          </w:tcPr>
          <w:p w:rsidR="00E46BDB" w:rsidRPr="00894FB4" w:rsidRDefault="00E46BDB">
            <w:pPr>
              <w:pStyle w:val="Default3"/>
              <w:widowControl w:val="0"/>
              <w:rPr>
                <w:color w:val="000000" w:themeColor="text1"/>
              </w:rPr>
            </w:pPr>
            <w:r w:rsidRPr="00894FB4">
              <w:rPr>
                <w:color w:val="000000" w:themeColor="text1"/>
              </w:rPr>
              <w:t>All electric vehicles are deemed to have zero exhaust emissions of CO</w:t>
            </w:r>
            <w:r w:rsidRPr="00894FB4">
              <w:rPr>
                <w:color w:val="000000" w:themeColor="text1"/>
                <w:vertAlign w:val="subscript"/>
              </w:rPr>
              <w:t>2</w:t>
            </w:r>
            <w:r w:rsidRPr="00894FB4">
              <w:rPr>
                <w:color w:val="000000" w:themeColor="text1"/>
              </w:rPr>
              <w:t>, CH</w:t>
            </w:r>
            <w:r w:rsidRPr="00894FB4">
              <w:rPr>
                <w:color w:val="000000" w:themeColor="text1"/>
                <w:vertAlign w:val="subscript"/>
              </w:rPr>
              <w:t>4</w:t>
            </w:r>
            <w:r w:rsidRPr="00894FB4">
              <w:rPr>
                <w:color w:val="000000" w:themeColor="text1"/>
              </w:rPr>
              <w:t>, and N</w:t>
            </w:r>
            <w:r w:rsidRPr="00894FB4">
              <w:rPr>
                <w:color w:val="000000" w:themeColor="text1"/>
                <w:vertAlign w:val="subscript"/>
              </w:rPr>
              <w:t>2</w:t>
            </w:r>
            <w:r w:rsidRPr="00894FB4">
              <w:rPr>
                <w:color w:val="000000" w:themeColor="text1"/>
              </w:rPr>
              <w:t>O</w:t>
            </w:r>
          </w:p>
        </w:tc>
        <w:tc>
          <w:tcPr>
            <w:tcW w:w="2572" w:type="dxa"/>
          </w:tcPr>
          <w:p w:rsidR="00E46BDB" w:rsidRPr="00894FB4" w:rsidRDefault="00E46BDB">
            <w:pPr>
              <w:pStyle w:val="Default3"/>
              <w:widowControl w:val="0"/>
              <w:rPr>
                <w:color w:val="000000" w:themeColor="text1"/>
              </w:rPr>
            </w:pPr>
            <w:r w:rsidRPr="00894FB4">
              <w:rPr>
                <w:color w:val="000000" w:themeColor="text1"/>
              </w:rPr>
              <w:t>End of December prior to model year</w:t>
            </w:r>
          </w:p>
        </w:tc>
        <w:tc>
          <w:tcPr>
            <w:tcW w:w="1350" w:type="dxa"/>
          </w:tcPr>
          <w:p w:rsidR="002F5AE4" w:rsidRDefault="00E46BDB" w:rsidP="002F5AE4">
            <w:pPr>
              <w:pStyle w:val="Default3"/>
              <w:widowControl w:val="0"/>
              <w:rPr>
                <w:color w:val="000000" w:themeColor="text1"/>
              </w:rPr>
            </w:pPr>
            <w:r w:rsidRPr="00894FB4">
              <w:rPr>
                <w:color w:val="000000" w:themeColor="text1"/>
              </w:rPr>
              <w:t xml:space="preserve">§1037.150 </w:t>
            </w:r>
          </w:p>
        </w:tc>
        <w:tc>
          <w:tcPr>
            <w:tcW w:w="1350" w:type="dxa"/>
          </w:tcPr>
          <w:p w:rsidR="00E46BDB" w:rsidRPr="00894FB4" w:rsidRDefault="00E46BDB">
            <w:pPr>
              <w:pStyle w:val="Default3"/>
              <w:widowControl w:val="0"/>
              <w:rPr>
                <w:color w:val="000000" w:themeColor="text1"/>
              </w:rPr>
            </w:pPr>
            <w:r w:rsidRPr="00894FB4">
              <w:rPr>
                <w:color w:val="000000" w:themeColor="text1"/>
              </w:rPr>
              <w:t>§535.8</w:t>
            </w:r>
          </w:p>
        </w:tc>
      </w:tr>
      <w:tr w:rsidR="00E46BDB" w:rsidRPr="00D049CA" w:rsidTr="00156671">
        <w:trPr>
          <w:trHeight w:val="503"/>
        </w:trPr>
        <w:tc>
          <w:tcPr>
            <w:tcW w:w="1853" w:type="dxa"/>
          </w:tcPr>
          <w:p w:rsidR="00E46BDB" w:rsidRDefault="00E46BDB" w:rsidP="004E1501">
            <w:pPr>
              <w:pStyle w:val="Default3"/>
              <w:widowControl w:val="0"/>
              <w:rPr>
                <w:color w:val="000000" w:themeColor="text1"/>
              </w:rPr>
            </w:pPr>
            <w:r w:rsidRPr="00894FB4">
              <w:rPr>
                <w:color w:val="000000" w:themeColor="text1"/>
              </w:rPr>
              <w:t xml:space="preserve">Exemption from </w:t>
            </w:r>
            <w:r w:rsidR="004E1501">
              <w:rPr>
                <w:color w:val="000000" w:themeColor="text1"/>
              </w:rPr>
              <w:t>final</w:t>
            </w:r>
            <w:r w:rsidRPr="00894FB4">
              <w:rPr>
                <w:color w:val="000000" w:themeColor="text1"/>
              </w:rPr>
              <w:t xml:space="preserve"> reports</w:t>
            </w:r>
          </w:p>
        </w:tc>
        <w:tc>
          <w:tcPr>
            <w:tcW w:w="2520" w:type="dxa"/>
          </w:tcPr>
          <w:p w:rsidR="00E46BDB" w:rsidRDefault="00E46BDB">
            <w:pPr>
              <w:pStyle w:val="Default3"/>
              <w:widowControl w:val="0"/>
              <w:rPr>
                <w:color w:val="000000" w:themeColor="text1"/>
              </w:rPr>
            </w:pPr>
            <w:r w:rsidRPr="00894FB4">
              <w:rPr>
                <w:color w:val="000000" w:themeColor="text1"/>
              </w:rPr>
              <w:t>Manufacture</w:t>
            </w:r>
            <w:r w:rsidR="00673E30">
              <w:rPr>
                <w:color w:val="000000" w:themeColor="text1"/>
              </w:rPr>
              <w:t>r</w:t>
            </w:r>
            <w:r w:rsidRPr="00894FB4">
              <w:rPr>
                <w:color w:val="000000" w:themeColor="text1"/>
              </w:rPr>
              <w:t>s with surplus credits at the end of the model year</w:t>
            </w:r>
          </w:p>
        </w:tc>
        <w:tc>
          <w:tcPr>
            <w:tcW w:w="2572" w:type="dxa"/>
          </w:tcPr>
          <w:p w:rsidR="00E46BDB" w:rsidRDefault="00E46BDB">
            <w:pPr>
              <w:pStyle w:val="Default3"/>
              <w:widowControl w:val="0"/>
              <w:rPr>
                <w:color w:val="000000" w:themeColor="text1"/>
              </w:rPr>
            </w:pPr>
            <w:r w:rsidRPr="00894FB4">
              <w:rPr>
                <w:color w:val="000000" w:themeColor="text1"/>
              </w:rPr>
              <w:t>90-days after the calendar year ends</w:t>
            </w:r>
          </w:p>
        </w:tc>
        <w:tc>
          <w:tcPr>
            <w:tcW w:w="1350" w:type="dxa"/>
          </w:tcPr>
          <w:p w:rsidR="00E46BDB" w:rsidRDefault="00E46BDB">
            <w:pPr>
              <w:pStyle w:val="Default3"/>
              <w:widowControl w:val="0"/>
              <w:ind w:firstLine="720"/>
              <w:rPr>
                <w:color w:val="000000" w:themeColor="text1"/>
              </w:rPr>
            </w:pPr>
          </w:p>
        </w:tc>
        <w:tc>
          <w:tcPr>
            <w:tcW w:w="1350" w:type="dxa"/>
          </w:tcPr>
          <w:p w:rsidR="00E46BDB" w:rsidRDefault="00E46BDB">
            <w:pPr>
              <w:pStyle w:val="Default3"/>
              <w:widowControl w:val="0"/>
              <w:rPr>
                <w:color w:val="000000" w:themeColor="text1"/>
              </w:rPr>
            </w:pPr>
            <w:r w:rsidRPr="00894FB4">
              <w:rPr>
                <w:color w:val="000000" w:themeColor="text1"/>
              </w:rPr>
              <w:t>§535.8</w:t>
            </w:r>
          </w:p>
        </w:tc>
      </w:tr>
    </w:tbl>
    <w:p w:rsidR="00E46BDB" w:rsidRDefault="00E46BDB" w:rsidP="00E46BDB">
      <w:bookmarkStart w:id="10" w:name="_Ref418852749"/>
    </w:p>
    <w:p w:rsidR="005A63AF" w:rsidRPr="00BF034E" w:rsidRDefault="00894FB4">
      <w:pPr>
        <w:pStyle w:val="Caption"/>
        <w:keepNext/>
        <w:rPr>
          <w:color w:val="000000" w:themeColor="text1"/>
          <w:sz w:val="20"/>
          <w:szCs w:val="20"/>
        </w:rPr>
      </w:pPr>
      <w:bookmarkStart w:id="11" w:name="_Ref419460247"/>
      <w:r w:rsidRPr="00BF034E">
        <w:rPr>
          <w:color w:val="000000" w:themeColor="text1"/>
          <w:sz w:val="20"/>
          <w:szCs w:val="20"/>
        </w:rPr>
        <w:lastRenderedPageBreak/>
        <w:t xml:space="preserve">Table </w:t>
      </w:r>
      <w:r w:rsidR="00121BAD" w:rsidRPr="00BF034E">
        <w:rPr>
          <w:color w:val="000000" w:themeColor="text1"/>
          <w:sz w:val="20"/>
          <w:szCs w:val="20"/>
        </w:rPr>
        <w:fldChar w:fldCharType="begin"/>
      </w:r>
      <w:r w:rsidRPr="00BF034E">
        <w:rPr>
          <w:color w:val="000000" w:themeColor="text1"/>
          <w:sz w:val="20"/>
          <w:szCs w:val="20"/>
        </w:rPr>
        <w:instrText xml:space="preserve"> SEQ Table \* ARABIC </w:instrText>
      </w:r>
      <w:r w:rsidR="00121BAD" w:rsidRPr="00BF034E">
        <w:rPr>
          <w:color w:val="000000" w:themeColor="text1"/>
          <w:sz w:val="20"/>
          <w:szCs w:val="20"/>
        </w:rPr>
        <w:fldChar w:fldCharType="separate"/>
      </w:r>
      <w:r w:rsidR="00673E30">
        <w:rPr>
          <w:noProof/>
          <w:color w:val="000000" w:themeColor="text1"/>
          <w:sz w:val="20"/>
          <w:szCs w:val="20"/>
        </w:rPr>
        <w:t>11</w:t>
      </w:r>
      <w:r w:rsidR="00121BAD" w:rsidRPr="00BF034E">
        <w:rPr>
          <w:color w:val="000000" w:themeColor="text1"/>
          <w:sz w:val="20"/>
          <w:szCs w:val="20"/>
        </w:rPr>
        <w:fldChar w:fldCharType="end"/>
      </w:r>
      <w:bookmarkEnd w:id="10"/>
      <w:bookmarkEnd w:id="11"/>
      <w:r w:rsidRPr="00BF034E">
        <w:rPr>
          <w:color w:val="000000" w:themeColor="text1"/>
          <w:sz w:val="20"/>
          <w:szCs w:val="20"/>
        </w:rPr>
        <w:t xml:space="preserve"> Key labeling requirements, HD National Certification Program</w:t>
      </w:r>
    </w:p>
    <w:tbl>
      <w:tblPr>
        <w:tblStyle w:val="TableGrid"/>
        <w:tblW w:w="9095" w:type="dxa"/>
        <w:jc w:val="center"/>
        <w:tblLayout w:type="fixed"/>
        <w:tblLook w:val="0000" w:firstRow="0" w:lastRow="0" w:firstColumn="0" w:lastColumn="0" w:noHBand="0" w:noVBand="0"/>
      </w:tblPr>
      <w:tblGrid>
        <w:gridCol w:w="6631"/>
        <w:gridCol w:w="2464"/>
      </w:tblGrid>
      <w:tr w:rsidR="00FC7980" w:rsidRPr="00D049CA" w:rsidTr="00673E30">
        <w:trPr>
          <w:cantSplit/>
          <w:trHeight w:val="633"/>
          <w:tblHeader/>
          <w:jc w:val="center"/>
        </w:trPr>
        <w:tc>
          <w:tcPr>
            <w:tcW w:w="6631" w:type="dxa"/>
          </w:tcPr>
          <w:p w:rsidR="005A63AF" w:rsidRDefault="00894FB4" w:rsidP="00673E30">
            <w:pPr>
              <w:keepNext/>
              <w:keepLines/>
              <w:spacing w:before="0" w:after="0"/>
              <w:ind w:firstLine="0"/>
              <w:outlineLvl w:val="0"/>
              <w:rPr>
                <w:b/>
                <w:color w:val="000000" w:themeColor="text1"/>
              </w:rPr>
            </w:pPr>
            <w:r w:rsidRPr="00894FB4">
              <w:rPr>
                <w:b/>
                <w:color w:val="000000" w:themeColor="text1"/>
              </w:rPr>
              <w:t xml:space="preserve">Information Item </w:t>
            </w:r>
          </w:p>
        </w:tc>
        <w:tc>
          <w:tcPr>
            <w:tcW w:w="2464" w:type="dxa"/>
          </w:tcPr>
          <w:p w:rsidR="005A63AF" w:rsidRDefault="00894FB4">
            <w:pPr>
              <w:keepNext/>
              <w:keepLines/>
              <w:spacing w:before="0" w:after="0"/>
              <w:ind w:left="360" w:firstLine="0"/>
              <w:outlineLvl w:val="0"/>
              <w:rPr>
                <w:b/>
                <w:color w:val="000000" w:themeColor="text1"/>
              </w:rPr>
            </w:pPr>
            <w:r w:rsidRPr="00894FB4">
              <w:rPr>
                <w:b/>
                <w:color w:val="000000" w:themeColor="text1"/>
              </w:rPr>
              <w:t>Vehicle Manufacturers</w:t>
            </w:r>
          </w:p>
        </w:tc>
      </w:tr>
      <w:tr w:rsidR="00FC7980" w:rsidRPr="00D049CA" w:rsidTr="00673E30">
        <w:trPr>
          <w:trHeight w:val="300"/>
          <w:jc w:val="center"/>
        </w:trPr>
        <w:tc>
          <w:tcPr>
            <w:tcW w:w="6631" w:type="dxa"/>
          </w:tcPr>
          <w:p w:rsidR="00FC7980" w:rsidRPr="00D049CA" w:rsidRDefault="00894FB4" w:rsidP="00FC7980">
            <w:pPr>
              <w:keepNext/>
              <w:keepLines/>
              <w:spacing w:before="0" w:after="0"/>
              <w:ind w:firstLine="0"/>
              <w:rPr>
                <w:b/>
                <w:color w:val="000000" w:themeColor="text1"/>
              </w:rPr>
            </w:pPr>
            <w:r w:rsidRPr="00894FB4">
              <w:rPr>
                <w:b/>
                <w:color w:val="000000" w:themeColor="text1"/>
              </w:rPr>
              <w:t>Vehicle Labels:</w:t>
            </w:r>
          </w:p>
        </w:tc>
        <w:tc>
          <w:tcPr>
            <w:tcW w:w="2464" w:type="dxa"/>
          </w:tcPr>
          <w:p w:rsidR="00FC7980" w:rsidRPr="00D049CA" w:rsidRDefault="00114EA4" w:rsidP="00FC7980">
            <w:pPr>
              <w:spacing w:before="0" w:after="0"/>
              <w:ind w:firstLine="0"/>
              <w:jc w:val="center"/>
              <w:rPr>
                <w:color w:val="000000" w:themeColor="text1"/>
              </w:rPr>
            </w:pPr>
            <w:r>
              <w:rPr>
                <w:color w:val="000000" w:themeColor="text1"/>
              </w:rPr>
              <w:t xml:space="preserve">40 CFR </w:t>
            </w:r>
            <w:r w:rsidR="00894FB4" w:rsidRPr="00894FB4">
              <w:rPr>
                <w:color w:val="000000" w:themeColor="text1"/>
              </w:rPr>
              <w:t>1037.135</w:t>
            </w:r>
          </w:p>
        </w:tc>
      </w:tr>
      <w:tr w:rsidR="00FC7980" w:rsidRPr="00D049CA" w:rsidTr="00673E30">
        <w:trPr>
          <w:trHeight w:val="300"/>
          <w:jc w:val="center"/>
        </w:trPr>
        <w:tc>
          <w:tcPr>
            <w:tcW w:w="6631" w:type="dxa"/>
          </w:tcPr>
          <w:p w:rsidR="00FC7980" w:rsidRPr="00D049CA" w:rsidRDefault="00894FB4" w:rsidP="00FC7980">
            <w:pPr>
              <w:keepNext/>
              <w:keepLines/>
              <w:spacing w:before="0" w:after="0"/>
              <w:ind w:firstLine="0"/>
              <w:rPr>
                <w:color w:val="000000" w:themeColor="text1"/>
              </w:rPr>
            </w:pPr>
            <w:r w:rsidRPr="00894FB4">
              <w:rPr>
                <w:color w:val="000000" w:themeColor="text1"/>
              </w:rPr>
              <w:t>Assign each vehicle a unique identification number and permanently affix, engrave, or stamp it on the vehicle in a legible way.  The vehicle identification number (VIN) serves this purpose.</w:t>
            </w:r>
          </w:p>
        </w:tc>
        <w:tc>
          <w:tcPr>
            <w:tcW w:w="2464" w:type="dxa"/>
          </w:tcPr>
          <w:p w:rsidR="00FC7980" w:rsidRPr="00D049CA" w:rsidRDefault="00114EA4" w:rsidP="00FC7980">
            <w:pPr>
              <w:spacing w:before="0" w:after="0"/>
              <w:ind w:firstLine="0"/>
              <w:jc w:val="center"/>
              <w:rPr>
                <w:color w:val="000000" w:themeColor="text1"/>
              </w:rPr>
            </w:pPr>
            <w:r>
              <w:rPr>
                <w:color w:val="000000" w:themeColor="text1"/>
              </w:rPr>
              <w:t xml:space="preserve">40 CFR </w:t>
            </w:r>
            <w:r w:rsidR="00894FB4" w:rsidRPr="00894FB4">
              <w:rPr>
                <w:color w:val="000000" w:themeColor="text1"/>
              </w:rPr>
              <w:t>1037.135</w:t>
            </w:r>
          </w:p>
        </w:tc>
      </w:tr>
      <w:tr w:rsidR="00FC7980" w:rsidRPr="00D049CA" w:rsidTr="00673E30">
        <w:trPr>
          <w:trHeight w:val="300"/>
          <w:jc w:val="center"/>
        </w:trPr>
        <w:tc>
          <w:tcPr>
            <w:tcW w:w="6631" w:type="dxa"/>
          </w:tcPr>
          <w:p w:rsidR="00FC7980" w:rsidRPr="00D049CA" w:rsidRDefault="00894FB4" w:rsidP="00FC7980">
            <w:pPr>
              <w:keepNext/>
              <w:keepLines/>
              <w:spacing w:before="0" w:after="0"/>
              <w:ind w:firstLine="0"/>
              <w:rPr>
                <w:color w:val="000000" w:themeColor="text1"/>
              </w:rPr>
            </w:pPr>
            <w:r w:rsidRPr="00894FB4">
              <w:rPr>
                <w:color w:val="000000" w:themeColor="text1"/>
              </w:rPr>
              <w:t xml:space="preserve">At the time of manufacture, affix a permanent and legible label identifying each vehicle.  </w:t>
            </w:r>
          </w:p>
        </w:tc>
        <w:tc>
          <w:tcPr>
            <w:tcW w:w="2464" w:type="dxa"/>
          </w:tcPr>
          <w:p w:rsidR="00FC7980" w:rsidRPr="00D049CA" w:rsidRDefault="00114EA4" w:rsidP="00FC7980">
            <w:pPr>
              <w:spacing w:before="0" w:after="0"/>
              <w:ind w:firstLine="0"/>
              <w:jc w:val="center"/>
              <w:rPr>
                <w:color w:val="000000" w:themeColor="text1"/>
              </w:rPr>
            </w:pPr>
            <w:r>
              <w:rPr>
                <w:color w:val="000000" w:themeColor="text1"/>
              </w:rPr>
              <w:t xml:space="preserve">40 CFR </w:t>
            </w:r>
            <w:r w:rsidR="00894FB4" w:rsidRPr="00894FB4">
              <w:rPr>
                <w:color w:val="000000" w:themeColor="text1"/>
              </w:rPr>
              <w:t>1037.135</w:t>
            </w:r>
          </w:p>
        </w:tc>
      </w:tr>
      <w:tr w:rsidR="00FC7980" w:rsidRPr="00D049CA" w:rsidTr="00673E30">
        <w:trPr>
          <w:trHeight w:val="300"/>
          <w:jc w:val="center"/>
        </w:trPr>
        <w:tc>
          <w:tcPr>
            <w:tcW w:w="6631" w:type="dxa"/>
          </w:tcPr>
          <w:p w:rsidR="00FC7980" w:rsidRPr="00D049CA" w:rsidRDefault="00894FB4" w:rsidP="00FC7980">
            <w:pPr>
              <w:keepNext/>
              <w:keepLines/>
              <w:spacing w:before="0" w:after="0"/>
              <w:ind w:firstLine="0"/>
              <w:rPr>
                <w:color w:val="000000" w:themeColor="text1"/>
              </w:rPr>
            </w:pPr>
            <w:r w:rsidRPr="00894FB4">
              <w:rPr>
                <w:color w:val="000000" w:themeColor="text1"/>
              </w:rPr>
              <w:t xml:space="preserve">The label must include information contained in </w:t>
            </w:r>
            <w:r w:rsidR="00114EA4">
              <w:rPr>
                <w:color w:val="000000" w:themeColor="text1"/>
              </w:rPr>
              <w:t xml:space="preserve">§ </w:t>
            </w:r>
            <w:r w:rsidRPr="00894FB4">
              <w:rPr>
                <w:color w:val="000000" w:themeColor="text1"/>
              </w:rPr>
              <w:t>1037.135(c).</w:t>
            </w:r>
          </w:p>
        </w:tc>
        <w:tc>
          <w:tcPr>
            <w:tcW w:w="2464" w:type="dxa"/>
          </w:tcPr>
          <w:p w:rsidR="00FC7980" w:rsidRPr="00D049CA" w:rsidRDefault="00114EA4" w:rsidP="00FC7980">
            <w:pPr>
              <w:spacing w:before="0" w:after="0"/>
              <w:ind w:firstLine="0"/>
              <w:jc w:val="center"/>
              <w:rPr>
                <w:color w:val="000000" w:themeColor="text1"/>
                <w:vertAlign w:val="superscript"/>
              </w:rPr>
            </w:pPr>
            <w:r>
              <w:rPr>
                <w:color w:val="000000" w:themeColor="text1"/>
              </w:rPr>
              <w:t xml:space="preserve">40 CFR </w:t>
            </w:r>
            <w:r w:rsidR="00894FB4" w:rsidRPr="00894FB4">
              <w:rPr>
                <w:color w:val="000000" w:themeColor="text1"/>
              </w:rPr>
              <w:t>1037.135</w:t>
            </w:r>
          </w:p>
        </w:tc>
      </w:tr>
      <w:tr w:rsidR="00FC7980" w:rsidRPr="00D049CA" w:rsidTr="00673E30">
        <w:trPr>
          <w:cantSplit/>
          <w:trHeight w:val="300"/>
          <w:jc w:val="center"/>
        </w:trPr>
        <w:tc>
          <w:tcPr>
            <w:tcW w:w="6631" w:type="dxa"/>
          </w:tcPr>
          <w:p w:rsidR="002F5AE4" w:rsidRDefault="00894FB4" w:rsidP="00673E30">
            <w:pPr>
              <w:spacing w:before="0" w:after="0"/>
              <w:ind w:firstLine="0"/>
              <w:rPr>
                <w:rFonts w:cs="Arial"/>
                <w:b/>
                <w:bCs/>
                <w:color w:val="000000" w:themeColor="text1"/>
                <w:kern w:val="32"/>
                <w:sz w:val="32"/>
                <w:szCs w:val="32"/>
              </w:rPr>
            </w:pPr>
            <w:r w:rsidRPr="00894FB4">
              <w:rPr>
                <w:color w:val="000000" w:themeColor="text1"/>
              </w:rPr>
              <w:t xml:space="preserve">You may add information to the emission control information label to identify other emission standards that the vehicle meets or does not meet (such as European standards).  You may also add other information to ensure that the vehicle will be properly maintained and used.  </w:t>
            </w:r>
          </w:p>
        </w:tc>
        <w:tc>
          <w:tcPr>
            <w:tcW w:w="2464" w:type="dxa"/>
          </w:tcPr>
          <w:p w:rsidR="00FC7980" w:rsidRPr="00D049CA" w:rsidRDefault="00114EA4" w:rsidP="00673E30">
            <w:pPr>
              <w:spacing w:before="0" w:after="0"/>
              <w:ind w:firstLine="0"/>
              <w:jc w:val="center"/>
              <w:rPr>
                <w:color w:val="000000" w:themeColor="text1"/>
                <w:vertAlign w:val="superscript"/>
              </w:rPr>
            </w:pPr>
            <w:r>
              <w:rPr>
                <w:color w:val="000000" w:themeColor="text1"/>
              </w:rPr>
              <w:t xml:space="preserve">40 CFR </w:t>
            </w:r>
            <w:r w:rsidR="00894FB4" w:rsidRPr="00894FB4">
              <w:rPr>
                <w:color w:val="000000" w:themeColor="text1"/>
              </w:rPr>
              <w:t>1037.135</w:t>
            </w:r>
          </w:p>
        </w:tc>
      </w:tr>
      <w:tr w:rsidR="00FC7980" w:rsidRPr="00D049CA" w:rsidTr="00673E30">
        <w:trPr>
          <w:cantSplit/>
          <w:trHeight w:val="300"/>
          <w:jc w:val="center"/>
        </w:trPr>
        <w:tc>
          <w:tcPr>
            <w:tcW w:w="6631" w:type="dxa"/>
          </w:tcPr>
          <w:p w:rsidR="002F5AE4" w:rsidRDefault="00894FB4" w:rsidP="00673E30">
            <w:pPr>
              <w:spacing w:before="0" w:after="0"/>
              <w:ind w:firstLine="0"/>
              <w:rPr>
                <w:rFonts w:cs="Arial"/>
                <w:b/>
                <w:bCs/>
                <w:color w:val="000000" w:themeColor="text1"/>
                <w:kern w:val="32"/>
                <w:sz w:val="32"/>
                <w:szCs w:val="32"/>
              </w:rPr>
            </w:pPr>
            <w:r w:rsidRPr="00894FB4">
              <w:rPr>
                <w:color w:val="000000" w:themeColor="text1"/>
              </w:rPr>
              <w:t>You may ask us to approve modified labeling requirements in this part 1037 if you show that it is necessary or appropriate.  We will approve your request if your alternate label is consistent with the requirements of this part.</w:t>
            </w:r>
          </w:p>
        </w:tc>
        <w:tc>
          <w:tcPr>
            <w:tcW w:w="2464" w:type="dxa"/>
          </w:tcPr>
          <w:p w:rsidR="00FC7980" w:rsidRPr="00D049CA" w:rsidRDefault="00114EA4" w:rsidP="00673E30">
            <w:pPr>
              <w:spacing w:before="0" w:after="0"/>
              <w:ind w:firstLine="0"/>
              <w:jc w:val="center"/>
              <w:rPr>
                <w:color w:val="000000" w:themeColor="text1"/>
                <w:vertAlign w:val="superscript"/>
              </w:rPr>
            </w:pPr>
            <w:r>
              <w:rPr>
                <w:color w:val="000000" w:themeColor="text1"/>
              </w:rPr>
              <w:t xml:space="preserve">40 CFR </w:t>
            </w:r>
            <w:r w:rsidR="00894FB4" w:rsidRPr="00894FB4">
              <w:rPr>
                <w:color w:val="000000" w:themeColor="text1"/>
              </w:rPr>
              <w:t>1037.135</w:t>
            </w:r>
          </w:p>
        </w:tc>
      </w:tr>
      <w:tr w:rsidR="00FC7980" w:rsidRPr="00D049CA" w:rsidTr="00673E30">
        <w:trPr>
          <w:trHeight w:val="300"/>
          <w:jc w:val="center"/>
        </w:trPr>
        <w:tc>
          <w:tcPr>
            <w:tcW w:w="6631" w:type="dxa"/>
          </w:tcPr>
          <w:p w:rsidR="002F5AE4" w:rsidRDefault="00894FB4" w:rsidP="002F5AE4">
            <w:pPr>
              <w:spacing w:before="0" w:after="0"/>
              <w:ind w:firstLine="0"/>
              <w:rPr>
                <w:rFonts w:cs="Arial"/>
                <w:b/>
                <w:bCs/>
                <w:color w:val="000000" w:themeColor="text1"/>
                <w:kern w:val="32"/>
                <w:sz w:val="32"/>
                <w:szCs w:val="32"/>
              </w:rPr>
            </w:pPr>
            <w:r w:rsidRPr="00894FB4">
              <w:rPr>
                <w:b/>
                <w:color w:val="000000" w:themeColor="text1"/>
              </w:rPr>
              <w:t xml:space="preserve">Additional Vehicle GHG Labeling: </w:t>
            </w:r>
          </w:p>
        </w:tc>
        <w:tc>
          <w:tcPr>
            <w:tcW w:w="2464" w:type="dxa"/>
          </w:tcPr>
          <w:p w:rsidR="00FC7980" w:rsidRPr="00D049CA" w:rsidRDefault="00FC7980" w:rsidP="00E46BDB">
            <w:pPr>
              <w:spacing w:before="0" w:after="0"/>
              <w:ind w:firstLine="0"/>
              <w:rPr>
                <w:color w:val="000000" w:themeColor="text1"/>
                <w:vertAlign w:val="superscript"/>
              </w:rPr>
            </w:pPr>
          </w:p>
        </w:tc>
      </w:tr>
      <w:tr w:rsidR="00FC7980" w:rsidRPr="00D049CA" w:rsidTr="00673E30">
        <w:trPr>
          <w:trHeight w:val="300"/>
          <w:jc w:val="center"/>
        </w:trPr>
        <w:tc>
          <w:tcPr>
            <w:tcW w:w="6631" w:type="dxa"/>
          </w:tcPr>
          <w:p w:rsidR="002F5AE4" w:rsidRDefault="00894FB4" w:rsidP="002F5AE4">
            <w:pPr>
              <w:spacing w:before="0" w:after="0"/>
              <w:ind w:firstLine="0"/>
              <w:rPr>
                <w:rFonts w:cs="Arial"/>
                <w:b/>
                <w:bCs/>
                <w:color w:val="000000" w:themeColor="text1"/>
                <w:kern w:val="32"/>
                <w:sz w:val="32"/>
                <w:szCs w:val="32"/>
              </w:rPr>
            </w:pPr>
            <w:r w:rsidRPr="00894FB4">
              <w:rPr>
                <w:color w:val="000000" w:themeColor="text1"/>
              </w:rPr>
              <w:t>The original vehicle manufacturer of an off-road vocational vehicle must apply a removable label meeting the requirements of 40 CFR 1068.45 that identifies the corporate name of the original manufacturer and states that the vehicle is exempt under the provisions of § 1037.620. The name of the certifying manufacturer must also be on the label or, alternatively, on the bill of lading that accompanies the vehicles during shipment. The original manufacturer may not apply a permanent emission control information label identifying the vehicle's eventual status as a certified vehicle.</w:t>
            </w:r>
          </w:p>
        </w:tc>
        <w:tc>
          <w:tcPr>
            <w:tcW w:w="2464" w:type="dxa"/>
          </w:tcPr>
          <w:p w:rsidR="00FC7980" w:rsidRPr="00D049CA" w:rsidRDefault="00114EA4" w:rsidP="00E46BDB">
            <w:pPr>
              <w:spacing w:before="0" w:after="0"/>
              <w:ind w:firstLine="0"/>
              <w:jc w:val="center"/>
              <w:rPr>
                <w:color w:val="000000" w:themeColor="text1"/>
                <w:vertAlign w:val="superscript"/>
              </w:rPr>
            </w:pPr>
            <w:r>
              <w:rPr>
                <w:color w:val="000000" w:themeColor="text1"/>
              </w:rPr>
              <w:t xml:space="preserve">40 CFR </w:t>
            </w:r>
            <w:r w:rsidR="00894FB4" w:rsidRPr="00894FB4">
              <w:rPr>
                <w:color w:val="000000" w:themeColor="text1"/>
              </w:rPr>
              <w:t>1037.615</w:t>
            </w:r>
          </w:p>
        </w:tc>
      </w:tr>
      <w:tr w:rsidR="00FC7980" w:rsidRPr="00D049CA" w:rsidTr="00673E30">
        <w:trPr>
          <w:trHeight w:val="300"/>
          <w:jc w:val="center"/>
        </w:trPr>
        <w:tc>
          <w:tcPr>
            <w:tcW w:w="6631" w:type="dxa"/>
          </w:tcPr>
          <w:p w:rsidR="00FC7980" w:rsidRPr="00D049CA" w:rsidRDefault="00894FB4" w:rsidP="00E46BDB">
            <w:pPr>
              <w:spacing w:before="0" w:after="0"/>
              <w:ind w:firstLine="0"/>
              <w:rPr>
                <w:color w:val="000000" w:themeColor="text1"/>
              </w:rPr>
            </w:pPr>
            <w:r w:rsidRPr="00894FB4">
              <w:rPr>
                <w:color w:val="000000" w:themeColor="text1"/>
              </w:rPr>
              <w:t>You must include the following additional statement on the vehicle’s emission control information label for a vocational tractor under §1037.135: “THIS VEHICLE WAS CERTIFIED AS A VOCATIONAL TRACTOR UNDER 40 CFR 1037.630.”</w:t>
            </w:r>
          </w:p>
        </w:tc>
        <w:tc>
          <w:tcPr>
            <w:tcW w:w="2464" w:type="dxa"/>
          </w:tcPr>
          <w:p w:rsidR="00FC7980" w:rsidRPr="00D049CA" w:rsidRDefault="00114EA4" w:rsidP="00E46BDB">
            <w:pPr>
              <w:spacing w:before="0" w:after="0"/>
              <w:ind w:firstLine="0"/>
              <w:jc w:val="center"/>
              <w:rPr>
                <w:color w:val="000000" w:themeColor="text1"/>
                <w:vertAlign w:val="superscript"/>
              </w:rPr>
            </w:pPr>
            <w:r>
              <w:rPr>
                <w:color w:val="000000" w:themeColor="text1"/>
              </w:rPr>
              <w:t xml:space="preserve">40 CFR </w:t>
            </w:r>
            <w:r w:rsidR="00894FB4" w:rsidRPr="00894FB4">
              <w:rPr>
                <w:color w:val="000000" w:themeColor="text1"/>
              </w:rPr>
              <w:t>1037.630</w:t>
            </w:r>
          </w:p>
        </w:tc>
      </w:tr>
    </w:tbl>
    <w:p w:rsidR="00FC4171" w:rsidRPr="00D049CA" w:rsidRDefault="00894FB4" w:rsidP="00C47B23">
      <w:pPr>
        <w:rPr>
          <w:color w:val="000000" w:themeColor="text1"/>
        </w:rPr>
      </w:pPr>
      <w:r w:rsidRPr="00894FB4">
        <w:rPr>
          <w:color w:val="000000" w:themeColor="text1"/>
        </w:rPr>
        <w:t xml:space="preserve">The requirements to develop the application for certification are identified as the following in </w:t>
      </w:r>
      <w:r w:rsidR="007112DA">
        <w:fldChar w:fldCharType="begin"/>
      </w:r>
      <w:r w:rsidR="007112DA">
        <w:instrText xml:space="preserve"> REF _Ref418852474 \h  \* MERGEFORMAT </w:instrText>
      </w:r>
      <w:r w:rsidR="007112DA">
        <w:fldChar w:fldCharType="separate"/>
      </w:r>
      <w:r w:rsidR="00673E30" w:rsidRPr="00673E30">
        <w:rPr>
          <w:color w:val="000000" w:themeColor="text1"/>
        </w:rPr>
        <w:t xml:space="preserve">Table </w:t>
      </w:r>
      <w:r w:rsidR="00673E30" w:rsidRPr="00673E30">
        <w:rPr>
          <w:noProof/>
          <w:color w:val="000000" w:themeColor="text1"/>
        </w:rPr>
        <w:t>18</w:t>
      </w:r>
      <w:r w:rsidR="007112DA">
        <w:fldChar w:fldCharType="end"/>
      </w:r>
      <w:r w:rsidRPr="00894FB4">
        <w:rPr>
          <w:color w:val="000000" w:themeColor="text1"/>
        </w:rPr>
        <w:t xml:space="preserve"> and </w:t>
      </w:r>
      <w:r w:rsidR="007112DA">
        <w:fldChar w:fldCharType="begin"/>
      </w:r>
      <w:r w:rsidR="007112DA">
        <w:instrText xml:space="preserve"> REF _Ref418852500 \h  \* MERGEFORMAT </w:instrText>
      </w:r>
      <w:r w:rsidR="007112DA">
        <w:fldChar w:fldCharType="separate"/>
      </w:r>
      <w:r w:rsidR="00673E30" w:rsidRPr="00673E30">
        <w:rPr>
          <w:color w:val="000000" w:themeColor="text1"/>
        </w:rPr>
        <w:t xml:space="preserve">Table </w:t>
      </w:r>
      <w:r w:rsidR="00673E30" w:rsidRPr="00673E30">
        <w:rPr>
          <w:noProof/>
          <w:color w:val="000000" w:themeColor="text1"/>
        </w:rPr>
        <w:t>19</w:t>
      </w:r>
      <w:r w:rsidR="007112DA">
        <w:fldChar w:fldCharType="end"/>
      </w:r>
      <w:r w:rsidRPr="00894FB4">
        <w:rPr>
          <w:color w:val="000000" w:themeColor="text1"/>
        </w:rPr>
        <w:t>:</w:t>
      </w:r>
    </w:p>
    <w:p w:rsidR="002D5924" w:rsidRPr="00D049CA" w:rsidRDefault="00894FB4" w:rsidP="00C47B23">
      <w:pPr>
        <w:pStyle w:val="BulletList"/>
        <w:ind w:left="1080"/>
        <w:rPr>
          <w:color w:val="000000" w:themeColor="text1"/>
        </w:rPr>
      </w:pPr>
      <w:r w:rsidRPr="00894FB4">
        <w:rPr>
          <w:color w:val="000000" w:themeColor="text1"/>
        </w:rPr>
        <w:t>Review of regulations and guidance document</w:t>
      </w:r>
    </w:p>
    <w:p w:rsidR="002D5924" w:rsidRPr="00D049CA" w:rsidRDefault="00894FB4" w:rsidP="00C47B23">
      <w:pPr>
        <w:pStyle w:val="BulletList"/>
        <w:ind w:left="1080"/>
        <w:rPr>
          <w:color w:val="000000" w:themeColor="text1"/>
        </w:rPr>
      </w:pPr>
      <w:r w:rsidRPr="00894FB4">
        <w:rPr>
          <w:color w:val="000000" w:themeColor="text1"/>
        </w:rPr>
        <w:t>Prepare and submit certification application (including carryover applications)</w:t>
      </w:r>
    </w:p>
    <w:p w:rsidR="002D5924" w:rsidRPr="00D049CA" w:rsidRDefault="00894FB4" w:rsidP="00C47B23">
      <w:pPr>
        <w:pStyle w:val="BulletList"/>
        <w:ind w:left="1080"/>
        <w:rPr>
          <w:color w:val="000000" w:themeColor="text1"/>
        </w:rPr>
      </w:pPr>
      <w:r w:rsidRPr="00894FB4">
        <w:rPr>
          <w:color w:val="000000" w:themeColor="text1"/>
        </w:rPr>
        <w:t>Labeling requirements</w:t>
      </w:r>
    </w:p>
    <w:p w:rsidR="002D5924" w:rsidRPr="00D049CA" w:rsidRDefault="00894FB4" w:rsidP="00C47B23">
      <w:pPr>
        <w:pStyle w:val="BulletList"/>
        <w:ind w:left="1080"/>
        <w:rPr>
          <w:color w:val="000000" w:themeColor="text1"/>
        </w:rPr>
      </w:pPr>
      <w:r w:rsidRPr="00894FB4">
        <w:rPr>
          <w:color w:val="000000" w:themeColor="text1"/>
        </w:rPr>
        <w:t>Final year production and ABT update</w:t>
      </w:r>
    </w:p>
    <w:p w:rsidR="002D5924" w:rsidRPr="00D049CA" w:rsidRDefault="00894FB4" w:rsidP="00C47B23">
      <w:pPr>
        <w:pStyle w:val="BulletList"/>
        <w:ind w:left="1080"/>
        <w:rPr>
          <w:color w:val="000000" w:themeColor="text1"/>
        </w:rPr>
      </w:pPr>
      <w:r w:rsidRPr="00894FB4">
        <w:rPr>
          <w:color w:val="000000" w:themeColor="text1"/>
        </w:rPr>
        <w:t>Store, file, and maintain records</w:t>
      </w:r>
    </w:p>
    <w:p w:rsidR="00FC1F44" w:rsidRPr="00D049CA" w:rsidRDefault="00894FB4" w:rsidP="00C47B23">
      <w:pPr>
        <w:rPr>
          <w:color w:val="000000" w:themeColor="text1"/>
        </w:rPr>
      </w:pPr>
      <w:r w:rsidRPr="00894FB4">
        <w:rPr>
          <w:color w:val="000000" w:themeColor="text1"/>
        </w:rPr>
        <w:lastRenderedPageBreak/>
        <w:t xml:space="preserve">For both these vehicle categories, the </w:t>
      </w:r>
      <w:r w:rsidR="00E46BDB">
        <w:rPr>
          <w:color w:val="000000" w:themeColor="text1"/>
        </w:rPr>
        <w:t xml:space="preserve">Phase 1 </w:t>
      </w:r>
      <w:r w:rsidRPr="00894FB4">
        <w:rPr>
          <w:color w:val="000000" w:themeColor="text1"/>
        </w:rPr>
        <w:t>CO</w:t>
      </w:r>
      <w:r w:rsidRPr="00CF70D5">
        <w:rPr>
          <w:color w:val="000000" w:themeColor="text1"/>
          <w:vertAlign w:val="subscript"/>
        </w:rPr>
        <w:t>2</w:t>
      </w:r>
      <w:r w:rsidRPr="00894FB4">
        <w:rPr>
          <w:color w:val="000000" w:themeColor="text1"/>
        </w:rPr>
        <w:t xml:space="preserve"> and fuel consumption standards focus on reductions that can be achieved primarily through changes to vehicle systems, such as tires, and some modifications to vehicle design.   Both the fuel consumption and CO</w:t>
      </w:r>
      <w:r w:rsidRPr="00CF70D5">
        <w:rPr>
          <w:color w:val="000000" w:themeColor="text1"/>
          <w:vertAlign w:val="subscript"/>
        </w:rPr>
        <w:t>2</w:t>
      </w:r>
      <w:r w:rsidRPr="00894FB4">
        <w:rPr>
          <w:color w:val="000000" w:themeColor="text1"/>
        </w:rPr>
        <w:t xml:space="preserve"> standards are expressed in terms of moving a ton of freight over one mile:  the fuel consumption standard is represented as gallons of fuel used to move one ton of freight (payload) 1000 miles, or gal/1000 ton-mile;  and the CO</w:t>
      </w:r>
      <w:r w:rsidRPr="00CF70D5">
        <w:rPr>
          <w:color w:val="000000" w:themeColor="text1"/>
          <w:vertAlign w:val="subscript"/>
        </w:rPr>
        <w:t>2</w:t>
      </w:r>
      <w:r w:rsidRPr="00894FB4">
        <w:rPr>
          <w:color w:val="000000" w:themeColor="text1"/>
        </w:rPr>
        <w:t xml:space="preserve"> vehicle standards are represented as grams of CO</w:t>
      </w:r>
      <w:r w:rsidRPr="00CF70D5">
        <w:rPr>
          <w:color w:val="000000" w:themeColor="text1"/>
          <w:vertAlign w:val="subscript"/>
        </w:rPr>
        <w:t>2</w:t>
      </w:r>
      <w:r w:rsidRPr="00894FB4">
        <w:rPr>
          <w:color w:val="000000" w:themeColor="text1"/>
        </w:rPr>
        <w:t xml:space="preserve"> per ton-mile. Neither vocational vehicles nor combination tractors are subject to N</w:t>
      </w:r>
      <w:r w:rsidRPr="00CF70D5">
        <w:rPr>
          <w:color w:val="000000" w:themeColor="text1"/>
          <w:vertAlign w:val="subscript"/>
        </w:rPr>
        <w:t>2</w:t>
      </w:r>
      <w:r w:rsidRPr="00894FB4">
        <w:rPr>
          <w:color w:val="000000" w:themeColor="text1"/>
        </w:rPr>
        <w:t>O or CH</w:t>
      </w:r>
      <w:r w:rsidRPr="00CF70D5">
        <w:rPr>
          <w:color w:val="000000" w:themeColor="text1"/>
          <w:vertAlign w:val="subscript"/>
        </w:rPr>
        <w:t>4</w:t>
      </w:r>
      <w:r w:rsidRPr="00894FB4">
        <w:rPr>
          <w:color w:val="000000" w:themeColor="text1"/>
        </w:rPr>
        <w:t xml:space="preserve"> emission standards, but tractors equipped with air conditioning are subject to HFC leakage standards.</w:t>
      </w:r>
    </w:p>
    <w:p w:rsidR="00A91131" w:rsidRPr="00D049CA" w:rsidRDefault="00894FB4" w:rsidP="00FC7980">
      <w:pPr>
        <w:rPr>
          <w:color w:val="000000" w:themeColor="text1"/>
        </w:rPr>
      </w:pPr>
      <w:r w:rsidRPr="00894FB4">
        <w:rPr>
          <w:color w:val="000000" w:themeColor="text1"/>
        </w:rPr>
        <w:t xml:space="preserve">To help reduce testing and reporting burdens on vocational vehicle chassis and combination tractor manufacturers, EPA developed a vehicle simulation model, the Greenhouse gas Emissions Model (GEM) for the HD Phase 1 program.  </w:t>
      </w:r>
      <w:r w:rsidR="003873C6">
        <w:rPr>
          <w:color w:val="000000" w:themeColor="text1"/>
        </w:rPr>
        <w:t>Phase 1</w:t>
      </w:r>
      <w:r w:rsidR="003873C6" w:rsidRPr="00894FB4">
        <w:rPr>
          <w:color w:val="000000" w:themeColor="text1"/>
        </w:rPr>
        <w:t xml:space="preserve"> </w:t>
      </w:r>
      <w:r w:rsidRPr="00894FB4">
        <w:rPr>
          <w:color w:val="000000" w:themeColor="text1"/>
        </w:rPr>
        <w:t xml:space="preserve">GEM was developed for manufacturers to demonstrate compliance with the new GHG standards.  </w:t>
      </w:r>
      <w:r w:rsidRPr="00894FB4">
        <w:rPr>
          <w:color w:val="000000" w:themeColor="text1"/>
          <w:spacing w:val="6"/>
        </w:rPr>
        <w:t>Under the rule, manufacturers evaluate and report CO</w:t>
      </w:r>
      <w:r w:rsidRPr="00CF70D5">
        <w:rPr>
          <w:color w:val="000000" w:themeColor="text1"/>
          <w:spacing w:val="6"/>
          <w:vertAlign w:val="subscript"/>
        </w:rPr>
        <w:t>2</w:t>
      </w:r>
      <w:r w:rsidRPr="00894FB4">
        <w:rPr>
          <w:color w:val="000000" w:themeColor="text1"/>
          <w:spacing w:val="6"/>
        </w:rPr>
        <w:t xml:space="preserve"> emissions and fuel consumption through a simulation of their vehicles using GEM.  </w:t>
      </w:r>
      <w:r w:rsidRPr="00894FB4">
        <w:rPr>
          <w:color w:val="000000" w:themeColor="text1"/>
        </w:rPr>
        <w:t xml:space="preserve">GEM is directly available to vocational vehicle chassis and combination tractor manufacturers as a download from the internet, at no cost.  Outputs from the GEM model also generate summary data that can be integrated into the application for a certificate of conformity.     </w:t>
      </w:r>
    </w:p>
    <w:p w:rsidR="00417579" w:rsidRPr="00D049CA" w:rsidRDefault="00894FB4" w:rsidP="00FC7980">
      <w:pPr>
        <w:rPr>
          <w:color w:val="000000" w:themeColor="text1"/>
        </w:rPr>
      </w:pPr>
      <w:r w:rsidRPr="00894FB4">
        <w:rPr>
          <w:color w:val="000000" w:themeColor="text1"/>
        </w:rPr>
        <w:t xml:space="preserve">EPA programmed the </w:t>
      </w:r>
      <w:r w:rsidR="003873C6">
        <w:rPr>
          <w:color w:val="000000" w:themeColor="text1"/>
        </w:rPr>
        <w:t xml:space="preserve">Phase 1 </w:t>
      </w:r>
      <w:r w:rsidRPr="00894FB4">
        <w:rPr>
          <w:color w:val="000000" w:themeColor="text1"/>
        </w:rPr>
        <w:t>GEM with two sets of predefined parameters; one set of parameters for vocational vehicles, and a second set of parameters for combination tractors.  Values for these predefined parameters are detailed in the rule, and include several key vehicle characteristics common to the vocational vehicle and combination tractor configurations subject to CO</w:t>
      </w:r>
      <w:r w:rsidRPr="00CF70D5">
        <w:rPr>
          <w:color w:val="000000" w:themeColor="text1"/>
          <w:vertAlign w:val="subscript"/>
        </w:rPr>
        <w:t>2</w:t>
      </w:r>
      <w:r w:rsidRPr="00894FB4">
        <w:rPr>
          <w:color w:val="000000" w:themeColor="text1"/>
        </w:rPr>
        <w:t xml:space="preserve"> and fuel consumption limits.  </w:t>
      </w:r>
    </w:p>
    <w:p w:rsidR="008C53B8" w:rsidRPr="00D049CA" w:rsidRDefault="00894FB4" w:rsidP="00FC7980">
      <w:pPr>
        <w:rPr>
          <w:color w:val="000000" w:themeColor="text1"/>
        </w:rPr>
      </w:pPr>
      <w:r w:rsidRPr="00894FB4">
        <w:rPr>
          <w:color w:val="000000" w:themeColor="text1"/>
        </w:rPr>
        <w:t>These characteristics include vehicle frontal area dimensions; total and payload weight; engine/transmission/wheel inertia, accessory load, axle base, tire radius, and engine fuel map, among others.  Additional predefined inputs, unique to combination tractors, such as trailer tire coefficient of rolling resistance (</w:t>
      </w:r>
      <w:proofErr w:type="spellStart"/>
      <w:r w:rsidRPr="00894FB4">
        <w:rPr>
          <w:color w:val="000000" w:themeColor="text1"/>
        </w:rPr>
        <w:t>Crr</w:t>
      </w:r>
      <w:proofErr w:type="spellEnd"/>
      <w:r w:rsidRPr="00894FB4">
        <w:rPr>
          <w:color w:val="000000" w:themeColor="text1"/>
        </w:rPr>
        <w:t xml:space="preserve">), also are included.  </w:t>
      </w:r>
    </w:p>
    <w:p w:rsidR="00A91131" w:rsidRPr="00D049CA" w:rsidRDefault="00894FB4" w:rsidP="00FC7980">
      <w:pPr>
        <w:rPr>
          <w:color w:val="000000" w:themeColor="text1"/>
        </w:rPr>
      </w:pPr>
      <w:r w:rsidRPr="00894FB4">
        <w:rPr>
          <w:color w:val="000000" w:themeColor="text1"/>
        </w:rPr>
        <w:t xml:space="preserve">These preprogrammed inputs substantially reduce the testing burden on manufacturers of vocational vehicle chassis and combination tractors.  For example, the GEM provides an alternative to chassis and other tests traditionally performed in a laboratory or on the road.  </w:t>
      </w:r>
    </w:p>
    <w:p w:rsidR="008C53B8" w:rsidRPr="00D049CA" w:rsidRDefault="00894FB4" w:rsidP="00FC7980">
      <w:pPr>
        <w:rPr>
          <w:color w:val="000000" w:themeColor="text1"/>
        </w:rPr>
      </w:pPr>
      <w:r w:rsidRPr="00894FB4">
        <w:rPr>
          <w:color w:val="000000" w:themeColor="text1"/>
        </w:rPr>
        <w:t xml:space="preserve">Manufacturers </w:t>
      </w:r>
      <w:r w:rsidR="00E46BDB">
        <w:rPr>
          <w:color w:val="000000" w:themeColor="text1"/>
        </w:rPr>
        <w:t>are</w:t>
      </w:r>
      <w:r w:rsidRPr="00894FB4">
        <w:rPr>
          <w:color w:val="000000" w:themeColor="text1"/>
        </w:rPr>
        <w:t xml:space="preserve"> required to test their vehicles, collect data and input at least two key data elements (based on testing) prior to running GEM.  As discussed below, these two inputs are: 1) the coefficient of rolling resistance (</w:t>
      </w:r>
      <w:proofErr w:type="spellStart"/>
      <w:r w:rsidRPr="00894FB4">
        <w:rPr>
          <w:color w:val="000000" w:themeColor="text1"/>
        </w:rPr>
        <w:t>Crr</w:t>
      </w:r>
      <w:proofErr w:type="spellEnd"/>
      <w:r w:rsidRPr="00894FB4">
        <w:rPr>
          <w:color w:val="000000" w:themeColor="text1"/>
        </w:rPr>
        <w:t>) of the vehicle’s steer and drive tires; and (for combination tractors) 2) the aerodynamic drag (expressed as the vehicle’s coefficient of drag area or “</w:t>
      </w:r>
      <w:proofErr w:type="spellStart"/>
      <w:r w:rsidRPr="00894FB4">
        <w:rPr>
          <w:color w:val="000000" w:themeColor="text1"/>
        </w:rPr>
        <w:t>CdA</w:t>
      </w:r>
      <w:proofErr w:type="spellEnd"/>
      <w:r w:rsidRPr="00894FB4">
        <w:rPr>
          <w:color w:val="000000" w:themeColor="text1"/>
        </w:rPr>
        <w:t xml:space="preserve">”) of a truck.   </w:t>
      </w:r>
    </w:p>
    <w:p w:rsidR="0064717A" w:rsidRPr="00D049CA" w:rsidRDefault="00894FB4" w:rsidP="00FC7980">
      <w:pPr>
        <w:rPr>
          <w:color w:val="000000" w:themeColor="text1"/>
        </w:rPr>
      </w:pPr>
      <w:r w:rsidRPr="00894FB4">
        <w:rPr>
          <w:color w:val="000000" w:themeColor="text1"/>
        </w:rPr>
        <w:t xml:space="preserve">Additional inputs needed to run the GEM include basic information, such as manufacturer name, vehicle family and configuration, and model year.  The </w:t>
      </w:r>
      <w:r w:rsidR="00E46BDB">
        <w:rPr>
          <w:color w:val="000000" w:themeColor="text1"/>
        </w:rPr>
        <w:t>Phase 1</w:t>
      </w:r>
      <w:r w:rsidR="00E46BDB" w:rsidRPr="00894FB4">
        <w:rPr>
          <w:color w:val="000000" w:themeColor="text1"/>
        </w:rPr>
        <w:t xml:space="preserve"> </w:t>
      </w:r>
      <w:r w:rsidRPr="00894FB4">
        <w:rPr>
          <w:color w:val="000000" w:themeColor="text1"/>
        </w:rPr>
        <w:t xml:space="preserve">testing requirement costs are identified as the following in </w:t>
      </w:r>
      <w:r w:rsidR="007112DA">
        <w:fldChar w:fldCharType="begin"/>
      </w:r>
      <w:r w:rsidR="007112DA">
        <w:instrText xml:space="preserve"> REF _Ref418852474 \h  \* MERGEFORMAT </w:instrText>
      </w:r>
      <w:r w:rsidR="007112DA">
        <w:fldChar w:fldCharType="separate"/>
      </w:r>
      <w:r w:rsidR="00673E30" w:rsidRPr="00673E30">
        <w:rPr>
          <w:color w:val="000000" w:themeColor="text1"/>
        </w:rPr>
        <w:t xml:space="preserve">Table </w:t>
      </w:r>
      <w:r w:rsidR="00673E30" w:rsidRPr="00673E30">
        <w:rPr>
          <w:noProof/>
          <w:color w:val="000000" w:themeColor="text1"/>
        </w:rPr>
        <w:t>18</w:t>
      </w:r>
      <w:r w:rsidR="007112DA">
        <w:fldChar w:fldCharType="end"/>
      </w:r>
      <w:r w:rsidRPr="00894FB4">
        <w:rPr>
          <w:color w:val="000000" w:themeColor="text1"/>
        </w:rPr>
        <w:t xml:space="preserve"> and </w:t>
      </w:r>
      <w:r w:rsidR="007112DA">
        <w:fldChar w:fldCharType="begin"/>
      </w:r>
      <w:r w:rsidR="007112DA">
        <w:instrText xml:space="preserve"> REF _Ref418852500 \h  \* MERGEFORMAT </w:instrText>
      </w:r>
      <w:r w:rsidR="007112DA">
        <w:fldChar w:fldCharType="separate"/>
      </w:r>
      <w:r w:rsidR="00673E30" w:rsidRPr="00673E30">
        <w:rPr>
          <w:color w:val="000000" w:themeColor="text1"/>
        </w:rPr>
        <w:t xml:space="preserve">Table </w:t>
      </w:r>
      <w:r w:rsidR="00673E30" w:rsidRPr="00673E30">
        <w:rPr>
          <w:noProof/>
          <w:color w:val="000000" w:themeColor="text1"/>
        </w:rPr>
        <w:t>19</w:t>
      </w:r>
      <w:r w:rsidR="007112DA">
        <w:fldChar w:fldCharType="end"/>
      </w:r>
      <w:r w:rsidRPr="00894FB4">
        <w:rPr>
          <w:color w:val="000000" w:themeColor="text1"/>
        </w:rPr>
        <w:t>:</w:t>
      </w:r>
    </w:p>
    <w:p w:rsidR="0064717A" w:rsidRPr="00D049CA" w:rsidRDefault="00894FB4" w:rsidP="00FC7980">
      <w:pPr>
        <w:pStyle w:val="BulletList"/>
        <w:ind w:left="1080"/>
        <w:rPr>
          <w:color w:val="000000" w:themeColor="text1"/>
        </w:rPr>
      </w:pPr>
      <w:r w:rsidRPr="00894FB4">
        <w:rPr>
          <w:color w:val="000000" w:themeColor="text1"/>
        </w:rPr>
        <w:t xml:space="preserve">Tire testing </w:t>
      </w:r>
    </w:p>
    <w:p w:rsidR="0064717A" w:rsidRPr="00D049CA" w:rsidRDefault="00894FB4" w:rsidP="00FC7980">
      <w:pPr>
        <w:pStyle w:val="BulletList"/>
        <w:ind w:left="1080"/>
        <w:rPr>
          <w:color w:val="000000" w:themeColor="text1"/>
        </w:rPr>
      </w:pPr>
      <w:r w:rsidRPr="00894FB4">
        <w:rPr>
          <w:color w:val="000000" w:themeColor="text1"/>
        </w:rPr>
        <w:t xml:space="preserve">Tractor coefficient of drag testing (using </w:t>
      </w:r>
      <w:proofErr w:type="spellStart"/>
      <w:r w:rsidRPr="00894FB4">
        <w:rPr>
          <w:color w:val="000000" w:themeColor="text1"/>
        </w:rPr>
        <w:t>coastdown</w:t>
      </w:r>
      <w:proofErr w:type="spellEnd"/>
      <w:r w:rsidRPr="00894FB4">
        <w:rPr>
          <w:color w:val="000000" w:themeColor="text1"/>
        </w:rPr>
        <w:t xml:space="preserve">, wind tunnel, and </w:t>
      </w:r>
      <w:proofErr w:type="spellStart"/>
      <w:r w:rsidRPr="00894FB4">
        <w:rPr>
          <w:color w:val="000000" w:themeColor="text1"/>
        </w:rPr>
        <w:t>CFD</w:t>
      </w:r>
      <w:proofErr w:type="spellEnd"/>
      <w:r w:rsidRPr="00894FB4">
        <w:rPr>
          <w:color w:val="000000" w:themeColor="text1"/>
        </w:rPr>
        <w:t>)</w:t>
      </w:r>
    </w:p>
    <w:p w:rsidR="0064717A" w:rsidRPr="00D049CA" w:rsidRDefault="00894FB4" w:rsidP="00FC7980">
      <w:pPr>
        <w:pStyle w:val="BulletList"/>
        <w:ind w:left="1080"/>
        <w:rPr>
          <w:color w:val="000000" w:themeColor="text1"/>
        </w:rPr>
      </w:pPr>
      <w:r w:rsidRPr="00894FB4">
        <w:rPr>
          <w:color w:val="000000" w:themeColor="text1"/>
        </w:rPr>
        <w:lastRenderedPageBreak/>
        <w:t>Collect, input data for the Greenhouse Gas Emissions Model (GEM), and run model</w:t>
      </w:r>
    </w:p>
    <w:p w:rsidR="008C53B8" w:rsidRPr="00D049CA" w:rsidRDefault="00894FB4" w:rsidP="00FC7980">
      <w:pPr>
        <w:pStyle w:val="BulletList"/>
        <w:ind w:left="1080"/>
        <w:rPr>
          <w:color w:val="000000" w:themeColor="text1"/>
        </w:rPr>
      </w:pPr>
      <w:r w:rsidRPr="00894FB4">
        <w:rPr>
          <w:color w:val="000000" w:themeColor="text1"/>
        </w:rPr>
        <w:t>Analyze data to determine compliance</w:t>
      </w:r>
    </w:p>
    <w:p w:rsidR="002F5AE4" w:rsidRDefault="002977CF" w:rsidP="002F5AE4">
      <w:pPr>
        <w:pStyle w:val="Heading5"/>
      </w:pPr>
      <w:r>
        <w:t xml:space="preserve">Test Items: </w:t>
      </w:r>
      <w:r w:rsidR="00894FB4" w:rsidRPr="00894FB4">
        <w:t>Tire Rolling Resistance</w:t>
      </w:r>
    </w:p>
    <w:p w:rsidR="002865FF" w:rsidRPr="00D049CA" w:rsidRDefault="00894FB4" w:rsidP="00FC7980">
      <w:pPr>
        <w:rPr>
          <w:color w:val="000000" w:themeColor="text1"/>
        </w:rPr>
      </w:pPr>
      <w:r w:rsidRPr="00894FB4">
        <w:rPr>
          <w:color w:val="000000" w:themeColor="text1"/>
        </w:rPr>
        <w:t xml:space="preserve">Both vocational vehicle chassis and combination tractor manufacturers will need to determine the rolling resistance of a vehicle’s steer and drive tires from either their tire suppliers or by testing the tires using the test method adopted by the International Organization for Standardization, ISO 28580:2009.  </w:t>
      </w:r>
    </w:p>
    <w:p w:rsidR="00101838" w:rsidRPr="00D049CA" w:rsidRDefault="00894FB4" w:rsidP="00FC7980">
      <w:pPr>
        <w:rPr>
          <w:color w:val="000000" w:themeColor="text1"/>
        </w:rPr>
      </w:pPr>
      <w:r w:rsidRPr="00894FB4">
        <w:rPr>
          <w:color w:val="000000" w:themeColor="text1"/>
        </w:rPr>
        <w:t xml:space="preserve">Specifically, the ISO test must be conducted on three tire samples within each tire model one time each to account for some production variability.  Details for conducting the ISO test are specified in the rule (§1037.520(c)).  In summary, the average of the three tests would be the rolling resistance coefficient value for use as an input into the GEM.  Whether tested in-house, or contracted out, this ICR assumes a cost of $300 for each tire model tested.  The ICR further assumes that each manufacturer (vocational vehicle chassis and combination tractor) will need to test 10 tire models for each vehicle family or certification application that is submitted for the first year of certification.  In subsequent years, the manufacturers will be able to carry-over tire test results so the agencies assumed one new tire will be tested for each application for each manufacturer.  </w:t>
      </w:r>
    </w:p>
    <w:p w:rsidR="002865FF" w:rsidRPr="00D049CA" w:rsidRDefault="00894FB4" w:rsidP="00FC7980">
      <w:pPr>
        <w:rPr>
          <w:color w:val="000000" w:themeColor="text1"/>
        </w:rPr>
      </w:pPr>
      <w:r w:rsidRPr="00894FB4">
        <w:rPr>
          <w:color w:val="000000" w:themeColor="text1"/>
        </w:rPr>
        <w:t xml:space="preserve">Although the results of the tire tests do not need to be submitted as part of the certification application, the </w:t>
      </w:r>
      <w:proofErr w:type="spellStart"/>
      <w:r w:rsidRPr="00894FB4">
        <w:rPr>
          <w:color w:val="000000" w:themeColor="text1"/>
        </w:rPr>
        <w:t>Crr</w:t>
      </w:r>
      <w:proofErr w:type="spellEnd"/>
      <w:r w:rsidRPr="00894FB4">
        <w:rPr>
          <w:color w:val="000000" w:themeColor="text1"/>
        </w:rPr>
        <w:t xml:space="preserve"> is needed to run GEM and demonstrate compliance with the rule’s CO</w:t>
      </w:r>
      <w:r w:rsidRPr="00CF70D5">
        <w:rPr>
          <w:color w:val="000000" w:themeColor="text1"/>
          <w:vertAlign w:val="subscript"/>
        </w:rPr>
        <w:t>2</w:t>
      </w:r>
      <w:r w:rsidRPr="00894FB4">
        <w:rPr>
          <w:color w:val="000000" w:themeColor="text1"/>
        </w:rPr>
        <w:t xml:space="preserve"> and fuel consumption standards.  Test results are to be maintained for 8 years, as required under 40 CFR 1037.</w:t>
      </w:r>
      <w:r w:rsidR="00114EA4">
        <w:rPr>
          <w:color w:val="000000" w:themeColor="text1"/>
        </w:rPr>
        <w:t>250</w:t>
      </w:r>
      <w:r w:rsidRPr="00894FB4">
        <w:rPr>
          <w:color w:val="000000" w:themeColor="text1"/>
        </w:rPr>
        <w:t xml:space="preserve">.  </w:t>
      </w:r>
    </w:p>
    <w:p w:rsidR="002F5AE4" w:rsidRDefault="002977CF" w:rsidP="002F5AE4">
      <w:pPr>
        <w:pStyle w:val="Heading5"/>
      </w:pPr>
      <w:r>
        <w:t xml:space="preserve">Test Items: </w:t>
      </w:r>
      <w:r w:rsidR="00894FB4" w:rsidRPr="00894FB4">
        <w:t>Aerodynamic Assessment</w:t>
      </w:r>
    </w:p>
    <w:p w:rsidR="008C53B8" w:rsidRPr="00D049CA" w:rsidRDefault="00894FB4" w:rsidP="00FC7980">
      <w:pPr>
        <w:rPr>
          <w:color w:val="000000" w:themeColor="text1"/>
        </w:rPr>
      </w:pPr>
      <w:r w:rsidRPr="00894FB4">
        <w:rPr>
          <w:color w:val="000000" w:themeColor="text1"/>
        </w:rPr>
        <w:t>In addition to providing inputs on the rolling resistance of their steer and drive tires, combination tractor manufacturers must also establish the GEM inputs for the aerodynamic drag – expressed as the coefficient of drag or “</w:t>
      </w:r>
      <w:proofErr w:type="spellStart"/>
      <w:r w:rsidRPr="00894FB4">
        <w:rPr>
          <w:color w:val="000000" w:themeColor="text1"/>
        </w:rPr>
        <w:t>CdA</w:t>
      </w:r>
      <w:proofErr w:type="spellEnd"/>
      <w:r w:rsidRPr="00894FB4">
        <w:rPr>
          <w:color w:val="000000" w:themeColor="text1"/>
        </w:rPr>
        <w:t>” – of their vehicles.  Vocational vehicle chassis manufacturers are not subject to this requirement to test and establish drag for their vehicles.</w:t>
      </w:r>
    </w:p>
    <w:p w:rsidR="0071321F" w:rsidRPr="00D049CA" w:rsidRDefault="00894FB4" w:rsidP="00FC7980">
      <w:pPr>
        <w:rPr>
          <w:color w:val="000000" w:themeColor="text1"/>
        </w:rPr>
      </w:pPr>
      <w:r w:rsidRPr="00894FB4">
        <w:rPr>
          <w:color w:val="000000" w:themeColor="text1"/>
        </w:rPr>
        <w:t xml:space="preserve">Manufacturers must determine a combination tractor’s </w:t>
      </w:r>
      <w:proofErr w:type="spellStart"/>
      <w:r w:rsidRPr="00894FB4">
        <w:rPr>
          <w:color w:val="000000" w:themeColor="text1"/>
        </w:rPr>
        <w:t>CdA</w:t>
      </w:r>
      <w:proofErr w:type="spellEnd"/>
      <w:r w:rsidRPr="00894FB4">
        <w:rPr>
          <w:color w:val="000000" w:themeColor="text1"/>
        </w:rPr>
        <w:t xml:space="preserve"> through testing, which then is to be used as an input into the GEM.  Under the rule, manufacturers may choose from test methods to assess the aerodynamics of their vehicle and establish appropriate </w:t>
      </w:r>
      <w:proofErr w:type="spellStart"/>
      <w:r w:rsidRPr="00894FB4">
        <w:rPr>
          <w:color w:val="000000" w:themeColor="text1"/>
        </w:rPr>
        <w:t>CdA</w:t>
      </w:r>
      <w:proofErr w:type="spellEnd"/>
      <w:r w:rsidRPr="00894FB4">
        <w:rPr>
          <w:color w:val="000000" w:themeColor="text1"/>
        </w:rPr>
        <w:t xml:space="preserve"> values.  These test methods include </w:t>
      </w:r>
      <w:proofErr w:type="spellStart"/>
      <w:r w:rsidRPr="00894FB4">
        <w:rPr>
          <w:color w:val="000000" w:themeColor="text1"/>
        </w:rPr>
        <w:t>coastdown</w:t>
      </w:r>
      <w:proofErr w:type="spellEnd"/>
      <w:r w:rsidRPr="00894FB4">
        <w:rPr>
          <w:color w:val="000000" w:themeColor="text1"/>
        </w:rPr>
        <w:t xml:space="preserve"> testing, wind tunnel testing and computational fluid dynamics.</w:t>
      </w:r>
    </w:p>
    <w:p w:rsidR="000052EE" w:rsidRPr="00D049CA" w:rsidRDefault="00894FB4" w:rsidP="00FC7980">
      <w:pPr>
        <w:rPr>
          <w:color w:val="000000" w:themeColor="text1"/>
        </w:rPr>
      </w:pPr>
      <w:r w:rsidRPr="00894FB4">
        <w:rPr>
          <w:color w:val="000000" w:themeColor="text1"/>
        </w:rPr>
        <w:t xml:space="preserve">To estimate the cost associated with testing combination tractors to establish a </w:t>
      </w:r>
      <w:proofErr w:type="spellStart"/>
      <w:r w:rsidRPr="00894FB4">
        <w:rPr>
          <w:color w:val="000000" w:themeColor="text1"/>
        </w:rPr>
        <w:t>CdA</w:t>
      </w:r>
      <w:proofErr w:type="spellEnd"/>
      <w:r w:rsidRPr="00894FB4">
        <w:rPr>
          <w:color w:val="000000" w:themeColor="text1"/>
        </w:rPr>
        <w:t xml:space="preserve">, procedures for conducting </w:t>
      </w:r>
      <w:proofErr w:type="spellStart"/>
      <w:r w:rsidRPr="00894FB4">
        <w:rPr>
          <w:color w:val="000000" w:themeColor="text1"/>
        </w:rPr>
        <w:t>coastdown</w:t>
      </w:r>
      <w:proofErr w:type="spellEnd"/>
      <w:r w:rsidRPr="00894FB4">
        <w:rPr>
          <w:color w:val="000000" w:themeColor="text1"/>
        </w:rPr>
        <w:t xml:space="preserve"> tests are specified in </w:t>
      </w:r>
      <w:r w:rsidR="00114EA4">
        <w:rPr>
          <w:color w:val="000000" w:themeColor="text1"/>
        </w:rPr>
        <w:t xml:space="preserve">40 CFR </w:t>
      </w:r>
      <w:r w:rsidRPr="00894FB4">
        <w:rPr>
          <w:color w:val="000000" w:themeColor="text1"/>
        </w:rPr>
        <w:t>1037.</w:t>
      </w:r>
      <w:r w:rsidR="00114EA4">
        <w:rPr>
          <w:color w:val="000000" w:themeColor="text1"/>
        </w:rPr>
        <w:t>527</w:t>
      </w:r>
      <w:r w:rsidRPr="00894FB4">
        <w:rPr>
          <w:color w:val="000000" w:themeColor="text1"/>
        </w:rPr>
        <w:t xml:space="preserve"> of the rule; procedures for conducting wind tunnel testing can be found in (§1037.</w:t>
      </w:r>
      <w:r w:rsidR="00114EA4">
        <w:rPr>
          <w:color w:val="000000" w:themeColor="text1"/>
        </w:rPr>
        <w:t>529</w:t>
      </w:r>
      <w:r w:rsidRPr="00894FB4">
        <w:rPr>
          <w:color w:val="000000" w:themeColor="text1"/>
        </w:rPr>
        <w:t xml:space="preserve"> of the rule.  Detailed guidance on the role of computational fluid dynamics in establishing a </w:t>
      </w:r>
      <w:proofErr w:type="spellStart"/>
      <w:r w:rsidRPr="00894FB4">
        <w:rPr>
          <w:color w:val="000000" w:themeColor="text1"/>
        </w:rPr>
        <w:t>CdA</w:t>
      </w:r>
      <w:proofErr w:type="spellEnd"/>
      <w:r w:rsidRPr="00894FB4">
        <w:rPr>
          <w:color w:val="000000" w:themeColor="text1"/>
        </w:rPr>
        <w:t xml:space="preserve"> for specific tractor models can be found in 40 CFR 1037.</w:t>
      </w:r>
      <w:r w:rsidR="00114EA4">
        <w:rPr>
          <w:color w:val="000000" w:themeColor="text1"/>
        </w:rPr>
        <w:t>531</w:t>
      </w:r>
      <w:r w:rsidRPr="00894FB4">
        <w:rPr>
          <w:color w:val="000000" w:themeColor="text1"/>
        </w:rPr>
        <w:t xml:space="preserve">.  </w:t>
      </w:r>
    </w:p>
    <w:p w:rsidR="000052EE" w:rsidRPr="00D049CA" w:rsidRDefault="00894FB4" w:rsidP="00FC7980">
      <w:pPr>
        <w:rPr>
          <w:color w:val="000000" w:themeColor="text1"/>
        </w:rPr>
      </w:pPr>
      <w:r w:rsidRPr="00894FB4">
        <w:rPr>
          <w:color w:val="000000" w:themeColor="text1"/>
        </w:rPr>
        <w:t xml:space="preserve">Importantly, tractor manufacturers must conduct </w:t>
      </w:r>
      <w:proofErr w:type="spellStart"/>
      <w:r w:rsidRPr="00894FB4">
        <w:rPr>
          <w:color w:val="000000" w:themeColor="text1"/>
        </w:rPr>
        <w:t>coastdown</w:t>
      </w:r>
      <w:proofErr w:type="spellEnd"/>
      <w:r w:rsidRPr="00894FB4">
        <w:rPr>
          <w:color w:val="000000" w:themeColor="text1"/>
        </w:rPr>
        <w:t xml:space="preserve"> testing on at least one truck.  </w:t>
      </w:r>
      <w:r w:rsidRPr="00894FB4">
        <w:rPr>
          <w:color w:val="000000" w:themeColor="text1"/>
        </w:rPr>
        <w:lastRenderedPageBreak/>
        <w:t xml:space="preserve">Based on the </w:t>
      </w:r>
      <w:proofErr w:type="spellStart"/>
      <w:r w:rsidRPr="00894FB4">
        <w:rPr>
          <w:color w:val="000000" w:themeColor="text1"/>
        </w:rPr>
        <w:t>CdA</w:t>
      </w:r>
      <w:proofErr w:type="spellEnd"/>
      <w:r w:rsidRPr="00894FB4">
        <w:rPr>
          <w:color w:val="000000" w:themeColor="text1"/>
        </w:rPr>
        <w:t xml:space="preserve"> established from </w:t>
      </w:r>
      <w:proofErr w:type="spellStart"/>
      <w:r w:rsidRPr="00894FB4">
        <w:rPr>
          <w:color w:val="000000" w:themeColor="text1"/>
        </w:rPr>
        <w:t>coastdown</w:t>
      </w:r>
      <w:proofErr w:type="spellEnd"/>
      <w:r w:rsidRPr="00894FB4">
        <w:rPr>
          <w:color w:val="000000" w:themeColor="text1"/>
        </w:rPr>
        <w:t xml:space="preserve"> testing, manufacturers have the option of developing an adjustment factor that can be applied to assess the aerodynamic drag of other trucks.  If a manufacturer chooses to develop this adjustment factor, it must also conduct alternate aerodynamic testing on the same truck that was subject to the </w:t>
      </w:r>
      <w:proofErr w:type="spellStart"/>
      <w:r w:rsidRPr="00894FB4">
        <w:rPr>
          <w:color w:val="000000" w:themeColor="text1"/>
        </w:rPr>
        <w:t>coastdown</w:t>
      </w:r>
      <w:proofErr w:type="spellEnd"/>
      <w:r w:rsidRPr="00894FB4">
        <w:rPr>
          <w:color w:val="000000" w:themeColor="text1"/>
        </w:rPr>
        <w:t xml:space="preserve"> test.   The rule also provides guidance on using the </w:t>
      </w:r>
      <w:proofErr w:type="spellStart"/>
      <w:r w:rsidRPr="00894FB4">
        <w:rPr>
          <w:color w:val="000000" w:themeColor="text1"/>
        </w:rPr>
        <w:t>coastdown</w:t>
      </w:r>
      <w:proofErr w:type="spellEnd"/>
      <w:r w:rsidRPr="00894FB4">
        <w:rPr>
          <w:color w:val="000000" w:themeColor="text1"/>
        </w:rPr>
        <w:t xml:space="preserve"> and alternate aerodynamic test results (from the same truck) to establish this adjustment factor (40 CFR 1037.</w:t>
      </w:r>
      <w:r w:rsidR="00114EA4">
        <w:rPr>
          <w:color w:val="000000" w:themeColor="text1"/>
        </w:rPr>
        <w:t>525</w:t>
      </w:r>
      <w:r w:rsidRPr="00894FB4">
        <w:rPr>
          <w:color w:val="000000" w:themeColor="text1"/>
        </w:rPr>
        <w:t xml:space="preserve">).   </w:t>
      </w:r>
    </w:p>
    <w:p w:rsidR="00866A66" w:rsidRPr="00D049CA" w:rsidRDefault="00894FB4" w:rsidP="00FC7980">
      <w:pPr>
        <w:rPr>
          <w:color w:val="000000" w:themeColor="text1"/>
        </w:rPr>
      </w:pPr>
      <w:r w:rsidRPr="00894FB4">
        <w:rPr>
          <w:color w:val="000000" w:themeColor="text1"/>
        </w:rPr>
        <w:t xml:space="preserve">As stated, at this time the agencies recognize that manufacturers may not have the facilities or onsite expertise necessary to conduct either </w:t>
      </w:r>
      <w:proofErr w:type="spellStart"/>
      <w:r w:rsidR="00784CA0">
        <w:rPr>
          <w:color w:val="000000" w:themeColor="text1"/>
        </w:rPr>
        <w:t>coastdown</w:t>
      </w:r>
      <w:proofErr w:type="spellEnd"/>
      <w:r w:rsidRPr="00894FB4">
        <w:rPr>
          <w:color w:val="000000" w:themeColor="text1"/>
        </w:rPr>
        <w:t xml:space="preserve"> or alternate aerodynamic testing in house.  Consequently, the ICR assumes that manufacturers will work with testing contractors that possess the expertise and facilities to meet the rule’s testing requirements. </w:t>
      </w:r>
    </w:p>
    <w:p w:rsidR="00866A66" w:rsidRPr="00D049CA" w:rsidRDefault="00894FB4" w:rsidP="00FC7980">
      <w:pPr>
        <w:rPr>
          <w:color w:val="000000" w:themeColor="text1"/>
        </w:rPr>
      </w:pPr>
      <w:r w:rsidRPr="00894FB4">
        <w:rPr>
          <w:color w:val="000000" w:themeColor="text1"/>
        </w:rPr>
        <w:t xml:space="preserve">Further, the contract costs (operations and maintenance, or “O&amp;M”) presented in </w:t>
      </w:r>
      <w:r w:rsidR="007112DA">
        <w:fldChar w:fldCharType="begin"/>
      </w:r>
      <w:r w:rsidR="007112DA">
        <w:instrText xml:space="preserve"> REF _Ref418852500 \h  \* MERGEFORMAT </w:instrText>
      </w:r>
      <w:r w:rsidR="007112DA">
        <w:fldChar w:fldCharType="separate"/>
      </w:r>
      <w:r w:rsidR="00673E30" w:rsidRPr="00673E30">
        <w:rPr>
          <w:color w:val="000000" w:themeColor="text1"/>
        </w:rPr>
        <w:t xml:space="preserve">Table </w:t>
      </w:r>
      <w:r w:rsidR="00673E30" w:rsidRPr="00673E30">
        <w:rPr>
          <w:noProof/>
          <w:color w:val="000000" w:themeColor="text1"/>
        </w:rPr>
        <w:t>19</w:t>
      </w:r>
      <w:r w:rsidR="007112DA">
        <w:fldChar w:fldCharType="end"/>
      </w:r>
      <w:r w:rsidRPr="00894FB4">
        <w:rPr>
          <w:color w:val="000000" w:themeColor="text1"/>
        </w:rPr>
        <w:t xml:space="preserve"> assume that tractor manufacturers will choose to derive and apply an adjustment factor to establish the </w:t>
      </w:r>
      <w:proofErr w:type="spellStart"/>
      <w:r w:rsidRPr="00894FB4">
        <w:rPr>
          <w:color w:val="000000" w:themeColor="text1"/>
        </w:rPr>
        <w:t>CdA</w:t>
      </w:r>
      <w:proofErr w:type="spellEnd"/>
      <w:r w:rsidRPr="00894FB4">
        <w:rPr>
          <w:color w:val="000000" w:themeColor="text1"/>
        </w:rPr>
        <w:t xml:space="preserve"> for their trucks.  As specified in the rule, this factor can only be used in conjunction with actual alternate aerodynamic tests conducted on vehicles that are selected to represent specific vehicle families.</w:t>
      </w:r>
    </w:p>
    <w:p w:rsidR="00067BD9" w:rsidRPr="00D049CA" w:rsidRDefault="00894FB4" w:rsidP="00FC7980">
      <w:pPr>
        <w:rPr>
          <w:color w:val="000000" w:themeColor="text1"/>
        </w:rPr>
      </w:pPr>
      <w:r w:rsidRPr="00894FB4">
        <w:rPr>
          <w:color w:val="000000" w:themeColor="text1"/>
        </w:rPr>
        <w:t xml:space="preserve">Thus, as shown in </w:t>
      </w:r>
      <w:r w:rsidR="007112DA">
        <w:fldChar w:fldCharType="begin"/>
      </w:r>
      <w:r w:rsidR="007112DA">
        <w:instrText xml:space="preserve"> REF _Ref418852500 \h  \* MERGEFORMAT </w:instrText>
      </w:r>
      <w:r w:rsidR="007112DA">
        <w:fldChar w:fldCharType="separate"/>
      </w:r>
      <w:r w:rsidR="00673E30" w:rsidRPr="00673E30">
        <w:rPr>
          <w:color w:val="000000" w:themeColor="text1"/>
        </w:rPr>
        <w:t xml:space="preserve">Table </w:t>
      </w:r>
      <w:r w:rsidR="00673E30" w:rsidRPr="00673E30">
        <w:rPr>
          <w:noProof/>
          <w:color w:val="000000" w:themeColor="text1"/>
        </w:rPr>
        <w:t>19</w:t>
      </w:r>
      <w:r w:rsidR="007112DA">
        <w:fldChar w:fldCharType="end"/>
      </w:r>
      <w:r w:rsidRPr="00894FB4">
        <w:rPr>
          <w:color w:val="000000" w:themeColor="text1"/>
        </w:rPr>
        <w:t xml:space="preserve">, testing burdens for tractor manufacturers are presented as O&amp;M costs, based on the assumption that manufacturers will contract out the testing – </w:t>
      </w:r>
      <w:proofErr w:type="spellStart"/>
      <w:r w:rsidRPr="00894FB4">
        <w:rPr>
          <w:color w:val="000000" w:themeColor="text1"/>
        </w:rPr>
        <w:t>coastdown</w:t>
      </w:r>
      <w:proofErr w:type="spellEnd"/>
      <w:r w:rsidRPr="00894FB4">
        <w:rPr>
          <w:color w:val="000000" w:themeColor="text1"/>
        </w:rPr>
        <w:t xml:space="preserve"> and wind tunnel - needed to establish the </w:t>
      </w:r>
      <w:proofErr w:type="spellStart"/>
      <w:r w:rsidRPr="00894FB4">
        <w:rPr>
          <w:color w:val="000000" w:themeColor="text1"/>
        </w:rPr>
        <w:t>CdA</w:t>
      </w:r>
      <w:proofErr w:type="spellEnd"/>
      <w:r w:rsidRPr="00894FB4">
        <w:rPr>
          <w:color w:val="000000" w:themeColor="text1"/>
        </w:rPr>
        <w:t xml:space="preserve"> for their vehicles, and subsequently to run the GEM.  </w:t>
      </w:r>
    </w:p>
    <w:p w:rsidR="00FC7980" w:rsidRPr="00D049CA" w:rsidRDefault="00894FB4" w:rsidP="00FC7980">
      <w:pPr>
        <w:rPr>
          <w:color w:val="000000" w:themeColor="text1"/>
        </w:rPr>
      </w:pPr>
      <w:r w:rsidRPr="00894FB4">
        <w:rPr>
          <w:color w:val="000000" w:themeColor="text1"/>
        </w:rPr>
        <w:t xml:space="preserve">Tractor manufacturers also will have options for including other parameters in the GEM, if their vehicles are equipped with technologies to reduce idling, lower vehicle weight and limit speed. </w:t>
      </w:r>
    </w:p>
    <w:p w:rsidR="00C30006" w:rsidRPr="00D049CA" w:rsidRDefault="00894FB4" w:rsidP="00FC7980">
      <w:pPr>
        <w:rPr>
          <w:color w:val="000000" w:themeColor="text1"/>
        </w:rPr>
      </w:pPr>
      <w:r w:rsidRPr="00894FB4">
        <w:rPr>
          <w:color w:val="000000" w:themeColor="text1"/>
        </w:rPr>
        <w:t>Although this data is not reported as a GEM input, at the time of certification, tractor manufacturers also will be required to outline the design of their air conditioning systems used in cabs, and an HFC leakage score.  Test procedures for establishing an HFC leakage score are detailed in 40 CFR 1037.115(c).</w:t>
      </w:r>
    </w:p>
    <w:p w:rsidR="005F6F13" w:rsidRPr="00D049CA" w:rsidRDefault="00791558" w:rsidP="00FC7980">
      <w:pPr>
        <w:rPr>
          <w:color w:val="000000" w:themeColor="text1"/>
        </w:rPr>
      </w:pPr>
      <w:r w:rsidRPr="00894FB4">
        <w:rPr>
          <w:color w:val="000000" w:themeColor="text1"/>
        </w:rPr>
        <w:t xml:space="preserve"> </w:t>
      </w:r>
      <w:r w:rsidR="00894FB4" w:rsidRPr="00894FB4">
        <w:rPr>
          <w:color w:val="000000" w:themeColor="text1"/>
        </w:rPr>
        <w:t xml:space="preserve">The ICR assumes that </w:t>
      </w:r>
      <w:r w:rsidR="00F33756">
        <w:rPr>
          <w:color w:val="000000" w:themeColor="text1"/>
        </w:rPr>
        <w:t>22</w:t>
      </w:r>
      <w:r w:rsidR="00894FB4" w:rsidRPr="00894FB4">
        <w:rPr>
          <w:color w:val="000000" w:themeColor="text1"/>
        </w:rPr>
        <w:t xml:space="preserve"> vocational vehicle chassis manufacturers, on average, will identify </w:t>
      </w:r>
      <w:r w:rsidR="007B13FD">
        <w:rPr>
          <w:color w:val="000000" w:themeColor="text1"/>
        </w:rPr>
        <w:t>between two and three</w:t>
      </w:r>
      <w:r w:rsidR="00894FB4" w:rsidRPr="00894FB4">
        <w:rPr>
          <w:color w:val="000000" w:themeColor="text1"/>
        </w:rPr>
        <w:t xml:space="preserve"> vehicle families and that the agencies will receive a total of 60 applications for certificates of conformity from this regulatory category.  </w:t>
      </w:r>
    </w:p>
    <w:p w:rsidR="005F6F13" w:rsidRPr="00D049CA" w:rsidRDefault="00894FB4" w:rsidP="00FC7980">
      <w:pPr>
        <w:rPr>
          <w:color w:val="000000" w:themeColor="text1"/>
        </w:rPr>
      </w:pPr>
      <w:r w:rsidRPr="00894FB4">
        <w:rPr>
          <w:color w:val="000000" w:themeColor="text1"/>
        </w:rPr>
        <w:t xml:space="preserve">The agencies expect to receive an additional 32 applications from manufacturers of combination tractors (on average eight applications from four manufacturers).  The four tractor manufacturers also manufacture the vocational vehicles accounted for in the ICR.  </w:t>
      </w:r>
    </w:p>
    <w:p w:rsidR="002600DD" w:rsidRDefault="00894FB4" w:rsidP="002600DD">
      <w:pPr>
        <w:rPr>
          <w:color w:val="000000" w:themeColor="text1"/>
        </w:rPr>
      </w:pPr>
      <w:r w:rsidRPr="00894FB4">
        <w:rPr>
          <w:color w:val="000000" w:themeColor="text1"/>
        </w:rPr>
        <w:t xml:space="preserve">However, these manufacturers operate distinctly different truck divisions and based on significant differences in vehicle design, the agencies expect to receive a total of 92 applications for certificates of conformity from the vocational vehicle and tractor categories annually.  </w:t>
      </w:r>
    </w:p>
    <w:p w:rsidR="00E21C61" w:rsidRDefault="00942AC9" w:rsidP="00942AC9">
      <w:pPr>
        <w:pStyle w:val="Heading4"/>
      </w:pPr>
      <w:r>
        <w:lastRenderedPageBreak/>
        <w:t>Phase 2 Data Items: Tractor</w:t>
      </w:r>
      <w:r w:rsidR="00E21C61">
        <w:t>s</w:t>
      </w:r>
    </w:p>
    <w:p w:rsidR="003734E8" w:rsidRDefault="003734E8" w:rsidP="00156671">
      <w:pPr>
        <w:widowControl/>
        <w:rPr>
          <w:color w:val="000000" w:themeColor="text1"/>
        </w:rPr>
      </w:pPr>
      <w:r>
        <w:t>Because t</w:t>
      </w:r>
      <w:r w:rsidRPr="00894FB4">
        <w:t xml:space="preserve">he Phase 2 requirements for </w:t>
      </w:r>
      <w:r>
        <w:t>tractor</w:t>
      </w:r>
      <w:r w:rsidRPr="00894FB4">
        <w:t xml:space="preserve"> manufacturers’ applicati</w:t>
      </w:r>
      <w:r>
        <w:t>ons for certification build on</w:t>
      </w:r>
      <w:r w:rsidRPr="00894FB4">
        <w:t xml:space="preserve"> the Phase 1 requirements</w:t>
      </w:r>
      <w:r>
        <w:t>, the same data items</w:t>
      </w:r>
      <w:r w:rsidRPr="00894FB4">
        <w:t xml:space="preserve"> listed </w:t>
      </w:r>
      <w:r>
        <w:t xml:space="preserve">above </w:t>
      </w:r>
      <w:r w:rsidRPr="00894FB4">
        <w:t xml:space="preserve">in </w:t>
      </w:r>
      <w:r w:rsidR="00121BAD">
        <w:fldChar w:fldCharType="begin"/>
      </w:r>
      <w:r>
        <w:instrText xml:space="preserve"> REF _Ref419460231 \h </w:instrText>
      </w:r>
      <w:r w:rsidR="00121BAD">
        <w:fldChar w:fldCharType="separate"/>
      </w:r>
      <w:r w:rsidR="00673E30" w:rsidRPr="00BF034E">
        <w:rPr>
          <w:color w:val="000000" w:themeColor="text1"/>
          <w:sz w:val="20"/>
        </w:rPr>
        <w:t xml:space="preserve">Table </w:t>
      </w:r>
      <w:r w:rsidR="00673E30">
        <w:rPr>
          <w:noProof/>
          <w:color w:val="000000" w:themeColor="text1"/>
          <w:sz w:val="20"/>
        </w:rPr>
        <w:t>9</w:t>
      </w:r>
      <w:r w:rsidR="00121BAD">
        <w:fldChar w:fldCharType="end"/>
      </w:r>
      <w:r>
        <w:t xml:space="preserve">, </w:t>
      </w:r>
      <w:r w:rsidR="00121BAD">
        <w:fldChar w:fldCharType="begin"/>
      </w:r>
      <w:r>
        <w:instrText xml:space="preserve"> REF _Ref419460239 \h </w:instrText>
      </w:r>
      <w:r w:rsidR="00121BAD">
        <w:fldChar w:fldCharType="separate"/>
      </w:r>
      <w:r w:rsidR="00673E30" w:rsidRPr="00BF034E">
        <w:rPr>
          <w:color w:val="000000" w:themeColor="text1"/>
          <w:sz w:val="20"/>
        </w:rPr>
        <w:t xml:space="preserve">Table </w:t>
      </w:r>
      <w:r w:rsidR="00673E30">
        <w:rPr>
          <w:noProof/>
          <w:color w:val="000000" w:themeColor="text1"/>
          <w:sz w:val="20"/>
        </w:rPr>
        <w:t>10</w:t>
      </w:r>
      <w:r w:rsidR="00121BAD">
        <w:fldChar w:fldCharType="end"/>
      </w:r>
      <w:r>
        <w:t xml:space="preserve">, and </w:t>
      </w:r>
      <w:r w:rsidR="00121BAD">
        <w:fldChar w:fldCharType="begin"/>
      </w:r>
      <w:r>
        <w:instrText xml:space="preserve"> REF _Ref419460247 \h </w:instrText>
      </w:r>
      <w:r w:rsidR="00121BAD">
        <w:fldChar w:fldCharType="separate"/>
      </w:r>
      <w:r w:rsidR="00673E30" w:rsidRPr="00BF034E">
        <w:rPr>
          <w:color w:val="000000" w:themeColor="text1"/>
          <w:sz w:val="20"/>
        </w:rPr>
        <w:t xml:space="preserve">Table </w:t>
      </w:r>
      <w:r w:rsidR="00673E30">
        <w:rPr>
          <w:noProof/>
          <w:color w:val="000000" w:themeColor="text1"/>
          <w:sz w:val="20"/>
        </w:rPr>
        <w:t>11</w:t>
      </w:r>
      <w:r w:rsidR="00121BAD">
        <w:fldChar w:fldCharType="end"/>
      </w:r>
      <w:r>
        <w:t>would also apply in calendar years 2020 and beyond.</w:t>
      </w:r>
      <w:r w:rsidRPr="00D76E2F">
        <w:rPr>
          <w:color w:val="000000" w:themeColor="text1"/>
        </w:rPr>
        <w:t xml:space="preserve"> </w:t>
      </w:r>
      <w:r w:rsidRPr="00894FB4">
        <w:rPr>
          <w:color w:val="000000" w:themeColor="text1"/>
        </w:rPr>
        <w:t xml:space="preserve">The </w:t>
      </w:r>
      <w:r>
        <w:rPr>
          <w:color w:val="000000" w:themeColor="text1"/>
        </w:rPr>
        <w:t xml:space="preserve">proposed HD </w:t>
      </w:r>
      <w:r w:rsidRPr="00894FB4">
        <w:rPr>
          <w:color w:val="000000" w:themeColor="text1"/>
        </w:rPr>
        <w:t xml:space="preserve">Phase 2 rule </w:t>
      </w:r>
      <w:r>
        <w:rPr>
          <w:color w:val="000000" w:themeColor="text1"/>
        </w:rPr>
        <w:t xml:space="preserve">would also </w:t>
      </w:r>
      <w:r w:rsidRPr="00894FB4">
        <w:rPr>
          <w:color w:val="000000" w:themeColor="text1"/>
        </w:rPr>
        <w:t>require</w:t>
      </w:r>
      <w:r>
        <w:rPr>
          <w:color w:val="000000" w:themeColor="text1"/>
        </w:rPr>
        <w:t xml:space="preserve"> new information that was not required</w:t>
      </w:r>
      <w:r w:rsidRPr="00894FB4">
        <w:rPr>
          <w:color w:val="000000" w:themeColor="text1"/>
        </w:rPr>
        <w:t xml:space="preserve"> Phase 1</w:t>
      </w:r>
      <w:r>
        <w:rPr>
          <w:color w:val="000000" w:themeColor="text1"/>
        </w:rPr>
        <w:t>.  Beginning in 2021 model year, the manufacturers would need to supply additional inputs to GEM, including the following:</w:t>
      </w:r>
    </w:p>
    <w:p w:rsidR="003734E8" w:rsidRDefault="003734E8" w:rsidP="003734E8">
      <w:pPr>
        <w:pStyle w:val="ListParagraph"/>
        <w:widowControl/>
        <w:numPr>
          <w:ilvl w:val="0"/>
          <w:numId w:val="21"/>
        </w:numPr>
        <w:spacing w:before="0" w:after="0"/>
      </w:pPr>
      <w:r>
        <w:t>Engine information including manufacturer, model, combustion type, fuel type, family name, and calibration identification</w:t>
      </w:r>
    </w:p>
    <w:p w:rsidR="003734E8" w:rsidRDefault="003734E8" w:rsidP="003734E8">
      <w:pPr>
        <w:pStyle w:val="ListParagraph"/>
        <w:widowControl/>
        <w:numPr>
          <w:ilvl w:val="0"/>
          <w:numId w:val="21"/>
        </w:numPr>
        <w:spacing w:before="0" w:after="0"/>
      </w:pPr>
      <w:r>
        <w:t>Engine fuel map,</w:t>
      </w:r>
    </w:p>
    <w:p w:rsidR="003734E8" w:rsidRDefault="003734E8" w:rsidP="003734E8">
      <w:pPr>
        <w:pStyle w:val="ListParagraph"/>
        <w:widowControl/>
        <w:numPr>
          <w:ilvl w:val="0"/>
          <w:numId w:val="21"/>
        </w:numPr>
        <w:spacing w:before="0" w:after="0"/>
      </w:pPr>
      <w:r>
        <w:t>Engine full-load torque curve,</w:t>
      </w:r>
    </w:p>
    <w:p w:rsidR="003734E8" w:rsidRDefault="003734E8" w:rsidP="003734E8">
      <w:pPr>
        <w:pStyle w:val="ListParagraph"/>
        <w:widowControl/>
        <w:numPr>
          <w:ilvl w:val="0"/>
          <w:numId w:val="21"/>
        </w:numPr>
        <w:spacing w:before="0" w:after="0"/>
      </w:pPr>
      <w:r>
        <w:t>Engine motoring curve,</w:t>
      </w:r>
    </w:p>
    <w:p w:rsidR="003734E8" w:rsidRDefault="003734E8" w:rsidP="003734E8">
      <w:pPr>
        <w:pStyle w:val="ListParagraph"/>
        <w:widowControl/>
        <w:numPr>
          <w:ilvl w:val="0"/>
          <w:numId w:val="21"/>
        </w:numPr>
        <w:spacing w:before="0" w:after="0"/>
      </w:pPr>
      <w:r>
        <w:t>Transmission information including manufacturer and model</w:t>
      </w:r>
    </w:p>
    <w:p w:rsidR="003734E8" w:rsidRDefault="003734E8" w:rsidP="003734E8">
      <w:pPr>
        <w:pStyle w:val="ListParagraph"/>
        <w:widowControl/>
        <w:numPr>
          <w:ilvl w:val="0"/>
          <w:numId w:val="21"/>
        </w:numPr>
        <w:spacing w:before="0" w:after="0"/>
      </w:pPr>
      <w:r>
        <w:t>Transmission type,</w:t>
      </w:r>
    </w:p>
    <w:p w:rsidR="003734E8" w:rsidRDefault="003734E8" w:rsidP="003734E8">
      <w:pPr>
        <w:pStyle w:val="ListParagraph"/>
        <w:widowControl/>
        <w:numPr>
          <w:ilvl w:val="0"/>
          <w:numId w:val="21"/>
        </w:numPr>
        <w:spacing w:before="0" w:after="0"/>
      </w:pPr>
      <w:r>
        <w:t>Transmission gear ratios,</w:t>
      </w:r>
    </w:p>
    <w:p w:rsidR="003734E8" w:rsidRDefault="003734E8" w:rsidP="003734E8">
      <w:pPr>
        <w:pStyle w:val="ListParagraph"/>
        <w:widowControl/>
        <w:numPr>
          <w:ilvl w:val="0"/>
          <w:numId w:val="21"/>
        </w:numPr>
        <w:spacing w:before="0" w:after="0"/>
      </w:pPr>
      <w:r>
        <w:t>Drive axle ratio,</w:t>
      </w:r>
    </w:p>
    <w:p w:rsidR="002F5AE4" w:rsidRPr="002F5AE4" w:rsidRDefault="003734E8" w:rsidP="002F5AE4">
      <w:pPr>
        <w:pStyle w:val="ListParagraph"/>
        <w:widowControl/>
        <w:numPr>
          <w:ilvl w:val="0"/>
          <w:numId w:val="21"/>
        </w:numPr>
        <w:spacing w:before="0" w:after="0"/>
        <w:rPr>
          <w:color w:val="000000" w:themeColor="text1"/>
        </w:rPr>
      </w:pPr>
      <w:r>
        <w:t xml:space="preserve">Loaded tire radius for drive tires, and </w:t>
      </w:r>
    </w:p>
    <w:p w:rsidR="002F5AE4" w:rsidRDefault="003734E8" w:rsidP="002F5AE4">
      <w:pPr>
        <w:pStyle w:val="ListParagraph"/>
        <w:widowControl/>
        <w:numPr>
          <w:ilvl w:val="0"/>
          <w:numId w:val="21"/>
        </w:numPr>
        <w:spacing w:before="0" w:after="0"/>
        <w:rPr>
          <w:color w:val="000000" w:themeColor="text1"/>
        </w:rPr>
      </w:pPr>
      <w:r>
        <w:t>Other technology inputs.</w:t>
      </w:r>
      <w:r w:rsidRPr="003734E8">
        <w:rPr>
          <w:color w:val="000000" w:themeColor="text1"/>
        </w:rPr>
        <w:t xml:space="preserve"> </w:t>
      </w:r>
    </w:p>
    <w:p w:rsidR="002F5AE4" w:rsidRDefault="003734E8" w:rsidP="002F5AE4">
      <w:pPr>
        <w:widowControl/>
      </w:pPr>
      <w:r>
        <w:t xml:space="preserve">The manufacturers would also be required to conduct enhanced aerodynamic testing to obtain a coefficient of drag area that includes wind impacts to better simulate the real world operating conditions.  The manufacturers would also be required to conduct additional </w:t>
      </w:r>
      <w:proofErr w:type="spellStart"/>
      <w:r>
        <w:t>coastdown</w:t>
      </w:r>
      <w:proofErr w:type="spellEnd"/>
      <w:r>
        <w:t xml:space="preserve"> tests to obtain an alternative aerodynamic procedure correction factor based on the configuration of the tractor.  Finally, manufacturers would be required to conduct limited tractor chassis testing to continue to affirm the representativeness of the GEM simulations.</w:t>
      </w:r>
    </w:p>
    <w:p w:rsidR="00942AC9" w:rsidRDefault="00E21C61" w:rsidP="00942AC9">
      <w:pPr>
        <w:pStyle w:val="Heading4"/>
      </w:pPr>
      <w:r>
        <w:t>Phase 2 Data Items: Vocational Vehicles</w:t>
      </w:r>
    </w:p>
    <w:p w:rsidR="002F5AE4" w:rsidRDefault="00F31DDE" w:rsidP="002F5AE4">
      <w:pPr>
        <w:widowControl/>
      </w:pPr>
      <w:r>
        <w:t xml:space="preserve">For the Phase 2 HD GHG program, manufacturers of vocational vehicles would be required to collect the same data items listed above in </w:t>
      </w:r>
      <w:r w:rsidR="00121BAD">
        <w:fldChar w:fldCharType="begin"/>
      </w:r>
      <w:r>
        <w:instrText xml:space="preserve"> REF _Ref419460231 \h </w:instrText>
      </w:r>
      <w:r w:rsidR="00121BAD">
        <w:fldChar w:fldCharType="separate"/>
      </w:r>
      <w:r w:rsidR="00673E30" w:rsidRPr="00BF034E">
        <w:rPr>
          <w:color w:val="000000" w:themeColor="text1"/>
          <w:sz w:val="20"/>
        </w:rPr>
        <w:t xml:space="preserve">Table </w:t>
      </w:r>
      <w:r w:rsidR="00673E30">
        <w:rPr>
          <w:noProof/>
          <w:color w:val="000000" w:themeColor="text1"/>
          <w:sz w:val="20"/>
        </w:rPr>
        <w:t>9</w:t>
      </w:r>
      <w:r w:rsidR="00121BAD">
        <w:fldChar w:fldCharType="end"/>
      </w:r>
      <w:r>
        <w:t xml:space="preserve">, </w:t>
      </w:r>
      <w:r w:rsidR="00121BAD">
        <w:fldChar w:fldCharType="begin"/>
      </w:r>
      <w:r>
        <w:instrText xml:space="preserve"> REF _Ref419460239 \h </w:instrText>
      </w:r>
      <w:r w:rsidR="00121BAD">
        <w:fldChar w:fldCharType="separate"/>
      </w:r>
      <w:r w:rsidR="00673E30" w:rsidRPr="00BF034E">
        <w:rPr>
          <w:color w:val="000000" w:themeColor="text1"/>
          <w:sz w:val="20"/>
        </w:rPr>
        <w:t xml:space="preserve">Table </w:t>
      </w:r>
      <w:r w:rsidR="00673E30">
        <w:rPr>
          <w:noProof/>
          <w:color w:val="000000" w:themeColor="text1"/>
          <w:sz w:val="20"/>
        </w:rPr>
        <w:t>10</w:t>
      </w:r>
      <w:r w:rsidR="00121BAD">
        <w:fldChar w:fldCharType="end"/>
      </w:r>
      <w:r>
        <w:t xml:space="preserve">, and </w:t>
      </w:r>
      <w:r w:rsidR="00121BAD">
        <w:fldChar w:fldCharType="begin"/>
      </w:r>
      <w:r>
        <w:instrText xml:space="preserve"> REF _Ref419460247 \h </w:instrText>
      </w:r>
      <w:r w:rsidR="00121BAD">
        <w:fldChar w:fldCharType="separate"/>
      </w:r>
      <w:r w:rsidR="00673E30" w:rsidRPr="00BF034E">
        <w:rPr>
          <w:color w:val="000000" w:themeColor="text1"/>
          <w:sz w:val="20"/>
        </w:rPr>
        <w:t xml:space="preserve">Table </w:t>
      </w:r>
      <w:r w:rsidR="00673E30">
        <w:rPr>
          <w:noProof/>
          <w:color w:val="000000" w:themeColor="text1"/>
          <w:sz w:val="20"/>
        </w:rPr>
        <w:t>11</w:t>
      </w:r>
      <w:r w:rsidR="00121BAD">
        <w:fldChar w:fldCharType="end"/>
      </w:r>
      <w:r>
        <w:t xml:space="preserve"> in calendar years 2020 and beyond.  In addition, new information would be required beginning in MY 2021.  When a vocational vehicle manufacturer installs an air conditioning system or directs a second stage manufacturer to install an air conditioning system, the same information as is required for tractors in phase 1 related to HFC leakage from air conditioning systems would become required for Phase 2.  Similar to the data items described above for Phase 2 tractors, Phase 2 GEM would require additional inputs to simulate vocational vehicles, including transmission type and gear ratios, drive axle ratio, and tire revs/mile.  Each of these data fields would need to be tracked by manufacturers. Also, if a manufacturer elects to substitute a lightweight material such as aluminum for a chassis component as part of its compliance strategy, the use of such components would need to be tracked.  The additional engine testing to characterize engine performance in GEM is described above for the engine manufacturers. Vocational vehicle manufacturers would need to obtain these testing results from engine manufacturers and enter the data in GEM.</w:t>
      </w:r>
    </w:p>
    <w:p w:rsidR="005A63AF" w:rsidRDefault="00894FB4">
      <w:pPr>
        <w:pStyle w:val="Heading3"/>
      </w:pPr>
      <w:r w:rsidRPr="00894FB4">
        <w:rPr>
          <w:color w:val="000000" w:themeColor="text1"/>
        </w:rPr>
        <w:lastRenderedPageBreak/>
        <w:t>Trailers</w:t>
      </w:r>
    </w:p>
    <w:p w:rsidR="00F67C92" w:rsidRDefault="00EC6949" w:rsidP="003873C6">
      <w:r>
        <w:t>Prior to this proposed Phase 2 program, manufacturers of trailers have not been regulated for CO</w:t>
      </w:r>
      <w:r w:rsidRPr="00BA2642">
        <w:rPr>
          <w:vertAlign w:val="subscript"/>
        </w:rPr>
        <w:t>2</w:t>
      </w:r>
      <w:r>
        <w:t xml:space="preserve"> emissions or fuel consumption and </w:t>
      </w:r>
      <w:r w:rsidR="0053098E">
        <w:t>the agencies</w:t>
      </w:r>
      <w:r>
        <w:t xml:space="preserve"> recognize that the proposed trailer program presents these manufacturers with several new testing, reporting</w:t>
      </w:r>
      <w:r w:rsidR="00156671">
        <w:t>, labeling,</w:t>
      </w:r>
      <w:r>
        <w:t xml:space="preserve"> and recordkeeping requirements.  For trailers, the proposed CO</w:t>
      </w:r>
      <w:r w:rsidRPr="00BA2642">
        <w:rPr>
          <w:vertAlign w:val="subscript"/>
        </w:rPr>
        <w:t>2</w:t>
      </w:r>
      <w:r>
        <w:rPr>
          <w:vertAlign w:val="subscript"/>
        </w:rPr>
        <w:t xml:space="preserve"> </w:t>
      </w:r>
      <w:r>
        <w:t xml:space="preserve">and fuel consumption standards are based on reductions that we believe can be achieved by applying currently-available aerodynamic, tire, tire inflation technologies, and </w:t>
      </w:r>
      <w:r w:rsidR="003873C6">
        <w:t xml:space="preserve">light-weight components.  </w:t>
      </w:r>
      <w:r>
        <w:t>The proposed fuel consumption standard</w:t>
      </w:r>
      <w:r w:rsidR="003873C6">
        <w:t>s are</w:t>
      </w:r>
      <w:r>
        <w:t xml:space="preserve"> represented as gallons of fuel used to move one ton of freight (payload) 1</w:t>
      </w:r>
      <w:r w:rsidR="00001C7B">
        <w:t>,</w:t>
      </w:r>
      <w:r>
        <w:t>000 miles, or gal/1</w:t>
      </w:r>
      <w:r w:rsidR="00001C7B">
        <w:t>,</w:t>
      </w:r>
      <w:r>
        <w:t>000 ton-mile.  The CO</w:t>
      </w:r>
      <w:r w:rsidRPr="00F67C92">
        <w:rPr>
          <w:vertAlign w:val="subscript"/>
        </w:rPr>
        <w:t>2</w:t>
      </w:r>
      <w:r>
        <w:t xml:space="preserve"> trailer standards are represented as grams of CO</w:t>
      </w:r>
      <w:r w:rsidRPr="00BA2642">
        <w:rPr>
          <w:vertAlign w:val="subscript"/>
        </w:rPr>
        <w:t>2</w:t>
      </w:r>
      <w:r>
        <w:rPr>
          <w:vertAlign w:val="subscript"/>
        </w:rPr>
        <w:t xml:space="preserve"> </w:t>
      </w:r>
      <w:r>
        <w:t>per ton-mile.</w:t>
      </w:r>
    </w:p>
    <w:p w:rsidR="00EC6949" w:rsidRDefault="00F67C92" w:rsidP="002977CF">
      <w:r>
        <w:t xml:space="preserve">The proposed Phase 2 regulations lay out several information-related requirements for trailer manufacturers, as summarized in </w:t>
      </w:r>
      <w:r w:rsidR="00121BAD">
        <w:fldChar w:fldCharType="begin"/>
      </w:r>
      <w:r w:rsidR="00C80CB6">
        <w:instrText xml:space="preserve"> REF _Ref419191923 \h </w:instrText>
      </w:r>
      <w:r w:rsidR="00121BAD">
        <w:fldChar w:fldCharType="separate"/>
      </w:r>
      <w:r w:rsidR="00673E30" w:rsidRPr="00BF034E">
        <w:rPr>
          <w:sz w:val="20"/>
        </w:rPr>
        <w:t xml:space="preserve">Table </w:t>
      </w:r>
      <w:r w:rsidR="00673E30">
        <w:rPr>
          <w:noProof/>
          <w:sz w:val="20"/>
        </w:rPr>
        <w:t>12</w:t>
      </w:r>
      <w:r w:rsidR="00121BAD">
        <w:fldChar w:fldCharType="end"/>
      </w:r>
      <w:r w:rsidR="00C80CB6">
        <w:t>.</w:t>
      </w:r>
      <w:r w:rsidR="00902FD7">
        <w:t xml:space="preserve">  For this proposal, the agencies adopted the Small Business Administration’s definition of small business</w:t>
      </w:r>
      <w:r w:rsidR="003860F3">
        <w:t xml:space="preserve">, which states that </w:t>
      </w:r>
      <w:r w:rsidR="00902FD7">
        <w:t>trailer</w:t>
      </w:r>
      <w:r w:rsidR="003860F3">
        <w:t xml:space="preserve"> manufacturer</w:t>
      </w:r>
      <w:r w:rsidR="00902FD7">
        <w:t xml:space="preserve">s with fewer than 500 employees (including parent and subsidiary companies) are considered small businesses.  Of the 114 trailer manufacturers, 95 are considered small businesses.  Box trailers have the most stringent standards </w:t>
      </w:r>
      <w:r w:rsidR="003860F3">
        <w:t xml:space="preserve">in the Phase 2 proposal, </w:t>
      </w:r>
      <w:r w:rsidR="00902FD7">
        <w:t>and 14 of these companies manufacturer box trailers (9 large and 5 small businesses)</w:t>
      </w:r>
      <w:r w:rsidR="003860F3">
        <w:t xml:space="preserve">.  Only 17 of the 109 non-box trailer manufacturers are large businesses.  The agencies are proposing a one-year delay in implementation for small businesses to provide additional lead time to prepare for the program.  As a result, the cost information in this ICR is presented in separate tables for the large and small trailer manufacturers.  </w:t>
      </w:r>
      <w:r>
        <w:t xml:space="preserve"> </w:t>
      </w:r>
      <w:r w:rsidR="00EC6949">
        <w:t xml:space="preserve"> </w:t>
      </w:r>
    </w:p>
    <w:p w:rsidR="002F5AE4" w:rsidRPr="00BF034E" w:rsidRDefault="002977CF" w:rsidP="002F5AE4">
      <w:pPr>
        <w:pStyle w:val="Caption"/>
        <w:keepNext/>
        <w:rPr>
          <w:color w:val="auto"/>
          <w:sz w:val="20"/>
          <w:szCs w:val="20"/>
        </w:rPr>
      </w:pPr>
      <w:bookmarkStart w:id="12" w:name="_Ref419191923"/>
      <w:r w:rsidRPr="00BF034E">
        <w:rPr>
          <w:color w:val="auto"/>
          <w:sz w:val="20"/>
          <w:szCs w:val="20"/>
        </w:rPr>
        <w:t xml:space="preserve">Table </w:t>
      </w:r>
      <w:r w:rsidR="00121BAD" w:rsidRPr="00BF034E">
        <w:rPr>
          <w:color w:val="auto"/>
          <w:sz w:val="20"/>
          <w:szCs w:val="20"/>
        </w:rPr>
        <w:fldChar w:fldCharType="begin"/>
      </w:r>
      <w:r w:rsidRPr="00BF034E">
        <w:rPr>
          <w:color w:val="auto"/>
          <w:sz w:val="20"/>
          <w:szCs w:val="20"/>
        </w:rPr>
        <w:instrText xml:space="preserve"> SEQ Table \* ARABIC </w:instrText>
      </w:r>
      <w:r w:rsidR="00121BAD" w:rsidRPr="00BF034E">
        <w:rPr>
          <w:color w:val="auto"/>
          <w:sz w:val="20"/>
          <w:szCs w:val="20"/>
        </w:rPr>
        <w:fldChar w:fldCharType="separate"/>
      </w:r>
      <w:r w:rsidR="00673E30">
        <w:rPr>
          <w:noProof/>
          <w:color w:val="auto"/>
          <w:sz w:val="20"/>
          <w:szCs w:val="20"/>
        </w:rPr>
        <w:t>12</w:t>
      </w:r>
      <w:r w:rsidR="00121BAD" w:rsidRPr="00BF034E">
        <w:rPr>
          <w:color w:val="auto"/>
          <w:sz w:val="20"/>
          <w:szCs w:val="20"/>
        </w:rPr>
        <w:fldChar w:fldCharType="end"/>
      </w:r>
      <w:bookmarkEnd w:id="12"/>
      <w:r w:rsidRPr="00BF034E">
        <w:rPr>
          <w:color w:val="auto"/>
          <w:sz w:val="20"/>
          <w:szCs w:val="20"/>
        </w:rPr>
        <w:t xml:space="preserve"> </w:t>
      </w:r>
      <w:r w:rsidRPr="00BF034E">
        <w:rPr>
          <w:color w:val="000000" w:themeColor="text1"/>
          <w:sz w:val="20"/>
          <w:szCs w:val="20"/>
        </w:rPr>
        <w:t>Required</w:t>
      </w:r>
      <w:r w:rsidRPr="00BF034E">
        <w:rPr>
          <w:color w:val="auto"/>
          <w:sz w:val="20"/>
          <w:szCs w:val="20"/>
        </w:rPr>
        <w:t xml:space="preserve"> Information for Trailer Manufacturers</w:t>
      </w:r>
    </w:p>
    <w:tbl>
      <w:tblPr>
        <w:tblStyle w:val="TableGrid"/>
        <w:tblW w:w="5000" w:type="pct"/>
        <w:jc w:val="center"/>
        <w:tblLook w:val="04A0" w:firstRow="1" w:lastRow="0" w:firstColumn="1" w:lastColumn="0" w:noHBand="0" w:noVBand="1"/>
      </w:tblPr>
      <w:tblGrid>
        <w:gridCol w:w="6659"/>
        <w:gridCol w:w="2691"/>
      </w:tblGrid>
      <w:tr w:rsidR="00761B4A" w:rsidRPr="00E61059" w:rsidTr="00BF034E">
        <w:trPr>
          <w:cantSplit/>
          <w:tblHeader/>
          <w:jc w:val="center"/>
        </w:trPr>
        <w:tc>
          <w:tcPr>
            <w:tcW w:w="3561" w:type="pct"/>
            <w:vAlign w:val="center"/>
          </w:tcPr>
          <w:p w:rsidR="00761B4A" w:rsidRPr="00E61059" w:rsidRDefault="00761B4A" w:rsidP="00401DEA">
            <w:pPr>
              <w:keepNext/>
              <w:spacing w:before="0" w:after="0"/>
              <w:ind w:firstLine="0"/>
              <w:rPr>
                <w:b/>
                <w:szCs w:val="24"/>
              </w:rPr>
            </w:pPr>
            <w:r w:rsidRPr="00E61059">
              <w:rPr>
                <w:b/>
                <w:szCs w:val="24"/>
              </w:rPr>
              <w:t>Information Collection Activity</w:t>
            </w:r>
          </w:p>
        </w:tc>
        <w:tc>
          <w:tcPr>
            <w:tcW w:w="1439" w:type="pct"/>
            <w:vAlign w:val="center"/>
          </w:tcPr>
          <w:p w:rsidR="00761B4A" w:rsidRPr="00E61059" w:rsidRDefault="00761B4A" w:rsidP="00401DEA">
            <w:pPr>
              <w:keepNext/>
              <w:spacing w:before="0" w:after="0"/>
              <w:ind w:firstLine="0"/>
              <w:rPr>
                <w:b/>
                <w:szCs w:val="24"/>
              </w:rPr>
            </w:pPr>
            <w:r w:rsidRPr="00E61059">
              <w:rPr>
                <w:b/>
                <w:szCs w:val="24"/>
              </w:rPr>
              <w:t>40 CFR 1037 Reference</w:t>
            </w:r>
          </w:p>
        </w:tc>
      </w:tr>
      <w:tr w:rsidR="00761B4A" w:rsidRPr="00E61059" w:rsidTr="00E61059">
        <w:trPr>
          <w:jc w:val="center"/>
        </w:trPr>
        <w:tc>
          <w:tcPr>
            <w:tcW w:w="3561" w:type="pct"/>
            <w:vAlign w:val="center"/>
          </w:tcPr>
          <w:p w:rsidR="00761B4A" w:rsidRPr="00E61059" w:rsidRDefault="00761B4A" w:rsidP="00401DEA">
            <w:pPr>
              <w:keepNext/>
              <w:spacing w:before="0" w:after="0"/>
              <w:ind w:firstLine="0"/>
              <w:rPr>
                <w:szCs w:val="24"/>
              </w:rPr>
            </w:pPr>
            <w:r w:rsidRPr="00E61059">
              <w:rPr>
                <w:szCs w:val="24"/>
              </w:rPr>
              <w:t>Review the regulations and any guidance documents</w:t>
            </w:r>
          </w:p>
        </w:tc>
        <w:tc>
          <w:tcPr>
            <w:tcW w:w="1439" w:type="pct"/>
            <w:vAlign w:val="center"/>
          </w:tcPr>
          <w:p w:rsidR="00761B4A" w:rsidRPr="00E61059" w:rsidRDefault="00761B4A" w:rsidP="00401DEA">
            <w:pPr>
              <w:keepNext/>
              <w:spacing w:before="0" w:after="0"/>
              <w:ind w:firstLine="0"/>
              <w:rPr>
                <w:szCs w:val="24"/>
              </w:rPr>
            </w:pPr>
          </w:p>
        </w:tc>
      </w:tr>
      <w:tr w:rsidR="00761B4A" w:rsidRPr="00E61059" w:rsidTr="00E61059">
        <w:trPr>
          <w:jc w:val="center"/>
        </w:trPr>
        <w:tc>
          <w:tcPr>
            <w:tcW w:w="3561" w:type="pct"/>
            <w:vAlign w:val="center"/>
          </w:tcPr>
          <w:p w:rsidR="00761B4A" w:rsidRPr="00E61059" w:rsidRDefault="00761B4A" w:rsidP="00401DEA">
            <w:pPr>
              <w:keepNext/>
              <w:spacing w:before="0" w:after="0"/>
              <w:ind w:firstLine="0"/>
              <w:rPr>
                <w:szCs w:val="24"/>
              </w:rPr>
            </w:pPr>
            <w:r w:rsidRPr="00E61059">
              <w:rPr>
                <w:szCs w:val="24"/>
              </w:rPr>
              <w:t>Develop trailer families</w:t>
            </w:r>
          </w:p>
        </w:tc>
        <w:tc>
          <w:tcPr>
            <w:tcW w:w="1439" w:type="pct"/>
            <w:vAlign w:val="center"/>
          </w:tcPr>
          <w:p w:rsidR="00761B4A" w:rsidRPr="00E61059" w:rsidRDefault="00D143CB" w:rsidP="00401DEA">
            <w:pPr>
              <w:keepNext/>
              <w:spacing w:before="0" w:after="0"/>
              <w:ind w:firstLine="0"/>
              <w:rPr>
                <w:szCs w:val="24"/>
              </w:rPr>
            </w:pPr>
            <w:r w:rsidRPr="00E61059">
              <w:rPr>
                <w:szCs w:val="24"/>
              </w:rPr>
              <w:t>1037</w:t>
            </w:r>
            <w:r w:rsidR="00761B4A" w:rsidRPr="00E61059">
              <w:rPr>
                <w:szCs w:val="24"/>
              </w:rPr>
              <w:t>.230</w:t>
            </w:r>
          </w:p>
        </w:tc>
      </w:tr>
      <w:tr w:rsidR="00761B4A" w:rsidRPr="00E61059" w:rsidTr="00E61059">
        <w:trPr>
          <w:jc w:val="center"/>
        </w:trPr>
        <w:tc>
          <w:tcPr>
            <w:tcW w:w="3561" w:type="pct"/>
            <w:vAlign w:val="center"/>
          </w:tcPr>
          <w:p w:rsidR="00761B4A" w:rsidRPr="00E61059" w:rsidRDefault="00761B4A" w:rsidP="00401DEA">
            <w:pPr>
              <w:keepNext/>
              <w:spacing w:before="0" w:after="0"/>
              <w:ind w:firstLine="0"/>
              <w:rPr>
                <w:szCs w:val="24"/>
              </w:rPr>
            </w:pPr>
            <w:r w:rsidRPr="00E61059">
              <w:rPr>
                <w:szCs w:val="24"/>
              </w:rPr>
              <w:t xml:space="preserve">Describe each trailer family’s basic specs </w:t>
            </w:r>
          </w:p>
        </w:tc>
        <w:tc>
          <w:tcPr>
            <w:tcW w:w="1439" w:type="pct"/>
            <w:vAlign w:val="center"/>
          </w:tcPr>
          <w:p w:rsidR="00761B4A" w:rsidRPr="00E61059" w:rsidRDefault="00087356" w:rsidP="00401DEA">
            <w:pPr>
              <w:keepNext/>
              <w:spacing w:before="0" w:after="0"/>
              <w:ind w:firstLine="0"/>
              <w:rPr>
                <w:szCs w:val="24"/>
              </w:rPr>
            </w:pPr>
            <w:r w:rsidRPr="00E61059">
              <w:rPr>
                <w:szCs w:val="24"/>
              </w:rPr>
              <w:t>1037</w:t>
            </w:r>
            <w:r w:rsidR="00761B4A" w:rsidRPr="00E61059">
              <w:rPr>
                <w:szCs w:val="24"/>
              </w:rPr>
              <w:t>.205(a)</w:t>
            </w:r>
          </w:p>
        </w:tc>
      </w:tr>
      <w:tr w:rsidR="00761B4A" w:rsidRPr="00E61059" w:rsidTr="00E61059">
        <w:trPr>
          <w:jc w:val="center"/>
        </w:trPr>
        <w:tc>
          <w:tcPr>
            <w:tcW w:w="3561" w:type="pct"/>
            <w:vAlign w:val="center"/>
          </w:tcPr>
          <w:p w:rsidR="00761B4A" w:rsidRPr="00E61059" w:rsidRDefault="00761B4A" w:rsidP="00401DEA">
            <w:pPr>
              <w:keepNext/>
              <w:spacing w:before="0" w:after="0"/>
              <w:ind w:firstLine="0"/>
              <w:rPr>
                <w:szCs w:val="24"/>
              </w:rPr>
            </w:pPr>
            <w:r w:rsidRPr="00E61059">
              <w:rPr>
                <w:szCs w:val="24"/>
              </w:rPr>
              <w:t>Identify the vehicle family’s useful life</w:t>
            </w:r>
          </w:p>
        </w:tc>
        <w:tc>
          <w:tcPr>
            <w:tcW w:w="1439" w:type="pct"/>
            <w:vAlign w:val="center"/>
          </w:tcPr>
          <w:p w:rsidR="00761B4A" w:rsidRPr="00E61059" w:rsidRDefault="00087356" w:rsidP="00401DEA">
            <w:pPr>
              <w:keepNext/>
              <w:spacing w:before="0" w:after="0"/>
              <w:ind w:firstLine="0"/>
              <w:rPr>
                <w:szCs w:val="24"/>
              </w:rPr>
            </w:pPr>
            <w:r w:rsidRPr="00E61059">
              <w:rPr>
                <w:szCs w:val="24"/>
              </w:rPr>
              <w:t>1037</w:t>
            </w:r>
            <w:r w:rsidR="00761B4A" w:rsidRPr="00E61059">
              <w:rPr>
                <w:szCs w:val="24"/>
              </w:rPr>
              <w:t>.205(h)</w:t>
            </w:r>
          </w:p>
        </w:tc>
      </w:tr>
      <w:tr w:rsidR="00761B4A" w:rsidRPr="00E61059" w:rsidTr="00E61059">
        <w:trPr>
          <w:jc w:val="center"/>
        </w:trPr>
        <w:tc>
          <w:tcPr>
            <w:tcW w:w="3561" w:type="pct"/>
            <w:vAlign w:val="center"/>
          </w:tcPr>
          <w:p w:rsidR="00761B4A" w:rsidRPr="00E61059" w:rsidRDefault="00761B4A" w:rsidP="00401DEA">
            <w:pPr>
              <w:keepNext/>
              <w:spacing w:before="0" w:after="0"/>
              <w:ind w:firstLine="0"/>
              <w:rPr>
                <w:szCs w:val="24"/>
              </w:rPr>
            </w:pPr>
            <w:r w:rsidRPr="00E61059">
              <w:rPr>
                <w:szCs w:val="24"/>
              </w:rPr>
              <w:t xml:space="preserve">Provide customer maintenance and warranty info </w:t>
            </w:r>
          </w:p>
        </w:tc>
        <w:tc>
          <w:tcPr>
            <w:tcW w:w="1439" w:type="pct"/>
            <w:vAlign w:val="center"/>
          </w:tcPr>
          <w:p w:rsidR="00761B4A" w:rsidRPr="00E61059" w:rsidRDefault="00087356" w:rsidP="00401DEA">
            <w:pPr>
              <w:keepNext/>
              <w:spacing w:before="0" w:after="0"/>
              <w:ind w:firstLine="0"/>
              <w:rPr>
                <w:szCs w:val="24"/>
              </w:rPr>
            </w:pPr>
            <w:r w:rsidRPr="00E61059">
              <w:rPr>
                <w:szCs w:val="24"/>
              </w:rPr>
              <w:t>1037</w:t>
            </w:r>
            <w:r w:rsidR="00761B4A" w:rsidRPr="00E61059">
              <w:rPr>
                <w:szCs w:val="24"/>
              </w:rPr>
              <w:t>.205(i)</w:t>
            </w:r>
          </w:p>
        </w:tc>
      </w:tr>
      <w:tr w:rsidR="00761B4A" w:rsidRPr="00E61059" w:rsidTr="00E61059">
        <w:trPr>
          <w:jc w:val="center"/>
        </w:trPr>
        <w:tc>
          <w:tcPr>
            <w:tcW w:w="3561" w:type="pct"/>
            <w:vAlign w:val="center"/>
          </w:tcPr>
          <w:p w:rsidR="00761B4A" w:rsidRPr="00E61059" w:rsidRDefault="00761B4A" w:rsidP="00E61059">
            <w:pPr>
              <w:spacing w:before="0" w:after="0"/>
              <w:ind w:firstLine="0"/>
              <w:rPr>
                <w:szCs w:val="24"/>
              </w:rPr>
            </w:pPr>
            <w:r w:rsidRPr="00E61059">
              <w:rPr>
                <w:szCs w:val="24"/>
              </w:rPr>
              <w:t>Describe label</w:t>
            </w:r>
          </w:p>
        </w:tc>
        <w:tc>
          <w:tcPr>
            <w:tcW w:w="1439" w:type="pct"/>
            <w:vAlign w:val="center"/>
          </w:tcPr>
          <w:p w:rsidR="00761B4A" w:rsidRPr="00E61059" w:rsidRDefault="00087356" w:rsidP="00E61059">
            <w:pPr>
              <w:spacing w:before="0" w:after="0"/>
              <w:ind w:firstLine="0"/>
              <w:rPr>
                <w:szCs w:val="24"/>
              </w:rPr>
            </w:pPr>
            <w:r w:rsidRPr="00E61059">
              <w:rPr>
                <w:szCs w:val="24"/>
              </w:rPr>
              <w:t>1037</w:t>
            </w:r>
            <w:r w:rsidR="00761B4A" w:rsidRPr="00E61059">
              <w:rPr>
                <w:szCs w:val="24"/>
              </w:rPr>
              <w:t>.205(j)</w:t>
            </w:r>
          </w:p>
        </w:tc>
      </w:tr>
      <w:tr w:rsidR="00761B4A" w:rsidRPr="00E61059" w:rsidTr="00E61059">
        <w:trPr>
          <w:jc w:val="center"/>
        </w:trPr>
        <w:tc>
          <w:tcPr>
            <w:tcW w:w="3561" w:type="pct"/>
            <w:vAlign w:val="center"/>
          </w:tcPr>
          <w:p w:rsidR="00761B4A" w:rsidRPr="00E61059" w:rsidRDefault="00761B4A" w:rsidP="00E61059">
            <w:pPr>
              <w:spacing w:before="0" w:after="0"/>
              <w:ind w:firstLine="0"/>
              <w:rPr>
                <w:szCs w:val="24"/>
              </w:rPr>
            </w:pPr>
            <w:r w:rsidRPr="00E61059">
              <w:rPr>
                <w:szCs w:val="24"/>
              </w:rPr>
              <w:t>Identify CO</w:t>
            </w:r>
            <w:r w:rsidRPr="00E61059">
              <w:rPr>
                <w:szCs w:val="24"/>
                <w:vertAlign w:val="subscript"/>
              </w:rPr>
              <w:t>2</w:t>
            </w:r>
            <w:r w:rsidRPr="00E61059">
              <w:rPr>
                <w:szCs w:val="24"/>
              </w:rPr>
              <w:t xml:space="preserve"> </w:t>
            </w:r>
            <w:proofErr w:type="spellStart"/>
            <w:r w:rsidRPr="00E61059">
              <w:rPr>
                <w:szCs w:val="24"/>
              </w:rPr>
              <w:t>FELs</w:t>
            </w:r>
            <w:proofErr w:type="spellEnd"/>
          </w:p>
        </w:tc>
        <w:tc>
          <w:tcPr>
            <w:tcW w:w="1439" w:type="pct"/>
            <w:vAlign w:val="center"/>
          </w:tcPr>
          <w:p w:rsidR="00761B4A" w:rsidRPr="00E61059" w:rsidRDefault="00087356" w:rsidP="00E61059">
            <w:pPr>
              <w:spacing w:before="0" w:after="0"/>
              <w:ind w:firstLine="0"/>
              <w:rPr>
                <w:szCs w:val="24"/>
              </w:rPr>
            </w:pPr>
            <w:r w:rsidRPr="00E61059">
              <w:rPr>
                <w:szCs w:val="24"/>
              </w:rPr>
              <w:t>1037</w:t>
            </w:r>
            <w:r w:rsidR="00761B4A" w:rsidRPr="00E61059">
              <w:rPr>
                <w:szCs w:val="24"/>
              </w:rPr>
              <w:t>.205(k)</w:t>
            </w:r>
          </w:p>
        </w:tc>
      </w:tr>
      <w:tr w:rsidR="00761B4A" w:rsidRPr="00E61059" w:rsidTr="00E61059">
        <w:trPr>
          <w:jc w:val="center"/>
        </w:trPr>
        <w:tc>
          <w:tcPr>
            <w:tcW w:w="3561" w:type="pct"/>
            <w:vAlign w:val="center"/>
          </w:tcPr>
          <w:p w:rsidR="00761B4A" w:rsidRPr="00E61059" w:rsidRDefault="00761B4A" w:rsidP="00E61059">
            <w:pPr>
              <w:spacing w:before="0" w:after="0"/>
              <w:ind w:firstLine="0"/>
              <w:rPr>
                <w:szCs w:val="24"/>
              </w:rPr>
            </w:pPr>
            <w:r w:rsidRPr="00E61059">
              <w:rPr>
                <w:szCs w:val="24"/>
              </w:rPr>
              <w:t xml:space="preserve">Provide information describing the procedures you used to determine trailer </w:t>
            </w:r>
            <w:proofErr w:type="spellStart"/>
            <w:r w:rsidRPr="00E61059">
              <w:rPr>
                <w:szCs w:val="24"/>
              </w:rPr>
              <w:t>C</w:t>
            </w:r>
            <w:r w:rsidRPr="00E61059">
              <w:rPr>
                <w:szCs w:val="24"/>
                <w:vertAlign w:val="subscript"/>
              </w:rPr>
              <w:t>D</w:t>
            </w:r>
            <w:r w:rsidRPr="00E61059">
              <w:rPr>
                <w:szCs w:val="24"/>
              </w:rPr>
              <w:t>A</w:t>
            </w:r>
            <w:proofErr w:type="spellEnd"/>
            <w:r w:rsidRPr="00E61059">
              <w:rPr>
                <w:szCs w:val="24"/>
              </w:rPr>
              <w:t xml:space="preserve"> values</w:t>
            </w:r>
          </w:p>
        </w:tc>
        <w:tc>
          <w:tcPr>
            <w:tcW w:w="1439" w:type="pct"/>
            <w:vAlign w:val="center"/>
          </w:tcPr>
          <w:p w:rsidR="00761B4A" w:rsidRPr="00E61059" w:rsidRDefault="00087356" w:rsidP="00E61059">
            <w:pPr>
              <w:spacing w:before="0" w:after="0"/>
              <w:ind w:firstLine="0"/>
              <w:rPr>
                <w:szCs w:val="24"/>
              </w:rPr>
            </w:pPr>
            <w:r w:rsidRPr="00E61059">
              <w:rPr>
                <w:szCs w:val="24"/>
              </w:rPr>
              <w:t>1037</w:t>
            </w:r>
            <w:r w:rsidR="00761B4A" w:rsidRPr="00E61059">
              <w:rPr>
                <w:szCs w:val="24"/>
              </w:rPr>
              <w:t>.525</w:t>
            </w:r>
          </w:p>
        </w:tc>
      </w:tr>
      <w:tr w:rsidR="00D143CB" w:rsidRPr="00E61059" w:rsidTr="00E61059">
        <w:trPr>
          <w:jc w:val="center"/>
        </w:trPr>
        <w:tc>
          <w:tcPr>
            <w:tcW w:w="3561" w:type="pct"/>
            <w:vAlign w:val="center"/>
          </w:tcPr>
          <w:p w:rsidR="00D143CB" w:rsidRPr="00E61059" w:rsidRDefault="00D143CB" w:rsidP="00E61059">
            <w:pPr>
              <w:widowControl/>
              <w:spacing w:before="0" w:after="0"/>
              <w:ind w:firstLine="0"/>
              <w:rPr>
                <w:szCs w:val="24"/>
              </w:rPr>
            </w:pPr>
            <w:r w:rsidRPr="00E61059">
              <w:rPr>
                <w:szCs w:val="24"/>
              </w:rPr>
              <w:t xml:space="preserve">Test trailers and provide </w:t>
            </w:r>
            <w:proofErr w:type="spellStart"/>
            <w:r w:rsidRPr="00E61059">
              <w:rPr>
                <w:szCs w:val="24"/>
              </w:rPr>
              <w:t>C</w:t>
            </w:r>
            <w:r w:rsidRPr="00E61059">
              <w:rPr>
                <w:szCs w:val="24"/>
                <w:vertAlign w:val="subscript"/>
              </w:rPr>
              <w:t>D</w:t>
            </w:r>
            <w:r w:rsidRPr="00E61059">
              <w:rPr>
                <w:szCs w:val="24"/>
              </w:rPr>
              <w:t>A</w:t>
            </w:r>
            <w:proofErr w:type="spellEnd"/>
            <w:r w:rsidRPr="00E61059">
              <w:rPr>
                <w:szCs w:val="24"/>
              </w:rPr>
              <w:t xml:space="preserve"> testing results OR</w:t>
            </w:r>
          </w:p>
        </w:tc>
        <w:tc>
          <w:tcPr>
            <w:tcW w:w="1439" w:type="pct"/>
            <w:vAlign w:val="center"/>
          </w:tcPr>
          <w:p w:rsidR="00D143CB" w:rsidRPr="00E61059" w:rsidRDefault="00087356" w:rsidP="00E61059">
            <w:pPr>
              <w:spacing w:before="0" w:after="0"/>
              <w:ind w:firstLine="0"/>
              <w:rPr>
                <w:szCs w:val="24"/>
              </w:rPr>
            </w:pPr>
            <w:r w:rsidRPr="00E61059">
              <w:rPr>
                <w:szCs w:val="24"/>
              </w:rPr>
              <w:t>1037</w:t>
            </w:r>
            <w:r w:rsidR="00D143CB" w:rsidRPr="00E61059">
              <w:rPr>
                <w:szCs w:val="24"/>
              </w:rPr>
              <w:t>.515(c)</w:t>
            </w:r>
          </w:p>
        </w:tc>
      </w:tr>
      <w:tr w:rsidR="00D143CB" w:rsidRPr="00E61059" w:rsidTr="00E61059">
        <w:trPr>
          <w:jc w:val="center"/>
        </w:trPr>
        <w:tc>
          <w:tcPr>
            <w:tcW w:w="3561" w:type="pct"/>
            <w:vAlign w:val="center"/>
          </w:tcPr>
          <w:p w:rsidR="00D143CB" w:rsidRPr="00E61059" w:rsidRDefault="00D143CB" w:rsidP="00E61059">
            <w:pPr>
              <w:pStyle w:val="ListParagraph"/>
              <w:widowControl/>
              <w:spacing w:before="0" w:after="0"/>
              <w:ind w:left="0" w:firstLine="0"/>
              <w:rPr>
                <w:szCs w:val="24"/>
              </w:rPr>
            </w:pPr>
            <w:r w:rsidRPr="00E61059">
              <w:rPr>
                <w:szCs w:val="24"/>
              </w:rPr>
              <w:t>Provide data on use pre-approved  devices OR</w:t>
            </w:r>
          </w:p>
        </w:tc>
        <w:tc>
          <w:tcPr>
            <w:tcW w:w="1439" w:type="pct"/>
            <w:vAlign w:val="center"/>
          </w:tcPr>
          <w:p w:rsidR="00D143CB" w:rsidRPr="00E61059" w:rsidRDefault="00087356" w:rsidP="00E61059">
            <w:pPr>
              <w:spacing w:before="0" w:after="0"/>
              <w:ind w:firstLine="0"/>
              <w:rPr>
                <w:szCs w:val="24"/>
              </w:rPr>
            </w:pPr>
            <w:r w:rsidRPr="00E61059">
              <w:rPr>
                <w:szCs w:val="24"/>
              </w:rPr>
              <w:t>1037</w:t>
            </w:r>
            <w:r w:rsidR="00D143CB" w:rsidRPr="00E61059">
              <w:rPr>
                <w:szCs w:val="24"/>
              </w:rPr>
              <w:t>.211</w:t>
            </w:r>
          </w:p>
        </w:tc>
      </w:tr>
      <w:tr w:rsidR="00D143CB" w:rsidRPr="00E61059" w:rsidTr="00E61059">
        <w:trPr>
          <w:jc w:val="center"/>
        </w:trPr>
        <w:tc>
          <w:tcPr>
            <w:tcW w:w="3561" w:type="pct"/>
            <w:vAlign w:val="center"/>
          </w:tcPr>
          <w:p w:rsidR="00D143CB" w:rsidRPr="00E61059" w:rsidRDefault="00D143CB" w:rsidP="00E61059">
            <w:pPr>
              <w:pStyle w:val="ListParagraph"/>
              <w:widowControl/>
              <w:spacing w:before="0" w:after="0"/>
              <w:ind w:left="0" w:firstLine="0"/>
              <w:rPr>
                <w:szCs w:val="24"/>
              </w:rPr>
            </w:pPr>
            <w:r w:rsidRPr="00E61059">
              <w:rPr>
                <w:szCs w:val="24"/>
              </w:rPr>
              <w:t>Provide carryover data</w:t>
            </w:r>
          </w:p>
        </w:tc>
        <w:tc>
          <w:tcPr>
            <w:tcW w:w="1439" w:type="pct"/>
            <w:vAlign w:val="center"/>
          </w:tcPr>
          <w:p w:rsidR="00D143CB" w:rsidRPr="00E61059" w:rsidRDefault="00087356" w:rsidP="00E61059">
            <w:pPr>
              <w:spacing w:before="0" w:after="0"/>
              <w:ind w:firstLine="0"/>
              <w:rPr>
                <w:szCs w:val="24"/>
              </w:rPr>
            </w:pPr>
            <w:r w:rsidRPr="00E61059">
              <w:rPr>
                <w:szCs w:val="24"/>
              </w:rPr>
              <w:t>1037</w:t>
            </w:r>
            <w:r w:rsidR="00D143CB" w:rsidRPr="00E61059">
              <w:rPr>
                <w:szCs w:val="24"/>
              </w:rPr>
              <w:t>.235(d)</w:t>
            </w:r>
          </w:p>
        </w:tc>
      </w:tr>
      <w:tr w:rsidR="00761B4A" w:rsidRPr="00E61059" w:rsidTr="00E61059">
        <w:trPr>
          <w:jc w:val="center"/>
        </w:trPr>
        <w:tc>
          <w:tcPr>
            <w:tcW w:w="3561" w:type="pct"/>
            <w:vAlign w:val="center"/>
          </w:tcPr>
          <w:p w:rsidR="00761B4A" w:rsidRPr="00E61059" w:rsidRDefault="00761B4A" w:rsidP="00E61059">
            <w:pPr>
              <w:spacing w:before="0" w:after="0"/>
              <w:ind w:firstLine="0"/>
              <w:rPr>
                <w:szCs w:val="24"/>
              </w:rPr>
            </w:pPr>
            <w:r w:rsidRPr="00E61059">
              <w:rPr>
                <w:szCs w:val="24"/>
              </w:rPr>
              <w:t xml:space="preserve">Determine </w:t>
            </w:r>
            <w:proofErr w:type="spellStart"/>
            <w:r w:rsidRPr="00E61059">
              <w:rPr>
                <w:szCs w:val="24"/>
              </w:rPr>
              <w:t>TRRL</w:t>
            </w:r>
            <w:proofErr w:type="spellEnd"/>
            <w:r w:rsidRPr="00E61059">
              <w:rPr>
                <w:szCs w:val="24"/>
              </w:rPr>
              <w:t xml:space="preserve"> and provide tire test data</w:t>
            </w:r>
          </w:p>
        </w:tc>
        <w:tc>
          <w:tcPr>
            <w:tcW w:w="1439" w:type="pct"/>
            <w:vAlign w:val="center"/>
          </w:tcPr>
          <w:p w:rsidR="00761B4A" w:rsidRPr="00E61059" w:rsidRDefault="00087356" w:rsidP="00E61059">
            <w:pPr>
              <w:spacing w:before="0" w:after="0"/>
              <w:ind w:firstLine="0"/>
              <w:rPr>
                <w:szCs w:val="24"/>
              </w:rPr>
            </w:pPr>
            <w:r w:rsidRPr="00E61059">
              <w:rPr>
                <w:szCs w:val="24"/>
              </w:rPr>
              <w:t>1037</w:t>
            </w:r>
            <w:r w:rsidR="00761B4A" w:rsidRPr="00E61059">
              <w:rPr>
                <w:szCs w:val="24"/>
              </w:rPr>
              <w:t>.515(b)</w:t>
            </w:r>
          </w:p>
        </w:tc>
      </w:tr>
      <w:tr w:rsidR="00761B4A" w:rsidRPr="00E61059" w:rsidTr="00E61059">
        <w:trPr>
          <w:jc w:val="center"/>
        </w:trPr>
        <w:tc>
          <w:tcPr>
            <w:tcW w:w="3561" w:type="pct"/>
            <w:vAlign w:val="center"/>
          </w:tcPr>
          <w:p w:rsidR="00761B4A" w:rsidRPr="00E61059" w:rsidRDefault="00761B4A" w:rsidP="00E61059">
            <w:pPr>
              <w:spacing w:before="0" w:after="0"/>
              <w:ind w:firstLine="0"/>
              <w:rPr>
                <w:szCs w:val="24"/>
              </w:rPr>
            </w:pPr>
            <w:r w:rsidRPr="00E61059">
              <w:rPr>
                <w:szCs w:val="24"/>
              </w:rPr>
              <w:t>Provide information on ATI system</w:t>
            </w:r>
          </w:p>
        </w:tc>
        <w:tc>
          <w:tcPr>
            <w:tcW w:w="1439" w:type="pct"/>
            <w:vAlign w:val="center"/>
          </w:tcPr>
          <w:p w:rsidR="00761B4A" w:rsidRPr="00E61059" w:rsidRDefault="00087356" w:rsidP="00114EA4">
            <w:pPr>
              <w:spacing w:before="0" w:after="0"/>
              <w:ind w:firstLine="0"/>
              <w:rPr>
                <w:szCs w:val="24"/>
              </w:rPr>
            </w:pPr>
            <w:r w:rsidRPr="00E61059">
              <w:rPr>
                <w:szCs w:val="24"/>
              </w:rPr>
              <w:t>1037</w:t>
            </w:r>
            <w:r w:rsidR="00761B4A" w:rsidRPr="00E61059">
              <w:rPr>
                <w:szCs w:val="24"/>
              </w:rPr>
              <w:t>.515</w:t>
            </w:r>
          </w:p>
        </w:tc>
      </w:tr>
      <w:tr w:rsidR="00761B4A" w:rsidRPr="00E61059" w:rsidTr="00E61059">
        <w:trPr>
          <w:jc w:val="center"/>
        </w:trPr>
        <w:tc>
          <w:tcPr>
            <w:tcW w:w="3561" w:type="pct"/>
            <w:vAlign w:val="center"/>
          </w:tcPr>
          <w:p w:rsidR="00761B4A" w:rsidRPr="00E61059" w:rsidRDefault="00761B4A" w:rsidP="00E61059">
            <w:pPr>
              <w:spacing w:before="0" w:after="0"/>
              <w:ind w:firstLine="0"/>
              <w:rPr>
                <w:szCs w:val="24"/>
              </w:rPr>
            </w:pPr>
            <w:r w:rsidRPr="00E61059">
              <w:rPr>
                <w:szCs w:val="24"/>
              </w:rPr>
              <w:t>Determine weight reduction and provide description</w:t>
            </w:r>
          </w:p>
        </w:tc>
        <w:tc>
          <w:tcPr>
            <w:tcW w:w="1439" w:type="pct"/>
            <w:vAlign w:val="center"/>
          </w:tcPr>
          <w:p w:rsidR="00761B4A" w:rsidRPr="00E61059" w:rsidRDefault="00087356" w:rsidP="00E61059">
            <w:pPr>
              <w:spacing w:before="0" w:after="0"/>
              <w:ind w:firstLine="0"/>
              <w:rPr>
                <w:szCs w:val="24"/>
              </w:rPr>
            </w:pPr>
            <w:r w:rsidRPr="00E61059">
              <w:rPr>
                <w:szCs w:val="24"/>
              </w:rPr>
              <w:t>1037</w:t>
            </w:r>
            <w:r w:rsidR="00761B4A" w:rsidRPr="00E61059">
              <w:rPr>
                <w:szCs w:val="24"/>
              </w:rPr>
              <w:t>.515(d)</w:t>
            </w:r>
          </w:p>
        </w:tc>
      </w:tr>
      <w:tr w:rsidR="00761B4A" w:rsidRPr="00E61059" w:rsidTr="00E61059">
        <w:trPr>
          <w:jc w:val="center"/>
        </w:trPr>
        <w:tc>
          <w:tcPr>
            <w:tcW w:w="3561" w:type="pct"/>
            <w:vAlign w:val="center"/>
          </w:tcPr>
          <w:p w:rsidR="00761B4A" w:rsidRPr="00E61059" w:rsidRDefault="00761B4A" w:rsidP="00E61059">
            <w:pPr>
              <w:spacing w:before="0" w:after="0"/>
              <w:ind w:firstLine="0"/>
              <w:rPr>
                <w:szCs w:val="24"/>
              </w:rPr>
            </w:pPr>
            <w:r w:rsidRPr="00E61059">
              <w:rPr>
                <w:szCs w:val="24"/>
              </w:rPr>
              <w:t>Calculate and provide CO</w:t>
            </w:r>
            <w:r w:rsidRPr="00E61059">
              <w:rPr>
                <w:szCs w:val="24"/>
                <w:vertAlign w:val="subscript"/>
              </w:rPr>
              <w:t>2</w:t>
            </w:r>
            <w:r w:rsidR="00D143CB" w:rsidRPr="00E61059">
              <w:rPr>
                <w:szCs w:val="24"/>
                <w:vertAlign w:val="subscript"/>
              </w:rPr>
              <w:t xml:space="preserve"> </w:t>
            </w:r>
            <w:r w:rsidRPr="00E61059">
              <w:rPr>
                <w:szCs w:val="24"/>
              </w:rPr>
              <w:t>and fuel consumption from compliance equation</w:t>
            </w:r>
          </w:p>
        </w:tc>
        <w:tc>
          <w:tcPr>
            <w:tcW w:w="1439" w:type="pct"/>
            <w:vAlign w:val="center"/>
          </w:tcPr>
          <w:p w:rsidR="00761B4A" w:rsidRPr="00E61059" w:rsidRDefault="00087356" w:rsidP="00E61059">
            <w:pPr>
              <w:spacing w:before="0" w:after="0"/>
              <w:ind w:firstLine="0"/>
              <w:rPr>
                <w:szCs w:val="24"/>
              </w:rPr>
            </w:pPr>
            <w:r w:rsidRPr="00E61059">
              <w:rPr>
                <w:szCs w:val="24"/>
              </w:rPr>
              <w:t>1037</w:t>
            </w:r>
            <w:r w:rsidR="00761B4A" w:rsidRPr="00E61059">
              <w:rPr>
                <w:szCs w:val="24"/>
              </w:rPr>
              <w:t>.515(a)</w:t>
            </w:r>
          </w:p>
        </w:tc>
      </w:tr>
      <w:tr w:rsidR="00761B4A" w:rsidRPr="00E61059" w:rsidTr="00E61059">
        <w:trPr>
          <w:jc w:val="center"/>
        </w:trPr>
        <w:tc>
          <w:tcPr>
            <w:tcW w:w="3561" w:type="pct"/>
            <w:vAlign w:val="center"/>
          </w:tcPr>
          <w:p w:rsidR="00761B4A" w:rsidRPr="00E61059" w:rsidRDefault="00761B4A" w:rsidP="00E61059">
            <w:pPr>
              <w:spacing w:before="0" w:after="0"/>
              <w:ind w:firstLine="0"/>
              <w:rPr>
                <w:szCs w:val="24"/>
              </w:rPr>
            </w:pPr>
            <w:r w:rsidRPr="00E61059">
              <w:rPr>
                <w:szCs w:val="24"/>
              </w:rPr>
              <w:t>Use averaging provisions to calculate average CO</w:t>
            </w:r>
            <w:r w:rsidRPr="00E61059">
              <w:rPr>
                <w:szCs w:val="24"/>
                <w:vertAlign w:val="subscript"/>
              </w:rPr>
              <w:t xml:space="preserve">2 </w:t>
            </w:r>
            <w:r w:rsidRPr="00E61059">
              <w:rPr>
                <w:szCs w:val="24"/>
              </w:rPr>
              <w:t xml:space="preserve">and fuel consumption </w:t>
            </w:r>
          </w:p>
        </w:tc>
        <w:tc>
          <w:tcPr>
            <w:tcW w:w="1439" w:type="pct"/>
            <w:vAlign w:val="center"/>
          </w:tcPr>
          <w:p w:rsidR="00761B4A" w:rsidRPr="00E61059" w:rsidRDefault="00114EA4" w:rsidP="000A7342">
            <w:pPr>
              <w:spacing w:before="0" w:after="0"/>
              <w:ind w:firstLine="0"/>
              <w:rPr>
                <w:szCs w:val="24"/>
              </w:rPr>
            </w:pPr>
            <w:r>
              <w:rPr>
                <w:szCs w:val="24"/>
              </w:rPr>
              <w:t>1037.7</w:t>
            </w:r>
            <w:r w:rsidR="000A7342">
              <w:rPr>
                <w:szCs w:val="24"/>
              </w:rPr>
              <w:t>05</w:t>
            </w:r>
          </w:p>
        </w:tc>
      </w:tr>
      <w:tr w:rsidR="00761B4A" w:rsidRPr="00E61059" w:rsidTr="00E61059">
        <w:trPr>
          <w:jc w:val="center"/>
        </w:trPr>
        <w:tc>
          <w:tcPr>
            <w:tcW w:w="3561" w:type="pct"/>
            <w:vAlign w:val="center"/>
          </w:tcPr>
          <w:p w:rsidR="00761B4A" w:rsidRPr="00E61059" w:rsidRDefault="00761B4A" w:rsidP="000A7342">
            <w:pPr>
              <w:spacing w:before="0" w:after="0"/>
              <w:ind w:firstLine="0"/>
              <w:rPr>
                <w:szCs w:val="24"/>
              </w:rPr>
            </w:pPr>
            <w:r w:rsidRPr="00E61059">
              <w:rPr>
                <w:szCs w:val="24"/>
              </w:rPr>
              <w:lastRenderedPageBreak/>
              <w:t>Prepare Final Production</w:t>
            </w:r>
          </w:p>
        </w:tc>
        <w:tc>
          <w:tcPr>
            <w:tcW w:w="1439" w:type="pct"/>
            <w:vAlign w:val="center"/>
          </w:tcPr>
          <w:p w:rsidR="00761B4A" w:rsidRPr="00E61059" w:rsidRDefault="002936FA" w:rsidP="002936FA">
            <w:pPr>
              <w:spacing w:before="0" w:after="0"/>
              <w:ind w:firstLine="0"/>
              <w:rPr>
                <w:szCs w:val="24"/>
              </w:rPr>
            </w:pPr>
            <w:r w:rsidRPr="00E61059">
              <w:rPr>
                <w:szCs w:val="24"/>
              </w:rPr>
              <w:t>1037.250</w:t>
            </w:r>
          </w:p>
        </w:tc>
      </w:tr>
      <w:tr w:rsidR="000A7342" w:rsidRPr="00E61059" w:rsidTr="00E61059">
        <w:trPr>
          <w:jc w:val="center"/>
        </w:trPr>
        <w:tc>
          <w:tcPr>
            <w:tcW w:w="3561" w:type="pct"/>
            <w:vAlign w:val="center"/>
          </w:tcPr>
          <w:p w:rsidR="000A7342" w:rsidRPr="00E61059" w:rsidRDefault="000A7342" w:rsidP="004E2E20">
            <w:pPr>
              <w:spacing w:before="0" w:after="0"/>
              <w:ind w:firstLine="0"/>
              <w:rPr>
                <w:szCs w:val="24"/>
              </w:rPr>
            </w:pPr>
            <w:r>
              <w:rPr>
                <w:szCs w:val="24"/>
              </w:rPr>
              <w:t>Prepare Final A</w:t>
            </w:r>
            <w:r w:rsidR="004E2E20">
              <w:rPr>
                <w:szCs w:val="24"/>
              </w:rPr>
              <w:t>veraging</w:t>
            </w:r>
            <w:r>
              <w:rPr>
                <w:szCs w:val="24"/>
              </w:rPr>
              <w:t xml:space="preserve"> Report</w:t>
            </w:r>
          </w:p>
        </w:tc>
        <w:tc>
          <w:tcPr>
            <w:tcW w:w="1439" w:type="pct"/>
            <w:vAlign w:val="center"/>
          </w:tcPr>
          <w:p w:rsidR="000A7342" w:rsidRPr="00E61059" w:rsidRDefault="000A7342" w:rsidP="00E61059">
            <w:pPr>
              <w:spacing w:before="0" w:after="0"/>
              <w:ind w:firstLine="0"/>
              <w:rPr>
                <w:szCs w:val="24"/>
              </w:rPr>
            </w:pPr>
            <w:r>
              <w:rPr>
                <w:szCs w:val="24"/>
              </w:rPr>
              <w:t>1037.730</w:t>
            </w:r>
          </w:p>
        </w:tc>
      </w:tr>
      <w:tr w:rsidR="00761B4A" w:rsidRPr="00E61059" w:rsidTr="00E61059">
        <w:trPr>
          <w:jc w:val="center"/>
        </w:trPr>
        <w:tc>
          <w:tcPr>
            <w:tcW w:w="3561" w:type="pct"/>
            <w:vAlign w:val="center"/>
          </w:tcPr>
          <w:p w:rsidR="00761B4A" w:rsidRPr="00E61059" w:rsidRDefault="00761B4A" w:rsidP="00E61059">
            <w:pPr>
              <w:spacing w:before="0" w:after="0"/>
              <w:ind w:firstLine="0"/>
              <w:rPr>
                <w:szCs w:val="24"/>
              </w:rPr>
            </w:pPr>
            <w:r w:rsidRPr="00E61059">
              <w:rPr>
                <w:szCs w:val="24"/>
              </w:rPr>
              <w:t>Maintain records</w:t>
            </w:r>
          </w:p>
        </w:tc>
        <w:tc>
          <w:tcPr>
            <w:tcW w:w="1439" w:type="pct"/>
            <w:vAlign w:val="center"/>
          </w:tcPr>
          <w:p w:rsidR="00761B4A" w:rsidRPr="00E61059" w:rsidRDefault="00087356" w:rsidP="00E61059">
            <w:pPr>
              <w:spacing w:before="0" w:after="0"/>
              <w:ind w:firstLine="0"/>
              <w:rPr>
                <w:szCs w:val="24"/>
              </w:rPr>
            </w:pPr>
            <w:r w:rsidRPr="00E61059">
              <w:rPr>
                <w:szCs w:val="24"/>
              </w:rPr>
              <w:t>1037</w:t>
            </w:r>
            <w:r w:rsidR="00761B4A" w:rsidRPr="00E61059">
              <w:rPr>
                <w:szCs w:val="24"/>
              </w:rPr>
              <w:t>.250</w:t>
            </w:r>
          </w:p>
        </w:tc>
      </w:tr>
    </w:tbl>
    <w:p w:rsidR="00616B2B" w:rsidRDefault="00572792">
      <w:r>
        <w:t>I</w:t>
      </w:r>
      <w:r w:rsidR="00EC6949">
        <w:t xml:space="preserve">n the case of trailers, we propose that compliance be demonstrated with an equation that is based on </w:t>
      </w:r>
      <w:r w:rsidR="00902FD7">
        <w:t xml:space="preserve">and updated version of </w:t>
      </w:r>
      <w:r w:rsidR="00EC6949">
        <w:t>GEM, but without the need for trailer manufacturers to run GEM for compliance</w:t>
      </w:r>
      <w:r>
        <w:t xml:space="preserve"> (as is required for tractors and vocational vehicles)</w:t>
      </w:r>
      <w:r w:rsidR="00EC6949">
        <w:t xml:space="preserve">.  Under the proposed rule, trailer manufacturers would apply performance values for improvements in aerodynamic drag, tire rolling resistance, and as well as values for use of weight-reducing components and automatic tire inflation systems.   </w:t>
      </w:r>
    </w:p>
    <w:p w:rsidR="00414691" w:rsidRDefault="00414691">
      <w:r>
        <w:t xml:space="preserve">To determine </w:t>
      </w:r>
      <w:r w:rsidR="00D65CE9">
        <w:t>a value for the</w:t>
      </w:r>
      <w:r>
        <w:t xml:space="preserve"> </w:t>
      </w:r>
      <w:r w:rsidR="00D65CE9">
        <w:t xml:space="preserve">aerodynamic drag improvement to use in the compliance equation, manufacturers would have the option of </w:t>
      </w:r>
      <w:r w:rsidR="00902FD7">
        <w:t>testing their trailer’s aerodynamic performance</w:t>
      </w:r>
      <w:r w:rsidR="00D65CE9">
        <w:t xml:space="preserve">.  </w:t>
      </w:r>
      <w:r w:rsidR="00902FD7">
        <w:t>Alternatively</w:t>
      </w:r>
      <w:r w:rsidR="00D65CE9">
        <w:t>, we propose that a manufacturer could use “pre-approved” devices</w:t>
      </w:r>
      <w:r w:rsidR="00A563E7">
        <w:t>,</w:t>
      </w:r>
      <w:r w:rsidR="00D65CE9">
        <w:t xml:space="preserve"> for which the device manufacturer had previously performed </w:t>
      </w:r>
      <w:r w:rsidR="00A563E7">
        <w:t xml:space="preserve">appropriate </w:t>
      </w:r>
      <w:r w:rsidR="00D65CE9">
        <w:t xml:space="preserve">testing.  Because of the convenience and economy of using pre-approved devices, we expect that </w:t>
      </w:r>
      <w:r w:rsidR="003D5140">
        <w:t xml:space="preserve">most </w:t>
      </w:r>
      <w:r w:rsidR="00D65CE9">
        <w:t>manufacturers would use this compliance approach</w:t>
      </w:r>
      <w:r w:rsidR="003D5140">
        <w:t xml:space="preserve"> and only six of the largest box trailer manufacturers would perform their own testing.</w:t>
      </w:r>
      <w:r w:rsidR="00D65CE9">
        <w:t xml:space="preserve"> </w:t>
      </w:r>
    </w:p>
    <w:p w:rsidR="00194793" w:rsidRDefault="00D65CE9">
      <w:r>
        <w:t xml:space="preserve">For </w:t>
      </w:r>
      <w:r w:rsidR="00A563E7">
        <w:t xml:space="preserve">the </w:t>
      </w:r>
      <w:r w:rsidR="00156671">
        <w:t>large box trailer</w:t>
      </w:r>
      <w:r w:rsidR="00A563E7">
        <w:t xml:space="preserve"> </w:t>
      </w:r>
      <w:r>
        <w:t xml:space="preserve">manufacturers that choose to perform their own </w:t>
      </w:r>
      <w:r w:rsidR="00A563E7">
        <w:t xml:space="preserve">aerodynamic </w:t>
      </w:r>
      <w:r>
        <w:t xml:space="preserve">testing, the agencies are proposing four optional test procedures could be used to establish the aerodynamic drag </w:t>
      </w:r>
      <w:r w:rsidR="00A563E7">
        <w:t xml:space="preserve">improvement from the addition of aerodynamic devices.  The procedures are </w:t>
      </w:r>
      <w:proofErr w:type="spellStart"/>
      <w:r w:rsidR="00784CA0">
        <w:t>coastdown</w:t>
      </w:r>
      <w:proofErr w:type="spellEnd"/>
      <w:r w:rsidR="00A563E7">
        <w:t>, constant speed, wind tunnel, and computational fluid dynamics (</w:t>
      </w:r>
      <w:proofErr w:type="spellStart"/>
      <w:r w:rsidR="00A563E7">
        <w:t>CFD</w:t>
      </w:r>
      <w:proofErr w:type="spellEnd"/>
      <w:r w:rsidR="00A563E7">
        <w:t xml:space="preserve">).  Each of these test methods has unique cost and practical advantages and disadvantages, and these could apply somewhat differently from manufacturer to manufacturer.  </w:t>
      </w:r>
      <w:r w:rsidR="00042415">
        <w:t>We expect that t</w:t>
      </w:r>
      <w:r w:rsidR="007C3380">
        <w:t xml:space="preserve">he remaining box trailer manufacturers (three large and five small manufacturers) would rely on pre-approved devices for their aerodynamic performance data.  Of the </w:t>
      </w:r>
      <w:r w:rsidR="00A563E7">
        <w:t xml:space="preserve">manufacturers </w:t>
      </w:r>
      <w:r w:rsidR="007C3380">
        <w:t xml:space="preserve">that choose to perform testing, we estimate that they </w:t>
      </w:r>
      <w:r w:rsidR="00A563E7">
        <w:t xml:space="preserve">would tend to use wind tunnel </w:t>
      </w:r>
      <w:r w:rsidR="007C3380">
        <w:t xml:space="preserve">and </w:t>
      </w:r>
      <w:proofErr w:type="spellStart"/>
      <w:r w:rsidR="007C3380">
        <w:t>CFD</w:t>
      </w:r>
      <w:proofErr w:type="spellEnd"/>
      <w:r w:rsidR="007C3380">
        <w:t xml:space="preserve"> </w:t>
      </w:r>
      <w:r w:rsidR="00A563E7">
        <w:t>testing most often</w:t>
      </w:r>
      <w:r w:rsidR="007C3380">
        <w:t xml:space="preserve">.  </w:t>
      </w:r>
    </w:p>
    <w:p w:rsidR="00AA2975" w:rsidRDefault="00A563E7" w:rsidP="00EC6949">
      <w:pPr>
        <w:rPr>
          <w:color w:val="000000" w:themeColor="text1"/>
        </w:rPr>
      </w:pPr>
      <w:r>
        <w:rPr>
          <w:color w:val="000000" w:themeColor="text1"/>
        </w:rPr>
        <w:t>For complian</w:t>
      </w:r>
      <w:r w:rsidR="001E7187">
        <w:rPr>
          <w:color w:val="000000" w:themeColor="text1"/>
        </w:rPr>
        <w:t>ce with the tire rolling resistance</w:t>
      </w:r>
      <w:r>
        <w:rPr>
          <w:color w:val="000000" w:themeColor="text1"/>
        </w:rPr>
        <w:t xml:space="preserve"> standards, we believe </w:t>
      </w:r>
      <w:r w:rsidR="00AA2975">
        <w:rPr>
          <w:color w:val="000000" w:themeColor="text1"/>
        </w:rPr>
        <w:t xml:space="preserve">that </w:t>
      </w:r>
      <w:r>
        <w:rPr>
          <w:color w:val="000000" w:themeColor="text1"/>
        </w:rPr>
        <w:t xml:space="preserve">essentially all manufacturers would rely on test data on their trailer tires provided by the </w:t>
      </w:r>
      <w:r w:rsidR="00AA2975">
        <w:rPr>
          <w:color w:val="000000" w:themeColor="text1"/>
        </w:rPr>
        <w:t xml:space="preserve">tire manufactures.  In this analysis, </w:t>
      </w:r>
      <w:r w:rsidR="003A7A4E">
        <w:rPr>
          <w:color w:val="000000" w:themeColor="text1"/>
        </w:rPr>
        <w:t>assume the five largest trailer manufacturers would contract one tire test per year.  W</w:t>
      </w:r>
      <w:r w:rsidR="00AA2975">
        <w:rPr>
          <w:color w:val="000000" w:themeColor="text1"/>
        </w:rPr>
        <w:t>e</w:t>
      </w:r>
      <w:r w:rsidR="003A7A4E">
        <w:rPr>
          <w:color w:val="000000" w:themeColor="text1"/>
        </w:rPr>
        <w:t xml:space="preserve"> also</w:t>
      </w:r>
      <w:r w:rsidR="00AA2975">
        <w:rPr>
          <w:color w:val="000000" w:themeColor="text1"/>
        </w:rPr>
        <w:t xml:space="preserve"> account for a small administrative burden for the manufacturer to obtain and report the tire rolling resistance numbers for the tires they provide on their trailers. </w:t>
      </w:r>
    </w:p>
    <w:p w:rsidR="00AA2975" w:rsidRDefault="00AA2975" w:rsidP="00EC6949">
      <w:pPr>
        <w:rPr>
          <w:color w:val="000000" w:themeColor="text1"/>
        </w:rPr>
      </w:pPr>
      <w:r>
        <w:rPr>
          <w:color w:val="000000" w:themeColor="text1"/>
        </w:rPr>
        <w:t xml:space="preserve">Finally, </w:t>
      </w:r>
      <w:r w:rsidR="005D4340">
        <w:rPr>
          <w:color w:val="000000" w:themeColor="text1"/>
        </w:rPr>
        <w:t>we are proposing that all trailers subject to the Phase 2 program incorporate appropriate automatic tire inflation (ATI) systems.  W</w:t>
      </w:r>
      <w:r>
        <w:rPr>
          <w:color w:val="000000" w:themeColor="text1"/>
        </w:rPr>
        <w:t>e do not assign an administrative cost</w:t>
      </w:r>
      <w:r w:rsidR="00572792">
        <w:rPr>
          <w:color w:val="000000" w:themeColor="text1"/>
        </w:rPr>
        <w:t xml:space="preserve"> for manufacture</w:t>
      </w:r>
      <w:r w:rsidR="002977CF">
        <w:rPr>
          <w:color w:val="000000" w:themeColor="text1"/>
        </w:rPr>
        <w:t>r</w:t>
      </w:r>
      <w:r w:rsidR="00572792">
        <w:rPr>
          <w:color w:val="000000" w:themeColor="text1"/>
        </w:rPr>
        <w:t xml:space="preserve">s to simply report that their </w:t>
      </w:r>
      <w:r>
        <w:rPr>
          <w:color w:val="000000" w:themeColor="text1"/>
        </w:rPr>
        <w:t>famil</w:t>
      </w:r>
      <w:r w:rsidR="00572792">
        <w:rPr>
          <w:color w:val="000000" w:themeColor="text1"/>
        </w:rPr>
        <w:t xml:space="preserve">ies incorporate ATI systems.  </w:t>
      </w:r>
    </w:p>
    <w:p w:rsidR="00194793" w:rsidRDefault="00194793" w:rsidP="00194793">
      <w:r>
        <w:t xml:space="preserve">In 2017, large trailer manufacturers are expected to have costs associated with reviewing the regulations and guidance documents, performing some preliminary aerodynamic testing and acquiring the new equipment and software needed to begin labeling and certifying their trailers the following year.  The labeling and certification costs include some capital startup costs as well as labor.  Costs in 2017 are expected to average $127,000 for the large manufacturers.  The program begins in 2018 for large manufacturers, and additional costs are included for data </w:t>
      </w:r>
      <w:r>
        <w:lastRenderedPageBreak/>
        <w:t xml:space="preserve">collection, report preparation, and recordkeeping.  Some additional testing is also expected for a few of the large manufacturers.  Costs in 2018 are expected to average $128,000 for the large manufacturers, and we expect these costs to remain the same in 2019, since the standards and compliance requirements are stable until </w:t>
      </w:r>
      <w:r w:rsidR="0056372C">
        <w:t xml:space="preserve">model year </w:t>
      </w:r>
      <w:r>
        <w:t xml:space="preserve">2021.  </w:t>
      </w:r>
    </w:p>
    <w:p w:rsidR="00194793" w:rsidRDefault="00194793" w:rsidP="00EC6949">
      <w:pPr>
        <w:rPr>
          <w:color w:val="000000" w:themeColor="text1"/>
        </w:rPr>
      </w:pPr>
      <w:r>
        <w:t>We assume all small business manufacturers will use the one-year delay in implementation offered in the proposed rule, and as a result, they would not begin their program until 2019.  Therefore, their only costs in 2017 are related to reviewing the regulations and we estimate those costs to average less than $9</w:t>
      </w:r>
      <w:r w:rsidR="00257FD6">
        <w:t>,</w:t>
      </w:r>
      <w:r>
        <w:t>000 for the small manufacturers.  In 2018, we expect small businesses to purchase the required equipment and software for labeling and certification in preparation for the following model year.  Those costs are reflected in both labor and capital startup costs.  We assume all small box trailer manufacturers will rely on pre-approved devices for their aerodynamic performance data and information from the tire manufacturers for their tire performance data.  Therefore we do not expect them to take on any costs for preliminary testing in 2018.  The 2018 small business trailer costs are expected to average $64,000.  In 2019 the compliance program would begin for small manufacturers, and additional costs are included for data collection, report preparation, and recordkeeping.  We continue to predict that small manufacturers would not perform testing for their aerodynamic and tire performance data.  The costs are expected to average $16,000 for small trailer manufacturers.</w:t>
      </w:r>
    </w:p>
    <w:p w:rsidR="005A63AF" w:rsidRDefault="00894FB4">
      <w:pPr>
        <w:pStyle w:val="Heading2"/>
        <w:rPr>
          <w:color w:val="000000" w:themeColor="text1"/>
        </w:rPr>
      </w:pPr>
      <w:r w:rsidRPr="00894FB4">
        <w:rPr>
          <w:color w:val="000000" w:themeColor="text1"/>
        </w:rPr>
        <w:t>Respondent Activities</w:t>
      </w:r>
    </w:p>
    <w:p w:rsidR="00F51EEF" w:rsidRPr="00D049CA" w:rsidRDefault="00894FB4" w:rsidP="00FC7980">
      <w:pPr>
        <w:rPr>
          <w:color w:val="000000" w:themeColor="text1"/>
        </w:rPr>
      </w:pPr>
      <w:r w:rsidRPr="00894FB4">
        <w:rPr>
          <w:color w:val="000000" w:themeColor="text1"/>
        </w:rPr>
        <w:t>The types of activities a manufacturer would do to certify an engine or vehicle family are as follows:</w:t>
      </w:r>
    </w:p>
    <w:p w:rsidR="00F51EEF" w:rsidRPr="00D049CA" w:rsidRDefault="00894FB4" w:rsidP="00C47B23">
      <w:pPr>
        <w:pStyle w:val="BulletList"/>
        <w:ind w:left="1080"/>
        <w:rPr>
          <w:color w:val="000000" w:themeColor="text1"/>
        </w:rPr>
      </w:pPr>
      <w:r w:rsidRPr="00894FB4">
        <w:rPr>
          <w:color w:val="000000" w:themeColor="text1"/>
        </w:rPr>
        <w:t>Review the regulations and guidance document</w:t>
      </w:r>
    </w:p>
    <w:p w:rsidR="00CE602A" w:rsidRPr="00D049CA" w:rsidRDefault="00894FB4" w:rsidP="00C47B23">
      <w:pPr>
        <w:pStyle w:val="BulletList"/>
        <w:ind w:left="1080"/>
        <w:rPr>
          <w:color w:val="000000" w:themeColor="text1"/>
        </w:rPr>
      </w:pPr>
      <w:r w:rsidRPr="00894FB4">
        <w:rPr>
          <w:color w:val="000000" w:themeColor="text1"/>
        </w:rPr>
        <w:t>Prepare and submit pre-model year reports or related production data for certification applications</w:t>
      </w:r>
    </w:p>
    <w:p w:rsidR="00F51EEF" w:rsidRPr="00D049CA" w:rsidRDefault="00894FB4" w:rsidP="00C47B23">
      <w:pPr>
        <w:pStyle w:val="BulletList"/>
        <w:ind w:left="1080"/>
        <w:rPr>
          <w:color w:val="000000" w:themeColor="text1"/>
        </w:rPr>
      </w:pPr>
      <w:r w:rsidRPr="00894FB4">
        <w:rPr>
          <w:color w:val="000000" w:themeColor="text1"/>
        </w:rPr>
        <w:t>Develop engine or vehicle “test” or “family” groups</w:t>
      </w:r>
    </w:p>
    <w:p w:rsidR="00F51EEF" w:rsidRPr="00D049CA" w:rsidRDefault="00894FB4" w:rsidP="00C47B23">
      <w:pPr>
        <w:pStyle w:val="BulletList"/>
        <w:ind w:left="1080"/>
        <w:rPr>
          <w:color w:val="000000" w:themeColor="text1"/>
        </w:rPr>
      </w:pPr>
      <w:r w:rsidRPr="00894FB4">
        <w:rPr>
          <w:color w:val="000000" w:themeColor="text1"/>
        </w:rPr>
        <w:t>Test engines and vehicles for compliance with emission and fuel consumption standards</w:t>
      </w:r>
    </w:p>
    <w:p w:rsidR="00E96F47" w:rsidRPr="00D049CA" w:rsidRDefault="00894FB4" w:rsidP="00C47B23">
      <w:pPr>
        <w:pStyle w:val="BulletList"/>
        <w:ind w:left="1080"/>
        <w:rPr>
          <w:color w:val="000000" w:themeColor="text1"/>
        </w:rPr>
      </w:pPr>
      <w:r w:rsidRPr="00894FB4">
        <w:rPr>
          <w:color w:val="000000" w:themeColor="text1"/>
        </w:rPr>
        <w:t xml:space="preserve">Gather and analyze test results </w:t>
      </w:r>
    </w:p>
    <w:p w:rsidR="00993C68" w:rsidRDefault="00894FB4" w:rsidP="00C47B23">
      <w:pPr>
        <w:pStyle w:val="BulletList"/>
        <w:ind w:left="1080"/>
        <w:rPr>
          <w:color w:val="000000" w:themeColor="text1"/>
        </w:rPr>
      </w:pPr>
      <w:r w:rsidRPr="00894FB4">
        <w:rPr>
          <w:color w:val="000000" w:themeColor="text1"/>
        </w:rPr>
        <w:t xml:space="preserve">Collect inputs and run GEM, as needed </w:t>
      </w:r>
    </w:p>
    <w:p w:rsidR="00156671" w:rsidRPr="00D049CA" w:rsidRDefault="00156671" w:rsidP="00C47B23">
      <w:pPr>
        <w:pStyle w:val="BulletList"/>
        <w:ind w:left="1080"/>
        <w:rPr>
          <w:color w:val="000000" w:themeColor="text1"/>
        </w:rPr>
      </w:pPr>
      <w:r>
        <w:rPr>
          <w:color w:val="000000" w:themeColor="text1"/>
        </w:rPr>
        <w:t>Apply for off-cycle credits</w:t>
      </w:r>
    </w:p>
    <w:p w:rsidR="00F51EEF" w:rsidRPr="00D049CA" w:rsidRDefault="00894FB4" w:rsidP="00C47B23">
      <w:pPr>
        <w:pStyle w:val="BulletList"/>
        <w:ind w:left="1080"/>
        <w:rPr>
          <w:color w:val="000000" w:themeColor="text1"/>
        </w:rPr>
      </w:pPr>
      <w:r w:rsidRPr="00894FB4">
        <w:rPr>
          <w:color w:val="000000" w:themeColor="text1"/>
        </w:rPr>
        <w:t>Submit the Application for Certification</w:t>
      </w:r>
      <w:r w:rsidR="00156671">
        <w:rPr>
          <w:color w:val="000000" w:themeColor="text1"/>
        </w:rPr>
        <w:t xml:space="preserve"> and Pre-Model Year Information</w:t>
      </w:r>
    </w:p>
    <w:p w:rsidR="001B41AA" w:rsidRPr="00D049CA" w:rsidRDefault="00894FB4" w:rsidP="00C47B23">
      <w:pPr>
        <w:pStyle w:val="BulletList"/>
        <w:ind w:left="1080"/>
        <w:rPr>
          <w:color w:val="000000" w:themeColor="text1"/>
        </w:rPr>
      </w:pPr>
      <w:r w:rsidRPr="00894FB4">
        <w:rPr>
          <w:color w:val="000000" w:themeColor="text1"/>
        </w:rPr>
        <w:t xml:space="preserve">Label certified </w:t>
      </w:r>
      <w:r w:rsidR="00AE1D53">
        <w:rPr>
          <w:color w:val="000000" w:themeColor="text1"/>
        </w:rPr>
        <w:t xml:space="preserve">engines or </w:t>
      </w:r>
      <w:r w:rsidRPr="00894FB4">
        <w:rPr>
          <w:color w:val="000000" w:themeColor="text1"/>
        </w:rPr>
        <w:t>vehicles</w:t>
      </w:r>
    </w:p>
    <w:p w:rsidR="00993C68" w:rsidRPr="00D049CA" w:rsidRDefault="00894FB4" w:rsidP="00C47B23">
      <w:pPr>
        <w:pStyle w:val="BulletList"/>
        <w:ind w:left="1080"/>
        <w:rPr>
          <w:color w:val="000000" w:themeColor="text1"/>
        </w:rPr>
      </w:pPr>
      <w:r w:rsidRPr="00894FB4">
        <w:rPr>
          <w:color w:val="000000" w:themeColor="text1"/>
        </w:rPr>
        <w:t>Prepare and submit carryover applications</w:t>
      </w:r>
    </w:p>
    <w:p w:rsidR="00993C68" w:rsidRPr="00D049CA" w:rsidRDefault="00894FB4" w:rsidP="00C47B23">
      <w:pPr>
        <w:pStyle w:val="BulletList"/>
        <w:ind w:left="1080"/>
        <w:rPr>
          <w:color w:val="000000" w:themeColor="text1"/>
        </w:rPr>
      </w:pPr>
      <w:r w:rsidRPr="00894FB4">
        <w:rPr>
          <w:color w:val="000000" w:themeColor="text1"/>
        </w:rPr>
        <w:t>Prepare GHG compliance plan and reports, as needed</w:t>
      </w:r>
    </w:p>
    <w:p w:rsidR="009146AA" w:rsidRPr="00D049CA" w:rsidRDefault="00894FB4" w:rsidP="00C47B23">
      <w:pPr>
        <w:pStyle w:val="BulletList"/>
        <w:ind w:left="1080"/>
        <w:rPr>
          <w:color w:val="000000" w:themeColor="text1"/>
        </w:rPr>
      </w:pPr>
      <w:r w:rsidRPr="00894FB4">
        <w:rPr>
          <w:color w:val="000000" w:themeColor="text1"/>
        </w:rPr>
        <w:t xml:space="preserve">Prepare and submit </w:t>
      </w:r>
      <w:r w:rsidR="002936FA">
        <w:rPr>
          <w:color w:val="000000" w:themeColor="text1"/>
        </w:rPr>
        <w:t>final</w:t>
      </w:r>
      <w:r w:rsidRPr="00894FB4">
        <w:rPr>
          <w:color w:val="000000" w:themeColor="text1"/>
        </w:rPr>
        <w:t xml:space="preserve"> </w:t>
      </w:r>
      <w:r w:rsidR="00156671">
        <w:rPr>
          <w:color w:val="000000" w:themeColor="text1"/>
        </w:rPr>
        <w:t xml:space="preserve">ABT and </w:t>
      </w:r>
      <w:r w:rsidR="002936FA">
        <w:rPr>
          <w:color w:val="000000" w:themeColor="text1"/>
        </w:rPr>
        <w:t>p</w:t>
      </w:r>
      <w:r w:rsidRPr="00894FB4">
        <w:rPr>
          <w:color w:val="000000" w:themeColor="text1"/>
        </w:rPr>
        <w:t>roduction reports</w:t>
      </w:r>
    </w:p>
    <w:p w:rsidR="009B0A05" w:rsidRPr="00D049CA" w:rsidRDefault="00894FB4" w:rsidP="00C47B23">
      <w:pPr>
        <w:pStyle w:val="BulletList"/>
        <w:ind w:left="1080"/>
        <w:rPr>
          <w:color w:val="000000" w:themeColor="text1"/>
        </w:rPr>
      </w:pPr>
      <w:r w:rsidRPr="00894FB4">
        <w:rPr>
          <w:color w:val="000000" w:themeColor="text1"/>
        </w:rPr>
        <w:t>Store, file and maintain records</w:t>
      </w:r>
    </w:p>
    <w:p w:rsidR="00E96F47" w:rsidRPr="00D049CA" w:rsidRDefault="00E96F47" w:rsidP="00FC7980">
      <w:pPr>
        <w:pStyle w:val="BulletList"/>
        <w:numPr>
          <w:ilvl w:val="0"/>
          <w:numId w:val="0"/>
        </w:numPr>
        <w:ind w:left="360"/>
        <w:rPr>
          <w:color w:val="000000" w:themeColor="text1"/>
        </w:rPr>
      </w:pPr>
    </w:p>
    <w:p w:rsidR="005A63AF" w:rsidRDefault="00894FB4" w:rsidP="001927A9">
      <w:pPr>
        <w:pStyle w:val="Heading1"/>
        <w:widowControl/>
        <w:rPr>
          <w:color w:val="000000" w:themeColor="text1"/>
        </w:rPr>
      </w:pPr>
      <w:r w:rsidRPr="00894FB4">
        <w:rPr>
          <w:color w:val="000000" w:themeColor="text1"/>
        </w:rPr>
        <w:lastRenderedPageBreak/>
        <w:t>The Information Collected--Agency Activities, Collection Methodology, and Information Management</w:t>
      </w:r>
    </w:p>
    <w:p w:rsidR="005A63AF" w:rsidRDefault="00894FB4">
      <w:pPr>
        <w:pStyle w:val="Heading2"/>
        <w:rPr>
          <w:color w:val="000000" w:themeColor="text1"/>
        </w:rPr>
      </w:pPr>
      <w:r w:rsidRPr="00894FB4">
        <w:rPr>
          <w:color w:val="000000" w:themeColor="text1"/>
        </w:rPr>
        <w:t>Agency Activities</w:t>
      </w:r>
    </w:p>
    <w:p w:rsidR="000362E7" w:rsidRPr="00D049CA" w:rsidRDefault="00894FB4" w:rsidP="00663184">
      <w:pPr>
        <w:rPr>
          <w:color w:val="000000" w:themeColor="text1"/>
        </w:rPr>
      </w:pPr>
      <w:r w:rsidRPr="00894FB4">
        <w:rPr>
          <w:color w:val="000000" w:themeColor="text1"/>
        </w:rPr>
        <w:t>As part of the implementation of the certification programs, EPA and NHTSA officials carry out the following activities:</w:t>
      </w:r>
    </w:p>
    <w:p w:rsidR="000362E7" w:rsidRPr="00D049CA" w:rsidRDefault="00894FB4" w:rsidP="001F71DC">
      <w:pPr>
        <w:pStyle w:val="BulletList"/>
        <w:widowControl/>
        <w:ind w:left="1080"/>
        <w:rPr>
          <w:color w:val="000000" w:themeColor="text1"/>
        </w:rPr>
      </w:pPr>
      <w:r w:rsidRPr="00894FB4">
        <w:rPr>
          <w:color w:val="000000" w:themeColor="text1"/>
        </w:rPr>
        <w:t>Review and interpret regulations, provide guidance</w:t>
      </w:r>
    </w:p>
    <w:p w:rsidR="000362E7" w:rsidRPr="00D049CA" w:rsidRDefault="00894FB4" w:rsidP="00C47B23">
      <w:pPr>
        <w:pStyle w:val="BulletList"/>
        <w:ind w:left="1080"/>
        <w:rPr>
          <w:color w:val="000000" w:themeColor="text1"/>
        </w:rPr>
      </w:pPr>
      <w:r w:rsidRPr="00894FB4">
        <w:rPr>
          <w:color w:val="000000" w:themeColor="text1"/>
        </w:rPr>
        <w:t>Review certification applications for completeness and accuracy</w:t>
      </w:r>
    </w:p>
    <w:p w:rsidR="000362E7" w:rsidRPr="00D049CA" w:rsidRDefault="00894FB4" w:rsidP="00C47B23">
      <w:pPr>
        <w:pStyle w:val="BulletList"/>
        <w:ind w:left="1080"/>
        <w:rPr>
          <w:color w:val="000000" w:themeColor="text1"/>
        </w:rPr>
      </w:pPr>
      <w:r w:rsidRPr="00894FB4">
        <w:rPr>
          <w:color w:val="000000" w:themeColor="text1"/>
        </w:rPr>
        <w:t>Verify that the correct engines and vehicles have been selected and tested</w:t>
      </w:r>
    </w:p>
    <w:p w:rsidR="000362E7" w:rsidRPr="00D049CA" w:rsidRDefault="00894FB4" w:rsidP="00C47B23">
      <w:pPr>
        <w:pStyle w:val="BulletList"/>
        <w:ind w:left="1080"/>
        <w:rPr>
          <w:color w:val="000000" w:themeColor="text1"/>
        </w:rPr>
      </w:pPr>
      <w:r w:rsidRPr="00894FB4">
        <w:rPr>
          <w:color w:val="000000" w:themeColor="text1"/>
        </w:rPr>
        <w:t>Answer questions from manufacturers and the public</w:t>
      </w:r>
    </w:p>
    <w:p w:rsidR="000362E7" w:rsidRPr="00D049CA" w:rsidRDefault="00894FB4" w:rsidP="00C47B23">
      <w:pPr>
        <w:pStyle w:val="BulletList"/>
        <w:ind w:left="1080"/>
        <w:rPr>
          <w:color w:val="000000" w:themeColor="text1"/>
        </w:rPr>
      </w:pPr>
      <w:r w:rsidRPr="00894FB4">
        <w:rPr>
          <w:color w:val="000000" w:themeColor="text1"/>
        </w:rPr>
        <w:t xml:space="preserve">Issue appropriate certificates of conformity </w:t>
      </w:r>
      <w:r w:rsidRPr="00894FB4">
        <w:rPr>
          <w:color w:val="000000" w:themeColor="text1"/>
        </w:rPr>
        <w:tab/>
      </w:r>
      <w:r w:rsidRPr="00894FB4">
        <w:rPr>
          <w:color w:val="000000" w:themeColor="text1"/>
        </w:rPr>
        <w:tab/>
      </w:r>
    </w:p>
    <w:p w:rsidR="000362E7" w:rsidRPr="00D049CA" w:rsidRDefault="00894FB4" w:rsidP="00C47B23">
      <w:pPr>
        <w:pStyle w:val="BulletList"/>
        <w:ind w:left="1080"/>
        <w:rPr>
          <w:color w:val="000000" w:themeColor="text1"/>
        </w:rPr>
      </w:pPr>
      <w:r w:rsidRPr="00894FB4">
        <w:rPr>
          <w:color w:val="000000" w:themeColor="text1"/>
        </w:rPr>
        <w:t>Periodically perform maintenance or enhance the database</w:t>
      </w:r>
    </w:p>
    <w:p w:rsidR="00F72B56" w:rsidRPr="00D049CA" w:rsidRDefault="00894FB4" w:rsidP="00C47B23">
      <w:pPr>
        <w:pStyle w:val="BulletList"/>
        <w:ind w:left="1080"/>
        <w:rPr>
          <w:color w:val="000000" w:themeColor="text1"/>
        </w:rPr>
      </w:pPr>
      <w:r w:rsidRPr="00894FB4">
        <w:rPr>
          <w:color w:val="000000" w:themeColor="text1"/>
        </w:rPr>
        <w:t>Make data available to the public</w:t>
      </w:r>
    </w:p>
    <w:p w:rsidR="000362E7" w:rsidRPr="00D049CA" w:rsidRDefault="00894FB4" w:rsidP="00C47B23">
      <w:pPr>
        <w:pStyle w:val="BulletList"/>
        <w:ind w:left="1080"/>
        <w:rPr>
          <w:color w:val="000000" w:themeColor="text1"/>
        </w:rPr>
      </w:pPr>
      <w:r w:rsidRPr="00894FB4">
        <w:rPr>
          <w:color w:val="000000" w:themeColor="text1"/>
        </w:rPr>
        <w:t>Analyze and manage requests for confidentiality</w:t>
      </w:r>
    </w:p>
    <w:p w:rsidR="000362E7" w:rsidRDefault="00894FB4" w:rsidP="00C47B23">
      <w:pPr>
        <w:pStyle w:val="BulletList"/>
        <w:ind w:left="1080"/>
        <w:rPr>
          <w:color w:val="000000" w:themeColor="text1"/>
        </w:rPr>
      </w:pPr>
      <w:r w:rsidRPr="00894FB4">
        <w:rPr>
          <w:color w:val="000000" w:themeColor="text1"/>
        </w:rPr>
        <w:t>Determin</w:t>
      </w:r>
      <w:r w:rsidR="00257FD6">
        <w:rPr>
          <w:color w:val="000000" w:themeColor="text1"/>
        </w:rPr>
        <w:t>e</w:t>
      </w:r>
      <w:r w:rsidRPr="00894FB4">
        <w:rPr>
          <w:color w:val="000000" w:themeColor="text1"/>
        </w:rPr>
        <w:t xml:space="preserve"> if “carry over” of data from a previous model year is appropriate or if new testing will be required</w:t>
      </w:r>
    </w:p>
    <w:p w:rsidR="00257FD6" w:rsidRPr="00D049CA" w:rsidRDefault="00257FD6" w:rsidP="00C47B23">
      <w:pPr>
        <w:pStyle w:val="BulletList"/>
        <w:ind w:left="1080"/>
        <w:rPr>
          <w:color w:val="000000" w:themeColor="text1"/>
        </w:rPr>
      </w:pPr>
      <w:r>
        <w:rPr>
          <w:color w:val="000000" w:themeColor="text1"/>
        </w:rPr>
        <w:t>Audit data, conduct inspections, and confirmatory testing</w:t>
      </w:r>
    </w:p>
    <w:p w:rsidR="009146AA" w:rsidRPr="00D049CA" w:rsidRDefault="00894FB4" w:rsidP="00C47B23">
      <w:pPr>
        <w:pStyle w:val="BulletList"/>
        <w:ind w:left="1080"/>
        <w:rPr>
          <w:color w:val="000000" w:themeColor="text1"/>
        </w:rPr>
      </w:pPr>
      <w:r w:rsidRPr="00894FB4">
        <w:rPr>
          <w:color w:val="000000" w:themeColor="text1"/>
        </w:rPr>
        <w:t xml:space="preserve">Review </w:t>
      </w:r>
      <w:r w:rsidR="00E21C61">
        <w:rPr>
          <w:color w:val="000000" w:themeColor="text1"/>
        </w:rPr>
        <w:t>final</w:t>
      </w:r>
      <w:r w:rsidRPr="00894FB4">
        <w:rPr>
          <w:color w:val="000000" w:themeColor="text1"/>
        </w:rPr>
        <w:t xml:space="preserve"> production</w:t>
      </w:r>
      <w:r w:rsidR="00257FD6">
        <w:rPr>
          <w:color w:val="000000" w:themeColor="text1"/>
        </w:rPr>
        <w:t>/ABT</w:t>
      </w:r>
      <w:r w:rsidRPr="00894FB4">
        <w:rPr>
          <w:color w:val="000000" w:themeColor="text1"/>
        </w:rPr>
        <w:t xml:space="preserve"> reports</w:t>
      </w:r>
      <w:r w:rsidR="00257FD6">
        <w:rPr>
          <w:color w:val="000000" w:themeColor="text1"/>
        </w:rPr>
        <w:t>,</w:t>
      </w:r>
      <w:r w:rsidR="00257FD6" w:rsidRPr="00257FD6">
        <w:rPr>
          <w:color w:val="000000" w:themeColor="text1"/>
        </w:rPr>
        <w:t xml:space="preserve"> </w:t>
      </w:r>
      <w:r w:rsidR="00257FD6">
        <w:rPr>
          <w:color w:val="000000" w:themeColor="text1"/>
        </w:rPr>
        <w:t>establish final credit balances, and maintain manufacturer’s credit accounts</w:t>
      </w:r>
    </w:p>
    <w:p w:rsidR="000362E7" w:rsidRPr="00D049CA" w:rsidRDefault="00894FB4" w:rsidP="00C47B23">
      <w:pPr>
        <w:pStyle w:val="BulletList"/>
        <w:ind w:left="1080"/>
        <w:rPr>
          <w:color w:val="000000" w:themeColor="text1"/>
        </w:rPr>
      </w:pPr>
      <w:r w:rsidRPr="00894FB4">
        <w:rPr>
          <w:color w:val="000000" w:themeColor="text1"/>
        </w:rPr>
        <w:t>Store, file and maintain data</w:t>
      </w:r>
    </w:p>
    <w:p w:rsidR="005A63AF" w:rsidRDefault="00894FB4">
      <w:pPr>
        <w:pStyle w:val="Heading2"/>
        <w:rPr>
          <w:color w:val="000000" w:themeColor="text1"/>
        </w:rPr>
      </w:pPr>
      <w:r w:rsidRPr="00894FB4">
        <w:rPr>
          <w:color w:val="000000" w:themeColor="text1"/>
        </w:rPr>
        <w:t>Collection Methodology and Management</w:t>
      </w:r>
    </w:p>
    <w:p w:rsidR="000362E7" w:rsidRPr="00D049CA" w:rsidRDefault="00894FB4" w:rsidP="00663184">
      <w:pPr>
        <w:rPr>
          <w:color w:val="000000" w:themeColor="text1"/>
        </w:rPr>
      </w:pPr>
      <w:r w:rsidRPr="00894FB4">
        <w:rPr>
          <w:color w:val="000000" w:themeColor="text1"/>
        </w:rPr>
        <w:t xml:space="preserve">EPA and NHTSA currently make extensive use of computers in collecting information from vehicle manufacturers.  Essentially all applications for certification and related product descriptions, test results, ABT and </w:t>
      </w:r>
      <w:r w:rsidR="00E21C61">
        <w:rPr>
          <w:color w:val="000000" w:themeColor="text1"/>
        </w:rPr>
        <w:t>final</w:t>
      </w:r>
      <w:r w:rsidRPr="00894FB4">
        <w:rPr>
          <w:color w:val="000000" w:themeColor="text1"/>
        </w:rPr>
        <w:t xml:space="preserve"> reports, etc. will be submitted electronically through a single point of entry to a database that both EPA and NHTSA can access.  Once the data </w:t>
      </w:r>
      <w:r w:rsidR="00E21C61">
        <w:rPr>
          <w:color w:val="000000" w:themeColor="text1"/>
        </w:rPr>
        <w:t>are</w:t>
      </w:r>
      <w:r w:rsidRPr="00894FB4">
        <w:rPr>
          <w:color w:val="000000" w:themeColor="text1"/>
        </w:rPr>
        <w:t xml:space="preserve"> received, the information is uploaded, monitored and reviewed for completeness by EPA and NHTSA.    </w:t>
      </w:r>
    </w:p>
    <w:p w:rsidR="000362E7" w:rsidRPr="00D049CA" w:rsidRDefault="00894FB4" w:rsidP="00663184">
      <w:pPr>
        <w:rPr>
          <w:color w:val="000000" w:themeColor="text1"/>
        </w:rPr>
      </w:pPr>
      <w:r w:rsidRPr="00894FB4">
        <w:rPr>
          <w:color w:val="000000" w:themeColor="text1"/>
        </w:rPr>
        <w:t>The public can access non-confidential portions of the certification applications and test data by contacting CD or through the Certification Information Center at</w:t>
      </w:r>
      <w:hyperlink r:id="rId8" w:history="1">
        <w:r w:rsidRPr="00894FB4">
          <w:rPr>
            <w:color w:val="000000" w:themeColor="text1"/>
          </w:rPr>
          <w:t xml:space="preserve"> http://www.epa.gov/otaq/certdata.htm</w:t>
        </w:r>
      </w:hyperlink>
      <w:r w:rsidR="000362E7" w:rsidRPr="00D049CA">
        <w:rPr>
          <w:color w:val="000000" w:themeColor="text1"/>
        </w:rPr>
        <w:t>.</w:t>
      </w:r>
    </w:p>
    <w:p w:rsidR="005A63AF" w:rsidRDefault="00894FB4">
      <w:pPr>
        <w:pStyle w:val="Heading2"/>
        <w:rPr>
          <w:color w:val="000000" w:themeColor="text1"/>
        </w:rPr>
      </w:pPr>
      <w:r w:rsidRPr="00894FB4">
        <w:rPr>
          <w:color w:val="000000" w:themeColor="text1"/>
        </w:rPr>
        <w:t>Small Entity Flexibility</w:t>
      </w:r>
    </w:p>
    <w:p w:rsidR="000362E7" w:rsidRPr="00D049CA" w:rsidRDefault="00894FB4" w:rsidP="00663184">
      <w:pPr>
        <w:rPr>
          <w:color w:val="000000" w:themeColor="text1"/>
        </w:rPr>
      </w:pPr>
      <w:r w:rsidRPr="00894FB4">
        <w:rPr>
          <w:color w:val="000000" w:themeColor="text1"/>
        </w:rPr>
        <w:t xml:space="preserve">As discussed in the preamble of the regulation, the respondent class for the years 2017 through 2019 is defined to exclude </w:t>
      </w:r>
      <w:r w:rsidR="0056372C">
        <w:rPr>
          <w:color w:val="000000" w:themeColor="text1"/>
        </w:rPr>
        <w:t>tractor, vocational, HD pickup truck and van, and engine</w:t>
      </w:r>
      <w:r w:rsidR="0056372C" w:rsidRPr="00894FB4">
        <w:rPr>
          <w:color w:val="000000" w:themeColor="text1"/>
        </w:rPr>
        <w:t xml:space="preserve"> </w:t>
      </w:r>
      <w:r w:rsidRPr="00894FB4">
        <w:rPr>
          <w:color w:val="000000" w:themeColor="text1"/>
        </w:rPr>
        <w:t xml:space="preserve">manufacturers who would fall into the definition of small business entities, except for a once-per-year declaration of small business status.  </w:t>
      </w:r>
      <w:r w:rsidR="00E3040A">
        <w:rPr>
          <w:color w:val="000000" w:themeColor="text1"/>
        </w:rPr>
        <w:t>The proposed EPA standards for trailers in the Phase 2 program would become effective in 2018</w:t>
      </w:r>
      <w:r w:rsidR="00257FD6" w:rsidRPr="00257FD6">
        <w:rPr>
          <w:color w:val="000000" w:themeColor="text1"/>
        </w:rPr>
        <w:t xml:space="preserve"> </w:t>
      </w:r>
      <w:r w:rsidR="00257FD6">
        <w:rPr>
          <w:color w:val="000000" w:themeColor="text1"/>
        </w:rPr>
        <w:t>and are voluntary for NHTSA through model year 2020</w:t>
      </w:r>
      <w:r w:rsidR="00E3040A">
        <w:rPr>
          <w:color w:val="000000" w:themeColor="text1"/>
        </w:rPr>
        <w:t xml:space="preserve">.  The respondent class in 2017 includes both large and small business trailer manufacturers.  However, the agencies are proposing a small business flexibility of a one-year </w:t>
      </w:r>
      <w:r w:rsidR="00E3040A">
        <w:rPr>
          <w:color w:val="000000" w:themeColor="text1"/>
        </w:rPr>
        <w:lastRenderedPageBreak/>
        <w:t xml:space="preserve">delay in implementation for small businesses and it is assumed that the only cost to small businesses in 2017 would be reviewing the regulations.  These small businesses would also be obligated to declare their small business status to the agencies.  </w:t>
      </w:r>
    </w:p>
    <w:p w:rsidR="005A63AF" w:rsidRDefault="00894FB4">
      <w:pPr>
        <w:pStyle w:val="Heading2"/>
        <w:rPr>
          <w:color w:val="000000" w:themeColor="text1"/>
        </w:rPr>
      </w:pPr>
      <w:r w:rsidRPr="00894FB4">
        <w:rPr>
          <w:color w:val="000000" w:themeColor="text1"/>
        </w:rPr>
        <w:t>Collection Schedule</w:t>
      </w:r>
    </w:p>
    <w:p w:rsidR="00425538" w:rsidRPr="00D049CA" w:rsidRDefault="00894FB4" w:rsidP="00663184">
      <w:pPr>
        <w:rPr>
          <w:color w:val="000000" w:themeColor="text1"/>
        </w:rPr>
      </w:pPr>
      <w:r w:rsidRPr="00894FB4">
        <w:rPr>
          <w:color w:val="000000" w:themeColor="text1"/>
        </w:rPr>
        <w:t xml:space="preserve">Information must be submitted prior to and after the end of each “model year” that a manufacturer intends to build (or import) vehicles.  For emissions and fuel consumption purposes, a “model year” is statutorily defined as the annual production period of a manufacturer, </w:t>
      </w:r>
      <w:r w:rsidR="00257FD6">
        <w:rPr>
          <w:color w:val="000000" w:themeColor="text1"/>
        </w:rPr>
        <w:t xml:space="preserve">which </w:t>
      </w:r>
      <w:r w:rsidR="00257FD6" w:rsidRPr="006F1362">
        <w:rPr>
          <w:color w:val="000000" w:themeColor="text1"/>
        </w:rPr>
        <w:t>include</w:t>
      </w:r>
      <w:r w:rsidR="00257FD6">
        <w:rPr>
          <w:color w:val="000000" w:themeColor="text1"/>
        </w:rPr>
        <w:t>s</w:t>
      </w:r>
      <w:r w:rsidR="00257FD6" w:rsidRPr="006F1362">
        <w:rPr>
          <w:color w:val="000000" w:themeColor="text1"/>
        </w:rPr>
        <w:t xml:space="preserve"> January 1 of the calendar year for which the model year is named, may not begin before January 2 of the previous calendar year, and it must end by December 31 of the named calendar year</w:t>
      </w:r>
      <w:r w:rsidRPr="00894FB4">
        <w:rPr>
          <w:color w:val="000000" w:themeColor="text1"/>
        </w:rPr>
        <w:t xml:space="preserve">.  </w:t>
      </w:r>
    </w:p>
    <w:p w:rsidR="000362E7" w:rsidRPr="00D049CA" w:rsidRDefault="00894FB4" w:rsidP="00663184">
      <w:pPr>
        <w:rPr>
          <w:strike/>
          <w:color w:val="000000" w:themeColor="text1"/>
        </w:rPr>
      </w:pPr>
      <w:r w:rsidRPr="00894FB4">
        <w:rPr>
          <w:color w:val="000000" w:themeColor="text1"/>
        </w:rPr>
        <w:t xml:space="preserve">During the model year, the results of such additional fuel consumption and greenhouse gas tests as the manufacturer conducts are also reported to EPA and NHTSA. After the end of the model year fleet-wide greenhouse gas emissions </w:t>
      </w:r>
      <w:r w:rsidR="00257FD6">
        <w:rPr>
          <w:color w:val="000000" w:themeColor="text1"/>
        </w:rPr>
        <w:t>and equivalent fuel consumption results</w:t>
      </w:r>
      <w:r w:rsidR="00257FD6" w:rsidRPr="00894FB4">
        <w:rPr>
          <w:color w:val="000000" w:themeColor="text1"/>
        </w:rPr>
        <w:t xml:space="preserve"> </w:t>
      </w:r>
      <w:r w:rsidRPr="00894FB4">
        <w:rPr>
          <w:color w:val="000000" w:themeColor="text1"/>
        </w:rPr>
        <w:t xml:space="preserve">are reported. If a product is unchanged between model years, much of the information can be “carried over.”  The collection frequency and burden are determined to a large extent by the manufacturer’s marketing and production plans.  However, as required by law, some submission is required for each model year’s production. </w:t>
      </w:r>
    </w:p>
    <w:p w:rsidR="005A63AF" w:rsidRDefault="00894FB4">
      <w:pPr>
        <w:pStyle w:val="Heading1"/>
        <w:rPr>
          <w:color w:val="000000" w:themeColor="text1"/>
        </w:rPr>
      </w:pPr>
      <w:r w:rsidRPr="00894FB4">
        <w:rPr>
          <w:color w:val="000000" w:themeColor="text1"/>
        </w:rPr>
        <w:t>Estimating the Burden and Cost of the Collection</w:t>
      </w:r>
    </w:p>
    <w:p w:rsidR="00F72B56" w:rsidRPr="00D049CA" w:rsidRDefault="007112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r>
        <w:fldChar w:fldCharType="begin"/>
      </w:r>
      <w:r>
        <w:instrText xml:space="preserve"> REF _Ref418854502 \h  \* MERGEFORMAT </w:instrText>
      </w:r>
      <w:r>
        <w:fldChar w:fldCharType="separate"/>
      </w:r>
      <w:r w:rsidR="00673E30" w:rsidRPr="00673E30">
        <w:rPr>
          <w:color w:val="000000" w:themeColor="text1"/>
        </w:rPr>
        <w:t xml:space="preserve">Table </w:t>
      </w:r>
      <w:r w:rsidR="00673E30" w:rsidRPr="00673E30">
        <w:rPr>
          <w:noProof/>
          <w:color w:val="000000" w:themeColor="text1"/>
        </w:rPr>
        <w:t>17</w:t>
      </w:r>
      <w:r>
        <w:fldChar w:fldCharType="end"/>
      </w:r>
      <w:r w:rsidR="00894FB4" w:rsidRPr="00894FB4">
        <w:rPr>
          <w:color w:val="000000" w:themeColor="text1"/>
        </w:rPr>
        <w:t xml:space="preserve"> through </w:t>
      </w:r>
      <w:r>
        <w:fldChar w:fldCharType="begin"/>
      </w:r>
      <w:r>
        <w:instrText xml:space="preserve"> REF _Ref419712990 \h  \* MERGEFORMAT </w:instrText>
      </w:r>
      <w:r>
        <w:fldChar w:fldCharType="separate"/>
      </w:r>
      <w:r w:rsidR="00673E30" w:rsidRPr="00673E30">
        <w:rPr>
          <w:noProof/>
          <w:color w:val="000000" w:themeColor="text1"/>
        </w:rPr>
        <w:t>Tab</w:t>
      </w:r>
      <w:r w:rsidR="00673E30" w:rsidRPr="00627B60">
        <w:rPr>
          <w:color w:val="000000" w:themeColor="text1"/>
          <w:sz w:val="20"/>
        </w:rPr>
        <w:t xml:space="preserve">le </w:t>
      </w:r>
      <w:r w:rsidR="00673E30" w:rsidRPr="00673E30">
        <w:rPr>
          <w:noProof/>
          <w:color w:val="000000" w:themeColor="text1"/>
        </w:rPr>
        <w:t>24</w:t>
      </w:r>
      <w:r>
        <w:fldChar w:fldCharType="end"/>
      </w:r>
      <w:r w:rsidR="00257FD6">
        <w:rPr>
          <w:color w:val="000000" w:themeColor="text1"/>
        </w:rPr>
        <w:t xml:space="preserve"> </w:t>
      </w:r>
      <w:r w:rsidR="00894FB4" w:rsidRPr="00894FB4">
        <w:rPr>
          <w:color w:val="000000" w:themeColor="text1"/>
        </w:rPr>
        <w:t>represent the costs for each year of the program for years 2017 through 2019.   These tables represent burdens and costs for manufacturers of HD engines and the four vehicle categories covered by the HD Phase 2 National Program.</w:t>
      </w:r>
    </w:p>
    <w:p w:rsidR="005A63AF" w:rsidRDefault="00894FB4">
      <w:pPr>
        <w:pStyle w:val="Heading2"/>
        <w:rPr>
          <w:color w:val="000000" w:themeColor="text1"/>
        </w:rPr>
      </w:pPr>
      <w:r w:rsidRPr="00894FB4">
        <w:rPr>
          <w:color w:val="000000" w:themeColor="text1"/>
        </w:rPr>
        <w:t>Estimating Respondent Burden</w:t>
      </w:r>
    </w:p>
    <w:p w:rsidR="000362E7" w:rsidRPr="00D049CA" w:rsidRDefault="00894FB4" w:rsidP="00C47B23">
      <w:pPr>
        <w:rPr>
          <w:color w:val="000000" w:themeColor="text1"/>
        </w:rPr>
      </w:pPr>
      <w:r w:rsidRPr="00894FB4">
        <w:rPr>
          <w:color w:val="000000" w:themeColor="text1"/>
        </w:rPr>
        <w:t xml:space="preserve">Burden estimates were taken from the previous </w:t>
      </w:r>
      <w:proofErr w:type="spellStart"/>
      <w:r w:rsidRPr="00894FB4">
        <w:rPr>
          <w:color w:val="000000" w:themeColor="text1"/>
        </w:rPr>
        <w:t>ICRs</w:t>
      </w:r>
      <w:proofErr w:type="spellEnd"/>
      <w:r w:rsidRPr="00894FB4">
        <w:rPr>
          <w:color w:val="000000" w:themeColor="text1"/>
        </w:rPr>
        <w:t xml:space="preserve"> and adjusted to reflect EPA experience in these and other similar programs.  In general, the burden related to engine, tractor, vocational vehicle, and HD pickup truck compliance associated with years 2017 through 2019 are due to requirements of the HD Phase 1 program.  This is due to the fact that the proposed HD Phase 2 program does not set new standards for engines, tractors, vocational vehicles and HD pickup trucks until </w:t>
      </w:r>
      <w:r w:rsidR="00AE1D53">
        <w:rPr>
          <w:color w:val="000000" w:themeColor="text1"/>
        </w:rPr>
        <w:t xml:space="preserve">the </w:t>
      </w:r>
      <w:r w:rsidRPr="00894FB4">
        <w:rPr>
          <w:color w:val="000000" w:themeColor="text1"/>
        </w:rPr>
        <w:t>2021 model year.</w:t>
      </w:r>
    </w:p>
    <w:p w:rsidR="005A63AF" w:rsidRDefault="00894FB4">
      <w:pPr>
        <w:pStyle w:val="Heading2"/>
        <w:rPr>
          <w:color w:val="000000" w:themeColor="text1"/>
        </w:rPr>
      </w:pPr>
      <w:r w:rsidRPr="00894FB4">
        <w:rPr>
          <w:color w:val="000000" w:themeColor="text1"/>
        </w:rPr>
        <w:t>Estimating Respondent Costs</w:t>
      </w:r>
    </w:p>
    <w:p w:rsidR="005A63AF" w:rsidRDefault="00894FB4">
      <w:pPr>
        <w:pStyle w:val="Heading3"/>
        <w:numPr>
          <w:ilvl w:val="0"/>
          <w:numId w:val="13"/>
        </w:numPr>
        <w:rPr>
          <w:color w:val="000000" w:themeColor="text1"/>
        </w:rPr>
      </w:pPr>
      <w:r w:rsidRPr="00894FB4">
        <w:rPr>
          <w:color w:val="000000" w:themeColor="text1"/>
        </w:rPr>
        <w:t>Estimating labor costs</w:t>
      </w:r>
    </w:p>
    <w:p w:rsidR="004375A4" w:rsidRPr="00D049CA" w:rsidRDefault="00894FB4" w:rsidP="00C47B23">
      <w:pPr>
        <w:rPr>
          <w:color w:val="000000" w:themeColor="text1"/>
        </w:rPr>
      </w:pPr>
      <w:r w:rsidRPr="00894FB4">
        <w:rPr>
          <w:color w:val="000000" w:themeColor="text1"/>
        </w:rPr>
        <w:t xml:space="preserve">To estimate labor costs, EPA used the Bureau of Labor Statistics’ National Industry-specific Occupational Wage Estimates (2009) for the Manufacturing Industry (NAICS 31-33), Transportation Equipment Manufacturing Subsector (NAICS 336) and the Professional, Scientific, and Technical Services Sector (NAICS 54).  These rates were increased by a factor of 2.1 to account for benefits and overhead.  The specific rates used are listed below in </w:t>
      </w:r>
      <w:r w:rsidR="007112DA">
        <w:fldChar w:fldCharType="begin"/>
      </w:r>
      <w:r w:rsidR="007112DA">
        <w:instrText xml:space="preserve"> REF _Ref418854946 \h  \* MERGEFORMAT </w:instrText>
      </w:r>
      <w:r w:rsidR="007112DA">
        <w:fldChar w:fldCharType="separate"/>
      </w:r>
      <w:r w:rsidR="00673E30" w:rsidRPr="00673E30">
        <w:rPr>
          <w:color w:val="000000" w:themeColor="text1"/>
        </w:rPr>
        <w:t xml:space="preserve">Table </w:t>
      </w:r>
      <w:r w:rsidR="00673E30" w:rsidRPr="00673E30">
        <w:rPr>
          <w:noProof/>
          <w:color w:val="000000" w:themeColor="text1"/>
        </w:rPr>
        <w:t>13</w:t>
      </w:r>
      <w:r w:rsidR="007112DA">
        <w:fldChar w:fldCharType="end"/>
      </w:r>
      <w:r w:rsidRPr="00894FB4">
        <w:rPr>
          <w:color w:val="000000" w:themeColor="text1"/>
        </w:rPr>
        <w:t xml:space="preserve">. These are mean hourly rates.  </w:t>
      </w:r>
    </w:p>
    <w:p w:rsidR="002807D6" w:rsidRPr="00D049CA" w:rsidRDefault="00894FB4" w:rsidP="00BB35DE">
      <w:pPr>
        <w:pStyle w:val="Caption"/>
        <w:keepNext/>
        <w:rPr>
          <w:color w:val="000000" w:themeColor="text1"/>
        </w:rPr>
      </w:pPr>
      <w:bookmarkStart w:id="13" w:name="_Ref418854946"/>
      <w:r w:rsidRPr="00BF034E">
        <w:rPr>
          <w:color w:val="000000" w:themeColor="text1"/>
          <w:sz w:val="20"/>
          <w:szCs w:val="20"/>
        </w:rPr>
        <w:lastRenderedPageBreak/>
        <w:t xml:space="preserve">Table </w:t>
      </w:r>
      <w:r w:rsidR="00121BAD" w:rsidRPr="00BF034E">
        <w:rPr>
          <w:color w:val="000000" w:themeColor="text1"/>
          <w:sz w:val="20"/>
          <w:szCs w:val="20"/>
        </w:rPr>
        <w:fldChar w:fldCharType="begin"/>
      </w:r>
      <w:r w:rsidRPr="00BF034E">
        <w:rPr>
          <w:color w:val="000000" w:themeColor="text1"/>
          <w:sz w:val="20"/>
          <w:szCs w:val="20"/>
        </w:rPr>
        <w:instrText xml:space="preserve"> SEQ Table \* ARABIC </w:instrText>
      </w:r>
      <w:r w:rsidR="00121BAD" w:rsidRPr="00BF034E">
        <w:rPr>
          <w:color w:val="000000" w:themeColor="text1"/>
          <w:sz w:val="20"/>
          <w:szCs w:val="20"/>
        </w:rPr>
        <w:fldChar w:fldCharType="separate"/>
      </w:r>
      <w:r w:rsidR="00673E30">
        <w:rPr>
          <w:noProof/>
          <w:color w:val="000000" w:themeColor="text1"/>
          <w:sz w:val="20"/>
          <w:szCs w:val="20"/>
        </w:rPr>
        <w:t>13</w:t>
      </w:r>
      <w:r w:rsidR="00121BAD" w:rsidRPr="00BF034E">
        <w:rPr>
          <w:color w:val="000000" w:themeColor="text1"/>
          <w:sz w:val="20"/>
          <w:szCs w:val="20"/>
        </w:rPr>
        <w:fldChar w:fldCharType="end"/>
      </w:r>
      <w:bookmarkEnd w:id="13"/>
      <w:r w:rsidRPr="00BF034E">
        <w:rPr>
          <w:color w:val="000000" w:themeColor="text1"/>
          <w:sz w:val="20"/>
          <w:szCs w:val="20"/>
        </w:rPr>
        <w:t xml:space="preserve"> Labor Cost Estimates</w:t>
      </w:r>
    </w:p>
    <w:tbl>
      <w:tblPr>
        <w:tblW w:w="9690"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72" w:type="dxa"/>
          <w:bottom w:w="14" w:type="dxa"/>
          <w:right w:w="72" w:type="dxa"/>
        </w:tblCellMar>
        <w:tblLook w:val="0000" w:firstRow="0" w:lastRow="0" w:firstColumn="0" w:lastColumn="0" w:noHBand="0" w:noVBand="0"/>
      </w:tblPr>
      <w:tblGrid>
        <w:gridCol w:w="2775"/>
        <w:gridCol w:w="2610"/>
        <w:gridCol w:w="4305"/>
      </w:tblGrid>
      <w:tr w:rsidR="004375A4" w:rsidRPr="00D049CA" w:rsidTr="00257FD6">
        <w:trPr>
          <w:cantSplit/>
          <w:trHeight w:val="439"/>
          <w:jc w:val="center"/>
        </w:trPr>
        <w:tc>
          <w:tcPr>
            <w:tcW w:w="2775" w:type="dxa"/>
            <w:tcBorders>
              <w:top w:val="single" w:sz="7" w:space="0" w:color="000000"/>
              <w:left w:val="single" w:sz="7" w:space="0" w:color="000000"/>
              <w:bottom w:val="single" w:sz="7" w:space="0" w:color="000000"/>
              <w:right w:val="single" w:sz="7" w:space="0" w:color="000000"/>
            </w:tcBorders>
          </w:tcPr>
          <w:p w:rsidR="004375A4" w:rsidRPr="00D049CA" w:rsidRDefault="00894FB4" w:rsidP="00257FD6">
            <w:pPr>
              <w:pStyle w:val="Default3"/>
              <w:keepNext/>
              <w:widowControl w:val="0"/>
              <w:outlineLvl w:val="0"/>
              <w:rPr>
                <w:color w:val="000000" w:themeColor="text1"/>
              </w:rPr>
            </w:pPr>
            <w:r w:rsidRPr="00894FB4">
              <w:rPr>
                <w:color w:val="000000" w:themeColor="text1"/>
              </w:rPr>
              <w:t>Occupation</w:t>
            </w:r>
          </w:p>
        </w:tc>
        <w:tc>
          <w:tcPr>
            <w:tcW w:w="2610" w:type="dxa"/>
            <w:tcBorders>
              <w:top w:val="single" w:sz="7" w:space="0" w:color="000000"/>
              <w:left w:val="single" w:sz="7" w:space="0" w:color="000000"/>
              <w:bottom w:val="single" w:sz="7" w:space="0" w:color="000000"/>
              <w:right w:val="single" w:sz="7" w:space="0" w:color="000000"/>
            </w:tcBorders>
          </w:tcPr>
          <w:p w:rsidR="004375A4" w:rsidRPr="00D049CA" w:rsidRDefault="00894FB4" w:rsidP="00257FD6">
            <w:pPr>
              <w:pStyle w:val="Default3"/>
              <w:keepNext/>
              <w:widowControl w:val="0"/>
              <w:outlineLvl w:val="0"/>
              <w:rPr>
                <w:color w:val="000000" w:themeColor="text1"/>
              </w:rPr>
            </w:pPr>
            <w:r w:rsidRPr="00894FB4">
              <w:rPr>
                <w:color w:val="000000" w:themeColor="text1"/>
              </w:rPr>
              <w:t>Mean Hourly Rate (BLS)</w:t>
            </w:r>
          </w:p>
        </w:tc>
        <w:tc>
          <w:tcPr>
            <w:tcW w:w="4305" w:type="dxa"/>
            <w:tcBorders>
              <w:top w:val="single" w:sz="7" w:space="0" w:color="000000"/>
              <w:left w:val="single" w:sz="7" w:space="0" w:color="000000"/>
              <w:bottom w:val="single" w:sz="7" w:space="0" w:color="000000"/>
              <w:right w:val="single" w:sz="7" w:space="0" w:color="000000"/>
            </w:tcBorders>
          </w:tcPr>
          <w:p w:rsidR="004375A4" w:rsidRPr="00D049CA" w:rsidRDefault="00894FB4" w:rsidP="00257FD6">
            <w:pPr>
              <w:pStyle w:val="Default3"/>
              <w:keepNext/>
              <w:widowControl w:val="0"/>
              <w:outlineLvl w:val="0"/>
              <w:rPr>
                <w:color w:val="000000" w:themeColor="text1"/>
              </w:rPr>
            </w:pPr>
            <w:r w:rsidRPr="00894FB4">
              <w:rPr>
                <w:color w:val="000000" w:themeColor="text1"/>
              </w:rPr>
              <w:t xml:space="preserve">Mean Hourly Rate (Including benefits and Overhead) </w:t>
            </w:r>
          </w:p>
        </w:tc>
      </w:tr>
      <w:tr w:rsidR="004375A4" w:rsidRPr="00D049CA" w:rsidTr="00257FD6">
        <w:trPr>
          <w:cantSplit/>
          <w:trHeight w:val="358"/>
          <w:jc w:val="center"/>
        </w:trPr>
        <w:tc>
          <w:tcPr>
            <w:tcW w:w="2775" w:type="dxa"/>
            <w:tcBorders>
              <w:top w:val="single" w:sz="7" w:space="0" w:color="000000"/>
              <w:left w:val="single" w:sz="7" w:space="0" w:color="000000"/>
              <w:bottom w:val="single" w:sz="7" w:space="0" w:color="000000"/>
              <w:right w:val="single" w:sz="7" w:space="0" w:color="000000"/>
            </w:tcBorders>
            <w:vAlign w:val="bottom"/>
          </w:tcPr>
          <w:p w:rsidR="004375A4" w:rsidRPr="00D049CA" w:rsidRDefault="00894FB4" w:rsidP="00682AA4">
            <w:pPr>
              <w:pStyle w:val="Default3"/>
              <w:keepNext/>
              <w:widowControl w:val="0"/>
              <w:outlineLvl w:val="0"/>
              <w:rPr>
                <w:color w:val="000000" w:themeColor="text1"/>
              </w:rPr>
            </w:pPr>
            <w:r w:rsidRPr="00894FB4">
              <w:rPr>
                <w:color w:val="000000" w:themeColor="text1"/>
              </w:rPr>
              <w:t>Mechanical  Engineers</w:t>
            </w:r>
          </w:p>
        </w:tc>
        <w:tc>
          <w:tcPr>
            <w:tcW w:w="2610" w:type="dxa"/>
            <w:tcBorders>
              <w:top w:val="single" w:sz="7" w:space="0" w:color="000000"/>
              <w:left w:val="single" w:sz="7" w:space="0" w:color="000000"/>
              <w:bottom w:val="single" w:sz="7" w:space="0" w:color="000000"/>
              <w:right w:val="single" w:sz="7" w:space="0" w:color="000000"/>
            </w:tcBorders>
            <w:vAlign w:val="bottom"/>
          </w:tcPr>
          <w:p w:rsidR="004375A4" w:rsidRPr="00D049CA" w:rsidRDefault="00894FB4" w:rsidP="00682AA4">
            <w:pPr>
              <w:pStyle w:val="Default3"/>
              <w:keepNext/>
              <w:widowControl w:val="0"/>
              <w:outlineLvl w:val="0"/>
              <w:rPr>
                <w:color w:val="000000" w:themeColor="text1"/>
              </w:rPr>
            </w:pPr>
            <w:r w:rsidRPr="00894FB4">
              <w:rPr>
                <w:color w:val="000000" w:themeColor="text1"/>
              </w:rPr>
              <w:t>$39.16</w:t>
            </w:r>
          </w:p>
        </w:tc>
        <w:tc>
          <w:tcPr>
            <w:tcW w:w="4305" w:type="dxa"/>
            <w:tcBorders>
              <w:top w:val="single" w:sz="7" w:space="0" w:color="000000"/>
              <w:left w:val="single" w:sz="7" w:space="0" w:color="000000"/>
              <w:bottom w:val="single" w:sz="7" w:space="0" w:color="000000"/>
              <w:right w:val="single" w:sz="7" w:space="0" w:color="000000"/>
            </w:tcBorders>
            <w:vAlign w:val="bottom"/>
          </w:tcPr>
          <w:p w:rsidR="004375A4" w:rsidRPr="00D049CA" w:rsidRDefault="00894FB4" w:rsidP="00682AA4">
            <w:pPr>
              <w:pStyle w:val="Default3"/>
              <w:keepNext/>
              <w:widowControl w:val="0"/>
              <w:outlineLvl w:val="0"/>
              <w:rPr>
                <w:color w:val="000000" w:themeColor="text1"/>
              </w:rPr>
            </w:pPr>
            <w:bookmarkStart w:id="14" w:name="OLE_LINK5"/>
            <w:bookmarkStart w:id="15" w:name="OLE_LINK6"/>
            <w:r w:rsidRPr="00894FB4">
              <w:rPr>
                <w:color w:val="000000" w:themeColor="text1"/>
              </w:rPr>
              <w:t>$82.24</w:t>
            </w:r>
            <w:bookmarkEnd w:id="14"/>
            <w:bookmarkEnd w:id="15"/>
          </w:p>
        </w:tc>
      </w:tr>
      <w:tr w:rsidR="004375A4" w:rsidRPr="00D049CA" w:rsidTr="00257FD6">
        <w:trPr>
          <w:cantSplit/>
          <w:trHeight w:val="286"/>
          <w:jc w:val="center"/>
        </w:trPr>
        <w:tc>
          <w:tcPr>
            <w:tcW w:w="2775" w:type="dxa"/>
            <w:tcBorders>
              <w:top w:val="single" w:sz="7" w:space="0" w:color="000000"/>
              <w:left w:val="single" w:sz="7" w:space="0" w:color="000000"/>
              <w:bottom w:val="single" w:sz="7" w:space="0" w:color="000000"/>
              <w:right w:val="single" w:sz="7" w:space="0" w:color="000000"/>
            </w:tcBorders>
            <w:vAlign w:val="bottom"/>
          </w:tcPr>
          <w:p w:rsidR="004375A4" w:rsidRPr="00D049CA" w:rsidRDefault="00894FB4" w:rsidP="00682AA4">
            <w:pPr>
              <w:pStyle w:val="Default3"/>
              <w:keepNext/>
              <w:widowControl w:val="0"/>
              <w:outlineLvl w:val="0"/>
              <w:rPr>
                <w:color w:val="000000" w:themeColor="text1"/>
              </w:rPr>
            </w:pPr>
            <w:r w:rsidRPr="00894FB4">
              <w:rPr>
                <w:color w:val="000000" w:themeColor="text1"/>
              </w:rPr>
              <w:t>Engineering Managers</w:t>
            </w:r>
          </w:p>
        </w:tc>
        <w:tc>
          <w:tcPr>
            <w:tcW w:w="2610" w:type="dxa"/>
            <w:tcBorders>
              <w:top w:val="single" w:sz="7" w:space="0" w:color="000000"/>
              <w:left w:val="single" w:sz="7" w:space="0" w:color="000000"/>
              <w:bottom w:val="single" w:sz="7" w:space="0" w:color="000000"/>
              <w:right w:val="single" w:sz="7" w:space="0" w:color="000000"/>
            </w:tcBorders>
            <w:vAlign w:val="bottom"/>
          </w:tcPr>
          <w:p w:rsidR="004375A4" w:rsidRPr="00D049CA" w:rsidRDefault="00894FB4" w:rsidP="00682AA4">
            <w:pPr>
              <w:pStyle w:val="Default3"/>
              <w:keepNext/>
              <w:widowControl w:val="0"/>
              <w:outlineLvl w:val="0"/>
              <w:rPr>
                <w:color w:val="000000" w:themeColor="text1"/>
              </w:rPr>
            </w:pPr>
            <w:r w:rsidRPr="00894FB4">
              <w:rPr>
                <w:color w:val="000000" w:themeColor="text1"/>
              </w:rPr>
              <w:t>$50.71</w:t>
            </w:r>
          </w:p>
        </w:tc>
        <w:tc>
          <w:tcPr>
            <w:tcW w:w="4305" w:type="dxa"/>
            <w:tcBorders>
              <w:top w:val="single" w:sz="7" w:space="0" w:color="000000"/>
              <w:left w:val="single" w:sz="7" w:space="0" w:color="000000"/>
              <w:bottom w:val="single" w:sz="7" w:space="0" w:color="000000"/>
              <w:right w:val="single" w:sz="7" w:space="0" w:color="000000"/>
            </w:tcBorders>
            <w:vAlign w:val="bottom"/>
          </w:tcPr>
          <w:p w:rsidR="004375A4" w:rsidRPr="00D049CA" w:rsidRDefault="00894FB4" w:rsidP="00682AA4">
            <w:pPr>
              <w:pStyle w:val="Default3"/>
              <w:keepNext/>
              <w:widowControl w:val="0"/>
              <w:outlineLvl w:val="0"/>
              <w:rPr>
                <w:color w:val="000000" w:themeColor="text1"/>
              </w:rPr>
            </w:pPr>
            <w:r w:rsidRPr="00894FB4">
              <w:rPr>
                <w:color w:val="000000" w:themeColor="text1"/>
              </w:rPr>
              <w:t>$106.50</w:t>
            </w:r>
          </w:p>
        </w:tc>
      </w:tr>
      <w:tr w:rsidR="005C7038" w:rsidRPr="00D049CA" w:rsidTr="00257FD6">
        <w:trPr>
          <w:cantSplit/>
          <w:trHeight w:val="250"/>
          <w:jc w:val="center"/>
        </w:trPr>
        <w:tc>
          <w:tcPr>
            <w:tcW w:w="2775" w:type="dxa"/>
            <w:tcBorders>
              <w:top w:val="single" w:sz="7" w:space="0" w:color="000000"/>
              <w:left w:val="single" w:sz="7" w:space="0" w:color="000000"/>
              <w:bottom w:val="single" w:sz="7" w:space="0" w:color="000000"/>
              <w:right w:val="single" w:sz="7" w:space="0" w:color="000000"/>
            </w:tcBorders>
            <w:vAlign w:val="bottom"/>
          </w:tcPr>
          <w:p w:rsidR="005C7038" w:rsidRPr="00D049CA" w:rsidRDefault="00894FB4" w:rsidP="00682AA4">
            <w:pPr>
              <w:pStyle w:val="Default3"/>
              <w:keepNext/>
              <w:widowControl w:val="0"/>
              <w:outlineLvl w:val="0"/>
              <w:rPr>
                <w:color w:val="000000" w:themeColor="text1"/>
              </w:rPr>
            </w:pPr>
            <w:r w:rsidRPr="00894FB4">
              <w:rPr>
                <w:color w:val="000000" w:themeColor="text1"/>
              </w:rPr>
              <w:t>Test Cell Operator</w:t>
            </w:r>
          </w:p>
        </w:tc>
        <w:tc>
          <w:tcPr>
            <w:tcW w:w="2610" w:type="dxa"/>
            <w:tcBorders>
              <w:top w:val="single" w:sz="7" w:space="0" w:color="000000"/>
              <w:left w:val="single" w:sz="7" w:space="0" w:color="000000"/>
              <w:bottom w:val="single" w:sz="7" w:space="0" w:color="000000"/>
              <w:right w:val="single" w:sz="7" w:space="0" w:color="000000"/>
            </w:tcBorders>
            <w:vAlign w:val="bottom"/>
          </w:tcPr>
          <w:p w:rsidR="005C7038" w:rsidRPr="00D049CA" w:rsidRDefault="00894FB4" w:rsidP="00682AA4">
            <w:pPr>
              <w:pStyle w:val="Default3"/>
              <w:keepNext/>
              <w:widowControl w:val="0"/>
              <w:outlineLvl w:val="0"/>
              <w:rPr>
                <w:color w:val="000000" w:themeColor="text1"/>
              </w:rPr>
            </w:pPr>
            <w:r w:rsidRPr="00894FB4">
              <w:rPr>
                <w:color w:val="000000" w:themeColor="text1"/>
              </w:rPr>
              <w:t>$23.05</w:t>
            </w:r>
          </w:p>
        </w:tc>
        <w:tc>
          <w:tcPr>
            <w:tcW w:w="4305" w:type="dxa"/>
            <w:tcBorders>
              <w:top w:val="single" w:sz="7" w:space="0" w:color="000000"/>
              <w:left w:val="single" w:sz="7" w:space="0" w:color="000000"/>
              <w:bottom w:val="single" w:sz="7" w:space="0" w:color="000000"/>
              <w:right w:val="single" w:sz="7" w:space="0" w:color="000000"/>
            </w:tcBorders>
            <w:vAlign w:val="bottom"/>
          </w:tcPr>
          <w:p w:rsidR="005C7038" w:rsidRPr="00D049CA" w:rsidRDefault="00894FB4" w:rsidP="00682AA4">
            <w:pPr>
              <w:pStyle w:val="Default3"/>
              <w:keepNext/>
              <w:widowControl w:val="0"/>
              <w:outlineLvl w:val="0"/>
              <w:rPr>
                <w:color w:val="000000" w:themeColor="text1"/>
              </w:rPr>
            </w:pPr>
            <w:r w:rsidRPr="00894FB4">
              <w:rPr>
                <w:color w:val="000000" w:themeColor="text1"/>
              </w:rPr>
              <w:t>$48.40</w:t>
            </w:r>
          </w:p>
        </w:tc>
      </w:tr>
      <w:tr w:rsidR="004375A4" w:rsidRPr="00D049CA" w:rsidTr="00257FD6">
        <w:trPr>
          <w:cantSplit/>
          <w:trHeight w:val="250"/>
          <w:jc w:val="center"/>
        </w:trPr>
        <w:tc>
          <w:tcPr>
            <w:tcW w:w="2775" w:type="dxa"/>
            <w:tcBorders>
              <w:top w:val="single" w:sz="7" w:space="0" w:color="000000"/>
              <w:left w:val="single" w:sz="7" w:space="0" w:color="000000"/>
              <w:bottom w:val="single" w:sz="7" w:space="0" w:color="000000"/>
              <w:right w:val="single" w:sz="7" w:space="0" w:color="000000"/>
            </w:tcBorders>
            <w:vAlign w:val="bottom"/>
          </w:tcPr>
          <w:p w:rsidR="004375A4" w:rsidRPr="00D049CA" w:rsidRDefault="00894FB4" w:rsidP="00682AA4">
            <w:pPr>
              <w:pStyle w:val="Default3"/>
              <w:keepNext/>
              <w:widowControl w:val="0"/>
              <w:outlineLvl w:val="0"/>
              <w:rPr>
                <w:color w:val="000000" w:themeColor="text1"/>
              </w:rPr>
            </w:pPr>
            <w:r w:rsidRPr="00894FB4">
              <w:rPr>
                <w:color w:val="000000" w:themeColor="text1"/>
              </w:rPr>
              <w:t>Lawyers</w:t>
            </w:r>
          </w:p>
        </w:tc>
        <w:tc>
          <w:tcPr>
            <w:tcW w:w="2610" w:type="dxa"/>
            <w:tcBorders>
              <w:top w:val="single" w:sz="7" w:space="0" w:color="000000"/>
              <w:left w:val="single" w:sz="7" w:space="0" w:color="000000"/>
              <w:bottom w:val="single" w:sz="7" w:space="0" w:color="000000"/>
              <w:right w:val="single" w:sz="7" w:space="0" w:color="000000"/>
            </w:tcBorders>
            <w:vAlign w:val="bottom"/>
          </w:tcPr>
          <w:p w:rsidR="004375A4" w:rsidRPr="00D049CA" w:rsidRDefault="00894FB4" w:rsidP="00682AA4">
            <w:pPr>
              <w:pStyle w:val="Default3"/>
              <w:keepNext/>
              <w:widowControl w:val="0"/>
              <w:outlineLvl w:val="0"/>
              <w:rPr>
                <w:color w:val="000000" w:themeColor="text1"/>
              </w:rPr>
            </w:pPr>
            <w:r w:rsidRPr="00894FB4">
              <w:rPr>
                <w:color w:val="000000" w:themeColor="text1"/>
              </w:rPr>
              <w:t>$65.81</w:t>
            </w:r>
          </w:p>
        </w:tc>
        <w:tc>
          <w:tcPr>
            <w:tcW w:w="4305" w:type="dxa"/>
            <w:tcBorders>
              <w:top w:val="single" w:sz="7" w:space="0" w:color="000000"/>
              <w:left w:val="single" w:sz="7" w:space="0" w:color="000000"/>
              <w:bottom w:val="single" w:sz="7" w:space="0" w:color="000000"/>
              <w:right w:val="single" w:sz="7" w:space="0" w:color="000000"/>
            </w:tcBorders>
            <w:vAlign w:val="bottom"/>
          </w:tcPr>
          <w:p w:rsidR="004375A4" w:rsidRPr="00D049CA" w:rsidRDefault="00894FB4" w:rsidP="00682AA4">
            <w:pPr>
              <w:pStyle w:val="Default3"/>
              <w:keepNext/>
              <w:widowControl w:val="0"/>
              <w:outlineLvl w:val="0"/>
              <w:rPr>
                <w:color w:val="000000" w:themeColor="text1"/>
              </w:rPr>
            </w:pPr>
            <w:r w:rsidRPr="00894FB4">
              <w:rPr>
                <w:color w:val="000000" w:themeColor="text1"/>
              </w:rPr>
              <w:t>$138.20</w:t>
            </w:r>
          </w:p>
        </w:tc>
      </w:tr>
      <w:tr w:rsidR="004375A4" w:rsidRPr="00D049CA" w:rsidTr="00257FD6">
        <w:trPr>
          <w:cantSplit/>
          <w:trHeight w:val="196"/>
          <w:jc w:val="center"/>
        </w:trPr>
        <w:tc>
          <w:tcPr>
            <w:tcW w:w="2775" w:type="dxa"/>
            <w:tcBorders>
              <w:top w:val="single" w:sz="7" w:space="0" w:color="000000"/>
              <w:left w:val="single" w:sz="7" w:space="0" w:color="000000"/>
              <w:bottom w:val="single" w:sz="7" w:space="0" w:color="000000"/>
              <w:right w:val="single" w:sz="7" w:space="0" w:color="000000"/>
            </w:tcBorders>
            <w:vAlign w:val="bottom"/>
          </w:tcPr>
          <w:p w:rsidR="004375A4" w:rsidRPr="00D049CA" w:rsidRDefault="00894FB4" w:rsidP="00682AA4">
            <w:pPr>
              <w:pStyle w:val="Default3"/>
              <w:keepNext/>
              <w:widowControl w:val="0"/>
              <w:outlineLvl w:val="0"/>
              <w:rPr>
                <w:color w:val="000000" w:themeColor="text1"/>
              </w:rPr>
            </w:pPr>
            <w:r w:rsidRPr="00894FB4">
              <w:rPr>
                <w:color w:val="000000" w:themeColor="text1"/>
              </w:rPr>
              <w:t>Secretaries, Except Legal, Medical and Executive</w:t>
            </w:r>
          </w:p>
        </w:tc>
        <w:tc>
          <w:tcPr>
            <w:tcW w:w="2610" w:type="dxa"/>
            <w:tcBorders>
              <w:top w:val="single" w:sz="7" w:space="0" w:color="000000"/>
              <w:left w:val="single" w:sz="7" w:space="0" w:color="000000"/>
              <w:bottom w:val="single" w:sz="7" w:space="0" w:color="000000"/>
              <w:right w:val="single" w:sz="7" w:space="0" w:color="000000"/>
            </w:tcBorders>
            <w:vAlign w:val="bottom"/>
          </w:tcPr>
          <w:p w:rsidR="004375A4" w:rsidRPr="00D049CA" w:rsidRDefault="00894FB4" w:rsidP="00682AA4">
            <w:pPr>
              <w:pStyle w:val="Default3"/>
              <w:keepNext/>
              <w:widowControl w:val="0"/>
              <w:outlineLvl w:val="0"/>
              <w:rPr>
                <w:color w:val="000000" w:themeColor="text1"/>
              </w:rPr>
            </w:pPr>
            <w:r w:rsidRPr="00894FB4">
              <w:rPr>
                <w:color w:val="000000" w:themeColor="text1"/>
              </w:rPr>
              <w:t>$14.95</w:t>
            </w:r>
          </w:p>
        </w:tc>
        <w:tc>
          <w:tcPr>
            <w:tcW w:w="4305" w:type="dxa"/>
            <w:tcBorders>
              <w:top w:val="single" w:sz="7" w:space="0" w:color="000000"/>
              <w:left w:val="single" w:sz="7" w:space="0" w:color="000000"/>
              <w:bottom w:val="single" w:sz="7" w:space="0" w:color="000000"/>
              <w:right w:val="single" w:sz="7" w:space="0" w:color="000000"/>
            </w:tcBorders>
            <w:vAlign w:val="bottom"/>
          </w:tcPr>
          <w:p w:rsidR="004375A4" w:rsidRPr="00D049CA" w:rsidRDefault="00894FB4" w:rsidP="00682AA4">
            <w:pPr>
              <w:pStyle w:val="Default3"/>
              <w:keepNext/>
              <w:widowControl w:val="0"/>
              <w:outlineLvl w:val="0"/>
              <w:rPr>
                <w:color w:val="000000" w:themeColor="text1"/>
              </w:rPr>
            </w:pPr>
            <w:r w:rsidRPr="00894FB4">
              <w:rPr>
                <w:color w:val="000000" w:themeColor="text1"/>
              </w:rPr>
              <w:t>$31.39</w:t>
            </w:r>
          </w:p>
        </w:tc>
      </w:tr>
    </w:tbl>
    <w:p w:rsidR="00FC7980" w:rsidRPr="00D049CA" w:rsidRDefault="00FC7980" w:rsidP="002807D6">
      <w:pPr>
        <w:pStyle w:val="Default3"/>
        <w:rPr>
          <w:color w:val="000000" w:themeColor="text1"/>
        </w:rPr>
      </w:pPr>
    </w:p>
    <w:p w:rsidR="005A63AF" w:rsidRDefault="00894FB4">
      <w:pPr>
        <w:pStyle w:val="Heading3"/>
        <w:rPr>
          <w:color w:val="000000" w:themeColor="text1"/>
        </w:rPr>
      </w:pPr>
      <w:r w:rsidRPr="00894FB4">
        <w:rPr>
          <w:color w:val="000000" w:themeColor="text1"/>
        </w:rPr>
        <w:t>Estimating Capital, Operations and Maintenance Costs</w:t>
      </w:r>
    </w:p>
    <w:p w:rsidR="00303763" w:rsidRPr="00D049CA" w:rsidRDefault="00894FB4" w:rsidP="00C47B23">
      <w:pPr>
        <w:rPr>
          <w:color w:val="000000" w:themeColor="text1"/>
        </w:rPr>
      </w:pPr>
      <w:r w:rsidRPr="00894FB4">
        <w:rPr>
          <w:color w:val="000000" w:themeColor="text1"/>
        </w:rPr>
        <w:t xml:space="preserve">Operations and Maintenance costs include the non-labor costs associated with conducting tests that are required for </w:t>
      </w:r>
      <w:r w:rsidR="00E21C61">
        <w:rPr>
          <w:color w:val="000000" w:themeColor="text1"/>
        </w:rPr>
        <w:t>MY</w:t>
      </w:r>
      <w:r w:rsidR="00E21C61" w:rsidRPr="00894FB4">
        <w:rPr>
          <w:color w:val="000000" w:themeColor="text1"/>
        </w:rPr>
        <w:t xml:space="preserve"> </w:t>
      </w:r>
      <w:r w:rsidRPr="00894FB4">
        <w:rPr>
          <w:color w:val="000000" w:themeColor="text1"/>
        </w:rPr>
        <w:t xml:space="preserve">2017 through 2019.  Costs are for contracted laboratory time, the use of test equipment, vehicle and engine parts, fuel and other supplies.  </w:t>
      </w:r>
    </w:p>
    <w:p w:rsidR="00776A97" w:rsidRPr="00D049CA" w:rsidRDefault="00894FB4" w:rsidP="00C47B23">
      <w:pPr>
        <w:rPr>
          <w:color w:val="000000" w:themeColor="text1"/>
        </w:rPr>
      </w:pPr>
      <w:r w:rsidRPr="00894FB4">
        <w:rPr>
          <w:color w:val="000000" w:themeColor="text1"/>
        </w:rPr>
        <w:t xml:space="preserve">The agencies expect that manufacturers of </w:t>
      </w:r>
      <w:r w:rsidR="00E21C61">
        <w:rPr>
          <w:color w:val="000000" w:themeColor="text1"/>
        </w:rPr>
        <w:t xml:space="preserve">trailers, </w:t>
      </w:r>
      <w:r w:rsidRPr="00894FB4">
        <w:rPr>
          <w:color w:val="000000" w:themeColor="text1"/>
        </w:rPr>
        <w:t>vocational vehicle chassis and combination tractors will contract with testing firms for most of their testing.  Under the regulations, these manufacturers need to establish a coefficient of rolling resistance (</w:t>
      </w:r>
      <w:proofErr w:type="spellStart"/>
      <w:r w:rsidRPr="00894FB4">
        <w:rPr>
          <w:color w:val="000000" w:themeColor="text1"/>
        </w:rPr>
        <w:t>Crr</w:t>
      </w:r>
      <w:proofErr w:type="spellEnd"/>
      <w:r w:rsidRPr="00894FB4">
        <w:rPr>
          <w:color w:val="000000" w:themeColor="text1"/>
        </w:rPr>
        <w:t xml:space="preserve">) for the tires they will specify for vehicles to demonstrate compliance with the new GHG and fuel standards.  In addition, tractor </w:t>
      </w:r>
      <w:r w:rsidR="0045703C">
        <w:rPr>
          <w:color w:val="000000" w:themeColor="text1"/>
        </w:rPr>
        <w:t xml:space="preserve">and trailer </w:t>
      </w:r>
      <w:r w:rsidRPr="00894FB4">
        <w:rPr>
          <w:color w:val="000000" w:themeColor="text1"/>
        </w:rPr>
        <w:t xml:space="preserve">manufacturers need to test vehicles for a coefficient of drag, or a </w:t>
      </w:r>
      <w:proofErr w:type="spellStart"/>
      <w:r w:rsidRPr="00894FB4">
        <w:rPr>
          <w:color w:val="000000" w:themeColor="text1"/>
        </w:rPr>
        <w:t>CdA</w:t>
      </w:r>
      <w:proofErr w:type="spellEnd"/>
      <w:r w:rsidRPr="00894FB4">
        <w:rPr>
          <w:color w:val="000000" w:themeColor="text1"/>
        </w:rPr>
        <w:t xml:space="preserve">, also needed to demonstrate compliance.  </w:t>
      </w:r>
    </w:p>
    <w:p w:rsidR="0045703C" w:rsidRDefault="00894FB4" w:rsidP="00C47B23">
      <w:pPr>
        <w:rPr>
          <w:color w:val="000000" w:themeColor="text1"/>
        </w:rPr>
      </w:pPr>
      <w:r w:rsidRPr="00894FB4">
        <w:rPr>
          <w:color w:val="000000" w:themeColor="text1"/>
        </w:rPr>
        <w:t xml:space="preserve">Based on contract costs for running tests to establish </w:t>
      </w:r>
      <w:proofErr w:type="spellStart"/>
      <w:r w:rsidRPr="00894FB4">
        <w:rPr>
          <w:color w:val="000000" w:themeColor="text1"/>
        </w:rPr>
        <w:t>Crr</w:t>
      </w:r>
      <w:proofErr w:type="spellEnd"/>
      <w:r w:rsidRPr="00894FB4">
        <w:rPr>
          <w:color w:val="000000" w:themeColor="text1"/>
        </w:rPr>
        <w:t xml:space="preserve"> (ISO 28580) these test costs amount to a total of $</w:t>
      </w:r>
      <w:r w:rsidR="00F213B2">
        <w:rPr>
          <w:color w:val="000000" w:themeColor="text1"/>
        </w:rPr>
        <w:t xml:space="preserve">12,273 </w:t>
      </w:r>
      <w:r w:rsidRPr="00894FB4">
        <w:rPr>
          <w:color w:val="000000" w:themeColor="text1"/>
        </w:rPr>
        <w:t>for vocational vehicles</w:t>
      </w:r>
      <w:r w:rsidR="0045703C">
        <w:rPr>
          <w:color w:val="000000" w:themeColor="text1"/>
        </w:rPr>
        <w:t>,</w:t>
      </w:r>
      <w:r w:rsidRPr="00894FB4">
        <w:rPr>
          <w:color w:val="000000" w:themeColor="text1"/>
        </w:rPr>
        <w:t xml:space="preserve"> $</w:t>
      </w:r>
      <w:r w:rsidR="00F213B2">
        <w:rPr>
          <w:color w:val="000000" w:themeColor="text1"/>
        </w:rPr>
        <w:t>18,000</w:t>
      </w:r>
      <w:r w:rsidRPr="00894FB4">
        <w:rPr>
          <w:color w:val="000000" w:themeColor="text1"/>
        </w:rPr>
        <w:t>) for tractors</w:t>
      </w:r>
      <w:r w:rsidR="0045703C">
        <w:rPr>
          <w:color w:val="000000" w:themeColor="text1"/>
        </w:rPr>
        <w:t>,</w:t>
      </w:r>
      <w:r w:rsidR="006D5FE5">
        <w:rPr>
          <w:color w:val="000000" w:themeColor="text1"/>
        </w:rPr>
        <w:t xml:space="preserve"> and </w:t>
      </w:r>
      <w:r w:rsidR="00AA2748">
        <w:rPr>
          <w:color w:val="000000" w:themeColor="text1"/>
        </w:rPr>
        <w:t>$</w:t>
      </w:r>
      <w:r w:rsidR="00F213B2">
        <w:rPr>
          <w:color w:val="000000" w:themeColor="text1"/>
        </w:rPr>
        <w:t>3,000</w:t>
      </w:r>
      <w:r w:rsidR="006D5FE5">
        <w:rPr>
          <w:color w:val="000000" w:themeColor="text1"/>
        </w:rPr>
        <w:t xml:space="preserve"> for trailers</w:t>
      </w:r>
      <w:r w:rsidRPr="00894FB4">
        <w:rPr>
          <w:color w:val="000000" w:themeColor="text1"/>
        </w:rPr>
        <w:t xml:space="preserve">.  As listed in </w:t>
      </w:r>
      <w:r w:rsidR="007112DA">
        <w:fldChar w:fldCharType="begin"/>
      </w:r>
      <w:r w:rsidR="007112DA">
        <w:instrText xml:space="preserve"> REF _Ref418852474 \h  \* MERGEFORMAT </w:instrText>
      </w:r>
      <w:r w:rsidR="007112DA">
        <w:fldChar w:fldCharType="separate"/>
      </w:r>
      <w:r w:rsidR="00673E30" w:rsidRPr="00673E30">
        <w:rPr>
          <w:color w:val="000000" w:themeColor="text1"/>
        </w:rPr>
        <w:t xml:space="preserve">Table </w:t>
      </w:r>
      <w:r w:rsidR="00673E30" w:rsidRPr="00673E30">
        <w:rPr>
          <w:noProof/>
          <w:color w:val="000000" w:themeColor="text1"/>
        </w:rPr>
        <w:t>18</w:t>
      </w:r>
      <w:r w:rsidR="007112DA">
        <w:fldChar w:fldCharType="end"/>
      </w:r>
      <w:r w:rsidRPr="00894FB4">
        <w:rPr>
          <w:color w:val="000000" w:themeColor="text1"/>
        </w:rPr>
        <w:t xml:space="preserve"> </w:t>
      </w:r>
      <w:r w:rsidR="00F213B2">
        <w:rPr>
          <w:color w:val="000000" w:themeColor="text1"/>
        </w:rPr>
        <w:t xml:space="preserve">through </w:t>
      </w:r>
      <w:r w:rsidR="00121BAD">
        <w:rPr>
          <w:color w:val="000000" w:themeColor="text1"/>
        </w:rPr>
        <w:fldChar w:fldCharType="begin"/>
      </w:r>
      <w:r w:rsidR="00F213B2">
        <w:rPr>
          <w:color w:val="000000" w:themeColor="text1"/>
        </w:rPr>
        <w:instrText xml:space="preserve"> REF _Ref419712990 \h </w:instrText>
      </w:r>
      <w:r w:rsidR="00121BAD">
        <w:rPr>
          <w:color w:val="000000" w:themeColor="text1"/>
        </w:rPr>
      </w:r>
      <w:r w:rsidR="00121BAD">
        <w:rPr>
          <w:color w:val="000000" w:themeColor="text1"/>
        </w:rPr>
        <w:fldChar w:fldCharType="separate"/>
      </w:r>
      <w:r w:rsidR="00673E30" w:rsidRPr="00627B60">
        <w:rPr>
          <w:color w:val="000000" w:themeColor="text1"/>
          <w:sz w:val="20"/>
        </w:rPr>
        <w:t xml:space="preserve">Table </w:t>
      </w:r>
      <w:r w:rsidR="00673E30">
        <w:rPr>
          <w:noProof/>
          <w:color w:val="000000" w:themeColor="text1"/>
          <w:sz w:val="20"/>
        </w:rPr>
        <w:t>24</w:t>
      </w:r>
      <w:r w:rsidR="00121BAD">
        <w:rPr>
          <w:color w:val="000000" w:themeColor="text1"/>
        </w:rPr>
        <w:fldChar w:fldCharType="end"/>
      </w:r>
      <w:r w:rsidR="00F213B2">
        <w:rPr>
          <w:color w:val="000000" w:themeColor="text1"/>
        </w:rPr>
        <w:t xml:space="preserve"> </w:t>
      </w:r>
      <w:r w:rsidRPr="00894FB4">
        <w:rPr>
          <w:color w:val="000000" w:themeColor="text1"/>
        </w:rPr>
        <w:t xml:space="preserve">below, these </w:t>
      </w:r>
      <w:r w:rsidR="0045703C">
        <w:rPr>
          <w:color w:val="000000" w:themeColor="text1"/>
        </w:rPr>
        <w:t xml:space="preserve">3-year </w:t>
      </w:r>
      <w:r w:rsidRPr="00894FB4">
        <w:rPr>
          <w:color w:val="000000" w:themeColor="text1"/>
        </w:rPr>
        <w:t xml:space="preserve">values estimate that </w:t>
      </w:r>
      <w:r w:rsidR="0045703C">
        <w:rPr>
          <w:color w:val="000000" w:themeColor="text1"/>
        </w:rPr>
        <w:t xml:space="preserve">annually </w:t>
      </w:r>
      <w:r w:rsidRPr="00894FB4">
        <w:rPr>
          <w:color w:val="000000" w:themeColor="text1"/>
        </w:rPr>
        <w:t xml:space="preserve">each of the </w:t>
      </w:r>
      <w:r w:rsidR="00E21C61">
        <w:rPr>
          <w:color w:val="000000" w:themeColor="text1"/>
        </w:rPr>
        <w:t>22</w:t>
      </w:r>
      <w:r w:rsidRPr="00894FB4">
        <w:rPr>
          <w:color w:val="000000" w:themeColor="text1"/>
        </w:rPr>
        <w:t xml:space="preserve"> vocational vehicle manufacturers will </w:t>
      </w:r>
      <w:r w:rsidR="006D5FE5">
        <w:rPr>
          <w:color w:val="000000" w:themeColor="text1"/>
        </w:rPr>
        <w:t xml:space="preserve">carry over previous tire testing results, while five manufacturers will </w:t>
      </w:r>
      <w:r w:rsidRPr="00894FB4">
        <w:rPr>
          <w:color w:val="000000" w:themeColor="text1"/>
        </w:rPr>
        <w:t xml:space="preserve">test </w:t>
      </w:r>
      <w:r w:rsidR="006D5FE5">
        <w:rPr>
          <w:color w:val="000000" w:themeColor="text1"/>
        </w:rPr>
        <w:t>a total of 1</w:t>
      </w:r>
      <w:r w:rsidR="00401DEA">
        <w:rPr>
          <w:color w:val="000000" w:themeColor="text1"/>
        </w:rPr>
        <w:t>4</w:t>
      </w:r>
      <w:r w:rsidRPr="00894FB4">
        <w:rPr>
          <w:color w:val="000000" w:themeColor="text1"/>
        </w:rPr>
        <w:t xml:space="preserve"> tires</w:t>
      </w:r>
      <w:r w:rsidR="006D5FE5">
        <w:rPr>
          <w:color w:val="000000" w:themeColor="text1"/>
        </w:rPr>
        <w:t xml:space="preserve">, </w:t>
      </w:r>
      <w:r w:rsidRPr="00894FB4">
        <w:rPr>
          <w:color w:val="000000" w:themeColor="text1"/>
        </w:rPr>
        <w:t xml:space="preserve">each of the four tractor manufacturers will test </w:t>
      </w:r>
      <w:r w:rsidR="006D5FE5">
        <w:rPr>
          <w:color w:val="000000" w:themeColor="text1"/>
        </w:rPr>
        <w:t>5</w:t>
      </w:r>
      <w:r w:rsidRPr="00894FB4">
        <w:rPr>
          <w:color w:val="000000" w:themeColor="text1"/>
        </w:rPr>
        <w:t xml:space="preserve"> tires</w:t>
      </w:r>
      <w:r w:rsidR="00401DEA">
        <w:rPr>
          <w:color w:val="000000" w:themeColor="text1"/>
        </w:rPr>
        <w:t>, and five</w:t>
      </w:r>
      <w:r w:rsidR="006D5FE5">
        <w:rPr>
          <w:color w:val="000000" w:themeColor="text1"/>
        </w:rPr>
        <w:t xml:space="preserve"> trailer manufacturer</w:t>
      </w:r>
      <w:r w:rsidR="00401DEA">
        <w:rPr>
          <w:color w:val="000000" w:themeColor="text1"/>
        </w:rPr>
        <w:t>s</w:t>
      </w:r>
      <w:r w:rsidR="006D5FE5">
        <w:rPr>
          <w:color w:val="000000" w:themeColor="text1"/>
        </w:rPr>
        <w:t xml:space="preserve"> will </w:t>
      </w:r>
      <w:r w:rsidR="00401DEA">
        <w:rPr>
          <w:color w:val="000000" w:themeColor="text1"/>
        </w:rPr>
        <w:t xml:space="preserve">each </w:t>
      </w:r>
      <w:r w:rsidR="006D5FE5">
        <w:rPr>
          <w:color w:val="000000" w:themeColor="text1"/>
        </w:rPr>
        <w:t xml:space="preserve">test </w:t>
      </w:r>
      <w:r w:rsidR="00401DEA">
        <w:rPr>
          <w:color w:val="000000" w:themeColor="text1"/>
        </w:rPr>
        <w:t>1</w:t>
      </w:r>
      <w:r w:rsidR="006D5FE5">
        <w:rPr>
          <w:color w:val="000000" w:themeColor="text1"/>
        </w:rPr>
        <w:t xml:space="preserve"> tire</w:t>
      </w:r>
      <w:r w:rsidRPr="00894FB4">
        <w:rPr>
          <w:color w:val="000000" w:themeColor="text1"/>
        </w:rPr>
        <w:t>.</w:t>
      </w:r>
    </w:p>
    <w:p w:rsidR="00EB38F1" w:rsidRPr="00D049CA" w:rsidRDefault="0045703C" w:rsidP="00C47B23">
      <w:pPr>
        <w:rPr>
          <w:color w:val="000000" w:themeColor="text1"/>
        </w:rPr>
      </w:pPr>
      <w:r w:rsidRPr="00894FB4">
        <w:rPr>
          <w:color w:val="000000" w:themeColor="text1"/>
        </w:rPr>
        <w:t xml:space="preserve">Based on contract costs for running tests to establish </w:t>
      </w:r>
      <w:proofErr w:type="spellStart"/>
      <w:r w:rsidRPr="00894FB4">
        <w:rPr>
          <w:color w:val="000000" w:themeColor="text1"/>
        </w:rPr>
        <w:t>C</w:t>
      </w:r>
      <w:r w:rsidRPr="0045703C">
        <w:rPr>
          <w:color w:val="000000" w:themeColor="text1"/>
          <w:vertAlign w:val="subscript"/>
        </w:rPr>
        <w:t>D</w:t>
      </w:r>
      <w:r>
        <w:rPr>
          <w:color w:val="000000" w:themeColor="text1"/>
        </w:rPr>
        <w:t>A</w:t>
      </w:r>
      <w:proofErr w:type="spellEnd"/>
      <w:r w:rsidRPr="00894FB4">
        <w:rPr>
          <w:color w:val="000000" w:themeColor="text1"/>
        </w:rPr>
        <w:t xml:space="preserve"> (</w:t>
      </w:r>
      <w:r>
        <w:rPr>
          <w:color w:val="000000" w:themeColor="text1"/>
        </w:rPr>
        <w:t>either</w:t>
      </w:r>
      <w:r w:rsidRPr="0045703C">
        <w:rPr>
          <w:color w:val="000000" w:themeColor="text1"/>
        </w:rPr>
        <w:t xml:space="preserve"> </w:t>
      </w:r>
      <w:proofErr w:type="spellStart"/>
      <w:r>
        <w:rPr>
          <w:color w:val="000000" w:themeColor="text1"/>
        </w:rPr>
        <w:t>coastdown</w:t>
      </w:r>
      <w:proofErr w:type="spellEnd"/>
      <w:r>
        <w:rPr>
          <w:color w:val="000000" w:themeColor="text1"/>
        </w:rPr>
        <w:t>,</w:t>
      </w:r>
      <w:r w:rsidRPr="00894FB4">
        <w:rPr>
          <w:color w:val="000000" w:themeColor="text1"/>
        </w:rPr>
        <w:t xml:space="preserve"> win</w:t>
      </w:r>
      <w:r>
        <w:rPr>
          <w:color w:val="000000" w:themeColor="text1"/>
        </w:rPr>
        <w:t xml:space="preserve">d tunnel or </w:t>
      </w:r>
      <w:r w:rsidRPr="00894FB4">
        <w:rPr>
          <w:color w:val="000000" w:themeColor="text1"/>
        </w:rPr>
        <w:t>computatio</w:t>
      </w:r>
      <w:r>
        <w:rPr>
          <w:color w:val="000000" w:themeColor="text1"/>
        </w:rPr>
        <w:t>nal fluid dynamics (</w:t>
      </w:r>
      <w:proofErr w:type="spellStart"/>
      <w:r>
        <w:rPr>
          <w:color w:val="000000" w:themeColor="text1"/>
        </w:rPr>
        <w:t>CFD</w:t>
      </w:r>
      <w:proofErr w:type="spellEnd"/>
      <w:r>
        <w:rPr>
          <w:color w:val="000000" w:themeColor="text1"/>
        </w:rPr>
        <w:t>) models),</w:t>
      </w:r>
      <w:r w:rsidRPr="00894FB4">
        <w:rPr>
          <w:color w:val="000000" w:themeColor="text1"/>
        </w:rPr>
        <w:t xml:space="preserve"> these </w:t>
      </w:r>
      <w:r>
        <w:rPr>
          <w:color w:val="000000" w:themeColor="text1"/>
        </w:rPr>
        <w:t xml:space="preserve">aerodynamic </w:t>
      </w:r>
      <w:r w:rsidRPr="00894FB4">
        <w:rPr>
          <w:color w:val="000000" w:themeColor="text1"/>
        </w:rPr>
        <w:t xml:space="preserve">test costs amount to a </w:t>
      </w:r>
      <w:r>
        <w:rPr>
          <w:color w:val="000000" w:themeColor="text1"/>
        </w:rPr>
        <w:t xml:space="preserve">3-year </w:t>
      </w:r>
      <w:r w:rsidRPr="00894FB4">
        <w:rPr>
          <w:color w:val="000000" w:themeColor="text1"/>
        </w:rPr>
        <w:t>total of $</w:t>
      </w:r>
      <w:r w:rsidR="00F213B2">
        <w:rPr>
          <w:color w:val="000000" w:themeColor="text1"/>
        </w:rPr>
        <w:t>354,000</w:t>
      </w:r>
      <w:r>
        <w:rPr>
          <w:color w:val="000000" w:themeColor="text1"/>
        </w:rPr>
        <w:t xml:space="preserve"> for</w:t>
      </w:r>
      <w:r w:rsidRPr="00894FB4">
        <w:rPr>
          <w:color w:val="000000" w:themeColor="text1"/>
        </w:rPr>
        <w:t xml:space="preserve"> tractors</w:t>
      </w:r>
      <w:r>
        <w:rPr>
          <w:color w:val="000000" w:themeColor="text1"/>
        </w:rPr>
        <w:t>, and $</w:t>
      </w:r>
      <w:r w:rsidR="00F213B2">
        <w:rPr>
          <w:color w:val="000000" w:themeColor="text1"/>
        </w:rPr>
        <w:t>3,780,000</w:t>
      </w:r>
      <w:r>
        <w:rPr>
          <w:color w:val="000000" w:themeColor="text1"/>
        </w:rPr>
        <w:t xml:space="preserve"> for trailers.  For tractors, t</w:t>
      </w:r>
      <w:r w:rsidR="00894FB4" w:rsidRPr="00894FB4">
        <w:rPr>
          <w:color w:val="000000" w:themeColor="text1"/>
        </w:rPr>
        <w:t xml:space="preserve">he annual costs include zero </w:t>
      </w:r>
      <w:proofErr w:type="spellStart"/>
      <w:r w:rsidR="00894FB4" w:rsidRPr="00894FB4">
        <w:rPr>
          <w:color w:val="000000" w:themeColor="text1"/>
        </w:rPr>
        <w:t>coastdown</w:t>
      </w:r>
      <w:proofErr w:type="spellEnd"/>
      <w:r w:rsidR="00894FB4" w:rsidRPr="00894FB4">
        <w:rPr>
          <w:color w:val="000000" w:themeColor="text1"/>
        </w:rPr>
        <w:t xml:space="preserve"> tests, one wind tunnel test, one full computational fluid dynamics (</w:t>
      </w:r>
      <w:proofErr w:type="spellStart"/>
      <w:r w:rsidR="00894FB4" w:rsidRPr="00894FB4">
        <w:rPr>
          <w:color w:val="000000" w:themeColor="text1"/>
        </w:rPr>
        <w:t>CFD</w:t>
      </w:r>
      <w:proofErr w:type="spellEnd"/>
      <w:r w:rsidR="00894FB4" w:rsidRPr="00894FB4">
        <w:rPr>
          <w:color w:val="000000" w:themeColor="text1"/>
        </w:rPr>
        <w:t xml:space="preserve">) models, and nine </w:t>
      </w:r>
      <w:proofErr w:type="spellStart"/>
      <w:r w:rsidR="00894FB4" w:rsidRPr="00894FB4">
        <w:rPr>
          <w:color w:val="000000" w:themeColor="text1"/>
        </w:rPr>
        <w:t>CFD</w:t>
      </w:r>
      <w:proofErr w:type="spellEnd"/>
      <w:r w:rsidR="00894FB4" w:rsidRPr="00894FB4">
        <w:rPr>
          <w:color w:val="000000" w:themeColor="text1"/>
        </w:rPr>
        <w:t xml:space="preserve"> iterations for each of the four tractor manufacturers.</w:t>
      </w:r>
      <w:r w:rsidR="00AA2748">
        <w:rPr>
          <w:color w:val="000000" w:themeColor="text1"/>
        </w:rPr>
        <w:t xml:space="preserve"> For trailers, t</w:t>
      </w:r>
      <w:r w:rsidR="00AA2748" w:rsidRPr="00894FB4">
        <w:rPr>
          <w:color w:val="000000" w:themeColor="text1"/>
        </w:rPr>
        <w:t xml:space="preserve">he annual costs include </w:t>
      </w:r>
      <w:r w:rsidR="00AA2748">
        <w:rPr>
          <w:color w:val="000000" w:themeColor="text1"/>
        </w:rPr>
        <w:t>as many as four</w:t>
      </w:r>
      <w:r w:rsidR="00AA2748" w:rsidRPr="00894FB4">
        <w:rPr>
          <w:color w:val="000000" w:themeColor="text1"/>
        </w:rPr>
        <w:t xml:space="preserve"> </w:t>
      </w:r>
      <w:proofErr w:type="spellStart"/>
      <w:r w:rsidR="00AA2748" w:rsidRPr="00894FB4">
        <w:rPr>
          <w:color w:val="000000" w:themeColor="text1"/>
        </w:rPr>
        <w:t>coastdown</w:t>
      </w:r>
      <w:proofErr w:type="spellEnd"/>
      <w:r w:rsidR="00AA2748" w:rsidRPr="00894FB4">
        <w:rPr>
          <w:color w:val="000000" w:themeColor="text1"/>
        </w:rPr>
        <w:t xml:space="preserve"> tests, </w:t>
      </w:r>
      <w:r w:rsidR="00AA2748">
        <w:rPr>
          <w:color w:val="000000" w:themeColor="text1"/>
        </w:rPr>
        <w:t>four</w:t>
      </w:r>
      <w:r w:rsidR="00AA2748" w:rsidRPr="00894FB4">
        <w:rPr>
          <w:color w:val="000000" w:themeColor="text1"/>
        </w:rPr>
        <w:t xml:space="preserve"> wind tunnel test</w:t>
      </w:r>
      <w:r w:rsidR="00AA2748">
        <w:rPr>
          <w:color w:val="000000" w:themeColor="text1"/>
        </w:rPr>
        <w:t>s</w:t>
      </w:r>
      <w:r w:rsidR="00AA2748" w:rsidRPr="00894FB4">
        <w:rPr>
          <w:color w:val="000000" w:themeColor="text1"/>
        </w:rPr>
        <w:t xml:space="preserve">, </w:t>
      </w:r>
      <w:r w:rsidR="00AA2748">
        <w:rPr>
          <w:color w:val="000000" w:themeColor="text1"/>
        </w:rPr>
        <w:t>four</w:t>
      </w:r>
      <w:r w:rsidR="00AA2748" w:rsidRPr="00894FB4">
        <w:rPr>
          <w:color w:val="000000" w:themeColor="text1"/>
        </w:rPr>
        <w:t xml:space="preserve"> full computational fluid dynamics (</w:t>
      </w:r>
      <w:proofErr w:type="spellStart"/>
      <w:r w:rsidR="00AA2748" w:rsidRPr="00894FB4">
        <w:rPr>
          <w:color w:val="000000" w:themeColor="text1"/>
        </w:rPr>
        <w:t>CFD</w:t>
      </w:r>
      <w:proofErr w:type="spellEnd"/>
      <w:r w:rsidR="00AA2748" w:rsidRPr="00894FB4">
        <w:rPr>
          <w:color w:val="000000" w:themeColor="text1"/>
        </w:rPr>
        <w:t xml:space="preserve">) models, </w:t>
      </w:r>
      <w:r w:rsidR="00AA2748">
        <w:rPr>
          <w:color w:val="000000" w:themeColor="text1"/>
        </w:rPr>
        <w:t xml:space="preserve">and four </w:t>
      </w:r>
      <w:proofErr w:type="spellStart"/>
      <w:r w:rsidR="00AA2748">
        <w:rPr>
          <w:color w:val="000000" w:themeColor="text1"/>
        </w:rPr>
        <w:t>CFD</w:t>
      </w:r>
      <w:proofErr w:type="spellEnd"/>
      <w:r w:rsidR="00AA2748">
        <w:rPr>
          <w:color w:val="000000" w:themeColor="text1"/>
        </w:rPr>
        <w:t xml:space="preserve"> iterations for five of the largest trailer</w:t>
      </w:r>
      <w:r w:rsidR="00AA2748" w:rsidRPr="00894FB4">
        <w:rPr>
          <w:color w:val="000000" w:themeColor="text1"/>
        </w:rPr>
        <w:t xml:space="preserve"> manufacturers.</w:t>
      </w:r>
      <w:r w:rsidR="00F213B2">
        <w:rPr>
          <w:color w:val="000000" w:themeColor="text1"/>
        </w:rPr>
        <w:t xml:space="preserve">  Zero small business trailer manufacturers are expected to perform testing.</w:t>
      </w:r>
    </w:p>
    <w:p w:rsidR="005A63AF" w:rsidRDefault="00894FB4">
      <w:pPr>
        <w:pStyle w:val="Heading3"/>
        <w:rPr>
          <w:color w:val="000000" w:themeColor="text1"/>
        </w:rPr>
      </w:pPr>
      <w:r w:rsidRPr="00894FB4">
        <w:rPr>
          <w:color w:val="000000" w:themeColor="text1"/>
        </w:rPr>
        <w:t xml:space="preserve">Capital/Start </w:t>
      </w:r>
      <w:proofErr w:type="gramStart"/>
      <w:r w:rsidRPr="00894FB4">
        <w:rPr>
          <w:color w:val="000000" w:themeColor="text1"/>
        </w:rPr>
        <w:t>Up</w:t>
      </w:r>
      <w:proofErr w:type="gramEnd"/>
      <w:r w:rsidRPr="00894FB4">
        <w:rPr>
          <w:color w:val="000000" w:themeColor="text1"/>
        </w:rPr>
        <w:t xml:space="preserve"> Costs</w:t>
      </w:r>
    </w:p>
    <w:p w:rsidR="006B64AE" w:rsidRPr="00D049CA" w:rsidRDefault="00894FB4" w:rsidP="00257FD6">
      <w:pPr>
        <w:widowControl/>
        <w:rPr>
          <w:color w:val="000000" w:themeColor="text1"/>
        </w:rPr>
      </w:pPr>
      <w:r w:rsidRPr="00894FB4">
        <w:rPr>
          <w:color w:val="000000" w:themeColor="text1"/>
        </w:rPr>
        <w:t>Startup costs are one-time costs to implement the new requirements in the rule that normally are applicable to the first year of the program, of which becomes effective is in the calendar year 201</w:t>
      </w:r>
      <w:r w:rsidR="00696FA6">
        <w:rPr>
          <w:color w:val="000000" w:themeColor="text1"/>
        </w:rPr>
        <w:t>8</w:t>
      </w:r>
      <w:r w:rsidRPr="00894FB4">
        <w:rPr>
          <w:color w:val="000000" w:themeColor="text1"/>
        </w:rPr>
        <w:t xml:space="preserve">. These startup costs fall into three categories.  First are costs associated with </w:t>
      </w:r>
      <w:r w:rsidRPr="00894FB4">
        <w:rPr>
          <w:color w:val="000000" w:themeColor="text1"/>
        </w:rPr>
        <w:lastRenderedPageBreak/>
        <w:t xml:space="preserve">information management.  Second, are </w:t>
      </w:r>
      <w:proofErr w:type="spellStart"/>
      <w:r w:rsidRPr="00894FB4">
        <w:rPr>
          <w:color w:val="000000" w:themeColor="text1"/>
        </w:rPr>
        <w:t>start up</w:t>
      </w:r>
      <w:proofErr w:type="spellEnd"/>
      <w:r w:rsidRPr="00894FB4">
        <w:rPr>
          <w:color w:val="000000" w:themeColor="text1"/>
        </w:rPr>
        <w:t xml:space="preserve"> costs associated with acquiring test equipment.  Third, are costs associated with equipment to generate vehicle </w:t>
      </w:r>
      <w:proofErr w:type="gramStart"/>
      <w:r w:rsidRPr="00894FB4">
        <w:rPr>
          <w:color w:val="000000" w:themeColor="text1"/>
        </w:rPr>
        <w:t>labels.</w:t>
      </w:r>
      <w:proofErr w:type="gramEnd"/>
    </w:p>
    <w:p w:rsidR="0058282A" w:rsidRPr="00D049CA" w:rsidRDefault="00894FB4" w:rsidP="00C47B23">
      <w:pPr>
        <w:rPr>
          <w:color w:val="000000" w:themeColor="text1"/>
        </w:rPr>
      </w:pPr>
      <w:r w:rsidRPr="00894FB4">
        <w:rPr>
          <w:color w:val="000000" w:themeColor="text1"/>
        </w:rPr>
        <w:t xml:space="preserve">For all </w:t>
      </w:r>
      <w:r w:rsidR="00696FA6">
        <w:rPr>
          <w:color w:val="000000" w:themeColor="text1"/>
        </w:rPr>
        <w:t xml:space="preserve">trailer </w:t>
      </w:r>
      <w:r w:rsidRPr="00894FB4">
        <w:rPr>
          <w:color w:val="000000" w:themeColor="text1"/>
        </w:rPr>
        <w:t xml:space="preserve">manufacturers, the rule’s electronic reporting requirements will generate first-year </w:t>
      </w:r>
      <w:proofErr w:type="spellStart"/>
      <w:r w:rsidRPr="00894FB4">
        <w:rPr>
          <w:color w:val="000000" w:themeColor="text1"/>
        </w:rPr>
        <w:t>start up</w:t>
      </w:r>
      <w:proofErr w:type="spellEnd"/>
      <w:r w:rsidRPr="00894FB4">
        <w:rPr>
          <w:color w:val="000000" w:themeColor="text1"/>
        </w:rPr>
        <w:t xml:space="preserve"> costs for programming computer systems so that certification and related data can be submitted to EPA/NHTSA in the necessary formats.  </w:t>
      </w:r>
      <w:r w:rsidR="00194793">
        <w:rPr>
          <w:color w:val="000000" w:themeColor="text1"/>
        </w:rPr>
        <w:t xml:space="preserve">We also assume they will need to purchase appropriate equipment and software to generate labels.  </w:t>
      </w:r>
      <w:r w:rsidR="00455653">
        <w:rPr>
          <w:color w:val="000000" w:themeColor="text1"/>
        </w:rPr>
        <w:t xml:space="preserve">We believe the large business trailer manufacturers will incur these capital costs in 2017 and small business trailer manufacturers will delay these costs until 2018.  </w:t>
      </w:r>
      <w:r w:rsidR="00696FA6">
        <w:rPr>
          <w:color w:val="000000" w:themeColor="text1"/>
        </w:rPr>
        <w:t>For the other engine and vehicle manufacturers, there are no new start</w:t>
      </w:r>
      <w:r w:rsidR="00257FD6">
        <w:rPr>
          <w:color w:val="000000" w:themeColor="text1"/>
        </w:rPr>
        <w:t>-</w:t>
      </w:r>
      <w:r w:rsidR="00696FA6">
        <w:rPr>
          <w:color w:val="000000" w:themeColor="text1"/>
        </w:rPr>
        <w:t xml:space="preserve">up costs </w:t>
      </w:r>
      <w:r w:rsidR="006D5FE5">
        <w:rPr>
          <w:color w:val="000000" w:themeColor="text1"/>
        </w:rPr>
        <w:t>estimated for</w:t>
      </w:r>
      <w:r w:rsidR="00696FA6">
        <w:rPr>
          <w:color w:val="000000" w:themeColor="text1"/>
        </w:rPr>
        <w:t xml:space="preserve"> th</w:t>
      </w:r>
      <w:r w:rsidR="006D5FE5">
        <w:rPr>
          <w:color w:val="000000" w:themeColor="text1"/>
        </w:rPr>
        <w:t>is</w:t>
      </w:r>
      <w:r w:rsidR="00696FA6">
        <w:rPr>
          <w:color w:val="000000" w:themeColor="text1"/>
        </w:rPr>
        <w:t xml:space="preserve"> Phase 2 </w:t>
      </w:r>
      <w:r w:rsidR="006D5FE5">
        <w:rPr>
          <w:color w:val="000000" w:themeColor="text1"/>
        </w:rPr>
        <w:t>amendment to the HD ICR</w:t>
      </w:r>
      <w:r w:rsidR="00696FA6">
        <w:rPr>
          <w:color w:val="000000" w:themeColor="text1"/>
        </w:rPr>
        <w:t xml:space="preserve"> in years 2017 through 2019</w:t>
      </w:r>
      <w:r w:rsidRPr="00894FB4">
        <w:rPr>
          <w:color w:val="000000" w:themeColor="text1"/>
        </w:rPr>
        <w:t>.</w:t>
      </w:r>
      <w:r w:rsidR="00696FA6">
        <w:rPr>
          <w:color w:val="000000" w:themeColor="text1"/>
        </w:rPr>
        <w:t xml:space="preserve">  </w:t>
      </w:r>
      <w:r w:rsidR="006D5FE5">
        <w:rPr>
          <w:color w:val="000000" w:themeColor="text1"/>
        </w:rPr>
        <w:t>As described above, w</w:t>
      </w:r>
      <w:r w:rsidR="00696FA6">
        <w:rPr>
          <w:color w:val="000000" w:themeColor="text1"/>
        </w:rPr>
        <w:t xml:space="preserve">e anticipate there would be </w:t>
      </w:r>
      <w:proofErr w:type="spellStart"/>
      <w:r w:rsidR="00696FA6">
        <w:rPr>
          <w:color w:val="000000" w:themeColor="text1"/>
        </w:rPr>
        <w:t>start up</w:t>
      </w:r>
      <w:proofErr w:type="spellEnd"/>
      <w:r w:rsidR="00696FA6">
        <w:rPr>
          <w:color w:val="000000" w:themeColor="text1"/>
        </w:rPr>
        <w:t xml:space="preserve"> costs for the non-trailer manufacturers to modify their systems to meet the Phase 2 requirements in 2020.</w:t>
      </w:r>
    </w:p>
    <w:p w:rsidR="005A63AF" w:rsidRDefault="00894FB4">
      <w:pPr>
        <w:pStyle w:val="Heading2"/>
        <w:rPr>
          <w:color w:val="000000" w:themeColor="text1"/>
        </w:rPr>
      </w:pPr>
      <w:r w:rsidRPr="00894FB4">
        <w:rPr>
          <w:color w:val="000000" w:themeColor="text1"/>
        </w:rPr>
        <w:t>Estimating Agency Burden</w:t>
      </w:r>
    </w:p>
    <w:p w:rsidR="005A63AF" w:rsidRDefault="00894FB4">
      <w:pPr>
        <w:pStyle w:val="Heading3"/>
        <w:numPr>
          <w:ilvl w:val="0"/>
          <w:numId w:val="14"/>
        </w:numPr>
        <w:rPr>
          <w:color w:val="000000" w:themeColor="text1"/>
        </w:rPr>
      </w:pPr>
      <w:r w:rsidRPr="00894FB4">
        <w:rPr>
          <w:color w:val="000000" w:themeColor="text1"/>
        </w:rPr>
        <w:t>Environmental Protection Agency (EPA)</w:t>
      </w:r>
    </w:p>
    <w:p w:rsidR="006628F2" w:rsidRPr="00D049CA" w:rsidRDefault="00894FB4" w:rsidP="00C47B23">
      <w:pPr>
        <w:rPr>
          <w:color w:val="000000" w:themeColor="text1"/>
        </w:rPr>
      </w:pPr>
      <w:r w:rsidRPr="00894FB4">
        <w:rPr>
          <w:color w:val="000000" w:themeColor="text1"/>
        </w:rPr>
        <w:t>Existing heavy duty certification and compliance programs are administered by EPA’s Compliance Division (CD).  CD works closely with t</w:t>
      </w:r>
      <w:r w:rsidR="00C62D24">
        <w:rPr>
          <w:color w:val="000000" w:themeColor="text1"/>
        </w:rPr>
        <w:t>he agenc</w:t>
      </w:r>
      <w:r w:rsidRPr="00894FB4">
        <w:rPr>
          <w:color w:val="000000" w:themeColor="text1"/>
        </w:rPr>
        <w:t>y’s Testing and Advanced Technology Division (</w:t>
      </w:r>
      <w:proofErr w:type="spellStart"/>
      <w:r w:rsidRPr="00894FB4">
        <w:rPr>
          <w:color w:val="000000" w:themeColor="text1"/>
        </w:rPr>
        <w:t>TATD</w:t>
      </w:r>
      <w:proofErr w:type="spellEnd"/>
      <w:r w:rsidRPr="00894FB4">
        <w:rPr>
          <w:color w:val="000000" w:themeColor="text1"/>
        </w:rPr>
        <w:t>) to establish and implement testing programs that enable t</w:t>
      </w:r>
      <w:r w:rsidR="00C62D24">
        <w:rPr>
          <w:color w:val="000000" w:themeColor="text1"/>
        </w:rPr>
        <w:t>he agenc</w:t>
      </w:r>
      <w:r w:rsidRPr="00894FB4">
        <w:rPr>
          <w:color w:val="000000" w:themeColor="text1"/>
        </w:rPr>
        <w:t xml:space="preserve">y to ensure compliance with its mobile source emissions standards.  Together CD and </w:t>
      </w:r>
      <w:proofErr w:type="spellStart"/>
      <w:r w:rsidRPr="00894FB4">
        <w:rPr>
          <w:color w:val="000000" w:themeColor="text1"/>
        </w:rPr>
        <w:t>TATD</w:t>
      </w:r>
      <w:proofErr w:type="spellEnd"/>
      <w:r w:rsidRPr="00894FB4">
        <w:rPr>
          <w:color w:val="000000" w:themeColor="text1"/>
        </w:rPr>
        <w:t xml:space="preserve"> have identified resources that </w:t>
      </w:r>
      <w:r w:rsidR="00B441AE">
        <w:rPr>
          <w:color w:val="000000" w:themeColor="text1"/>
        </w:rPr>
        <w:t>would be</w:t>
      </w:r>
      <w:r w:rsidR="00B441AE" w:rsidRPr="00894FB4">
        <w:rPr>
          <w:color w:val="000000" w:themeColor="text1"/>
        </w:rPr>
        <w:t xml:space="preserve"> </w:t>
      </w:r>
      <w:r w:rsidRPr="00894FB4">
        <w:rPr>
          <w:color w:val="000000" w:themeColor="text1"/>
        </w:rPr>
        <w:t>needed to support the National HD Phase 2 program, including full time equivalent</w:t>
      </w:r>
      <w:r w:rsidR="00B441AE">
        <w:rPr>
          <w:color w:val="000000" w:themeColor="text1"/>
        </w:rPr>
        <w:t xml:space="preserve"> (FTE</w:t>
      </w:r>
      <w:r w:rsidRPr="00894FB4">
        <w:rPr>
          <w:color w:val="000000" w:themeColor="text1"/>
        </w:rPr>
        <w:t>)</w:t>
      </w:r>
      <w:r w:rsidR="00B441AE">
        <w:rPr>
          <w:color w:val="000000" w:themeColor="text1"/>
        </w:rPr>
        <w:t xml:space="preserve"> staff</w:t>
      </w:r>
      <w:r w:rsidRPr="00894FB4">
        <w:rPr>
          <w:color w:val="000000" w:themeColor="text1"/>
        </w:rPr>
        <w:t xml:space="preserve"> and information system upgrades.   </w:t>
      </w:r>
    </w:p>
    <w:p w:rsidR="006628F2" w:rsidRPr="00D049CA" w:rsidRDefault="00894FB4" w:rsidP="00C47B23">
      <w:pPr>
        <w:rPr>
          <w:color w:val="000000" w:themeColor="text1"/>
        </w:rPr>
      </w:pPr>
      <w:r w:rsidRPr="00894FB4">
        <w:rPr>
          <w:color w:val="000000" w:themeColor="text1"/>
        </w:rPr>
        <w:t xml:space="preserve">Implementation of the HD Phase 2 </w:t>
      </w:r>
      <w:r w:rsidR="00B441AE">
        <w:rPr>
          <w:color w:val="000000" w:themeColor="text1"/>
        </w:rPr>
        <w:t xml:space="preserve">engine, tractor, vocational vehicle, and HD pickup truck </w:t>
      </w:r>
      <w:r w:rsidRPr="00894FB4">
        <w:rPr>
          <w:color w:val="000000" w:themeColor="text1"/>
        </w:rPr>
        <w:t xml:space="preserve">standards in years 2017 through 2019 would be carried out by existing staff.  </w:t>
      </w:r>
      <w:r w:rsidR="00B441AE">
        <w:rPr>
          <w:color w:val="000000" w:themeColor="text1"/>
        </w:rPr>
        <w:t>The implementation of the HD Phase 2 trailer program would require up to two additional FTE</w:t>
      </w:r>
      <w:r w:rsidR="002936FA">
        <w:rPr>
          <w:color w:val="000000" w:themeColor="text1"/>
        </w:rPr>
        <w:t>.</w:t>
      </w:r>
    </w:p>
    <w:p w:rsidR="006628F2" w:rsidRPr="00D049CA" w:rsidRDefault="00894FB4" w:rsidP="00C47B23">
      <w:pPr>
        <w:rPr>
          <w:color w:val="000000" w:themeColor="text1"/>
        </w:rPr>
      </w:pPr>
      <w:r w:rsidRPr="00894FB4">
        <w:rPr>
          <w:color w:val="000000" w:themeColor="text1"/>
        </w:rPr>
        <w:t xml:space="preserve">We project </w:t>
      </w:r>
      <w:r w:rsidR="00236AB2" w:rsidRPr="00894FB4">
        <w:rPr>
          <w:color w:val="000000" w:themeColor="text1"/>
        </w:rPr>
        <w:t>4</w:t>
      </w:r>
      <w:r w:rsidR="00236AB2">
        <w:rPr>
          <w:color w:val="000000" w:themeColor="text1"/>
        </w:rPr>
        <w:t>80</w:t>
      </w:r>
      <w:r w:rsidR="00236AB2" w:rsidRPr="00894FB4">
        <w:rPr>
          <w:color w:val="000000" w:themeColor="text1"/>
        </w:rPr>
        <w:t xml:space="preserve"> </w:t>
      </w:r>
      <w:r w:rsidRPr="00894FB4">
        <w:rPr>
          <w:color w:val="000000" w:themeColor="text1"/>
        </w:rPr>
        <w:t xml:space="preserve">hours per week of staff time at $80 per hour (loaded to include benefits and overhead) will be expended by the agency to manage compliance related to the </w:t>
      </w:r>
      <w:r w:rsidR="00B441AE" w:rsidRPr="00B441AE">
        <w:rPr>
          <w:color w:val="000000" w:themeColor="text1"/>
        </w:rPr>
        <w:t xml:space="preserve"> </w:t>
      </w:r>
      <w:r w:rsidR="00B441AE">
        <w:rPr>
          <w:color w:val="000000" w:themeColor="text1"/>
        </w:rPr>
        <w:t>engine, tractor, vocational vehicle, and HD pickup truck</w:t>
      </w:r>
      <w:r w:rsidRPr="00894FB4">
        <w:rPr>
          <w:color w:val="000000" w:themeColor="text1"/>
        </w:rPr>
        <w:t xml:space="preserve"> standards</w:t>
      </w:r>
      <w:r w:rsidR="00B441AE">
        <w:rPr>
          <w:color w:val="000000" w:themeColor="text1"/>
        </w:rPr>
        <w:t xml:space="preserve"> in calendar years 2017, 2018, and 2019</w:t>
      </w:r>
      <w:r w:rsidRPr="00894FB4">
        <w:rPr>
          <w:color w:val="000000" w:themeColor="text1"/>
        </w:rPr>
        <w:t xml:space="preserve">.  This comes to </w:t>
      </w:r>
      <w:r w:rsidR="00236AB2">
        <w:rPr>
          <w:color w:val="000000" w:themeColor="text1"/>
        </w:rPr>
        <w:t>22,000</w:t>
      </w:r>
      <w:r w:rsidRPr="00894FB4">
        <w:rPr>
          <w:color w:val="000000" w:themeColor="text1"/>
        </w:rPr>
        <w:t>hours or $</w:t>
      </w:r>
      <w:r w:rsidR="00236AB2">
        <w:rPr>
          <w:color w:val="000000" w:themeColor="text1"/>
        </w:rPr>
        <w:t>1.76</w:t>
      </w:r>
      <w:r w:rsidR="002936FA">
        <w:rPr>
          <w:color w:val="000000" w:themeColor="text1"/>
        </w:rPr>
        <w:t xml:space="preserve"> </w:t>
      </w:r>
      <w:r w:rsidRPr="00894FB4">
        <w:rPr>
          <w:color w:val="000000" w:themeColor="text1"/>
        </w:rPr>
        <w:t xml:space="preserve">million per year to oversee the requirements of the programs associated with this ICR.  These labor estimates are based on Office of Personnel Management labor rates effective January 2011, with a 2.1 multiplier used to account for benefits and overhead. </w:t>
      </w:r>
    </w:p>
    <w:p w:rsidR="006628F2" w:rsidRPr="00D049CA" w:rsidRDefault="00894FB4" w:rsidP="00C47B23">
      <w:pPr>
        <w:rPr>
          <w:color w:val="000000" w:themeColor="text1"/>
        </w:rPr>
      </w:pPr>
      <w:r w:rsidRPr="00894FB4">
        <w:rPr>
          <w:color w:val="000000" w:themeColor="text1"/>
        </w:rPr>
        <w:t>In addition to FTE costs, t</w:t>
      </w:r>
      <w:r w:rsidR="00C62D24">
        <w:rPr>
          <w:color w:val="000000" w:themeColor="text1"/>
        </w:rPr>
        <w:t>he agenc</w:t>
      </w:r>
      <w:r w:rsidRPr="00894FB4">
        <w:rPr>
          <w:color w:val="000000" w:themeColor="text1"/>
        </w:rPr>
        <w:t xml:space="preserve">y will need to maintain a HD engine and vehicle compliance information system.  This system will serve as a single point of entry for manufacturers to submit and EPA to collect emissions and fuel economy compliance information.  Both EPA and NHTSA will have access to this database system.  EPA estimates it will incur ongoing, annualized support costs of $150,000 </w:t>
      </w:r>
      <w:r w:rsidR="00D86081">
        <w:rPr>
          <w:color w:val="000000" w:themeColor="text1"/>
        </w:rPr>
        <w:t xml:space="preserve">in 2017, </w:t>
      </w:r>
      <w:r w:rsidR="00A46A46">
        <w:rPr>
          <w:color w:val="000000" w:themeColor="text1"/>
        </w:rPr>
        <w:t>2018</w:t>
      </w:r>
      <w:r w:rsidR="00D86081">
        <w:rPr>
          <w:color w:val="000000" w:themeColor="text1"/>
        </w:rPr>
        <w:t>, and 2019</w:t>
      </w:r>
      <w:r w:rsidR="00A46A46">
        <w:rPr>
          <w:color w:val="000000" w:themeColor="text1"/>
        </w:rPr>
        <w:t xml:space="preserve"> </w:t>
      </w:r>
      <w:r w:rsidRPr="00894FB4">
        <w:rPr>
          <w:color w:val="000000" w:themeColor="text1"/>
        </w:rPr>
        <w:t>for this database system</w:t>
      </w:r>
      <w:r w:rsidR="00A46A46">
        <w:rPr>
          <w:color w:val="000000" w:themeColor="text1"/>
        </w:rPr>
        <w:t xml:space="preserve"> that currently covers engine, tractor, vocational vehicle, and HD pickup truck reporting</w:t>
      </w:r>
      <w:r w:rsidRPr="00894FB4">
        <w:rPr>
          <w:color w:val="000000" w:themeColor="text1"/>
        </w:rPr>
        <w:t>.</w:t>
      </w:r>
      <w:r w:rsidR="00A46A46">
        <w:rPr>
          <w:color w:val="000000" w:themeColor="text1"/>
        </w:rPr>
        <w:t xml:space="preserve">  The HD Phase 2 reporting requirements for engines, tractors, and vocational vehicles would increase in 2020, therefore EPA estimates that updates to the certification, ABT, and production reporting modules would be required in 2019 in preparation for these new requirements</w:t>
      </w:r>
      <w:r w:rsidR="00154F90">
        <w:rPr>
          <w:color w:val="000000" w:themeColor="text1"/>
        </w:rPr>
        <w:t>, at an estimated cost of $200,000</w:t>
      </w:r>
      <w:r w:rsidR="00A46A46">
        <w:rPr>
          <w:color w:val="000000" w:themeColor="text1"/>
        </w:rPr>
        <w:t xml:space="preserve">.  EPA would </w:t>
      </w:r>
      <w:r w:rsidR="00154F90">
        <w:rPr>
          <w:color w:val="000000" w:themeColor="text1"/>
        </w:rPr>
        <w:t xml:space="preserve">also </w:t>
      </w:r>
      <w:r w:rsidR="00A46A46">
        <w:rPr>
          <w:color w:val="000000" w:themeColor="text1"/>
        </w:rPr>
        <w:t>be required to develop a new certification module for trailer certifications.  We estimate that</w:t>
      </w:r>
      <w:r w:rsidRPr="00894FB4">
        <w:rPr>
          <w:color w:val="000000" w:themeColor="text1"/>
        </w:rPr>
        <w:t xml:space="preserve"> </w:t>
      </w:r>
      <w:r w:rsidR="00A46A46">
        <w:rPr>
          <w:color w:val="000000" w:themeColor="text1"/>
        </w:rPr>
        <w:t xml:space="preserve">the trailer certification module </w:t>
      </w:r>
      <w:r w:rsidR="00A46A46">
        <w:rPr>
          <w:color w:val="000000" w:themeColor="text1"/>
        </w:rPr>
        <w:lastRenderedPageBreak/>
        <w:t xml:space="preserve">would cost $350,000 to develop.  In addition, a trailer ABT and production volume reporting module would cost approximately $100,000 to develop.  </w:t>
      </w:r>
      <w:r w:rsidRPr="00894FB4">
        <w:rPr>
          <w:color w:val="000000" w:themeColor="text1"/>
        </w:rPr>
        <w:t>Therefore, the total EPA cost is $</w:t>
      </w:r>
      <w:r w:rsidR="00A573AB">
        <w:rPr>
          <w:color w:val="000000" w:themeColor="text1"/>
        </w:rPr>
        <w:t>2,560,000</w:t>
      </w:r>
      <w:r w:rsidRPr="00894FB4">
        <w:rPr>
          <w:color w:val="000000" w:themeColor="text1"/>
        </w:rPr>
        <w:t xml:space="preserve"> for th</w:t>
      </w:r>
      <w:r w:rsidR="00A573AB">
        <w:rPr>
          <w:color w:val="000000" w:themeColor="text1"/>
        </w:rPr>
        <w:t>e first three implementation years of th</w:t>
      </w:r>
      <w:r w:rsidRPr="00894FB4">
        <w:rPr>
          <w:color w:val="000000" w:themeColor="text1"/>
        </w:rPr>
        <w:t xml:space="preserve">is </w:t>
      </w:r>
      <w:r w:rsidR="00A46A46">
        <w:rPr>
          <w:color w:val="000000" w:themeColor="text1"/>
        </w:rPr>
        <w:t xml:space="preserve">proposed </w:t>
      </w:r>
      <w:r w:rsidRPr="00894FB4">
        <w:rPr>
          <w:color w:val="000000" w:themeColor="text1"/>
        </w:rPr>
        <w:t>rule as found in</w:t>
      </w:r>
      <w:r w:rsidR="00BB35DE">
        <w:rPr>
          <w:color w:val="000000" w:themeColor="text1"/>
        </w:rPr>
        <w:t xml:space="preserve"> </w:t>
      </w:r>
      <w:r w:rsidR="007112DA">
        <w:fldChar w:fldCharType="begin"/>
      </w:r>
      <w:r w:rsidR="007112DA">
        <w:instrText xml:space="preserve"> REF _Ref418866099 \h  \* MERGEFORMAT </w:instrText>
      </w:r>
      <w:r w:rsidR="007112DA">
        <w:fldChar w:fldCharType="separate"/>
      </w:r>
      <w:r w:rsidR="00673E30" w:rsidRPr="00673E30">
        <w:rPr>
          <w:color w:val="000000" w:themeColor="text1"/>
          <w:szCs w:val="24"/>
        </w:rPr>
        <w:t xml:space="preserve">Table </w:t>
      </w:r>
      <w:r w:rsidR="00673E30" w:rsidRPr="00673E30">
        <w:rPr>
          <w:noProof/>
          <w:color w:val="000000" w:themeColor="text1"/>
          <w:szCs w:val="24"/>
        </w:rPr>
        <w:t>15</w:t>
      </w:r>
      <w:r w:rsidR="007112DA">
        <w:fldChar w:fldCharType="end"/>
      </w:r>
      <w:r w:rsidRPr="00894FB4">
        <w:rPr>
          <w:color w:val="000000" w:themeColor="text1"/>
        </w:rPr>
        <w:t>.</w:t>
      </w:r>
    </w:p>
    <w:p w:rsidR="005A63AF" w:rsidRDefault="00894FB4">
      <w:pPr>
        <w:pStyle w:val="Heading3"/>
        <w:keepLines/>
        <w:widowControl/>
        <w:ind w:left="1267"/>
        <w:rPr>
          <w:color w:val="000000" w:themeColor="text1"/>
        </w:rPr>
      </w:pPr>
      <w:r w:rsidRPr="00894FB4">
        <w:rPr>
          <w:color w:val="000000" w:themeColor="text1"/>
        </w:rPr>
        <w:t>Department of Transportation, National Highway Traffic Safety Administration (NHTSA)</w:t>
      </w:r>
    </w:p>
    <w:p w:rsidR="006628F2" w:rsidRPr="00D049CA" w:rsidRDefault="00894FB4" w:rsidP="00C47B23">
      <w:pPr>
        <w:rPr>
          <w:color w:val="000000" w:themeColor="text1"/>
        </w:rPr>
      </w:pPr>
      <w:r w:rsidRPr="00894FB4">
        <w:rPr>
          <w:color w:val="000000" w:themeColor="text1"/>
        </w:rPr>
        <w:t xml:space="preserve">NHTSA has an existing consumer average fuel economy program to increase the fuel economy performance of passenger cars and light trucks.  The agency administers this program in conjunction with EPA and has four divisions </w:t>
      </w:r>
      <w:r w:rsidR="003C78F6">
        <w:rPr>
          <w:color w:val="000000" w:themeColor="text1"/>
        </w:rPr>
        <w:t xml:space="preserve">including the Offices of Rulemaking, Enforcement, Statistical Analysis, and Chief Counsel </w:t>
      </w:r>
      <w:r w:rsidRPr="00894FB4">
        <w:rPr>
          <w:color w:val="000000" w:themeColor="text1"/>
        </w:rPr>
        <w:t>responsible for carrying out the activities of the program.  NHTSA is developing and plans to support its fuel consumption program for heavy-duty trucks as a part of its existing infrastructure for its LD CAFE program.</w:t>
      </w:r>
    </w:p>
    <w:p w:rsidR="006628F2" w:rsidRPr="00D049CA" w:rsidRDefault="00894FB4" w:rsidP="00C47B23">
      <w:pPr>
        <w:rPr>
          <w:color w:val="000000" w:themeColor="text1"/>
        </w:rPr>
      </w:pPr>
      <w:r w:rsidRPr="00894FB4">
        <w:rPr>
          <w:color w:val="000000" w:themeColor="text1"/>
        </w:rPr>
        <w:t>The agency plans to administer the HD program in the same manner it has historically done for the LD CAFE program.  For both programs, manufacturers start the program each model year by submitting preliminary information in advance of the model year demonstrating their ability to comply with standards based on the test results of candidate makes and models.  The information is used by EPA to conduct confirmatory testing and NHTSA conducts random audit verifications.  Manufacturers continue to test the majority of their fleets throughout the model year and then submit final reports after the model year ends to EPA.  EPA verifies manufactures final demonstration results and submits the findings to NHTSA.  NHTSA determines compliance with its standards using a credits balancing system and imposes fines if necessary.</w:t>
      </w:r>
    </w:p>
    <w:p w:rsidR="006628F2" w:rsidRPr="00D049CA" w:rsidRDefault="00894FB4" w:rsidP="00C47B23">
      <w:pPr>
        <w:rPr>
          <w:color w:val="000000" w:themeColor="text1"/>
        </w:rPr>
      </w:pPr>
      <w:r w:rsidRPr="00894FB4">
        <w:rPr>
          <w:color w:val="000000" w:themeColor="text1"/>
        </w:rPr>
        <w:t xml:space="preserve">Administering the HD </w:t>
      </w:r>
      <w:r w:rsidR="003C78F6">
        <w:rPr>
          <w:color w:val="000000" w:themeColor="text1"/>
        </w:rPr>
        <w:t xml:space="preserve">Phase 2 </w:t>
      </w:r>
      <w:r w:rsidRPr="00894FB4">
        <w:rPr>
          <w:color w:val="000000" w:themeColor="text1"/>
        </w:rPr>
        <w:t>program for NHTSA w</w:t>
      </w:r>
      <w:r w:rsidR="00696FA6">
        <w:rPr>
          <w:color w:val="000000" w:themeColor="text1"/>
        </w:rPr>
        <w:t xml:space="preserve">ould </w:t>
      </w:r>
      <w:r w:rsidRPr="00894FB4">
        <w:rPr>
          <w:color w:val="000000" w:themeColor="text1"/>
        </w:rPr>
        <w:t xml:space="preserve">require using </w:t>
      </w:r>
      <w:r w:rsidR="003C78F6">
        <w:rPr>
          <w:color w:val="000000" w:themeColor="text1"/>
        </w:rPr>
        <w:t>10</w:t>
      </w:r>
      <w:r w:rsidRPr="00894FB4">
        <w:rPr>
          <w:color w:val="000000" w:themeColor="text1"/>
        </w:rPr>
        <w:t xml:space="preserve"> persons on its existing staff and hiring two new FTEs</w:t>
      </w:r>
      <w:r w:rsidR="003C78F6">
        <w:rPr>
          <w:color w:val="000000" w:themeColor="text1"/>
        </w:rPr>
        <w:t xml:space="preserve"> or contractors</w:t>
      </w:r>
      <w:r w:rsidRPr="00894FB4">
        <w:rPr>
          <w:color w:val="000000" w:themeColor="text1"/>
        </w:rPr>
        <w:t>.  One FTE</w:t>
      </w:r>
      <w:r w:rsidR="003C78F6">
        <w:rPr>
          <w:color w:val="000000" w:themeColor="text1"/>
        </w:rPr>
        <w:t>/contractor</w:t>
      </w:r>
      <w:r w:rsidRPr="00894FB4">
        <w:rPr>
          <w:color w:val="000000" w:themeColor="text1"/>
        </w:rPr>
        <w:t xml:space="preserve"> will be an engineer and </w:t>
      </w:r>
      <w:r w:rsidR="003C78F6">
        <w:rPr>
          <w:color w:val="000000" w:themeColor="text1"/>
        </w:rPr>
        <w:t>will work on</w:t>
      </w:r>
      <w:r w:rsidRPr="00894FB4">
        <w:rPr>
          <w:color w:val="000000" w:themeColor="text1"/>
        </w:rPr>
        <w:t xml:space="preserve"> the HD program’s </w:t>
      </w:r>
      <w:r w:rsidR="003C78F6">
        <w:rPr>
          <w:color w:val="000000" w:themeColor="text1"/>
        </w:rPr>
        <w:t>enforcement</w:t>
      </w:r>
      <w:r w:rsidRPr="00894FB4">
        <w:rPr>
          <w:color w:val="000000" w:themeColor="text1"/>
        </w:rPr>
        <w:t xml:space="preserve"> activities and the second will be a program analyst responsible for tracking credits and carrying out </w:t>
      </w:r>
      <w:r w:rsidR="00BE31C7">
        <w:rPr>
          <w:color w:val="000000" w:themeColor="text1"/>
        </w:rPr>
        <w:t xml:space="preserve">other </w:t>
      </w:r>
      <w:r w:rsidRPr="00894FB4">
        <w:rPr>
          <w:color w:val="000000" w:themeColor="text1"/>
        </w:rPr>
        <w:t xml:space="preserve">enforcement </w:t>
      </w:r>
      <w:r w:rsidR="00BE31C7">
        <w:rPr>
          <w:color w:val="000000" w:themeColor="text1"/>
        </w:rPr>
        <w:t xml:space="preserve">reporting </w:t>
      </w:r>
      <w:r w:rsidRPr="00894FB4">
        <w:rPr>
          <w:color w:val="000000" w:themeColor="text1"/>
        </w:rPr>
        <w:t xml:space="preserve">activities.  </w:t>
      </w:r>
    </w:p>
    <w:p w:rsidR="006628F2" w:rsidRPr="00D049CA" w:rsidRDefault="00894FB4" w:rsidP="00C47B23">
      <w:pPr>
        <w:rPr>
          <w:color w:val="000000" w:themeColor="text1"/>
        </w:rPr>
      </w:pPr>
      <w:r w:rsidRPr="00894FB4">
        <w:rPr>
          <w:color w:val="000000" w:themeColor="text1"/>
        </w:rPr>
        <w:t xml:space="preserve">NHTSA expects to expend </w:t>
      </w:r>
      <w:r w:rsidR="00BE31C7">
        <w:rPr>
          <w:color w:val="000000" w:themeColor="text1"/>
        </w:rPr>
        <w:t>105.12</w:t>
      </w:r>
      <w:r w:rsidRPr="00894FB4">
        <w:rPr>
          <w:color w:val="000000" w:themeColor="text1"/>
        </w:rPr>
        <w:t xml:space="preserve"> hours per week of staff time at cost of $80 per hour (loaded to include benefits and overhead) to manage its compliance activities (98 percent of the total hours) for fuel consumption standards.  In total, NHTSA calculates that it will use </w:t>
      </w:r>
      <w:r w:rsidR="00BE31C7">
        <w:rPr>
          <w:color w:val="000000" w:themeColor="text1"/>
        </w:rPr>
        <w:t>5,466</w:t>
      </w:r>
      <w:r w:rsidRPr="00894FB4">
        <w:rPr>
          <w:color w:val="000000" w:themeColor="text1"/>
        </w:rPr>
        <w:t xml:space="preserve"> hours or $</w:t>
      </w:r>
      <w:r w:rsidR="00BE31C7">
        <w:rPr>
          <w:color w:val="000000" w:themeColor="text1"/>
        </w:rPr>
        <w:t>437,280</w:t>
      </w:r>
      <w:r w:rsidRPr="00894FB4">
        <w:rPr>
          <w:color w:val="000000" w:themeColor="text1"/>
        </w:rPr>
        <w:t xml:space="preserve"> per year to oversee the requirements of the programs associated with this ICR.  These labor estimates are based on Office of Personnel Management labor rates effective January 2010, with a 2.1 multiplier used to account for benefits and overhead. </w:t>
      </w:r>
    </w:p>
    <w:p w:rsidR="006628F2" w:rsidRPr="00D049CA" w:rsidRDefault="00894FB4" w:rsidP="00C47B23">
      <w:pPr>
        <w:rPr>
          <w:color w:val="000000" w:themeColor="text1"/>
        </w:rPr>
      </w:pPr>
      <w:r w:rsidRPr="00894FB4">
        <w:rPr>
          <w:color w:val="000000" w:themeColor="text1"/>
        </w:rPr>
        <w:t>NHTSA w</w:t>
      </w:r>
      <w:r w:rsidR="00696FA6">
        <w:rPr>
          <w:color w:val="000000" w:themeColor="text1"/>
        </w:rPr>
        <w:t>ould</w:t>
      </w:r>
      <w:r w:rsidRPr="00894FB4">
        <w:rPr>
          <w:color w:val="000000" w:themeColor="text1"/>
        </w:rPr>
        <w:t xml:space="preserve"> also incur cost for helping EPA maintain its compliance information database system.  The final rule establishes a harmonized approach for the HD program by which manufacturers will submit compliance reports directly through the EPA system as the single point of entry for all GHG emission and fuel consumption information required for this national program.  As a result, EPA w</w:t>
      </w:r>
      <w:r w:rsidR="00696FA6">
        <w:rPr>
          <w:color w:val="000000" w:themeColor="text1"/>
        </w:rPr>
        <w:t>ould</w:t>
      </w:r>
      <w:r w:rsidRPr="00894FB4">
        <w:rPr>
          <w:color w:val="000000" w:themeColor="text1"/>
        </w:rPr>
        <w:t xml:space="preserve"> need to create access to its database system for NHTSA.  NHTSA estimates that annual costs for contributing to maintain the EPA database in housing its fuel consumption information and ensure proper access to the data will cost approximately $</w:t>
      </w:r>
      <w:r w:rsidR="00BE31C7">
        <w:rPr>
          <w:color w:val="000000" w:themeColor="text1"/>
        </w:rPr>
        <w:t>33</w:t>
      </w:r>
      <w:r w:rsidRPr="00894FB4">
        <w:rPr>
          <w:color w:val="000000" w:themeColor="text1"/>
        </w:rPr>
        <w:t>,000 per year</w:t>
      </w:r>
      <w:r w:rsidR="00BE31C7" w:rsidRPr="00BE31C7">
        <w:rPr>
          <w:color w:val="000000" w:themeColor="text1"/>
        </w:rPr>
        <w:t xml:space="preserve"> </w:t>
      </w:r>
      <w:r w:rsidR="00BE31C7">
        <w:rPr>
          <w:color w:val="000000" w:themeColor="text1"/>
        </w:rPr>
        <w:t>for additional support of the heavy-duty truck program</w:t>
      </w:r>
      <w:r w:rsidRPr="00894FB4">
        <w:rPr>
          <w:color w:val="000000" w:themeColor="text1"/>
        </w:rPr>
        <w:t xml:space="preserve">.  This soft estimate is </w:t>
      </w:r>
      <w:r w:rsidRPr="00894FB4">
        <w:rPr>
          <w:color w:val="000000" w:themeColor="text1"/>
        </w:rPr>
        <w:lastRenderedPageBreak/>
        <w:t xml:space="preserve">based upon </w:t>
      </w:r>
      <w:proofErr w:type="spellStart"/>
      <w:r w:rsidRPr="00894FB4">
        <w:rPr>
          <w:color w:val="000000" w:themeColor="text1"/>
        </w:rPr>
        <w:t>NHTSA’s</w:t>
      </w:r>
      <w:proofErr w:type="spellEnd"/>
      <w:r w:rsidRPr="00894FB4">
        <w:rPr>
          <w:color w:val="000000" w:themeColor="text1"/>
        </w:rPr>
        <w:t xml:space="preserve"> experience with a web-based system of comparable size and complexity.  However, no costs are assigned on </w:t>
      </w:r>
      <w:proofErr w:type="spellStart"/>
      <w:r w:rsidRPr="00894FB4">
        <w:rPr>
          <w:color w:val="000000" w:themeColor="text1"/>
        </w:rPr>
        <w:t>NHTSA’s</w:t>
      </w:r>
      <w:proofErr w:type="spellEnd"/>
      <w:r w:rsidRPr="00894FB4">
        <w:rPr>
          <w:color w:val="000000" w:themeColor="text1"/>
        </w:rPr>
        <w:t xml:space="preserve"> part to enhance the system to meet our business requirements for this rule.  EPA has agreed to assume all of these costs.  Therefore, the total NHTSA cost is $</w:t>
      </w:r>
      <w:r w:rsidR="00BE31C7">
        <w:rPr>
          <w:color w:val="000000" w:themeColor="text1"/>
        </w:rPr>
        <w:t>470,280</w:t>
      </w:r>
      <w:r w:rsidRPr="00894FB4">
        <w:rPr>
          <w:color w:val="000000" w:themeColor="text1"/>
        </w:rPr>
        <w:t xml:space="preserve"> per year for this rule as found in</w:t>
      </w:r>
      <w:r w:rsidR="00696FA6">
        <w:rPr>
          <w:color w:val="000000" w:themeColor="text1"/>
        </w:rPr>
        <w:t xml:space="preserve"> </w:t>
      </w:r>
      <w:r w:rsidR="00121BAD">
        <w:rPr>
          <w:color w:val="000000" w:themeColor="text1"/>
        </w:rPr>
        <w:fldChar w:fldCharType="begin"/>
      </w:r>
      <w:r w:rsidR="00696FA6">
        <w:rPr>
          <w:color w:val="000000" w:themeColor="text1"/>
        </w:rPr>
        <w:instrText xml:space="preserve"> REF _Ref418866099 \h </w:instrText>
      </w:r>
      <w:r w:rsidR="00121BAD">
        <w:rPr>
          <w:color w:val="000000" w:themeColor="text1"/>
        </w:rPr>
      </w:r>
      <w:r w:rsidR="00121BAD">
        <w:rPr>
          <w:color w:val="000000" w:themeColor="text1"/>
        </w:rPr>
        <w:fldChar w:fldCharType="separate"/>
      </w:r>
      <w:r w:rsidR="00673E30" w:rsidRPr="00BF034E">
        <w:rPr>
          <w:color w:val="000000" w:themeColor="text1"/>
          <w:sz w:val="20"/>
        </w:rPr>
        <w:t xml:space="preserve">Table </w:t>
      </w:r>
      <w:r w:rsidR="00673E30">
        <w:rPr>
          <w:noProof/>
          <w:color w:val="000000" w:themeColor="text1"/>
          <w:sz w:val="20"/>
        </w:rPr>
        <w:t>15</w:t>
      </w:r>
      <w:r w:rsidR="00121BAD">
        <w:rPr>
          <w:color w:val="000000" w:themeColor="text1"/>
        </w:rPr>
        <w:fldChar w:fldCharType="end"/>
      </w:r>
      <w:r w:rsidRPr="00894FB4">
        <w:rPr>
          <w:color w:val="000000" w:themeColor="text1"/>
        </w:rPr>
        <w:t>.</w:t>
      </w:r>
    </w:p>
    <w:p w:rsidR="005A63AF" w:rsidRDefault="00894FB4">
      <w:pPr>
        <w:pStyle w:val="Heading2"/>
        <w:rPr>
          <w:color w:val="000000" w:themeColor="text1"/>
        </w:rPr>
      </w:pPr>
      <w:r w:rsidRPr="00894FB4">
        <w:rPr>
          <w:color w:val="000000" w:themeColor="text1"/>
        </w:rPr>
        <w:t>Estimating the Respondent Universe and Total Burden and Costs</w:t>
      </w:r>
    </w:p>
    <w:p w:rsidR="005A63AF" w:rsidRPr="0049158D" w:rsidRDefault="00894FB4" w:rsidP="0049158D">
      <w:pPr>
        <w:pStyle w:val="Heading3"/>
        <w:numPr>
          <w:ilvl w:val="0"/>
          <w:numId w:val="22"/>
        </w:numPr>
        <w:rPr>
          <w:bCs/>
          <w:color w:val="000000" w:themeColor="text1"/>
        </w:rPr>
      </w:pPr>
      <w:r w:rsidRPr="0049158D">
        <w:rPr>
          <w:bCs/>
          <w:color w:val="000000" w:themeColor="text1"/>
        </w:rPr>
        <w:t>Certification Estimates</w:t>
      </w:r>
    </w:p>
    <w:p w:rsidR="000362E7" w:rsidRPr="00D049CA" w:rsidRDefault="00894FB4" w:rsidP="00C47B23">
      <w:pPr>
        <w:rPr>
          <w:color w:val="000000" w:themeColor="text1"/>
        </w:rPr>
      </w:pPr>
      <w:r w:rsidRPr="00894FB4">
        <w:rPr>
          <w:color w:val="000000" w:themeColor="text1"/>
        </w:rPr>
        <w:t>There are 12 companies in this sector which manufacture on-highway heavy-duty engines</w:t>
      </w:r>
      <w:r w:rsidR="00696FA6">
        <w:rPr>
          <w:color w:val="000000" w:themeColor="text1"/>
        </w:rPr>
        <w:t xml:space="preserve">, </w:t>
      </w:r>
      <w:r w:rsidR="005A3F28">
        <w:rPr>
          <w:color w:val="000000" w:themeColor="text1"/>
        </w:rPr>
        <w:t xml:space="preserve">and </w:t>
      </w:r>
      <w:r w:rsidRPr="00894FB4">
        <w:rPr>
          <w:color w:val="000000" w:themeColor="text1"/>
        </w:rPr>
        <w:t>15</w:t>
      </w:r>
      <w:r w:rsidR="005A3F28">
        <w:rPr>
          <w:color w:val="000000" w:themeColor="text1"/>
        </w:rPr>
        <w:t>3</w:t>
      </w:r>
      <w:r w:rsidRPr="00894FB4">
        <w:rPr>
          <w:color w:val="000000" w:themeColor="text1"/>
        </w:rPr>
        <w:t xml:space="preserve"> companies that manufacture vehicles</w:t>
      </w:r>
      <w:r w:rsidR="005A3F28">
        <w:rPr>
          <w:color w:val="000000" w:themeColor="text1"/>
        </w:rPr>
        <w:t xml:space="preserve"> including</w:t>
      </w:r>
      <w:r w:rsidR="00696FA6">
        <w:rPr>
          <w:color w:val="000000" w:themeColor="text1"/>
        </w:rPr>
        <w:t xml:space="preserve"> trailers</w:t>
      </w:r>
      <w:r w:rsidRPr="00894FB4">
        <w:rPr>
          <w:color w:val="000000" w:themeColor="text1"/>
        </w:rPr>
        <w:t xml:space="preserve"> that will be required to meet the proposed greenhouse gas emission standards. Notably, although EPA </w:t>
      </w:r>
      <w:r w:rsidR="00696FA6">
        <w:rPr>
          <w:color w:val="000000" w:themeColor="text1"/>
        </w:rPr>
        <w:t>and NHTSA have</w:t>
      </w:r>
      <w:r w:rsidRPr="00894FB4">
        <w:rPr>
          <w:color w:val="000000" w:themeColor="text1"/>
        </w:rPr>
        <w:t xml:space="preserve"> established distinct standards for the </w:t>
      </w:r>
      <w:r w:rsidR="00696FA6">
        <w:rPr>
          <w:color w:val="000000" w:themeColor="text1"/>
        </w:rPr>
        <w:t>four</w:t>
      </w:r>
      <w:r w:rsidRPr="00894FB4">
        <w:rPr>
          <w:color w:val="000000" w:themeColor="text1"/>
        </w:rPr>
        <w:t xml:space="preserve"> vehicle categories covered by this rule:  1)  heavy duty pickup trucks/vans;  2) vocational vehicles;  3) combination tractors</w:t>
      </w:r>
      <w:r w:rsidR="00696FA6">
        <w:rPr>
          <w:color w:val="000000" w:themeColor="text1"/>
        </w:rPr>
        <w:t xml:space="preserve">; and 4) trailers </w:t>
      </w:r>
      <w:r w:rsidRPr="00894FB4">
        <w:rPr>
          <w:color w:val="000000" w:themeColor="text1"/>
        </w:rPr>
        <w:t xml:space="preserve"> -- many manufacturers are producing vehicles in more than one of these categories, and thus will be required to submit multiple certification applications.</w:t>
      </w:r>
    </w:p>
    <w:p w:rsidR="00087FC9" w:rsidRPr="00D049CA" w:rsidRDefault="00894FB4" w:rsidP="00C47B23">
      <w:pPr>
        <w:rPr>
          <w:color w:val="000000" w:themeColor="text1"/>
        </w:rPr>
      </w:pPr>
      <w:r w:rsidRPr="00894FB4">
        <w:rPr>
          <w:color w:val="000000" w:themeColor="text1"/>
        </w:rPr>
        <w:t xml:space="preserve">In total, EPA projects that related to the HD National Program, it will receive </w:t>
      </w:r>
      <w:r w:rsidR="005A3F28">
        <w:rPr>
          <w:color w:val="000000" w:themeColor="text1"/>
        </w:rPr>
        <w:t>376</w:t>
      </w:r>
      <w:r w:rsidRPr="00894FB4">
        <w:rPr>
          <w:color w:val="000000" w:themeColor="text1"/>
        </w:rPr>
        <w:t xml:space="preserve"> applications for certification, as follows:</w:t>
      </w:r>
    </w:p>
    <w:p w:rsidR="005A63AF" w:rsidRDefault="00894FB4">
      <w:pPr>
        <w:pStyle w:val="Heading4"/>
        <w:rPr>
          <w:color w:val="000000" w:themeColor="text1"/>
        </w:rPr>
      </w:pPr>
      <w:r w:rsidRPr="00894FB4">
        <w:rPr>
          <w:color w:val="000000" w:themeColor="text1"/>
        </w:rPr>
        <w:t>Engine Manufacturers</w:t>
      </w:r>
    </w:p>
    <w:p w:rsidR="00425303" w:rsidRPr="00D049CA" w:rsidRDefault="00894FB4" w:rsidP="00C47B23">
      <w:pPr>
        <w:rPr>
          <w:color w:val="000000" w:themeColor="text1"/>
        </w:rPr>
      </w:pPr>
      <w:r w:rsidRPr="00894FB4">
        <w:rPr>
          <w:color w:val="000000" w:themeColor="text1"/>
        </w:rPr>
        <w:t xml:space="preserve">Engine manufacturers and heavy-duty </w:t>
      </w:r>
      <w:r w:rsidR="002977CF">
        <w:rPr>
          <w:color w:val="000000" w:themeColor="text1"/>
        </w:rPr>
        <w:t xml:space="preserve">pickup </w:t>
      </w:r>
      <w:r w:rsidRPr="00894FB4">
        <w:rPr>
          <w:color w:val="000000" w:themeColor="text1"/>
        </w:rPr>
        <w:t>truck and van manufacturers are currently regulated by EPA and are already familiar with EPA regulations, policies and certification program.  Under the proposed regulations, engine manufacturers will not be required to submit new certification applications, but will need to add CO</w:t>
      </w:r>
      <w:r w:rsidRPr="00CF70D5">
        <w:rPr>
          <w:color w:val="000000" w:themeColor="text1"/>
          <w:vertAlign w:val="subscript"/>
        </w:rPr>
        <w:t>2</w:t>
      </w:r>
      <w:r w:rsidRPr="00894FB4">
        <w:rPr>
          <w:color w:val="000000" w:themeColor="text1"/>
        </w:rPr>
        <w:t>, N</w:t>
      </w:r>
      <w:r w:rsidRPr="00CF70D5">
        <w:rPr>
          <w:color w:val="000000" w:themeColor="text1"/>
          <w:vertAlign w:val="subscript"/>
        </w:rPr>
        <w:t>2</w:t>
      </w:r>
      <w:r w:rsidRPr="00894FB4">
        <w:rPr>
          <w:color w:val="000000" w:themeColor="text1"/>
        </w:rPr>
        <w:t>O and CH</w:t>
      </w:r>
      <w:r w:rsidRPr="00CF70D5">
        <w:rPr>
          <w:color w:val="000000" w:themeColor="text1"/>
          <w:vertAlign w:val="subscript"/>
        </w:rPr>
        <w:t>4</w:t>
      </w:r>
      <w:r w:rsidRPr="00894FB4">
        <w:rPr>
          <w:color w:val="000000" w:themeColor="text1"/>
        </w:rPr>
        <w:t xml:space="preserve"> test information and results to their applications.  EPA expects that it will receive approximately 108 such amended applications from engine manufacturers </w:t>
      </w:r>
      <w:r w:rsidR="00696FA6">
        <w:rPr>
          <w:color w:val="000000" w:themeColor="text1"/>
        </w:rPr>
        <w:t>each year</w:t>
      </w:r>
      <w:r w:rsidRPr="00894FB4">
        <w:rPr>
          <w:color w:val="000000" w:themeColor="text1"/>
        </w:rPr>
        <w:t xml:space="preserve">.  </w:t>
      </w:r>
    </w:p>
    <w:p w:rsidR="005A63AF" w:rsidRDefault="00894FB4">
      <w:pPr>
        <w:pStyle w:val="Heading4"/>
        <w:rPr>
          <w:color w:val="000000" w:themeColor="text1"/>
        </w:rPr>
      </w:pPr>
      <w:r w:rsidRPr="00894FB4">
        <w:rPr>
          <w:color w:val="000000" w:themeColor="text1"/>
        </w:rPr>
        <w:t>HD Pickup Trucks and Vans</w:t>
      </w:r>
    </w:p>
    <w:p w:rsidR="00C80623" w:rsidRPr="00D049CA" w:rsidRDefault="00894FB4" w:rsidP="00C47B23">
      <w:pPr>
        <w:rPr>
          <w:color w:val="000000" w:themeColor="text1"/>
        </w:rPr>
      </w:pPr>
      <w:r w:rsidRPr="00894FB4">
        <w:rPr>
          <w:color w:val="000000" w:themeColor="text1"/>
        </w:rPr>
        <w:t>Although subject to regulation for non-GHG emissions in the past, heavy duty truck and van manufacturers have not been required to submit certification applications for GHG emissions and fuel consumption limits.  To comply with the proposed new CO</w:t>
      </w:r>
      <w:r w:rsidRPr="00CF70D5">
        <w:rPr>
          <w:color w:val="000000" w:themeColor="text1"/>
          <w:vertAlign w:val="subscript"/>
        </w:rPr>
        <w:t>2</w:t>
      </w:r>
      <w:r w:rsidRPr="00894FB4">
        <w:rPr>
          <w:color w:val="000000" w:themeColor="text1"/>
        </w:rPr>
        <w:t>, N</w:t>
      </w:r>
      <w:r w:rsidRPr="00CF70D5">
        <w:rPr>
          <w:color w:val="000000" w:themeColor="text1"/>
          <w:vertAlign w:val="subscript"/>
        </w:rPr>
        <w:t>2</w:t>
      </w:r>
      <w:r w:rsidRPr="00894FB4">
        <w:rPr>
          <w:color w:val="000000" w:themeColor="text1"/>
        </w:rPr>
        <w:t>O and CH</w:t>
      </w:r>
      <w:r w:rsidRPr="00CF70D5">
        <w:rPr>
          <w:color w:val="000000" w:themeColor="text1"/>
          <w:vertAlign w:val="subscript"/>
        </w:rPr>
        <w:t>4</w:t>
      </w:r>
      <w:r w:rsidRPr="00894FB4">
        <w:rPr>
          <w:color w:val="000000" w:themeColor="text1"/>
        </w:rPr>
        <w:t xml:space="preserve"> emission and fuel consumption standards, EPA expects to receive 24 certification applications </w:t>
      </w:r>
      <w:r w:rsidR="00696FA6">
        <w:rPr>
          <w:color w:val="000000" w:themeColor="text1"/>
        </w:rPr>
        <w:t xml:space="preserve">each year </w:t>
      </w:r>
      <w:r w:rsidRPr="00894FB4">
        <w:rPr>
          <w:color w:val="000000" w:themeColor="text1"/>
        </w:rPr>
        <w:t xml:space="preserve">from heavy duty </w:t>
      </w:r>
      <w:r w:rsidR="00696FA6">
        <w:rPr>
          <w:color w:val="000000" w:themeColor="text1"/>
        </w:rPr>
        <w:t xml:space="preserve">pickup </w:t>
      </w:r>
      <w:r w:rsidRPr="00894FB4">
        <w:rPr>
          <w:color w:val="000000" w:themeColor="text1"/>
        </w:rPr>
        <w:t xml:space="preserve">truck and van manufacturers.  </w:t>
      </w:r>
    </w:p>
    <w:p w:rsidR="005A63AF" w:rsidRDefault="00894FB4">
      <w:pPr>
        <w:pStyle w:val="Heading4"/>
        <w:rPr>
          <w:b/>
          <w:color w:val="000000" w:themeColor="text1"/>
          <w:u w:val="single"/>
        </w:rPr>
      </w:pPr>
      <w:r w:rsidRPr="00894FB4">
        <w:rPr>
          <w:color w:val="000000" w:themeColor="text1"/>
        </w:rPr>
        <w:t>Vocational</w:t>
      </w:r>
      <w:r w:rsidR="00562D9C">
        <w:rPr>
          <w:color w:val="000000" w:themeColor="text1"/>
        </w:rPr>
        <w:t xml:space="preserve"> </w:t>
      </w:r>
      <w:r w:rsidRPr="00894FB4">
        <w:rPr>
          <w:color w:val="000000" w:themeColor="text1"/>
        </w:rPr>
        <w:t>Vehicle Chassis and Combination Tractors</w:t>
      </w:r>
    </w:p>
    <w:p w:rsidR="005908DA" w:rsidRDefault="00894FB4" w:rsidP="00C47B23">
      <w:pPr>
        <w:rPr>
          <w:color w:val="000000" w:themeColor="text1"/>
        </w:rPr>
      </w:pPr>
      <w:r w:rsidRPr="00894FB4">
        <w:rPr>
          <w:color w:val="000000" w:themeColor="text1"/>
        </w:rPr>
        <w:t>From vocational vehicle chassis manufacturers EPA expects to receive 60 applications and from combination tractor manufacturers t</w:t>
      </w:r>
      <w:r w:rsidR="00C62D24">
        <w:rPr>
          <w:color w:val="000000" w:themeColor="text1"/>
        </w:rPr>
        <w:t>he agenc</w:t>
      </w:r>
      <w:r w:rsidRPr="00894FB4">
        <w:rPr>
          <w:color w:val="000000" w:themeColor="text1"/>
        </w:rPr>
        <w:t xml:space="preserve">y estimates it may receive 32 applications </w:t>
      </w:r>
      <w:r w:rsidR="00696FA6">
        <w:rPr>
          <w:color w:val="000000" w:themeColor="text1"/>
        </w:rPr>
        <w:t>each year</w:t>
      </w:r>
      <w:r w:rsidRPr="00894FB4">
        <w:rPr>
          <w:color w:val="000000" w:themeColor="text1"/>
        </w:rPr>
        <w:t xml:space="preserve"> as we do not expect every manufacturer to produce tractors in</w:t>
      </w:r>
      <w:r w:rsidR="00BB35DE">
        <w:rPr>
          <w:color w:val="000000" w:themeColor="text1"/>
        </w:rPr>
        <w:t xml:space="preserve"> each of the nine subcategories</w:t>
      </w:r>
      <w:r w:rsidRPr="00894FB4">
        <w:rPr>
          <w:color w:val="000000" w:themeColor="text1"/>
        </w:rPr>
        <w:t xml:space="preserve">.   </w:t>
      </w:r>
    </w:p>
    <w:p w:rsidR="00C80CB6" w:rsidRDefault="00C80CB6" w:rsidP="00C80CB6">
      <w:pPr>
        <w:pStyle w:val="Heading4"/>
        <w:rPr>
          <w:b/>
          <w:color w:val="000000" w:themeColor="text1"/>
          <w:u w:val="single"/>
        </w:rPr>
      </w:pPr>
      <w:r>
        <w:rPr>
          <w:color w:val="000000" w:themeColor="text1"/>
        </w:rPr>
        <w:t>Trailers</w:t>
      </w:r>
    </w:p>
    <w:p w:rsidR="00C80CB6" w:rsidRPr="00D049CA" w:rsidRDefault="00C80CB6" w:rsidP="00C80CB6">
      <w:pPr>
        <w:rPr>
          <w:color w:val="000000" w:themeColor="text1"/>
        </w:rPr>
      </w:pPr>
      <w:r w:rsidRPr="00894FB4">
        <w:rPr>
          <w:color w:val="000000" w:themeColor="text1"/>
        </w:rPr>
        <w:t xml:space="preserve">From </w:t>
      </w:r>
      <w:r>
        <w:rPr>
          <w:color w:val="000000" w:themeColor="text1"/>
        </w:rPr>
        <w:t>trailer</w:t>
      </w:r>
      <w:r w:rsidRPr="00894FB4">
        <w:rPr>
          <w:color w:val="000000" w:themeColor="text1"/>
        </w:rPr>
        <w:t xml:space="preserve"> manufacturers EPA expects to receive </w:t>
      </w:r>
      <w:r w:rsidR="00241C94">
        <w:rPr>
          <w:color w:val="000000" w:themeColor="text1"/>
        </w:rPr>
        <w:t>1</w:t>
      </w:r>
      <w:r w:rsidR="005A3F28">
        <w:rPr>
          <w:color w:val="000000" w:themeColor="text1"/>
        </w:rPr>
        <w:t>52</w:t>
      </w:r>
      <w:r>
        <w:rPr>
          <w:color w:val="000000" w:themeColor="text1"/>
        </w:rPr>
        <w:t xml:space="preserve"> </w:t>
      </w:r>
      <w:r w:rsidRPr="00894FB4">
        <w:rPr>
          <w:color w:val="000000" w:themeColor="text1"/>
        </w:rPr>
        <w:t xml:space="preserve">applications </w:t>
      </w:r>
      <w:r>
        <w:rPr>
          <w:color w:val="000000" w:themeColor="text1"/>
        </w:rPr>
        <w:t>each year</w:t>
      </w:r>
      <w:r w:rsidR="00241C94">
        <w:rPr>
          <w:color w:val="000000" w:themeColor="text1"/>
        </w:rPr>
        <w:t>.</w:t>
      </w:r>
    </w:p>
    <w:p w:rsidR="00771190" w:rsidRPr="00D049CA" w:rsidRDefault="007112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r>
        <w:lastRenderedPageBreak/>
        <w:fldChar w:fldCharType="begin"/>
      </w:r>
      <w:r>
        <w:instrText xml:space="preserve"> REF _Ref418853245 \h  \* MERGEFORMAT </w:instrText>
      </w:r>
      <w:r>
        <w:fldChar w:fldCharType="separate"/>
      </w:r>
      <w:r w:rsidR="00673E30" w:rsidRPr="00673E30">
        <w:rPr>
          <w:color w:val="000000" w:themeColor="text1"/>
          <w:szCs w:val="24"/>
        </w:rPr>
        <w:t xml:space="preserve">Table </w:t>
      </w:r>
      <w:r w:rsidR="00673E30" w:rsidRPr="00673E30">
        <w:rPr>
          <w:noProof/>
          <w:color w:val="000000" w:themeColor="text1"/>
          <w:szCs w:val="24"/>
        </w:rPr>
        <w:t>14</w:t>
      </w:r>
      <w:r>
        <w:fldChar w:fldCharType="end"/>
      </w:r>
      <w:r w:rsidR="00696FA6">
        <w:rPr>
          <w:color w:val="000000" w:themeColor="text1"/>
        </w:rPr>
        <w:t xml:space="preserve"> </w:t>
      </w:r>
      <w:r w:rsidR="00894FB4" w:rsidRPr="00894FB4">
        <w:rPr>
          <w:color w:val="000000" w:themeColor="text1"/>
        </w:rPr>
        <w:t xml:space="preserve">below summarizes the labor, start up and operations and maintenance costs associated with meeting the proposed GHG and fuel consumption standards.  </w:t>
      </w:r>
      <w:r w:rsidR="00121BAD">
        <w:rPr>
          <w:color w:val="000000" w:themeColor="text1"/>
        </w:rPr>
        <w:fldChar w:fldCharType="begin"/>
      </w:r>
      <w:r w:rsidR="00696FA6">
        <w:rPr>
          <w:color w:val="000000" w:themeColor="text1"/>
        </w:rPr>
        <w:instrText xml:space="preserve"> REF _Ref418854502 \h </w:instrText>
      </w:r>
      <w:r w:rsidR="00121BAD">
        <w:rPr>
          <w:color w:val="000000" w:themeColor="text1"/>
        </w:rPr>
      </w:r>
      <w:r w:rsidR="00121BAD">
        <w:rPr>
          <w:color w:val="000000" w:themeColor="text1"/>
        </w:rPr>
        <w:fldChar w:fldCharType="separate"/>
      </w:r>
      <w:r w:rsidR="00673E30" w:rsidRPr="00627B60">
        <w:rPr>
          <w:color w:val="000000" w:themeColor="text1"/>
          <w:sz w:val="20"/>
        </w:rPr>
        <w:t xml:space="preserve">Table </w:t>
      </w:r>
      <w:r w:rsidR="00673E30">
        <w:rPr>
          <w:noProof/>
          <w:color w:val="000000" w:themeColor="text1"/>
          <w:sz w:val="20"/>
        </w:rPr>
        <w:t>17</w:t>
      </w:r>
      <w:r w:rsidR="00121BAD">
        <w:rPr>
          <w:color w:val="000000" w:themeColor="text1"/>
        </w:rPr>
        <w:fldChar w:fldCharType="end"/>
      </w:r>
      <w:r w:rsidR="00696FA6">
        <w:rPr>
          <w:color w:val="000000" w:themeColor="text1"/>
        </w:rPr>
        <w:t xml:space="preserve"> </w:t>
      </w:r>
      <w:r w:rsidR="00894FB4" w:rsidRPr="00894FB4">
        <w:rPr>
          <w:color w:val="000000" w:themeColor="text1"/>
        </w:rPr>
        <w:t xml:space="preserve">through </w:t>
      </w:r>
      <w:r w:rsidR="00121BAD">
        <w:rPr>
          <w:color w:val="000000" w:themeColor="text1"/>
        </w:rPr>
        <w:fldChar w:fldCharType="begin"/>
      </w:r>
      <w:r w:rsidR="00562D9C">
        <w:rPr>
          <w:color w:val="000000" w:themeColor="text1"/>
        </w:rPr>
        <w:instrText xml:space="preserve"> REF _Ref419712990 \h </w:instrText>
      </w:r>
      <w:r w:rsidR="00121BAD">
        <w:rPr>
          <w:color w:val="000000" w:themeColor="text1"/>
        </w:rPr>
      </w:r>
      <w:r w:rsidR="00121BAD">
        <w:rPr>
          <w:color w:val="000000" w:themeColor="text1"/>
        </w:rPr>
        <w:fldChar w:fldCharType="separate"/>
      </w:r>
      <w:r w:rsidR="00673E30" w:rsidRPr="00627B60">
        <w:rPr>
          <w:color w:val="000000" w:themeColor="text1"/>
          <w:sz w:val="20"/>
        </w:rPr>
        <w:t xml:space="preserve">Table </w:t>
      </w:r>
      <w:r w:rsidR="00673E30">
        <w:rPr>
          <w:noProof/>
          <w:color w:val="000000" w:themeColor="text1"/>
          <w:sz w:val="20"/>
        </w:rPr>
        <w:t>24</w:t>
      </w:r>
      <w:r w:rsidR="00121BAD">
        <w:rPr>
          <w:color w:val="000000" w:themeColor="text1"/>
        </w:rPr>
        <w:fldChar w:fldCharType="end"/>
      </w:r>
      <w:r w:rsidR="009F14A2">
        <w:rPr>
          <w:color w:val="000000" w:themeColor="text1"/>
        </w:rPr>
        <w:t xml:space="preserve"> </w:t>
      </w:r>
      <w:r w:rsidR="00894FB4" w:rsidRPr="00894FB4">
        <w:rPr>
          <w:color w:val="000000" w:themeColor="text1"/>
        </w:rPr>
        <w:t xml:space="preserve">detail costs for the four categories of vehicle manufacturers affected by the proposal.    </w:t>
      </w:r>
    </w:p>
    <w:p w:rsidR="000362E7" w:rsidRPr="00D049CA" w:rsidRDefault="00894FB4" w:rsidP="00497238">
      <w:pPr>
        <w:pStyle w:val="Heading4"/>
        <w:rPr>
          <w:color w:val="000000" w:themeColor="text1"/>
        </w:rPr>
      </w:pPr>
      <w:r w:rsidRPr="00894FB4">
        <w:rPr>
          <w:color w:val="000000" w:themeColor="text1"/>
        </w:rPr>
        <w:t>Bottom Line Burden Hours and Cost Tables</w:t>
      </w:r>
    </w:p>
    <w:p w:rsidR="005A63AF" w:rsidRDefault="00894FB4" w:rsidP="0049158D">
      <w:pPr>
        <w:pStyle w:val="Heading3"/>
      </w:pPr>
      <w:r w:rsidRPr="00894FB4">
        <w:t xml:space="preserve">Respondent Tally </w:t>
      </w:r>
    </w:p>
    <w:p w:rsidR="0090613F" w:rsidRPr="00D049CA" w:rsidRDefault="00894FB4" w:rsidP="00CA08DC">
      <w:pPr>
        <w:rPr>
          <w:color w:val="000000" w:themeColor="text1"/>
        </w:rPr>
      </w:pPr>
      <w:r w:rsidRPr="00894FB4">
        <w:rPr>
          <w:color w:val="000000" w:themeColor="text1"/>
        </w:rPr>
        <w:t xml:space="preserve">Bottom-line burden and cost estimates for the first three years of the HD National Program are shown in the table below.  </w:t>
      </w:r>
      <w:r w:rsidR="007112DA">
        <w:fldChar w:fldCharType="begin"/>
      </w:r>
      <w:r w:rsidR="007112DA">
        <w:instrText xml:space="preserve"> REF _Ref418853245 \h  \* MERGEFORMAT </w:instrText>
      </w:r>
      <w:r w:rsidR="007112DA">
        <w:fldChar w:fldCharType="separate"/>
      </w:r>
      <w:r w:rsidR="00673E30" w:rsidRPr="00673E30">
        <w:rPr>
          <w:color w:val="000000" w:themeColor="text1"/>
        </w:rPr>
        <w:t xml:space="preserve">Table </w:t>
      </w:r>
      <w:r w:rsidR="00673E30" w:rsidRPr="00673E30">
        <w:rPr>
          <w:noProof/>
          <w:color w:val="000000" w:themeColor="text1"/>
        </w:rPr>
        <w:t>14</w:t>
      </w:r>
      <w:r w:rsidR="007112DA">
        <w:fldChar w:fldCharType="end"/>
      </w:r>
      <w:r w:rsidRPr="00894FB4">
        <w:rPr>
          <w:color w:val="000000" w:themeColor="text1"/>
        </w:rPr>
        <w:t xml:space="preserve"> shows industry totals and values for each respondent by category by year.  </w:t>
      </w:r>
      <w:r w:rsidR="00ED4E83">
        <w:rPr>
          <w:color w:val="000000" w:themeColor="text1"/>
        </w:rPr>
        <w:t>T</w:t>
      </w:r>
      <w:r w:rsidRPr="00894FB4">
        <w:rPr>
          <w:color w:val="000000" w:themeColor="text1"/>
        </w:rPr>
        <w:t>he annual</w:t>
      </w:r>
      <w:r w:rsidR="00ED4E83">
        <w:rPr>
          <w:color w:val="000000" w:themeColor="text1"/>
        </w:rPr>
        <w:t xml:space="preserve"> number of responses is</w:t>
      </w:r>
      <w:r w:rsidRPr="00894FB4">
        <w:rPr>
          <w:color w:val="000000" w:themeColor="text1"/>
        </w:rPr>
        <w:t xml:space="preserve"> </w:t>
      </w:r>
      <w:r w:rsidR="00241C94">
        <w:rPr>
          <w:color w:val="000000" w:themeColor="text1"/>
        </w:rPr>
        <w:t>37</w:t>
      </w:r>
      <w:r w:rsidR="0045703C">
        <w:rPr>
          <w:color w:val="000000" w:themeColor="text1"/>
        </w:rPr>
        <w:t>6</w:t>
      </w:r>
      <w:r w:rsidRPr="00894FB4">
        <w:rPr>
          <w:color w:val="000000" w:themeColor="text1"/>
        </w:rPr>
        <w:t>,</w:t>
      </w:r>
      <w:r w:rsidR="00ED4E83">
        <w:rPr>
          <w:color w:val="000000" w:themeColor="text1"/>
        </w:rPr>
        <w:t xml:space="preserve"> the average annual time burden is</w:t>
      </w:r>
      <w:r w:rsidRPr="00894FB4">
        <w:rPr>
          <w:color w:val="000000" w:themeColor="text1"/>
        </w:rPr>
        <w:t xml:space="preserve"> </w:t>
      </w:r>
      <w:r w:rsidR="006119E1">
        <w:rPr>
          <w:color w:val="000000" w:themeColor="text1"/>
        </w:rPr>
        <w:t>62,400</w:t>
      </w:r>
      <w:r w:rsidRPr="00894FB4">
        <w:rPr>
          <w:color w:val="000000" w:themeColor="text1"/>
        </w:rPr>
        <w:t xml:space="preserve"> hours, and </w:t>
      </w:r>
      <w:r w:rsidR="00ED4E83">
        <w:rPr>
          <w:color w:val="000000" w:themeColor="text1"/>
        </w:rPr>
        <w:t xml:space="preserve">the average annual cost burden is </w:t>
      </w:r>
      <w:r w:rsidRPr="00894FB4">
        <w:rPr>
          <w:color w:val="000000" w:themeColor="text1"/>
        </w:rPr>
        <w:t>$</w:t>
      </w:r>
      <w:r w:rsidR="006119E1">
        <w:rPr>
          <w:color w:val="000000" w:themeColor="text1"/>
        </w:rPr>
        <w:t>8 million</w:t>
      </w:r>
      <w:r w:rsidRPr="00894FB4">
        <w:rPr>
          <w:color w:val="000000" w:themeColor="text1"/>
        </w:rPr>
        <w:t xml:space="preserve"> (</w:t>
      </w:r>
      <w:r w:rsidR="00ED4E83">
        <w:rPr>
          <w:color w:val="000000" w:themeColor="text1"/>
        </w:rPr>
        <w:t xml:space="preserve">including </w:t>
      </w:r>
      <w:r w:rsidR="006119E1">
        <w:rPr>
          <w:color w:val="000000" w:themeColor="text1"/>
        </w:rPr>
        <w:t xml:space="preserve">Labor, </w:t>
      </w:r>
      <w:r w:rsidRPr="00894FB4">
        <w:rPr>
          <w:color w:val="000000" w:themeColor="text1"/>
        </w:rPr>
        <w:t>Capital and O&amp;M Costs).</w:t>
      </w:r>
    </w:p>
    <w:p w:rsidR="002807D6" w:rsidRPr="00BF034E" w:rsidRDefault="00894FB4" w:rsidP="003A5F3D">
      <w:pPr>
        <w:pStyle w:val="Caption"/>
        <w:keepNext/>
        <w:rPr>
          <w:color w:val="000000" w:themeColor="text1"/>
          <w:sz w:val="20"/>
          <w:szCs w:val="20"/>
        </w:rPr>
      </w:pPr>
      <w:bookmarkStart w:id="16" w:name="_Ref418853245"/>
      <w:r w:rsidRPr="00BF034E">
        <w:rPr>
          <w:color w:val="000000" w:themeColor="text1"/>
          <w:sz w:val="20"/>
          <w:szCs w:val="20"/>
        </w:rPr>
        <w:t xml:space="preserve">Table </w:t>
      </w:r>
      <w:r w:rsidR="00121BAD" w:rsidRPr="00BF034E">
        <w:rPr>
          <w:color w:val="000000" w:themeColor="text1"/>
          <w:sz w:val="20"/>
          <w:szCs w:val="20"/>
        </w:rPr>
        <w:fldChar w:fldCharType="begin"/>
      </w:r>
      <w:r w:rsidRPr="00BF034E">
        <w:rPr>
          <w:color w:val="000000" w:themeColor="text1"/>
          <w:sz w:val="20"/>
          <w:szCs w:val="20"/>
        </w:rPr>
        <w:instrText xml:space="preserve"> SEQ Table \* ARABIC </w:instrText>
      </w:r>
      <w:r w:rsidR="00121BAD" w:rsidRPr="00BF034E">
        <w:rPr>
          <w:color w:val="000000" w:themeColor="text1"/>
          <w:sz w:val="20"/>
          <w:szCs w:val="20"/>
        </w:rPr>
        <w:fldChar w:fldCharType="separate"/>
      </w:r>
      <w:r w:rsidR="00673E30">
        <w:rPr>
          <w:noProof/>
          <w:color w:val="000000" w:themeColor="text1"/>
          <w:sz w:val="20"/>
          <w:szCs w:val="20"/>
        </w:rPr>
        <w:t>14</w:t>
      </w:r>
      <w:r w:rsidR="00121BAD" w:rsidRPr="00BF034E">
        <w:rPr>
          <w:color w:val="000000" w:themeColor="text1"/>
          <w:sz w:val="20"/>
          <w:szCs w:val="20"/>
        </w:rPr>
        <w:fldChar w:fldCharType="end"/>
      </w:r>
      <w:bookmarkEnd w:id="16"/>
      <w:r w:rsidRPr="00BF034E">
        <w:rPr>
          <w:color w:val="000000" w:themeColor="text1"/>
          <w:sz w:val="20"/>
          <w:szCs w:val="20"/>
        </w:rPr>
        <w:t xml:space="preserve"> Total Estimated Respondent Burden and Cost Summary</w:t>
      </w:r>
    </w:p>
    <w:tbl>
      <w:tblPr>
        <w:tblW w:w="10224" w:type="dxa"/>
        <w:jc w:val="center"/>
        <w:tblBorders>
          <w:top w:val="single" w:sz="7" w:space="0" w:color="000000"/>
          <w:left w:val="single" w:sz="7" w:space="0" w:color="000000"/>
          <w:bottom w:val="single" w:sz="7" w:space="0" w:color="000000"/>
          <w:right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1387"/>
        <w:gridCol w:w="1117"/>
        <w:gridCol w:w="988"/>
        <w:gridCol w:w="787"/>
        <w:gridCol w:w="1190"/>
        <w:gridCol w:w="1071"/>
        <w:gridCol w:w="1108"/>
        <w:gridCol w:w="18"/>
        <w:gridCol w:w="1225"/>
        <w:gridCol w:w="1317"/>
        <w:gridCol w:w="16"/>
      </w:tblGrid>
      <w:tr w:rsidR="003D3501" w:rsidRPr="00BB35DE" w:rsidTr="009F14A2">
        <w:trPr>
          <w:gridAfter w:val="1"/>
          <w:wAfter w:w="8" w:type="pct"/>
          <w:cantSplit/>
          <w:trHeight w:val="631"/>
          <w:tblHeader/>
          <w:jc w:val="center"/>
        </w:trPr>
        <w:tc>
          <w:tcPr>
            <w:tcW w:w="678"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Manufacturer Program</w:t>
            </w:r>
          </w:p>
        </w:tc>
        <w:tc>
          <w:tcPr>
            <w:tcW w:w="546"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9F14A2">
            <w:pPr>
              <w:pStyle w:val="Default3"/>
              <w:jc w:val="center"/>
              <w:rPr>
                <w:sz w:val="20"/>
                <w:szCs w:val="20"/>
              </w:rPr>
            </w:pPr>
            <w:r w:rsidRPr="00BB35DE">
              <w:rPr>
                <w:sz w:val="20"/>
                <w:szCs w:val="20"/>
              </w:rPr>
              <w:t>Number of Respondents</w:t>
            </w:r>
          </w:p>
        </w:tc>
        <w:tc>
          <w:tcPr>
            <w:tcW w:w="483"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9F14A2">
            <w:pPr>
              <w:pStyle w:val="Default3"/>
              <w:jc w:val="center"/>
              <w:rPr>
                <w:sz w:val="20"/>
                <w:szCs w:val="20"/>
              </w:rPr>
            </w:pPr>
            <w:r w:rsidRPr="00BB35DE">
              <w:rPr>
                <w:sz w:val="20"/>
                <w:szCs w:val="20"/>
              </w:rPr>
              <w:t>Number of Responses</w:t>
            </w:r>
          </w:p>
        </w:tc>
        <w:tc>
          <w:tcPr>
            <w:tcW w:w="385"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9F14A2">
            <w:pPr>
              <w:pStyle w:val="Default3"/>
              <w:jc w:val="center"/>
              <w:rPr>
                <w:sz w:val="20"/>
                <w:szCs w:val="20"/>
              </w:rPr>
            </w:pPr>
            <w:r w:rsidRPr="00BB35DE">
              <w:rPr>
                <w:sz w:val="20"/>
                <w:szCs w:val="20"/>
              </w:rPr>
              <w:t>Total Hours Per Year</w:t>
            </w:r>
          </w:p>
        </w:tc>
        <w:tc>
          <w:tcPr>
            <w:tcW w:w="582"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9F14A2">
            <w:pPr>
              <w:pStyle w:val="Default3"/>
              <w:jc w:val="center"/>
              <w:rPr>
                <w:sz w:val="20"/>
                <w:szCs w:val="20"/>
              </w:rPr>
            </w:pPr>
            <w:r w:rsidRPr="00BB35DE">
              <w:rPr>
                <w:sz w:val="20"/>
                <w:szCs w:val="20"/>
              </w:rPr>
              <w:t>Labor Costs</w:t>
            </w:r>
          </w:p>
        </w:tc>
        <w:tc>
          <w:tcPr>
            <w:tcW w:w="52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9F14A2">
            <w:pPr>
              <w:pStyle w:val="Default3"/>
              <w:jc w:val="center"/>
              <w:rPr>
                <w:sz w:val="20"/>
                <w:szCs w:val="20"/>
              </w:rPr>
            </w:pPr>
            <w:r w:rsidRPr="00BB35DE">
              <w:rPr>
                <w:sz w:val="20"/>
                <w:szCs w:val="20"/>
              </w:rPr>
              <w:t>Capital Costs</w:t>
            </w:r>
          </w:p>
        </w:tc>
        <w:tc>
          <w:tcPr>
            <w:tcW w:w="551" w:type="pct"/>
            <w:gridSpan w:val="2"/>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9F14A2">
            <w:pPr>
              <w:pStyle w:val="Default3"/>
              <w:jc w:val="center"/>
              <w:rPr>
                <w:sz w:val="20"/>
                <w:szCs w:val="20"/>
              </w:rPr>
            </w:pPr>
            <w:r w:rsidRPr="00BB35DE">
              <w:rPr>
                <w:sz w:val="20"/>
                <w:szCs w:val="20"/>
              </w:rPr>
              <w:t>Annual O&amp;M Costs</w:t>
            </w:r>
          </w:p>
        </w:tc>
        <w:tc>
          <w:tcPr>
            <w:tcW w:w="599"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9F14A2">
            <w:pPr>
              <w:pStyle w:val="Default3"/>
              <w:jc w:val="center"/>
              <w:rPr>
                <w:sz w:val="20"/>
                <w:szCs w:val="20"/>
              </w:rPr>
            </w:pPr>
            <w:r w:rsidRPr="00BB35DE">
              <w:rPr>
                <w:sz w:val="20"/>
                <w:szCs w:val="20"/>
              </w:rPr>
              <w:t>Total Annual Capital and O&amp;M Costs</w:t>
            </w:r>
          </w:p>
        </w:tc>
        <w:tc>
          <w:tcPr>
            <w:tcW w:w="64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9F14A2">
            <w:pPr>
              <w:pStyle w:val="Default3"/>
              <w:jc w:val="center"/>
              <w:rPr>
                <w:sz w:val="20"/>
                <w:szCs w:val="20"/>
              </w:rPr>
            </w:pPr>
            <w:r w:rsidRPr="00BB35DE">
              <w:rPr>
                <w:sz w:val="20"/>
                <w:szCs w:val="20"/>
              </w:rPr>
              <w:t>Total Labor, Capital, and O&amp;M Costs</w:t>
            </w:r>
          </w:p>
        </w:tc>
      </w:tr>
      <w:tr w:rsidR="009519D5" w:rsidRPr="00BB35DE" w:rsidTr="009F14A2">
        <w:trPr>
          <w:gridAfter w:val="1"/>
          <w:wAfter w:w="8" w:type="pct"/>
          <w:cantSplit/>
          <w:trHeight w:val="205"/>
          <w:jc w:val="center"/>
        </w:trPr>
        <w:tc>
          <w:tcPr>
            <w:tcW w:w="4992" w:type="pct"/>
            <w:gridSpan w:val="10"/>
            <w:tcBorders>
              <w:top w:val="single" w:sz="7" w:space="0" w:color="000000"/>
              <w:left w:val="single" w:sz="7" w:space="0" w:color="000000"/>
              <w:bottom w:val="single" w:sz="7" w:space="0" w:color="000000"/>
              <w:right w:val="single" w:sz="7" w:space="0" w:color="000000"/>
            </w:tcBorders>
            <w:vAlign w:val="center"/>
          </w:tcPr>
          <w:p w:rsidR="005A63AF" w:rsidRPr="009F14A2" w:rsidRDefault="00894FB4" w:rsidP="003D3501">
            <w:pPr>
              <w:pStyle w:val="Default3"/>
              <w:rPr>
                <w:b/>
                <w:sz w:val="20"/>
                <w:szCs w:val="20"/>
              </w:rPr>
            </w:pPr>
            <w:r w:rsidRPr="009F14A2">
              <w:rPr>
                <w:b/>
                <w:sz w:val="20"/>
                <w:szCs w:val="20"/>
              </w:rPr>
              <w:t>2017</w:t>
            </w:r>
          </w:p>
        </w:tc>
      </w:tr>
      <w:tr w:rsidR="003D3501" w:rsidRPr="00BB35DE" w:rsidTr="009F14A2">
        <w:trPr>
          <w:gridAfter w:val="1"/>
          <w:wAfter w:w="8" w:type="pct"/>
          <w:cantSplit/>
          <w:trHeight w:val="63"/>
          <w:jc w:val="center"/>
        </w:trPr>
        <w:tc>
          <w:tcPr>
            <w:tcW w:w="678"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Engine Testing &amp; Certification</w:t>
            </w:r>
          </w:p>
        </w:tc>
        <w:tc>
          <w:tcPr>
            <w:tcW w:w="546"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12</w:t>
            </w:r>
          </w:p>
        </w:tc>
        <w:tc>
          <w:tcPr>
            <w:tcW w:w="483"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108</w:t>
            </w:r>
          </w:p>
        </w:tc>
        <w:tc>
          <w:tcPr>
            <w:tcW w:w="385"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2,5</w:t>
            </w:r>
            <w:r w:rsidR="00241C94">
              <w:rPr>
                <w:sz w:val="20"/>
                <w:szCs w:val="20"/>
              </w:rPr>
              <w:t>92</w:t>
            </w:r>
          </w:p>
        </w:tc>
        <w:tc>
          <w:tcPr>
            <w:tcW w:w="582"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6C5913">
            <w:pPr>
              <w:pStyle w:val="Default3"/>
              <w:rPr>
                <w:sz w:val="20"/>
                <w:szCs w:val="20"/>
              </w:rPr>
            </w:pPr>
            <w:r w:rsidRPr="00BB35DE">
              <w:rPr>
                <w:sz w:val="20"/>
                <w:szCs w:val="20"/>
              </w:rPr>
              <w:t>$20</w:t>
            </w:r>
            <w:r w:rsidR="00241C94">
              <w:rPr>
                <w:sz w:val="20"/>
                <w:szCs w:val="20"/>
              </w:rPr>
              <w:t>7</w:t>
            </w:r>
            <w:r w:rsidRPr="00BB35DE">
              <w:rPr>
                <w:sz w:val="20"/>
                <w:szCs w:val="20"/>
              </w:rPr>
              <w:t>,</w:t>
            </w:r>
            <w:r w:rsidR="00241C94">
              <w:rPr>
                <w:sz w:val="20"/>
                <w:szCs w:val="20"/>
              </w:rPr>
              <w:t>491</w:t>
            </w:r>
          </w:p>
        </w:tc>
        <w:tc>
          <w:tcPr>
            <w:tcW w:w="52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$0</w:t>
            </w:r>
          </w:p>
        </w:tc>
        <w:tc>
          <w:tcPr>
            <w:tcW w:w="551" w:type="pct"/>
            <w:gridSpan w:val="2"/>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$0</w:t>
            </w:r>
          </w:p>
        </w:tc>
        <w:tc>
          <w:tcPr>
            <w:tcW w:w="599"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$0</w:t>
            </w:r>
          </w:p>
        </w:tc>
        <w:tc>
          <w:tcPr>
            <w:tcW w:w="64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6C5913">
            <w:pPr>
              <w:pStyle w:val="Default3"/>
              <w:rPr>
                <w:sz w:val="20"/>
                <w:szCs w:val="20"/>
              </w:rPr>
            </w:pPr>
            <w:r w:rsidRPr="00BB35DE">
              <w:rPr>
                <w:sz w:val="20"/>
                <w:szCs w:val="20"/>
              </w:rPr>
              <w:t>$20</w:t>
            </w:r>
            <w:r w:rsidR="00241C94">
              <w:rPr>
                <w:sz w:val="20"/>
                <w:szCs w:val="20"/>
              </w:rPr>
              <w:t>7,491</w:t>
            </w:r>
            <w:r w:rsidRPr="00BB35DE">
              <w:rPr>
                <w:sz w:val="20"/>
                <w:szCs w:val="20"/>
              </w:rPr>
              <w:t xml:space="preserve"> </w:t>
            </w:r>
          </w:p>
        </w:tc>
      </w:tr>
      <w:tr w:rsidR="003D3501" w:rsidRPr="00BB35DE" w:rsidTr="009F14A2">
        <w:trPr>
          <w:gridAfter w:val="1"/>
          <w:wAfter w:w="8" w:type="pct"/>
          <w:cantSplit/>
          <w:trHeight w:val="427"/>
          <w:jc w:val="center"/>
        </w:trPr>
        <w:tc>
          <w:tcPr>
            <w:tcW w:w="678"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HD Truck/Van Testing &amp; Certification</w:t>
            </w:r>
          </w:p>
        </w:tc>
        <w:tc>
          <w:tcPr>
            <w:tcW w:w="546"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3</w:t>
            </w:r>
          </w:p>
        </w:tc>
        <w:tc>
          <w:tcPr>
            <w:tcW w:w="483"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24</w:t>
            </w:r>
          </w:p>
        </w:tc>
        <w:tc>
          <w:tcPr>
            <w:tcW w:w="385"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9F14A2" w:rsidP="009F14A2">
            <w:pPr>
              <w:pStyle w:val="Default3"/>
              <w:rPr>
                <w:sz w:val="20"/>
                <w:szCs w:val="20"/>
              </w:rPr>
            </w:pPr>
            <w:r>
              <w:rPr>
                <w:sz w:val="20"/>
                <w:szCs w:val="20"/>
              </w:rPr>
              <w:t>3</w:t>
            </w:r>
            <w:r w:rsidR="00894FB4" w:rsidRPr="00BB35DE">
              <w:rPr>
                <w:sz w:val="20"/>
                <w:szCs w:val="20"/>
              </w:rPr>
              <w:t>,8</w:t>
            </w:r>
            <w:r w:rsidR="00241C94">
              <w:rPr>
                <w:sz w:val="20"/>
                <w:szCs w:val="20"/>
              </w:rPr>
              <w:t>2</w:t>
            </w:r>
            <w:r>
              <w:rPr>
                <w:sz w:val="20"/>
                <w:szCs w:val="20"/>
              </w:rPr>
              <w:t>8</w:t>
            </w:r>
          </w:p>
        </w:tc>
        <w:tc>
          <w:tcPr>
            <w:tcW w:w="582"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6C5913">
            <w:pPr>
              <w:pStyle w:val="Default3"/>
              <w:rPr>
                <w:sz w:val="20"/>
                <w:szCs w:val="20"/>
              </w:rPr>
            </w:pPr>
            <w:r w:rsidRPr="00BB35DE">
              <w:rPr>
                <w:sz w:val="20"/>
                <w:szCs w:val="20"/>
              </w:rPr>
              <w:t>$3</w:t>
            </w:r>
            <w:r w:rsidR="00241C94">
              <w:rPr>
                <w:sz w:val="20"/>
                <w:szCs w:val="20"/>
              </w:rPr>
              <w:t>24,918</w:t>
            </w:r>
          </w:p>
        </w:tc>
        <w:tc>
          <w:tcPr>
            <w:tcW w:w="52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$0</w:t>
            </w:r>
          </w:p>
        </w:tc>
        <w:tc>
          <w:tcPr>
            <w:tcW w:w="551" w:type="pct"/>
            <w:gridSpan w:val="2"/>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$0</w:t>
            </w:r>
          </w:p>
        </w:tc>
        <w:tc>
          <w:tcPr>
            <w:tcW w:w="599"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$0</w:t>
            </w:r>
          </w:p>
        </w:tc>
        <w:tc>
          <w:tcPr>
            <w:tcW w:w="64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6C5913">
            <w:pPr>
              <w:pStyle w:val="Default3"/>
              <w:rPr>
                <w:sz w:val="20"/>
                <w:szCs w:val="20"/>
              </w:rPr>
            </w:pPr>
            <w:r w:rsidRPr="00BB35DE">
              <w:rPr>
                <w:sz w:val="20"/>
                <w:szCs w:val="20"/>
              </w:rPr>
              <w:t>$3</w:t>
            </w:r>
            <w:r w:rsidR="00241C94">
              <w:rPr>
                <w:sz w:val="20"/>
                <w:szCs w:val="20"/>
              </w:rPr>
              <w:t>24,918</w:t>
            </w:r>
            <w:r w:rsidRPr="00BB35DE">
              <w:rPr>
                <w:sz w:val="20"/>
                <w:szCs w:val="20"/>
              </w:rPr>
              <w:t xml:space="preserve"> </w:t>
            </w:r>
          </w:p>
        </w:tc>
      </w:tr>
      <w:tr w:rsidR="003D3501" w:rsidRPr="00BB35DE" w:rsidTr="009F14A2">
        <w:trPr>
          <w:gridAfter w:val="1"/>
          <w:wAfter w:w="8" w:type="pct"/>
          <w:cantSplit/>
          <w:trHeight w:val="427"/>
          <w:jc w:val="center"/>
        </w:trPr>
        <w:tc>
          <w:tcPr>
            <w:tcW w:w="678"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Vocational Vehicle Testing &amp; Certification</w:t>
            </w:r>
          </w:p>
        </w:tc>
        <w:tc>
          <w:tcPr>
            <w:tcW w:w="546"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241C94" w:rsidP="003D3501">
            <w:pPr>
              <w:pStyle w:val="Default3"/>
              <w:rPr>
                <w:sz w:val="20"/>
                <w:szCs w:val="20"/>
              </w:rPr>
            </w:pPr>
            <w:r>
              <w:rPr>
                <w:sz w:val="20"/>
                <w:szCs w:val="20"/>
              </w:rPr>
              <w:t>22</w:t>
            </w:r>
          </w:p>
        </w:tc>
        <w:tc>
          <w:tcPr>
            <w:tcW w:w="483"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60</w:t>
            </w:r>
          </w:p>
        </w:tc>
        <w:tc>
          <w:tcPr>
            <w:tcW w:w="385"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241C94" w:rsidP="003D3501">
            <w:pPr>
              <w:pStyle w:val="Default3"/>
              <w:rPr>
                <w:sz w:val="20"/>
                <w:szCs w:val="20"/>
              </w:rPr>
            </w:pPr>
            <w:r>
              <w:rPr>
                <w:sz w:val="20"/>
                <w:szCs w:val="20"/>
              </w:rPr>
              <w:t>10</w:t>
            </w:r>
            <w:r w:rsidR="00894FB4" w:rsidRPr="00BB35DE">
              <w:rPr>
                <w:sz w:val="20"/>
                <w:szCs w:val="20"/>
              </w:rPr>
              <w:t>,</w:t>
            </w:r>
            <w:r>
              <w:rPr>
                <w:sz w:val="20"/>
                <w:szCs w:val="20"/>
              </w:rPr>
              <w:t>86</w:t>
            </w:r>
            <w:r w:rsidR="00894FB4" w:rsidRPr="00BB35DE">
              <w:rPr>
                <w:sz w:val="20"/>
                <w:szCs w:val="20"/>
              </w:rPr>
              <w:t>0</w:t>
            </w:r>
          </w:p>
        </w:tc>
        <w:tc>
          <w:tcPr>
            <w:tcW w:w="582"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6C5913">
            <w:pPr>
              <w:pStyle w:val="Default3"/>
              <w:rPr>
                <w:sz w:val="20"/>
                <w:szCs w:val="20"/>
              </w:rPr>
            </w:pPr>
            <w:r w:rsidRPr="00BB35DE">
              <w:rPr>
                <w:sz w:val="20"/>
                <w:szCs w:val="20"/>
              </w:rPr>
              <w:t>$8</w:t>
            </w:r>
            <w:r w:rsidR="00241C94">
              <w:rPr>
                <w:sz w:val="20"/>
                <w:szCs w:val="20"/>
              </w:rPr>
              <w:t>86</w:t>
            </w:r>
            <w:r w:rsidRPr="00BB35DE">
              <w:rPr>
                <w:sz w:val="20"/>
                <w:szCs w:val="20"/>
              </w:rPr>
              <w:t>,</w:t>
            </w:r>
            <w:r w:rsidR="00241C94">
              <w:rPr>
                <w:sz w:val="20"/>
                <w:szCs w:val="20"/>
              </w:rPr>
              <w:t>231</w:t>
            </w:r>
          </w:p>
        </w:tc>
        <w:tc>
          <w:tcPr>
            <w:tcW w:w="52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$0</w:t>
            </w:r>
          </w:p>
        </w:tc>
        <w:tc>
          <w:tcPr>
            <w:tcW w:w="551" w:type="pct"/>
            <w:gridSpan w:val="2"/>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$1,</w:t>
            </w:r>
            <w:r w:rsidR="00241C94">
              <w:rPr>
                <w:sz w:val="20"/>
                <w:szCs w:val="20"/>
              </w:rPr>
              <w:t>5</w:t>
            </w:r>
            <w:r w:rsidRPr="00BB35DE">
              <w:rPr>
                <w:sz w:val="20"/>
                <w:szCs w:val="20"/>
              </w:rPr>
              <w:t>00</w:t>
            </w:r>
          </w:p>
        </w:tc>
        <w:tc>
          <w:tcPr>
            <w:tcW w:w="599"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$1,</w:t>
            </w:r>
            <w:r w:rsidR="00241C94">
              <w:rPr>
                <w:sz w:val="20"/>
                <w:szCs w:val="20"/>
              </w:rPr>
              <w:t>5</w:t>
            </w:r>
            <w:r w:rsidRPr="00BB35DE">
              <w:rPr>
                <w:sz w:val="20"/>
                <w:szCs w:val="20"/>
              </w:rPr>
              <w:t>00</w:t>
            </w:r>
          </w:p>
        </w:tc>
        <w:tc>
          <w:tcPr>
            <w:tcW w:w="64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6C5913">
            <w:pPr>
              <w:pStyle w:val="Default3"/>
              <w:rPr>
                <w:sz w:val="20"/>
                <w:szCs w:val="20"/>
              </w:rPr>
            </w:pPr>
            <w:r w:rsidRPr="00BB35DE">
              <w:rPr>
                <w:sz w:val="20"/>
                <w:szCs w:val="20"/>
              </w:rPr>
              <w:t>$8</w:t>
            </w:r>
            <w:r w:rsidR="00241C94">
              <w:rPr>
                <w:sz w:val="20"/>
                <w:szCs w:val="20"/>
              </w:rPr>
              <w:t>90</w:t>
            </w:r>
            <w:r w:rsidRPr="00BB35DE">
              <w:rPr>
                <w:sz w:val="20"/>
                <w:szCs w:val="20"/>
              </w:rPr>
              <w:t>,</w:t>
            </w:r>
            <w:r w:rsidR="00241C94">
              <w:rPr>
                <w:sz w:val="20"/>
                <w:szCs w:val="20"/>
              </w:rPr>
              <w:t>322</w:t>
            </w:r>
            <w:r w:rsidRPr="00BB35DE">
              <w:rPr>
                <w:sz w:val="20"/>
                <w:szCs w:val="20"/>
              </w:rPr>
              <w:t xml:space="preserve"> </w:t>
            </w:r>
          </w:p>
        </w:tc>
      </w:tr>
      <w:tr w:rsidR="003D3501" w:rsidRPr="00BB35DE" w:rsidTr="009F14A2">
        <w:trPr>
          <w:gridAfter w:val="1"/>
          <w:wAfter w:w="8" w:type="pct"/>
          <w:cantSplit/>
          <w:trHeight w:val="433"/>
          <w:jc w:val="center"/>
        </w:trPr>
        <w:tc>
          <w:tcPr>
            <w:tcW w:w="678"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Combination Tractor Certification</w:t>
            </w:r>
          </w:p>
        </w:tc>
        <w:tc>
          <w:tcPr>
            <w:tcW w:w="546"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4</w:t>
            </w:r>
          </w:p>
        </w:tc>
        <w:tc>
          <w:tcPr>
            <w:tcW w:w="483"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32</w:t>
            </w:r>
          </w:p>
        </w:tc>
        <w:tc>
          <w:tcPr>
            <w:tcW w:w="385"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9F14A2">
            <w:pPr>
              <w:pStyle w:val="Default3"/>
              <w:rPr>
                <w:sz w:val="20"/>
                <w:szCs w:val="20"/>
              </w:rPr>
            </w:pPr>
            <w:r w:rsidRPr="00BB35DE">
              <w:rPr>
                <w:sz w:val="20"/>
                <w:szCs w:val="20"/>
              </w:rPr>
              <w:t>1</w:t>
            </w:r>
            <w:r w:rsidR="009F14A2">
              <w:rPr>
                <w:sz w:val="20"/>
                <w:szCs w:val="20"/>
              </w:rPr>
              <w:t>6</w:t>
            </w:r>
            <w:r w:rsidRPr="00BB35DE">
              <w:rPr>
                <w:sz w:val="20"/>
                <w:szCs w:val="20"/>
              </w:rPr>
              <w:t>,</w:t>
            </w:r>
            <w:r w:rsidR="009F14A2">
              <w:rPr>
                <w:sz w:val="20"/>
                <w:szCs w:val="20"/>
              </w:rPr>
              <w:t>4</w:t>
            </w:r>
            <w:r w:rsidR="00241C94">
              <w:rPr>
                <w:sz w:val="20"/>
                <w:szCs w:val="20"/>
              </w:rPr>
              <w:t>20</w:t>
            </w:r>
          </w:p>
        </w:tc>
        <w:tc>
          <w:tcPr>
            <w:tcW w:w="582"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6C5913">
            <w:pPr>
              <w:pStyle w:val="Default3"/>
              <w:rPr>
                <w:sz w:val="20"/>
                <w:szCs w:val="20"/>
              </w:rPr>
            </w:pPr>
            <w:r w:rsidRPr="00BB35DE">
              <w:rPr>
                <w:sz w:val="20"/>
                <w:szCs w:val="20"/>
              </w:rPr>
              <w:t>$1,274</w:t>
            </w:r>
            <w:r w:rsidR="00241C94">
              <w:rPr>
                <w:sz w:val="20"/>
                <w:szCs w:val="20"/>
              </w:rPr>
              <w:t>,</w:t>
            </w:r>
            <w:r w:rsidRPr="00BB35DE">
              <w:rPr>
                <w:sz w:val="20"/>
                <w:szCs w:val="20"/>
              </w:rPr>
              <w:t>595</w:t>
            </w:r>
          </w:p>
        </w:tc>
        <w:tc>
          <w:tcPr>
            <w:tcW w:w="52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$0</w:t>
            </w:r>
          </w:p>
        </w:tc>
        <w:tc>
          <w:tcPr>
            <w:tcW w:w="551" w:type="pct"/>
            <w:gridSpan w:val="2"/>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$124,000</w:t>
            </w:r>
          </w:p>
        </w:tc>
        <w:tc>
          <w:tcPr>
            <w:tcW w:w="599"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$124,000</w:t>
            </w:r>
          </w:p>
        </w:tc>
        <w:tc>
          <w:tcPr>
            <w:tcW w:w="64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6C5913">
            <w:pPr>
              <w:pStyle w:val="Default3"/>
              <w:rPr>
                <w:sz w:val="20"/>
                <w:szCs w:val="20"/>
              </w:rPr>
            </w:pPr>
            <w:r w:rsidRPr="00BB35DE">
              <w:rPr>
                <w:sz w:val="20"/>
                <w:szCs w:val="20"/>
              </w:rPr>
              <w:t>$1,336</w:t>
            </w:r>
            <w:r w:rsidR="00241C94">
              <w:rPr>
                <w:sz w:val="20"/>
                <w:szCs w:val="20"/>
              </w:rPr>
              <w:t>,</w:t>
            </w:r>
            <w:r w:rsidRPr="00BB35DE">
              <w:rPr>
                <w:sz w:val="20"/>
                <w:szCs w:val="20"/>
              </w:rPr>
              <w:t xml:space="preserve">466 </w:t>
            </w:r>
          </w:p>
        </w:tc>
      </w:tr>
      <w:tr w:rsidR="003D3501" w:rsidRPr="00BB35DE" w:rsidTr="009F14A2">
        <w:trPr>
          <w:gridAfter w:val="1"/>
          <w:wAfter w:w="8" w:type="pct"/>
          <w:cantSplit/>
          <w:trHeight w:val="633"/>
          <w:jc w:val="center"/>
        </w:trPr>
        <w:tc>
          <w:tcPr>
            <w:tcW w:w="678"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Trailer Certification</w:t>
            </w:r>
          </w:p>
        </w:tc>
        <w:tc>
          <w:tcPr>
            <w:tcW w:w="546"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3D3501" w:rsidP="003D3501">
            <w:pPr>
              <w:pStyle w:val="Default3"/>
              <w:rPr>
                <w:sz w:val="20"/>
                <w:szCs w:val="20"/>
              </w:rPr>
            </w:pPr>
            <w:r>
              <w:rPr>
                <w:sz w:val="20"/>
                <w:szCs w:val="20"/>
              </w:rPr>
              <w:t>114</w:t>
            </w:r>
          </w:p>
        </w:tc>
        <w:tc>
          <w:tcPr>
            <w:tcW w:w="483"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3D3501" w:rsidP="003D3501">
            <w:pPr>
              <w:pStyle w:val="Default3"/>
              <w:rPr>
                <w:sz w:val="20"/>
                <w:szCs w:val="20"/>
              </w:rPr>
            </w:pPr>
            <w:r>
              <w:rPr>
                <w:sz w:val="20"/>
                <w:szCs w:val="20"/>
              </w:rPr>
              <w:t>152</w:t>
            </w:r>
          </w:p>
        </w:tc>
        <w:tc>
          <w:tcPr>
            <w:tcW w:w="385"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3D3501" w:rsidP="003D3501">
            <w:pPr>
              <w:pStyle w:val="Default3"/>
              <w:rPr>
                <w:sz w:val="20"/>
                <w:szCs w:val="20"/>
              </w:rPr>
            </w:pPr>
            <w:r>
              <w:rPr>
                <w:sz w:val="20"/>
                <w:szCs w:val="20"/>
              </w:rPr>
              <w:t>17,552</w:t>
            </w:r>
          </w:p>
        </w:tc>
        <w:tc>
          <w:tcPr>
            <w:tcW w:w="582"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3D3501" w:rsidP="006C5913">
            <w:pPr>
              <w:pStyle w:val="Default3"/>
              <w:rPr>
                <w:sz w:val="20"/>
                <w:szCs w:val="20"/>
              </w:rPr>
            </w:pPr>
            <w:r>
              <w:rPr>
                <w:sz w:val="20"/>
                <w:szCs w:val="20"/>
              </w:rPr>
              <w:t>$1,666,395</w:t>
            </w:r>
          </w:p>
        </w:tc>
        <w:tc>
          <w:tcPr>
            <w:tcW w:w="52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3D3501" w:rsidP="006C5913">
            <w:pPr>
              <w:pStyle w:val="Default3"/>
              <w:rPr>
                <w:sz w:val="20"/>
                <w:szCs w:val="20"/>
              </w:rPr>
            </w:pPr>
            <w:r>
              <w:rPr>
                <w:sz w:val="20"/>
                <w:szCs w:val="20"/>
              </w:rPr>
              <w:t>$950,000</w:t>
            </w:r>
          </w:p>
        </w:tc>
        <w:tc>
          <w:tcPr>
            <w:tcW w:w="551" w:type="pct"/>
            <w:gridSpan w:val="2"/>
            <w:tcBorders>
              <w:top w:val="single" w:sz="7" w:space="0" w:color="000000"/>
              <w:left w:val="single" w:sz="7" w:space="0" w:color="000000"/>
              <w:bottom w:val="single" w:sz="7" w:space="0" w:color="000000"/>
              <w:right w:val="single" w:sz="7" w:space="0" w:color="000000"/>
            </w:tcBorders>
            <w:vAlign w:val="center"/>
          </w:tcPr>
          <w:p w:rsidR="005A63AF" w:rsidRPr="00BB35DE" w:rsidRDefault="003D3501" w:rsidP="003D3501">
            <w:pPr>
              <w:pStyle w:val="Default3"/>
              <w:rPr>
                <w:sz w:val="20"/>
                <w:szCs w:val="20"/>
              </w:rPr>
            </w:pPr>
            <w:r>
              <w:rPr>
                <w:sz w:val="20"/>
                <w:szCs w:val="20"/>
              </w:rPr>
              <w:t>$612,000</w:t>
            </w:r>
          </w:p>
        </w:tc>
        <w:tc>
          <w:tcPr>
            <w:tcW w:w="599"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3D3501" w:rsidP="003D3501">
            <w:pPr>
              <w:pStyle w:val="Default3"/>
              <w:rPr>
                <w:sz w:val="20"/>
                <w:szCs w:val="20"/>
              </w:rPr>
            </w:pPr>
            <w:r>
              <w:rPr>
                <w:sz w:val="20"/>
                <w:szCs w:val="20"/>
              </w:rPr>
              <w:t>$1,562,000</w:t>
            </w:r>
          </w:p>
        </w:tc>
        <w:tc>
          <w:tcPr>
            <w:tcW w:w="64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097C19" w:rsidP="006C5913">
            <w:pPr>
              <w:pStyle w:val="Default3"/>
              <w:rPr>
                <w:sz w:val="20"/>
                <w:szCs w:val="20"/>
              </w:rPr>
            </w:pPr>
            <w:r w:rsidRPr="00097C19">
              <w:rPr>
                <w:sz w:val="20"/>
                <w:szCs w:val="20"/>
              </w:rPr>
              <w:t>$3,228,395</w:t>
            </w:r>
          </w:p>
        </w:tc>
      </w:tr>
      <w:tr w:rsidR="009519D5" w:rsidRPr="00BB35DE" w:rsidTr="009F14A2">
        <w:trPr>
          <w:gridAfter w:val="1"/>
          <w:wAfter w:w="8" w:type="pct"/>
          <w:cantSplit/>
          <w:trHeight w:val="222"/>
          <w:jc w:val="center"/>
        </w:trPr>
        <w:tc>
          <w:tcPr>
            <w:tcW w:w="4992" w:type="pct"/>
            <w:gridSpan w:val="10"/>
            <w:tcBorders>
              <w:top w:val="single" w:sz="7" w:space="0" w:color="000000"/>
              <w:left w:val="single" w:sz="7" w:space="0" w:color="000000"/>
              <w:bottom w:val="single" w:sz="7" w:space="0" w:color="000000"/>
              <w:right w:val="single" w:sz="7" w:space="0" w:color="000000"/>
            </w:tcBorders>
            <w:vAlign w:val="center"/>
          </w:tcPr>
          <w:p w:rsidR="005A63AF" w:rsidRPr="009F14A2" w:rsidRDefault="00894FB4" w:rsidP="003D3501">
            <w:pPr>
              <w:pStyle w:val="Default3"/>
              <w:rPr>
                <w:b/>
                <w:sz w:val="20"/>
                <w:szCs w:val="20"/>
              </w:rPr>
            </w:pPr>
            <w:r w:rsidRPr="009F14A2">
              <w:rPr>
                <w:b/>
                <w:sz w:val="20"/>
                <w:szCs w:val="20"/>
              </w:rPr>
              <w:t>2018</w:t>
            </w:r>
          </w:p>
        </w:tc>
      </w:tr>
      <w:tr w:rsidR="003D3501" w:rsidRPr="00BB35DE" w:rsidTr="009F14A2">
        <w:trPr>
          <w:gridAfter w:val="1"/>
          <w:wAfter w:w="8" w:type="pct"/>
          <w:cantSplit/>
          <w:trHeight w:val="427"/>
          <w:jc w:val="center"/>
        </w:trPr>
        <w:tc>
          <w:tcPr>
            <w:tcW w:w="678"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Engine Testing &amp; Certification</w:t>
            </w:r>
          </w:p>
        </w:tc>
        <w:tc>
          <w:tcPr>
            <w:tcW w:w="546"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12</w:t>
            </w:r>
          </w:p>
        </w:tc>
        <w:tc>
          <w:tcPr>
            <w:tcW w:w="483"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108</w:t>
            </w:r>
          </w:p>
        </w:tc>
        <w:tc>
          <w:tcPr>
            <w:tcW w:w="385"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2,5</w:t>
            </w:r>
            <w:r w:rsidR="00241C94">
              <w:rPr>
                <w:sz w:val="20"/>
                <w:szCs w:val="20"/>
              </w:rPr>
              <w:t>92</w:t>
            </w:r>
          </w:p>
        </w:tc>
        <w:tc>
          <w:tcPr>
            <w:tcW w:w="582"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6C5913">
            <w:pPr>
              <w:pStyle w:val="Default3"/>
              <w:rPr>
                <w:sz w:val="20"/>
                <w:szCs w:val="20"/>
              </w:rPr>
            </w:pPr>
            <w:r w:rsidRPr="00BB35DE">
              <w:rPr>
                <w:sz w:val="20"/>
                <w:szCs w:val="20"/>
              </w:rPr>
              <w:t>$20</w:t>
            </w:r>
            <w:r w:rsidR="00241C94">
              <w:rPr>
                <w:sz w:val="20"/>
                <w:szCs w:val="20"/>
              </w:rPr>
              <w:t>7</w:t>
            </w:r>
            <w:r w:rsidRPr="00BB35DE">
              <w:rPr>
                <w:sz w:val="20"/>
                <w:szCs w:val="20"/>
              </w:rPr>
              <w:t>,</w:t>
            </w:r>
            <w:r w:rsidR="00241C94">
              <w:rPr>
                <w:sz w:val="20"/>
                <w:szCs w:val="20"/>
              </w:rPr>
              <w:t>491</w:t>
            </w:r>
          </w:p>
        </w:tc>
        <w:tc>
          <w:tcPr>
            <w:tcW w:w="52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$0</w:t>
            </w:r>
          </w:p>
        </w:tc>
        <w:tc>
          <w:tcPr>
            <w:tcW w:w="551" w:type="pct"/>
            <w:gridSpan w:val="2"/>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$0</w:t>
            </w:r>
          </w:p>
        </w:tc>
        <w:tc>
          <w:tcPr>
            <w:tcW w:w="599"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$0</w:t>
            </w:r>
          </w:p>
        </w:tc>
        <w:tc>
          <w:tcPr>
            <w:tcW w:w="64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6C5913">
            <w:pPr>
              <w:pStyle w:val="Default3"/>
              <w:rPr>
                <w:sz w:val="20"/>
                <w:szCs w:val="20"/>
              </w:rPr>
            </w:pPr>
            <w:r w:rsidRPr="00BB35DE">
              <w:rPr>
                <w:sz w:val="20"/>
                <w:szCs w:val="20"/>
              </w:rPr>
              <w:t>$20</w:t>
            </w:r>
            <w:r w:rsidR="00241C94">
              <w:rPr>
                <w:sz w:val="20"/>
                <w:szCs w:val="20"/>
              </w:rPr>
              <w:t>7</w:t>
            </w:r>
            <w:r w:rsidRPr="00BB35DE">
              <w:rPr>
                <w:sz w:val="20"/>
                <w:szCs w:val="20"/>
              </w:rPr>
              <w:t>,</w:t>
            </w:r>
            <w:r w:rsidR="00241C94">
              <w:rPr>
                <w:sz w:val="20"/>
                <w:szCs w:val="20"/>
              </w:rPr>
              <w:t>491</w:t>
            </w:r>
            <w:r w:rsidRPr="00BB35DE">
              <w:rPr>
                <w:sz w:val="20"/>
                <w:szCs w:val="20"/>
              </w:rPr>
              <w:t xml:space="preserve"> </w:t>
            </w:r>
          </w:p>
        </w:tc>
      </w:tr>
      <w:tr w:rsidR="003D3501" w:rsidRPr="00BB35DE" w:rsidTr="009F14A2">
        <w:trPr>
          <w:gridAfter w:val="1"/>
          <w:wAfter w:w="8" w:type="pct"/>
          <w:cantSplit/>
          <w:trHeight w:val="410"/>
          <w:jc w:val="center"/>
        </w:trPr>
        <w:tc>
          <w:tcPr>
            <w:tcW w:w="678" w:type="pct"/>
            <w:tcBorders>
              <w:top w:val="single" w:sz="7" w:space="0" w:color="000000"/>
              <w:left w:val="single" w:sz="7" w:space="0" w:color="000000"/>
              <w:bottom w:val="single" w:sz="7" w:space="0" w:color="000000"/>
              <w:right w:val="single" w:sz="7" w:space="0" w:color="000000"/>
            </w:tcBorders>
            <w:vAlign w:val="center"/>
          </w:tcPr>
          <w:p w:rsidR="00F33756" w:rsidRPr="00BB35DE" w:rsidRDefault="00F33756" w:rsidP="003D3501">
            <w:pPr>
              <w:pStyle w:val="Default3"/>
              <w:rPr>
                <w:sz w:val="20"/>
                <w:szCs w:val="20"/>
              </w:rPr>
            </w:pPr>
            <w:r w:rsidRPr="00BB35DE">
              <w:rPr>
                <w:sz w:val="20"/>
                <w:szCs w:val="20"/>
              </w:rPr>
              <w:t>HD Truck/Van Testing &amp; Certification</w:t>
            </w:r>
          </w:p>
        </w:tc>
        <w:tc>
          <w:tcPr>
            <w:tcW w:w="546" w:type="pct"/>
            <w:tcBorders>
              <w:top w:val="single" w:sz="7" w:space="0" w:color="000000"/>
              <w:left w:val="single" w:sz="7" w:space="0" w:color="000000"/>
              <w:bottom w:val="single" w:sz="7" w:space="0" w:color="000000"/>
              <w:right w:val="single" w:sz="7" w:space="0" w:color="000000"/>
            </w:tcBorders>
            <w:vAlign w:val="center"/>
          </w:tcPr>
          <w:p w:rsidR="00F33756" w:rsidRPr="00BB35DE" w:rsidRDefault="00F33756" w:rsidP="003D3501">
            <w:pPr>
              <w:pStyle w:val="Default3"/>
              <w:rPr>
                <w:sz w:val="20"/>
                <w:szCs w:val="20"/>
              </w:rPr>
            </w:pPr>
            <w:r w:rsidRPr="00BB35DE">
              <w:rPr>
                <w:sz w:val="20"/>
                <w:szCs w:val="20"/>
              </w:rPr>
              <w:t>3</w:t>
            </w:r>
          </w:p>
        </w:tc>
        <w:tc>
          <w:tcPr>
            <w:tcW w:w="483" w:type="pct"/>
            <w:tcBorders>
              <w:top w:val="single" w:sz="7" w:space="0" w:color="000000"/>
              <w:left w:val="single" w:sz="7" w:space="0" w:color="000000"/>
              <w:bottom w:val="single" w:sz="7" w:space="0" w:color="000000"/>
              <w:right w:val="single" w:sz="7" w:space="0" w:color="000000"/>
            </w:tcBorders>
            <w:vAlign w:val="center"/>
          </w:tcPr>
          <w:p w:rsidR="00F33756" w:rsidRPr="00BB35DE" w:rsidRDefault="00F33756" w:rsidP="003D3501">
            <w:pPr>
              <w:pStyle w:val="Default3"/>
              <w:rPr>
                <w:sz w:val="20"/>
                <w:szCs w:val="20"/>
              </w:rPr>
            </w:pPr>
            <w:r w:rsidRPr="00BB35DE">
              <w:rPr>
                <w:sz w:val="20"/>
                <w:szCs w:val="20"/>
              </w:rPr>
              <w:t>24</w:t>
            </w:r>
          </w:p>
        </w:tc>
        <w:tc>
          <w:tcPr>
            <w:tcW w:w="385" w:type="pct"/>
            <w:tcBorders>
              <w:top w:val="single" w:sz="7" w:space="0" w:color="000000"/>
              <w:left w:val="single" w:sz="7" w:space="0" w:color="000000"/>
              <w:bottom w:val="single" w:sz="7" w:space="0" w:color="000000"/>
              <w:right w:val="single" w:sz="7" w:space="0" w:color="000000"/>
            </w:tcBorders>
            <w:vAlign w:val="center"/>
          </w:tcPr>
          <w:p w:rsidR="00F33756" w:rsidRPr="00BB35DE" w:rsidRDefault="00F33756" w:rsidP="003D3501">
            <w:pPr>
              <w:pStyle w:val="Default3"/>
              <w:rPr>
                <w:sz w:val="20"/>
                <w:szCs w:val="20"/>
              </w:rPr>
            </w:pPr>
            <w:r w:rsidRPr="00BB35DE">
              <w:rPr>
                <w:sz w:val="20"/>
                <w:szCs w:val="20"/>
              </w:rPr>
              <w:t>4,8</w:t>
            </w:r>
            <w:r>
              <w:rPr>
                <w:sz w:val="20"/>
                <w:szCs w:val="20"/>
              </w:rPr>
              <w:t>24</w:t>
            </w:r>
          </w:p>
        </w:tc>
        <w:tc>
          <w:tcPr>
            <w:tcW w:w="582" w:type="pct"/>
            <w:tcBorders>
              <w:top w:val="single" w:sz="7" w:space="0" w:color="000000"/>
              <w:left w:val="single" w:sz="7" w:space="0" w:color="000000"/>
              <w:bottom w:val="single" w:sz="7" w:space="0" w:color="000000"/>
              <w:right w:val="single" w:sz="7" w:space="0" w:color="000000"/>
            </w:tcBorders>
            <w:vAlign w:val="center"/>
          </w:tcPr>
          <w:p w:rsidR="00F33756" w:rsidRPr="00BB35DE" w:rsidRDefault="00F33756" w:rsidP="006C5913">
            <w:pPr>
              <w:pStyle w:val="Default3"/>
              <w:rPr>
                <w:sz w:val="20"/>
                <w:szCs w:val="20"/>
              </w:rPr>
            </w:pPr>
            <w:r w:rsidRPr="00BB35DE">
              <w:rPr>
                <w:sz w:val="20"/>
                <w:szCs w:val="20"/>
              </w:rPr>
              <w:t>$3</w:t>
            </w:r>
            <w:r>
              <w:rPr>
                <w:sz w:val="20"/>
                <w:szCs w:val="20"/>
              </w:rPr>
              <w:t>24,918</w:t>
            </w:r>
          </w:p>
        </w:tc>
        <w:tc>
          <w:tcPr>
            <w:tcW w:w="524" w:type="pct"/>
            <w:tcBorders>
              <w:top w:val="single" w:sz="7" w:space="0" w:color="000000"/>
              <w:left w:val="single" w:sz="7" w:space="0" w:color="000000"/>
              <w:bottom w:val="single" w:sz="7" w:space="0" w:color="000000"/>
              <w:right w:val="single" w:sz="7" w:space="0" w:color="000000"/>
            </w:tcBorders>
            <w:vAlign w:val="center"/>
          </w:tcPr>
          <w:p w:rsidR="00F33756" w:rsidRPr="00BB35DE" w:rsidRDefault="00F33756" w:rsidP="003D3501">
            <w:pPr>
              <w:pStyle w:val="Default3"/>
              <w:rPr>
                <w:sz w:val="20"/>
                <w:szCs w:val="20"/>
              </w:rPr>
            </w:pPr>
            <w:r w:rsidRPr="00BB35DE">
              <w:rPr>
                <w:sz w:val="20"/>
                <w:szCs w:val="20"/>
              </w:rPr>
              <w:t>$0</w:t>
            </w:r>
          </w:p>
        </w:tc>
        <w:tc>
          <w:tcPr>
            <w:tcW w:w="551" w:type="pct"/>
            <w:gridSpan w:val="2"/>
            <w:tcBorders>
              <w:top w:val="single" w:sz="7" w:space="0" w:color="000000"/>
              <w:left w:val="single" w:sz="7" w:space="0" w:color="000000"/>
              <w:bottom w:val="single" w:sz="7" w:space="0" w:color="000000"/>
              <w:right w:val="single" w:sz="7" w:space="0" w:color="000000"/>
            </w:tcBorders>
            <w:vAlign w:val="center"/>
          </w:tcPr>
          <w:p w:rsidR="00F33756" w:rsidRPr="00BB35DE" w:rsidRDefault="00F33756" w:rsidP="003D3501">
            <w:pPr>
              <w:pStyle w:val="Default3"/>
              <w:rPr>
                <w:sz w:val="20"/>
                <w:szCs w:val="20"/>
              </w:rPr>
            </w:pPr>
            <w:r w:rsidRPr="00BB35DE">
              <w:rPr>
                <w:sz w:val="20"/>
                <w:szCs w:val="20"/>
              </w:rPr>
              <w:t>$0</w:t>
            </w:r>
          </w:p>
        </w:tc>
        <w:tc>
          <w:tcPr>
            <w:tcW w:w="599" w:type="pct"/>
            <w:tcBorders>
              <w:top w:val="single" w:sz="7" w:space="0" w:color="000000"/>
              <w:left w:val="single" w:sz="7" w:space="0" w:color="000000"/>
              <w:bottom w:val="single" w:sz="7" w:space="0" w:color="000000"/>
              <w:right w:val="single" w:sz="7" w:space="0" w:color="000000"/>
            </w:tcBorders>
            <w:vAlign w:val="center"/>
          </w:tcPr>
          <w:p w:rsidR="00F33756" w:rsidRPr="00BB35DE" w:rsidRDefault="00F33756" w:rsidP="003D3501">
            <w:pPr>
              <w:pStyle w:val="Default3"/>
              <w:rPr>
                <w:sz w:val="20"/>
                <w:szCs w:val="20"/>
              </w:rPr>
            </w:pPr>
            <w:r w:rsidRPr="00BB35DE">
              <w:rPr>
                <w:sz w:val="20"/>
                <w:szCs w:val="20"/>
              </w:rPr>
              <w:t>$0</w:t>
            </w:r>
          </w:p>
        </w:tc>
        <w:tc>
          <w:tcPr>
            <w:tcW w:w="644" w:type="pct"/>
            <w:tcBorders>
              <w:top w:val="single" w:sz="7" w:space="0" w:color="000000"/>
              <w:left w:val="single" w:sz="7" w:space="0" w:color="000000"/>
              <w:bottom w:val="single" w:sz="7" w:space="0" w:color="000000"/>
              <w:right w:val="single" w:sz="7" w:space="0" w:color="000000"/>
            </w:tcBorders>
            <w:vAlign w:val="center"/>
          </w:tcPr>
          <w:p w:rsidR="00F33756" w:rsidRPr="00BB35DE" w:rsidRDefault="00F33756" w:rsidP="006C5913">
            <w:pPr>
              <w:pStyle w:val="Default3"/>
              <w:rPr>
                <w:sz w:val="20"/>
                <w:szCs w:val="20"/>
              </w:rPr>
            </w:pPr>
            <w:r w:rsidRPr="00BB35DE">
              <w:rPr>
                <w:sz w:val="20"/>
                <w:szCs w:val="20"/>
              </w:rPr>
              <w:t>$3</w:t>
            </w:r>
            <w:r>
              <w:rPr>
                <w:sz w:val="20"/>
                <w:szCs w:val="20"/>
              </w:rPr>
              <w:t>24,918</w:t>
            </w:r>
          </w:p>
        </w:tc>
      </w:tr>
      <w:tr w:rsidR="003D3501" w:rsidRPr="00BB35DE" w:rsidTr="009F14A2">
        <w:trPr>
          <w:gridAfter w:val="1"/>
          <w:wAfter w:w="8" w:type="pct"/>
          <w:cantSplit/>
          <w:trHeight w:val="410"/>
          <w:jc w:val="center"/>
        </w:trPr>
        <w:tc>
          <w:tcPr>
            <w:tcW w:w="678" w:type="pct"/>
            <w:tcBorders>
              <w:top w:val="single" w:sz="7" w:space="0" w:color="000000"/>
              <w:left w:val="single" w:sz="7" w:space="0" w:color="000000"/>
              <w:bottom w:val="single" w:sz="7" w:space="0" w:color="000000"/>
              <w:right w:val="single" w:sz="7" w:space="0" w:color="000000"/>
            </w:tcBorders>
            <w:vAlign w:val="center"/>
          </w:tcPr>
          <w:p w:rsidR="00241C94" w:rsidRPr="00BB35DE" w:rsidRDefault="00241C94" w:rsidP="003D3501">
            <w:pPr>
              <w:pStyle w:val="Default3"/>
              <w:rPr>
                <w:sz w:val="20"/>
                <w:szCs w:val="20"/>
              </w:rPr>
            </w:pPr>
            <w:r w:rsidRPr="00BB35DE">
              <w:rPr>
                <w:sz w:val="20"/>
                <w:szCs w:val="20"/>
              </w:rPr>
              <w:t>Vocational Vehicle Testing &amp; Certification</w:t>
            </w:r>
          </w:p>
        </w:tc>
        <w:tc>
          <w:tcPr>
            <w:tcW w:w="546" w:type="pct"/>
            <w:tcBorders>
              <w:top w:val="single" w:sz="7" w:space="0" w:color="000000"/>
              <w:left w:val="single" w:sz="7" w:space="0" w:color="000000"/>
              <w:bottom w:val="single" w:sz="7" w:space="0" w:color="000000"/>
              <w:right w:val="single" w:sz="7" w:space="0" w:color="000000"/>
            </w:tcBorders>
            <w:vAlign w:val="center"/>
          </w:tcPr>
          <w:p w:rsidR="00241C94" w:rsidRPr="00BB35DE" w:rsidRDefault="00241C94" w:rsidP="003D3501">
            <w:pPr>
              <w:pStyle w:val="Default3"/>
              <w:rPr>
                <w:sz w:val="20"/>
                <w:szCs w:val="20"/>
              </w:rPr>
            </w:pPr>
            <w:r>
              <w:rPr>
                <w:sz w:val="20"/>
                <w:szCs w:val="20"/>
              </w:rPr>
              <w:t>22</w:t>
            </w:r>
          </w:p>
        </w:tc>
        <w:tc>
          <w:tcPr>
            <w:tcW w:w="483" w:type="pct"/>
            <w:tcBorders>
              <w:top w:val="single" w:sz="7" w:space="0" w:color="000000"/>
              <w:left w:val="single" w:sz="7" w:space="0" w:color="000000"/>
              <w:bottom w:val="single" w:sz="7" w:space="0" w:color="000000"/>
              <w:right w:val="single" w:sz="7" w:space="0" w:color="000000"/>
            </w:tcBorders>
            <w:vAlign w:val="center"/>
          </w:tcPr>
          <w:p w:rsidR="00241C94" w:rsidRPr="00BB35DE" w:rsidRDefault="00241C94" w:rsidP="003D3501">
            <w:pPr>
              <w:pStyle w:val="Default3"/>
              <w:rPr>
                <w:sz w:val="20"/>
                <w:szCs w:val="20"/>
              </w:rPr>
            </w:pPr>
            <w:r w:rsidRPr="00BB35DE">
              <w:rPr>
                <w:sz w:val="20"/>
                <w:szCs w:val="20"/>
              </w:rPr>
              <w:t>60</w:t>
            </w:r>
          </w:p>
        </w:tc>
        <w:tc>
          <w:tcPr>
            <w:tcW w:w="385" w:type="pct"/>
            <w:tcBorders>
              <w:top w:val="single" w:sz="7" w:space="0" w:color="000000"/>
              <w:left w:val="single" w:sz="7" w:space="0" w:color="000000"/>
              <w:bottom w:val="single" w:sz="7" w:space="0" w:color="000000"/>
              <w:right w:val="single" w:sz="7" w:space="0" w:color="000000"/>
            </w:tcBorders>
            <w:vAlign w:val="center"/>
          </w:tcPr>
          <w:p w:rsidR="00241C94" w:rsidRPr="00BB35DE" w:rsidRDefault="00241C94" w:rsidP="003D3501">
            <w:pPr>
              <w:pStyle w:val="Default3"/>
              <w:rPr>
                <w:sz w:val="20"/>
                <w:szCs w:val="20"/>
              </w:rPr>
            </w:pPr>
            <w:r>
              <w:rPr>
                <w:sz w:val="20"/>
                <w:szCs w:val="20"/>
              </w:rPr>
              <w:t>10</w:t>
            </w:r>
            <w:r w:rsidRPr="00BB35DE">
              <w:rPr>
                <w:sz w:val="20"/>
                <w:szCs w:val="20"/>
              </w:rPr>
              <w:t>,</w:t>
            </w:r>
            <w:r>
              <w:rPr>
                <w:sz w:val="20"/>
                <w:szCs w:val="20"/>
              </w:rPr>
              <w:t>86</w:t>
            </w:r>
            <w:r w:rsidRPr="00BB35DE">
              <w:rPr>
                <w:sz w:val="20"/>
                <w:szCs w:val="20"/>
              </w:rPr>
              <w:t>0</w:t>
            </w:r>
          </w:p>
        </w:tc>
        <w:tc>
          <w:tcPr>
            <w:tcW w:w="582" w:type="pct"/>
            <w:tcBorders>
              <w:top w:val="single" w:sz="7" w:space="0" w:color="000000"/>
              <w:left w:val="single" w:sz="7" w:space="0" w:color="000000"/>
              <w:bottom w:val="single" w:sz="7" w:space="0" w:color="000000"/>
              <w:right w:val="single" w:sz="7" w:space="0" w:color="000000"/>
            </w:tcBorders>
            <w:vAlign w:val="center"/>
          </w:tcPr>
          <w:p w:rsidR="00241C94" w:rsidRPr="00BB35DE" w:rsidRDefault="00241C94" w:rsidP="003D3501">
            <w:pPr>
              <w:pStyle w:val="Default3"/>
              <w:rPr>
                <w:sz w:val="20"/>
                <w:szCs w:val="20"/>
              </w:rPr>
            </w:pPr>
            <w:r w:rsidRPr="00BB35DE">
              <w:rPr>
                <w:sz w:val="20"/>
                <w:szCs w:val="20"/>
              </w:rPr>
              <w:t>$8</w:t>
            </w:r>
            <w:r>
              <w:rPr>
                <w:sz w:val="20"/>
                <w:szCs w:val="20"/>
              </w:rPr>
              <w:t>86</w:t>
            </w:r>
            <w:r w:rsidRPr="00BB35DE">
              <w:rPr>
                <w:sz w:val="20"/>
                <w:szCs w:val="20"/>
              </w:rPr>
              <w:t>,</w:t>
            </w:r>
            <w:r>
              <w:rPr>
                <w:sz w:val="20"/>
                <w:szCs w:val="20"/>
              </w:rPr>
              <w:t>231</w:t>
            </w:r>
          </w:p>
          <w:p w:rsidR="00241C94" w:rsidRPr="00BB35DE" w:rsidRDefault="00241C94" w:rsidP="003D3501">
            <w:pPr>
              <w:pStyle w:val="Default3"/>
              <w:rPr>
                <w:sz w:val="20"/>
                <w:szCs w:val="20"/>
              </w:rPr>
            </w:pPr>
          </w:p>
        </w:tc>
        <w:tc>
          <w:tcPr>
            <w:tcW w:w="524" w:type="pct"/>
            <w:tcBorders>
              <w:top w:val="single" w:sz="7" w:space="0" w:color="000000"/>
              <w:left w:val="single" w:sz="7" w:space="0" w:color="000000"/>
              <w:bottom w:val="single" w:sz="7" w:space="0" w:color="000000"/>
              <w:right w:val="single" w:sz="7" w:space="0" w:color="000000"/>
            </w:tcBorders>
            <w:vAlign w:val="center"/>
          </w:tcPr>
          <w:p w:rsidR="00241C94" w:rsidRPr="00BB35DE" w:rsidRDefault="00241C94" w:rsidP="003D3501">
            <w:pPr>
              <w:pStyle w:val="Default3"/>
              <w:rPr>
                <w:sz w:val="20"/>
                <w:szCs w:val="20"/>
              </w:rPr>
            </w:pPr>
            <w:r w:rsidRPr="00BB35DE">
              <w:rPr>
                <w:sz w:val="20"/>
                <w:szCs w:val="20"/>
              </w:rPr>
              <w:t>$0</w:t>
            </w:r>
          </w:p>
        </w:tc>
        <w:tc>
          <w:tcPr>
            <w:tcW w:w="551" w:type="pct"/>
            <w:gridSpan w:val="2"/>
            <w:tcBorders>
              <w:top w:val="single" w:sz="7" w:space="0" w:color="000000"/>
              <w:left w:val="single" w:sz="7" w:space="0" w:color="000000"/>
              <w:bottom w:val="single" w:sz="7" w:space="0" w:color="000000"/>
              <w:right w:val="single" w:sz="7" w:space="0" w:color="000000"/>
            </w:tcBorders>
            <w:vAlign w:val="center"/>
          </w:tcPr>
          <w:p w:rsidR="00241C94" w:rsidRPr="00BB35DE" w:rsidRDefault="00241C94" w:rsidP="003D3501">
            <w:pPr>
              <w:pStyle w:val="Default3"/>
              <w:rPr>
                <w:sz w:val="20"/>
                <w:szCs w:val="20"/>
              </w:rPr>
            </w:pPr>
            <w:r w:rsidRPr="00BB35DE">
              <w:rPr>
                <w:sz w:val="20"/>
                <w:szCs w:val="20"/>
              </w:rPr>
              <w:t>$1,</w:t>
            </w:r>
            <w:r>
              <w:rPr>
                <w:sz w:val="20"/>
                <w:szCs w:val="20"/>
              </w:rPr>
              <w:t>5</w:t>
            </w:r>
            <w:r w:rsidRPr="00BB35DE">
              <w:rPr>
                <w:sz w:val="20"/>
                <w:szCs w:val="20"/>
              </w:rPr>
              <w:t>00</w:t>
            </w:r>
          </w:p>
        </w:tc>
        <w:tc>
          <w:tcPr>
            <w:tcW w:w="599" w:type="pct"/>
            <w:tcBorders>
              <w:top w:val="single" w:sz="7" w:space="0" w:color="000000"/>
              <w:left w:val="single" w:sz="7" w:space="0" w:color="000000"/>
              <w:bottom w:val="single" w:sz="7" w:space="0" w:color="000000"/>
              <w:right w:val="single" w:sz="7" w:space="0" w:color="000000"/>
            </w:tcBorders>
            <w:vAlign w:val="center"/>
          </w:tcPr>
          <w:p w:rsidR="00241C94" w:rsidRPr="00BB35DE" w:rsidRDefault="00241C94" w:rsidP="006C5913">
            <w:pPr>
              <w:pStyle w:val="Default3"/>
              <w:rPr>
                <w:sz w:val="20"/>
                <w:szCs w:val="20"/>
              </w:rPr>
            </w:pPr>
            <w:r w:rsidRPr="00BB35DE">
              <w:rPr>
                <w:sz w:val="20"/>
                <w:szCs w:val="20"/>
              </w:rPr>
              <w:t>$1,</w:t>
            </w:r>
            <w:r>
              <w:rPr>
                <w:sz w:val="20"/>
                <w:szCs w:val="20"/>
              </w:rPr>
              <w:t>5</w:t>
            </w:r>
            <w:r w:rsidRPr="00BB35DE">
              <w:rPr>
                <w:sz w:val="20"/>
                <w:szCs w:val="20"/>
              </w:rPr>
              <w:t>00</w:t>
            </w:r>
          </w:p>
        </w:tc>
        <w:tc>
          <w:tcPr>
            <w:tcW w:w="644" w:type="pct"/>
            <w:tcBorders>
              <w:top w:val="single" w:sz="7" w:space="0" w:color="000000"/>
              <w:left w:val="single" w:sz="7" w:space="0" w:color="000000"/>
              <w:bottom w:val="single" w:sz="7" w:space="0" w:color="000000"/>
              <w:right w:val="single" w:sz="7" w:space="0" w:color="000000"/>
            </w:tcBorders>
            <w:vAlign w:val="center"/>
          </w:tcPr>
          <w:p w:rsidR="00241C94" w:rsidRPr="00BB35DE" w:rsidRDefault="00241C94" w:rsidP="006C5913">
            <w:pPr>
              <w:pStyle w:val="Default3"/>
              <w:rPr>
                <w:sz w:val="20"/>
                <w:szCs w:val="20"/>
              </w:rPr>
            </w:pPr>
            <w:r w:rsidRPr="00BB35DE">
              <w:rPr>
                <w:sz w:val="20"/>
                <w:szCs w:val="20"/>
              </w:rPr>
              <w:t>$8</w:t>
            </w:r>
            <w:r>
              <w:rPr>
                <w:sz w:val="20"/>
                <w:szCs w:val="20"/>
              </w:rPr>
              <w:t>90</w:t>
            </w:r>
            <w:r w:rsidRPr="00BB35DE">
              <w:rPr>
                <w:sz w:val="20"/>
                <w:szCs w:val="20"/>
              </w:rPr>
              <w:t>,</w:t>
            </w:r>
            <w:r>
              <w:rPr>
                <w:sz w:val="20"/>
                <w:szCs w:val="20"/>
              </w:rPr>
              <w:t>322</w:t>
            </w:r>
          </w:p>
        </w:tc>
      </w:tr>
      <w:tr w:rsidR="003D3501" w:rsidRPr="00BB35DE" w:rsidTr="009F14A2">
        <w:trPr>
          <w:gridAfter w:val="1"/>
          <w:wAfter w:w="8" w:type="pct"/>
          <w:cantSplit/>
          <w:trHeight w:val="410"/>
          <w:jc w:val="center"/>
        </w:trPr>
        <w:tc>
          <w:tcPr>
            <w:tcW w:w="678"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Combination Tractor Certification</w:t>
            </w:r>
          </w:p>
        </w:tc>
        <w:tc>
          <w:tcPr>
            <w:tcW w:w="546"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4</w:t>
            </w:r>
          </w:p>
        </w:tc>
        <w:tc>
          <w:tcPr>
            <w:tcW w:w="483"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32</w:t>
            </w:r>
          </w:p>
        </w:tc>
        <w:tc>
          <w:tcPr>
            <w:tcW w:w="385"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241C94" w:rsidP="003D3501">
            <w:pPr>
              <w:pStyle w:val="Default3"/>
              <w:rPr>
                <w:sz w:val="20"/>
                <w:szCs w:val="20"/>
              </w:rPr>
            </w:pPr>
            <w:r w:rsidRPr="00BB35DE">
              <w:rPr>
                <w:sz w:val="20"/>
                <w:szCs w:val="20"/>
              </w:rPr>
              <w:t>1</w:t>
            </w:r>
            <w:r>
              <w:rPr>
                <w:sz w:val="20"/>
                <w:szCs w:val="20"/>
              </w:rPr>
              <w:t>7</w:t>
            </w:r>
            <w:r w:rsidRPr="00BB35DE">
              <w:rPr>
                <w:sz w:val="20"/>
                <w:szCs w:val="20"/>
              </w:rPr>
              <w:t>,</w:t>
            </w:r>
            <w:r>
              <w:rPr>
                <w:sz w:val="20"/>
                <w:szCs w:val="20"/>
              </w:rPr>
              <w:t>120</w:t>
            </w:r>
          </w:p>
        </w:tc>
        <w:tc>
          <w:tcPr>
            <w:tcW w:w="582"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6C5913">
            <w:pPr>
              <w:pStyle w:val="Default3"/>
              <w:rPr>
                <w:sz w:val="20"/>
                <w:szCs w:val="20"/>
              </w:rPr>
            </w:pPr>
            <w:r w:rsidRPr="00BB35DE">
              <w:rPr>
                <w:sz w:val="20"/>
                <w:szCs w:val="20"/>
              </w:rPr>
              <w:t>$1,274</w:t>
            </w:r>
            <w:r w:rsidR="00241C94">
              <w:rPr>
                <w:sz w:val="20"/>
                <w:szCs w:val="20"/>
              </w:rPr>
              <w:t>,</w:t>
            </w:r>
            <w:r w:rsidRPr="00BB35DE">
              <w:rPr>
                <w:sz w:val="20"/>
                <w:szCs w:val="20"/>
              </w:rPr>
              <w:t>595</w:t>
            </w:r>
          </w:p>
        </w:tc>
        <w:tc>
          <w:tcPr>
            <w:tcW w:w="52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$0</w:t>
            </w:r>
          </w:p>
        </w:tc>
        <w:tc>
          <w:tcPr>
            <w:tcW w:w="551" w:type="pct"/>
            <w:gridSpan w:val="2"/>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$124,000</w:t>
            </w:r>
          </w:p>
        </w:tc>
        <w:tc>
          <w:tcPr>
            <w:tcW w:w="599"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6C5913">
            <w:pPr>
              <w:pStyle w:val="Default3"/>
              <w:rPr>
                <w:sz w:val="20"/>
                <w:szCs w:val="20"/>
              </w:rPr>
            </w:pPr>
            <w:r w:rsidRPr="00BB35DE">
              <w:rPr>
                <w:sz w:val="20"/>
                <w:szCs w:val="20"/>
              </w:rPr>
              <w:t>$124,000</w:t>
            </w:r>
          </w:p>
        </w:tc>
        <w:tc>
          <w:tcPr>
            <w:tcW w:w="64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6C5913">
            <w:pPr>
              <w:pStyle w:val="Default3"/>
              <w:rPr>
                <w:sz w:val="20"/>
                <w:szCs w:val="20"/>
              </w:rPr>
            </w:pPr>
            <w:r w:rsidRPr="00BB35DE">
              <w:rPr>
                <w:sz w:val="20"/>
                <w:szCs w:val="20"/>
              </w:rPr>
              <w:t>$1,336</w:t>
            </w:r>
            <w:r w:rsidR="00241C94">
              <w:rPr>
                <w:sz w:val="20"/>
                <w:szCs w:val="20"/>
              </w:rPr>
              <w:t>,</w:t>
            </w:r>
            <w:r w:rsidRPr="00BB35DE">
              <w:rPr>
                <w:sz w:val="20"/>
                <w:szCs w:val="20"/>
              </w:rPr>
              <w:t xml:space="preserve">466 </w:t>
            </w:r>
          </w:p>
        </w:tc>
      </w:tr>
      <w:tr w:rsidR="00097C19" w:rsidRPr="00BB35DE" w:rsidTr="009F14A2">
        <w:trPr>
          <w:gridAfter w:val="1"/>
          <w:wAfter w:w="8" w:type="pct"/>
          <w:cantSplit/>
          <w:trHeight w:val="410"/>
          <w:jc w:val="center"/>
        </w:trPr>
        <w:tc>
          <w:tcPr>
            <w:tcW w:w="678" w:type="pct"/>
            <w:tcBorders>
              <w:top w:val="single" w:sz="7" w:space="0" w:color="000000"/>
              <w:left w:val="single" w:sz="7" w:space="0" w:color="000000"/>
              <w:bottom w:val="single" w:sz="7" w:space="0" w:color="000000"/>
              <w:right w:val="single" w:sz="7" w:space="0" w:color="000000"/>
            </w:tcBorders>
            <w:vAlign w:val="center"/>
          </w:tcPr>
          <w:p w:rsidR="00097C19" w:rsidRPr="00BB35DE" w:rsidRDefault="00097C19" w:rsidP="003D3501">
            <w:pPr>
              <w:pStyle w:val="Default3"/>
              <w:rPr>
                <w:sz w:val="20"/>
                <w:szCs w:val="20"/>
              </w:rPr>
            </w:pPr>
            <w:r w:rsidRPr="00BB35DE">
              <w:rPr>
                <w:sz w:val="20"/>
                <w:szCs w:val="20"/>
              </w:rPr>
              <w:t>Trailer Certification</w:t>
            </w:r>
          </w:p>
        </w:tc>
        <w:tc>
          <w:tcPr>
            <w:tcW w:w="546" w:type="pct"/>
            <w:tcBorders>
              <w:top w:val="single" w:sz="7" w:space="0" w:color="000000"/>
              <w:left w:val="single" w:sz="7" w:space="0" w:color="000000"/>
              <w:bottom w:val="single" w:sz="7" w:space="0" w:color="000000"/>
              <w:right w:val="single" w:sz="7" w:space="0" w:color="000000"/>
            </w:tcBorders>
          </w:tcPr>
          <w:p w:rsidR="00097C19" w:rsidRPr="00097C19" w:rsidRDefault="00097C19" w:rsidP="003D3501">
            <w:pPr>
              <w:pStyle w:val="Default3"/>
              <w:rPr>
                <w:sz w:val="20"/>
                <w:szCs w:val="20"/>
              </w:rPr>
            </w:pPr>
            <w:r w:rsidRPr="00097C19">
              <w:rPr>
                <w:sz w:val="20"/>
                <w:szCs w:val="20"/>
              </w:rPr>
              <w:t>114</w:t>
            </w:r>
          </w:p>
        </w:tc>
        <w:tc>
          <w:tcPr>
            <w:tcW w:w="483" w:type="pct"/>
            <w:tcBorders>
              <w:top w:val="single" w:sz="7" w:space="0" w:color="000000"/>
              <w:left w:val="single" w:sz="7" w:space="0" w:color="000000"/>
              <w:bottom w:val="single" w:sz="7" w:space="0" w:color="000000"/>
              <w:right w:val="single" w:sz="7" w:space="0" w:color="000000"/>
            </w:tcBorders>
          </w:tcPr>
          <w:p w:rsidR="00097C19" w:rsidRPr="00097C19" w:rsidRDefault="00097C19" w:rsidP="003D3501">
            <w:pPr>
              <w:pStyle w:val="Default3"/>
              <w:rPr>
                <w:sz w:val="20"/>
                <w:szCs w:val="20"/>
              </w:rPr>
            </w:pPr>
            <w:r w:rsidRPr="00097C19">
              <w:rPr>
                <w:sz w:val="20"/>
                <w:szCs w:val="20"/>
              </w:rPr>
              <w:t>152</w:t>
            </w:r>
          </w:p>
        </w:tc>
        <w:tc>
          <w:tcPr>
            <w:tcW w:w="385" w:type="pct"/>
            <w:tcBorders>
              <w:top w:val="single" w:sz="7" w:space="0" w:color="000000"/>
              <w:left w:val="single" w:sz="7" w:space="0" w:color="000000"/>
              <w:bottom w:val="single" w:sz="7" w:space="0" w:color="000000"/>
              <w:right w:val="single" w:sz="7" w:space="0" w:color="000000"/>
            </w:tcBorders>
          </w:tcPr>
          <w:p w:rsidR="00097C19" w:rsidRPr="00097C19" w:rsidRDefault="00097C19" w:rsidP="00097C19">
            <w:pPr>
              <w:pStyle w:val="Default3"/>
              <w:rPr>
                <w:sz w:val="20"/>
                <w:szCs w:val="20"/>
              </w:rPr>
            </w:pPr>
            <w:r w:rsidRPr="00097C19">
              <w:rPr>
                <w:sz w:val="20"/>
                <w:szCs w:val="20"/>
              </w:rPr>
              <w:t>31</w:t>
            </w:r>
            <w:r>
              <w:rPr>
                <w:sz w:val="20"/>
                <w:szCs w:val="20"/>
              </w:rPr>
              <w:t>,</w:t>
            </w:r>
            <w:r w:rsidRPr="00097C19">
              <w:rPr>
                <w:sz w:val="20"/>
                <w:szCs w:val="20"/>
              </w:rPr>
              <w:t>24</w:t>
            </w:r>
            <w:r>
              <w:rPr>
                <w:sz w:val="20"/>
                <w:szCs w:val="20"/>
              </w:rPr>
              <w:t>2</w:t>
            </w:r>
          </w:p>
        </w:tc>
        <w:tc>
          <w:tcPr>
            <w:tcW w:w="582" w:type="pct"/>
            <w:tcBorders>
              <w:top w:val="single" w:sz="7" w:space="0" w:color="000000"/>
              <w:left w:val="single" w:sz="7" w:space="0" w:color="000000"/>
              <w:bottom w:val="single" w:sz="7" w:space="0" w:color="000000"/>
              <w:right w:val="single" w:sz="7" w:space="0" w:color="000000"/>
            </w:tcBorders>
          </w:tcPr>
          <w:p w:rsidR="00097C19" w:rsidRPr="00097C19" w:rsidRDefault="00097C19" w:rsidP="006C5913">
            <w:pPr>
              <w:pStyle w:val="Default3"/>
              <w:rPr>
                <w:sz w:val="20"/>
                <w:szCs w:val="20"/>
              </w:rPr>
            </w:pPr>
            <w:r>
              <w:rPr>
                <w:sz w:val="20"/>
                <w:szCs w:val="20"/>
              </w:rPr>
              <w:t>$</w:t>
            </w:r>
            <w:r w:rsidRPr="00097C19">
              <w:rPr>
                <w:sz w:val="20"/>
                <w:szCs w:val="20"/>
              </w:rPr>
              <w:t>2</w:t>
            </w:r>
            <w:r>
              <w:rPr>
                <w:sz w:val="20"/>
                <w:szCs w:val="20"/>
              </w:rPr>
              <w:t>,</w:t>
            </w:r>
            <w:r w:rsidRPr="00097C19">
              <w:rPr>
                <w:sz w:val="20"/>
                <w:szCs w:val="20"/>
              </w:rPr>
              <w:t>130</w:t>
            </w:r>
            <w:r>
              <w:rPr>
                <w:sz w:val="20"/>
                <w:szCs w:val="20"/>
              </w:rPr>
              <w:t>,</w:t>
            </w:r>
            <w:r w:rsidRPr="00097C19">
              <w:rPr>
                <w:sz w:val="20"/>
                <w:szCs w:val="20"/>
              </w:rPr>
              <w:t>43</w:t>
            </w:r>
            <w:r>
              <w:rPr>
                <w:sz w:val="20"/>
                <w:szCs w:val="20"/>
              </w:rPr>
              <w:t>3</w:t>
            </w:r>
          </w:p>
        </w:tc>
        <w:tc>
          <w:tcPr>
            <w:tcW w:w="524" w:type="pct"/>
            <w:tcBorders>
              <w:top w:val="single" w:sz="7" w:space="0" w:color="000000"/>
              <w:left w:val="single" w:sz="7" w:space="0" w:color="000000"/>
              <w:bottom w:val="single" w:sz="7" w:space="0" w:color="000000"/>
              <w:right w:val="single" w:sz="7" w:space="0" w:color="000000"/>
            </w:tcBorders>
          </w:tcPr>
          <w:p w:rsidR="00097C19" w:rsidRPr="00097C19" w:rsidRDefault="00097C19" w:rsidP="003D3501">
            <w:pPr>
              <w:pStyle w:val="Default3"/>
              <w:rPr>
                <w:sz w:val="20"/>
                <w:szCs w:val="20"/>
              </w:rPr>
            </w:pPr>
            <w:r>
              <w:rPr>
                <w:sz w:val="20"/>
                <w:szCs w:val="20"/>
              </w:rPr>
              <w:t>$</w:t>
            </w:r>
            <w:r w:rsidRPr="00097C19">
              <w:rPr>
                <w:sz w:val="20"/>
                <w:szCs w:val="20"/>
              </w:rPr>
              <w:t>4</w:t>
            </w:r>
            <w:r>
              <w:rPr>
                <w:sz w:val="20"/>
                <w:szCs w:val="20"/>
              </w:rPr>
              <w:t>,</w:t>
            </w:r>
            <w:r w:rsidRPr="00097C19">
              <w:rPr>
                <w:sz w:val="20"/>
                <w:szCs w:val="20"/>
              </w:rPr>
              <w:t>750</w:t>
            </w:r>
            <w:r>
              <w:rPr>
                <w:sz w:val="20"/>
                <w:szCs w:val="20"/>
              </w:rPr>
              <w:t>,</w:t>
            </w:r>
            <w:r w:rsidRPr="00097C19">
              <w:rPr>
                <w:sz w:val="20"/>
                <w:szCs w:val="20"/>
              </w:rPr>
              <w:t>000</w:t>
            </w:r>
          </w:p>
        </w:tc>
        <w:tc>
          <w:tcPr>
            <w:tcW w:w="551" w:type="pct"/>
            <w:gridSpan w:val="2"/>
            <w:tcBorders>
              <w:top w:val="single" w:sz="7" w:space="0" w:color="000000"/>
              <w:left w:val="single" w:sz="7" w:space="0" w:color="000000"/>
              <w:bottom w:val="single" w:sz="7" w:space="0" w:color="000000"/>
              <w:right w:val="single" w:sz="7" w:space="0" w:color="000000"/>
            </w:tcBorders>
          </w:tcPr>
          <w:p w:rsidR="00097C19" w:rsidRPr="00097C19" w:rsidRDefault="00097C19" w:rsidP="003D3501">
            <w:pPr>
              <w:pStyle w:val="Default3"/>
              <w:rPr>
                <w:sz w:val="20"/>
                <w:szCs w:val="20"/>
              </w:rPr>
            </w:pPr>
            <w:r>
              <w:rPr>
                <w:sz w:val="20"/>
                <w:szCs w:val="20"/>
              </w:rPr>
              <w:t>$</w:t>
            </w:r>
            <w:r w:rsidRPr="00097C19">
              <w:rPr>
                <w:sz w:val="20"/>
                <w:szCs w:val="20"/>
              </w:rPr>
              <w:t>1</w:t>
            </w:r>
            <w:r>
              <w:rPr>
                <w:sz w:val="20"/>
                <w:szCs w:val="20"/>
              </w:rPr>
              <w:t>,</w:t>
            </w:r>
            <w:r w:rsidRPr="00097C19">
              <w:rPr>
                <w:sz w:val="20"/>
                <w:szCs w:val="20"/>
              </w:rPr>
              <w:t>585</w:t>
            </w:r>
            <w:r>
              <w:rPr>
                <w:sz w:val="20"/>
                <w:szCs w:val="20"/>
              </w:rPr>
              <w:t>,</w:t>
            </w:r>
            <w:r w:rsidRPr="00097C19">
              <w:rPr>
                <w:sz w:val="20"/>
                <w:szCs w:val="20"/>
              </w:rPr>
              <w:t>500</w:t>
            </w:r>
          </w:p>
        </w:tc>
        <w:tc>
          <w:tcPr>
            <w:tcW w:w="599" w:type="pct"/>
            <w:tcBorders>
              <w:top w:val="single" w:sz="7" w:space="0" w:color="000000"/>
              <w:left w:val="single" w:sz="7" w:space="0" w:color="000000"/>
              <w:bottom w:val="single" w:sz="7" w:space="0" w:color="000000"/>
              <w:right w:val="single" w:sz="7" w:space="0" w:color="000000"/>
            </w:tcBorders>
          </w:tcPr>
          <w:p w:rsidR="00097C19" w:rsidRPr="00097C19" w:rsidRDefault="00097C19" w:rsidP="003D3501">
            <w:pPr>
              <w:pStyle w:val="Default3"/>
              <w:rPr>
                <w:sz w:val="20"/>
                <w:szCs w:val="20"/>
              </w:rPr>
            </w:pPr>
            <w:r>
              <w:rPr>
                <w:sz w:val="20"/>
                <w:szCs w:val="20"/>
              </w:rPr>
              <w:t>$</w:t>
            </w:r>
            <w:r w:rsidR="006C5913">
              <w:rPr>
                <w:sz w:val="20"/>
                <w:szCs w:val="20"/>
              </w:rPr>
              <w:t xml:space="preserve"> </w:t>
            </w:r>
            <w:r w:rsidRPr="00097C19">
              <w:rPr>
                <w:sz w:val="20"/>
                <w:szCs w:val="20"/>
              </w:rPr>
              <w:t>6</w:t>
            </w:r>
            <w:r>
              <w:rPr>
                <w:sz w:val="20"/>
                <w:szCs w:val="20"/>
              </w:rPr>
              <w:t>,</w:t>
            </w:r>
            <w:r w:rsidRPr="00097C19">
              <w:rPr>
                <w:sz w:val="20"/>
                <w:szCs w:val="20"/>
              </w:rPr>
              <w:t>335</w:t>
            </w:r>
            <w:r>
              <w:rPr>
                <w:sz w:val="20"/>
                <w:szCs w:val="20"/>
              </w:rPr>
              <w:t>,</w:t>
            </w:r>
            <w:r w:rsidRPr="00097C19">
              <w:rPr>
                <w:sz w:val="20"/>
                <w:szCs w:val="20"/>
              </w:rPr>
              <w:t>500</w:t>
            </w:r>
          </w:p>
        </w:tc>
        <w:tc>
          <w:tcPr>
            <w:tcW w:w="644" w:type="pct"/>
            <w:tcBorders>
              <w:top w:val="single" w:sz="7" w:space="0" w:color="000000"/>
              <w:left w:val="single" w:sz="7" w:space="0" w:color="000000"/>
              <w:bottom w:val="single" w:sz="7" w:space="0" w:color="000000"/>
              <w:right w:val="single" w:sz="7" w:space="0" w:color="000000"/>
            </w:tcBorders>
          </w:tcPr>
          <w:p w:rsidR="00097C19" w:rsidRPr="00097C19" w:rsidRDefault="00097C19" w:rsidP="006C5913">
            <w:pPr>
              <w:pStyle w:val="Default3"/>
              <w:rPr>
                <w:sz w:val="20"/>
                <w:szCs w:val="20"/>
              </w:rPr>
            </w:pPr>
            <w:r>
              <w:rPr>
                <w:sz w:val="20"/>
                <w:szCs w:val="20"/>
              </w:rPr>
              <w:t>$</w:t>
            </w:r>
            <w:r w:rsidRPr="00097C19">
              <w:rPr>
                <w:sz w:val="20"/>
                <w:szCs w:val="20"/>
              </w:rPr>
              <w:t>8</w:t>
            </w:r>
            <w:r>
              <w:rPr>
                <w:sz w:val="20"/>
                <w:szCs w:val="20"/>
              </w:rPr>
              <w:t>,</w:t>
            </w:r>
            <w:r w:rsidRPr="00097C19">
              <w:rPr>
                <w:sz w:val="20"/>
                <w:szCs w:val="20"/>
              </w:rPr>
              <w:t>465</w:t>
            </w:r>
            <w:r>
              <w:rPr>
                <w:sz w:val="20"/>
                <w:szCs w:val="20"/>
              </w:rPr>
              <w:t>,</w:t>
            </w:r>
            <w:r w:rsidRPr="00097C19">
              <w:rPr>
                <w:sz w:val="20"/>
                <w:szCs w:val="20"/>
              </w:rPr>
              <w:t>93</w:t>
            </w:r>
            <w:r>
              <w:rPr>
                <w:sz w:val="20"/>
                <w:szCs w:val="20"/>
              </w:rPr>
              <w:t>3</w:t>
            </w:r>
          </w:p>
        </w:tc>
      </w:tr>
      <w:tr w:rsidR="009519D5" w:rsidRPr="00BB35DE" w:rsidTr="009F14A2">
        <w:trPr>
          <w:gridAfter w:val="1"/>
          <w:wAfter w:w="8" w:type="pct"/>
          <w:cantSplit/>
          <w:trHeight w:val="164"/>
          <w:jc w:val="center"/>
        </w:trPr>
        <w:tc>
          <w:tcPr>
            <w:tcW w:w="4992" w:type="pct"/>
            <w:gridSpan w:val="10"/>
            <w:tcBorders>
              <w:top w:val="single" w:sz="7" w:space="0" w:color="000000"/>
              <w:left w:val="single" w:sz="7" w:space="0" w:color="000000"/>
              <w:bottom w:val="single" w:sz="7" w:space="0" w:color="000000"/>
              <w:right w:val="single" w:sz="7" w:space="0" w:color="000000"/>
            </w:tcBorders>
            <w:vAlign w:val="center"/>
          </w:tcPr>
          <w:p w:rsidR="005A63AF" w:rsidRPr="009F14A2" w:rsidRDefault="00894FB4" w:rsidP="009F14A2">
            <w:pPr>
              <w:pStyle w:val="Default3"/>
              <w:keepNext/>
              <w:rPr>
                <w:b/>
                <w:sz w:val="20"/>
                <w:szCs w:val="20"/>
              </w:rPr>
            </w:pPr>
            <w:r w:rsidRPr="009F14A2">
              <w:rPr>
                <w:b/>
                <w:sz w:val="20"/>
                <w:szCs w:val="20"/>
              </w:rPr>
              <w:lastRenderedPageBreak/>
              <w:t>2019</w:t>
            </w:r>
          </w:p>
        </w:tc>
      </w:tr>
      <w:tr w:rsidR="003D3501" w:rsidRPr="00BB35DE" w:rsidTr="009F14A2">
        <w:trPr>
          <w:cantSplit/>
          <w:trHeight w:val="63"/>
          <w:jc w:val="center"/>
        </w:trPr>
        <w:tc>
          <w:tcPr>
            <w:tcW w:w="678" w:type="pct"/>
            <w:tcBorders>
              <w:top w:val="single" w:sz="7" w:space="0" w:color="000000"/>
              <w:left w:val="single" w:sz="7" w:space="0" w:color="000000"/>
              <w:bottom w:val="single" w:sz="7" w:space="0" w:color="000000"/>
              <w:right w:val="single" w:sz="7" w:space="0" w:color="000000"/>
            </w:tcBorders>
            <w:vAlign w:val="center"/>
          </w:tcPr>
          <w:p w:rsidR="00F33756" w:rsidRPr="00BB35DE" w:rsidRDefault="00F33756" w:rsidP="003D3501">
            <w:pPr>
              <w:pStyle w:val="Default3"/>
              <w:rPr>
                <w:sz w:val="20"/>
                <w:szCs w:val="20"/>
              </w:rPr>
            </w:pPr>
            <w:r w:rsidRPr="00BB35DE">
              <w:rPr>
                <w:sz w:val="20"/>
                <w:szCs w:val="20"/>
              </w:rPr>
              <w:t>Engine Testing &amp; Certification</w:t>
            </w:r>
          </w:p>
        </w:tc>
        <w:tc>
          <w:tcPr>
            <w:tcW w:w="546" w:type="pct"/>
            <w:tcBorders>
              <w:top w:val="single" w:sz="7" w:space="0" w:color="000000"/>
              <w:left w:val="single" w:sz="7" w:space="0" w:color="000000"/>
              <w:bottom w:val="single" w:sz="7" w:space="0" w:color="000000"/>
              <w:right w:val="single" w:sz="7" w:space="0" w:color="000000"/>
            </w:tcBorders>
            <w:vAlign w:val="center"/>
          </w:tcPr>
          <w:p w:rsidR="00F33756" w:rsidRPr="00BB35DE" w:rsidRDefault="00F33756" w:rsidP="003D3501">
            <w:pPr>
              <w:pStyle w:val="Default3"/>
              <w:rPr>
                <w:sz w:val="20"/>
                <w:szCs w:val="20"/>
              </w:rPr>
            </w:pPr>
            <w:r w:rsidRPr="00BB35DE">
              <w:rPr>
                <w:sz w:val="20"/>
                <w:szCs w:val="20"/>
              </w:rPr>
              <w:t>12</w:t>
            </w:r>
          </w:p>
        </w:tc>
        <w:tc>
          <w:tcPr>
            <w:tcW w:w="483" w:type="pct"/>
            <w:tcBorders>
              <w:top w:val="single" w:sz="7" w:space="0" w:color="000000"/>
              <w:left w:val="single" w:sz="7" w:space="0" w:color="000000"/>
              <w:bottom w:val="single" w:sz="7" w:space="0" w:color="000000"/>
              <w:right w:val="single" w:sz="7" w:space="0" w:color="000000"/>
            </w:tcBorders>
            <w:vAlign w:val="center"/>
          </w:tcPr>
          <w:p w:rsidR="00F33756" w:rsidRPr="00BB35DE" w:rsidRDefault="00F33756" w:rsidP="003D3501">
            <w:pPr>
              <w:pStyle w:val="Default3"/>
              <w:rPr>
                <w:sz w:val="20"/>
                <w:szCs w:val="20"/>
              </w:rPr>
            </w:pPr>
            <w:r w:rsidRPr="00BB35DE">
              <w:rPr>
                <w:sz w:val="20"/>
                <w:szCs w:val="20"/>
              </w:rPr>
              <w:t>108</w:t>
            </w:r>
          </w:p>
        </w:tc>
        <w:tc>
          <w:tcPr>
            <w:tcW w:w="385" w:type="pct"/>
            <w:tcBorders>
              <w:top w:val="single" w:sz="7" w:space="0" w:color="000000"/>
              <w:left w:val="single" w:sz="7" w:space="0" w:color="000000"/>
              <w:bottom w:val="single" w:sz="7" w:space="0" w:color="000000"/>
              <w:right w:val="single" w:sz="7" w:space="0" w:color="000000"/>
            </w:tcBorders>
            <w:vAlign w:val="center"/>
          </w:tcPr>
          <w:p w:rsidR="00F33756" w:rsidRPr="00BB35DE" w:rsidRDefault="00F33756" w:rsidP="003D3501">
            <w:pPr>
              <w:pStyle w:val="Default3"/>
              <w:rPr>
                <w:sz w:val="20"/>
                <w:szCs w:val="20"/>
              </w:rPr>
            </w:pPr>
            <w:r w:rsidRPr="00BB35DE">
              <w:rPr>
                <w:sz w:val="20"/>
                <w:szCs w:val="20"/>
              </w:rPr>
              <w:t>2,5</w:t>
            </w:r>
            <w:r>
              <w:rPr>
                <w:sz w:val="20"/>
                <w:szCs w:val="20"/>
              </w:rPr>
              <w:t>92</w:t>
            </w:r>
          </w:p>
        </w:tc>
        <w:tc>
          <w:tcPr>
            <w:tcW w:w="582" w:type="pct"/>
            <w:tcBorders>
              <w:top w:val="single" w:sz="7" w:space="0" w:color="000000"/>
              <w:left w:val="single" w:sz="7" w:space="0" w:color="000000"/>
              <w:bottom w:val="single" w:sz="7" w:space="0" w:color="000000"/>
              <w:right w:val="single" w:sz="7" w:space="0" w:color="000000"/>
            </w:tcBorders>
            <w:vAlign w:val="center"/>
          </w:tcPr>
          <w:p w:rsidR="00F33756" w:rsidRPr="00BB35DE" w:rsidRDefault="00F33756" w:rsidP="003D3501">
            <w:pPr>
              <w:pStyle w:val="Default3"/>
              <w:rPr>
                <w:sz w:val="20"/>
                <w:szCs w:val="20"/>
              </w:rPr>
            </w:pPr>
            <w:r w:rsidRPr="00BB35DE">
              <w:rPr>
                <w:sz w:val="20"/>
                <w:szCs w:val="20"/>
              </w:rPr>
              <w:t>$20</w:t>
            </w:r>
            <w:r>
              <w:rPr>
                <w:sz w:val="20"/>
                <w:szCs w:val="20"/>
              </w:rPr>
              <w:t>7</w:t>
            </w:r>
            <w:r w:rsidRPr="00BB35DE">
              <w:rPr>
                <w:sz w:val="20"/>
                <w:szCs w:val="20"/>
              </w:rPr>
              <w:t>,</w:t>
            </w:r>
            <w:r>
              <w:rPr>
                <w:sz w:val="20"/>
                <w:szCs w:val="20"/>
              </w:rPr>
              <w:t>491</w:t>
            </w:r>
          </w:p>
        </w:tc>
        <w:tc>
          <w:tcPr>
            <w:tcW w:w="524" w:type="pct"/>
            <w:tcBorders>
              <w:top w:val="single" w:sz="7" w:space="0" w:color="000000"/>
              <w:left w:val="single" w:sz="7" w:space="0" w:color="000000"/>
              <w:bottom w:val="single" w:sz="7" w:space="0" w:color="000000"/>
              <w:right w:val="single" w:sz="7" w:space="0" w:color="000000"/>
            </w:tcBorders>
            <w:vAlign w:val="center"/>
          </w:tcPr>
          <w:p w:rsidR="00F33756" w:rsidRPr="00BB35DE" w:rsidRDefault="00F33756" w:rsidP="003D3501">
            <w:pPr>
              <w:pStyle w:val="Default3"/>
              <w:rPr>
                <w:sz w:val="20"/>
                <w:szCs w:val="20"/>
              </w:rPr>
            </w:pPr>
            <w:r w:rsidRPr="00BB35DE">
              <w:rPr>
                <w:sz w:val="20"/>
                <w:szCs w:val="20"/>
              </w:rPr>
              <w:t>$0</w:t>
            </w:r>
          </w:p>
        </w:tc>
        <w:tc>
          <w:tcPr>
            <w:tcW w:w="542" w:type="pct"/>
            <w:tcBorders>
              <w:top w:val="single" w:sz="7" w:space="0" w:color="000000"/>
              <w:left w:val="single" w:sz="7" w:space="0" w:color="000000"/>
              <w:bottom w:val="single" w:sz="7" w:space="0" w:color="000000"/>
              <w:right w:val="single" w:sz="7" w:space="0" w:color="000000"/>
            </w:tcBorders>
            <w:vAlign w:val="center"/>
          </w:tcPr>
          <w:p w:rsidR="00F33756" w:rsidRPr="00BB35DE" w:rsidRDefault="00F33756" w:rsidP="003D3501">
            <w:pPr>
              <w:pStyle w:val="Default3"/>
              <w:rPr>
                <w:sz w:val="20"/>
                <w:szCs w:val="20"/>
              </w:rPr>
            </w:pPr>
            <w:r w:rsidRPr="00BB35DE">
              <w:rPr>
                <w:sz w:val="20"/>
                <w:szCs w:val="20"/>
              </w:rPr>
              <w:t>$0</w:t>
            </w:r>
          </w:p>
        </w:tc>
        <w:tc>
          <w:tcPr>
            <w:tcW w:w="608" w:type="pct"/>
            <w:gridSpan w:val="2"/>
            <w:tcBorders>
              <w:top w:val="single" w:sz="7" w:space="0" w:color="000000"/>
              <w:left w:val="single" w:sz="7" w:space="0" w:color="000000"/>
              <w:bottom w:val="single" w:sz="7" w:space="0" w:color="000000"/>
              <w:right w:val="single" w:sz="7" w:space="0" w:color="000000"/>
            </w:tcBorders>
            <w:vAlign w:val="center"/>
          </w:tcPr>
          <w:p w:rsidR="00F33756" w:rsidRPr="00BB35DE" w:rsidRDefault="00F33756" w:rsidP="003D3501">
            <w:pPr>
              <w:pStyle w:val="Default3"/>
              <w:rPr>
                <w:sz w:val="20"/>
                <w:szCs w:val="20"/>
              </w:rPr>
            </w:pPr>
            <w:r w:rsidRPr="00BB35DE">
              <w:rPr>
                <w:sz w:val="20"/>
                <w:szCs w:val="20"/>
              </w:rPr>
              <w:t>$0</w:t>
            </w:r>
          </w:p>
        </w:tc>
        <w:tc>
          <w:tcPr>
            <w:tcW w:w="652" w:type="pct"/>
            <w:gridSpan w:val="2"/>
            <w:tcBorders>
              <w:top w:val="single" w:sz="7" w:space="0" w:color="000000"/>
              <w:left w:val="single" w:sz="7" w:space="0" w:color="000000"/>
              <w:bottom w:val="single" w:sz="7" w:space="0" w:color="000000"/>
              <w:right w:val="single" w:sz="7" w:space="0" w:color="000000"/>
            </w:tcBorders>
            <w:vAlign w:val="center"/>
          </w:tcPr>
          <w:p w:rsidR="00F33756" w:rsidRPr="00BB35DE" w:rsidRDefault="00F33756" w:rsidP="006C5913">
            <w:pPr>
              <w:pStyle w:val="Default3"/>
              <w:rPr>
                <w:sz w:val="20"/>
                <w:szCs w:val="20"/>
              </w:rPr>
            </w:pPr>
            <w:r w:rsidRPr="00BB35DE">
              <w:rPr>
                <w:sz w:val="20"/>
                <w:szCs w:val="20"/>
              </w:rPr>
              <w:t>$20</w:t>
            </w:r>
            <w:r>
              <w:rPr>
                <w:sz w:val="20"/>
                <w:szCs w:val="20"/>
              </w:rPr>
              <w:t>7,491</w:t>
            </w:r>
          </w:p>
        </w:tc>
      </w:tr>
      <w:tr w:rsidR="003D3501" w:rsidRPr="00BB35DE" w:rsidTr="009F14A2">
        <w:trPr>
          <w:cantSplit/>
          <w:trHeight w:val="164"/>
          <w:jc w:val="center"/>
        </w:trPr>
        <w:tc>
          <w:tcPr>
            <w:tcW w:w="678"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HD Truck/Van Testing &amp; Certification</w:t>
            </w:r>
          </w:p>
        </w:tc>
        <w:tc>
          <w:tcPr>
            <w:tcW w:w="546"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3</w:t>
            </w:r>
          </w:p>
        </w:tc>
        <w:tc>
          <w:tcPr>
            <w:tcW w:w="483"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24</w:t>
            </w:r>
          </w:p>
        </w:tc>
        <w:tc>
          <w:tcPr>
            <w:tcW w:w="385"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4,</w:t>
            </w:r>
            <w:r w:rsidR="00241C94">
              <w:rPr>
                <w:sz w:val="20"/>
                <w:szCs w:val="20"/>
              </w:rPr>
              <w:t>824</w:t>
            </w:r>
          </w:p>
        </w:tc>
        <w:tc>
          <w:tcPr>
            <w:tcW w:w="582"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6C5913">
            <w:pPr>
              <w:pStyle w:val="Default3"/>
              <w:rPr>
                <w:sz w:val="20"/>
                <w:szCs w:val="20"/>
              </w:rPr>
            </w:pPr>
            <w:r w:rsidRPr="00BB35DE">
              <w:rPr>
                <w:sz w:val="20"/>
                <w:szCs w:val="20"/>
              </w:rPr>
              <w:t>$3</w:t>
            </w:r>
            <w:r w:rsidR="00241C94">
              <w:rPr>
                <w:sz w:val="20"/>
                <w:szCs w:val="20"/>
              </w:rPr>
              <w:t>24</w:t>
            </w:r>
            <w:r w:rsidRPr="00BB35DE">
              <w:rPr>
                <w:sz w:val="20"/>
                <w:szCs w:val="20"/>
              </w:rPr>
              <w:t>,</w:t>
            </w:r>
            <w:r w:rsidR="00241C94">
              <w:rPr>
                <w:sz w:val="20"/>
                <w:szCs w:val="20"/>
              </w:rPr>
              <w:t>918</w:t>
            </w:r>
          </w:p>
        </w:tc>
        <w:tc>
          <w:tcPr>
            <w:tcW w:w="52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$0</w:t>
            </w:r>
          </w:p>
        </w:tc>
        <w:tc>
          <w:tcPr>
            <w:tcW w:w="542"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$0</w:t>
            </w:r>
          </w:p>
        </w:tc>
        <w:tc>
          <w:tcPr>
            <w:tcW w:w="608" w:type="pct"/>
            <w:gridSpan w:val="2"/>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$0</w:t>
            </w:r>
          </w:p>
        </w:tc>
        <w:tc>
          <w:tcPr>
            <w:tcW w:w="652" w:type="pct"/>
            <w:gridSpan w:val="2"/>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6C5913">
            <w:pPr>
              <w:pStyle w:val="Default3"/>
              <w:rPr>
                <w:sz w:val="20"/>
                <w:szCs w:val="20"/>
              </w:rPr>
            </w:pPr>
            <w:r w:rsidRPr="00BB35DE">
              <w:rPr>
                <w:sz w:val="20"/>
                <w:szCs w:val="20"/>
              </w:rPr>
              <w:t>$3</w:t>
            </w:r>
            <w:r w:rsidR="00241C94">
              <w:rPr>
                <w:sz w:val="20"/>
                <w:szCs w:val="20"/>
              </w:rPr>
              <w:t>24</w:t>
            </w:r>
            <w:r w:rsidRPr="00BB35DE">
              <w:rPr>
                <w:sz w:val="20"/>
                <w:szCs w:val="20"/>
              </w:rPr>
              <w:t>,</w:t>
            </w:r>
            <w:r w:rsidR="00241C94">
              <w:rPr>
                <w:sz w:val="20"/>
                <w:szCs w:val="20"/>
              </w:rPr>
              <w:t>918</w:t>
            </w:r>
            <w:r w:rsidRPr="00BB35DE">
              <w:rPr>
                <w:sz w:val="20"/>
                <w:szCs w:val="20"/>
              </w:rPr>
              <w:t xml:space="preserve"> </w:t>
            </w:r>
          </w:p>
        </w:tc>
      </w:tr>
      <w:tr w:rsidR="003D3501" w:rsidRPr="00BB35DE" w:rsidTr="009F14A2">
        <w:trPr>
          <w:cantSplit/>
          <w:trHeight w:val="164"/>
          <w:jc w:val="center"/>
        </w:trPr>
        <w:tc>
          <w:tcPr>
            <w:tcW w:w="678" w:type="pct"/>
            <w:tcBorders>
              <w:top w:val="single" w:sz="7" w:space="0" w:color="000000"/>
              <w:left w:val="single" w:sz="7" w:space="0" w:color="000000"/>
              <w:bottom w:val="single" w:sz="7" w:space="0" w:color="000000"/>
              <w:right w:val="single" w:sz="7" w:space="0" w:color="000000"/>
            </w:tcBorders>
            <w:vAlign w:val="center"/>
          </w:tcPr>
          <w:p w:rsidR="00241C94" w:rsidRPr="00BB35DE" w:rsidRDefault="00241C94" w:rsidP="003D3501">
            <w:pPr>
              <w:pStyle w:val="Default3"/>
              <w:rPr>
                <w:sz w:val="20"/>
                <w:szCs w:val="20"/>
              </w:rPr>
            </w:pPr>
            <w:r w:rsidRPr="00BB35DE">
              <w:rPr>
                <w:sz w:val="20"/>
                <w:szCs w:val="20"/>
              </w:rPr>
              <w:t>Vocational Vehicle Testing &amp; Certification</w:t>
            </w:r>
          </w:p>
        </w:tc>
        <w:tc>
          <w:tcPr>
            <w:tcW w:w="546" w:type="pct"/>
            <w:tcBorders>
              <w:top w:val="single" w:sz="7" w:space="0" w:color="000000"/>
              <w:left w:val="single" w:sz="7" w:space="0" w:color="000000"/>
              <w:bottom w:val="single" w:sz="7" w:space="0" w:color="000000"/>
              <w:right w:val="single" w:sz="7" w:space="0" w:color="000000"/>
            </w:tcBorders>
            <w:vAlign w:val="center"/>
          </w:tcPr>
          <w:p w:rsidR="00241C94" w:rsidRPr="00BB35DE" w:rsidRDefault="00241C94" w:rsidP="003D3501">
            <w:pPr>
              <w:pStyle w:val="Default3"/>
              <w:rPr>
                <w:sz w:val="20"/>
                <w:szCs w:val="20"/>
              </w:rPr>
            </w:pPr>
            <w:r>
              <w:rPr>
                <w:sz w:val="20"/>
                <w:szCs w:val="20"/>
              </w:rPr>
              <w:t>22</w:t>
            </w:r>
          </w:p>
        </w:tc>
        <w:tc>
          <w:tcPr>
            <w:tcW w:w="483" w:type="pct"/>
            <w:tcBorders>
              <w:top w:val="single" w:sz="7" w:space="0" w:color="000000"/>
              <w:left w:val="single" w:sz="7" w:space="0" w:color="000000"/>
              <w:bottom w:val="single" w:sz="7" w:space="0" w:color="000000"/>
              <w:right w:val="single" w:sz="7" w:space="0" w:color="000000"/>
            </w:tcBorders>
            <w:vAlign w:val="center"/>
          </w:tcPr>
          <w:p w:rsidR="00241C94" w:rsidRPr="00BB35DE" w:rsidRDefault="00241C94" w:rsidP="003D3501">
            <w:pPr>
              <w:pStyle w:val="Default3"/>
              <w:rPr>
                <w:sz w:val="20"/>
                <w:szCs w:val="20"/>
              </w:rPr>
            </w:pPr>
            <w:r w:rsidRPr="00BB35DE">
              <w:rPr>
                <w:sz w:val="20"/>
                <w:szCs w:val="20"/>
              </w:rPr>
              <w:t>60</w:t>
            </w:r>
          </w:p>
        </w:tc>
        <w:tc>
          <w:tcPr>
            <w:tcW w:w="385" w:type="pct"/>
            <w:tcBorders>
              <w:top w:val="single" w:sz="7" w:space="0" w:color="000000"/>
              <w:left w:val="single" w:sz="7" w:space="0" w:color="000000"/>
              <w:bottom w:val="single" w:sz="7" w:space="0" w:color="000000"/>
              <w:right w:val="single" w:sz="7" w:space="0" w:color="000000"/>
            </w:tcBorders>
            <w:vAlign w:val="center"/>
          </w:tcPr>
          <w:p w:rsidR="00241C94" w:rsidRPr="00BB35DE" w:rsidRDefault="00241C94" w:rsidP="003D3501">
            <w:pPr>
              <w:pStyle w:val="Default3"/>
              <w:rPr>
                <w:sz w:val="20"/>
                <w:szCs w:val="20"/>
              </w:rPr>
            </w:pPr>
            <w:r>
              <w:rPr>
                <w:sz w:val="20"/>
                <w:szCs w:val="20"/>
              </w:rPr>
              <w:t>10</w:t>
            </w:r>
            <w:r w:rsidRPr="00BB35DE">
              <w:rPr>
                <w:sz w:val="20"/>
                <w:szCs w:val="20"/>
              </w:rPr>
              <w:t>,</w:t>
            </w:r>
            <w:r>
              <w:rPr>
                <w:sz w:val="20"/>
                <w:szCs w:val="20"/>
              </w:rPr>
              <w:t>86</w:t>
            </w:r>
            <w:r w:rsidRPr="00BB35DE">
              <w:rPr>
                <w:sz w:val="20"/>
                <w:szCs w:val="20"/>
              </w:rPr>
              <w:t>0</w:t>
            </w:r>
          </w:p>
        </w:tc>
        <w:tc>
          <w:tcPr>
            <w:tcW w:w="582" w:type="pct"/>
            <w:tcBorders>
              <w:top w:val="single" w:sz="7" w:space="0" w:color="000000"/>
              <w:left w:val="single" w:sz="7" w:space="0" w:color="000000"/>
              <w:bottom w:val="single" w:sz="7" w:space="0" w:color="000000"/>
              <w:right w:val="single" w:sz="7" w:space="0" w:color="000000"/>
            </w:tcBorders>
            <w:vAlign w:val="center"/>
          </w:tcPr>
          <w:p w:rsidR="00241C94" w:rsidRPr="00BB35DE" w:rsidRDefault="00241C94" w:rsidP="006C5913">
            <w:pPr>
              <w:pStyle w:val="Default3"/>
              <w:rPr>
                <w:sz w:val="20"/>
                <w:szCs w:val="20"/>
              </w:rPr>
            </w:pPr>
            <w:r w:rsidRPr="00BB35DE">
              <w:rPr>
                <w:sz w:val="20"/>
                <w:szCs w:val="20"/>
              </w:rPr>
              <w:t>$8</w:t>
            </w:r>
            <w:r>
              <w:rPr>
                <w:sz w:val="20"/>
                <w:szCs w:val="20"/>
              </w:rPr>
              <w:t>86</w:t>
            </w:r>
            <w:r w:rsidRPr="00BB35DE">
              <w:rPr>
                <w:sz w:val="20"/>
                <w:szCs w:val="20"/>
              </w:rPr>
              <w:t>,</w:t>
            </w:r>
            <w:r>
              <w:rPr>
                <w:sz w:val="20"/>
                <w:szCs w:val="20"/>
              </w:rPr>
              <w:t>231</w:t>
            </w:r>
          </w:p>
        </w:tc>
        <w:tc>
          <w:tcPr>
            <w:tcW w:w="524" w:type="pct"/>
            <w:tcBorders>
              <w:top w:val="single" w:sz="7" w:space="0" w:color="000000"/>
              <w:left w:val="single" w:sz="7" w:space="0" w:color="000000"/>
              <w:bottom w:val="single" w:sz="7" w:space="0" w:color="000000"/>
              <w:right w:val="single" w:sz="7" w:space="0" w:color="000000"/>
            </w:tcBorders>
            <w:vAlign w:val="center"/>
          </w:tcPr>
          <w:p w:rsidR="00241C94" w:rsidRPr="00BB35DE" w:rsidRDefault="00241C94" w:rsidP="003D3501">
            <w:pPr>
              <w:pStyle w:val="Default3"/>
              <w:rPr>
                <w:sz w:val="20"/>
                <w:szCs w:val="20"/>
              </w:rPr>
            </w:pPr>
            <w:r w:rsidRPr="00BB35DE">
              <w:rPr>
                <w:sz w:val="20"/>
                <w:szCs w:val="20"/>
              </w:rPr>
              <w:t>$0</w:t>
            </w:r>
          </w:p>
        </w:tc>
        <w:tc>
          <w:tcPr>
            <w:tcW w:w="542" w:type="pct"/>
            <w:tcBorders>
              <w:top w:val="single" w:sz="7" w:space="0" w:color="000000"/>
              <w:left w:val="single" w:sz="7" w:space="0" w:color="000000"/>
              <w:bottom w:val="single" w:sz="7" w:space="0" w:color="000000"/>
              <w:right w:val="single" w:sz="7" w:space="0" w:color="000000"/>
            </w:tcBorders>
            <w:vAlign w:val="center"/>
          </w:tcPr>
          <w:p w:rsidR="00241C94" w:rsidRPr="00BB35DE" w:rsidRDefault="00241C94" w:rsidP="003D3501">
            <w:pPr>
              <w:pStyle w:val="Default3"/>
              <w:rPr>
                <w:sz w:val="20"/>
                <w:szCs w:val="20"/>
              </w:rPr>
            </w:pPr>
            <w:r w:rsidRPr="00BB35DE">
              <w:rPr>
                <w:sz w:val="20"/>
                <w:szCs w:val="20"/>
              </w:rPr>
              <w:t>$1,</w:t>
            </w:r>
            <w:r>
              <w:rPr>
                <w:sz w:val="20"/>
                <w:szCs w:val="20"/>
              </w:rPr>
              <w:t>5</w:t>
            </w:r>
            <w:r w:rsidRPr="00BB35DE">
              <w:rPr>
                <w:sz w:val="20"/>
                <w:szCs w:val="20"/>
              </w:rPr>
              <w:t>00</w:t>
            </w:r>
          </w:p>
        </w:tc>
        <w:tc>
          <w:tcPr>
            <w:tcW w:w="608" w:type="pct"/>
            <w:gridSpan w:val="2"/>
            <w:tcBorders>
              <w:top w:val="single" w:sz="7" w:space="0" w:color="000000"/>
              <w:left w:val="single" w:sz="7" w:space="0" w:color="000000"/>
              <w:bottom w:val="single" w:sz="7" w:space="0" w:color="000000"/>
              <w:right w:val="single" w:sz="7" w:space="0" w:color="000000"/>
            </w:tcBorders>
            <w:vAlign w:val="center"/>
          </w:tcPr>
          <w:p w:rsidR="00241C94" w:rsidRPr="00BB35DE" w:rsidRDefault="00241C94" w:rsidP="003D3501">
            <w:pPr>
              <w:pStyle w:val="Default3"/>
              <w:rPr>
                <w:sz w:val="20"/>
                <w:szCs w:val="20"/>
              </w:rPr>
            </w:pPr>
            <w:r w:rsidRPr="00BB35DE">
              <w:rPr>
                <w:sz w:val="20"/>
                <w:szCs w:val="20"/>
              </w:rPr>
              <w:t>$1,</w:t>
            </w:r>
            <w:r>
              <w:rPr>
                <w:sz w:val="20"/>
                <w:szCs w:val="20"/>
              </w:rPr>
              <w:t>5</w:t>
            </w:r>
            <w:r w:rsidRPr="00BB35DE">
              <w:rPr>
                <w:sz w:val="20"/>
                <w:szCs w:val="20"/>
              </w:rPr>
              <w:t>00</w:t>
            </w:r>
          </w:p>
        </w:tc>
        <w:tc>
          <w:tcPr>
            <w:tcW w:w="652" w:type="pct"/>
            <w:gridSpan w:val="2"/>
            <w:tcBorders>
              <w:top w:val="single" w:sz="7" w:space="0" w:color="000000"/>
              <w:left w:val="single" w:sz="7" w:space="0" w:color="000000"/>
              <w:bottom w:val="single" w:sz="7" w:space="0" w:color="000000"/>
              <w:right w:val="single" w:sz="7" w:space="0" w:color="000000"/>
            </w:tcBorders>
            <w:vAlign w:val="center"/>
          </w:tcPr>
          <w:p w:rsidR="00241C94" w:rsidRPr="00BB35DE" w:rsidRDefault="00241C94" w:rsidP="006C5913">
            <w:pPr>
              <w:pStyle w:val="Default3"/>
              <w:rPr>
                <w:sz w:val="20"/>
                <w:szCs w:val="20"/>
              </w:rPr>
            </w:pPr>
            <w:r w:rsidRPr="00BB35DE">
              <w:rPr>
                <w:sz w:val="20"/>
                <w:szCs w:val="20"/>
              </w:rPr>
              <w:t>$8</w:t>
            </w:r>
            <w:r>
              <w:rPr>
                <w:sz w:val="20"/>
                <w:szCs w:val="20"/>
              </w:rPr>
              <w:t>90</w:t>
            </w:r>
            <w:r w:rsidRPr="00BB35DE">
              <w:rPr>
                <w:sz w:val="20"/>
                <w:szCs w:val="20"/>
              </w:rPr>
              <w:t>,</w:t>
            </w:r>
            <w:r>
              <w:rPr>
                <w:sz w:val="20"/>
                <w:szCs w:val="20"/>
              </w:rPr>
              <w:t>322</w:t>
            </w:r>
          </w:p>
        </w:tc>
      </w:tr>
      <w:tr w:rsidR="003D3501" w:rsidRPr="00BB35DE" w:rsidTr="009F14A2">
        <w:trPr>
          <w:cantSplit/>
          <w:trHeight w:val="164"/>
          <w:jc w:val="center"/>
        </w:trPr>
        <w:tc>
          <w:tcPr>
            <w:tcW w:w="678"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Combination Tractor Certification</w:t>
            </w:r>
          </w:p>
        </w:tc>
        <w:tc>
          <w:tcPr>
            <w:tcW w:w="546"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4</w:t>
            </w:r>
          </w:p>
        </w:tc>
        <w:tc>
          <w:tcPr>
            <w:tcW w:w="483"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32</w:t>
            </w:r>
          </w:p>
        </w:tc>
        <w:tc>
          <w:tcPr>
            <w:tcW w:w="385"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241C94" w:rsidP="003D3501">
            <w:pPr>
              <w:pStyle w:val="Default3"/>
              <w:rPr>
                <w:sz w:val="20"/>
                <w:szCs w:val="20"/>
              </w:rPr>
            </w:pPr>
            <w:r w:rsidRPr="00BB35DE">
              <w:rPr>
                <w:sz w:val="20"/>
                <w:szCs w:val="20"/>
              </w:rPr>
              <w:t>1</w:t>
            </w:r>
            <w:r>
              <w:rPr>
                <w:sz w:val="20"/>
                <w:szCs w:val="20"/>
              </w:rPr>
              <w:t>7</w:t>
            </w:r>
            <w:r w:rsidRPr="00BB35DE">
              <w:rPr>
                <w:sz w:val="20"/>
                <w:szCs w:val="20"/>
              </w:rPr>
              <w:t>,</w:t>
            </w:r>
            <w:r>
              <w:rPr>
                <w:sz w:val="20"/>
                <w:szCs w:val="20"/>
              </w:rPr>
              <w:t>120</w:t>
            </w:r>
          </w:p>
        </w:tc>
        <w:tc>
          <w:tcPr>
            <w:tcW w:w="582"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6C5913">
            <w:pPr>
              <w:pStyle w:val="Default3"/>
              <w:rPr>
                <w:sz w:val="20"/>
                <w:szCs w:val="20"/>
              </w:rPr>
            </w:pPr>
            <w:r w:rsidRPr="00BB35DE">
              <w:rPr>
                <w:sz w:val="20"/>
                <w:szCs w:val="20"/>
              </w:rPr>
              <w:t>$1,274</w:t>
            </w:r>
            <w:r w:rsidR="00241C94">
              <w:rPr>
                <w:sz w:val="20"/>
                <w:szCs w:val="20"/>
              </w:rPr>
              <w:t>,</w:t>
            </w:r>
            <w:r w:rsidRPr="00BB35DE">
              <w:rPr>
                <w:sz w:val="20"/>
                <w:szCs w:val="20"/>
              </w:rPr>
              <w:t>595</w:t>
            </w:r>
          </w:p>
        </w:tc>
        <w:tc>
          <w:tcPr>
            <w:tcW w:w="52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$0</w:t>
            </w:r>
          </w:p>
        </w:tc>
        <w:tc>
          <w:tcPr>
            <w:tcW w:w="542"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$124,000</w:t>
            </w:r>
          </w:p>
        </w:tc>
        <w:tc>
          <w:tcPr>
            <w:tcW w:w="608" w:type="pct"/>
            <w:gridSpan w:val="2"/>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$124,000</w:t>
            </w:r>
          </w:p>
        </w:tc>
        <w:tc>
          <w:tcPr>
            <w:tcW w:w="652" w:type="pct"/>
            <w:gridSpan w:val="2"/>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6C5913">
            <w:pPr>
              <w:pStyle w:val="Default3"/>
              <w:rPr>
                <w:sz w:val="20"/>
                <w:szCs w:val="20"/>
              </w:rPr>
            </w:pPr>
            <w:r w:rsidRPr="00BB35DE">
              <w:rPr>
                <w:sz w:val="20"/>
                <w:szCs w:val="20"/>
              </w:rPr>
              <w:t>$1,336</w:t>
            </w:r>
            <w:r w:rsidR="00241C94">
              <w:rPr>
                <w:sz w:val="20"/>
                <w:szCs w:val="20"/>
              </w:rPr>
              <w:t>,</w:t>
            </w:r>
            <w:r w:rsidRPr="00BB35DE">
              <w:rPr>
                <w:sz w:val="20"/>
                <w:szCs w:val="20"/>
              </w:rPr>
              <w:t xml:space="preserve">466 </w:t>
            </w:r>
          </w:p>
        </w:tc>
      </w:tr>
      <w:tr w:rsidR="00097C19" w:rsidRPr="00BB35DE" w:rsidTr="009F14A2">
        <w:trPr>
          <w:cantSplit/>
          <w:trHeight w:val="164"/>
          <w:jc w:val="center"/>
        </w:trPr>
        <w:tc>
          <w:tcPr>
            <w:tcW w:w="678" w:type="pct"/>
            <w:tcBorders>
              <w:top w:val="single" w:sz="7" w:space="0" w:color="000000"/>
              <w:left w:val="single" w:sz="7" w:space="0" w:color="000000"/>
              <w:bottom w:val="single" w:sz="7" w:space="0" w:color="000000"/>
              <w:right w:val="single" w:sz="7" w:space="0" w:color="000000"/>
            </w:tcBorders>
            <w:vAlign w:val="center"/>
          </w:tcPr>
          <w:p w:rsidR="00097C19" w:rsidRPr="00BB35DE" w:rsidRDefault="00097C19" w:rsidP="003D3501">
            <w:pPr>
              <w:pStyle w:val="Default3"/>
              <w:rPr>
                <w:sz w:val="20"/>
                <w:szCs w:val="20"/>
              </w:rPr>
            </w:pPr>
            <w:r w:rsidRPr="00BB35DE">
              <w:rPr>
                <w:sz w:val="20"/>
                <w:szCs w:val="20"/>
              </w:rPr>
              <w:t>Trailer Certification</w:t>
            </w:r>
          </w:p>
        </w:tc>
        <w:tc>
          <w:tcPr>
            <w:tcW w:w="546" w:type="pct"/>
            <w:tcBorders>
              <w:top w:val="single" w:sz="7" w:space="0" w:color="000000"/>
              <w:left w:val="single" w:sz="7" w:space="0" w:color="000000"/>
              <w:bottom w:val="single" w:sz="7" w:space="0" w:color="000000"/>
              <w:right w:val="single" w:sz="7" w:space="0" w:color="000000"/>
            </w:tcBorders>
            <w:vAlign w:val="center"/>
          </w:tcPr>
          <w:p w:rsidR="00097C19" w:rsidRPr="00097C19" w:rsidRDefault="00097C19" w:rsidP="00097C19">
            <w:pPr>
              <w:pStyle w:val="Default3"/>
              <w:rPr>
                <w:sz w:val="20"/>
                <w:szCs w:val="20"/>
              </w:rPr>
            </w:pPr>
            <w:r w:rsidRPr="00097C19">
              <w:rPr>
                <w:sz w:val="20"/>
                <w:szCs w:val="20"/>
              </w:rPr>
              <w:t>114</w:t>
            </w:r>
          </w:p>
        </w:tc>
        <w:tc>
          <w:tcPr>
            <w:tcW w:w="483" w:type="pct"/>
            <w:tcBorders>
              <w:top w:val="single" w:sz="7" w:space="0" w:color="000000"/>
              <w:left w:val="single" w:sz="7" w:space="0" w:color="000000"/>
              <w:bottom w:val="single" w:sz="7" w:space="0" w:color="000000"/>
              <w:right w:val="single" w:sz="7" w:space="0" w:color="000000"/>
            </w:tcBorders>
            <w:vAlign w:val="center"/>
          </w:tcPr>
          <w:p w:rsidR="00097C19" w:rsidRPr="00097C19" w:rsidRDefault="00097C19" w:rsidP="00097C19">
            <w:pPr>
              <w:pStyle w:val="Default3"/>
              <w:rPr>
                <w:sz w:val="20"/>
                <w:szCs w:val="20"/>
              </w:rPr>
            </w:pPr>
            <w:r w:rsidRPr="00097C19">
              <w:rPr>
                <w:sz w:val="20"/>
                <w:szCs w:val="20"/>
              </w:rPr>
              <w:t>152</w:t>
            </w:r>
          </w:p>
        </w:tc>
        <w:tc>
          <w:tcPr>
            <w:tcW w:w="385" w:type="pct"/>
            <w:tcBorders>
              <w:top w:val="single" w:sz="7" w:space="0" w:color="000000"/>
              <w:left w:val="single" w:sz="7" w:space="0" w:color="000000"/>
              <w:bottom w:val="single" w:sz="7" w:space="0" w:color="000000"/>
              <w:right w:val="single" w:sz="7" w:space="0" w:color="000000"/>
            </w:tcBorders>
            <w:vAlign w:val="center"/>
          </w:tcPr>
          <w:p w:rsidR="00097C19" w:rsidRPr="00097C19" w:rsidRDefault="00097C19" w:rsidP="00097C19">
            <w:pPr>
              <w:pStyle w:val="Default3"/>
              <w:rPr>
                <w:sz w:val="20"/>
                <w:szCs w:val="20"/>
              </w:rPr>
            </w:pPr>
            <w:r w:rsidRPr="00097C19">
              <w:rPr>
                <w:sz w:val="20"/>
                <w:szCs w:val="20"/>
              </w:rPr>
              <w:t>37</w:t>
            </w:r>
            <w:r w:rsidR="00E360F2">
              <w:rPr>
                <w:sz w:val="20"/>
                <w:szCs w:val="20"/>
              </w:rPr>
              <w:t>,</w:t>
            </w:r>
            <w:r w:rsidRPr="00097C19">
              <w:rPr>
                <w:sz w:val="20"/>
                <w:szCs w:val="20"/>
              </w:rPr>
              <w:t>290</w:t>
            </w:r>
          </w:p>
        </w:tc>
        <w:tc>
          <w:tcPr>
            <w:tcW w:w="582" w:type="pct"/>
            <w:tcBorders>
              <w:top w:val="single" w:sz="7" w:space="0" w:color="000000"/>
              <w:left w:val="single" w:sz="7" w:space="0" w:color="000000"/>
              <w:bottom w:val="single" w:sz="7" w:space="0" w:color="000000"/>
              <w:right w:val="single" w:sz="7" w:space="0" w:color="000000"/>
            </w:tcBorders>
            <w:vAlign w:val="center"/>
          </w:tcPr>
          <w:p w:rsidR="00097C19" w:rsidRPr="00BB35DE" w:rsidRDefault="00097C19" w:rsidP="006C5913">
            <w:pPr>
              <w:pStyle w:val="Default3"/>
              <w:rPr>
                <w:sz w:val="20"/>
                <w:szCs w:val="20"/>
              </w:rPr>
            </w:pPr>
            <w:r w:rsidRPr="00097C19">
              <w:rPr>
                <w:sz w:val="20"/>
                <w:szCs w:val="20"/>
              </w:rPr>
              <w:t>$2,341,694</w:t>
            </w:r>
          </w:p>
        </w:tc>
        <w:tc>
          <w:tcPr>
            <w:tcW w:w="524" w:type="pct"/>
            <w:tcBorders>
              <w:top w:val="single" w:sz="7" w:space="0" w:color="000000"/>
              <w:left w:val="single" w:sz="7" w:space="0" w:color="000000"/>
              <w:bottom w:val="single" w:sz="7" w:space="0" w:color="000000"/>
              <w:right w:val="single" w:sz="7" w:space="0" w:color="000000"/>
            </w:tcBorders>
            <w:vAlign w:val="center"/>
          </w:tcPr>
          <w:p w:rsidR="00097C19" w:rsidRPr="00BB35DE" w:rsidRDefault="00097C19" w:rsidP="003D3501">
            <w:pPr>
              <w:pStyle w:val="Default3"/>
              <w:rPr>
                <w:sz w:val="20"/>
                <w:szCs w:val="20"/>
              </w:rPr>
            </w:pPr>
            <w:r>
              <w:rPr>
                <w:sz w:val="20"/>
                <w:szCs w:val="20"/>
              </w:rPr>
              <w:t>$0</w:t>
            </w:r>
          </w:p>
        </w:tc>
        <w:tc>
          <w:tcPr>
            <w:tcW w:w="542" w:type="pct"/>
            <w:tcBorders>
              <w:top w:val="single" w:sz="7" w:space="0" w:color="000000"/>
              <w:left w:val="single" w:sz="7" w:space="0" w:color="000000"/>
              <w:bottom w:val="single" w:sz="7" w:space="0" w:color="000000"/>
              <w:right w:val="single" w:sz="7" w:space="0" w:color="000000"/>
            </w:tcBorders>
            <w:vAlign w:val="center"/>
          </w:tcPr>
          <w:p w:rsidR="00097C19" w:rsidRPr="00BB35DE" w:rsidRDefault="00097C19" w:rsidP="003D3501">
            <w:pPr>
              <w:pStyle w:val="Default3"/>
              <w:rPr>
                <w:sz w:val="20"/>
                <w:szCs w:val="20"/>
              </w:rPr>
            </w:pPr>
            <w:r w:rsidRPr="00097C19">
              <w:rPr>
                <w:sz w:val="20"/>
                <w:szCs w:val="20"/>
              </w:rPr>
              <w:t>$1,585,500</w:t>
            </w:r>
          </w:p>
        </w:tc>
        <w:tc>
          <w:tcPr>
            <w:tcW w:w="608" w:type="pct"/>
            <w:gridSpan w:val="2"/>
            <w:tcBorders>
              <w:top w:val="single" w:sz="7" w:space="0" w:color="000000"/>
              <w:left w:val="single" w:sz="7" w:space="0" w:color="000000"/>
              <w:bottom w:val="single" w:sz="7" w:space="0" w:color="000000"/>
              <w:right w:val="single" w:sz="7" w:space="0" w:color="000000"/>
            </w:tcBorders>
            <w:vAlign w:val="center"/>
          </w:tcPr>
          <w:p w:rsidR="00097C19" w:rsidRPr="00BB35DE" w:rsidRDefault="00097C19" w:rsidP="003D3501">
            <w:pPr>
              <w:pStyle w:val="Default3"/>
              <w:rPr>
                <w:sz w:val="20"/>
                <w:szCs w:val="20"/>
              </w:rPr>
            </w:pPr>
            <w:r w:rsidRPr="00097C19">
              <w:rPr>
                <w:sz w:val="20"/>
                <w:szCs w:val="20"/>
              </w:rPr>
              <w:t>$1,585,500</w:t>
            </w:r>
          </w:p>
        </w:tc>
        <w:tc>
          <w:tcPr>
            <w:tcW w:w="652" w:type="pct"/>
            <w:gridSpan w:val="2"/>
            <w:tcBorders>
              <w:top w:val="single" w:sz="7" w:space="0" w:color="000000"/>
              <w:left w:val="single" w:sz="7" w:space="0" w:color="000000"/>
              <w:bottom w:val="single" w:sz="7" w:space="0" w:color="000000"/>
              <w:right w:val="single" w:sz="7" w:space="0" w:color="000000"/>
            </w:tcBorders>
            <w:vAlign w:val="center"/>
          </w:tcPr>
          <w:p w:rsidR="00097C19" w:rsidRPr="00BB35DE" w:rsidRDefault="00097C19" w:rsidP="003D3501">
            <w:pPr>
              <w:pStyle w:val="Default3"/>
              <w:rPr>
                <w:sz w:val="20"/>
                <w:szCs w:val="20"/>
              </w:rPr>
            </w:pPr>
            <w:r w:rsidRPr="00097C19">
              <w:rPr>
                <w:sz w:val="20"/>
                <w:szCs w:val="20"/>
              </w:rPr>
              <w:t>$3,927,194</w:t>
            </w:r>
          </w:p>
        </w:tc>
      </w:tr>
      <w:tr w:rsidR="009519D5" w:rsidRPr="00BB35DE" w:rsidTr="009F14A2">
        <w:trPr>
          <w:gridAfter w:val="1"/>
          <w:wAfter w:w="8" w:type="pct"/>
          <w:cantSplit/>
          <w:trHeight w:val="164"/>
          <w:jc w:val="center"/>
        </w:trPr>
        <w:tc>
          <w:tcPr>
            <w:tcW w:w="4992" w:type="pct"/>
            <w:gridSpan w:val="10"/>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2017-2019 TOTALS</w:t>
            </w:r>
          </w:p>
        </w:tc>
      </w:tr>
      <w:tr w:rsidR="003D3501" w:rsidRPr="00BB35DE" w:rsidTr="009F14A2">
        <w:trPr>
          <w:gridAfter w:val="1"/>
          <w:wAfter w:w="8" w:type="pct"/>
          <w:cantSplit/>
          <w:trHeight w:val="164"/>
          <w:jc w:val="center"/>
        </w:trPr>
        <w:tc>
          <w:tcPr>
            <w:tcW w:w="678"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201</w:t>
            </w:r>
            <w:r w:rsidR="00DF5AAF" w:rsidRPr="00BB35DE">
              <w:rPr>
                <w:sz w:val="20"/>
                <w:szCs w:val="20"/>
              </w:rPr>
              <w:t>7</w:t>
            </w:r>
            <w:r w:rsidRPr="00BB35DE">
              <w:rPr>
                <w:sz w:val="20"/>
                <w:szCs w:val="20"/>
              </w:rPr>
              <w:t xml:space="preserve"> Total</w:t>
            </w:r>
          </w:p>
        </w:tc>
        <w:tc>
          <w:tcPr>
            <w:tcW w:w="546"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9F14A2" w:rsidP="003D3501">
            <w:pPr>
              <w:pStyle w:val="Default3"/>
              <w:rPr>
                <w:sz w:val="20"/>
                <w:szCs w:val="20"/>
              </w:rPr>
            </w:pPr>
            <w:r>
              <w:rPr>
                <w:sz w:val="20"/>
                <w:szCs w:val="20"/>
              </w:rPr>
              <w:t>155</w:t>
            </w:r>
          </w:p>
        </w:tc>
        <w:tc>
          <w:tcPr>
            <w:tcW w:w="483"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9F14A2" w:rsidP="003D3501">
            <w:pPr>
              <w:pStyle w:val="Default3"/>
              <w:rPr>
                <w:sz w:val="20"/>
                <w:szCs w:val="20"/>
              </w:rPr>
            </w:pPr>
            <w:r>
              <w:rPr>
                <w:sz w:val="20"/>
                <w:szCs w:val="20"/>
              </w:rPr>
              <w:t>376</w:t>
            </w:r>
          </w:p>
        </w:tc>
        <w:tc>
          <w:tcPr>
            <w:tcW w:w="385"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9F14A2" w:rsidP="003D3501">
            <w:pPr>
              <w:pStyle w:val="Default3"/>
              <w:rPr>
                <w:sz w:val="20"/>
                <w:szCs w:val="20"/>
              </w:rPr>
            </w:pPr>
            <w:r>
              <w:rPr>
                <w:sz w:val="20"/>
                <w:szCs w:val="20"/>
              </w:rPr>
              <w:t>51,252</w:t>
            </w:r>
          </w:p>
        </w:tc>
        <w:tc>
          <w:tcPr>
            <w:tcW w:w="582"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6C5913" w:rsidP="006C5913">
            <w:pPr>
              <w:pStyle w:val="Default3"/>
              <w:rPr>
                <w:sz w:val="20"/>
                <w:szCs w:val="20"/>
              </w:rPr>
            </w:pPr>
            <w:r>
              <w:rPr>
                <w:sz w:val="20"/>
                <w:szCs w:val="20"/>
              </w:rPr>
              <w:t>$</w:t>
            </w:r>
            <w:r w:rsidR="00E45142">
              <w:rPr>
                <w:sz w:val="20"/>
                <w:szCs w:val="20"/>
              </w:rPr>
              <w:t>4</w:t>
            </w:r>
            <w:r>
              <w:rPr>
                <w:sz w:val="20"/>
                <w:szCs w:val="20"/>
              </w:rPr>
              <w:t>,</w:t>
            </w:r>
            <w:r w:rsidR="00E45142">
              <w:rPr>
                <w:sz w:val="20"/>
                <w:szCs w:val="20"/>
              </w:rPr>
              <w:t>359</w:t>
            </w:r>
            <w:r>
              <w:rPr>
                <w:sz w:val="20"/>
                <w:szCs w:val="20"/>
              </w:rPr>
              <w:t>,</w:t>
            </w:r>
            <w:r w:rsidR="00E45142">
              <w:rPr>
                <w:sz w:val="20"/>
                <w:szCs w:val="20"/>
              </w:rPr>
              <w:t>630</w:t>
            </w:r>
          </w:p>
        </w:tc>
        <w:tc>
          <w:tcPr>
            <w:tcW w:w="52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6C5913" w:rsidP="006C5913">
            <w:pPr>
              <w:pStyle w:val="Default3"/>
              <w:rPr>
                <w:sz w:val="20"/>
                <w:szCs w:val="20"/>
              </w:rPr>
            </w:pPr>
            <w:r>
              <w:rPr>
                <w:sz w:val="20"/>
                <w:szCs w:val="20"/>
              </w:rPr>
              <w:t>$950,000</w:t>
            </w:r>
          </w:p>
        </w:tc>
        <w:tc>
          <w:tcPr>
            <w:tcW w:w="551" w:type="pct"/>
            <w:gridSpan w:val="2"/>
            <w:tcBorders>
              <w:top w:val="single" w:sz="7" w:space="0" w:color="000000"/>
              <w:left w:val="single" w:sz="7" w:space="0" w:color="000000"/>
              <w:bottom w:val="single" w:sz="7" w:space="0" w:color="000000"/>
              <w:right w:val="single" w:sz="7" w:space="0" w:color="000000"/>
            </w:tcBorders>
            <w:vAlign w:val="center"/>
          </w:tcPr>
          <w:p w:rsidR="005A63AF" w:rsidRPr="00BB35DE" w:rsidRDefault="009A6D02" w:rsidP="003D3501">
            <w:pPr>
              <w:pStyle w:val="Default3"/>
              <w:rPr>
                <w:sz w:val="20"/>
                <w:szCs w:val="20"/>
              </w:rPr>
            </w:pPr>
            <w:r>
              <w:rPr>
                <w:sz w:val="20"/>
                <w:szCs w:val="20"/>
              </w:rPr>
              <w:t>$</w:t>
            </w:r>
            <w:r w:rsidR="006C5913">
              <w:rPr>
                <w:sz w:val="20"/>
                <w:szCs w:val="20"/>
              </w:rPr>
              <w:t>737</w:t>
            </w:r>
            <w:r>
              <w:rPr>
                <w:sz w:val="20"/>
                <w:szCs w:val="20"/>
              </w:rPr>
              <w:t>,</w:t>
            </w:r>
            <w:r w:rsidR="006C5913">
              <w:rPr>
                <w:sz w:val="20"/>
                <w:szCs w:val="20"/>
              </w:rPr>
              <w:t>500</w:t>
            </w:r>
          </w:p>
        </w:tc>
        <w:tc>
          <w:tcPr>
            <w:tcW w:w="599"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9A6D02" w:rsidP="003D3501">
            <w:pPr>
              <w:pStyle w:val="Default3"/>
              <w:rPr>
                <w:sz w:val="20"/>
                <w:szCs w:val="20"/>
              </w:rPr>
            </w:pPr>
            <w:r>
              <w:rPr>
                <w:sz w:val="20"/>
                <w:szCs w:val="20"/>
              </w:rPr>
              <w:t>$</w:t>
            </w:r>
            <w:r w:rsidR="00E067D8">
              <w:rPr>
                <w:sz w:val="20"/>
                <w:szCs w:val="20"/>
              </w:rPr>
              <w:t>1</w:t>
            </w:r>
            <w:r>
              <w:rPr>
                <w:sz w:val="20"/>
                <w:szCs w:val="20"/>
              </w:rPr>
              <w:t>,</w:t>
            </w:r>
            <w:r w:rsidR="00E067D8">
              <w:rPr>
                <w:sz w:val="20"/>
                <w:szCs w:val="20"/>
              </w:rPr>
              <w:t>687</w:t>
            </w:r>
            <w:r>
              <w:rPr>
                <w:sz w:val="20"/>
                <w:szCs w:val="20"/>
              </w:rPr>
              <w:t>,</w:t>
            </w:r>
            <w:r w:rsidR="00E067D8">
              <w:rPr>
                <w:sz w:val="20"/>
                <w:szCs w:val="20"/>
              </w:rPr>
              <w:t>500</w:t>
            </w:r>
          </w:p>
        </w:tc>
        <w:tc>
          <w:tcPr>
            <w:tcW w:w="64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9A6D02" w:rsidP="003D3501">
            <w:pPr>
              <w:pStyle w:val="Default3"/>
              <w:rPr>
                <w:sz w:val="20"/>
                <w:szCs w:val="20"/>
              </w:rPr>
            </w:pPr>
            <w:r>
              <w:rPr>
                <w:sz w:val="20"/>
                <w:szCs w:val="20"/>
              </w:rPr>
              <w:t>$5,987,592</w:t>
            </w:r>
          </w:p>
        </w:tc>
      </w:tr>
      <w:tr w:rsidR="003D3501" w:rsidRPr="00BB35DE" w:rsidTr="009F14A2">
        <w:trPr>
          <w:gridAfter w:val="1"/>
          <w:wAfter w:w="8" w:type="pct"/>
          <w:cantSplit/>
          <w:trHeight w:val="164"/>
          <w:jc w:val="center"/>
        </w:trPr>
        <w:tc>
          <w:tcPr>
            <w:tcW w:w="678"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201</w:t>
            </w:r>
            <w:r w:rsidR="00DF5AAF" w:rsidRPr="00BB35DE">
              <w:rPr>
                <w:sz w:val="20"/>
                <w:szCs w:val="20"/>
              </w:rPr>
              <w:t>8</w:t>
            </w:r>
            <w:r w:rsidRPr="00BB35DE">
              <w:rPr>
                <w:sz w:val="20"/>
                <w:szCs w:val="20"/>
              </w:rPr>
              <w:t xml:space="preserve"> Total</w:t>
            </w:r>
          </w:p>
        </w:tc>
        <w:tc>
          <w:tcPr>
            <w:tcW w:w="546"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9F14A2" w:rsidP="003D3501">
            <w:pPr>
              <w:pStyle w:val="Default3"/>
              <w:rPr>
                <w:sz w:val="20"/>
                <w:szCs w:val="20"/>
              </w:rPr>
            </w:pPr>
            <w:r>
              <w:rPr>
                <w:sz w:val="20"/>
                <w:szCs w:val="20"/>
              </w:rPr>
              <w:t>155</w:t>
            </w:r>
          </w:p>
        </w:tc>
        <w:tc>
          <w:tcPr>
            <w:tcW w:w="483"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9F14A2" w:rsidP="003D3501">
            <w:pPr>
              <w:pStyle w:val="Default3"/>
              <w:rPr>
                <w:sz w:val="20"/>
                <w:szCs w:val="20"/>
              </w:rPr>
            </w:pPr>
            <w:r>
              <w:rPr>
                <w:sz w:val="20"/>
                <w:szCs w:val="20"/>
              </w:rPr>
              <w:t>376</w:t>
            </w:r>
          </w:p>
        </w:tc>
        <w:tc>
          <w:tcPr>
            <w:tcW w:w="385"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A227DD" w:rsidP="003D3501">
            <w:pPr>
              <w:pStyle w:val="Default3"/>
              <w:rPr>
                <w:sz w:val="20"/>
                <w:szCs w:val="20"/>
              </w:rPr>
            </w:pPr>
            <w:r>
              <w:rPr>
                <w:sz w:val="20"/>
                <w:szCs w:val="20"/>
              </w:rPr>
              <w:t>66,638</w:t>
            </w:r>
          </w:p>
        </w:tc>
        <w:tc>
          <w:tcPr>
            <w:tcW w:w="582"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6C5913" w:rsidP="003D3501">
            <w:pPr>
              <w:pStyle w:val="Default3"/>
              <w:rPr>
                <w:sz w:val="20"/>
                <w:szCs w:val="20"/>
              </w:rPr>
            </w:pPr>
            <w:r>
              <w:rPr>
                <w:sz w:val="20"/>
                <w:szCs w:val="20"/>
              </w:rPr>
              <w:t>$4,823,688</w:t>
            </w:r>
          </w:p>
        </w:tc>
        <w:tc>
          <w:tcPr>
            <w:tcW w:w="52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6C5913" w:rsidP="006C5913">
            <w:pPr>
              <w:pStyle w:val="Default3"/>
              <w:rPr>
                <w:sz w:val="20"/>
                <w:szCs w:val="20"/>
              </w:rPr>
            </w:pPr>
            <w:r>
              <w:rPr>
                <w:sz w:val="20"/>
                <w:szCs w:val="20"/>
              </w:rPr>
              <w:t>$4,750,000</w:t>
            </w:r>
          </w:p>
        </w:tc>
        <w:tc>
          <w:tcPr>
            <w:tcW w:w="551" w:type="pct"/>
            <w:gridSpan w:val="2"/>
            <w:tcBorders>
              <w:top w:val="single" w:sz="7" w:space="0" w:color="000000"/>
              <w:left w:val="single" w:sz="7" w:space="0" w:color="000000"/>
              <w:bottom w:val="single" w:sz="7" w:space="0" w:color="000000"/>
              <w:right w:val="single" w:sz="7" w:space="0" w:color="000000"/>
            </w:tcBorders>
            <w:vAlign w:val="center"/>
          </w:tcPr>
          <w:p w:rsidR="005A63AF" w:rsidRPr="00BB35DE" w:rsidRDefault="009A6D02" w:rsidP="003D3501">
            <w:pPr>
              <w:pStyle w:val="Default3"/>
              <w:rPr>
                <w:sz w:val="20"/>
                <w:szCs w:val="20"/>
              </w:rPr>
            </w:pPr>
            <w:r>
              <w:rPr>
                <w:sz w:val="20"/>
                <w:szCs w:val="20"/>
              </w:rPr>
              <w:t>$</w:t>
            </w:r>
            <w:r w:rsidR="006C5913">
              <w:rPr>
                <w:sz w:val="20"/>
                <w:szCs w:val="20"/>
              </w:rPr>
              <w:t>1</w:t>
            </w:r>
            <w:r>
              <w:rPr>
                <w:sz w:val="20"/>
                <w:szCs w:val="20"/>
              </w:rPr>
              <w:t>,</w:t>
            </w:r>
            <w:r w:rsidR="006C5913">
              <w:rPr>
                <w:sz w:val="20"/>
                <w:szCs w:val="20"/>
              </w:rPr>
              <w:t>711</w:t>
            </w:r>
            <w:r>
              <w:rPr>
                <w:sz w:val="20"/>
                <w:szCs w:val="20"/>
              </w:rPr>
              <w:t>,</w:t>
            </w:r>
            <w:r w:rsidR="006C5913">
              <w:rPr>
                <w:sz w:val="20"/>
                <w:szCs w:val="20"/>
              </w:rPr>
              <w:t>000</w:t>
            </w:r>
          </w:p>
        </w:tc>
        <w:tc>
          <w:tcPr>
            <w:tcW w:w="599"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9A6D02" w:rsidP="003D3501">
            <w:pPr>
              <w:pStyle w:val="Default3"/>
              <w:rPr>
                <w:sz w:val="20"/>
                <w:szCs w:val="20"/>
              </w:rPr>
            </w:pPr>
            <w:r>
              <w:rPr>
                <w:sz w:val="20"/>
                <w:szCs w:val="20"/>
              </w:rPr>
              <w:t>$</w:t>
            </w:r>
            <w:r w:rsidR="00E067D8">
              <w:rPr>
                <w:sz w:val="20"/>
                <w:szCs w:val="20"/>
              </w:rPr>
              <w:t>6</w:t>
            </w:r>
            <w:r>
              <w:rPr>
                <w:sz w:val="20"/>
                <w:szCs w:val="20"/>
              </w:rPr>
              <w:t>,</w:t>
            </w:r>
            <w:r w:rsidR="00E067D8">
              <w:rPr>
                <w:sz w:val="20"/>
                <w:szCs w:val="20"/>
              </w:rPr>
              <w:t>461</w:t>
            </w:r>
            <w:r>
              <w:rPr>
                <w:sz w:val="20"/>
                <w:szCs w:val="20"/>
              </w:rPr>
              <w:t>,</w:t>
            </w:r>
            <w:r w:rsidR="00E067D8">
              <w:rPr>
                <w:sz w:val="20"/>
                <w:szCs w:val="20"/>
              </w:rPr>
              <w:t>000</w:t>
            </w:r>
          </w:p>
        </w:tc>
        <w:tc>
          <w:tcPr>
            <w:tcW w:w="64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9A6D02" w:rsidP="003D3501">
            <w:pPr>
              <w:pStyle w:val="Default3"/>
              <w:rPr>
                <w:sz w:val="20"/>
                <w:szCs w:val="20"/>
              </w:rPr>
            </w:pPr>
            <w:r>
              <w:rPr>
                <w:sz w:val="20"/>
                <w:szCs w:val="20"/>
              </w:rPr>
              <w:t>$11,225,130</w:t>
            </w:r>
          </w:p>
        </w:tc>
      </w:tr>
      <w:tr w:rsidR="003D3501" w:rsidRPr="00BB35DE" w:rsidTr="009F14A2">
        <w:trPr>
          <w:gridAfter w:val="1"/>
          <w:wAfter w:w="8" w:type="pct"/>
          <w:cantSplit/>
          <w:trHeight w:val="164"/>
          <w:jc w:val="center"/>
        </w:trPr>
        <w:tc>
          <w:tcPr>
            <w:tcW w:w="678"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201</w:t>
            </w:r>
            <w:r w:rsidR="00DF5AAF" w:rsidRPr="00BB35DE">
              <w:rPr>
                <w:sz w:val="20"/>
                <w:szCs w:val="20"/>
              </w:rPr>
              <w:t>9</w:t>
            </w:r>
            <w:r w:rsidRPr="00BB35DE">
              <w:rPr>
                <w:sz w:val="20"/>
                <w:szCs w:val="20"/>
              </w:rPr>
              <w:t xml:space="preserve"> Total</w:t>
            </w:r>
          </w:p>
        </w:tc>
        <w:tc>
          <w:tcPr>
            <w:tcW w:w="546"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9F14A2" w:rsidP="003D3501">
            <w:pPr>
              <w:pStyle w:val="Default3"/>
              <w:rPr>
                <w:sz w:val="20"/>
                <w:szCs w:val="20"/>
              </w:rPr>
            </w:pPr>
            <w:r>
              <w:rPr>
                <w:sz w:val="20"/>
                <w:szCs w:val="20"/>
              </w:rPr>
              <w:t>155</w:t>
            </w:r>
          </w:p>
        </w:tc>
        <w:tc>
          <w:tcPr>
            <w:tcW w:w="483"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9F14A2" w:rsidP="003D3501">
            <w:pPr>
              <w:pStyle w:val="Default3"/>
              <w:rPr>
                <w:sz w:val="20"/>
                <w:szCs w:val="20"/>
              </w:rPr>
            </w:pPr>
            <w:r>
              <w:rPr>
                <w:sz w:val="20"/>
                <w:szCs w:val="20"/>
              </w:rPr>
              <w:t>376</w:t>
            </w:r>
          </w:p>
        </w:tc>
        <w:tc>
          <w:tcPr>
            <w:tcW w:w="385"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A227DD" w:rsidP="003D3501">
            <w:pPr>
              <w:pStyle w:val="Default3"/>
              <w:rPr>
                <w:sz w:val="20"/>
                <w:szCs w:val="20"/>
              </w:rPr>
            </w:pPr>
            <w:r>
              <w:rPr>
                <w:sz w:val="20"/>
                <w:szCs w:val="20"/>
              </w:rPr>
              <w:t>72,686</w:t>
            </w:r>
          </w:p>
        </w:tc>
        <w:tc>
          <w:tcPr>
            <w:tcW w:w="582"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6C5913" w:rsidP="003D3501">
            <w:pPr>
              <w:pStyle w:val="Default3"/>
              <w:rPr>
                <w:sz w:val="20"/>
                <w:szCs w:val="20"/>
              </w:rPr>
            </w:pPr>
            <w:r>
              <w:rPr>
                <w:sz w:val="20"/>
                <w:szCs w:val="20"/>
              </w:rPr>
              <w:t>$5,034,930</w:t>
            </w:r>
          </w:p>
        </w:tc>
        <w:tc>
          <w:tcPr>
            <w:tcW w:w="52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6C5913" w:rsidP="006C5913">
            <w:pPr>
              <w:pStyle w:val="Default3"/>
              <w:rPr>
                <w:sz w:val="20"/>
                <w:szCs w:val="20"/>
              </w:rPr>
            </w:pPr>
            <w:r>
              <w:rPr>
                <w:sz w:val="20"/>
                <w:szCs w:val="20"/>
              </w:rPr>
              <w:t>$0</w:t>
            </w:r>
          </w:p>
        </w:tc>
        <w:tc>
          <w:tcPr>
            <w:tcW w:w="551" w:type="pct"/>
            <w:gridSpan w:val="2"/>
            <w:tcBorders>
              <w:top w:val="single" w:sz="7" w:space="0" w:color="000000"/>
              <w:left w:val="single" w:sz="7" w:space="0" w:color="000000"/>
              <w:bottom w:val="single" w:sz="7" w:space="0" w:color="000000"/>
              <w:right w:val="single" w:sz="7" w:space="0" w:color="000000"/>
            </w:tcBorders>
            <w:vAlign w:val="center"/>
          </w:tcPr>
          <w:p w:rsidR="005A63AF" w:rsidRPr="00BB35DE" w:rsidRDefault="009A6D02" w:rsidP="003D3501">
            <w:pPr>
              <w:pStyle w:val="Default3"/>
              <w:rPr>
                <w:sz w:val="20"/>
                <w:szCs w:val="20"/>
              </w:rPr>
            </w:pPr>
            <w:r>
              <w:rPr>
                <w:sz w:val="20"/>
                <w:szCs w:val="20"/>
              </w:rPr>
              <w:t>$</w:t>
            </w:r>
            <w:r w:rsidR="00D8429B">
              <w:rPr>
                <w:sz w:val="20"/>
                <w:szCs w:val="20"/>
              </w:rPr>
              <w:t>1</w:t>
            </w:r>
            <w:r>
              <w:rPr>
                <w:sz w:val="20"/>
                <w:szCs w:val="20"/>
              </w:rPr>
              <w:t>,</w:t>
            </w:r>
            <w:r w:rsidR="00D8429B">
              <w:rPr>
                <w:sz w:val="20"/>
                <w:szCs w:val="20"/>
              </w:rPr>
              <w:t>711</w:t>
            </w:r>
            <w:r>
              <w:rPr>
                <w:sz w:val="20"/>
                <w:szCs w:val="20"/>
              </w:rPr>
              <w:t>,</w:t>
            </w:r>
            <w:r w:rsidR="00D8429B">
              <w:rPr>
                <w:sz w:val="20"/>
                <w:szCs w:val="20"/>
              </w:rPr>
              <w:t>000</w:t>
            </w:r>
          </w:p>
        </w:tc>
        <w:tc>
          <w:tcPr>
            <w:tcW w:w="599"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9A6D02" w:rsidP="003D3501">
            <w:pPr>
              <w:pStyle w:val="Default3"/>
              <w:rPr>
                <w:sz w:val="20"/>
                <w:szCs w:val="20"/>
              </w:rPr>
            </w:pPr>
            <w:r>
              <w:rPr>
                <w:sz w:val="20"/>
                <w:szCs w:val="20"/>
              </w:rPr>
              <w:t>$</w:t>
            </w:r>
            <w:r w:rsidR="00E067D8">
              <w:rPr>
                <w:sz w:val="20"/>
                <w:szCs w:val="20"/>
              </w:rPr>
              <w:t>1</w:t>
            </w:r>
            <w:r>
              <w:rPr>
                <w:sz w:val="20"/>
                <w:szCs w:val="20"/>
              </w:rPr>
              <w:t>,</w:t>
            </w:r>
            <w:r w:rsidR="00E067D8">
              <w:rPr>
                <w:sz w:val="20"/>
                <w:szCs w:val="20"/>
              </w:rPr>
              <w:t>711</w:t>
            </w:r>
            <w:r>
              <w:rPr>
                <w:sz w:val="20"/>
                <w:szCs w:val="20"/>
              </w:rPr>
              <w:t>,</w:t>
            </w:r>
            <w:r w:rsidR="00E067D8">
              <w:rPr>
                <w:sz w:val="20"/>
                <w:szCs w:val="20"/>
              </w:rPr>
              <w:t>000</w:t>
            </w:r>
          </w:p>
        </w:tc>
        <w:tc>
          <w:tcPr>
            <w:tcW w:w="64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9A6D02" w:rsidP="003D3501">
            <w:pPr>
              <w:pStyle w:val="Default3"/>
              <w:rPr>
                <w:sz w:val="20"/>
                <w:szCs w:val="20"/>
              </w:rPr>
            </w:pPr>
            <w:r>
              <w:rPr>
                <w:sz w:val="20"/>
                <w:szCs w:val="20"/>
              </w:rPr>
              <w:t>$6,686,392</w:t>
            </w:r>
          </w:p>
        </w:tc>
      </w:tr>
      <w:tr w:rsidR="003D3501" w:rsidRPr="00BB35DE" w:rsidTr="009F14A2">
        <w:trPr>
          <w:gridAfter w:val="1"/>
          <w:wAfter w:w="8" w:type="pct"/>
          <w:cantSplit/>
          <w:trHeight w:val="164"/>
          <w:jc w:val="center"/>
        </w:trPr>
        <w:tc>
          <w:tcPr>
            <w:tcW w:w="678"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Three Year Total</w:t>
            </w:r>
          </w:p>
        </w:tc>
        <w:tc>
          <w:tcPr>
            <w:tcW w:w="546"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F33756" w:rsidP="003D3501">
            <w:pPr>
              <w:pStyle w:val="Default3"/>
              <w:rPr>
                <w:sz w:val="20"/>
                <w:szCs w:val="20"/>
              </w:rPr>
            </w:pPr>
            <w:r>
              <w:rPr>
                <w:sz w:val="20"/>
                <w:szCs w:val="20"/>
              </w:rPr>
              <w:t>155</w:t>
            </w:r>
          </w:p>
        </w:tc>
        <w:tc>
          <w:tcPr>
            <w:tcW w:w="483"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F33756" w:rsidP="009F14A2">
            <w:pPr>
              <w:pStyle w:val="Default3"/>
              <w:rPr>
                <w:sz w:val="20"/>
                <w:szCs w:val="20"/>
              </w:rPr>
            </w:pPr>
            <w:r>
              <w:rPr>
                <w:sz w:val="20"/>
                <w:szCs w:val="20"/>
              </w:rPr>
              <w:t>1,1</w:t>
            </w:r>
            <w:r w:rsidR="00E360F2">
              <w:rPr>
                <w:sz w:val="20"/>
                <w:szCs w:val="20"/>
              </w:rPr>
              <w:t>28</w:t>
            </w:r>
          </w:p>
        </w:tc>
        <w:tc>
          <w:tcPr>
            <w:tcW w:w="385"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A227DD" w:rsidP="00791BEF">
            <w:pPr>
              <w:pStyle w:val="Default3"/>
              <w:rPr>
                <w:sz w:val="20"/>
                <w:szCs w:val="20"/>
              </w:rPr>
            </w:pPr>
            <w:r>
              <w:rPr>
                <w:sz w:val="20"/>
                <w:szCs w:val="20"/>
              </w:rPr>
              <w:t>190,576</w:t>
            </w:r>
          </w:p>
        </w:tc>
        <w:tc>
          <w:tcPr>
            <w:tcW w:w="582"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6C5913" w:rsidP="009A6D02">
            <w:pPr>
              <w:pStyle w:val="Default3"/>
              <w:rPr>
                <w:sz w:val="20"/>
                <w:szCs w:val="20"/>
              </w:rPr>
            </w:pPr>
            <w:r>
              <w:rPr>
                <w:sz w:val="20"/>
                <w:szCs w:val="20"/>
              </w:rPr>
              <w:t>$14,218,</w:t>
            </w:r>
            <w:r w:rsidR="009A6D02">
              <w:rPr>
                <w:sz w:val="20"/>
                <w:szCs w:val="20"/>
              </w:rPr>
              <w:t>200</w:t>
            </w:r>
          </w:p>
        </w:tc>
        <w:tc>
          <w:tcPr>
            <w:tcW w:w="52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6C5913" w:rsidP="003D3501">
            <w:pPr>
              <w:pStyle w:val="Default3"/>
              <w:rPr>
                <w:sz w:val="20"/>
                <w:szCs w:val="20"/>
              </w:rPr>
            </w:pPr>
            <w:r>
              <w:rPr>
                <w:sz w:val="20"/>
                <w:szCs w:val="20"/>
              </w:rPr>
              <w:t>$5,700,000</w:t>
            </w:r>
          </w:p>
        </w:tc>
        <w:tc>
          <w:tcPr>
            <w:tcW w:w="551" w:type="pct"/>
            <w:gridSpan w:val="2"/>
            <w:tcBorders>
              <w:top w:val="single" w:sz="7" w:space="0" w:color="000000"/>
              <w:left w:val="single" w:sz="7" w:space="0" w:color="000000"/>
              <w:bottom w:val="single" w:sz="7" w:space="0" w:color="000000"/>
              <w:right w:val="single" w:sz="7" w:space="0" w:color="000000"/>
            </w:tcBorders>
            <w:vAlign w:val="center"/>
          </w:tcPr>
          <w:p w:rsidR="005A63AF" w:rsidRPr="00BB35DE" w:rsidRDefault="009A6D02" w:rsidP="003D3501">
            <w:pPr>
              <w:pStyle w:val="Default3"/>
              <w:rPr>
                <w:sz w:val="20"/>
                <w:szCs w:val="20"/>
              </w:rPr>
            </w:pPr>
            <w:r>
              <w:rPr>
                <w:sz w:val="20"/>
                <w:szCs w:val="20"/>
              </w:rPr>
              <w:t>$</w:t>
            </w:r>
            <w:r w:rsidR="00D8429B">
              <w:rPr>
                <w:sz w:val="20"/>
                <w:szCs w:val="20"/>
              </w:rPr>
              <w:t>4</w:t>
            </w:r>
            <w:r>
              <w:rPr>
                <w:sz w:val="20"/>
                <w:szCs w:val="20"/>
              </w:rPr>
              <w:t>,</w:t>
            </w:r>
            <w:r w:rsidR="00D8429B">
              <w:rPr>
                <w:sz w:val="20"/>
                <w:szCs w:val="20"/>
              </w:rPr>
              <w:t>159</w:t>
            </w:r>
            <w:r>
              <w:rPr>
                <w:sz w:val="20"/>
                <w:szCs w:val="20"/>
              </w:rPr>
              <w:t>,</w:t>
            </w:r>
            <w:r w:rsidR="00D8429B">
              <w:rPr>
                <w:sz w:val="20"/>
                <w:szCs w:val="20"/>
              </w:rPr>
              <w:t>500</w:t>
            </w:r>
          </w:p>
        </w:tc>
        <w:tc>
          <w:tcPr>
            <w:tcW w:w="599"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9A6D02" w:rsidP="003D3501">
            <w:pPr>
              <w:pStyle w:val="Default3"/>
              <w:rPr>
                <w:sz w:val="20"/>
                <w:szCs w:val="20"/>
              </w:rPr>
            </w:pPr>
            <w:r>
              <w:rPr>
                <w:sz w:val="20"/>
                <w:szCs w:val="20"/>
              </w:rPr>
              <w:t>$</w:t>
            </w:r>
            <w:r w:rsidR="00E067D8">
              <w:rPr>
                <w:sz w:val="20"/>
                <w:szCs w:val="20"/>
              </w:rPr>
              <w:t>9</w:t>
            </w:r>
            <w:r>
              <w:rPr>
                <w:sz w:val="20"/>
                <w:szCs w:val="20"/>
              </w:rPr>
              <w:t>,</w:t>
            </w:r>
            <w:r w:rsidR="00E067D8">
              <w:rPr>
                <w:sz w:val="20"/>
                <w:szCs w:val="20"/>
              </w:rPr>
              <w:t>859</w:t>
            </w:r>
            <w:r>
              <w:rPr>
                <w:sz w:val="20"/>
                <w:szCs w:val="20"/>
              </w:rPr>
              <w:t>,</w:t>
            </w:r>
            <w:r w:rsidR="00E067D8">
              <w:rPr>
                <w:sz w:val="20"/>
                <w:szCs w:val="20"/>
              </w:rPr>
              <w:t>500</w:t>
            </w:r>
          </w:p>
        </w:tc>
        <w:tc>
          <w:tcPr>
            <w:tcW w:w="64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9A6D02" w:rsidP="009A6D02">
            <w:pPr>
              <w:pStyle w:val="Default3"/>
              <w:rPr>
                <w:sz w:val="20"/>
                <w:szCs w:val="20"/>
              </w:rPr>
            </w:pPr>
            <w:r>
              <w:rPr>
                <w:sz w:val="20"/>
                <w:szCs w:val="20"/>
              </w:rPr>
              <w:t>$23,899,100</w:t>
            </w:r>
          </w:p>
        </w:tc>
      </w:tr>
      <w:tr w:rsidR="003D3501" w:rsidRPr="00BB35DE" w:rsidTr="009F14A2">
        <w:trPr>
          <w:gridAfter w:val="1"/>
          <w:wAfter w:w="8" w:type="pct"/>
          <w:cantSplit/>
          <w:trHeight w:val="164"/>
          <w:jc w:val="center"/>
        </w:trPr>
        <w:tc>
          <w:tcPr>
            <w:tcW w:w="678"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894FB4" w:rsidP="003D3501">
            <w:pPr>
              <w:pStyle w:val="Default3"/>
              <w:rPr>
                <w:sz w:val="20"/>
                <w:szCs w:val="20"/>
              </w:rPr>
            </w:pPr>
            <w:r w:rsidRPr="00BB35DE">
              <w:rPr>
                <w:sz w:val="20"/>
                <w:szCs w:val="20"/>
              </w:rPr>
              <w:t>Annualized Burden</w:t>
            </w:r>
            <w:r w:rsidR="0075177B">
              <w:rPr>
                <w:sz w:val="20"/>
                <w:szCs w:val="20"/>
              </w:rPr>
              <w:t xml:space="preserve"> (3-yr average)</w:t>
            </w:r>
          </w:p>
        </w:tc>
        <w:tc>
          <w:tcPr>
            <w:tcW w:w="546"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75177B" w:rsidP="003D3501">
            <w:pPr>
              <w:pStyle w:val="Default3"/>
              <w:rPr>
                <w:sz w:val="20"/>
                <w:szCs w:val="20"/>
              </w:rPr>
            </w:pPr>
            <w:r>
              <w:rPr>
                <w:sz w:val="20"/>
                <w:szCs w:val="20"/>
              </w:rPr>
              <w:t>155</w:t>
            </w:r>
          </w:p>
        </w:tc>
        <w:tc>
          <w:tcPr>
            <w:tcW w:w="483"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75177B" w:rsidP="003D3501">
            <w:pPr>
              <w:pStyle w:val="Default3"/>
              <w:rPr>
                <w:sz w:val="20"/>
                <w:szCs w:val="20"/>
              </w:rPr>
            </w:pPr>
            <w:r>
              <w:rPr>
                <w:sz w:val="20"/>
                <w:szCs w:val="20"/>
              </w:rPr>
              <w:t>376</w:t>
            </w:r>
          </w:p>
        </w:tc>
        <w:tc>
          <w:tcPr>
            <w:tcW w:w="385"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A227DD" w:rsidP="009A6D02">
            <w:pPr>
              <w:pStyle w:val="Default3"/>
              <w:rPr>
                <w:sz w:val="20"/>
                <w:szCs w:val="20"/>
              </w:rPr>
            </w:pPr>
            <w:r>
              <w:rPr>
                <w:sz w:val="20"/>
                <w:szCs w:val="20"/>
              </w:rPr>
              <w:t>63,525</w:t>
            </w:r>
          </w:p>
        </w:tc>
        <w:tc>
          <w:tcPr>
            <w:tcW w:w="582"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6C5913" w:rsidP="009A6D02">
            <w:pPr>
              <w:pStyle w:val="Default3"/>
              <w:rPr>
                <w:sz w:val="20"/>
                <w:szCs w:val="20"/>
              </w:rPr>
            </w:pPr>
            <w:r>
              <w:rPr>
                <w:sz w:val="20"/>
                <w:szCs w:val="20"/>
              </w:rPr>
              <w:t>$4,739,40</w:t>
            </w:r>
            <w:r w:rsidR="009A6D02">
              <w:rPr>
                <w:sz w:val="20"/>
                <w:szCs w:val="20"/>
              </w:rPr>
              <w:t>0</w:t>
            </w:r>
          </w:p>
        </w:tc>
        <w:tc>
          <w:tcPr>
            <w:tcW w:w="52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6C5913" w:rsidP="006C5913">
            <w:pPr>
              <w:pStyle w:val="Default3"/>
              <w:rPr>
                <w:sz w:val="20"/>
                <w:szCs w:val="20"/>
              </w:rPr>
            </w:pPr>
            <w:r>
              <w:rPr>
                <w:sz w:val="20"/>
                <w:szCs w:val="20"/>
              </w:rPr>
              <w:t>$1,900,000</w:t>
            </w:r>
          </w:p>
        </w:tc>
        <w:tc>
          <w:tcPr>
            <w:tcW w:w="551" w:type="pct"/>
            <w:gridSpan w:val="2"/>
            <w:tcBorders>
              <w:top w:val="single" w:sz="7" w:space="0" w:color="000000"/>
              <w:left w:val="single" w:sz="7" w:space="0" w:color="000000"/>
              <w:bottom w:val="single" w:sz="7" w:space="0" w:color="000000"/>
              <w:right w:val="single" w:sz="7" w:space="0" w:color="000000"/>
            </w:tcBorders>
            <w:vAlign w:val="center"/>
          </w:tcPr>
          <w:p w:rsidR="005A63AF" w:rsidRPr="00BB35DE" w:rsidRDefault="009A6D02" w:rsidP="003D3501">
            <w:pPr>
              <w:pStyle w:val="Default3"/>
              <w:rPr>
                <w:sz w:val="20"/>
                <w:szCs w:val="20"/>
              </w:rPr>
            </w:pPr>
            <w:r>
              <w:rPr>
                <w:sz w:val="20"/>
                <w:szCs w:val="20"/>
              </w:rPr>
              <w:t>$</w:t>
            </w:r>
            <w:r w:rsidR="00D8429B">
              <w:rPr>
                <w:sz w:val="20"/>
                <w:szCs w:val="20"/>
              </w:rPr>
              <w:t>1</w:t>
            </w:r>
            <w:r>
              <w:rPr>
                <w:sz w:val="20"/>
                <w:szCs w:val="20"/>
              </w:rPr>
              <w:t>,</w:t>
            </w:r>
            <w:r w:rsidR="00D8429B">
              <w:rPr>
                <w:sz w:val="20"/>
                <w:szCs w:val="20"/>
              </w:rPr>
              <w:t>386</w:t>
            </w:r>
            <w:r>
              <w:rPr>
                <w:sz w:val="20"/>
                <w:szCs w:val="20"/>
              </w:rPr>
              <w:t>,</w:t>
            </w:r>
            <w:r w:rsidR="00D8429B">
              <w:rPr>
                <w:sz w:val="20"/>
                <w:szCs w:val="20"/>
              </w:rPr>
              <w:t>500</w:t>
            </w:r>
          </w:p>
        </w:tc>
        <w:tc>
          <w:tcPr>
            <w:tcW w:w="599"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9A6D02" w:rsidP="004A3DE6">
            <w:pPr>
              <w:pStyle w:val="Default3"/>
              <w:rPr>
                <w:sz w:val="20"/>
                <w:szCs w:val="20"/>
              </w:rPr>
            </w:pPr>
            <w:r>
              <w:rPr>
                <w:sz w:val="20"/>
                <w:szCs w:val="20"/>
              </w:rPr>
              <w:t>$</w:t>
            </w:r>
            <w:r w:rsidR="00E067D8">
              <w:rPr>
                <w:sz w:val="20"/>
                <w:szCs w:val="20"/>
              </w:rPr>
              <w:t>3</w:t>
            </w:r>
            <w:r>
              <w:rPr>
                <w:sz w:val="20"/>
                <w:szCs w:val="20"/>
              </w:rPr>
              <w:t>,</w:t>
            </w:r>
            <w:r w:rsidR="00E067D8">
              <w:rPr>
                <w:sz w:val="20"/>
                <w:szCs w:val="20"/>
              </w:rPr>
              <w:t>2</w:t>
            </w:r>
            <w:r w:rsidR="004A3DE6">
              <w:rPr>
                <w:sz w:val="20"/>
                <w:szCs w:val="20"/>
              </w:rPr>
              <w:t>8</w:t>
            </w:r>
            <w:r w:rsidR="00E067D8">
              <w:rPr>
                <w:sz w:val="20"/>
                <w:szCs w:val="20"/>
              </w:rPr>
              <w:t>6</w:t>
            </w:r>
            <w:r>
              <w:rPr>
                <w:sz w:val="20"/>
                <w:szCs w:val="20"/>
              </w:rPr>
              <w:t>,</w:t>
            </w:r>
            <w:r w:rsidR="00E067D8">
              <w:rPr>
                <w:sz w:val="20"/>
                <w:szCs w:val="20"/>
              </w:rPr>
              <w:t>500</w:t>
            </w:r>
          </w:p>
        </w:tc>
        <w:tc>
          <w:tcPr>
            <w:tcW w:w="644" w:type="pct"/>
            <w:tcBorders>
              <w:top w:val="single" w:sz="7" w:space="0" w:color="000000"/>
              <w:left w:val="single" w:sz="7" w:space="0" w:color="000000"/>
              <w:bottom w:val="single" w:sz="7" w:space="0" w:color="000000"/>
              <w:right w:val="single" w:sz="7" w:space="0" w:color="000000"/>
            </w:tcBorders>
            <w:vAlign w:val="center"/>
          </w:tcPr>
          <w:p w:rsidR="005A63AF" w:rsidRPr="00BB35DE" w:rsidRDefault="009A6D02" w:rsidP="009A6D02">
            <w:pPr>
              <w:pStyle w:val="Default3"/>
              <w:rPr>
                <w:sz w:val="20"/>
                <w:szCs w:val="20"/>
              </w:rPr>
            </w:pPr>
            <w:r>
              <w:rPr>
                <w:sz w:val="20"/>
                <w:szCs w:val="20"/>
              </w:rPr>
              <w:t>$7,966,400</w:t>
            </w:r>
          </w:p>
        </w:tc>
      </w:tr>
    </w:tbl>
    <w:p w:rsidR="005A63AF" w:rsidRDefault="005A63AF">
      <w:pPr>
        <w:pStyle w:val="Default3"/>
      </w:pPr>
    </w:p>
    <w:p w:rsidR="005A63AF" w:rsidRDefault="00894FB4">
      <w:pPr>
        <w:pStyle w:val="Heading3"/>
        <w:rPr>
          <w:bCs/>
          <w:color w:val="000000" w:themeColor="text1"/>
        </w:rPr>
      </w:pPr>
      <w:r w:rsidRPr="00894FB4">
        <w:rPr>
          <w:bCs/>
          <w:color w:val="000000" w:themeColor="text1"/>
        </w:rPr>
        <w:t xml:space="preserve">The Tally for the Agencies </w:t>
      </w:r>
    </w:p>
    <w:p w:rsidR="00925B2E" w:rsidRPr="00D049CA" w:rsidRDefault="00925B2E" w:rsidP="00925B2E">
      <w:pPr>
        <w:pStyle w:val="Default3"/>
        <w:rPr>
          <w:color w:val="000000" w:themeColor="text1"/>
        </w:rPr>
      </w:pPr>
      <w:bookmarkStart w:id="17" w:name="_GoBack"/>
      <w:bookmarkEnd w:id="17"/>
    </w:p>
    <w:p w:rsidR="002807D6" w:rsidRPr="00BF034E" w:rsidRDefault="00894FB4" w:rsidP="00BF034E">
      <w:pPr>
        <w:pStyle w:val="Caption"/>
        <w:keepNext/>
        <w:rPr>
          <w:color w:val="000000" w:themeColor="text1"/>
          <w:sz w:val="20"/>
          <w:szCs w:val="20"/>
        </w:rPr>
      </w:pPr>
      <w:bookmarkStart w:id="18" w:name="_Ref418866099"/>
      <w:r w:rsidRPr="00BF034E">
        <w:rPr>
          <w:color w:val="000000" w:themeColor="text1"/>
          <w:sz w:val="20"/>
          <w:szCs w:val="20"/>
        </w:rPr>
        <w:t xml:space="preserve">Table </w:t>
      </w:r>
      <w:r w:rsidR="00121BAD" w:rsidRPr="00BF034E">
        <w:rPr>
          <w:color w:val="000000" w:themeColor="text1"/>
          <w:sz w:val="20"/>
          <w:szCs w:val="20"/>
        </w:rPr>
        <w:fldChar w:fldCharType="begin"/>
      </w:r>
      <w:r w:rsidRPr="00BF034E">
        <w:rPr>
          <w:color w:val="000000" w:themeColor="text1"/>
          <w:sz w:val="20"/>
          <w:szCs w:val="20"/>
        </w:rPr>
        <w:instrText xml:space="preserve"> SEQ Table \* ARABIC </w:instrText>
      </w:r>
      <w:r w:rsidR="00121BAD" w:rsidRPr="00BF034E">
        <w:rPr>
          <w:color w:val="000000" w:themeColor="text1"/>
          <w:sz w:val="20"/>
          <w:szCs w:val="20"/>
        </w:rPr>
        <w:fldChar w:fldCharType="separate"/>
      </w:r>
      <w:r w:rsidR="00673E30">
        <w:rPr>
          <w:noProof/>
          <w:color w:val="000000" w:themeColor="text1"/>
          <w:sz w:val="20"/>
          <w:szCs w:val="20"/>
        </w:rPr>
        <w:t>15</w:t>
      </w:r>
      <w:r w:rsidR="00121BAD" w:rsidRPr="00BF034E">
        <w:rPr>
          <w:color w:val="000000" w:themeColor="text1"/>
          <w:sz w:val="20"/>
          <w:szCs w:val="20"/>
        </w:rPr>
        <w:fldChar w:fldCharType="end"/>
      </w:r>
      <w:bookmarkEnd w:id="18"/>
      <w:r w:rsidRPr="00BF034E">
        <w:rPr>
          <w:color w:val="000000" w:themeColor="text1"/>
          <w:sz w:val="20"/>
          <w:szCs w:val="20"/>
        </w:rPr>
        <w:t xml:space="preserve"> Total Estimated Agency Burden and Cost Summary</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000" w:firstRow="0" w:lastRow="0" w:firstColumn="0" w:lastColumn="0" w:noHBand="0" w:noVBand="0"/>
      </w:tblPr>
      <w:tblGrid>
        <w:gridCol w:w="1458"/>
        <w:gridCol w:w="1170"/>
        <w:gridCol w:w="1080"/>
        <w:gridCol w:w="1170"/>
        <w:gridCol w:w="1350"/>
        <w:gridCol w:w="1260"/>
        <w:gridCol w:w="1260"/>
        <w:gridCol w:w="1188"/>
      </w:tblGrid>
      <w:tr w:rsidR="00627B60" w:rsidRPr="00BB35DE" w:rsidTr="00BF034E">
        <w:trPr>
          <w:cantSplit/>
          <w:tblHeader/>
          <w:jc w:val="center"/>
        </w:trPr>
        <w:tc>
          <w:tcPr>
            <w:tcW w:w="1458" w:type="dxa"/>
          </w:tcPr>
          <w:p w:rsidR="005A63AF" w:rsidRPr="00BB35DE" w:rsidRDefault="00894FB4">
            <w:pPr>
              <w:pStyle w:val="Default3"/>
              <w:rPr>
                <w:sz w:val="20"/>
                <w:szCs w:val="20"/>
              </w:rPr>
            </w:pPr>
            <w:r w:rsidRPr="00BB35DE">
              <w:rPr>
                <w:sz w:val="20"/>
                <w:szCs w:val="20"/>
              </w:rPr>
              <w:t>Program</w:t>
            </w:r>
          </w:p>
        </w:tc>
        <w:tc>
          <w:tcPr>
            <w:tcW w:w="1170" w:type="dxa"/>
          </w:tcPr>
          <w:p w:rsidR="005A63AF" w:rsidRPr="00BB35DE" w:rsidRDefault="00894FB4">
            <w:pPr>
              <w:pStyle w:val="Default3"/>
              <w:rPr>
                <w:sz w:val="20"/>
                <w:szCs w:val="20"/>
              </w:rPr>
            </w:pPr>
            <w:r w:rsidRPr="00BB35DE">
              <w:rPr>
                <w:sz w:val="20"/>
                <w:szCs w:val="20"/>
              </w:rPr>
              <w:t>Number of Applications</w:t>
            </w:r>
          </w:p>
        </w:tc>
        <w:tc>
          <w:tcPr>
            <w:tcW w:w="1080" w:type="dxa"/>
          </w:tcPr>
          <w:p w:rsidR="005A63AF" w:rsidRPr="00BB35DE" w:rsidRDefault="00894FB4">
            <w:pPr>
              <w:pStyle w:val="Default3"/>
              <w:rPr>
                <w:sz w:val="20"/>
                <w:szCs w:val="20"/>
              </w:rPr>
            </w:pPr>
            <w:r w:rsidRPr="00BB35DE">
              <w:rPr>
                <w:sz w:val="20"/>
                <w:szCs w:val="20"/>
              </w:rPr>
              <w:t>Number of Activities</w:t>
            </w:r>
          </w:p>
        </w:tc>
        <w:tc>
          <w:tcPr>
            <w:tcW w:w="1170" w:type="dxa"/>
          </w:tcPr>
          <w:p w:rsidR="005A63AF" w:rsidRPr="00BB35DE" w:rsidRDefault="00894FB4">
            <w:pPr>
              <w:pStyle w:val="Default3"/>
              <w:rPr>
                <w:sz w:val="20"/>
                <w:szCs w:val="20"/>
              </w:rPr>
            </w:pPr>
            <w:r w:rsidRPr="00BB35DE">
              <w:rPr>
                <w:sz w:val="20"/>
                <w:szCs w:val="20"/>
              </w:rPr>
              <w:t>Total Hours Per Year</w:t>
            </w:r>
          </w:p>
        </w:tc>
        <w:tc>
          <w:tcPr>
            <w:tcW w:w="1350" w:type="dxa"/>
          </w:tcPr>
          <w:p w:rsidR="005A63AF" w:rsidRPr="00BB35DE" w:rsidRDefault="00894FB4">
            <w:pPr>
              <w:pStyle w:val="Default3"/>
              <w:rPr>
                <w:sz w:val="20"/>
                <w:szCs w:val="20"/>
              </w:rPr>
            </w:pPr>
            <w:r w:rsidRPr="00BB35DE">
              <w:rPr>
                <w:sz w:val="20"/>
                <w:szCs w:val="20"/>
              </w:rPr>
              <w:t>Total Labor Cost Per Year</w:t>
            </w:r>
          </w:p>
        </w:tc>
        <w:tc>
          <w:tcPr>
            <w:tcW w:w="1260" w:type="dxa"/>
          </w:tcPr>
          <w:p w:rsidR="005A63AF" w:rsidRPr="00BB35DE" w:rsidRDefault="00894FB4" w:rsidP="00627B60">
            <w:pPr>
              <w:pStyle w:val="Default3"/>
              <w:rPr>
                <w:sz w:val="20"/>
                <w:szCs w:val="20"/>
              </w:rPr>
            </w:pPr>
            <w:r w:rsidRPr="00BB35DE">
              <w:rPr>
                <w:sz w:val="20"/>
                <w:szCs w:val="20"/>
              </w:rPr>
              <w:t>Total  Capital Costs</w:t>
            </w:r>
          </w:p>
        </w:tc>
        <w:tc>
          <w:tcPr>
            <w:tcW w:w="1260" w:type="dxa"/>
          </w:tcPr>
          <w:p w:rsidR="005A63AF" w:rsidRPr="00BB35DE" w:rsidRDefault="00894FB4">
            <w:pPr>
              <w:pStyle w:val="Default3"/>
              <w:rPr>
                <w:sz w:val="20"/>
                <w:szCs w:val="20"/>
              </w:rPr>
            </w:pPr>
            <w:r w:rsidRPr="00BB35DE">
              <w:rPr>
                <w:sz w:val="20"/>
                <w:szCs w:val="20"/>
              </w:rPr>
              <w:t>Total Annual O&amp;M Costs</w:t>
            </w:r>
          </w:p>
        </w:tc>
        <w:tc>
          <w:tcPr>
            <w:tcW w:w="1188" w:type="dxa"/>
          </w:tcPr>
          <w:p w:rsidR="005A63AF" w:rsidRPr="00BB35DE" w:rsidRDefault="00894FB4">
            <w:pPr>
              <w:pStyle w:val="Default3"/>
              <w:rPr>
                <w:sz w:val="20"/>
                <w:szCs w:val="20"/>
              </w:rPr>
            </w:pPr>
            <w:r w:rsidRPr="00BB35DE">
              <w:rPr>
                <w:sz w:val="20"/>
                <w:szCs w:val="20"/>
              </w:rPr>
              <w:t>Total Costs</w:t>
            </w:r>
          </w:p>
        </w:tc>
      </w:tr>
      <w:tr w:rsidR="00627B60" w:rsidRPr="00BB35DE" w:rsidTr="00627B60">
        <w:trPr>
          <w:jc w:val="center"/>
        </w:trPr>
        <w:tc>
          <w:tcPr>
            <w:tcW w:w="1458" w:type="dxa"/>
          </w:tcPr>
          <w:p w:rsidR="005A63AF" w:rsidRPr="00BB35DE" w:rsidRDefault="00894FB4">
            <w:pPr>
              <w:pStyle w:val="Default3"/>
              <w:rPr>
                <w:sz w:val="20"/>
                <w:szCs w:val="20"/>
              </w:rPr>
            </w:pPr>
            <w:r w:rsidRPr="00BB35DE">
              <w:rPr>
                <w:sz w:val="20"/>
                <w:szCs w:val="20"/>
              </w:rPr>
              <w:t>EPA Emissions Certification</w:t>
            </w:r>
          </w:p>
        </w:tc>
        <w:tc>
          <w:tcPr>
            <w:tcW w:w="1170" w:type="dxa"/>
          </w:tcPr>
          <w:p w:rsidR="005A63AF" w:rsidRPr="00BB35DE" w:rsidRDefault="00F33756" w:rsidP="001F71DC">
            <w:pPr>
              <w:pStyle w:val="Default3"/>
              <w:rPr>
                <w:sz w:val="20"/>
                <w:szCs w:val="20"/>
              </w:rPr>
            </w:pPr>
            <w:r>
              <w:rPr>
                <w:sz w:val="20"/>
                <w:szCs w:val="20"/>
              </w:rPr>
              <w:t>37</w:t>
            </w:r>
            <w:r w:rsidR="001F71DC">
              <w:rPr>
                <w:sz w:val="20"/>
                <w:szCs w:val="20"/>
              </w:rPr>
              <w:t>6</w:t>
            </w:r>
          </w:p>
        </w:tc>
        <w:tc>
          <w:tcPr>
            <w:tcW w:w="1080" w:type="dxa"/>
          </w:tcPr>
          <w:p w:rsidR="005A63AF" w:rsidRPr="00BB35DE" w:rsidRDefault="00894FB4">
            <w:pPr>
              <w:pStyle w:val="Default3"/>
              <w:rPr>
                <w:sz w:val="20"/>
                <w:szCs w:val="20"/>
              </w:rPr>
            </w:pPr>
            <w:r w:rsidRPr="00BB35DE">
              <w:rPr>
                <w:sz w:val="20"/>
                <w:szCs w:val="20"/>
              </w:rPr>
              <w:t>10</w:t>
            </w:r>
          </w:p>
        </w:tc>
        <w:tc>
          <w:tcPr>
            <w:tcW w:w="1170" w:type="dxa"/>
          </w:tcPr>
          <w:p w:rsidR="005A63AF" w:rsidRPr="00BB35DE" w:rsidRDefault="00236AB2">
            <w:pPr>
              <w:pStyle w:val="Default3"/>
              <w:rPr>
                <w:sz w:val="20"/>
                <w:szCs w:val="20"/>
              </w:rPr>
            </w:pPr>
            <w:r>
              <w:rPr>
                <w:sz w:val="20"/>
                <w:szCs w:val="20"/>
              </w:rPr>
              <w:t>22,000</w:t>
            </w:r>
          </w:p>
        </w:tc>
        <w:tc>
          <w:tcPr>
            <w:tcW w:w="1350" w:type="dxa"/>
          </w:tcPr>
          <w:p w:rsidR="005A63AF" w:rsidRPr="00BB35DE" w:rsidRDefault="00894FB4" w:rsidP="00236AB2">
            <w:pPr>
              <w:pStyle w:val="Default3"/>
              <w:rPr>
                <w:sz w:val="20"/>
                <w:szCs w:val="20"/>
              </w:rPr>
            </w:pPr>
            <w:r w:rsidRPr="00BB35DE">
              <w:rPr>
                <w:sz w:val="20"/>
                <w:szCs w:val="20"/>
              </w:rPr>
              <w:t>$1,</w:t>
            </w:r>
            <w:r w:rsidR="00236AB2">
              <w:rPr>
                <w:sz w:val="20"/>
                <w:szCs w:val="20"/>
              </w:rPr>
              <w:t>760</w:t>
            </w:r>
            <w:r w:rsidRPr="00BB35DE">
              <w:rPr>
                <w:sz w:val="20"/>
                <w:szCs w:val="20"/>
              </w:rPr>
              <w:t>,000</w:t>
            </w:r>
          </w:p>
        </w:tc>
        <w:tc>
          <w:tcPr>
            <w:tcW w:w="1260" w:type="dxa"/>
          </w:tcPr>
          <w:p w:rsidR="005A63AF" w:rsidRPr="00BB35DE" w:rsidRDefault="00894FB4" w:rsidP="00236AB2">
            <w:pPr>
              <w:pStyle w:val="Default3"/>
              <w:rPr>
                <w:sz w:val="20"/>
                <w:szCs w:val="20"/>
              </w:rPr>
            </w:pPr>
            <w:r w:rsidRPr="00BB35DE">
              <w:rPr>
                <w:sz w:val="20"/>
                <w:szCs w:val="20"/>
              </w:rPr>
              <w:t>$</w:t>
            </w:r>
            <w:r w:rsidR="00236AB2">
              <w:rPr>
                <w:sz w:val="20"/>
                <w:szCs w:val="20"/>
              </w:rPr>
              <w:t>650,000</w:t>
            </w:r>
          </w:p>
        </w:tc>
        <w:tc>
          <w:tcPr>
            <w:tcW w:w="1260" w:type="dxa"/>
          </w:tcPr>
          <w:p w:rsidR="005A63AF" w:rsidRPr="00BB35DE" w:rsidRDefault="00894FB4">
            <w:pPr>
              <w:pStyle w:val="Default3"/>
              <w:rPr>
                <w:sz w:val="20"/>
                <w:szCs w:val="20"/>
              </w:rPr>
            </w:pPr>
            <w:r w:rsidRPr="00BB35DE">
              <w:rPr>
                <w:sz w:val="20"/>
                <w:szCs w:val="20"/>
              </w:rPr>
              <w:t>$150,000</w:t>
            </w:r>
          </w:p>
        </w:tc>
        <w:tc>
          <w:tcPr>
            <w:tcW w:w="1188" w:type="dxa"/>
          </w:tcPr>
          <w:p w:rsidR="005A63AF" w:rsidRPr="00BB35DE" w:rsidRDefault="00894FB4" w:rsidP="00A573AB">
            <w:pPr>
              <w:pStyle w:val="Default3"/>
              <w:rPr>
                <w:sz w:val="20"/>
                <w:szCs w:val="20"/>
              </w:rPr>
            </w:pPr>
            <w:r w:rsidRPr="00BB35DE">
              <w:rPr>
                <w:sz w:val="20"/>
                <w:szCs w:val="20"/>
              </w:rPr>
              <w:t>$</w:t>
            </w:r>
            <w:r w:rsidR="00236AB2">
              <w:rPr>
                <w:sz w:val="20"/>
                <w:szCs w:val="20"/>
              </w:rPr>
              <w:t>2,</w:t>
            </w:r>
            <w:r w:rsidR="00A573AB">
              <w:rPr>
                <w:sz w:val="20"/>
                <w:szCs w:val="20"/>
              </w:rPr>
              <w:t>5</w:t>
            </w:r>
            <w:r w:rsidR="00D86081">
              <w:rPr>
                <w:sz w:val="20"/>
                <w:szCs w:val="20"/>
              </w:rPr>
              <w:t>6</w:t>
            </w:r>
            <w:r w:rsidR="00236AB2">
              <w:rPr>
                <w:sz w:val="20"/>
                <w:szCs w:val="20"/>
              </w:rPr>
              <w:t>0,000</w:t>
            </w:r>
          </w:p>
        </w:tc>
      </w:tr>
      <w:tr w:rsidR="00627B60" w:rsidRPr="00BB35DE" w:rsidTr="00627B60">
        <w:trPr>
          <w:jc w:val="center"/>
        </w:trPr>
        <w:tc>
          <w:tcPr>
            <w:tcW w:w="1458" w:type="dxa"/>
          </w:tcPr>
          <w:p w:rsidR="005A63AF" w:rsidRPr="00BB35DE" w:rsidRDefault="00894FB4">
            <w:pPr>
              <w:pStyle w:val="Default3"/>
              <w:rPr>
                <w:sz w:val="20"/>
                <w:szCs w:val="20"/>
              </w:rPr>
            </w:pPr>
            <w:r w:rsidRPr="00BB35DE">
              <w:rPr>
                <w:sz w:val="20"/>
                <w:szCs w:val="20"/>
              </w:rPr>
              <w:t>DOT Fuel Consumption</w:t>
            </w:r>
          </w:p>
        </w:tc>
        <w:tc>
          <w:tcPr>
            <w:tcW w:w="1170" w:type="dxa"/>
          </w:tcPr>
          <w:p w:rsidR="005A63AF" w:rsidRPr="00BB35DE" w:rsidRDefault="00F33756" w:rsidP="001F71DC">
            <w:pPr>
              <w:pStyle w:val="Default3"/>
              <w:rPr>
                <w:sz w:val="20"/>
                <w:szCs w:val="20"/>
              </w:rPr>
            </w:pPr>
            <w:r>
              <w:rPr>
                <w:sz w:val="20"/>
                <w:szCs w:val="20"/>
              </w:rPr>
              <w:t>37</w:t>
            </w:r>
            <w:r w:rsidR="001F71DC">
              <w:rPr>
                <w:sz w:val="20"/>
                <w:szCs w:val="20"/>
              </w:rPr>
              <w:t>6</w:t>
            </w:r>
          </w:p>
        </w:tc>
        <w:tc>
          <w:tcPr>
            <w:tcW w:w="1080" w:type="dxa"/>
          </w:tcPr>
          <w:p w:rsidR="005A63AF" w:rsidRPr="00BB35DE" w:rsidRDefault="00894FB4">
            <w:pPr>
              <w:pStyle w:val="Default3"/>
              <w:rPr>
                <w:sz w:val="20"/>
                <w:szCs w:val="20"/>
              </w:rPr>
            </w:pPr>
            <w:r w:rsidRPr="00BB35DE">
              <w:rPr>
                <w:sz w:val="20"/>
                <w:szCs w:val="20"/>
              </w:rPr>
              <w:t>10</w:t>
            </w:r>
          </w:p>
        </w:tc>
        <w:tc>
          <w:tcPr>
            <w:tcW w:w="1170" w:type="dxa"/>
          </w:tcPr>
          <w:p w:rsidR="005A63AF" w:rsidRPr="00BB35DE" w:rsidRDefault="000C192C" w:rsidP="000C192C">
            <w:pPr>
              <w:pStyle w:val="Default3"/>
              <w:rPr>
                <w:sz w:val="20"/>
                <w:szCs w:val="20"/>
              </w:rPr>
            </w:pPr>
            <w:r>
              <w:rPr>
                <w:sz w:val="20"/>
                <w:szCs w:val="20"/>
              </w:rPr>
              <w:t>5,466</w:t>
            </w:r>
          </w:p>
        </w:tc>
        <w:tc>
          <w:tcPr>
            <w:tcW w:w="1350" w:type="dxa"/>
          </w:tcPr>
          <w:p w:rsidR="005A63AF" w:rsidRPr="00BB35DE" w:rsidRDefault="00894FB4">
            <w:pPr>
              <w:pStyle w:val="Default3"/>
              <w:rPr>
                <w:sz w:val="20"/>
                <w:szCs w:val="20"/>
              </w:rPr>
            </w:pPr>
            <w:r w:rsidRPr="00BB35DE">
              <w:rPr>
                <w:sz w:val="20"/>
                <w:szCs w:val="20"/>
              </w:rPr>
              <w:t>$</w:t>
            </w:r>
            <w:r w:rsidR="000C192C">
              <w:rPr>
                <w:sz w:val="20"/>
                <w:szCs w:val="20"/>
              </w:rPr>
              <w:t>437,280</w:t>
            </w:r>
          </w:p>
        </w:tc>
        <w:tc>
          <w:tcPr>
            <w:tcW w:w="1260" w:type="dxa"/>
          </w:tcPr>
          <w:p w:rsidR="005A63AF" w:rsidRPr="00BB35DE" w:rsidRDefault="00894FB4">
            <w:pPr>
              <w:pStyle w:val="Default3"/>
              <w:rPr>
                <w:sz w:val="20"/>
                <w:szCs w:val="20"/>
              </w:rPr>
            </w:pPr>
            <w:r w:rsidRPr="00BB35DE">
              <w:rPr>
                <w:sz w:val="20"/>
                <w:szCs w:val="20"/>
              </w:rPr>
              <w:t>0</w:t>
            </w:r>
          </w:p>
        </w:tc>
        <w:tc>
          <w:tcPr>
            <w:tcW w:w="1260" w:type="dxa"/>
          </w:tcPr>
          <w:p w:rsidR="005A63AF" w:rsidRPr="00BB35DE" w:rsidRDefault="00894FB4" w:rsidP="000C192C">
            <w:pPr>
              <w:pStyle w:val="Default3"/>
              <w:rPr>
                <w:sz w:val="20"/>
                <w:szCs w:val="20"/>
              </w:rPr>
            </w:pPr>
            <w:r w:rsidRPr="00BB35DE">
              <w:rPr>
                <w:sz w:val="20"/>
                <w:szCs w:val="20"/>
              </w:rPr>
              <w:t>$</w:t>
            </w:r>
            <w:r w:rsidR="000C192C">
              <w:rPr>
                <w:sz w:val="20"/>
                <w:szCs w:val="20"/>
              </w:rPr>
              <w:t>33</w:t>
            </w:r>
            <w:r w:rsidRPr="00BB35DE">
              <w:rPr>
                <w:sz w:val="20"/>
                <w:szCs w:val="20"/>
              </w:rPr>
              <w:t>,000</w:t>
            </w:r>
          </w:p>
        </w:tc>
        <w:tc>
          <w:tcPr>
            <w:tcW w:w="1188" w:type="dxa"/>
          </w:tcPr>
          <w:p w:rsidR="005A63AF" w:rsidRPr="00BB35DE" w:rsidRDefault="00894FB4">
            <w:pPr>
              <w:pStyle w:val="Default3"/>
              <w:rPr>
                <w:sz w:val="20"/>
                <w:szCs w:val="20"/>
              </w:rPr>
            </w:pPr>
            <w:r w:rsidRPr="00BB35DE">
              <w:rPr>
                <w:sz w:val="20"/>
                <w:szCs w:val="20"/>
              </w:rPr>
              <w:t>$</w:t>
            </w:r>
            <w:r w:rsidR="000C192C">
              <w:rPr>
                <w:sz w:val="20"/>
                <w:szCs w:val="20"/>
              </w:rPr>
              <w:t>470,280</w:t>
            </w:r>
          </w:p>
          <w:p w:rsidR="005A63AF" w:rsidRPr="00BB35DE" w:rsidRDefault="005A63AF">
            <w:pPr>
              <w:pStyle w:val="Default3"/>
              <w:rPr>
                <w:sz w:val="20"/>
                <w:szCs w:val="20"/>
              </w:rPr>
            </w:pPr>
          </w:p>
        </w:tc>
      </w:tr>
      <w:tr w:rsidR="00627B60" w:rsidRPr="00BB35DE" w:rsidTr="00627B60">
        <w:trPr>
          <w:jc w:val="center"/>
        </w:trPr>
        <w:tc>
          <w:tcPr>
            <w:tcW w:w="1458" w:type="dxa"/>
          </w:tcPr>
          <w:p w:rsidR="005A63AF" w:rsidRPr="00BB35DE" w:rsidRDefault="00894FB4">
            <w:pPr>
              <w:pStyle w:val="Default3"/>
              <w:rPr>
                <w:sz w:val="20"/>
                <w:szCs w:val="20"/>
              </w:rPr>
            </w:pPr>
            <w:r w:rsidRPr="00BB35DE">
              <w:rPr>
                <w:sz w:val="20"/>
                <w:szCs w:val="20"/>
              </w:rPr>
              <w:t>EPA &amp; DOT TOTALS</w:t>
            </w:r>
          </w:p>
        </w:tc>
        <w:tc>
          <w:tcPr>
            <w:tcW w:w="1170" w:type="dxa"/>
          </w:tcPr>
          <w:p w:rsidR="005A63AF" w:rsidRPr="00BB35DE" w:rsidRDefault="00F33756" w:rsidP="001F71DC">
            <w:pPr>
              <w:pStyle w:val="Default3"/>
              <w:rPr>
                <w:sz w:val="20"/>
                <w:szCs w:val="20"/>
              </w:rPr>
            </w:pPr>
            <w:r>
              <w:rPr>
                <w:sz w:val="20"/>
                <w:szCs w:val="20"/>
              </w:rPr>
              <w:t>37</w:t>
            </w:r>
            <w:r w:rsidR="001F71DC">
              <w:rPr>
                <w:sz w:val="20"/>
                <w:szCs w:val="20"/>
              </w:rPr>
              <w:t>6</w:t>
            </w:r>
          </w:p>
        </w:tc>
        <w:tc>
          <w:tcPr>
            <w:tcW w:w="1080" w:type="dxa"/>
          </w:tcPr>
          <w:p w:rsidR="005A63AF" w:rsidRPr="00BB35DE" w:rsidRDefault="00A573AB">
            <w:pPr>
              <w:pStyle w:val="Default3"/>
              <w:rPr>
                <w:sz w:val="20"/>
                <w:szCs w:val="20"/>
              </w:rPr>
            </w:pPr>
            <w:r>
              <w:rPr>
                <w:sz w:val="20"/>
                <w:szCs w:val="20"/>
              </w:rPr>
              <w:t>20</w:t>
            </w:r>
          </w:p>
        </w:tc>
        <w:tc>
          <w:tcPr>
            <w:tcW w:w="1170" w:type="dxa"/>
          </w:tcPr>
          <w:p w:rsidR="005A63AF" w:rsidRPr="00BB35DE" w:rsidRDefault="00A573AB">
            <w:pPr>
              <w:pStyle w:val="Default3"/>
              <w:rPr>
                <w:sz w:val="20"/>
                <w:szCs w:val="20"/>
              </w:rPr>
            </w:pPr>
            <w:r>
              <w:rPr>
                <w:sz w:val="20"/>
                <w:szCs w:val="20"/>
              </w:rPr>
              <w:t>27,466</w:t>
            </w:r>
          </w:p>
        </w:tc>
        <w:tc>
          <w:tcPr>
            <w:tcW w:w="1350" w:type="dxa"/>
          </w:tcPr>
          <w:p w:rsidR="005A63AF" w:rsidRPr="00BB35DE" w:rsidRDefault="00A573AB">
            <w:pPr>
              <w:pStyle w:val="Default3"/>
              <w:rPr>
                <w:sz w:val="20"/>
                <w:szCs w:val="20"/>
              </w:rPr>
            </w:pPr>
            <w:r>
              <w:rPr>
                <w:sz w:val="20"/>
                <w:szCs w:val="20"/>
              </w:rPr>
              <w:t>$2,197,280</w:t>
            </w:r>
          </w:p>
        </w:tc>
        <w:tc>
          <w:tcPr>
            <w:tcW w:w="1260" w:type="dxa"/>
          </w:tcPr>
          <w:p w:rsidR="005A63AF" w:rsidRPr="00BB35DE" w:rsidRDefault="00A573AB">
            <w:pPr>
              <w:pStyle w:val="Default3"/>
              <w:rPr>
                <w:sz w:val="20"/>
                <w:szCs w:val="20"/>
              </w:rPr>
            </w:pPr>
            <w:r>
              <w:rPr>
                <w:sz w:val="20"/>
                <w:szCs w:val="20"/>
              </w:rPr>
              <w:t>$650,000</w:t>
            </w:r>
          </w:p>
        </w:tc>
        <w:tc>
          <w:tcPr>
            <w:tcW w:w="1260" w:type="dxa"/>
          </w:tcPr>
          <w:p w:rsidR="005A63AF" w:rsidRPr="00BB35DE" w:rsidRDefault="00A573AB">
            <w:pPr>
              <w:pStyle w:val="Default3"/>
              <w:rPr>
                <w:sz w:val="20"/>
                <w:szCs w:val="20"/>
              </w:rPr>
            </w:pPr>
            <w:r>
              <w:rPr>
                <w:sz w:val="20"/>
                <w:szCs w:val="20"/>
              </w:rPr>
              <w:t>$183,000</w:t>
            </w:r>
          </w:p>
        </w:tc>
        <w:tc>
          <w:tcPr>
            <w:tcW w:w="1188" w:type="dxa"/>
          </w:tcPr>
          <w:p w:rsidR="005A63AF" w:rsidRPr="00BB35DE" w:rsidRDefault="00A573AB">
            <w:pPr>
              <w:pStyle w:val="Default3"/>
              <w:rPr>
                <w:sz w:val="20"/>
                <w:szCs w:val="20"/>
              </w:rPr>
            </w:pPr>
            <w:r>
              <w:rPr>
                <w:sz w:val="20"/>
                <w:szCs w:val="20"/>
              </w:rPr>
              <w:t>$3,030,280</w:t>
            </w:r>
          </w:p>
        </w:tc>
      </w:tr>
    </w:tbl>
    <w:p w:rsidR="005A63AF" w:rsidRDefault="00894FB4" w:rsidP="00673E30">
      <w:pPr>
        <w:pStyle w:val="Heading3"/>
        <w:spacing w:before="240"/>
        <w:ind w:left="1267"/>
        <w:rPr>
          <w:color w:val="000000" w:themeColor="text1"/>
        </w:rPr>
      </w:pPr>
      <w:r w:rsidRPr="00894FB4">
        <w:rPr>
          <w:color w:val="000000" w:themeColor="text1"/>
        </w:rPr>
        <w:t>Reasons for change in burden</w:t>
      </w:r>
    </w:p>
    <w:p w:rsidR="00D72137" w:rsidRPr="00D049CA" w:rsidRDefault="00894FB4" w:rsidP="00627B60">
      <w:pPr>
        <w:widowControl/>
        <w:rPr>
          <w:color w:val="000000" w:themeColor="text1"/>
        </w:rPr>
      </w:pPr>
      <w:r w:rsidRPr="00894FB4">
        <w:rPr>
          <w:color w:val="000000" w:themeColor="text1"/>
        </w:rPr>
        <w:t>This is new information collection and it represents a new burden.  There has been no change in the record keeping or reporting requirements for engine, HD pickup truck and van, vocational chassis and tractor manufacturers since the previous HD Phase 1 ICR renewal period; however, there are new burden</w:t>
      </w:r>
      <w:r w:rsidR="00DF5AAF">
        <w:rPr>
          <w:color w:val="000000" w:themeColor="text1"/>
        </w:rPr>
        <w:t>s</w:t>
      </w:r>
      <w:r w:rsidRPr="00894FB4">
        <w:rPr>
          <w:color w:val="000000" w:themeColor="text1"/>
        </w:rPr>
        <w:t xml:space="preserve"> associated with trailers.  </w:t>
      </w:r>
    </w:p>
    <w:p w:rsidR="005A63AF" w:rsidRDefault="00894FB4">
      <w:pPr>
        <w:pStyle w:val="Heading3"/>
        <w:rPr>
          <w:color w:val="000000" w:themeColor="text1"/>
        </w:rPr>
      </w:pPr>
      <w:r w:rsidRPr="00894FB4">
        <w:rPr>
          <w:color w:val="000000" w:themeColor="text1"/>
        </w:rPr>
        <w:lastRenderedPageBreak/>
        <w:t>Burden Statement</w:t>
      </w:r>
    </w:p>
    <w:p w:rsidR="00827932" w:rsidRPr="00D049CA" w:rsidRDefault="00894FB4" w:rsidP="00C47B23">
      <w:pPr>
        <w:rPr>
          <w:color w:val="000000" w:themeColor="text1"/>
        </w:rPr>
      </w:pPr>
      <w:r w:rsidRPr="00894FB4">
        <w:rPr>
          <w:color w:val="000000" w:themeColor="text1"/>
        </w:rPr>
        <w:t xml:space="preserve">The annual public reporting and recordkeeping burden for this collection of information is estimated to average </w:t>
      </w:r>
      <w:r w:rsidR="006119E1">
        <w:rPr>
          <w:color w:val="000000" w:themeColor="text1"/>
        </w:rPr>
        <w:t xml:space="preserve">approximately 400 </w:t>
      </w:r>
      <w:r w:rsidRPr="00894FB4">
        <w:rPr>
          <w:color w:val="000000" w:themeColor="text1"/>
        </w:rPr>
        <w:t xml:space="preserve">hours per respondent, or </w:t>
      </w:r>
      <w:r w:rsidR="006119E1">
        <w:rPr>
          <w:color w:val="000000" w:themeColor="text1"/>
        </w:rPr>
        <w:t>200</w:t>
      </w:r>
      <w:r w:rsidRPr="00894FB4">
        <w:rPr>
          <w:color w:val="000000" w:themeColor="text1"/>
        </w:rPr>
        <w:t xml:space="preserve"> hours per application.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rsidR="00627B60">
        <w:rPr>
          <w:color w:val="000000" w:themeColor="text1"/>
        </w:rPr>
        <w:t>’</w:t>
      </w:r>
      <w:r w:rsidRPr="00894FB4">
        <w:rPr>
          <w:color w:val="000000" w:themeColor="text1"/>
        </w:rPr>
        <w:t>s regulations are listed in 40 CFR part 9 and 48 CFR chapter 15 (OMB Control No. 2060-0678).</w:t>
      </w:r>
    </w:p>
    <w:p w:rsidR="00E00736" w:rsidRPr="00D049CA" w:rsidRDefault="00894FB4" w:rsidP="00C47B23">
      <w:pPr>
        <w:rPr>
          <w:color w:val="000000" w:themeColor="text1"/>
        </w:rPr>
        <w:sectPr w:rsidR="00E00736" w:rsidRPr="00D049CA" w:rsidSect="00401DEA">
          <w:headerReference w:type="even" r:id="rId9"/>
          <w:footerReference w:type="even" r:id="rId10"/>
          <w:footerReference w:type="default" r:id="rId11"/>
          <w:endnotePr>
            <w:numFmt w:val="lowerLetter"/>
          </w:endnotePr>
          <w:type w:val="continuous"/>
          <w:pgSz w:w="12240" w:h="15840"/>
          <w:pgMar w:top="1440" w:right="1440" w:bottom="1440" w:left="1440" w:header="1350" w:footer="1440" w:gutter="0"/>
          <w:cols w:space="720"/>
          <w:titlePg/>
          <w:docGrid w:linePitch="326"/>
        </w:sectPr>
      </w:pPr>
      <w:r w:rsidRPr="00894FB4">
        <w:rPr>
          <w:color w:val="000000" w:themeColor="text1"/>
        </w:rPr>
        <w:t>To comment on t</w:t>
      </w:r>
      <w:r w:rsidR="00C62D24">
        <w:rPr>
          <w:color w:val="000000" w:themeColor="text1"/>
        </w:rPr>
        <w:t>he agenc</w:t>
      </w:r>
      <w:r w:rsidR="00627B60">
        <w:rPr>
          <w:color w:val="000000" w:themeColor="text1"/>
        </w:rPr>
        <w:t>ies’</w:t>
      </w:r>
      <w:r w:rsidRPr="00894FB4">
        <w:rPr>
          <w:color w:val="000000" w:themeColor="text1"/>
        </w:rPr>
        <w:t xml:space="preserve"> need for this information, the accuracy of the provided burden estimates, and any suggested methods for minimizing respondent burden, including the use of automated collection techniques, EPA has established a public docket for this ICR under Docket ID Number EPA–HQ–OAR–2014–0827, which is available for online viewing at </w:t>
      </w:r>
      <w:hyperlink r:id="rId12" w:history="1">
        <w:r w:rsidRPr="00894FB4">
          <w:rPr>
            <w:rStyle w:val="Hyperlink"/>
            <w:color w:val="000000" w:themeColor="text1"/>
            <w:szCs w:val="24"/>
          </w:rPr>
          <w:t>www.regulations.gov</w:t>
        </w:r>
      </w:hyperlink>
      <w:r w:rsidRPr="00894FB4">
        <w:rPr>
          <w:color w:val="000000" w:themeColor="text1"/>
        </w:rPr>
        <w:t>, or in person viewing at the Air and Radiation Docket and Information Center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and Information Center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894FB4">
        <w:rPr>
          <w:rFonts w:ascii="Courier New" w:hAnsi="Courier New" w:cs="Courier New"/>
          <w:color w:val="000000" w:themeColor="text1"/>
        </w:rPr>
        <w:t xml:space="preserve"> </w:t>
      </w:r>
      <w:r w:rsidRPr="00894FB4">
        <w:rPr>
          <w:color w:val="000000" w:themeColor="text1"/>
        </w:rPr>
        <w:t>Number EPA–HQ–OAR–2014–0827 and OMB Control Number 2060-</w:t>
      </w:r>
      <w:r w:rsidR="00F33756" w:rsidRPr="00894FB4">
        <w:rPr>
          <w:color w:val="000000" w:themeColor="text1"/>
        </w:rPr>
        <w:t>0678</w:t>
      </w:r>
      <w:r w:rsidRPr="00894FB4">
        <w:rPr>
          <w:color w:val="000000" w:themeColor="text1"/>
        </w:rPr>
        <w:t xml:space="preserve"> in any correspondence.</w:t>
      </w:r>
    </w:p>
    <w:p w:rsidR="00197724" w:rsidRPr="00627B60" w:rsidRDefault="00894FB4" w:rsidP="00627B60">
      <w:pPr>
        <w:pStyle w:val="Caption"/>
        <w:keepNext/>
        <w:rPr>
          <w:color w:val="000000" w:themeColor="text1"/>
          <w:sz w:val="20"/>
          <w:szCs w:val="20"/>
        </w:rPr>
      </w:pPr>
      <w:bookmarkStart w:id="19" w:name="_Ref418852361"/>
      <w:r w:rsidRPr="00627B60">
        <w:rPr>
          <w:color w:val="000000" w:themeColor="text1"/>
          <w:sz w:val="20"/>
          <w:szCs w:val="20"/>
        </w:rPr>
        <w:lastRenderedPageBreak/>
        <w:t xml:space="preserve">Table </w:t>
      </w:r>
      <w:r w:rsidR="00121BAD" w:rsidRPr="00627B60">
        <w:rPr>
          <w:color w:val="000000" w:themeColor="text1"/>
          <w:sz w:val="20"/>
          <w:szCs w:val="20"/>
        </w:rPr>
        <w:fldChar w:fldCharType="begin"/>
      </w:r>
      <w:r w:rsidRPr="00627B60">
        <w:rPr>
          <w:color w:val="000000" w:themeColor="text1"/>
          <w:sz w:val="20"/>
          <w:szCs w:val="20"/>
        </w:rPr>
        <w:instrText xml:space="preserve"> SEQ Table \* ARABIC </w:instrText>
      </w:r>
      <w:r w:rsidR="00121BAD" w:rsidRPr="00627B60">
        <w:rPr>
          <w:color w:val="000000" w:themeColor="text1"/>
          <w:sz w:val="20"/>
          <w:szCs w:val="20"/>
        </w:rPr>
        <w:fldChar w:fldCharType="separate"/>
      </w:r>
      <w:r w:rsidR="00673E30">
        <w:rPr>
          <w:noProof/>
          <w:color w:val="000000" w:themeColor="text1"/>
          <w:sz w:val="20"/>
          <w:szCs w:val="20"/>
        </w:rPr>
        <w:t>16</w:t>
      </w:r>
      <w:r w:rsidR="00121BAD" w:rsidRPr="00627B60">
        <w:rPr>
          <w:color w:val="000000" w:themeColor="text1"/>
          <w:sz w:val="20"/>
          <w:szCs w:val="20"/>
        </w:rPr>
        <w:fldChar w:fldCharType="end"/>
      </w:r>
      <w:bookmarkEnd w:id="19"/>
      <w:r w:rsidRPr="00627B60">
        <w:rPr>
          <w:color w:val="000000" w:themeColor="text1"/>
          <w:sz w:val="20"/>
          <w:szCs w:val="20"/>
        </w:rPr>
        <w:t xml:space="preserve"> Annual Respondent Burden and Cost for Heavy-Duty Pickup Trucks and Vans </w:t>
      </w:r>
    </w:p>
    <w:p w:rsidR="005A63AF" w:rsidRDefault="00682AA4">
      <w:pPr>
        <w:ind w:firstLine="0"/>
        <w:rPr>
          <w:color w:val="000000" w:themeColor="text1"/>
        </w:rPr>
      </w:pPr>
      <w:r>
        <w:rPr>
          <w:noProof/>
          <w:color w:val="000000" w:themeColor="text1"/>
        </w:rPr>
        <w:drawing>
          <wp:inline distT="0" distB="0" distL="0" distR="0">
            <wp:extent cx="8229600" cy="2462707"/>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8229600" cy="2462707"/>
                    </a:xfrm>
                    <a:prstGeom prst="rect">
                      <a:avLst/>
                    </a:prstGeom>
                    <a:noFill/>
                    <a:ln w="9525">
                      <a:noFill/>
                      <a:miter lim="800000"/>
                      <a:headEnd/>
                      <a:tailEnd/>
                    </a:ln>
                  </pic:spPr>
                </pic:pic>
              </a:graphicData>
            </a:graphic>
          </wp:inline>
        </w:drawing>
      </w:r>
    </w:p>
    <w:p w:rsidR="00950894" w:rsidRPr="00D049CA" w:rsidRDefault="00894FB4">
      <w:pPr>
        <w:rPr>
          <w:color w:val="000000" w:themeColor="text1"/>
        </w:rPr>
      </w:pPr>
      <w:r w:rsidRPr="00894FB4">
        <w:rPr>
          <w:color w:val="000000" w:themeColor="text1"/>
        </w:rPr>
        <w:br w:type="page"/>
      </w:r>
    </w:p>
    <w:p w:rsidR="004364F0" w:rsidRPr="00627B60" w:rsidRDefault="00894FB4" w:rsidP="004364F0">
      <w:pPr>
        <w:pStyle w:val="Caption"/>
        <w:keepNext/>
        <w:rPr>
          <w:color w:val="000000" w:themeColor="text1"/>
          <w:sz w:val="20"/>
          <w:szCs w:val="20"/>
        </w:rPr>
      </w:pPr>
      <w:bookmarkStart w:id="20" w:name="_Ref418854502"/>
      <w:r w:rsidRPr="00627B60">
        <w:rPr>
          <w:color w:val="000000" w:themeColor="text1"/>
          <w:sz w:val="20"/>
          <w:szCs w:val="20"/>
        </w:rPr>
        <w:lastRenderedPageBreak/>
        <w:t xml:space="preserve">Table </w:t>
      </w:r>
      <w:r w:rsidR="00121BAD" w:rsidRPr="00627B60">
        <w:rPr>
          <w:color w:val="000000" w:themeColor="text1"/>
          <w:sz w:val="20"/>
          <w:szCs w:val="20"/>
        </w:rPr>
        <w:fldChar w:fldCharType="begin"/>
      </w:r>
      <w:r w:rsidRPr="00627B60">
        <w:rPr>
          <w:color w:val="000000" w:themeColor="text1"/>
          <w:sz w:val="20"/>
          <w:szCs w:val="20"/>
        </w:rPr>
        <w:instrText xml:space="preserve"> SEQ Table \* ARABIC </w:instrText>
      </w:r>
      <w:r w:rsidR="00121BAD" w:rsidRPr="00627B60">
        <w:rPr>
          <w:color w:val="000000" w:themeColor="text1"/>
          <w:sz w:val="20"/>
          <w:szCs w:val="20"/>
        </w:rPr>
        <w:fldChar w:fldCharType="separate"/>
      </w:r>
      <w:r w:rsidR="00673E30">
        <w:rPr>
          <w:noProof/>
          <w:color w:val="000000" w:themeColor="text1"/>
          <w:sz w:val="20"/>
          <w:szCs w:val="20"/>
        </w:rPr>
        <w:t>17</w:t>
      </w:r>
      <w:r w:rsidR="00121BAD" w:rsidRPr="00627B60">
        <w:rPr>
          <w:color w:val="000000" w:themeColor="text1"/>
          <w:sz w:val="20"/>
          <w:szCs w:val="20"/>
        </w:rPr>
        <w:fldChar w:fldCharType="end"/>
      </w:r>
      <w:bookmarkEnd w:id="20"/>
      <w:r w:rsidRPr="00627B60">
        <w:rPr>
          <w:color w:val="000000" w:themeColor="text1"/>
          <w:sz w:val="20"/>
          <w:szCs w:val="20"/>
        </w:rPr>
        <w:t xml:space="preserve"> Annual Respondent Burden and Cost for Heavy-Duty Engine Manufacturers </w:t>
      </w:r>
    </w:p>
    <w:tbl>
      <w:tblPr>
        <w:tblW w:w="13076" w:type="dxa"/>
        <w:jc w:val="center"/>
        <w:tblCellMar>
          <w:top w:w="14" w:type="dxa"/>
          <w:left w:w="58" w:type="dxa"/>
          <w:bottom w:w="14" w:type="dxa"/>
          <w:right w:w="58" w:type="dxa"/>
        </w:tblCellMar>
        <w:tblLook w:val="04A0" w:firstRow="1" w:lastRow="0" w:firstColumn="1" w:lastColumn="0" w:noHBand="0" w:noVBand="1"/>
      </w:tblPr>
      <w:tblGrid>
        <w:gridCol w:w="1944"/>
        <w:gridCol w:w="757"/>
        <w:gridCol w:w="748"/>
        <w:gridCol w:w="750"/>
        <w:gridCol w:w="863"/>
        <w:gridCol w:w="693"/>
        <w:gridCol w:w="922"/>
        <w:gridCol w:w="987"/>
        <w:gridCol w:w="834"/>
        <w:gridCol w:w="649"/>
        <w:gridCol w:w="1024"/>
        <w:gridCol w:w="1198"/>
        <w:gridCol w:w="806"/>
        <w:gridCol w:w="905"/>
      </w:tblGrid>
      <w:tr w:rsidR="00670F4E" w:rsidRPr="00670F4E" w:rsidTr="00670F4E">
        <w:trPr>
          <w:trHeight w:val="255"/>
          <w:jc w:val="center"/>
        </w:trPr>
        <w:tc>
          <w:tcPr>
            <w:tcW w:w="1944" w:type="dxa"/>
            <w:tcBorders>
              <w:top w:val="nil"/>
              <w:left w:val="nil"/>
              <w:bottom w:val="nil"/>
              <w:right w:val="nil"/>
            </w:tcBorders>
            <w:shd w:val="clear" w:color="auto" w:fill="auto"/>
            <w:noWrap/>
            <w:vAlign w:val="bottom"/>
            <w:hideMark/>
          </w:tcPr>
          <w:p w:rsidR="00670F4E" w:rsidRPr="00670F4E" w:rsidRDefault="00670F4E" w:rsidP="00670F4E">
            <w:pPr>
              <w:widowControl/>
              <w:spacing w:before="0" w:after="0"/>
              <w:ind w:firstLine="0"/>
              <w:rPr>
                <w:rFonts w:ascii="Arial" w:hAnsi="Arial" w:cs="Arial"/>
                <w:sz w:val="16"/>
                <w:szCs w:val="16"/>
              </w:rPr>
            </w:pPr>
          </w:p>
        </w:tc>
        <w:tc>
          <w:tcPr>
            <w:tcW w:w="8223" w:type="dxa"/>
            <w:gridSpan w:val="10"/>
            <w:tcBorders>
              <w:top w:val="single" w:sz="4" w:space="0" w:color="auto"/>
              <w:left w:val="single" w:sz="4" w:space="0" w:color="auto"/>
              <w:bottom w:val="nil"/>
              <w:right w:val="single" w:sz="4" w:space="0" w:color="000000"/>
            </w:tcBorders>
            <w:shd w:val="clear" w:color="auto" w:fill="auto"/>
            <w:noWrap/>
            <w:vAlign w:val="bottom"/>
            <w:hideMark/>
          </w:tcPr>
          <w:p w:rsidR="00670F4E" w:rsidRPr="00670F4E" w:rsidRDefault="00670F4E" w:rsidP="00670F4E">
            <w:pPr>
              <w:widowControl/>
              <w:spacing w:before="0" w:after="0"/>
              <w:ind w:firstLine="0"/>
              <w:jc w:val="center"/>
              <w:rPr>
                <w:rFonts w:ascii="Arial" w:hAnsi="Arial" w:cs="Arial"/>
                <w:sz w:val="16"/>
                <w:szCs w:val="16"/>
              </w:rPr>
            </w:pPr>
            <w:r w:rsidRPr="00670F4E">
              <w:rPr>
                <w:rFonts w:ascii="Arial" w:hAnsi="Arial" w:cs="Arial"/>
                <w:sz w:val="16"/>
                <w:szCs w:val="16"/>
              </w:rPr>
              <w:t>Hours and cost per application</w:t>
            </w:r>
          </w:p>
        </w:tc>
        <w:tc>
          <w:tcPr>
            <w:tcW w:w="290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70F4E" w:rsidRPr="00670F4E" w:rsidRDefault="00670F4E" w:rsidP="00670F4E">
            <w:pPr>
              <w:widowControl/>
              <w:spacing w:before="0" w:after="0"/>
              <w:ind w:firstLine="0"/>
              <w:jc w:val="center"/>
              <w:rPr>
                <w:rFonts w:ascii="Arial" w:hAnsi="Arial" w:cs="Arial"/>
                <w:sz w:val="16"/>
                <w:szCs w:val="16"/>
              </w:rPr>
            </w:pPr>
            <w:r w:rsidRPr="00670F4E">
              <w:rPr>
                <w:rFonts w:ascii="Arial" w:hAnsi="Arial" w:cs="Arial"/>
                <w:sz w:val="16"/>
                <w:szCs w:val="16"/>
              </w:rPr>
              <w:t>Total hours and cost</w:t>
            </w:r>
          </w:p>
        </w:tc>
      </w:tr>
      <w:tr w:rsidR="00670F4E" w:rsidRPr="00670F4E" w:rsidTr="00670F4E">
        <w:trPr>
          <w:trHeight w:val="765"/>
          <w:jc w:val="center"/>
        </w:trPr>
        <w:tc>
          <w:tcPr>
            <w:tcW w:w="19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Information Collection Activity</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670F4E" w:rsidRPr="00670F4E" w:rsidRDefault="00670F4E" w:rsidP="00670F4E">
            <w:pPr>
              <w:widowControl/>
              <w:spacing w:before="0" w:after="0"/>
              <w:ind w:firstLine="0"/>
              <w:jc w:val="center"/>
              <w:rPr>
                <w:rFonts w:ascii="Arial" w:hAnsi="Arial" w:cs="Arial"/>
                <w:sz w:val="16"/>
                <w:szCs w:val="16"/>
              </w:rPr>
            </w:pPr>
            <w:r w:rsidRPr="00670F4E">
              <w:rPr>
                <w:rFonts w:ascii="Arial" w:hAnsi="Arial" w:cs="Arial"/>
                <w:sz w:val="16"/>
                <w:szCs w:val="16"/>
              </w:rPr>
              <w:t xml:space="preserve">Engineer </w:t>
            </w:r>
            <w:proofErr w:type="spellStart"/>
            <w:r w:rsidRPr="00670F4E">
              <w:rPr>
                <w:rFonts w:ascii="Arial" w:hAnsi="Arial" w:cs="Arial"/>
                <w:sz w:val="16"/>
                <w:szCs w:val="16"/>
              </w:rPr>
              <w:t>hrs</w:t>
            </w:r>
            <w:proofErr w:type="spellEnd"/>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670F4E" w:rsidRPr="00670F4E" w:rsidRDefault="00670F4E" w:rsidP="00670F4E">
            <w:pPr>
              <w:widowControl/>
              <w:spacing w:before="0" w:after="0"/>
              <w:ind w:firstLine="0"/>
              <w:jc w:val="center"/>
              <w:rPr>
                <w:rFonts w:ascii="Arial" w:hAnsi="Arial" w:cs="Arial"/>
                <w:sz w:val="16"/>
                <w:szCs w:val="16"/>
              </w:rPr>
            </w:pPr>
            <w:r w:rsidRPr="00670F4E">
              <w:rPr>
                <w:rFonts w:ascii="Arial" w:hAnsi="Arial" w:cs="Arial"/>
                <w:sz w:val="16"/>
                <w:szCs w:val="16"/>
              </w:rPr>
              <w:t xml:space="preserve">Manager </w:t>
            </w:r>
            <w:proofErr w:type="spellStart"/>
            <w:r w:rsidRPr="00670F4E">
              <w:rPr>
                <w:rFonts w:ascii="Arial" w:hAnsi="Arial" w:cs="Arial"/>
                <w:sz w:val="16"/>
                <w:szCs w:val="16"/>
              </w:rPr>
              <w:t>hrs</w:t>
            </w:r>
            <w:proofErr w:type="spellEnd"/>
            <w:r w:rsidRPr="00670F4E">
              <w:rPr>
                <w:rFonts w:ascii="Arial" w:hAnsi="Arial" w:cs="Arial"/>
                <w:sz w:val="16"/>
                <w:szCs w:val="16"/>
              </w:rPr>
              <w:t xml:space="preserve"> </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670F4E" w:rsidRPr="00670F4E" w:rsidRDefault="00670F4E" w:rsidP="00670F4E">
            <w:pPr>
              <w:widowControl/>
              <w:spacing w:before="0" w:after="0"/>
              <w:ind w:firstLine="0"/>
              <w:jc w:val="center"/>
              <w:rPr>
                <w:rFonts w:ascii="Arial" w:hAnsi="Arial" w:cs="Arial"/>
                <w:sz w:val="16"/>
                <w:szCs w:val="16"/>
              </w:rPr>
            </w:pPr>
            <w:r w:rsidRPr="00670F4E">
              <w:rPr>
                <w:rFonts w:ascii="Arial" w:hAnsi="Arial" w:cs="Arial"/>
                <w:sz w:val="16"/>
                <w:szCs w:val="16"/>
              </w:rPr>
              <w:t xml:space="preserve">Legal </w:t>
            </w:r>
            <w:proofErr w:type="spellStart"/>
            <w:r w:rsidRPr="00670F4E">
              <w:rPr>
                <w:rFonts w:ascii="Arial" w:hAnsi="Arial" w:cs="Arial"/>
                <w:sz w:val="16"/>
                <w:szCs w:val="16"/>
              </w:rPr>
              <w:t>hrs</w:t>
            </w:r>
            <w:proofErr w:type="spellEnd"/>
            <w:r w:rsidRPr="00670F4E">
              <w:rPr>
                <w:rFonts w:ascii="Arial" w:hAnsi="Arial" w:cs="Arial"/>
                <w:sz w:val="16"/>
                <w:szCs w:val="16"/>
              </w:rPr>
              <w:t xml:space="preserve"> </w:t>
            </w: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670F4E" w:rsidRPr="00670F4E" w:rsidRDefault="00670F4E" w:rsidP="00670F4E">
            <w:pPr>
              <w:widowControl/>
              <w:spacing w:before="0" w:after="0"/>
              <w:ind w:firstLine="0"/>
              <w:jc w:val="center"/>
              <w:rPr>
                <w:rFonts w:ascii="Arial" w:hAnsi="Arial" w:cs="Arial"/>
                <w:sz w:val="16"/>
                <w:szCs w:val="16"/>
              </w:rPr>
            </w:pPr>
            <w:r w:rsidRPr="00670F4E">
              <w:rPr>
                <w:rFonts w:ascii="Arial" w:hAnsi="Arial" w:cs="Arial"/>
                <w:sz w:val="16"/>
                <w:szCs w:val="16"/>
              </w:rPr>
              <w:t xml:space="preserve">Test Cell Operator </w:t>
            </w:r>
            <w:proofErr w:type="spellStart"/>
            <w:r w:rsidRPr="00670F4E">
              <w:rPr>
                <w:rFonts w:ascii="Arial" w:hAnsi="Arial" w:cs="Arial"/>
                <w:sz w:val="16"/>
                <w:szCs w:val="16"/>
              </w:rPr>
              <w:t>hrs</w:t>
            </w:r>
            <w:proofErr w:type="spellEnd"/>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670F4E" w:rsidRPr="00670F4E" w:rsidRDefault="00266FAF" w:rsidP="00670F4E">
            <w:pPr>
              <w:widowControl/>
              <w:spacing w:before="0" w:after="0"/>
              <w:ind w:firstLine="0"/>
              <w:jc w:val="center"/>
              <w:rPr>
                <w:rFonts w:ascii="Arial" w:hAnsi="Arial" w:cs="Arial"/>
                <w:sz w:val="16"/>
                <w:szCs w:val="16"/>
              </w:rPr>
            </w:pPr>
            <w:hyperlink r:id="rId14" w:history="1">
              <w:r w:rsidR="00670F4E" w:rsidRPr="00670F4E">
                <w:rPr>
                  <w:rFonts w:ascii="Arial" w:hAnsi="Arial" w:cs="Arial"/>
                  <w:sz w:val="16"/>
                  <w:szCs w:val="16"/>
                </w:rPr>
                <w:t xml:space="preserve">Clerical </w:t>
              </w:r>
              <w:proofErr w:type="spellStart"/>
              <w:r w:rsidR="00670F4E" w:rsidRPr="00670F4E">
                <w:rPr>
                  <w:rFonts w:ascii="Arial" w:hAnsi="Arial" w:cs="Arial"/>
                  <w:sz w:val="16"/>
                  <w:szCs w:val="16"/>
                </w:rPr>
                <w:t>hrs</w:t>
              </w:r>
              <w:proofErr w:type="spellEnd"/>
              <w:r w:rsidR="00670F4E" w:rsidRPr="00670F4E">
                <w:rPr>
                  <w:rFonts w:ascii="Arial" w:hAnsi="Arial" w:cs="Arial"/>
                  <w:sz w:val="16"/>
                  <w:szCs w:val="16"/>
                </w:rPr>
                <w:t xml:space="preserve"> </w:t>
              </w:r>
            </w:hyperlink>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670F4E" w:rsidRPr="00670F4E" w:rsidRDefault="00670F4E" w:rsidP="00670F4E">
            <w:pPr>
              <w:widowControl/>
              <w:spacing w:before="0" w:after="0"/>
              <w:ind w:firstLine="0"/>
              <w:jc w:val="center"/>
              <w:rPr>
                <w:rFonts w:ascii="Arial" w:hAnsi="Arial" w:cs="Arial"/>
                <w:sz w:val="16"/>
                <w:szCs w:val="16"/>
              </w:rPr>
            </w:pPr>
            <w:proofErr w:type="spellStart"/>
            <w:r w:rsidRPr="00670F4E">
              <w:rPr>
                <w:rFonts w:ascii="Arial" w:hAnsi="Arial" w:cs="Arial"/>
                <w:sz w:val="16"/>
                <w:szCs w:val="16"/>
              </w:rPr>
              <w:t>Respon</w:t>
            </w:r>
            <w:proofErr w:type="spellEnd"/>
            <w:r w:rsidRPr="00670F4E">
              <w:rPr>
                <w:rFonts w:ascii="Arial" w:hAnsi="Arial" w:cs="Arial"/>
                <w:sz w:val="16"/>
                <w:szCs w:val="16"/>
              </w:rPr>
              <w:t xml:space="preserve">. </w:t>
            </w:r>
            <w:proofErr w:type="spellStart"/>
            <w:r w:rsidRPr="00670F4E">
              <w:rPr>
                <w:rFonts w:ascii="Arial" w:hAnsi="Arial" w:cs="Arial"/>
                <w:sz w:val="16"/>
                <w:szCs w:val="16"/>
              </w:rPr>
              <w:t>Hr</w:t>
            </w:r>
            <w:proofErr w:type="spellEnd"/>
            <w:r w:rsidRPr="00670F4E">
              <w:rPr>
                <w:rFonts w:ascii="Arial" w:hAnsi="Arial" w:cs="Arial"/>
                <w:sz w:val="16"/>
                <w:szCs w:val="16"/>
              </w:rPr>
              <w:t xml:space="preserve"> / Application</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70F4E" w:rsidRPr="00670F4E" w:rsidRDefault="00670F4E" w:rsidP="00670F4E">
            <w:pPr>
              <w:widowControl/>
              <w:spacing w:before="0" w:after="0"/>
              <w:ind w:firstLine="0"/>
              <w:jc w:val="center"/>
              <w:rPr>
                <w:rFonts w:ascii="Arial" w:hAnsi="Arial" w:cs="Arial"/>
                <w:sz w:val="16"/>
                <w:szCs w:val="16"/>
              </w:rPr>
            </w:pPr>
            <w:r w:rsidRPr="00670F4E">
              <w:rPr>
                <w:rFonts w:ascii="Arial" w:hAnsi="Arial" w:cs="Arial"/>
                <w:sz w:val="16"/>
                <w:szCs w:val="16"/>
              </w:rPr>
              <w:t>Labor            Cost/yr</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670F4E" w:rsidRPr="00670F4E" w:rsidRDefault="00670F4E" w:rsidP="00670F4E">
            <w:pPr>
              <w:widowControl/>
              <w:spacing w:before="0" w:after="0"/>
              <w:ind w:firstLine="0"/>
              <w:jc w:val="center"/>
              <w:rPr>
                <w:rFonts w:ascii="Arial" w:hAnsi="Arial" w:cs="Arial"/>
                <w:sz w:val="16"/>
                <w:szCs w:val="16"/>
              </w:rPr>
            </w:pPr>
            <w:r w:rsidRPr="00670F4E">
              <w:rPr>
                <w:rFonts w:ascii="Arial" w:hAnsi="Arial" w:cs="Arial"/>
                <w:sz w:val="16"/>
                <w:szCs w:val="16"/>
              </w:rPr>
              <w:t>Capital Startup      Cost</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670F4E" w:rsidRPr="00670F4E" w:rsidRDefault="00670F4E" w:rsidP="00670F4E">
            <w:pPr>
              <w:widowControl/>
              <w:spacing w:before="0" w:after="0"/>
              <w:ind w:firstLine="0"/>
              <w:jc w:val="center"/>
              <w:rPr>
                <w:rFonts w:ascii="Arial" w:hAnsi="Arial" w:cs="Arial"/>
                <w:sz w:val="16"/>
                <w:szCs w:val="16"/>
              </w:rPr>
            </w:pPr>
            <w:r w:rsidRPr="00670F4E">
              <w:rPr>
                <w:rFonts w:ascii="Arial" w:hAnsi="Arial" w:cs="Arial"/>
                <w:sz w:val="16"/>
                <w:szCs w:val="16"/>
              </w:rPr>
              <w:t xml:space="preserve">O &amp; M Cost </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670F4E" w:rsidRPr="00670F4E" w:rsidRDefault="00670F4E" w:rsidP="00670F4E">
            <w:pPr>
              <w:widowControl/>
              <w:spacing w:before="0" w:after="0"/>
              <w:ind w:firstLine="0"/>
              <w:jc w:val="center"/>
              <w:rPr>
                <w:rFonts w:ascii="Arial" w:hAnsi="Arial" w:cs="Arial"/>
                <w:sz w:val="16"/>
                <w:szCs w:val="16"/>
              </w:rPr>
            </w:pPr>
            <w:r w:rsidRPr="00670F4E">
              <w:rPr>
                <w:rFonts w:ascii="Arial" w:hAnsi="Arial" w:cs="Arial"/>
                <w:sz w:val="16"/>
                <w:szCs w:val="16"/>
              </w:rPr>
              <w:t>Applications/      respondent</w:t>
            </w:r>
          </w:p>
        </w:tc>
        <w:tc>
          <w:tcPr>
            <w:tcW w:w="1198" w:type="dxa"/>
            <w:tcBorders>
              <w:top w:val="nil"/>
              <w:left w:val="nil"/>
              <w:bottom w:val="single" w:sz="4" w:space="0" w:color="auto"/>
              <w:right w:val="single" w:sz="4" w:space="0" w:color="auto"/>
            </w:tcBorders>
            <w:shd w:val="clear" w:color="auto" w:fill="auto"/>
            <w:vAlign w:val="center"/>
            <w:hideMark/>
          </w:tcPr>
          <w:p w:rsidR="00670F4E" w:rsidRPr="00670F4E" w:rsidRDefault="00670F4E" w:rsidP="00670F4E">
            <w:pPr>
              <w:widowControl/>
              <w:spacing w:before="0" w:after="0"/>
              <w:ind w:firstLine="0"/>
              <w:jc w:val="center"/>
              <w:rPr>
                <w:rFonts w:ascii="Arial" w:hAnsi="Arial" w:cs="Arial"/>
                <w:sz w:val="16"/>
                <w:szCs w:val="16"/>
              </w:rPr>
            </w:pPr>
            <w:r w:rsidRPr="00670F4E">
              <w:rPr>
                <w:rFonts w:ascii="Arial" w:hAnsi="Arial" w:cs="Arial"/>
                <w:sz w:val="16"/>
                <w:szCs w:val="16"/>
              </w:rPr>
              <w:t>Number of Respondents</w:t>
            </w:r>
          </w:p>
        </w:tc>
        <w:tc>
          <w:tcPr>
            <w:tcW w:w="806" w:type="dxa"/>
            <w:tcBorders>
              <w:top w:val="nil"/>
              <w:left w:val="nil"/>
              <w:bottom w:val="single" w:sz="4" w:space="0" w:color="auto"/>
              <w:right w:val="single" w:sz="4" w:space="0" w:color="auto"/>
            </w:tcBorders>
            <w:shd w:val="clear" w:color="auto" w:fill="auto"/>
            <w:vAlign w:val="center"/>
            <w:hideMark/>
          </w:tcPr>
          <w:p w:rsidR="00670F4E" w:rsidRPr="00670F4E" w:rsidRDefault="00670F4E" w:rsidP="00670F4E">
            <w:pPr>
              <w:widowControl/>
              <w:spacing w:before="0" w:after="0"/>
              <w:ind w:firstLine="0"/>
              <w:jc w:val="center"/>
              <w:rPr>
                <w:rFonts w:ascii="Arial" w:hAnsi="Arial" w:cs="Arial"/>
                <w:sz w:val="16"/>
                <w:szCs w:val="16"/>
              </w:rPr>
            </w:pPr>
            <w:r w:rsidRPr="00670F4E">
              <w:rPr>
                <w:rFonts w:ascii="Arial" w:hAnsi="Arial" w:cs="Arial"/>
                <w:sz w:val="16"/>
                <w:szCs w:val="16"/>
              </w:rPr>
              <w:t xml:space="preserve">Total </w:t>
            </w:r>
            <w:r w:rsidRPr="00670F4E">
              <w:rPr>
                <w:rFonts w:ascii="Arial" w:hAnsi="Arial" w:cs="Arial"/>
                <w:sz w:val="16"/>
                <w:szCs w:val="16"/>
              </w:rPr>
              <w:br/>
            </w:r>
            <w:proofErr w:type="spellStart"/>
            <w:r w:rsidRPr="00670F4E">
              <w:rPr>
                <w:rFonts w:ascii="Arial" w:hAnsi="Arial" w:cs="Arial"/>
                <w:sz w:val="16"/>
                <w:szCs w:val="16"/>
              </w:rPr>
              <w:t>hr</w:t>
            </w:r>
            <w:proofErr w:type="spellEnd"/>
            <w:r w:rsidRPr="00670F4E">
              <w:rPr>
                <w:rFonts w:ascii="Arial" w:hAnsi="Arial" w:cs="Arial"/>
                <w:sz w:val="16"/>
                <w:szCs w:val="16"/>
              </w:rPr>
              <w:t>/yr</w:t>
            </w:r>
          </w:p>
        </w:tc>
        <w:tc>
          <w:tcPr>
            <w:tcW w:w="905" w:type="dxa"/>
            <w:tcBorders>
              <w:top w:val="nil"/>
              <w:left w:val="nil"/>
              <w:bottom w:val="single" w:sz="4" w:space="0" w:color="auto"/>
              <w:right w:val="single" w:sz="4" w:space="0" w:color="auto"/>
            </w:tcBorders>
            <w:shd w:val="clear" w:color="auto" w:fill="auto"/>
            <w:vAlign w:val="center"/>
            <w:hideMark/>
          </w:tcPr>
          <w:p w:rsidR="00670F4E" w:rsidRPr="00670F4E" w:rsidRDefault="00670F4E" w:rsidP="00670F4E">
            <w:pPr>
              <w:widowControl/>
              <w:spacing w:before="0" w:after="0"/>
              <w:ind w:firstLine="0"/>
              <w:jc w:val="center"/>
              <w:rPr>
                <w:rFonts w:ascii="Arial" w:hAnsi="Arial" w:cs="Arial"/>
                <w:sz w:val="16"/>
                <w:szCs w:val="16"/>
              </w:rPr>
            </w:pPr>
            <w:r w:rsidRPr="00670F4E">
              <w:rPr>
                <w:rFonts w:ascii="Arial" w:hAnsi="Arial" w:cs="Arial"/>
                <w:sz w:val="16"/>
                <w:szCs w:val="16"/>
              </w:rPr>
              <w:t>Total               Cost/yr</w:t>
            </w:r>
          </w:p>
        </w:tc>
      </w:tr>
      <w:tr w:rsidR="00670F4E" w:rsidRPr="00670F4E" w:rsidTr="00670F4E">
        <w:trPr>
          <w:trHeight w:val="255"/>
          <w:jc w:val="center"/>
        </w:trPr>
        <w:tc>
          <w:tcPr>
            <w:tcW w:w="1944" w:type="dxa"/>
            <w:tcBorders>
              <w:top w:val="nil"/>
              <w:left w:val="single" w:sz="4" w:space="0" w:color="auto"/>
              <w:bottom w:val="nil"/>
              <w:right w:val="single" w:sz="4" w:space="0" w:color="auto"/>
            </w:tcBorders>
            <w:shd w:val="clear" w:color="auto" w:fill="auto"/>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Rate $/</w:t>
            </w:r>
            <w:proofErr w:type="spellStart"/>
            <w:r w:rsidRPr="00670F4E">
              <w:rPr>
                <w:rFonts w:ascii="Arial" w:hAnsi="Arial" w:cs="Arial"/>
                <w:sz w:val="16"/>
                <w:szCs w:val="16"/>
              </w:rPr>
              <w:t>hr</w:t>
            </w:r>
            <w:proofErr w:type="spellEnd"/>
          </w:p>
        </w:tc>
        <w:tc>
          <w:tcPr>
            <w:tcW w:w="755" w:type="dxa"/>
            <w:tcBorders>
              <w:top w:val="nil"/>
              <w:left w:val="nil"/>
              <w:bottom w:val="nil"/>
              <w:right w:val="single" w:sz="4" w:space="0" w:color="auto"/>
            </w:tcBorders>
            <w:shd w:val="clear" w:color="auto" w:fill="auto"/>
            <w:vAlign w:val="center"/>
            <w:hideMark/>
          </w:tcPr>
          <w:p w:rsidR="00670F4E" w:rsidRPr="00670F4E" w:rsidRDefault="00670F4E" w:rsidP="00670F4E">
            <w:pPr>
              <w:widowControl/>
              <w:spacing w:before="0" w:after="0"/>
              <w:ind w:firstLine="0"/>
              <w:rPr>
                <w:rFonts w:ascii="Arial" w:hAnsi="Arial" w:cs="Arial"/>
                <w:sz w:val="16"/>
                <w:szCs w:val="16"/>
              </w:rPr>
            </w:pPr>
            <w:r>
              <w:rPr>
                <w:rFonts w:ascii="Arial" w:hAnsi="Arial" w:cs="Arial"/>
                <w:sz w:val="16"/>
                <w:szCs w:val="16"/>
              </w:rPr>
              <w:t xml:space="preserve">$  </w:t>
            </w:r>
            <w:r w:rsidRPr="00670F4E">
              <w:rPr>
                <w:rFonts w:ascii="Arial" w:hAnsi="Arial" w:cs="Arial"/>
                <w:sz w:val="16"/>
                <w:szCs w:val="16"/>
              </w:rPr>
              <w:t xml:space="preserve"> 82.24 </w:t>
            </w:r>
          </w:p>
        </w:tc>
        <w:tc>
          <w:tcPr>
            <w:tcW w:w="746" w:type="dxa"/>
            <w:tcBorders>
              <w:top w:val="nil"/>
              <w:left w:val="nil"/>
              <w:bottom w:val="nil"/>
              <w:right w:val="single" w:sz="4" w:space="0" w:color="auto"/>
            </w:tcBorders>
            <w:shd w:val="clear" w:color="auto" w:fill="auto"/>
            <w:vAlign w:val="center"/>
            <w:hideMark/>
          </w:tcPr>
          <w:p w:rsidR="00670F4E" w:rsidRPr="00670F4E" w:rsidRDefault="00670F4E" w:rsidP="00670F4E">
            <w:pPr>
              <w:widowControl/>
              <w:spacing w:before="0" w:after="0"/>
              <w:ind w:firstLine="0"/>
              <w:rPr>
                <w:rFonts w:ascii="Arial" w:hAnsi="Arial" w:cs="Arial"/>
                <w:sz w:val="16"/>
                <w:szCs w:val="16"/>
              </w:rPr>
            </w:pPr>
            <w:r>
              <w:rPr>
                <w:rFonts w:ascii="Arial" w:hAnsi="Arial" w:cs="Arial"/>
                <w:sz w:val="16"/>
                <w:szCs w:val="16"/>
              </w:rPr>
              <w:t>$</w:t>
            </w:r>
            <w:r w:rsidRPr="00670F4E">
              <w:rPr>
                <w:rFonts w:ascii="Arial" w:hAnsi="Arial" w:cs="Arial"/>
                <w:sz w:val="16"/>
                <w:szCs w:val="16"/>
              </w:rPr>
              <w:t xml:space="preserve">106.50 </w:t>
            </w:r>
          </w:p>
        </w:tc>
        <w:tc>
          <w:tcPr>
            <w:tcW w:w="750" w:type="dxa"/>
            <w:tcBorders>
              <w:top w:val="nil"/>
              <w:left w:val="nil"/>
              <w:bottom w:val="nil"/>
              <w:right w:val="single" w:sz="4" w:space="0" w:color="auto"/>
            </w:tcBorders>
            <w:shd w:val="clear" w:color="auto" w:fill="auto"/>
            <w:vAlign w:val="center"/>
            <w:hideMark/>
          </w:tcPr>
          <w:p w:rsidR="00670F4E" w:rsidRPr="00670F4E" w:rsidRDefault="00670F4E" w:rsidP="00670F4E">
            <w:pPr>
              <w:widowControl/>
              <w:spacing w:before="0" w:after="0"/>
              <w:ind w:firstLine="0"/>
              <w:rPr>
                <w:rFonts w:ascii="Arial" w:hAnsi="Arial" w:cs="Arial"/>
                <w:sz w:val="16"/>
                <w:szCs w:val="16"/>
              </w:rPr>
            </w:pPr>
            <w:r>
              <w:rPr>
                <w:rFonts w:ascii="Arial" w:hAnsi="Arial" w:cs="Arial"/>
                <w:sz w:val="16"/>
                <w:szCs w:val="16"/>
              </w:rPr>
              <w:t xml:space="preserve">$ </w:t>
            </w:r>
            <w:r w:rsidRPr="00670F4E">
              <w:rPr>
                <w:rFonts w:ascii="Arial" w:hAnsi="Arial" w:cs="Arial"/>
                <w:sz w:val="16"/>
                <w:szCs w:val="16"/>
              </w:rPr>
              <w:t xml:space="preserve">138.20 </w:t>
            </w:r>
          </w:p>
        </w:tc>
        <w:tc>
          <w:tcPr>
            <w:tcW w:w="863" w:type="dxa"/>
            <w:tcBorders>
              <w:top w:val="nil"/>
              <w:left w:val="nil"/>
              <w:bottom w:val="nil"/>
              <w:right w:val="single" w:sz="4" w:space="0" w:color="auto"/>
            </w:tcBorders>
            <w:shd w:val="clear" w:color="auto" w:fill="auto"/>
            <w:vAlign w:val="center"/>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 xml:space="preserve">   </w:t>
            </w:r>
            <w:r>
              <w:rPr>
                <w:rFonts w:ascii="Arial" w:hAnsi="Arial" w:cs="Arial"/>
                <w:sz w:val="16"/>
                <w:szCs w:val="16"/>
              </w:rPr>
              <w:t>$</w:t>
            </w:r>
            <w:r w:rsidRPr="00670F4E">
              <w:rPr>
                <w:rFonts w:ascii="Arial" w:hAnsi="Arial" w:cs="Arial"/>
                <w:sz w:val="16"/>
                <w:szCs w:val="16"/>
              </w:rPr>
              <w:t xml:space="preserve"> 48.40 </w:t>
            </w:r>
          </w:p>
        </w:tc>
        <w:tc>
          <w:tcPr>
            <w:tcW w:w="693" w:type="dxa"/>
            <w:tcBorders>
              <w:top w:val="nil"/>
              <w:left w:val="nil"/>
              <w:bottom w:val="nil"/>
              <w:right w:val="single" w:sz="4" w:space="0" w:color="auto"/>
            </w:tcBorders>
            <w:shd w:val="clear" w:color="auto" w:fill="auto"/>
            <w:vAlign w:val="center"/>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 xml:space="preserve">$ 31.39 </w:t>
            </w:r>
          </w:p>
        </w:tc>
        <w:tc>
          <w:tcPr>
            <w:tcW w:w="922" w:type="dxa"/>
            <w:tcBorders>
              <w:top w:val="nil"/>
              <w:left w:val="nil"/>
              <w:bottom w:val="single" w:sz="4" w:space="0" w:color="auto"/>
              <w:right w:val="single" w:sz="4" w:space="0" w:color="auto"/>
            </w:tcBorders>
            <w:shd w:val="clear" w:color="000000" w:fill="D8D8D8"/>
            <w:vAlign w:val="center"/>
            <w:hideMark/>
          </w:tcPr>
          <w:p w:rsidR="00670F4E" w:rsidRPr="00670F4E" w:rsidRDefault="00670F4E" w:rsidP="00670F4E">
            <w:pPr>
              <w:widowControl/>
              <w:spacing w:before="0" w:after="0"/>
              <w:ind w:firstLine="0"/>
              <w:jc w:val="center"/>
              <w:rPr>
                <w:rFonts w:ascii="Arial" w:hAnsi="Arial" w:cs="Arial"/>
                <w:sz w:val="16"/>
                <w:szCs w:val="16"/>
              </w:rPr>
            </w:pPr>
            <w:r w:rsidRPr="00670F4E">
              <w:rPr>
                <w:rFonts w:ascii="Arial" w:hAnsi="Arial" w:cs="Arial"/>
                <w:sz w:val="16"/>
                <w:szCs w:val="16"/>
              </w:rPr>
              <w:t> </w:t>
            </w:r>
          </w:p>
        </w:tc>
        <w:tc>
          <w:tcPr>
            <w:tcW w:w="987" w:type="dxa"/>
            <w:tcBorders>
              <w:top w:val="nil"/>
              <w:left w:val="nil"/>
              <w:bottom w:val="single" w:sz="4" w:space="0" w:color="auto"/>
              <w:right w:val="single" w:sz="4" w:space="0" w:color="auto"/>
            </w:tcBorders>
            <w:shd w:val="clear" w:color="000000" w:fill="D8D8D8"/>
            <w:vAlign w:val="center"/>
            <w:hideMark/>
          </w:tcPr>
          <w:p w:rsidR="00670F4E" w:rsidRPr="00670F4E" w:rsidRDefault="00670F4E" w:rsidP="00670F4E">
            <w:pPr>
              <w:widowControl/>
              <w:spacing w:before="0" w:after="0"/>
              <w:ind w:firstLine="0"/>
              <w:jc w:val="center"/>
              <w:rPr>
                <w:rFonts w:ascii="Arial" w:hAnsi="Arial" w:cs="Arial"/>
                <w:sz w:val="16"/>
                <w:szCs w:val="16"/>
              </w:rPr>
            </w:pPr>
            <w:r w:rsidRPr="00670F4E">
              <w:rPr>
                <w:rFonts w:ascii="Arial" w:hAnsi="Arial" w:cs="Arial"/>
                <w:sz w:val="16"/>
                <w:szCs w:val="16"/>
              </w:rPr>
              <w:t> </w:t>
            </w:r>
          </w:p>
        </w:tc>
        <w:tc>
          <w:tcPr>
            <w:tcW w:w="834" w:type="dxa"/>
            <w:tcBorders>
              <w:top w:val="nil"/>
              <w:left w:val="nil"/>
              <w:bottom w:val="single" w:sz="4" w:space="0" w:color="auto"/>
              <w:right w:val="single" w:sz="4" w:space="0" w:color="auto"/>
            </w:tcBorders>
            <w:shd w:val="clear" w:color="000000" w:fill="D8D8D8"/>
            <w:vAlign w:val="center"/>
            <w:hideMark/>
          </w:tcPr>
          <w:p w:rsidR="00670F4E" w:rsidRPr="00670F4E" w:rsidRDefault="00670F4E" w:rsidP="00670F4E">
            <w:pPr>
              <w:widowControl/>
              <w:spacing w:before="0" w:after="0"/>
              <w:ind w:firstLine="0"/>
              <w:jc w:val="center"/>
              <w:rPr>
                <w:rFonts w:ascii="Arial" w:hAnsi="Arial" w:cs="Arial"/>
                <w:sz w:val="16"/>
                <w:szCs w:val="16"/>
              </w:rPr>
            </w:pPr>
            <w:r w:rsidRPr="00670F4E">
              <w:rPr>
                <w:rFonts w:ascii="Arial" w:hAnsi="Arial" w:cs="Arial"/>
                <w:sz w:val="16"/>
                <w:szCs w:val="16"/>
              </w:rPr>
              <w:t> </w:t>
            </w:r>
          </w:p>
        </w:tc>
        <w:tc>
          <w:tcPr>
            <w:tcW w:w="649" w:type="dxa"/>
            <w:tcBorders>
              <w:top w:val="nil"/>
              <w:left w:val="nil"/>
              <w:bottom w:val="single" w:sz="4" w:space="0" w:color="auto"/>
              <w:right w:val="single" w:sz="4" w:space="0" w:color="auto"/>
            </w:tcBorders>
            <w:shd w:val="clear" w:color="000000" w:fill="D8D8D8"/>
            <w:vAlign w:val="center"/>
            <w:hideMark/>
          </w:tcPr>
          <w:p w:rsidR="00670F4E" w:rsidRPr="00670F4E" w:rsidRDefault="00670F4E" w:rsidP="00670F4E">
            <w:pPr>
              <w:widowControl/>
              <w:spacing w:before="0" w:after="0"/>
              <w:ind w:firstLine="0"/>
              <w:jc w:val="center"/>
              <w:rPr>
                <w:rFonts w:ascii="Arial" w:hAnsi="Arial" w:cs="Arial"/>
                <w:sz w:val="16"/>
                <w:szCs w:val="16"/>
              </w:rPr>
            </w:pPr>
            <w:r w:rsidRPr="00670F4E">
              <w:rPr>
                <w:rFonts w:ascii="Arial" w:hAnsi="Arial" w:cs="Arial"/>
                <w:sz w:val="16"/>
                <w:szCs w:val="16"/>
              </w:rPr>
              <w:t> </w:t>
            </w:r>
          </w:p>
        </w:tc>
        <w:tc>
          <w:tcPr>
            <w:tcW w:w="1024" w:type="dxa"/>
            <w:tcBorders>
              <w:top w:val="nil"/>
              <w:left w:val="nil"/>
              <w:bottom w:val="single" w:sz="4" w:space="0" w:color="auto"/>
              <w:right w:val="single" w:sz="4" w:space="0" w:color="auto"/>
            </w:tcBorders>
            <w:shd w:val="clear" w:color="000000" w:fill="D8D8D8"/>
            <w:vAlign w:val="center"/>
            <w:hideMark/>
          </w:tcPr>
          <w:p w:rsidR="00670F4E" w:rsidRPr="00670F4E" w:rsidRDefault="00670F4E" w:rsidP="00670F4E">
            <w:pPr>
              <w:widowControl/>
              <w:spacing w:before="0" w:after="0"/>
              <w:ind w:firstLine="0"/>
              <w:jc w:val="center"/>
              <w:rPr>
                <w:rFonts w:ascii="Arial" w:hAnsi="Arial" w:cs="Arial"/>
                <w:sz w:val="16"/>
                <w:szCs w:val="16"/>
              </w:rPr>
            </w:pPr>
            <w:r w:rsidRPr="00670F4E">
              <w:rPr>
                <w:rFonts w:ascii="Arial" w:hAnsi="Arial" w:cs="Arial"/>
                <w:sz w:val="16"/>
                <w:szCs w:val="16"/>
              </w:rPr>
              <w:t> </w:t>
            </w:r>
          </w:p>
        </w:tc>
        <w:tc>
          <w:tcPr>
            <w:tcW w:w="1198" w:type="dxa"/>
            <w:tcBorders>
              <w:top w:val="nil"/>
              <w:left w:val="nil"/>
              <w:bottom w:val="single" w:sz="4" w:space="0" w:color="auto"/>
              <w:right w:val="single" w:sz="4" w:space="0" w:color="auto"/>
            </w:tcBorders>
            <w:shd w:val="clear" w:color="000000" w:fill="D8D8D8"/>
            <w:vAlign w:val="center"/>
            <w:hideMark/>
          </w:tcPr>
          <w:p w:rsidR="00670F4E" w:rsidRPr="00670F4E" w:rsidRDefault="00670F4E" w:rsidP="00670F4E">
            <w:pPr>
              <w:widowControl/>
              <w:spacing w:before="0" w:after="0"/>
              <w:ind w:firstLine="0"/>
              <w:jc w:val="center"/>
              <w:rPr>
                <w:rFonts w:ascii="Arial" w:hAnsi="Arial" w:cs="Arial"/>
                <w:sz w:val="16"/>
                <w:szCs w:val="16"/>
              </w:rPr>
            </w:pPr>
            <w:r w:rsidRPr="00670F4E">
              <w:rPr>
                <w:rFonts w:ascii="Arial" w:hAnsi="Arial" w:cs="Arial"/>
                <w:sz w:val="16"/>
                <w:szCs w:val="16"/>
              </w:rPr>
              <w:t> </w:t>
            </w:r>
          </w:p>
        </w:tc>
        <w:tc>
          <w:tcPr>
            <w:tcW w:w="806" w:type="dxa"/>
            <w:tcBorders>
              <w:top w:val="nil"/>
              <w:left w:val="nil"/>
              <w:bottom w:val="single" w:sz="4" w:space="0" w:color="auto"/>
              <w:right w:val="single" w:sz="4" w:space="0" w:color="auto"/>
            </w:tcBorders>
            <w:shd w:val="clear" w:color="000000" w:fill="D8D8D8"/>
            <w:vAlign w:val="center"/>
            <w:hideMark/>
          </w:tcPr>
          <w:p w:rsidR="00670F4E" w:rsidRPr="00670F4E" w:rsidRDefault="00670F4E" w:rsidP="00670F4E">
            <w:pPr>
              <w:widowControl/>
              <w:spacing w:before="0" w:after="0"/>
              <w:ind w:firstLine="0"/>
              <w:jc w:val="center"/>
              <w:rPr>
                <w:rFonts w:ascii="Arial" w:hAnsi="Arial" w:cs="Arial"/>
                <w:sz w:val="16"/>
                <w:szCs w:val="16"/>
              </w:rPr>
            </w:pPr>
            <w:r w:rsidRPr="00670F4E">
              <w:rPr>
                <w:rFonts w:ascii="Arial" w:hAnsi="Arial" w:cs="Arial"/>
                <w:sz w:val="16"/>
                <w:szCs w:val="16"/>
              </w:rPr>
              <w:t> </w:t>
            </w:r>
          </w:p>
        </w:tc>
        <w:tc>
          <w:tcPr>
            <w:tcW w:w="905" w:type="dxa"/>
            <w:tcBorders>
              <w:top w:val="nil"/>
              <w:left w:val="nil"/>
              <w:bottom w:val="single" w:sz="4" w:space="0" w:color="auto"/>
              <w:right w:val="single" w:sz="4" w:space="0" w:color="auto"/>
            </w:tcBorders>
            <w:shd w:val="clear" w:color="000000" w:fill="D8D8D8"/>
            <w:vAlign w:val="center"/>
            <w:hideMark/>
          </w:tcPr>
          <w:p w:rsidR="00670F4E" w:rsidRPr="00670F4E" w:rsidRDefault="00670F4E" w:rsidP="00670F4E">
            <w:pPr>
              <w:widowControl/>
              <w:spacing w:before="0" w:after="0"/>
              <w:ind w:firstLine="0"/>
              <w:jc w:val="center"/>
              <w:rPr>
                <w:rFonts w:ascii="Arial" w:hAnsi="Arial" w:cs="Arial"/>
                <w:sz w:val="16"/>
                <w:szCs w:val="16"/>
              </w:rPr>
            </w:pPr>
            <w:r w:rsidRPr="00670F4E">
              <w:rPr>
                <w:rFonts w:ascii="Arial" w:hAnsi="Arial" w:cs="Arial"/>
                <w:sz w:val="16"/>
                <w:szCs w:val="16"/>
              </w:rPr>
              <w:t> </w:t>
            </w:r>
          </w:p>
        </w:tc>
      </w:tr>
      <w:tr w:rsidR="00670F4E" w:rsidRPr="00670F4E" w:rsidTr="00670F4E">
        <w:trPr>
          <w:trHeight w:val="510"/>
          <w:jc w:val="center"/>
        </w:trPr>
        <w:tc>
          <w:tcPr>
            <w:tcW w:w="19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 xml:space="preserve">Review of regs and guidance document </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2</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922"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3</w:t>
            </w:r>
          </w:p>
        </w:tc>
        <w:tc>
          <w:tcPr>
            <w:tcW w:w="987"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 xml:space="preserve">$          271 </w:t>
            </w:r>
          </w:p>
        </w:tc>
        <w:tc>
          <w:tcPr>
            <w:tcW w:w="834"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649"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1024"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9</w:t>
            </w:r>
          </w:p>
        </w:tc>
        <w:tc>
          <w:tcPr>
            <w:tcW w:w="1198"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12</w:t>
            </w:r>
          </w:p>
        </w:tc>
        <w:tc>
          <w:tcPr>
            <w:tcW w:w="806"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324</w:t>
            </w:r>
          </w:p>
        </w:tc>
        <w:tc>
          <w:tcPr>
            <w:tcW w:w="905"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29,266</w:t>
            </w:r>
          </w:p>
        </w:tc>
      </w:tr>
      <w:tr w:rsidR="00670F4E" w:rsidRPr="00670F4E" w:rsidTr="00670F4E">
        <w:trPr>
          <w:trHeight w:val="510"/>
          <w:jc w:val="center"/>
        </w:trPr>
        <w:tc>
          <w:tcPr>
            <w:tcW w:w="1944" w:type="dxa"/>
            <w:tcBorders>
              <w:top w:val="nil"/>
              <w:left w:val="single" w:sz="4" w:space="0" w:color="auto"/>
              <w:bottom w:val="single" w:sz="4" w:space="0" w:color="auto"/>
              <w:right w:val="single" w:sz="4" w:space="0" w:color="auto"/>
            </w:tcBorders>
            <w:shd w:val="clear" w:color="auto" w:fill="auto"/>
            <w:vAlign w:val="bottom"/>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Testing/Gathering emission data on test engines</w:t>
            </w:r>
          </w:p>
        </w:tc>
        <w:tc>
          <w:tcPr>
            <w:tcW w:w="755"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w:t>
            </w:r>
          </w:p>
        </w:tc>
        <w:tc>
          <w:tcPr>
            <w:tcW w:w="746"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750"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863"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2</w:t>
            </w:r>
          </w:p>
        </w:tc>
        <w:tc>
          <w:tcPr>
            <w:tcW w:w="693"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922"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3</w:t>
            </w:r>
          </w:p>
        </w:tc>
        <w:tc>
          <w:tcPr>
            <w:tcW w:w="987"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 xml:space="preserve">$          179 </w:t>
            </w:r>
          </w:p>
        </w:tc>
        <w:tc>
          <w:tcPr>
            <w:tcW w:w="834"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649"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1024"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9</w:t>
            </w:r>
          </w:p>
        </w:tc>
        <w:tc>
          <w:tcPr>
            <w:tcW w:w="1198"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12</w:t>
            </w:r>
          </w:p>
        </w:tc>
        <w:tc>
          <w:tcPr>
            <w:tcW w:w="806"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324</w:t>
            </w:r>
          </w:p>
        </w:tc>
        <w:tc>
          <w:tcPr>
            <w:tcW w:w="905"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19,336</w:t>
            </w:r>
          </w:p>
        </w:tc>
      </w:tr>
      <w:tr w:rsidR="00670F4E" w:rsidRPr="00670F4E" w:rsidTr="00670F4E">
        <w:trPr>
          <w:trHeight w:val="510"/>
          <w:jc w:val="center"/>
        </w:trPr>
        <w:tc>
          <w:tcPr>
            <w:tcW w:w="1944" w:type="dxa"/>
            <w:tcBorders>
              <w:top w:val="nil"/>
              <w:left w:val="single" w:sz="4" w:space="0" w:color="auto"/>
              <w:bottom w:val="single" w:sz="4" w:space="0" w:color="auto"/>
              <w:right w:val="single" w:sz="4" w:space="0" w:color="auto"/>
            </w:tcBorders>
            <w:shd w:val="clear" w:color="auto" w:fill="auto"/>
            <w:vAlign w:val="bottom"/>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Analyze data to determine compliance</w:t>
            </w:r>
          </w:p>
        </w:tc>
        <w:tc>
          <w:tcPr>
            <w:tcW w:w="755"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w:t>
            </w:r>
          </w:p>
        </w:tc>
        <w:tc>
          <w:tcPr>
            <w:tcW w:w="746"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w:t>
            </w:r>
          </w:p>
        </w:tc>
        <w:tc>
          <w:tcPr>
            <w:tcW w:w="750"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863"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693"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922"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2</w:t>
            </w:r>
          </w:p>
        </w:tc>
        <w:tc>
          <w:tcPr>
            <w:tcW w:w="987"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 xml:space="preserve">$          189 </w:t>
            </w:r>
          </w:p>
        </w:tc>
        <w:tc>
          <w:tcPr>
            <w:tcW w:w="834"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649"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1024"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9</w:t>
            </w:r>
          </w:p>
        </w:tc>
        <w:tc>
          <w:tcPr>
            <w:tcW w:w="1198"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12</w:t>
            </w:r>
          </w:p>
        </w:tc>
        <w:tc>
          <w:tcPr>
            <w:tcW w:w="806"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216</w:t>
            </w:r>
          </w:p>
        </w:tc>
        <w:tc>
          <w:tcPr>
            <w:tcW w:w="905"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20,384</w:t>
            </w:r>
          </w:p>
        </w:tc>
      </w:tr>
      <w:tr w:rsidR="00670F4E" w:rsidRPr="00670F4E" w:rsidTr="00670F4E">
        <w:trPr>
          <w:trHeight w:val="510"/>
          <w:jc w:val="center"/>
        </w:trPr>
        <w:tc>
          <w:tcPr>
            <w:tcW w:w="1944" w:type="dxa"/>
            <w:tcBorders>
              <w:top w:val="nil"/>
              <w:left w:val="single" w:sz="4" w:space="0" w:color="auto"/>
              <w:bottom w:val="single" w:sz="4" w:space="0" w:color="auto"/>
              <w:right w:val="single" w:sz="4" w:space="0" w:color="auto"/>
            </w:tcBorders>
            <w:shd w:val="clear" w:color="auto" w:fill="auto"/>
            <w:vAlign w:val="bottom"/>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Prepare and submit certification application</w:t>
            </w:r>
          </w:p>
        </w:tc>
        <w:tc>
          <w:tcPr>
            <w:tcW w:w="755"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w:t>
            </w:r>
          </w:p>
        </w:tc>
        <w:tc>
          <w:tcPr>
            <w:tcW w:w="746"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w:t>
            </w:r>
          </w:p>
        </w:tc>
        <w:tc>
          <w:tcPr>
            <w:tcW w:w="750"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w:t>
            </w:r>
          </w:p>
        </w:tc>
        <w:tc>
          <w:tcPr>
            <w:tcW w:w="863"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w:t>
            </w:r>
          </w:p>
        </w:tc>
        <w:tc>
          <w:tcPr>
            <w:tcW w:w="693"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w:t>
            </w:r>
          </w:p>
        </w:tc>
        <w:tc>
          <w:tcPr>
            <w:tcW w:w="922"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5</w:t>
            </w:r>
          </w:p>
        </w:tc>
        <w:tc>
          <w:tcPr>
            <w:tcW w:w="987"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 xml:space="preserve">$          407 </w:t>
            </w:r>
          </w:p>
        </w:tc>
        <w:tc>
          <w:tcPr>
            <w:tcW w:w="834"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649"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1024"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9</w:t>
            </w:r>
          </w:p>
        </w:tc>
        <w:tc>
          <w:tcPr>
            <w:tcW w:w="1198"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12</w:t>
            </w:r>
          </w:p>
        </w:tc>
        <w:tc>
          <w:tcPr>
            <w:tcW w:w="806"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540</w:t>
            </w:r>
          </w:p>
        </w:tc>
        <w:tc>
          <w:tcPr>
            <w:tcW w:w="905"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43,927</w:t>
            </w:r>
          </w:p>
        </w:tc>
      </w:tr>
      <w:tr w:rsidR="00670F4E" w:rsidRPr="00670F4E" w:rsidTr="00670F4E">
        <w:trPr>
          <w:trHeight w:val="510"/>
          <w:jc w:val="center"/>
        </w:trPr>
        <w:tc>
          <w:tcPr>
            <w:tcW w:w="1944" w:type="dxa"/>
            <w:tcBorders>
              <w:top w:val="nil"/>
              <w:left w:val="single" w:sz="4" w:space="0" w:color="auto"/>
              <w:bottom w:val="single" w:sz="4" w:space="0" w:color="auto"/>
              <w:right w:val="single" w:sz="4" w:space="0" w:color="auto"/>
            </w:tcBorders>
            <w:shd w:val="clear" w:color="auto" w:fill="auto"/>
            <w:vAlign w:val="bottom"/>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Preparing and submitting "carry over" applications</w:t>
            </w:r>
          </w:p>
        </w:tc>
        <w:tc>
          <w:tcPr>
            <w:tcW w:w="755"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w:t>
            </w:r>
          </w:p>
        </w:tc>
        <w:tc>
          <w:tcPr>
            <w:tcW w:w="746"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w:t>
            </w:r>
          </w:p>
        </w:tc>
        <w:tc>
          <w:tcPr>
            <w:tcW w:w="750"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863"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693"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922"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2</w:t>
            </w:r>
          </w:p>
        </w:tc>
        <w:tc>
          <w:tcPr>
            <w:tcW w:w="987"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 xml:space="preserve">$          189 </w:t>
            </w:r>
          </w:p>
        </w:tc>
        <w:tc>
          <w:tcPr>
            <w:tcW w:w="834"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649"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1024"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9</w:t>
            </w:r>
          </w:p>
        </w:tc>
        <w:tc>
          <w:tcPr>
            <w:tcW w:w="1198"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12</w:t>
            </w:r>
          </w:p>
        </w:tc>
        <w:tc>
          <w:tcPr>
            <w:tcW w:w="806"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216</w:t>
            </w:r>
          </w:p>
        </w:tc>
        <w:tc>
          <w:tcPr>
            <w:tcW w:w="905"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20,384</w:t>
            </w:r>
          </w:p>
        </w:tc>
      </w:tr>
      <w:tr w:rsidR="00670F4E" w:rsidRPr="00670F4E" w:rsidTr="00670F4E">
        <w:trPr>
          <w:trHeight w:val="510"/>
          <w:jc w:val="center"/>
        </w:trPr>
        <w:tc>
          <w:tcPr>
            <w:tcW w:w="1944" w:type="dxa"/>
            <w:tcBorders>
              <w:top w:val="nil"/>
              <w:left w:val="single" w:sz="4" w:space="0" w:color="auto"/>
              <w:bottom w:val="single" w:sz="4" w:space="0" w:color="auto"/>
              <w:right w:val="single" w:sz="4" w:space="0" w:color="auto"/>
            </w:tcBorders>
            <w:shd w:val="clear" w:color="auto" w:fill="auto"/>
            <w:vAlign w:val="bottom"/>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Prepare &amp; Review GHG Compliance Plan</w:t>
            </w:r>
          </w:p>
        </w:tc>
        <w:tc>
          <w:tcPr>
            <w:tcW w:w="755"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w:t>
            </w:r>
          </w:p>
        </w:tc>
        <w:tc>
          <w:tcPr>
            <w:tcW w:w="746"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w:t>
            </w:r>
          </w:p>
        </w:tc>
        <w:tc>
          <w:tcPr>
            <w:tcW w:w="750"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863"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693"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922"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2</w:t>
            </w:r>
          </w:p>
        </w:tc>
        <w:tc>
          <w:tcPr>
            <w:tcW w:w="987"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 xml:space="preserve">$          189 </w:t>
            </w:r>
          </w:p>
        </w:tc>
        <w:tc>
          <w:tcPr>
            <w:tcW w:w="834"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649"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1024"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9</w:t>
            </w:r>
          </w:p>
        </w:tc>
        <w:tc>
          <w:tcPr>
            <w:tcW w:w="1198"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12</w:t>
            </w:r>
          </w:p>
        </w:tc>
        <w:tc>
          <w:tcPr>
            <w:tcW w:w="806"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216</w:t>
            </w:r>
          </w:p>
        </w:tc>
        <w:tc>
          <w:tcPr>
            <w:tcW w:w="905"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20,384</w:t>
            </w:r>
          </w:p>
        </w:tc>
      </w:tr>
      <w:tr w:rsidR="00670F4E" w:rsidRPr="00670F4E" w:rsidTr="00670F4E">
        <w:trPr>
          <w:trHeight w:val="255"/>
          <w:jc w:val="center"/>
        </w:trPr>
        <w:tc>
          <w:tcPr>
            <w:tcW w:w="1944" w:type="dxa"/>
            <w:tcBorders>
              <w:top w:val="nil"/>
              <w:left w:val="single" w:sz="4" w:space="0" w:color="auto"/>
              <w:bottom w:val="single" w:sz="4" w:space="0" w:color="auto"/>
              <w:right w:val="single" w:sz="4" w:space="0" w:color="auto"/>
            </w:tcBorders>
            <w:shd w:val="clear" w:color="auto" w:fill="auto"/>
            <w:vAlign w:val="bottom"/>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Final Year Production Update</w:t>
            </w:r>
          </w:p>
        </w:tc>
        <w:tc>
          <w:tcPr>
            <w:tcW w:w="755"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4</w:t>
            </w:r>
          </w:p>
        </w:tc>
        <w:tc>
          <w:tcPr>
            <w:tcW w:w="746"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w:t>
            </w:r>
          </w:p>
        </w:tc>
        <w:tc>
          <w:tcPr>
            <w:tcW w:w="750"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863"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693"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922"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5</w:t>
            </w:r>
          </w:p>
        </w:tc>
        <w:tc>
          <w:tcPr>
            <w:tcW w:w="987"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 xml:space="preserve">$          435 </w:t>
            </w:r>
          </w:p>
        </w:tc>
        <w:tc>
          <w:tcPr>
            <w:tcW w:w="834"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649"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1024"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9</w:t>
            </w:r>
          </w:p>
        </w:tc>
        <w:tc>
          <w:tcPr>
            <w:tcW w:w="1198"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12</w:t>
            </w:r>
          </w:p>
        </w:tc>
        <w:tc>
          <w:tcPr>
            <w:tcW w:w="806"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540</w:t>
            </w:r>
          </w:p>
        </w:tc>
        <w:tc>
          <w:tcPr>
            <w:tcW w:w="905"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47,030</w:t>
            </w:r>
          </w:p>
        </w:tc>
      </w:tr>
      <w:tr w:rsidR="00670F4E" w:rsidRPr="00670F4E" w:rsidTr="00670F4E">
        <w:trPr>
          <w:trHeight w:val="525"/>
          <w:jc w:val="center"/>
        </w:trPr>
        <w:tc>
          <w:tcPr>
            <w:tcW w:w="1944" w:type="dxa"/>
            <w:tcBorders>
              <w:top w:val="nil"/>
              <w:left w:val="single" w:sz="4" w:space="0" w:color="auto"/>
              <w:bottom w:val="single" w:sz="4" w:space="0" w:color="auto"/>
              <w:right w:val="single" w:sz="4" w:space="0" w:color="auto"/>
            </w:tcBorders>
            <w:shd w:val="clear" w:color="auto" w:fill="auto"/>
            <w:vAlign w:val="bottom"/>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Store, file and maintain records</w:t>
            </w:r>
          </w:p>
        </w:tc>
        <w:tc>
          <w:tcPr>
            <w:tcW w:w="755"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746"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750"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863"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693"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2</w:t>
            </w:r>
          </w:p>
        </w:tc>
        <w:tc>
          <w:tcPr>
            <w:tcW w:w="922"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2</w:t>
            </w:r>
          </w:p>
        </w:tc>
        <w:tc>
          <w:tcPr>
            <w:tcW w:w="987"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 xml:space="preserve">$            63 </w:t>
            </w:r>
          </w:p>
        </w:tc>
        <w:tc>
          <w:tcPr>
            <w:tcW w:w="834"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649"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0</w:t>
            </w:r>
          </w:p>
        </w:tc>
        <w:tc>
          <w:tcPr>
            <w:tcW w:w="1024"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9</w:t>
            </w:r>
          </w:p>
        </w:tc>
        <w:tc>
          <w:tcPr>
            <w:tcW w:w="1198"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12</w:t>
            </w:r>
          </w:p>
        </w:tc>
        <w:tc>
          <w:tcPr>
            <w:tcW w:w="806"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216</w:t>
            </w:r>
          </w:p>
        </w:tc>
        <w:tc>
          <w:tcPr>
            <w:tcW w:w="905"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6,780</w:t>
            </w:r>
          </w:p>
        </w:tc>
      </w:tr>
      <w:tr w:rsidR="00670F4E" w:rsidRPr="00670F4E" w:rsidTr="00670F4E">
        <w:trPr>
          <w:trHeight w:val="270"/>
          <w:jc w:val="center"/>
        </w:trPr>
        <w:tc>
          <w:tcPr>
            <w:tcW w:w="1944" w:type="dxa"/>
            <w:tcBorders>
              <w:top w:val="nil"/>
              <w:left w:val="single" w:sz="4" w:space="0" w:color="auto"/>
              <w:bottom w:val="single" w:sz="4" w:space="0" w:color="auto"/>
              <w:right w:val="single" w:sz="4" w:space="0" w:color="auto"/>
            </w:tcBorders>
            <w:shd w:val="clear" w:color="auto" w:fill="auto"/>
            <w:vAlign w:val="bottom"/>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Total per respondent</w:t>
            </w:r>
          </w:p>
        </w:tc>
        <w:tc>
          <w:tcPr>
            <w:tcW w:w="755"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11</w:t>
            </w:r>
          </w:p>
        </w:tc>
        <w:tc>
          <w:tcPr>
            <w:tcW w:w="746"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6</w:t>
            </w:r>
          </w:p>
        </w:tc>
        <w:tc>
          <w:tcPr>
            <w:tcW w:w="750"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w:t>
            </w:r>
          </w:p>
        </w:tc>
        <w:tc>
          <w:tcPr>
            <w:tcW w:w="863"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3</w:t>
            </w:r>
          </w:p>
        </w:tc>
        <w:tc>
          <w:tcPr>
            <w:tcW w:w="693"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3</w:t>
            </w:r>
          </w:p>
        </w:tc>
        <w:tc>
          <w:tcPr>
            <w:tcW w:w="922" w:type="dxa"/>
            <w:tcBorders>
              <w:top w:val="double" w:sz="6" w:space="0" w:color="auto"/>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24</w:t>
            </w:r>
          </w:p>
        </w:tc>
        <w:tc>
          <w:tcPr>
            <w:tcW w:w="987" w:type="dxa"/>
            <w:tcBorders>
              <w:top w:val="double" w:sz="6" w:space="0" w:color="auto"/>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 xml:space="preserve">$       1,921 </w:t>
            </w:r>
          </w:p>
        </w:tc>
        <w:tc>
          <w:tcPr>
            <w:tcW w:w="834" w:type="dxa"/>
            <w:tcBorders>
              <w:top w:val="double" w:sz="6" w:space="0" w:color="auto"/>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 xml:space="preserve"> $           -   </w:t>
            </w:r>
          </w:p>
        </w:tc>
        <w:tc>
          <w:tcPr>
            <w:tcW w:w="649" w:type="dxa"/>
            <w:tcBorders>
              <w:top w:val="double" w:sz="6" w:space="0" w:color="auto"/>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 xml:space="preserve">$        -   </w:t>
            </w:r>
          </w:p>
        </w:tc>
        <w:tc>
          <w:tcPr>
            <w:tcW w:w="1024" w:type="dxa"/>
            <w:tcBorders>
              <w:top w:val="double" w:sz="6" w:space="0" w:color="auto"/>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9</w:t>
            </w:r>
          </w:p>
        </w:tc>
        <w:tc>
          <w:tcPr>
            <w:tcW w:w="1198" w:type="dxa"/>
            <w:tcBorders>
              <w:top w:val="double" w:sz="6" w:space="0" w:color="auto"/>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12</w:t>
            </w:r>
          </w:p>
        </w:tc>
        <w:tc>
          <w:tcPr>
            <w:tcW w:w="806" w:type="dxa"/>
            <w:tcBorders>
              <w:top w:val="double" w:sz="6" w:space="0" w:color="auto"/>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24</w:t>
            </w:r>
          </w:p>
        </w:tc>
        <w:tc>
          <w:tcPr>
            <w:tcW w:w="905" w:type="dxa"/>
            <w:tcBorders>
              <w:top w:val="double" w:sz="6" w:space="0" w:color="auto"/>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$17,291</w:t>
            </w:r>
          </w:p>
        </w:tc>
      </w:tr>
      <w:tr w:rsidR="00670F4E" w:rsidRPr="00670F4E" w:rsidTr="00670F4E">
        <w:trPr>
          <w:trHeight w:val="255"/>
          <w:jc w:val="center"/>
        </w:trPr>
        <w:tc>
          <w:tcPr>
            <w:tcW w:w="1944" w:type="dxa"/>
            <w:tcBorders>
              <w:top w:val="nil"/>
              <w:left w:val="single" w:sz="4" w:space="0" w:color="auto"/>
              <w:bottom w:val="single" w:sz="4" w:space="0" w:color="auto"/>
              <w:right w:val="single" w:sz="4" w:space="0" w:color="auto"/>
            </w:tcBorders>
            <w:shd w:val="clear" w:color="auto" w:fill="auto"/>
            <w:vAlign w:val="bottom"/>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Total for the industry</w:t>
            </w:r>
          </w:p>
        </w:tc>
        <w:tc>
          <w:tcPr>
            <w:tcW w:w="755"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1,188</w:t>
            </w:r>
          </w:p>
        </w:tc>
        <w:tc>
          <w:tcPr>
            <w:tcW w:w="746"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648</w:t>
            </w:r>
          </w:p>
        </w:tc>
        <w:tc>
          <w:tcPr>
            <w:tcW w:w="750"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108</w:t>
            </w:r>
          </w:p>
        </w:tc>
        <w:tc>
          <w:tcPr>
            <w:tcW w:w="863"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324</w:t>
            </w:r>
          </w:p>
        </w:tc>
        <w:tc>
          <w:tcPr>
            <w:tcW w:w="693"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324</w:t>
            </w:r>
          </w:p>
        </w:tc>
        <w:tc>
          <w:tcPr>
            <w:tcW w:w="922"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2,592</w:t>
            </w:r>
          </w:p>
        </w:tc>
        <w:tc>
          <w:tcPr>
            <w:tcW w:w="987"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rPr>
                <w:rFonts w:ascii="Arial" w:hAnsi="Arial" w:cs="Arial"/>
                <w:sz w:val="16"/>
                <w:szCs w:val="16"/>
              </w:rPr>
            </w:pPr>
            <w:r w:rsidRPr="00670F4E">
              <w:rPr>
                <w:rFonts w:ascii="Arial" w:hAnsi="Arial" w:cs="Arial"/>
                <w:sz w:val="16"/>
                <w:szCs w:val="16"/>
              </w:rPr>
              <w:t xml:space="preserve">$    207,491 </w:t>
            </w:r>
          </w:p>
        </w:tc>
        <w:tc>
          <w:tcPr>
            <w:tcW w:w="834"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 xml:space="preserve"> $           -   </w:t>
            </w:r>
          </w:p>
        </w:tc>
        <w:tc>
          <w:tcPr>
            <w:tcW w:w="649"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rPr>
                <w:rFonts w:ascii="Arial" w:hAnsi="Arial" w:cs="Arial"/>
                <w:sz w:val="16"/>
                <w:szCs w:val="16"/>
              </w:rPr>
            </w:pPr>
            <w:r>
              <w:rPr>
                <w:rFonts w:ascii="Arial" w:hAnsi="Arial" w:cs="Arial"/>
                <w:sz w:val="16"/>
                <w:szCs w:val="16"/>
              </w:rPr>
              <w:t xml:space="preserve">$     </w:t>
            </w:r>
            <w:r w:rsidRPr="00670F4E">
              <w:rPr>
                <w:rFonts w:ascii="Arial" w:hAnsi="Arial" w:cs="Arial"/>
                <w:sz w:val="16"/>
                <w:szCs w:val="16"/>
              </w:rPr>
              <w:t xml:space="preserve">   -   </w:t>
            </w:r>
          </w:p>
        </w:tc>
        <w:tc>
          <w:tcPr>
            <w:tcW w:w="1024"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108</w:t>
            </w:r>
          </w:p>
        </w:tc>
        <w:tc>
          <w:tcPr>
            <w:tcW w:w="1198"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108</w:t>
            </w:r>
          </w:p>
        </w:tc>
        <w:tc>
          <w:tcPr>
            <w:tcW w:w="806"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2,592</w:t>
            </w:r>
          </w:p>
        </w:tc>
        <w:tc>
          <w:tcPr>
            <w:tcW w:w="905" w:type="dxa"/>
            <w:tcBorders>
              <w:top w:val="nil"/>
              <w:left w:val="nil"/>
              <w:bottom w:val="single" w:sz="4" w:space="0" w:color="auto"/>
              <w:right w:val="single" w:sz="4" w:space="0" w:color="auto"/>
            </w:tcBorders>
            <w:shd w:val="clear" w:color="auto" w:fill="auto"/>
            <w:noWrap/>
            <w:vAlign w:val="bottom"/>
            <w:hideMark/>
          </w:tcPr>
          <w:p w:rsidR="00670F4E" w:rsidRPr="00670F4E" w:rsidRDefault="00670F4E" w:rsidP="00670F4E">
            <w:pPr>
              <w:widowControl/>
              <w:spacing w:before="0" w:after="0"/>
              <w:ind w:firstLine="0"/>
              <w:jc w:val="right"/>
              <w:rPr>
                <w:rFonts w:ascii="Arial" w:hAnsi="Arial" w:cs="Arial"/>
                <w:sz w:val="16"/>
                <w:szCs w:val="16"/>
              </w:rPr>
            </w:pPr>
            <w:r w:rsidRPr="00670F4E">
              <w:rPr>
                <w:rFonts w:ascii="Arial" w:hAnsi="Arial" w:cs="Arial"/>
                <w:sz w:val="16"/>
                <w:szCs w:val="16"/>
              </w:rPr>
              <w:t>$207,491</w:t>
            </w:r>
          </w:p>
        </w:tc>
      </w:tr>
    </w:tbl>
    <w:p w:rsidR="005A63AF" w:rsidRDefault="005A63AF">
      <w:pPr>
        <w:ind w:firstLine="0"/>
        <w:rPr>
          <w:color w:val="000000" w:themeColor="text1"/>
        </w:rPr>
      </w:pPr>
    </w:p>
    <w:p w:rsidR="00B414BD" w:rsidRPr="00D049CA" w:rsidRDefault="00894FB4">
      <w:pPr>
        <w:widowControl/>
        <w:spacing w:before="0" w:after="0"/>
        <w:ind w:firstLine="0"/>
        <w:rPr>
          <w:color w:val="000000" w:themeColor="text1"/>
        </w:rPr>
      </w:pPr>
      <w:r w:rsidRPr="00894FB4">
        <w:rPr>
          <w:color w:val="000000" w:themeColor="text1"/>
        </w:rPr>
        <w:br w:type="page"/>
      </w:r>
    </w:p>
    <w:p w:rsidR="005A63AF" w:rsidRDefault="005A63AF">
      <w:pPr>
        <w:ind w:firstLine="0"/>
        <w:rPr>
          <w:color w:val="000000" w:themeColor="text1"/>
        </w:rPr>
      </w:pPr>
    </w:p>
    <w:p w:rsidR="004364F0" w:rsidRPr="00627B60" w:rsidRDefault="00894FB4" w:rsidP="004364F0">
      <w:pPr>
        <w:pStyle w:val="Caption"/>
        <w:keepNext/>
        <w:rPr>
          <w:color w:val="000000" w:themeColor="text1"/>
          <w:sz w:val="20"/>
          <w:szCs w:val="20"/>
        </w:rPr>
      </w:pPr>
      <w:bookmarkStart w:id="21" w:name="_Ref418852474"/>
      <w:r w:rsidRPr="00627B60">
        <w:rPr>
          <w:color w:val="000000" w:themeColor="text1"/>
          <w:sz w:val="20"/>
          <w:szCs w:val="20"/>
        </w:rPr>
        <w:t xml:space="preserve">Table </w:t>
      </w:r>
      <w:r w:rsidR="00121BAD" w:rsidRPr="00627B60">
        <w:rPr>
          <w:color w:val="000000" w:themeColor="text1"/>
          <w:sz w:val="20"/>
          <w:szCs w:val="20"/>
        </w:rPr>
        <w:fldChar w:fldCharType="begin"/>
      </w:r>
      <w:r w:rsidRPr="00627B60">
        <w:rPr>
          <w:color w:val="000000" w:themeColor="text1"/>
          <w:sz w:val="20"/>
          <w:szCs w:val="20"/>
        </w:rPr>
        <w:instrText xml:space="preserve"> SEQ Table \* ARABIC </w:instrText>
      </w:r>
      <w:r w:rsidR="00121BAD" w:rsidRPr="00627B60">
        <w:rPr>
          <w:color w:val="000000" w:themeColor="text1"/>
          <w:sz w:val="20"/>
          <w:szCs w:val="20"/>
        </w:rPr>
        <w:fldChar w:fldCharType="separate"/>
      </w:r>
      <w:r w:rsidR="00673E30">
        <w:rPr>
          <w:noProof/>
          <w:color w:val="000000" w:themeColor="text1"/>
          <w:sz w:val="20"/>
          <w:szCs w:val="20"/>
        </w:rPr>
        <w:t>18</w:t>
      </w:r>
      <w:r w:rsidR="00121BAD" w:rsidRPr="00627B60">
        <w:rPr>
          <w:color w:val="000000" w:themeColor="text1"/>
          <w:sz w:val="20"/>
          <w:szCs w:val="20"/>
        </w:rPr>
        <w:fldChar w:fldCharType="end"/>
      </w:r>
      <w:bookmarkEnd w:id="21"/>
      <w:r w:rsidRPr="00627B60">
        <w:rPr>
          <w:color w:val="000000" w:themeColor="text1"/>
          <w:sz w:val="20"/>
          <w:szCs w:val="20"/>
        </w:rPr>
        <w:t xml:space="preserve"> Annual Respondent Burden and Costs for Vocational Vehicles</w:t>
      </w:r>
    </w:p>
    <w:p w:rsidR="005A63AF" w:rsidRDefault="00682AA4">
      <w:pPr>
        <w:ind w:firstLine="0"/>
        <w:rPr>
          <w:color w:val="000000" w:themeColor="text1"/>
        </w:rPr>
      </w:pPr>
      <w:r>
        <w:rPr>
          <w:noProof/>
        </w:rPr>
        <w:drawing>
          <wp:inline distT="0" distB="0" distL="0" distR="0">
            <wp:extent cx="8229600" cy="2554249"/>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8229600" cy="2554249"/>
                    </a:xfrm>
                    <a:prstGeom prst="rect">
                      <a:avLst/>
                    </a:prstGeom>
                    <a:noFill/>
                    <a:ln w="9525">
                      <a:noFill/>
                      <a:miter lim="800000"/>
                      <a:headEnd/>
                      <a:tailEnd/>
                    </a:ln>
                  </pic:spPr>
                </pic:pic>
              </a:graphicData>
            </a:graphic>
          </wp:inline>
        </w:drawing>
      </w:r>
      <w:r w:rsidR="00894FB4" w:rsidRPr="00894FB4">
        <w:rPr>
          <w:color w:val="000000" w:themeColor="text1"/>
        </w:rPr>
        <w:br w:type="page"/>
      </w:r>
    </w:p>
    <w:p w:rsidR="004364F0" w:rsidRPr="00627B60" w:rsidRDefault="00894FB4" w:rsidP="004364F0">
      <w:pPr>
        <w:pStyle w:val="Caption"/>
        <w:keepNext/>
        <w:rPr>
          <w:color w:val="000000" w:themeColor="text1"/>
          <w:sz w:val="20"/>
          <w:szCs w:val="20"/>
        </w:rPr>
      </w:pPr>
      <w:bookmarkStart w:id="22" w:name="_Ref418852500"/>
      <w:r w:rsidRPr="00627B60">
        <w:rPr>
          <w:color w:val="000000" w:themeColor="text1"/>
          <w:sz w:val="20"/>
          <w:szCs w:val="20"/>
        </w:rPr>
        <w:lastRenderedPageBreak/>
        <w:t xml:space="preserve">Table </w:t>
      </w:r>
      <w:r w:rsidR="00121BAD" w:rsidRPr="00627B60">
        <w:rPr>
          <w:color w:val="000000" w:themeColor="text1"/>
          <w:sz w:val="20"/>
          <w:szCs w:val="20"/>
        </w:rPr>
        <w:fldChar w:fldCharType="begin"/>
      </w:r>
      <w:r w:rsidRPr="00627B60">
        <w:rPr>
          <w:color w:val="000000" w:themeColor="text1"/>
          <w:sz w:val="20"/>
          <w:szCs w:val="20"/>
        </w:rPr>
        <w:instrText xml:space="preserve"> SEQ Table \* ARABIC </w:instrText>
      </w:r>
      <w:r w:rsidR="00121BAD" w:rsidRPr="00627B60">
        <w:rPr>
          <w:color w:val="000000" w:themeColor="text1"/>
          <w:sz w:val="20"/>
          <w:szCs w:val="20"/>
        </w:rPr>
        <w:fldChar w:fldCharType="separate"/>
      </w:r>
      <w:r w:rsidR="00673E30">
        <w:rPr>
          <w:noProof/>
          <w:color w:val="000000" w:themeColor="text1"/>
          <w:sz w:val="20"/>
          <w:szCs w:val="20"/>
        </w:rPr>
        <w:t>19</w:t>
      </w:r>
      <w:r w:rsidR="00121BAD" w:rsidRPr="00627B60">
        <w:rPr>
          <w:color w:val="000000" w:themeColor="text1"/>
          <w:sz w:val="20"/>
          <w:szCs w:val="20"/>
        </w:rPr>
        <w:fldChar w:fldCharType="end"/>
      </w:r>
      <w:bookmarkEnd w:id="22"/>
      <w:r w:rsidRPr="00627B60">
        <w:rPr>
          <w:color w:val="000000" w:themeColor="text1"/>
          <w:sz w:val="20"/>
          <w:szCs w:val="20"/>
        </w:rPr>
        <w:t xml:space="preserve"> Annual Respondent Burden and Costs for Combination Tractors</w:t>
      </w:r>
    </w:p>
    <w:p w:rsidR="004364F0" w:rsidRPr="00D049CA" w:rsidRDefault="00682AA4" w:rsidP="00C47B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themeColor="text1"/>
          <w:szCs w:val="24"/>
        </w:rPr>
      </w:pPr>
      <w:r>
        <w:rPr>
          <w:noProof/>
          <w:color w:val="000000" w:themeColor="text1"/>
          <w:szCs w:val="24"/>
        </w:rPr>
        <w:drawing>
          <wp:inline distT="0" distB="0" distL="0" distR="0">
            <wp:extent cx="8229600" cy="335925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8229600" cy="3359255"/>
                    </a:xfrm>
                    <a:prstGeom prst="rect">
                      <a:avLst/>
                    </a:prstGeom>
                    <a:noFill/>
                    <a:ln w="9525">
                      <a:noFill/>
                      <a:miter lim="800000"/>
                      <a:headEnd/>
                      <a:tailEnd/>
                    </a:ln>
                  </pic:spPr>
                </pic:pic>
              </a:graphicData>
            </a:graphic>
          </wp:inline>
        </w:drawing>
      </w:r>
    </w:p>
    <w:p w:rsidR="004364F0" w:rsidRPr="00D049CA" w:rsidRDefault="00894FB4">
      <w:pPr>
        <w:widowControl/>
        <w:spacing w:before="0" w:after="0"/>
        <w:ind w:firstLine="0"/>
        <w:rPr>
          <w:color w:val="000000" w:themeColor="text1"/>
          <w:szCs w:val="24"/>
        </w:rPr>
      </w:pPr>
      <w:r w:rsidRPr="00894FB4">
        <w:rPr>
          <w:color w:val="000000" w:themeColor="text1"/>
          <w:szCs w:val="24"/>
        </w:rPr>
        <w:br w:type="page"/>
      </w:r>
    </w:p>
    <w:p w:rsidR="00E00736" w:rsidRPr="00627B60" w:rsidRDefault="00894FB4" w:rsidP="00627B60">
      <w:pPr>
        <w:pStyle w:val="Caption"/>
        <w:keepNext/>
        <w:rPr>
          <w:color w:val="000000" w:themeColor="text1"/>
          <w:sz w:val="20"/>
          <w:szCs w:val="20"/>
        </w:rPr>
      </w:pPr>
      <w:r w:rsidRPr="00627B60">
        <w:rPr>
          <w:color w:val="000000" w:themeColor="text1"/>
          <w:sz w:val="20"/>
          <w:szCs w:val="20"/>
        </w:rPr>
        <w:lastRenderedPageBreak/>
        <w:t xml:space="preserve">Table </w:t>
      </w:r>
      <w:r w:rsidR="00121BAD" w:rsidRPr="00627B60">
        <w:rPr>
          <w:color w:val="000000" w:themeColor="text1"/>
          <w:sz w:val="20"/>
          <w:szCs w:val="20"/>
        </w:rPr>
        <w:fldChar w:fldCharType="begin"/>
      </w:r>
      <w:r w:rsidRPr="00627B60">
        <w:rPr>
          <w:color w:val="000000" w:themeColor="text1"/>
          <w:sz w:val="20"/>
          <w:szCs w:val="20"/>
        </w:rPr>
        <w:instrText xml:space="preserve"> SEQ Table \* ARABIC </w:instrText>
      </w:r>
      <w:r w:rsidR="00121BAD" w:rsidRPr="00627B60">
        <w:rPr>
          <w:color w:val="000000" w:themeColor="text1"/>
          <w:sz w:val="20"/>
          <w:szCs w:val="20"/>
        </w:rPr>
        <w:fldChar w:fldCharType="separate"/>
      </w:r>
      <w:r w:rsidR="00673E30">
        <w:rPr>
          <w:noProof/>
          <w:color w:val="000000" w:themeColor="text1"/>
          <w:sz w:val="20"/>
          <w:szCs w:val="20"/>
        </w:rPr>
        <w:t>20</w:t>
      </w:r>
      <w:r w:rsidR="00121BAD" w:rsidRPr="00627B60">
        <w:rPr>
          <w:color w:val="000000" w:themeColor="text1"/>
          <w:sz w:val="20"/>
          <w:szCs w:val="20"/>
        </w:rPr>
        <w:fldChar w:fldCharType="end"/>
      </w:r>
      <w:r w:rsidRPr="00627B60">
        <w:rPr>
          <w:color w:val="000000" w:themeColor="text1"/>
          <w:sz w:val="20"/>
          <w:szCs w:val="20"/>
        </w:rPr>
        <w:t xml:space="preserve"> Annual Respondent Burden and Costs for </w:t>
      </w:r>
      <w:r w:rsidR="000E40AC" w:rsidRPr="00627B60">
        <w:rPr>
          <w:color w:val="000000" w:themeColor="text1"/>
          <w:sz w:val="20"/>
          <w:szCs w:val="20"/>
        </w:rPr>
        <w:t xml:space="preserve">Large Business </w:t>
      </w:r>
      <w:r w:rsidRPr="00627B60">
        <w:rPr>
          <w:color w:val="000000" w:themeColor="text1"/>
          <w:sz w:val="20"/>
          <w:szCs w:val="20"/>
        </w:rPr>
        <w:t>Trailer</w:t>
      </w:r>
      <w:r w:rsidR="000E40AC" w:rsidRPr="00627B60">
        <w:rPr>
          <w:color w:val="000000" w:themeColor="text1"/>
          <w:sz w:val="20"/>
          <w:szCs w:val="20"/>
        </w:rPr>
        <w:t xml:space="preserve"> Manufacturer</w:t>
      </w:r>
      <w:r w:rsidRPr="00627B60">
        <w:rPr>
          <w:color w:val="000000" w:themeColor="text1"/>
          <w:sz w:val="20"/>
          <w:szCs w:val="20"/>
        </w:rPr>
        <w:t>s – 2017</w:t>
      </w:r>
    </w:p>
    <w:p w:rsidR="004364F0" w:rsidRPr="00D049CA" w:rsidRDefault="00001C7B" w:rsidP="00D558B3">
      <w:pPr>
        <w:ind w:firstLine="0"/>
        <w:rPr>
          <w:color w:val="000000" w:themeColor="text1"/>
        </w:rPr>
      </w:pPr>
      <w:r>
        <w:rPr>
          <w:noProof/>
        </w:rPr>
        <w:drawing>
          <wp:inline distT="0" distB="0" distL="0" distR="0">
            <wp:extent cx="8229600" cy="2254842"/>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8229600" cy="2254842"/>
                    </a:xfrm>
                    <a:prstGeom prst="rect">
                      <a:avLst/>
                    </a:prstGeom>
                    <a:noFill/>
                    <a:ln w="9525">
                      <a:noFill/>
                      <a:miter lim="800000"/>
                      <a:headEnd/>
                      <a:tailEnd/>
                    </a:ln>
                  </pic:spPr>
                </pic:pic>
              </a:graphicData>
            </a:graphic>
          </wp:inline>
        </w:drawing>
      </w:r>
    </w:p>
    <w:p w:rsidR="000E40AC" w:rsidRDefault="000E40AC" w:rsidP="000E40AC">
      <w:pPr>
        <w:pStyle w:val="Caption"/>
        <w:keepNext/>
      </w:pPr>
      <w:r w:rsidRPr="00627B60">
        <w:rPr>
          <w:color w:val="000000" w:themeColor="text1"/>
          <w:sz w:val="20"/>
          <w:szCs w:val="20"/>
        </w:rPr>
        <w:t xml:space="preserve">Table </w:t>
      </w:r>
      <w:r w:rsidR="00121BAD" w:rsidRPr="00627B60">
        <w:rPr>
          <w:color w:val="000000" w:themeColor="text1"/>
          <w:sz w:val="20"/>
          <w:szCs w:val="20"/>
        </w:rPr>
        <w:fldChar w:fldCharType="begin"/>
      </w:r>
      <w:r w:rsidRPr="00627B60">
        <w:rPr>
          <w:color w:val="000000" w:themeColor="text1"/>
          <w:sz w:val="20"/>
          <w:szCs w:val="20"/>
        </w:rPr>
        <w:instrText xml:space="preserve"> SEQ Table \* ARABIC </w:instrText>
      </w:r>
      <w:r w:rsidR="00121BAD" w:rsidRPr="00627B60">
        <w:rPr>
          <w:color w:val="000000" w:themeColor="text1"/>
          <w:sz w:val="20"/>
          <w:szCs w:val="20"/>
        </w:rPr>
        <w:fldChar w:fldCharType="separate"/>
      </w:r>
      <w:r w:rsidR="00673E30">
        <w:rPr>
          <w:noProof/>
          <w:color w:val="000000" w:themeColor="text1"/>
          <w:sz w:val="20"/>
          <w:szCs w:val="20"/>
        </w:rPr>
        <w:t>21</w:t>
      </w:r>
      <w:r w:rsidR="00121BAD" w:rsidRPr="00627B60">
        <w:rPr>
          <w:color w:val="000000" w:themeColor="text1"/>
          <w:sz w:val="20"/>
          <w:szCs w:val="20"/>
        </w:rPr>
        <w:fldChar w:fldCharType="end"/>
      </w:r>
      <w:r w:rsidRPr="00627B60">
        <w:rPr>
          <w:color w:val="000000" w:themeColor="text1"/>
          <w:sz w:val="20"/>
          <w:szCs w:val="20"/>
        </w:rPr>
        <w:t>:  Annual Respondent Burden and Costs for Small Business Trailer Manufacturers - 2017</w:t>
      </w:r>
    </w:p>
    <w:p w:rsidR="004364F0" w:rsidRPr="00D049CA" w:rsidRDefault="00001C7B" w:rsidP="000E40AC">
      <w:pPr>
        <w:ind w:firstLine="0"/>
        <w:rPr>
          <w:color w:val="000000" w:themeColor="text1"/>
        </w:rPr>
      </w:pPr>
      <w:r>
        <w:rPr>
          <w:noProof/>
        </w:rPr>
        <w:drawing>
          <wp:inline distT="0" distB="0" distL="0" distR="0">
            <wp:extent cx="8229600" cy="2254842"/>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8229600" cy="2254842"/>
                    </a:xfrm>
                    <a:prstGeom prst="rect">
                      <a:avLst/>
                    </a:prstGeom>
                    <a:noFill/>
                    <a:ln w="9525">
                      <a:noFill/>
                      <a:miter lim="800000"/>
                      <a:headEnd/>
                      <a:tailEnd/>
                    </a:ln>
                  </pic:spPr>
                </pic:pic>
              </a:graphicData>
            </a:graphic>
          </wp:inline>
        </w:drawing>
      </w:r>
    </w:p>
    <w:p w:rsidR="004364F0" w:rsidRPr="00D049CA" w:rsidRDefault="00894FB4">
      <w:pPr>
        <w:widowControl/>
        <w:spacing w:before="0" w:after="0"/>
        <w:ind w:firstLine="0"/>
        <w:rPr>
          <w:color w:val="000000" w:themeColor="text1"/>
        </w:rPr>
      </w:pPr>
      <w:r w:rsidRPr="00894FB4">
        <w:rPr>
          <w:color w:val="000000" w:themeColor="text1"/>
        </w:rPr>
        <w:br w:type="page"/>
      </w:r>
    </w:p>
    <w:p w:rsidR="004364F0" w:rsidRPr="00627B60" w:rsidRDefault="00894FB4" w:rsidP="004364F0">
      <w:pPr>
        <w:pStyle w:val="Caption"/>
        <w:rPr>
          <w:color w:val="000000" w:themeColor="text1"/>
          <w:sz w:val="20"/>
          <w:szCs w:val="20"/>
        </w:rPr>
      </w:pPr>
      <w:r w:rsidRPr="00627B60">
        <w:rPr>
          <w:color w:val="000000" w:themeColor="text1"/>
          <w:sz w:val="20"/>
          <w:szCs w:val="20"/>
        </w:rPr>
        <w:lastRenderedPageBreak/>
        <w:t xml:space="preserve">Table </w:t>
      </w:r>
      <w:r w:rsidR="00121BAD" w:rsidRPr="00627B60">
        <w:rPr>
          <w:color w:val="000000" w:themeColor="text1"/>
          <w:sz w:val="20"/>
          <w:szCs w:val="20"/>
        </w:rPr>
        <w:fldChar w:fldCharType="begin"/>
      </w:r>
      <w:r w:rsidRPr="00627B60">
        <w:rPr>
          <w:color w:val="000000" w:themeColor="text1"/>
          <w:sz w:val="20"/>
          <w:szCs w:val="20"/>
        </w:rPr>
        <w:instrText xml:space="preserve"> SEQ Table \* ARABIC </w:instrText>
      </w:r>
      <w:r w:rsidR="00121BAD" w:rsidRPr="00627B60">
        <w:rPr>
          <w:color w:val="000000" w:themeColor="text1"/>
          <w:sz w:val="20"/>
          <w:szCs w:val="20"/>
        </w:rPr>
        <w:fldChar w:fldCharType="separate"/>
      </w:r>
      <w:r w:rsidR="00673E30">
        <w:rPr>
          <w:noProof/>
          <w:color w:val="000000" w:themeColor="text1"/>
          <w:sz w:val="20"/>
          <w:szCs w:val="20"/>
        </w:rPr>
        <w:t>22</w:t>
      </w:r>
      <w:r w:rsidR="00121BAD" w:rsidRPr="00627B60">
        <w:rPr>
          <w:color w:val="000000" w:themeColor="text1"/>
          <w:sz w:val="20"/>
          <w:szCs w:val="20"/>
        </w:rPr>
        <w:fldChar w:fldCharType="end"/>
      </w:r>
      <w:r w:rsidRPr="00627B60">
        <w:rPr>
          <w:color w:val="000000" w:themeColor="text1"/>
          <w:sz w:val="20"/>
          <w:szCs w:val="20"/>
        </w:rPr>
        <w:t xml:space="preserve"> Annual Respondent Burden and Costs for </w:t>
      </w:r>
      <w:r w:rsidR="0053098E" w:rsidRPr="00627B60">
        <w:rPr>
          <w:color w:val="000000" w:themeColor="text1"/>
          <w:sz w:val="20"/>
          <w:szCs w:val="20"/>
        </w:rPr>
        <w:t xml:space="preserve">Large Business </w:t>
      </w:r>
      <w:r w:rsidRPr="00627B60">
        <w:rPr>
          <w:color w:val="000000" w:themeColor="text1"/>
          <w:sz w:val="20"/>
          <w:szCs w:val="20"/>
        </w:rPr>
        <w:t>Trailer</w:t>
      </w:r>
      <w:r w:rsidR="0053098E" w:rsidRPr="00627B60">
        <w:rPr>
          <w:color w:val="000000" w:themeColor="text1"/>
          <w:sz w:val="20"/>
          <w:szCs w:val="20"/>
        </w:rPr>
        <w:t xml:space="preserve"> Manufacturer</w:t>
      </w:r>
      <w:r w:rsidRPr="00627B60">
        <w:rPr>
          <w:color w:val="000000" w:themeColor="text1"/>
          <w:sz w:val="20"/>
          <w:szCs w:val="20"/>
        </w:rPr>
        <w:t>s – 2018</w:t>
      </w:r>
      <w:r w:rsidR="0053098E" w:rsidRPr="00627B60">
        <w:rPr>
          <w:color w:val="000000" w:themeColor="text1"/>
          <w:sz w:val="20"/>
          <w:szCs w:val="20"/>
        </w:rPr>
        <w:t xml:space="preserve"> &amp; 2019</w:t>
      </w:r>
    </w:p>
    <w:p w:rsidR="004364F0" w:rsidRPr="00D049CA" w:rsidRDefault="00001C7B" w:rsidP="00AE3A8A">
      <w:pPr>
        <w:ind w:firstLine="0"/>
        <w:rPr>
          <w:color w:val="000000" w:themeColor="text1"/>
        </w:rPr>
      </w:pPr>
      <w:r>
        <w:rPr>
          <w:noProof/>
        </w:rPr>
        <w:drawing>
          <wp:inline distT="0" distB="0" distL="0" distR="0">
            <wp:extent cx="8229600" cy="2254842"/>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8229600" cy="2254842"/>
                    </a:xfrm>
                    <a:prstGeom prst="rect">
                      <a:avLst/>
                    </a:prstGeom>
                    <a:noFill/>
                    <a:ln w="9525">
                      <a:noFill/>
                      <a:miter lim="800000"/>
                      <a:headEnd/>
                      <a:tailEnd/>
                    </a:ln>
                  </pic:spPr>
                </pic:pic>
              </a:graphicData>
            </a:graphic>
          </wp:inline>
        </w:drawing>
      </w:r>
    </w:p>
    <w:p w:rsidR="004364F0" w:rsidRPr="00D049CA" w:rsidRDefault="00894FB4">
      <w:pPr>
        <w:widowControl/>
        <w:spacing w:before="0" w:after="0"/>
        <w:ind w:firstLine="0"/>
        <w:rPr>
          <w:color w:val="000000" w:themeColor="text1"/>
        </w:rPr>
      </w:pPr>
      <w:r w:rsidRPr="00894FB4">
        <w:rPr>
          <w:color w:val="000000" w:themeColor="text1"/>
        </w:rPr>
        <w:br w:type="page"/>
      </w:r>
    </w:p>
    <w:p w:rsidR="004364F0" w:rsidRPr="00627B60" w:rsidRDefault="00894FB4" w:rsidP="004364F0">
      <w:pPr>
        <w:pStyle w:val="Caption"/>
        <w:rPr>
          <w:color w:val="000000" w:themeColor="text1"/>
          <w:sz w:val="20"/>
          <w:szCs w:val="20"/>
        </w:rPr>
      </w:pPr>
      <w:bookmarkStart w:id="23" w:name="_Ref418854902"/>
      <w:r w:rsidRPr="00627B60">
        <w:rPr>
          <w:color w:val="000000" w:themeColor="text1"/>
          <w:sz w:val="20"/>
          <w:szCs w:val="20"/>
        </w:rPr>
        <w:lastRenderedPageBreak/>
        <w:t xml:space="preserve">Table </w:t>
      </w:r>
      <w:r w:rsidR="00121BAD" w:rsidRPr="00627B60">
        <w:rPr>
          <w:color w:val="000000" w:themeColor="text1"/>
          <w:sz w:val="20"/>
          <w:szCs w:val="20"/>
        </w:rPr>
        <w:fldChar w:fldCharType="begin"/>
      </w:r>
      <w:r w:rsidRPr="00627B60">
        <w:rPr>
          <w:color w:val="000000" w:themeColor="text1"/>
          <w:sz w:val="20"/>
          <w:szCs w:val="20"/>
        </w:rPr>
        <w:instrText xml:space="preserve"> SEQ Table \* ARABIC </w:instrText>
      </w:r>
      <w:r w:rsidR="00121BAD" w:rsidRPr="00627B60">
        <w:rPr>
          <w:color w:val="000000" w:themeColor="text1"/>
          <w:sz w:val="20"/>
          <w:szCs w:val="20"/>
        </w:rPr>
        <w:fldChar w:fldCharType="separate"/>
      </w:r>
      <w:r w:rsidR="00673E30">
        <w:rPr>
          <w:noProof/>
          <w:color w:val="000000" w:themeColor="text1"/>
          <w:sz w:val="20"/>
          <w:szCs w:val="20"/>
        </w:rPr>
        <w:t>23</w:t>
      </w:r>
      <w:r w:rsidR="00121BAD" w:rsidRPr="00627B60">
        <w:rPr>
          <w:color w:val="000000" w:themeColor="text1"/>
          <w:sz w:val="20"/>
          <w:szCs w:val="20"/>
        </w:rPr>
        <w:fldChar w:fldCharType="end"/>
      </w:r>
      <w:bookmarkEnd w:id="23"/>
      <w:r w:rsidRPr="00627B60">
        <w:rPr>
          <w:color w:val="000000" w:themeColor="text1"/>
          <w:sz w:val="20"/>
          <w:szCs w:val="20"/>
        </w:rPr>
        <w:t xml:space="preserve"> Annual Respondent Burden and Costs for </w:t>
      </w:r>
      <w:r w:rsidR="000E40AC" w:rsidRPr="00627B60">
        <w:rPr>
          <w:color w:val="000000" w:themeColor="text1"/>
          <w:sz w:val="20"/>
          <w:szCs w:val="20"/>
        </w:rPr>
        <w:t xml:space="preserve">Small Business </w:t>
      </w:r>
      <w:r w:rsidRPr="00627B60">
        <w:rPr>
          <w:color w:val="000000" w:themeColor="text1"/>
          <w:sz w:val="20"/>
          <w:szCs w:val="20"/>
        </w:rPr>
        <w:t>Trailer</w:t>
      </w:r>
      <w:r w:rsidR="000E40AC" w:rsidRPr="00627B60">
        <w:rPr>
          <w:color w:val="000000" w:themeColor="text1"/>
          <w:sz w:val="20"/>
          <w:szCs w:val="20"/>
        </w:rPr>
        <w:t xml:space="preserve"> Manufacturer</w:t>
      </w:r>
      <w:r w:rsidRPr="00627B60">
        <w:rPr>
          <w:color w:val="000000" w:themeColor="text1"/>
          <w:sz w:val="20"/>
          <w:szCs w:val="20"/>
        </w:rPr>
        <w:t>s – 201</w:t>
      </w:r>
      <w:r w:rsidR="000E40AC" w:rsidRPr="00627B60">
        <w:rPr>
          <w:color w:val="000000" w:themeColor="text1"/>
          <w:sz w:val="20"/>
          <w:szCs w:val="20"/>
        </w:rPr>
        <w:t>8</w:t>
      </w:r>
    </w:p>
    <w:p w:rsidR="000E40AC" w:rsidRDefault="00001C7B" w:rsidP="00AE3A8A">
      <w:pPr>
        <w:ind w:firstLine="0"/>
      </w:pPr>
      <w:r>
        <w:rPr>
          <w:noProof/>
        </w:rPr>
        <w:drawing>
          <wp:inline distT="0" distB="0" distL="0" distR="0">
            <wp:extent cx="8229600" cy="2254842"/>
            <wp:effectExtent l="1905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srcRect/>
                    <a:stretch>
                      <a:fillRect/>
                    </a:stretch>
                  </pic:blipFill>
                  <pic:spPr bwMode="auto">
                    <a:xfrm>
                      <a:off x="0" y="0"/>
                      <a:ext cx="8229600" cy="2254842"/>
                    </a:xfrm>
                    <a:prstGeom prst="rect">
                      <a:avLst/>
                    </a:prstGeom>
                    <a:noFill/>
                    <a:ln w="9525">
                      <a:noFill/>
                      <a:miter lim="800000"/>
                      <a:headEnd/>
                      <a:tailEnd/>
                    </a:ln>
                  </pic:spPr>
                </pic:pic>
              </a:graphicData>
            </a:graphic>
          </wp:inline>
        </w:drawing>
      </w:r>
    </w:p>
    <w:p w:rsidR="00137969" w:rsidRDefault="00137969" w:rsidP="000E40AC">
      <w:pPr>
        <w:pStyle w:val="Caption"/>
      </w:pPr>
    </w:p>
    <w:p w:rsidR="00137969" w:rsidRPr="00627B60" w:rsidRDefault="00137969" w:rsidP="00627B60">
      <w:pPr>
        <w:pStyle w:val="Caption"/>
        <w:rPr>
          <w:color w:val="000000" w:themeColor="text1"/>
          <w:sz w:val="20"/>
          <w:szCs w:val="20"/>
        </w:rPr>
      </w:pPr>
      <w:bookmarkStart w:id="24" w:name="_Ref419712990"/>
      <w:r w:rsidRPr="00627B60">
        <w:rPr>
          <w:color w:val="000000" w:themeColor="text1"/>
          <w:sz w:val="20"/>
          <w:szCs w:val="20"/>
        </w:rPr>
        <w:t xml:space="preserve">Table </w:t>
      </w:r>
      <w:r w:rsidR="00121BAD" w:rsidRPr="00627B60">
        <w:rPr>
          <w:color w:val="000000" w:themeColor="text1"/>
          <w:sz w:val="20"/>
          <w:szCs w:val="20"/>
        </w:rPr>
        <w:fldChar w:fldCharType="begin"/>
      </w:r>
      <w:r w:rsidRPr="00627B60">
        <w:rPr>
          <w:color w:val="000000" w:themeColor="text1"/>
          <w:sz w:val="20"/>
          <w:szCs w:val="20"/>
        </w:rPr>
        <w:instrText xml:space="preserve"> SEQ Table \* ARABIC </w:instrText>
      </w:r>
      <w:r w:rsidR="00121BAD" w:rsidRPr="00627B60">
        <w:rPr>
          <w:color w:val="000000" w:themeColor="text1"/>
          <w:sz w:val="20"/>
          <w:szCs w:val="20"/>
        </w:rPr>
        <w:fldChar w:fldCharType="separate"/>
      </w:r>
      <w:r w:rsidR="00673E30">
        <w:rPr>
          <w:noProof/>
          <w:color w:val="000000" w:themeColor="text1"/>
          <w:sz w:val="20"/>
          <w:szCs w:val="20"/>
        </w:rPr>
        <w:t>24</w:t>
      </w:r>
      <w:r w:rsidR="00121BAD" w:rsidRPr="00627B60">
        <w:rPr>
          <w:color w:val="000000" w:themeColor="text1"/>
          <w:sz w:val="20"/>
          <w:szCs w:val="20"/>
        </w:rPr>
        <w:fldChar w:fldCharType="end"/>
      </w:r>
      <w:bookmarkEnd w:id="24"/>
      <w:r w:rsidRPr="00627B60">
        <w:rPr>
          <w:color w:val="000000" w:themeColor="text1"/>
          <w:sz w:val="20"/>
          <w:szCs w:val="20"/>
        </w:rPr>
        <w:t>:  Annual Respondent Burden and Costs for Small Business Trailer Manufacturers - 2019</w:t>
      </w:r>
    </w:p>
    <w:p w:rsidR="00AE3A8A" w:rsidRPr="00AE3A8A" w:rsidRDefault="00001C7B" w:rsidP="00137969">
      <w:pPr>
        <w:pStyle w:val="Caption"/>
      </w:pPr>
      <w:r>
        <w:rPr>
          <w:noProof/>
        </w:rPr>
        <w:drawing>
          <wp:inline distT="0" distB="0" distL="0" distR="0">
            <wp:extent cx="8229600" cy="2254842"/>
            <wp:effectExtent l="1905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8229600" cy="2254842"/>
                    </a:xfrm>
                    <a:prstGeom prst="rect">
                      <a:avLst/>
                    </a:prstGeom>
                    <a:noFill/>
                    <a:ln w="9525">
                      <a:noFill/>
                      <a:miter lim="800000"/>
                      <a:headEnd/>
                      <a:tailEnd/>
                    </a:ln>
                  </pic:spPr>
                </pic:pic>
              </a:graphicData>
            </a:graphic>
          </wp:inline>
        </w:drawing>
      </w:r>
    </w:p>
    <w:sectPr w:rsidR="00AE3A8A" w:rsidRPr="00AE3A8A" w:rsidSect="00C47B23">
      <w:endnotePr>
        <w:numFmt w:val="lowerLetter"/>
      </w:endnotePr>
      <w:pgSz w:w="15840" w:h="12240" w:orient="landscape"/>
      <w:pgMar w:top="1440" w:right="1440" w:bottom="1440" w:left="1440" w:header="135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FAF" w:rsidRDefault="00266FAF">
      <w:r>
        <w:separator/>
      </w:r>
    </w:p>
  </w:endnote>
  <w:endnote w:type="continuationSeparator" w:id="0">
    <w:p w:rsidR="00266FAF" w:rsidRDefault="0026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KOF M+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9E1" w:rsidRDefault="006119E1">
    <w:pPr>
      <w:framePr w:w="9630" w:h="280" w:hRule="exact" w:wrap="notBeside" w:vAnchor="page" w:hAnchor="text" w:y="1411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rPr>
      <w:t>-</w:t>
    </w:r>
    <w:r>
      <w:rPr>
        <w:color w:val="000000"/>
      </w:rPr>
      <w:pgNum/>
    </w:r>
    <w:r>
      <w:rPr>
        <w:color w:val="000000"/>
      </w:rPr>
      <w:t>-</w:t>
    </w:r>
  </w:p>
  <w:p w:rsidR="006119E1" w:rsidRDefault="006119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33344"/>
      <w:docPartObj>
        <w:docPartGallery w:val="Page Numbers (Bottom of Page)"/>
        <w:docPartUnique/>
      </w:docPartObj>
    </w:sdtPr>
    <w:sdtEndPr/>
    <w:sdtContent>
      <w:p w:rsidR="006119E1" w:rsidRDefault="007112DA" w:rsidP="00401DEA">
        <w:pPr>
          <w:pStyle w:val="Footer"/>
          <w:spacing w:before="0" w:after="0"/>
          <w:ind w:firstLine="0"/>
          <w:jc w:val="center"/>
        </w:pPr>
        <w:r>
          <w:fldChar w:fldCharType="begin"/>
        </w:r>
        <w:r>
          <w:instrText xml:space="preserve"> PAGE   \* MERGEFORMAT </w:instrText>
        </w:r>
        <w:r>
          <w:fldChar w:fldCharType="separate"/>
        </w:r>
        <w:r w:rsidR="00A227DD">
          <w:rPr>
            <w:noProof/>
          </w:rPr>
          <w:t>36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FAF" w:rsidRDefault="00266FAF">
      <w:r>
        <w:separator/>
      </w:r>
    </w:p>
  </w:footnote>
  <w:footnote w:type="continuationSeparator" w:id="0">
    <w:p w:rsidR="00266FAF" w:rsidRDefault="00266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9E1" w:rsidRDefault="006119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03434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1359EE"/>
    <w:multiLevelType w:val="hybridMultilevel"/>
    <w:tmpl w:val="C1743806"/>
    <w:lvl w:ilvl="0" w:tplc="E3B2CA3A">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F0B3D"/>
    <w:multiLevelType w:val="hybridMultilevel"/>
    <w:tmpl w:val="CE785D28"/>
    <w:lvl w:ilvl="0" w:tplc="2356ED06">
      <w:start w:val="1"/>
      <w:numFmt w:val="decimal"/>
      <w:pStyle w:val="Heading3"/>
      <w:lvlText w:val="%1."/>
      <w:lvlJc w:val="left"/>
      <w:pPr>
        <w:ind w:left="1260" w:hanging="360"/>
      </w:pPr>
      <w:rPr>
        <w:rFonts w:hint="default"/>
        <w:color w:val="000000" w:themeColor="text1"/>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37CE26EF"/>
    <w:multiLevelType w:val="hybridMultilevel"/>
    <w:tmpl w:val="CFBA9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F4E1958"/>
    <w:multiLevelType w:val="multilevel"/>
    <w:tmpl w:val="63320A88"/>
    <w:lvl w:ilvl="0">
      <w:start w:val="1"/>
      <w:numFmt w:val="upperRoman"/>
      <w:pStyle w:val="Heading1"/>
      <w:suff w:val="space"/>
      <w:lvlText w:val="%1. "/>
      <w:lvlJc w:val="left"/>
      <w:pPr>
        <w:ind w:left="360" w:hanging="360"/>
      </w:pPr>
      <w:rPr>
        <w:rFonts w:hint="default"/>
      </w:rPr>
    </w:lvl>
    <w:lvl w:ilvl="1">
      <w:start w:val="1"/>
      <w:numFmt w:val="upperLetter"/>
      <w:pStyle w:val="Heading2"/>
      <w:suff w:val="space"/>
      <w:lvlText w:val="%2. "/>
      <w:lvlJc w:val="left"/>
      <w:pPr>
        <w:ind w:left="432" w:hanging="432"/>
      </w:pPr>
      <w:rPr>
        <w:rFonts w:hint="default"/>
      </w:rPr>
    </w:lvl>
    <w:lvl w:ilvl="2">
      <w:start w:val="1"/>
      <w:numFmt w:val="decimal"/>
      <w:suff w:val="space"/>
      <w:lvlText w:val="(%3) "/>
      <w:lvlJc w:val="left"/>
      <w:pPr>
        <w:ind w:left="1044" w:hanging="504"/>
      </w:pPr>
      <w:rPr>
        <w:rFonts w:hint="default"/>
        <w:sz w:val="24"/>
        <w:szCs w:val="24"/>
      </w:rPr>
    </w:lvl>
    <w:lvl w:ilvl="3">
      <w:start w:val="1"/>
      <w:numFmt w:val="lowerLetter"/>
      <w:pStyle w:val="Heading4"/>
      <w:suff w:val="space"/>
      <w:lvlText w:val="(%4)"/>
      <w:lvlJc w:val="left"/>
      <w:pPr>
        <w:ind w:left="241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suff w:val="space"/>
      <w:lvlText w:val="(%5)"/>
      <w:lvlJc w:val="left"/>
      <w:pPr>
        <w:ind w:left="288" w:hanging="28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2"/>
  </w:num>
  <w:num w:numId="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num>
  <w:num w:numId="14">
    <w:abstractNumId w:val="2"/>
    <w:lvlOverride w:ilvl="0">
      <w:startOverride w:val="1"/>
    </w:lvlOverride>
  </w:num>
  <w:num w:numId="15">
    <w:abstractNumId w:val="2"/>
  </w:num>
  <w:num w:numId="16">
    <w:abstractNumId w:val="2"/>
    <w:lvlOverride w:ilvl="0">
      <w:startOverride w:val="1"/>
    </w:lvlOverride>
  </w:num>
  <w:num w:numId="17">
    <w:abstractNumId w:val="1"/>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40"/>
    <w:rsid w:val="00001239"/>
    <w:rsid w:val="00001C7B"/>
    <w:rsid w:val="0000243C"/>
    <w:rsid w:val="00002B2C"/>
    <w:rsid w:val="000052EE"/>
    <w:rsid w:val="000106ED"/>
    <w:rsid w:val="00011D37"/>
    <w:rsid w:val="00013031"/>
    <w:rsid w:val="00013B05"/>
    <w:rsid w:val="00014A4F"/>
    <w:rsid w:val="00017D45"/>
    <w:rsid w:val="00020946"/>
    <w:rsid w:val="000226F4"/>
    <w:rsid w:val="0002356F"/>
    <w:rsid w:val="00023DD2"/>
    <w:rsid w:val="00025280"/>
    <w:rsid w:val="00025415"/>
    <w:rsid w:val="000262D7"/>
    <w:rsid w:val="00030DCB"/>
    <w:rsid w:val="00030E46"/>
    <w:rsid w:val="000344A5"/>
    <w:rsid w:val="000362E7"/>
    <w:rsid w:val="0003695F"/>
    <w:rsid w:val="000369F3"/>
    <w:rsid w:val="00041F67"/>
    <w:rsid w:val="00042415"/>
    <w:rsid w:val="00044340"/>
    <w:rsid w:val="000455AF"/>
    <w:rsid w:val="00045A54"/>
    <w:rsid w:val="00045E84"/>
    <w:rsid w:val="000468E7"/>
    <w:rsid w:val="000502B2"/>
    <w:rsid w:val="00050941"/>
    <w:rsid w:val="00050C88"/>
    <w:rsid w:val="00055635"/>
    <w:rsid w:val="00055DC7"/>
    <w:rsid w:val="000565FE"/>
    <w:rsid w:val="00056DB9"/>
    <w:rsid w:val="00056EA4"/>
    <w:rsid w:val="00056F03"/>
    <w:rsid w:val="00057BAE"/>
    <w:rsid w:val="00065444"/>
    <w:rsid w:val="000660C6"/>
    <w:rsid w:val="000662F5"/>
    <w:rsid w:val="00066336"/>
    <w:rsid w:val="000667D3"/>
    <w:rsid w:val="000668EB"/>
    <w:rsid w:val="00067BD9"/>
    <w:rsid w:val="000707AB"/>
    <w:rsid w:val="00071542"/>
    <w:rsid w:val="00071814"/>
    <w:rsid w:val="00073372"/>
    <w:rsid w:val="0007365C"/>
    <w:rsid w:val="00074563"/>
    <w:rsid w:val="00075179"/>
    <w:rsid w:val="00087356"/>
    <w:rsid w:val="00087FC9"/>
    <w:rsid w:val="00090B5A"/>
    <w:rsid w:val="00091090"/>
    <w:rsid w:val="00093753"/>
    <w:rsid w:val="000940A8"/>
    <w:rsid w:val="00096AEB"/>
    <w:rsid w:val="00097C19"/>
    <w:rsid w:val="000A3FC8"/>
    <w:rsid w:val="000A52F8"/>
    <w:rsid w:val="000A7342"/>
    <w:rsid w:val="000B026A"/>
    <w:rsid w:val="000B03E1"/>
    <w:rsid w:val="000B04DD"/>
    <w:rsid w:val="000B5512"/>
    <w:rsid w:val="000B60B5"/>
    <w:rsid w:val="000C192C"/>
    <w:rsid w:val="000C1C0B"/>
    <w:rsid w:val="000C29FA"/>
    <w:rsid w:val="000C615F"/>
    <w:rsid w:val="000C7116"/>
    <w:rsid w:val="000C7F20"/>
    <w:rsid w:val="000D00C6"/>
    <w:rsid w:val="000D2FD7"/>
    <w:rsid w:val="000D43AC"/>
    <w:rsid w:val="000D43B6"/>
    <w:rsid w:val="000D45E3"/>
    <w:rsid w:val="000D7952"/>
    <w:rsid w:val="000E19A9"/>
    <w:rsid w:val="000E2917"/>
    <w:rsid w:val="000E400E"/>
    <w:rsid w:val="000E40AC"/>
    <w:rsid w:val="000E4678"/>
    <w:rsid w:val="000E754D"/>
    <w:rsid w:val="000F1781"/>
    <w:rsid w:val="000F1CCF"/>
    <w:rsid w:val="000F3B99"/>
    <w:rsid w:val="000F5E07"/>
    <w:rsid w:val="00101838"/>
    <w:rsid w:val="00103FB1"/>
    <w:rsid w:val="00104F63"/>
    <w:rsid w:val="0010547E"/>
    <w:rsid w:val="001119CA"/>
    <w:rsid w:val="001142A0"/>
    <w:rsid w:val="00114EA4"/>
    <w:rsid w:val="00116C3F"/>
    <w:rsid w:val="00121342"/>
    <w:rsid w:val="0012154E"/>
    <w:rsid w:val="00121BAD"/>
    <w:rsid w:val="0012230F"/>
    <w:rsid w:val="001250E7"/>
    <w:rsid w:val="00125C81"/>
    <w:rsid w:val="001265D5"/>
    <w:rsid w:val="001268BF"/>
    <w:rsid w:val="00127461"/>
    <w:rsid w:val="001323CA"/>
    <w:rsid w:val="00134E5C"/>
    <w:rsid w:val="001353E6"/>
    <w:rsid w:val="00136CD6"/>
    <w:rsid w:val="00136F85"/>
    <w:rsid w:val="00137969"/>
    <w:rsid w:val="001455DC"/>
    <w:rsid w:val="001456E5"/>
    <w:rsid w:val="00145BFC"/>
    <w:rsid w:val="001462D6"/>
    <w:rsid w:val="001470B3"/>
    <w:rsid w:val="0015372A"/>
    <w:rsid w:val="00153AA4"/>
    <w:rsid w:val="00153F04"/>
    <w:rsid w:val="0015485B"/>
    <w:rsid w:val="00154BE3"/>
    <w:rsid w:val="00154F90"/>
    <w:rsid w:val="00155AA5"/>
    <w:rsid w:val="00155BC2"/>
    <w:rsid w:val="00156671"/>
    <w:rsid w:val="0015678B"/>
    <w:rsid w:val="0016209F"/>
    <w:rsid w:val="00164E21"/>
    <w:rsid w:val="00164E88"/>
    <w:rsid w:val="0016715D"/>
    <w:rsid w:val="001678D7"/>
    <w:rsid w:val="00171DA8"/>
    <w:rsid w:val="00174A1E"/>
    <w:rsid w:val="00174D3E"/>
    <w:rsid w:val="00175875"/>
    <w:rsid w:val="00176018"/>
    <w:rsid w:val="00181DAF"/>
    <w:rsid w:val="001828AA"/>
    <w:rsid w:val="0018454A"/>
    <w:rsid w:val="001850E4"/>
    <w:rsid w:val="001851EB"/>
    <w:rsid w:val="00185B47"/>
    <w:rsid w:val="00186E0D"/>
    <w:rsid w:val="00186F44"/>
    <w:rsid w:val="00191654"/>
    <w:rsid w:val="00191B62"/>
    <w:rsid w:val="001927A9"/>
    <w:rsid w:val="00192F64"/>
    <w:rsid w:val="00194672"/>
    <w:rsid w:val="00194793"/>
    <w:rsid w:val="001965F5"/>
    <w:rsid w:val="00197724"/>
    <w:rsid w:val="001A0067"/>
    <w:rsid w:val="001A1137"/>
    <w:rsid w:val="001A578A"/>
    <w:rsid w:val="001A5811"/>
    <w:rsid w:val="001A5A49"/>
    <w:rsid w:val="001A7D5F"/>
    <w:rsid w:val="001B0C8B"/>
    <w:rsid w:val="001B1205"/>
    <w:rsid w:val="001B41AA"/>
    <w:rsid w:val="001B512E"/>
    <w:rsid w:val="001B5405"/>
    <w:rsid w:val="001C004E"/>
    <w:rsid w:val="001C1C11"/>
    <w:rsid w:val="001C766F"/>
    <w:rsid w:val="001D21E9"/>
    <w:rsid w:val="001D320D"/>
    <w:rsid w:val="001D3520"/>
    <w:rsid w:val="001D45D4"/>
    <w:rsid w:val="001D4600"/>
    <w:rsid w:val="001D797E"/>
    <w:rsid w:val="001E099D"/>
    <w:rsid w:val="001E24B2"/>
    <w:rsid w:val="001E6C17"/>
    <w:rsid w:val="001E7187"/>
    <w:rsid w:val="001E7886"/>
    <w:rsid w:val="001F5A0B"/>
    <w:rsid w:val="001F61BD"/>
    <w:rsid w:val="001F629D"/>
    <w:rsid w:val="001F717C"/>
    <w:rsid w:val="001F71DC"/>
    <w:rsid w:val="00200039"/>
    <w:rsid w:val="002019E2"/>
    <w:rsid w:val="002023E3"/>
    <w:rsid w:val="00203ACE"/>
    <w:rsid w:val="0020416A"/>
    <w:rsid w:val="00204291"/>
    <w:rsid w:val="002044FA"/>
    <w:rsid w:val="00204B9C"/>
    <w:rsid w:val="00204D32"/>
    <w:rsid w:val="0020730B"/>
    <w:rsid w:val="00212535"/>
    <w:rsid w:val="00213012"/>
    <w:rsid w:val="00217B13"/>
    <w:rsid w:val="00221DA1"/>
    <w:rsid w:val="00222810"/>
    <w:rsid w:val="00225E03"/>
    <w:rsid w:val="002354DB"/>
    <w:rsid w:val="00236AB2"/>
    <w:rsid w:val="00237CFE"/>
    <w:rsid w:val="002403BD"/>
    <w:rsid w:val="002406DF"/>
    <w:rsid w:val="00240940"/>
    <w:rsid w:val="00240D76"/>
    <w:rsid w:val="00240EF3"/>
    <w:rsid w:val="00241C94"/>
    <w:rsid w:val="002426DE"/>
    <w:rsid w:val="002440FE"/>
    <w:rsid w:val="00244C5A"/>
    <w:rsid w:val="0024501F"/>
    <w:rsid w:val="002454D9"/>
    <w:rsid w:val="00245936"/>
    <w:rsid w:val="00246A87"/>
    <w:rsid w:val="00251587"/>
    <w:rsid w:val="0025196B"/>
    <w:rsid w:val="00252CB5"/>
    <w:rsid w:val="00253457"/>
    <w:rsid w:val="00254190"/>
    <w:rsid w:val="00254C12"/>
    <w:rsid w:val="002557DC"/>
    <w:rsid w:val="00257853"/>
    <w:rsid w:val="00257FD6"/>
    <w:rsid w:val="002600DD"/>
    <w:rsid w:val="00261838"/>
    <w:rsid w:val="002627AD"/>
    <w:rsid w:val="00262FDB"/>
    <w:rsid w:val="0026404E"/>
    <w:rsid w:val="00264BE3"/>
    <w:rsid w:val="00266470"/>
    <w:rsid w:val="002668D6"/>
    <w:rsid w:val="00266FAF"/>
    <w:rsid w:val="002701D7"/>
    <w:rsid w:val="00270662"/>
    <w:rsid w:val="002712B1"/>
    <w:rsid w:val="002718A9"/>
    <w:rsid w:val="002718CD"/>
    <w:rsid w:val="00271D09"/>
    <w:rsid w:val="00273D80"/>
    <w:rsid w:val="002760B8"/>
    <w:rsid w:val="00276D22"/>
    <w:rsid w:val="00277D37"/>
    <w:rsid w:val="002807D6"/>
    <w:rsid w:val="00282315"/>
    <w:rsid w:val="00283E74"/>
    <w:rsid w:val="002854AD"/>
    <w:rsid w:val="002864FE"/>
    <w:rsid w:val="002865FF"/>
    <w:rsid w:val="00287395"/>
    <w:rsid w:val="0029127C"/>
    <w:rsid w:val="0029154C"/>
    <w:rsid w:val="002936FA"/>
    <w:rsid w:val="002960D5"/>
    <w:rsid w:val="002977CF"/>
    <w:rsid w:val="002A0657"/>
    <w:rsid w:val="002A117C"/>
    <w:rsid w:val="002A1B2F"/>
    <w:rsid w:val="002A2CA5"/>
    <w:rsid w:val="002A4D86"/>
    <w:rsid w:val="002A519C"/>
    <w:rsid w:val="002B022C"/>
    <w:rsid w:val="002B1348"/>
    <w:rsid w:val="002B2621"/>
    <w:rsid w:val="002B2A08"/>
    <w:rsid w:val="002B66F7"/>
    <w:rsid w:val="002C16DD"/>
    <w:rsid w:val="002C2CA4"/>
    <w:rsid w:val="002C6CC0"/>
    <w:rsid w:val="002D0E52"/>
    <w:rsid w:val="002D159F"/>
    <w:rsid w:val="002D2F4D"/>
    <w:rsid w:val="002D4A5E"/>
    <w:rsid w:val="002D5924"/>
    <w:rsid w:val="002D67D6"/>
    <w:rsid w:val="002D78BB"/>
    <w:rsid w:val="002E03D7"/>
    <w:rsid w:val="002E05B0"/>
    <w:rsid w:val="002E14F0"/>
    <w:rsid w:val="002E3413"/>
    <w:rsid w:val="002E7762"/>
    <w:rsid w:val="002E7F62"/>
    <w:rsid w:val="002F15E6"/>
    <w:rsid w:val="002F1DB4"/>
    <w:rsid w:val="002F222D"/>
    <w:rsid w:val="002F35E3"/>
    <w:rsid w:val="002F45B1"/>
    <w:rsid w:val="002F5AE4"/>
    <w:rsid w:val="002F6FDE"/>
    <w:rsid w:val="00300195"/>
    <w:rsid w:val="00300D86"/>
    <w:rsid w:val="003036F2"/>
    <w:rsid w:val="00303763"/>
    <w:rsid w:val="00304DFF"/>
    <w:rsid w:val="00305941"/>
    <w:rsid w:val="00305E56"/>
    <w:rsid w:val="00311AEC"/>
    <w:rsid w:val="0031234E"/>
    <w:rsid w:val="00313E90"/>
    <w:rsid w:val="00315480"/>
    <w:rsid w:val="00316A6B"/>
    <w:rsid w:val="00317AED"/>
    <w:rsid w:val="003227AD"/>
    <w:rsid w:val="00323CBD"/>
    <w:rsid w:val="00324831"/>
    <w:rsid w:val="00331EA7"/>
    <w:rsid w:val="003322B9"/>
    <w:rsid w:val="003322E0"/>
    <w:rsid w:val="003331C4"/>
    <w:rsid w:val="00334CA4"/>
    <w:rsid w:val="00334F7E"/>
    <w:rsid w:val="00335EE3"/>
    <w:rsid w:val="003363A1"/>
    <w:rsid w:val="00336DF0"/>
    <w:rsid w:val="0034349C"/>
    <w:rsid w:val="0035117A"/>
    <w:rsid w:val="003522A6"/>
    <w:rsid w:val="00353357"/>
    <w:rsid w:val="0035366D"/>
    <w:rsid w:val="003548E0"/>
    <w:rsid w:val="00354C21"/>
    <w:rsid w:val="003555CE"/>
    <w:rsid w:val="00356101"/>
    <w:rsid w:val="003578AE"/>
    <w:rsid w:val="003615EB"/>
    <w:rsid w:val="00363395"/>
    <w:rsid w:val="003712CB"/>
    <w:rsid w:val="003713B8"/>
    <w:rsid w:val="00372338"/>
    <w:rsid w:val="00372654"/>
    <w:rsid w:val="003734E8"/>
    <w:rsid w:val="00375739"/>
    <w:rsid w:val="00375992"/>
    <w:rsid w:val="00376C78"/>
    <w:rsid w:val="00377C4F"/>
    <w:rsid w:val="00377FDE"/>
    <w:rsid w:val="003818C1"/>
    <w:rsid w:val="00383B11"/>
    <w:rsid w:val="00384685"/>
    <w:rsid w:val="003853E9"/>
    <w:rsid w:val="00385DFD"/>
    <w:rsid w:val="003860F3"/>
    <w:rsid w:val="0038675C"/>
    <w:rsid w:val="003873C6"/>
    <w:rsid w:val="00391B21"/>
    <w:rsid w:val="00391D21"/>
    <w:rsid w:val="003927A6"/>
    <w:rsid w:val="003930BB"/>
    <w:rsid w:val="00393BCD"/>
    <w:rsid w:val="0039485D"/>
    <w:rsid w:val="00396525"/>
    <w:rsid w:val="003A15BD"/>
    <w:rsid w:val="003A23BE"/>
    <w:rsid w:val="003A269D"/>
    <w:rsid w:val="003A4BC5"/>
    <w:rsid w:val="003A5E85"/>
    <w:rsid w:val="003A5F3D"/>
    <w:rsid w:val="003A63AB"/>
    <w:rsid w:val="003A63F6"/>
    <w:rsid w:val="003A658D"/>
    <w:rsid w:val="003A6EA4"/>
    <w:rsid w:val="003A7A4E"/>
    <w:rsid w:val="003B0A6C"/>
    <w:rsid w:val="003B2884"/>
    <w:rsid w:val="003B7D50"/>
    <w:rsid w:val="003C2665"/>
    <w:rsid w:val="003C41F9"/>
    <w:rsid w:val="003C52EF"/>
    <w:rsid w:val="003C58B1"/>
    <w:rsid w:val="003C5FB3"/>
    <w:rsid w:val="003C78F6"/>
    <w:rsid w:val="003D1283"/>
    <w:rsid w:val="003D1E52"/>
    <w:rsid w:val="003D3501"/>
    <w:rsid w:val="003D3EE5"/>
    <w:rsid w:val="003D40A7"/>
    <w:rsid w:val="003D5140"/>
    <w:rsid w:val="003D5416"/>
    <w:rsid w:val="003D59ED"/>
    <w:rsid w:val="003D71AA"/>
    <w:rsid w:val="003E0D70"/>
    <w:rsid w:val="003E1EAA"/>
    <w:rsid w:val="003E3929"/>
    <w:rsid w:val="003E714F"/>
    <w:rsid w:val="003E76C9"/>
    <w:rsid w:val="003F0E68"/>
    <w:rsid w:val="003F0EAD"/>
    <w:rsid w:val="003F1C15"/>
    <w:rsid w:val="003F496D"/>
    <w:rsid w:val="003F6074"/>
    <w:rsid w:val="003F6444"/>
    <w:rsid w:val="003F64E4"/>
    <w:rsid w:val="003F7C8F"/>
    <w:rsid w:val="004008B3"/>
    <w:rsid w:val="00401DEA"/>
    <w:rsid w:val="004020B4"/>
    <w:rsid w:val="00406FF3"/>
    <w:rsid w:val="00407F13"/>
    <w:rsid w:val="00412A1C"/>
    <w:rsid w:val="004134A5"/>
    <w:rsid w:val="00413E17"/>
    <w:rsid w:val="00414691"/>
    <w:rsid w:val="00414A75"/>
    <w:rsid w:val="00416760"/>
    <w:rsid w:val="00416F9D"/>
    <w:rsid w:val="00417579"/>
    <w:rsid w:val="004177A3"/>
    <w:rsid w:val="00420550"/>
    <w:rsid w:val="0042123C"/>
    <w:rsid w:val="004216D7"/>
    <w:rsid w:val="00421FD0"/>
    <w:rsid w:val="00422E43"/>
    <w:rsid w:val="0042417A"/>
    <w:rsid w:val="00425303"/>
    <w:rsid w:val="00425538"/>
    <w:rsid w:val="00425A49"/>
    <w:rsid w:val="004261CB"/>
    <w:rsid w:val="00427F7C"/>
    <w:rsid w:val="00430D6C"/>
    <w:rsid w:val="00435A2F"/>
    <w:rsid w:val="004364F0"/>
    <w:rsid w:val="004375A4"/>
    <w:rsid w:val="00441541"/>
    <w:rsid w:val="00442555"/>
    <w:rsid w:val="00443CC0"/>
    <w:rsid w:val="00444C9A"/>
    <w:rsid w:val="004459FA"/>
    <w:rsid w:val="004474F9"/>
    <w:rsid w:val="00447CD8"/>
    <w:rsid w:val="004503A1"/>
    <w:rsid w:val="0045086E"/>
    <w:rsid w:val="00453556"/>
    <w:rsid w:val="004540CB"/>
    <w:rsid w:val="004546A2"/>
    <w:rsid w:val="00454940"/>
    <w:rsid w:val="00455653"/>
    <w:rsid w:val="0045703C"/>
    <w:rsid w:val="00457A86"/>
    <w:rsid w:val="00460B78"/>
    <w:rsid w:val="0046390C"/>
    <w:rsid w:val="00464CD9"/>
    <w:rsid w:val="00467C56"/>
    <w:rsid w:val="00467E5F"/>
    <w:rsid w:val="00471BF5"/>
    <w:rsid w:val="004727D5"/>
    <w:rsid w:val="00475883"/>
    <w:rsid w:val="00475E0B"/>
    <w:rsid w:val="00476853"/>
    <w:rsid w:val="004771C8"/>
    <w:rsid w:val="00477B17"/>
    <w:rsid w:val="00483D40"/>
    <w:rsid w:val="00484256"/>
    <w:rsid w:val="00485929"/>
    <w:rsid w:val="00485E33"/>
    <w:rsid w:val="004863BD"/>
    <w:rsid w:val="00487446"/>
    <w:rsid w:val="004879AE"/>
    <w:rsid w:val="0049158D"/>
    <w:rsid w:val="004941CB"/>
    <w:rsid w:val="004948B1"/>
    <w:rsid w:val="00497166"/>
    <w:rsid w:val="00497238"/>
    <w:rsid w:val="004A36EE"/>
    <w:rsid w:val="004A3975"/>
    <w:rsid w:val="004A3DE6"/>
    <w:rsid w:val="004B14A0"/>
    <w:rsid w:val="004B38D7"/>
    <w:rsid w:val="004B3FD0"/>
    <w:rsid w:val="004B44BD"/>
    <w:rsid w:val="004B635F"/>
    <w:rsid w:val="004B76E5"/>
    <w:rsid w:val="004C45FA"/>
    <w:rsid w:val="004D04CB"/>
    <w:rsid w:val="004D1565"/>
    <w:rsid w:val="004D2922"/>
    <w:rsid w:val="004D2B12"/>
    <w:rsid w:val="004D34A9"/>
    <w:rsid w:val="004D36CE"/>
    <w:rsid w:val="004D5C4D"/>
    <w:rsid w:val="004D7B8A"/>
    <w:rsid w:val="004D7F5E"/>
    <w:rsid w:val="004E0763"/>
    <w:rsid w:val="004E09EB"/>
    <w:rsid w:val="004E1501"/>
    <w:rsid w:val="004E19A2"/>
    <w:rsid w:val="004E2E20"/>
    <w:rsid w:val="004E2EA4"/>
    <w:rsid w:val="004E3934"/>
    <w:rsid w:val="004E4A53"/>
    <w:rsid w:val="004E768D"/>
    <w:rsid w:val="004E7C70"/>
    <w:rsid w:val="004F0C62"/>
    <w:rsid w:val="004F1621"/>
    <w:rsid w:val="004F4385"/>
    <w:rsid w:val="004F5972"/>
    <w:rsid w:val="00501D58"/>
    <w:rsid w:val="0050434A"/>
    <w:rsid w:val="00504C7D"/>
    <w:rsid w:val="005064E8"/>
    <w:rsid w:val="00506F6E"/>
    <w:rsid w:val="005119B8"/>
    <w:rsid w:val="00512E39"/>
    <w:rsid w:val="0051401B"/>
    <w:rsid w:val="00516804"/>
    <w:rsid w:val="0051741A"/>
    <w:rsid w:val="005219B1"/>
    <w:rsid w:val="005272F1"/>
    <w:rsid w:val="00527BF0"/>
    <w:rsid w:val="00527CA6"/>
    <w:rsid w:val="0053098E"/>
    <w:rsid w:val="005327F5"/>
    <w:rsid w:val="0053404A"/>
    <w:rsid w:val="00534CA5"/>
    <w:rsid w:val="00535995"/>
    <w:rsid w:val="005371B6"/>
    <w:rsid w:val="00540078"/>
    <w:rsid w:val="005417F7"/>
    <w:rsid w:val="0054287B"/>
    <w:rsid w:val="005433AB"/>
    <w:rsid w:val="00546A4E"/>
    <w:rsid w:val="005479EE"/>
    <w:rsid w:val="005507F2"/>
    <w:rsid w:val="00553591"/>
    <w:rsid w:val="00553AED"/>
    <w:rsid w:val="00555FB2"/>
    <w:rsid w:val="00562D9C"/>
    <w:rsid w:val="005632D6"/>
    <w:rsid w:val="0056372C"/>
    <w:rsid w:val="005705C2"/>
    <w:rsid w:val="00570BC2"/>
    <w:rsid w:val="00572792"/>
    <w:rsid w:val="0057590D"/>
    <w:rsid w:val="005762D3"/>
    <w:rsid w:val="00576BF0"/>
    <w:rsid w:val="005776BC"/>
    <w:rsid w:val="00577969"/>
    <w:rsid w:val="005825BF"/>
    <w:rsid w:val="0058282A"/>
    <w:rsid w:val="0058332E"/>
    <w:rsid w:val="00583BE7"/>
    <w:rsid w:val="00587873"/>
    <w:rsid w:val="005908DA"/>
    <w:rsid w:val="00593F42"/>
    <w:rsid w:val="00594AA8"/>
    <w:rsid w:val="005A0EDC"/>
    <w:rsid w:val="005A2034"/>
    <w:rsid w:val="005A21C0"/>
    <w:rsid w:val="005A2D77"/>
    <w:rsid w:val="005A3F28"/>
    <w:rsid w:val="005A603C"/>
    <w:rsid w:val="005A63AF"/>
    <w:rsid w:val="005A6712"/>
    <w:rsid w:val="005A725B"/>
    <w:rsid w:val="005B6E27"/>
    <w:rsid w:val="005B71ED"/>
    <w:rsid w:val="005B74A9"/>
    <w:rsid w:val="005B75FF"/>
    <w:rsid w:val="005C2EF9"/>
    <w:rsid w:val="005C346F"/>
    <w:rsid w:val="005C3472"/>
    <w:rsid w:val="005C4417"/>
    <w:rsid w:val="005C5531"/>
    <w:rsid w:val="005C6326"/>
    <w:rsid w:val="005C7038"/>
    <w:rsid w:val="005C7415"/>
    <w:rsid w:val="005D0258"/>
    <w:rsid w:val="005D1B57"/>
    <w:rsid w:val="005D3FCB"/>
    <w:rsid w:val="005D4340"/>
    <w:rsid w:val="005D4BDD"/>
    <w:rsid w:val="005D773A"/>
    <w:rsid w:val="005E066D"/>
    <w:rsid w:val="005E13B8"/>
    <w:rsid w:val="005E1B78"/>
    <w:rsid w:val="005E2D99"/>
    <w:rsid w:val="005E5722"/>
    <w:rsid w:val="005E5ECD"/>
    <w:rsid w:val="005F04B3"/>
    <w:rsid w:val="005F4954"/>
    <w:rsid w:val="005F4EF8"/>
    <w:rsid w:val="005F57E1"/>
    <w:rsid w:val="005F6F13"/>
    <w:rsid w:val="006012BB"/>
    <w:rsid w:val="006021E0"/>
    <w:rsid w:val="00604D96"/>
    <w:rsid w:val="00606264"/>
    <w:rsid w:val="00610368"/>
    <w:rsid w:val="00610602"/>
    <w:rsid w:val="006119E1"/>
    <w:rsid w:val="00613A10"/>
    <w:rsid w:val="00614179"/>
    <w:rsid w:val="00616142"/>
    <w:rsid w:val="00616B2B"/>
    <w:rsid w:val="006170A4"/>
    <w:rsid w:val="00620104"/>
    <w:rsid w:val="00620EA0"/>
    <w:rsid w:val="00620F04"/>
    <w:rsid w:val="006213D4"/>
    <w:rsid w:val="00621A18"/>
    <w:rsid w:val="0062486D"/>
    <w:rsid w:val="00626299"/>
    <w:rsid w:val="00627727"/>
    <w:rsid w:val="00627B60"/>
    <w:rsid w:val="006328E5"/>
    <w:rsid w:val="0063384A"/>
    <w:rsid w:val="00635D8E"/>
    <w:rsid w:val="00637316"/>
    <w:rsid w:val="00640B49"/>
    <w:rsid w:val="00644F59"/>
    <w:rsid w:val="00644F75"/>
    <w:rsid w:val="006454D9"/>
    <w:rsid w:val="00645C57"/>
    <w:rsid w:val="0064717A"/>
    <w:rsid w:val="0065100F"/>
    <w:rsid w:val="006519DB"/>
    <w:rsid w:val="00651B8D"/>
    <w:rsid w:val="0065236E"/>
    <w:rsid w:val="00652C2E"/>
    <w:rsid w:val="00652DCA"/>
    <w:rsid w:val="006533D0"/>
    <w:rsid w:val="00653B93"/>
    <w:rsid w:val="00653FCF"/>
    <w:rsid w:val="00656856"/>
    <w:rsid w:val="00660FA0"/>
    <w:rsid w:val="00661BA9"/>
    <w:rsid w:val="006628F2"/>
    <w:rsid w:val="00663184"/>
    <w:rsid w:val="0066506D"/>
    <w:rsid w:val="00665406"/>
    <w:rsid w:val="006667BD"/>
    <w:rsid w:val="00670A83"/>
    <w:rsid w:val="00670F4E"/>
    <w:rsid w:val="006730F5"/>
    <w:rsid w:val="00673E30"/>
    <w:rsid w:val="00673F4B"/>
    <w:rsid w:val="006743AC"/>
    <w:rsid w:val="0067462D"/>
    <w:rsid w:val="00675F1D"/>
    <w:rsid w:val="00677A77"/>
    <w:rsid w:val="00680FB8"/>
    <w:rsid w:val="006811E4"/>
    <w:rsid w:val="00682AA4"/>
    <w:rsid w:val="00683813"/>
    <w:rsid w:val="00684A62"/>
    <w:rsid w:val="00690ADD"/>
    <w:rsid w:val="00692141"/>
    <w:rsid w:val="00692C3E"/>
    <w:rsid w:val="00694A26"/>
    <w:rsid w:val="0069531D"/>
    <w:rsid w:val="0069588F"/>
    <w:rsid w:val="00695D4C"/>
    <w:rsid w:val="00696FA6"/>
    <w:rsid w:val="006A00F5"/>
    <w:rsid w:val="006A03D1"/>
    <w:rsid w:val="006A0654"/>
    <w:rsid w:val="006A0AA5"/>
    <w:rsid w:val="006A61E9"/>
    <w:rsid w:val="006A7AC5"/>
    <w:rsid w:val="006B13E4"/>
    <w:rsid w:val="006B2997"/>
    <w:rsid w:val="006B48D0"/>
    <w:rsid w:val="006B5708"/>
    <w:rsid w:val="006B64AE"/>
    <w:rsid w:val="006C0998"/>
    <w:rsid w:val="006C1D57"/>
    <w:rsid w:val="006C21AF"/>
    <w:rsid w:val="006C2C2B"/>
    <w:rsid w:val="006C4277"/>
    <w:rsid w:val="006C58E2"/>
    <w:rsid w:val="006C5913"/>
    <w:rsid w:val="006C6627"/>
    <w:rsid w:val="006C6CD6"/>
    <w:rsid w:val="006C7CCD"/>
    <w:rsid w:val="006D37E5"/>
    <w:rsid w:val="006D3D23"/>
    <w:rsid w:val="006D49E3"/>
    <w:rsid w:val="006D56C5"/>
    <w:rsid w:val="006D5FE5"/>
    <w:rsid w:val="006D6EDF"/>
    <w:rsid w:val="006D7B81"/>
    <w:rsid w:val="006D7E00"/>
    <w:rsid w:val="006E0545"/>
    <w:rsid w:val="006E1161"/>
    <w:rsid w:val="006E3D02"/>
    <w:rsid w:val="006E6443"/>
    <w:rsid w:val="006E6A4C"/>
    <w:rsid w:val="006E6BED"/>
    <w:rsid w:val="006E7089"/>
    <w:rsid w:val="006F0714"/>
    <w:rsid w:val="006F413F"/>
    <w:rsid w:val="006F560C"/>
    <w:rsid w:val="006F6F1C"/>
    <w:rsid w:val="00700ED5"/>
    <w:rsid w:val="00701FC2"/>
    <w:rsid w:val="007024A8"/>
    <w:rsid w:val="0070623A"/>
    <w:rsid w:val="00707AF7"/>
    <w:rsid w:val="007112DA"/>
    <w:rsid w:val="00712694"/>
    <w:rsid w:val="00712CA0"/>
    <w:rsid w:val="00712F4D"/>
    <w:rsid w:val="0071321F"/>
    <w:rsid w:val="0071339D"/>
    <w:rsid w:val="007136B9"/>
    <w:rsid w:val="00714020"/>
    <w:rsid w:val="00721F7C"/>
    <w:rsid w:val="0072273F"/>
    <w:rsid w:val="00723BB8"/>
    <w:rsid w:val="00723F94"/>
    <w:rsid w:val="00731E18"/>
    <w:rsid w:val="00733821"/>
    <w:rsid w:val="007348F1"/>
    <w:rsid w:val="007410AB"/>
    <w:rsid w:val="0074656C"/>
    <w:rsid w:val="0075177B"/>
    <w:rsid w:val="007523BF"/>
    <w:rsid w:val="00752E8A"/>
    <w:rsid w:val="0075377E"/>
    <w:rsid w:val="007548C3"/>
    <w:rsid w:val="00756B41"/>
    <w:rsid w:val="007605CB"/>
    <w:rsid w:val="00761A5F"/>
    <w:rsid w:val="00761B4A"/>
    <w:rsid w:val="00762D14"/>
    <w:rsid w:val="0076447D"/>
    <w:rsid w:val="007644D1"/>
    <w:rsid w:val="007651B1"/>
    <w:rsid w:val="0076580D"/>
    <w:rsid w:val="00771190"/>
    <w:rsid w:val="00772975"/>
    <w:rsid w:val="00775114"/>
    <w:rsid w:val="00775B7A"/>
    <w:rsid w:val="00776A97"/>
    <w:rsid w:val="00777929"/>
    <w:rsid w:val="00783CA6"/>
    <w:rsid w:val="007847D7"/>
    <w:rsid w:val="00784CA0"/>
    <w:rsid w:val="00786A45"/>
    <w:rsid w:val="007872AB"/>
    <w:rsid w:val="00790D9C"/>
    <w:rsid w:val="00790F7A"/>
    <w:rsid w:val="0079143B"/>
    <w:rsid w:val="00791558"/>
    <w:rsid w:val="00791BEF"/>
    <w:rsid w:val="0079446D"/>
    <w:rsid w:val="00794757"/>
    <w:rsid w:val="00796508"/>
    <w:rsid w:val="007975E9"/>
    <w:rsid w:val="007B13FD"/>
    <w:rsid w:val="007B2442"/>
    <w:rsid w:val="007B35D2"/>
    <w:rsid w:val="007B60AB"/>
    <w:rsid w:val="007B60F9"/>
    <w:rsid w:val="007C018B"/>
    <w:rsid w:val="007C1B57"/>
    <w:rsid w:val="007C29C2"/>
    <w:rsid w:val="007C3380"/>
    <w:rsid w:val="007C3CC8"/>
    <w:rsid w:val="007C463D"/>
    <w:rsid w:val="007C4A90"/>
    <w:rsid w:val="007C716B"/>
    <w:rsid w:val="007D0C7E"/>
    <w:rsid w:val="007D0D04"/>
    <w:rsid w:val="007D1C0C"/>
    <w:rsid w:val="007D2A2A"/>
    <w:rsid w:val="007D5FA9"/>
    <w:rsid w:val="007E0E52"/>
    <w:rsid w:val="007E1145"/>
    <w:rsid w:val="007E2B59"/>
    <w:rsid w:val="007E30C9"/>
    <w:rsid w:val="007E3DE9"/>
    <w:rsid w:val="007E517E"/>
    <w:rsid w:val="007E5547"/>
    <w:rsid w:val="007E7A2D"/>
    <w:rsid w:val="007F0A85"/>
    <w:rsid w:val="007F7E88"/>
    <w:rsid w:val="00801850"/>
    <w:rsid w:val="00801B70"/>
    <w:rsid w:val="00801D62"/>
    <w:rsid w:val="00802890"/>
    <w:rsid w:val="00802AAE"/>
    <w:rsid w:val="00802CDD"/>
    <w:rsid w:val="00804271"/>
    <w:rsid w:val="0080502D"/>
    <w:rsid w:val="008058BB"/>
    <w:rsid w:val="00806970"/>
    <w:rsid w:val="008071D5"/>
    <w:rsid w:val="008077D2"/>
    <w:rsid w:val="00807A63"/>
    <w:rsid w:val="008143A1"/>
    <w:rsid w:val="00814C5D"/>
    <w:rsid w:val="008150FA"/>
    <w:rsid w:val="008161C4"/>
    <w:rsid w:val="008174D0"/>
    <w:rsid w:val="008238D6"/>
    <w:rsid w:val="008258D2"/>
    <w:rsid w:val="00827932"/>
    <w:rsid w:val="00833567"/>
    <w:rsid w:val="0083451B"/>
    <w:rsid w:val="00834F45"/>
    <w:rsid w:val="008373F6"/>
    <w:rsid w:val="00837617"/>
    <w:rsid w:val="0083777F"/>
    <w:rsid w:val="00837D51"/>
    <w:rsid w:val="008400B8"/>
    <w:rsid w:val="00840ADB"/>
    <w:rsid w:val="008410CE"/>
    <w:rsid w:val="00843661"/>
    <w:rsid w:val="00844EE2"/>
    <w:rsid w:val="008450D7"/>
    <w:rsid w:val="00846098"/>
    <w:rsid w:val="00850124"/>
    <w:rsid w:val="008513BE"/>
    <w:rsid w:val="00853D67"/>
    <w:rsid w:val="00854551"/>
    <w:rsid w:val="00856E07"/>
    <w:rsid w:val="00860576"/>
    <w:rsid w:val="00866A66"/>
    <w:rsid w:val="0086771C"/>
    <w:rsid w:val="00867A96"/>
    <w:rsid w:val="00876363"/>
    <w:rsid w:val="00876A96"/>
    <w:rsid w:val="00876D72"/>
    <w:rsid w:val="00877C77"/>
    <w:rsid w:val="008801E0"/>
    <w:rsid w:val="00882D18"/>
    <w:rsid w:val="00886608"/>
    <w:rsid w:val="0088797C"/>
    <w:rsid w:val="00890CA0"/>
    <w:rsid w:val="0089499D"/>
    <w:rsid w:val="00894FB4"/>
    <w:rsid w:val="008A0260"/>
    <w:rsid w:val="008A04DF"/>
    <w:rsid w:val="008A060C"/>
    <w:rsid w:val="008A1E02"/>
    <w:rsid w:val="008A22E0"/>
    <w:rsid w:val="008A25DE"/>
    <w:rsid w:val="008A2881"/>
    <w:rsid w:val="008A303D"/>
    <w:rsid w:val="008A4905"/>
    <w:rsid w:val="008A4B70"/>
    <w:rsid w:val="008A56DF"/>
    <w:rsid w:val="008A7221"/>
    <w:rsid w:val="008B0B03"/>
    <w:rsid w:val="008B4623"/>
    <w:rsid w:val="008B4A93"/>
    <w:rsid w:val="008B4E24"/>
    <w:rsid w:val="008B6C51"/>
    <w:rsid w:val="008B71A6"/>
    <w:rsid w:val="008B7FD9"/>
    <w:rsid w:val="008C04CE"/>
    <w:rsid w:val="008C3BA2"/>
    <w:rsid w:val="008C53B8"/>
    <w:rsid w:val="008C582A"/>
    <w:rsid w:val="008C5F9B"/>
    <w:rsid w:val="008D19F8"/>
    <w:rsid w:val="008D320A"/>
    <w:rsid w:val="008D6D5E"/>
    <w:rsid w:val="008D6D87"/>
    <w:rsid w:val="008E2B54"/>
    <w:rsid w:val="008E3475"/>
    <w:rsid w:val="008E40CC"/>
    <w:rsid w:val="008E47A4"/>
    <w:rsid w:val="008E4E44"/>
    <w:rsid w:val="008E7055"/>
    <w:rsid w:val="008E71C8"/>
    <w:rsid w:val="008E7A24"/>
    <w:rsid w:val="008F11BB"/>
    <w:rsid w:val="008F16D8"/>
    <w:rsid w:val="00901388"/>
    <w:rsid w:val="009014D7"/>
    <w:rsid w:val="0090173C"/>
    <w:rsid w:val="00902D09"/>
    <w:rsid w:val="00902D87"/>
    <w:rsid w:val="00902FD7"/>
    <w:rsid w:val="0090613F"/>
    <w:rsid w:val="00906892"/>
    <w:rsid w:val="00906BB7"/>
    <w:rsid w:val="00910A22"/>
    <w:rsid w:val="00910DB3"/>
    <w:rsid w:val="009115D0"/>
    <w:rsid w:val="009146AA"/>
    <w:rsid w:val="009152EF"/>
    <w:rsid w:val="009161AD"/>
    <w:rsid w:val="00917662"/>
    <w:rsid w:val="0092501B"/>
    <w:rsid w:val="009251FA"/>
    <w:rsid w:val="00925B2E"/>
    <w:rsid w:val="00930FFA"/>
    <w:rsid w:val="00932B9A"/>
    <w:rsid w:val="00933127"/>
    <w:rsid w:val="0093619C"/>
    <w:rsid w:val="00941FB2"/>
    <w:rsid w:val="00942052"/>
    <w:rsid w:val="0094272A"/>
    <w:rsid w:val="00942AC9"/>
    <w:rsid w:val="009433F7"/>
    <w:rsid w:val="009449C3"/>
    <w:rsid w:val="0094606C"/>
    <w:rsid w:val="009464F5"/>
    <w:rsid w:val="00950894"/>
    <w:rsid w:val="009519D5"/>
    <w:rsid w:val="00952DC7"/>
    <w:rsid w:val="00953317"/>
    <w:rsid w:val="00953594"/>
    <w:rsid w:val="00953D72"/>
    <w:rsid w:val="00955988"/>
    <w:rsid w:val="00960A32"/>
    <w:rsid w:val="00961918"/>
    <w:rsid w:val="009631DA"/>
    <w:rsid w:val="00964E4B"/>
    <w:rsid w:val="00970661"/>
    <w:rsid w:val="0097101D"/>
    <w:rsid w:val="0097154A"/>
    <w:rsid w:val="00971667"/>
    <w:rsid w:val="0097193C"/>
    <w:rsid w:val="00975ACD"/>
    <w:rsid w:val="009774C3"/>
    <w:rsid w:val="00980027"/>
    <w:rsid w:val="009801F7"/>
    <w:rsid w:val="00980463"/>
    <w:rsid w:val="00985E06"/>
    <w:rsid w:val="00986A3C"/>
    <w:rsid w:val="00986D2B"/>
    <w:rsid w:val="00987F55"/>
    <w:rsid w:val="00991878"/>
    <w:rsid w:val="00993C68"/>
    <w:rsid w:val="00994134"/>
    <w:rsid w:val="00997F4D"/>
    <w:rsid w:val="009A1505"/>
    <w:rsid w:val="009A1630"/>
    <w:rsid w:val="009A2407"/>
    <w:rsid w:val="009A3C74"/>
    <w:rsid w:val="009A4C2C"/>
    <w:rsid w:val="009A6C70"/>
    <w:rsid w:val="009A6D02"/>
    <w:rsid w:val="009A706C"/>
    <w:rsid w:val="009A785A"/>
    <w:rsid w:val="009B05AA"/>
    <w:rsid w:val="009B0A05"/>
    <w:rsid w:val="009B2494"/>
    <w:rsid w:val="009B5E72"/>
    <w:rsid w:val="009B6BAE"/>
    <w:rsid w:val="009B7AFF"/>
    <w:rsid w:val="009B7C90"/>
    <w:rsid w:val="009C0150"/>
    <w:rsid w:val="009C1CFD"/>
    <w:rsid w:val="009C697A"/>
    <w:rsid w:val="009C6D05"/>
    <w:rsid w:val="009D0EB5"/>
    <w:rsid w:val="009D3AFD"/>
    <w:rsid w:val="009D588C"/>
    <w:rsid w:val="009E15BD"/>
    <w:rsid w:val="009E3318"/>
    <w:rsid w:val="009E4C0B"/>
    <w:rsid w:val="009E50FA"/>
    <w:rsid w:val="009E6795"/>
    <w:rsid w:val="009E69B2"/>
    <w:rsid w:val="009E7E1B"/>
    <w:rsid w:val="009F0272"/>
    <w:rsid w:val="009F14A2"/>
    <w:rsid w:val="009F152A"/>
    <w:rsid w:val="009F19B9"/>
    <w:rsid w:val="009F4660"/>
    <w:rsid w:val="009F4806"/>
    <w:rsid w:val="009F4C7F"/>
    <w:rsid w:val="009F5C6A"/>
    <w:rsid w:val="009F703E"/>
    <w:rsid w:val="009F7C01"/>
    <w:rsid w:val="00A00A21"/>
    <w:rsid w:val="00A0317A"/>
    <w:rsid w:val="00A1002F"/>
    <w:rsid w:val="00A11528"/>
    <w:rsid w:val="00A11767"/>
    <w:rsid w:val="00A1589B"/>
    <w:rsid w:val="00A15BF0"/>
    <w:rsid w:val="00A15E02"/>
    <w:rsid w:val="00A20293"/>
    <w:rsid w:val="00A20C31"/>
    <w:rsid w:val="00A227DD"/>
    <w:rsid w:val="00A24010"/>
    <w:rsid w:val="00A255FC"/>
    <w:rsid w:val="00A26796"/>
    <w:rsid w:val="00A26AA6"/>
    <w:rsid w:val="00A31653"/>
    <w:rsid w:val="00A33718"/>
    <w:rsid w:val="00A3376D"/>
    <w:rsid w:val="00A33DB1"/>
    <w:rsid w:val="00A37899"/>
    <w:rsid w:val="00A46A46"/>
    <w:rsid w:val="00A52BA4"/>
    <w:rsid w:val="00A552B3"/>
    <w:rsid w:val="00A563E7"/>
    <w:rsid w:val="00A57200"/>
    <w:rsid w:val="00A573AB"/>
    <w:rsid w:val="00A57DDE"/>
    <w:rsid w:val="00A61EA2"/>
    <w:rsid w:val="00A64E27"/>
    <w:rsid w:val="00A7584F"/>
    <w:rsid w:val="00A76EEF"/>
    <w:rsid w:val="00A8259B"/>
    <w:rsid w:val="00A835C8"/>
    <w:rsid w:val="00A91131"/>
    <w:rsid w:val="00A91B07"/>
    <w:rsid w:val="00A927B3"/>
    <w:rsid w:val="00A9365C"/>
    <w:rsid w:val="00AA2748"/>
    <w:rsid w:val="00AA2975"/>
    <w:rsid w:val="00AA2EB0"/>
    <w:rsid w:val="00AA49EC"/>
    <w:rsid w:val="00AA4E5E"/>
    <w:rsid w:val="00AA78D7"/>
    <w:rsid w:val="00AB18FA"/>
    <w:rsid w:val="00AB27E8"/>
    <w:rsid w:val="00AB4C99"/>
    <w:rsid w:val="00AB53E6"/>
    <w:rsid w:val="00AB58B1"/>
    <w:rsid w:val="00AB67C1"/>
    <w:rsid w:val="00AC0734"/>
    <w:rsid w:val="00AC0EC7"/>
    <w:rsid w:val="00AC1C0D"/>
    <w:rsid w:val="00AC23D1"/>
    <w:rsid w:val="00AC294B"/>
    <w:rsid w:val="00AC2D46"/>
    <w:rsid w:val="00AC68F2"/>
    <w:rsid w:val="00AD0DA9"/>
    <w:rsid w:val="00AD0DB7"/>
    <w:rsid w:val="00AD1BA0"/>
    <w:rsid w:val="00AD2288"/>
    <w:rsid w:val="00AD4BED"/>
    <w:rsid w:val="00AD4F1C"/>
    <w:rsid w:val="00AD601C"/>
    <w:rsid w:val="00AD7CAB"/>
    <w:rsid w:val="00AE123B"/>
    <w:rsid w:val="00AE12AF"/>
    <w:rsid w:val="00AE1D53"/>
    <w:rsid w:val="00AE3A8A"/>
    <w:rsid w:val="00AE6A07"/>
    <w:rsid w:val="00AF1740"/>
    <w:rsid w:val="00AF2D6A"/>
    <w:rsid w:val="00AF535D"/>
    <w:rsid w:val="00AF7174"/>
    <w:rsid w:val="00B00233"/>
    <w:rsid w:val="00B00493"/>
    <w:rsid w:val="00B01B6F"/>
    <w:rsid w:val="00B02F47"/>
    <w:rsid w:val="00B05BC5"/>
    <w:rsid w:val="00B060EE"/>
    <w:rsid w:val="00B07043"/>
    <w:rsid w:val="00B07B6A"/>
    <w:rsid w:val="00B07B76"/>
    <w:rsid w:val="00B12E77"/>
    <w:rsid w:val="00B15207"/>
    <w:rsid w:val="00B22367"/>
    <w:rsid w:val="00B224F5"/>
    <w:rsid w:val="00B22B37"/>
    <w:rsid w:val="00B241B5"/>
    <w:rsid w:val="00B2487D"/>
    <w:rsid w:val="00B24DC6"/>
    <w:rsid w:val="00B25C50"/>
    <w:rsid w:val="00B265D8"/>
    <w:rsid w:val="00B303B4"/>
    <w:rsid w:val="00B304BA"/>
    <w:rsid w:val="00B32110"/>
    <w:rsid w:val="00B32ED1"/>
    <w:rsid w:val="00B34505"/>
    <w:rsid w:val="00B34FFE"/>
    <w:rsid w:val="00B370B9"/>
    <w:rsid w:val="00B37A4C"/>
    <w:rsid w:val="00B40695"/>
    <w:rsid w:val="00B414BD"/>
    <w:rsid w:val="00B43720"/>
    <w:rsid w:val="00B441AE"/>
    <w:rsid w:val="00B5038B"/>
    <w:rsid w:val="00B50DF1"/>
    <w:rsid w:val="00B53F38"/>
    <w:rsid w:val="00B56EB9"/>
    <w:rsid w:val="00B57E20"/>
    <w:rsid w:val="00B60129"/>
    <w:rsid w:val="00B626B9"/>
    <w:rsid w:val="00B62917"/>
    <w:rsid w:val="00B62FE0"/>
    <w:rsid w:val="00B6373A"/>
    <w:rsid w:val="00B65BA3"/>
    <w:rsid w:val="00B663BD"/>
    <w:rsid w:val="00B778EA"/>
    <w:rsid w:val="00B77DF7"/>
    <w:rsid w:val="00B807BA"/>
    <w:rsid w:val="00B82A69"/>
    <w:rsid w:val="00B8530D"/>
    <w:rsid w:val="00B875DE"/>
    <w:rsid w:val="00B909D2"/>
    <w:rsid w:val="00B91C3A"/>
    <w:rsid w:val="00B92F1F"/>
    <w:rsid w:val="00B95421"/>
    <w:rsid w:val="00B95495"/>
    <w:rsid w:val="00B959FD"/>
    <w:rsid w:val="00B977BE"/>
    <w:rsid w:val="00B97C2F"/>
    <w:rsid w:val="00BA25B6"/>
    <w:rsid w:val="00BA2642"/>
    <w:rsid w:val="00BB027A"/>
    <w:rsid w:val="00BB02B3"/>
    <w:rsid w:val="00BB0CDD"/>
    <w:rsid w:val="00BB35DE"/>
    <w:rsid w:val="00BB5591"/>
    <w:rsid w:val="00BC0484"/>
    <w:rsid w:val="00BC156A"/>
    <w:rsid w:val="00BC42CC"/>
    <w:rsid w:val="00BC466E"/>
    <w:rsid w:val="00BC6B73"/>
    <w:rsid w:val="00BD31A8"/>
    <w:rsid w:val="00BD3436"/>
    <w:rsid w:val="00BD4F19"/>
    <w:rsid w:val="00BD6890"/>
    <w:rsid w:val="00BD75A1"/>
    <w:rsid w:val="00BE0AAA"/>
    <w:rsid w:val="00BE20A2"/>
    <w:rsid w:val="00BE31C7"/>
    <w:rsid w:val="00BE41E5"/>
    <w:rsid w:val="00BE7D50"/>
    <w:rsid w:val="00BF034E"/>
    <w:rsid w:val="00BF1CA2"/>
    <w:rsid w:val="00BF773A"/>
    <w:rsid w:val="00BF7BC3"/>
    <w:rsid w:val="00C00B04"/>
    <w:rsid w:val="00C01CDE"/>
    <w:rsid w:val="00C05815"/>
    <w:rsid w:val="00C142D7"/>
    <w:rsid w:val="00C1456C"/>
    <w:rsid w:val="00C208A1"/>
    <w:rsid w:val="00C2196B"/>
    <w:rsid w:val="00C22AB7"/>
    <w:rsid w:val="00C22BD9"/>
    <w:rsid w:val="00C235B5"/>
    <w:rsid w:val="00C24845"/>
    <w:rsid w:val="00C25485"/>
    <w:rsid w:val="00C27ED9"/>
    <w:rsid w:val="00C30006"/>
    <w:rsid w:val="00C30911"/>
    <w:rsid w:val="00C31051"/>
    <w:rsid w:val="00C331E6"/>
    <w:rsid w:val="00C35024"/>
    <w:rsid w:val="00C35538"/>
    <w:rsid w:val="00C362E9"/>
    <w:rsid w:val="00C36757"/>
    <w:rsid w:val="00C409B1"/>
    <w:rsid w:val="00C40AD1"/>
    <w:rsid w:val="00C42C43"/>
    <w:rsid w:val="00C4300E"/>
    <w:rsid w:val="00C44C06"/>
    <w:rsid w:val="00C47B23"/>
    <w:rsid w:val="00C548DC"/>
    <w:rsid w:val="00C54B65"/>
    <w:rsid w:val="00C54BFC"/>
    <w:rsid w:val="00C55D97"/>
    <w:rsid w:val="00C61B05"/>
    <w:rsid w:val="00C62D24"/>
    <w:rsid w:val="00C630E9"/>
    <w:rsid w:val="00C64C44"/>
    <w:rsid w:val="00C64C99"/>
    <w:rsid w:val="00C653A6"/>
    <w:rsid w:val="00C7193C"/>
    <w:rsid w:val="00C739EF"/>
    <w:rsid w:val="00C74724"/>
    <w:rsid w:val="00C758A5"/>
    <w:rsid w:val="00C80623"/>
    <w:rsid w:val="00C80CB6"/>
    <w:rsid w:val="00C814DD"/>
    <w:rsid w:val="00C84E9C"/>
    <w:rsid w:val="00C85BAE"/>
    <w:rsid w:val="00C861CD"/>
    <w:rsid w:val="00C8620C"/>
    <w:rsid w:val="00C87928"/>
    <w:rsid w:val="00C87EB5"/>
    <w:rsid w:val="00C90C14"/>
    <w:rsid w:val="00C92CA6"/>
    <w:rsid w:val="00C92FEA"/>
    <w:rsid w:val="00C93538"/>
    <w:rsid w:val="00C93D81"/>
    <w:rsid w:val="00C945A2"/>
    <w:rsid w:val="00C94BBA"/>
    <w:rsid w:val="00C9522A"/>
    <w:rsid w:val="00C95501"/>
    <w:rsid w:val="00C956CA"/>
    <w:rsid w:val="00C96E3F"/>
    <w:rsid w:val="00C97C72"/>
    <w:rsid w:val="00CA0634"/>
    <w:rsid w:val="00CA08DC"/>
    <w:rsid w:val="00CA1931"/>
    <w:rsid w:val="00CA1A7F"/>
    <w:rsid w:val="00CA1E3B"/>
    <w:rsid w:val="00CA5E32"/>
    <w:rsid w:val="00CA7EB0"/>
    <w:rsid w:val="00CB419D"/>
    <w:rsid w:val="00CB4BA1"/>
    <w:rsid w:val="00CB5280"/>
    <w:rsid w:val="00CB5DCD"/>
    <w:rsid w:val="00CB61B8"/>
    <w:rsid w:val="00CC1202"/>
    <w:rsid w:val="00CC2F5F"/>
    <w:rsid w:val="00CC35F5"/>
    <w:rsid w:val="00CC4193"/>
    <w:rsid w:val="00CC420F"/>
    <w:rsid w:val="00CC4A05"/>
    <w:rsid w:val="00CC6E3C"/>
    <w:rsid w:val="00CD1BBB"/>
    <w:rsid w:val="00CD29FA"/>
    <w:rsid w:val="00CD3061"/>
    <w:rsid w:val="00CD3437"/>
    <w:rsid w:val="00CD61F9"/>
    <w:rsid w:val="00CE0D7D"/>
    <w:rsid w:val="00CE2977"/>
    <w:rsid w:val="00CE602A"/>
    <w:rsid w:val="00CE6075"/>
    <w:rsid w:val="00CE783F"/>
    <w:rsid w:val="00CF2870"/>
    <w:rsid w:val="00CF2B81"/>
    <w:rsid w:val="00CF498F"/>
    <w:rsid w:val="00CF541E"/>
    <w:rsid w:val="00CF5DA0"/>
    <w:rsid w:val="00CF70D5"/>
    <w:rsid w:val="00D013DA"/>
    <w:rsid w:val="00D02426"/>
    <w:rsid w:val="00D02A4E"/>
    <w:rsid w:val="00D045F5"/>
    <w:rsid w:val="00D049CA"/>
    <w:rsid w:val="00D06FDC"/>
    <w:rsid w:val="00D11444"/>
    <w:rsid w:val="00D1165E"/>
    <w:rsid w:val="00D11B5B"/>
    <w:rsid w:val="00D12F46"/>
    <w:rsid w:val="00D12F9A"/>
    <w:rsid w:val="00D143CB"/>
    <w:rsid w:val="00D20CE2"/>
    <w:rsid w:val="00D248F6"/>
    <w:rsid w:val="00D24CDF"/>
    <w:rsid w:val="00D271D5"/>
    <w:rsid w:val="00D27DFC"/>
    <w:rsid w:val="00D30B6E"/>
    <w:rsid w:val="00D312D3"/>
    <w:rsid w:val="00D335BC"/>
    <w:rsid w:val="00D3785B"/>
    <w:rsid w:val="00D37968"/>
    <w:rsid w:val="00D4026B"/>
    <w:rsid w:val="00D40534"/>
    <w:rsid w:val="00D41499"/>
    <w:rsid w:val="00D42F80"/>
    <w:rsid w:val="00D439EB"/>
    <w:rsid w:val="00D44AE9"/>
    <w:rsid w:val="00D46B30"/>
    <w:rsid w:val="00D47FF7"/>
    <w:rsid w:val="00D50625"/>
    <w:rsid w:val="00D5170E"/>
    <w:rsid w:val="00D52D20"/>
    <w:rsid w:val="00D534F6"/>
    <w:rsid w:val="00D5399E"/>
    <w:rsid w:val="00D54BAF"/>
    <w:rsid w:val="00D558B3"/>
    <w:rsid w:val="00D55B15"/>
    <w:rsid w:val="00D55DE7"/>
    <w:rsid w:val="00D569A6"/>
    <w:rsid w:val="00D56D1D"/>
    <w:rsid w:val="00D603CC"/>
    <w:rsid w:val="00D62430"/>
    <w:rsid w:val="00D62FFC"/>
    <w:rsid w:val="00D63825"/>
    <w:rsid w:val="00D65CE9"/>
    <w:rsid w:val="00D67A9A"/>
    <w:rsid w:val="00D714AE"/>
    <w:rsid w:val="00D72137"/>
    <w:rsid w:val="00D724B2"/>
    <w:rsid w:val="00D74B48"/>
    <w:rsid w:val="00D74B65"/>
    <w:rsid w:val="00D74F68"/>
    <w:rsid w:val="00D76E2F"/>
    <w:rsid w:val="00D77918"/>
    <w:rsid w:val="00D779A7"/>
    <w:rsid w:val="00D80496"/>
    <w:rsid w:val="00D83760"/>
    <w:rsid w:val="00D8429B"/>
    <w:rsid w:val="00D8544A"/>
    <w:rsid w:val="00D86081"/>
    <w:rsid w:val="00D86602"/>
    <w:rsid w:val="00D92DB9"/>
    <w:rsid w:val="00D94178"/>
    <w:rsid w:val="00D94798"/>
    <w:rsid w:val="00D94C26"/>
    <w:rsid w:val="00D97FE1"/>
    <w:rsid w:val="00DA0ECF"/>
    <w:rsid w:val="00DA22D0"/>
    <w:rsid w:val="00DA3A4C"/>
    <w:rsid w:val="00DA5041"/>
    <w:rsid w:val="00DA5133"/>
    <w:rsid w:val="00DA6A31"/>
    <w:rsid w:val="00DA7DA5"/>
    <w:rsid w:val="00DB00AC"/>
    <w:rsid w:val="00DB30EB"/>
    <w:rsid w:val="00DB3F02"/>
    <w:rsid w:val="00DB481C"/>
    <w:rsid w:val="00DB4E31"/>
    <w:rsid w:val="00DB5F9D"/>
    <w:rsid w:val="00DB68ED"/>
    <w:rsid w:val="00DB6ADB"/>
    <w:rsid w:val="00DB6DA4"/>
    <w:rsid w:val="00DC16A5"/>
    <w:rsid w:val="00DC5278"/>
    <w:rsid w:val="00DC55B2"/>
    <w:rsid w:val="00DC7947"/>
    <w:rsid w:val="00DD0741"/>
    <w:rsid w:val="00DD12EE"/>
    <w:rsid w:val="00DE2358"/>
    <w:rsid w:val="00DE3208"/>
    <w:rsid w:val="00DE4B5B"/>
    <w:rsid w:val="00DE6D0C"/>
    <w:rsid w:val="00DF5AAF"/>
    <w:rsid w:val="00DF5F46"/>
    <w:rsid w:val="00DF6099"/>
    <w:rsid w:val="00DF63FD"/>
    <w:rsid w:val="00DF6C41"/>
    <w:rsid w:val="00E00736"/>
    <w:rsid w:val="00E01813"/>
    <w:rsid w:val="00E067D8"/>
    <w:rsid w:val="00E075DC"/>
    <w:rsid w:val="00E157CC"/>
    <w:rsid w:val="00E163F5"/>
    <w:rsid w:val="00E171B0"/>
    <w:rsid w:val="00E17281"/>
    <w:rsid w:val="00E177DD"/>
    <w:rsid w:val="00E21C61"/>
    <w:rsid w:val="00E22832"/>
    <w:rsid w:val="00E22B3E"/>
    <w:rsid w:val="00E22F86"/>
    <w:rsid w:val="00E24554"/>
    <w:rsid w:val="00E27F45"/>
    <w:rsid w:val="00E27FE6"/>
    <w:rsid w:val="00E3040A"/>
    <w:rsid w:val="00E31131"/>
    <w:rsid w:val="00E3183A"/>
    <w:rsid w:val="00E327C3"/>
    <w:rsid w:val="00E33F14"/>
    <w:rsid w:val="00E343A1"/>
    <w:rsid w:val="00E34D5E"/>
    <w:rsid w:val="00E3533B"/>
    <w:rsid w:val="00E360F2"/>
    <w:rsid w:val="00E37277"/>
    <w:rsid w:val="00E41660"/>
    <w:rsid w:val="00E45142"/>
    <w:rsid w:val="00E45BA5"/>
    <w:rsid w:val="00E45BD8"/>
    <w:rsid w:val="00E45E8E"/>
    <w:rsid w:val="00E46BDB"/>
    <w:rsid w:val="00E47AE4"/>
    <w:rsid w:val="00E57CC4"/>
    <w:rsid w:val="00E60D75"/>
    <w:rsid w:val="00E61059"/>
    <w:rsid w:val="00E6238D"/>
    <w:rsid w:val="00E64C22"/>
    <w:rsid w:val="00E6581A"/>
    <w:rsid w:val="00E66651"/>
    <w:rsid w:val="00E66E58"/>
    <w:rsid w:val="00E71D92"/>
    <w:rsid w:val="00E73A6C"/>
    <w:rsid w:val="00E73F8E"/>
    <w:rsid w:val="00E74217"/>
    <w:rsid w:val="00E742E3"/>
    <w:rsid w:val="00E75D58"/>
    <w:rsid w:val="00E775EC"/>
    <w:rsid w:val="00E777B6"/>
    <w:rsid w:val="00E77B2F"/>
    <w:rsid w:val="00E81306"/>
    <w:rsid w:val="00E823F6"/>
    <w:rsid w:val="00E83257"/>
    <w:rsid w:val="00E83DA6"/>
    <w:rsid w:val="00E8444B"/>
    <w:rsid w:val="00E86690"/>
    <w:rsid w:val="00E91816"/>
    <w:rsid w:val="00E91E05"/>
    <w:rsid w:val="00E966EB"/>
    <w:rsid w:val="00E96F47"/>
    <w:rsid w:val="00E977FE"/>
    <w:rsid w:val="00EA090F"/>
    <w:rsid w:val="00EA44A6"/>
    <w:rsid w:val="00EA5132"/>
    <w:rsid w:val="00EA72B2"/>
    <w:rsid w:val="00EB0271"/>
    <w:rsid w:val="00EB083E"/>
    <w:rsid w:val="00EB3700"/>
    <w:rsid w:val="00EB38F1"/>
    <w:rsid w:val="00EB671C"/>
    <w:rsid w:val="00EB689B"/>
    <w:rsid w:val="00EC3735"/>
    <w:rsid w:val="00EC43A5"/>
    <w:rsid w:val="00EC5B36"/>
    <w:rsid w:val="00EC6949"/>
    <w:rsid w:val="00ED0BAB"/>
    <w:rsid w:val="00ED10AA"/>
    <w:rsid w:val="00ED1A54"/>
    <w:rsid w:val="00ED1BC0"/>
    <w:rsid w:val="00ED3B70"/>
    <w:rsid w:val="00ED4544"/>
    <w:rsid w:val="00ED4E83"/>
    <w:rsid w:val="00ED51E1"/>
    <w:rsid w:val="00ED59D9"/>
    <w:rsid w:val="00ED5BFB"/>
    <w:rsid w:val="00ED734C"/>
    <w:rsid w:val="00ED7779"/>
    <w:rsid w:val="00ED7C1E"/>
    <w:rsid w:val="00EE05B3"/>
    <w:rsid w:val="00EE27C6"/>
    <w:rsid w:val="00EE28AB"/>
    <w:rsid w:val="00EE7E6A"/>
    <w:rsid w:val="00EF104D"/>
    <w:rsid w:val="00EF1F07"/>
    <w:rsid w:val="00EF27AF"/>
    <w:rsid w:val="00EF33FA"/>
    <w:rsid w:val="00EF447D"/>
    <w:rsid w:val="00EF5EC7"/>
    <w:rsid w:val="00EF6370"/>
    <w:rsid w:val="00F01632"/>
    <w:rsid w:val="00F01922"/>
    <w:rsid w:val="00F02198"/>
    <w:rsid w:val="00F04439"/>
    <w:rsid w:val="00F1092B"/>
    <w:rsid w:val="00F11BB9"/>
    <w:rsid w:val="00F122E0"/>
    <w:rsid w:val="00F1273D"/>
    <w:rsid w:val="00F12DB1"/>
    <w:rsid w:val="00F12F1D"/>
    <w:rsid w:val="00F13D72"/>
    <w:rsid w:val="00F20EB6"/>
    <w:rsid w:val="00F213B2"/>
    <w:rsid w:val="00F2325C"/>
    <w:rsid w:val="00F23540"/>
    <w:rsid w:val="00F27BC8"/>
    <w:rsid w:val="00F30AAB"/>
    <w:rsid w:val="00F318AD"/>
    <w:rsid w:val="00F31DDE"/>
    <w:rsid w:val="00F3301A"/>
    <w:rsid w:val="00F33756"/>
    <w:rsid w:val="00F37438"/>
    <w:rsid w:val="00F375E5"/>
    <w:rsid w:val="00F41A30"/>
    <w:rsid w:val="00F4538D"/>
    <w:rsid w:val="00F511DA"/>
    <w:rsid w:val="00F51EEF"/>
    <w:rsid w:val="00F53BCC"/>
    <w:rsid w:val="00F5559E"/>
    <w:rsid w:val="00F55C4A"/>
    <w:rsid w:val="00F560A9"/>
    <w:rsid w:val="00F5621C"/>
    <w:rsid w:val="00F63AF2"/>
    <w:rsid w:val="00F65E5E"/>
    <w:rsid w:val="00F67C92"/>
    <w:rsid w:val="00F72B56"/>
    <w:rsid w:val="00F738E2"/>
    <w:rsid w:val="00F74553"/>
    <w:rsid w:val="00F8126C"/>
    <w:rsid w:val="00F8207C"/>
    <w:rsid w:val="00F8649F"/>
    <w:rsid w:val="00F87057"/>
    <w:rsid w:val="00F87F6B"/>
    <w:rsid w:val="00F908EB"/>
    <w:rsid w:val="00F913D9"/>
    <w:rsid w:val="00F9300D"/>
    <w:rsid w:val="00F93BF2"/>
    <w:rsid w:val="00F94B47"/>
    <w:rsid w:val="00F97B24"/>
    <w:rsid w:val="00FA089A"/>
    <w:rsid w:val="00FA1A3F"/>
    <w:rsid w:val="00FA2BC5"/>
    <w:rsid w:val="00FA6F8F"/>
    <w:rsid w:val="00FB1106"/>
    <w:rsid w:val="00FB3B91"/>
    <w:rsid w:val="00FB3BA8"/>
    <w:rsid w:val="00FB46D5"/>
    <w:rsid w:val="00FB56AA"/>
    <w:rsid w:val="00FC1F44"/>
    <w:rsid w:val="00FC4171"/>
    <w:rsid w:val="00FC48B3"/>
    <w:rsid w:val="00FC54BE"/>
    <w:rsid w:val="00FC6919"/>
    <w:rsid w:val="00FC6991"/>
    <w:rsid w:val="00FC7980"/>
    <w:rsid w:val="00FD1B7B"/>
    <w:rsid w:val="00FD45FF"/>
    <w:rsid w:val="00FD46E8"/>
    <w:rsid w:val="00FD57F5"/>
    <w:rsid w:val="00FD5AF4"/>
    <w:rsid w:val="00FD5D9F"/>
    <w:rsid w:val="00FD6693"/>
    <w:rsid w:val="00FD7CFD"/>
    <w:rsid w:val="00FD7E5D"/>
    <w:rsid w:val="00FE03B7"/>
    <w:rsid w:val="00FE0D0D"/>
    <w:rsid w:val="00FE0F45"/>
    <w:rsid w:val="00FE179E"/>
    <w:rsid w:val="00FE1D1C"/>
    <w:rsid w:val="00FE3678"/>
    <w:rsid w:val="00FE54FC"/>
    <w:rsid w:val="00FE6213"/>
    <w:rsid w:val="00FE640D"/>
    <w:rsid w:val="00FE703C"/>
    <w:rsid w:val="00FF1B23"/>
    <w:rsid w:val="00FF442E"/>
    <w:rsid w:val="00FF4E9B"/>
    <w:rsid w:val="00FF5D86"/>
    <w:rsid w:val="00FF6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E428A1-AF05-4883-90BC-73C8010C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92F1F"/>
    <w:pPr>
      <w:widowControl w:val="0"/>
      <w:spacing w:before="240" w:after="240"/>
      <w:ind w:firstLine="720"/>
    </w:pPr>
    <w:rPr>
      <w:sz w:val="24"/>
    </w:rPr>
  </w:style>
  <w:style w:type="paragraph" w:styleId="Heading1">
    <w:name w:val="heading 1"/>
    <w:aliases w:val="Preamble Heading 1,Preamble Heading 6,Preamble Section 8 Heading 1,Preamble Section 4,Preamble Heading 11,Preamble Heading 61,Preamble Section 8 Heading 11,Preamble Section 41,Preamble Heading 12,Preamble Heading 62,Preamble Section 8 Heading"/>
    <w:basedOn w:val="Normal"/>
    <w:next w:val="Normal"/>
    <w:qFormat/>
    <w:rsid w:val="00B778EA"/>
    <w:pPr>
      <w:keepNext/>
      <w:numPr>
        <w:numId w:val="1"/>
      </w:numPr>
      <w:outlineLvl w:val="0"/>
    </w:pPr>
    <w:rPr>
      <w:rFonts w:cs="Arial"/>
      <w:b/>
      <w:bCs/>
      <w:kern w:val="32"/>
      <w:sz w:val="32"/>
      <w:szCs w:val="32"/>
    </w:rPr>
  </w:style>
  <w:style w:type="paragraph" w:styleId="Heading2">
    <w:name w:val="heading 2"/>
    <w:aliases w:val="Preamble Heading 2,Preamble,RIA: Heading 2,Preamble1,RIA: Heading 21,Preamble2,RIA: Heading 22,Preamble3,RIA: Heading 23,Preamble4,RIA: Heading 24,Preamble5,RIA: Heading 25,Preamble6,RIA: Heading 26,Preamble7,RIA: Heading 27,Preamble8"/>
    <w:next w:val="Normal"/>
    <w:qFormat/>
    <w:rsid w:val="00B778EA"/>
    <w:pPr>
      <w:keepNext/>
      <w:numPr>
        <w:ilvl w:val="1"/>
        <w:numId w:val="1"/>
      </w:numPr>
      <w:spacing w:before="120" w:after="120"/>
      <w:contextualSpacing/>
      <w:outlineLvl w:val="1"/>
    </w:pPr>
    <w:rPr>
      <w:rFonts w:cs="Arial"/>
      <w:b/>
      <w:bCs/>
      <w:iCs/>
      <w:sz w:val="28"/>
      <w:szCs w:val="24"/>
    </w:rPr>
  </w:style>
  <w:style w:type="paragraph" w:styleId="Heading3">
    <w:name w:val="heading 3"/>
    <w:aliases w:val="Preamble Heading 3,RIA Heading 3,RIA Heading 3 + Left:  0.25&quot;,First line:  0&quot; + L...,Preamble Heading 31,RIA Heading 31,RIA Heading 3 + Left:  0.25&quot;1,First line:  0&quot; + L...1,Preamble Heading 32,RIA Heading 32,RIA Heading 3 + Left:  0.25&quot;2"/>
    <w:basedOn w:val="Heading1"/>
    <w:next w:val="Normal"/>
    <w:qFormat/>
    <w:rsid w:val="00723F94"/>
    <w:pPr>
      <w:numPr>
        <w:numId w:val="15"/>
      </w:numPr>
      <w:tabs>
        <w:tab w:val="left" w:pos="576"/>
      </w:tabs>
      <w:spacing w:before="120" w:after="120"/>
      <w:outlineLvl w:val="2"/>
    </w:pPr>
    <w:rPr>
      <w:bCs w:val="0"/>
      <w:sz w:val="24"/>
    </w:rPr>
  </w:style>
  <w:style w:type="paragraph" w:styleId="Heading4">
    <w:name w:val="heading 4"/>
    <w:aliases w:val="Preamble Heading 4,RIA: Heading 4,Preamble Heading 41,RIA: Heading 41,Preamble Heading 42,RIA: Heading 42,Preamble Heading 43,RIA: Heading 43,Preamble Heading 44,RIA: Heading 44,Preamble Heading 45,RIA: Heading 45,Preamble Heading 46"/>
    <w:basedOn w:val="Heading1"/>
    <w:next w:val="Normal"/>
    <w:qFormat/>
    <w:rsid w:val="00B92F1F"/>
    <w:pPr>
      <w:numPr>
        <w:ilvl w:val="3"/>
      </w:numPr>
      <w:ind w:left="792"/>
      <w:outlineLvl w:val="3"/>
    </w:pPr>
    <w:rPr>
      <w:b w:val="0"/>
      <w:bCs w:val="0"/>
      <w:sz w:val="24"/>
      <w:szCs w:val="28"/>
    </w:rPr>
  </w:style>
  <w:style w:type="paragraph" w:styleId="Heading5">
    <w:name w:val="heading 5"/>
    <w:aliases w:val="Preamble Heading 5,ECA Heading 5,Preamble Heading 51,ECA Heading 51,Preamble Heading 52,ECA Heading 52,Preamble Heading 53,ECA Heading 53,Preamble Heading 54,ECA Heading 54,Preamble Heading 55,ECA Heading 55,Preamble Heading 56,ECA Heading 56"/>
    <w:basedOn w:val="Heading1"/>
    <w:next w:val="Normal"/>
    <w:qFormat/>
    <w:rsid w:val="00B778EA"/>
    <w:pPr>
      <w:numPr>
        <w:ilvl w:val="4"/>
      </w:numPr>
      <w:spacing w:before="120" w:after="120"/>
      <w:outlineLvl w:val="4"/>
    </w:pPr>
    <w:rPr>
      <w:b w:val="0"/>
      <w:bCs w:val="0"/>
      <w:i/>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0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723F94"/>
    <w:pPr>
      <w:outlineLvl w:val="0"/>
    </w:pPr>
    <w:rPr>
      <w:b/>
      <w:u w:val="single"/>
    </w:rPr>
  </w:style>
  <w:style w:type="paragraph" w:customStyle="1" w:styleId="Level2">
    <w:name w:val="Level 2"/>
    <w:basedOn w:val="Normal"/>
    <w:rsid w:val="00013B05"/>
  </w:style>
  <w:style w:type="paragraph" w:customStyle="1" w:styleId="Level3">
    <w:name w:val="Level 3"/>
    <w:basedOn w:val="Normal"/>
    <w:rsid w:val="00013B05"/>
  </w:style>
  <w:style w:type="paragraph" w:customStyle="1" w:styleId="Level4">
    <w:name w:val="Level 4"/>
    <w:basedOn w:val="Normal"/>
    <w:rsid w:val="00013B05"/>
  </w:style>
  <w:style w:type="paragraph" w:customStyle="1" w:styleId="Level5">
    <w:name w:val="Level 5"/>
    <w:basedOn w:val="Normal"/>
    <w:rsid w:val="00013B05"/>
  </w:style>
  <w:style w:type="paragraph" w:customStyle="1" w:styleId="Level6">
    <w:name w:val="Level 6"/>
    <w:basedOn w:val="Normal"/>
    <w:rsid w:val="00013B05"/>
  </w:style>
  <w:style w:type="paragraph" w:customStyle="1" w:styleId="Level7">
    <w:name w:val="Level 7"/>
    <w:basedOn w:val="Normal"/>
    <w:rsid w:val="00013B05"/>
  </w:style>
  <w:style w:type="paragraph" w:customStyle="1" w:styleId="Level8">
    <w:name w:val="Level 8"/>
    <w:basedOn w:val="Normal"/>
    <w:rsid w:val="00013B05"/>
  </w:style>
  <w:style w:type="paragraph" w:customStyle="1" w:styleId="Level9">
    <w:name w:val="Level 9"/>
    <w:basedOn w:val="Normal"/>
    <w:rsid w:val="00013B05"/>
  </w:style>
  <w:style w:type="paragraph" w:customStyle="1" w:styleId="level10">
    <w:name w:val="_level1"/>
    <w:basedOn w:val="Normal"/>
    <w:rsid w:val="00013B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0">
    <w:name w:val="_level2"/>
    <w:basedOn w:val="Normal"/>
    <w:rsid w:val="00013B05"/>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0">
    <w:name w:val="_level3"/>
    <w:basedOn w:val="Normal"/>
    <w:rsid w:val="00013B05"/>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rsid w:val="00013B05"/>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rsid w:val="00013B05"/>
    <w:pPr>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rsid w:val="00013B05"/>
    <w:pPr>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rsid w:val="00013B05"/>
    <w:pPr>
      <w:tabs>
        <w:tab w:val="left" w:pos="5040"/>
        <w:tab w:val="left" w:pos="5760"/>
        <w:tab w:val="left" w:pos="6480"/>
        <w:tab w:val="left" w:pos="7200"/>
        <w:tab w:val="left" w:pos="7920"/>
      </w:tabs>
      <w:ind w:left="5040" w:hanging="720"/>
    </w:pPr>
  </w:style>
  <w:style w:type="paragraph" w:customStyle="1" w:styleId="level80">
    <w:name w:val="_level8"/>
    <w:basedOn w:val="Normal"/>
    <w:rsid w:val="00013B05"/>
    <w:pPr>
      <w:tabs>
        <w:tab w:val="left" w:pos="5760"/>
        <w:tab w:val="left" w:pos="6480"/>
        <w:tab w:val="left" w:pos="7200"/>
        <w:tab w:val="left" w:pos="7920"/>
      </w:tabs>
      <w:ind w:left="5760" w:hanging="720"/>
    </w:pPr>
  </w:style>
  <w:style w:type="paragraph" w:customStyle="1" w:styleId="level90">
    <w:name w:val="_level9"/>
    <w:basedOn w:val="Normal"/>
    <w:rsid w:val="00013B05"/>
    <w:pPr>
      <w:tabs>
        <w:tab w:val="left" w:pos="6480"/>
        <w:tab w:val="left" w:pos="7200"/>
        <w:tab w:val="left" w:pos="7920"/>
      </w:tabs>
      <w:ind w:left="6480" w:hanging="720"/>
    </w:pPr>
  </w:style>
  <w:style w:type="paragraph" w:customStyle="1" w:styleId="levsl1">
    <w:name w:val="_levsl1"/>
    <w:basedOn w:val="Normal"/>
    <w:rsid w:val="00013B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rsid w:val="00013B05"/>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rsid w:val="00013B05"/>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rsid w:val="00013B05"/>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rsid w:val="00013B05"/>
    <w:pPr>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rsid w:val="00013B05"/>
    <w:pPr>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rsid w:val="00013B05"/>
    <w:pPr>
      <w:tabs>
        <w:tab w:val="left" w:pos="5040"/>
        <w:tab w:val="left" w:pos="5760"/>
        <w:tab w:val="left" w:pos="6480"/>
        <w:tab w:val="left" w:pos="7200"/>
        <w:tab w:val="left" w:pos="7920"/>
      </w:tabs>
      <w:ind w:left="5040" w:hanging="720"/>
    </w:pPr>
  </w:style>
  <w:style w:type="paragraph" w:customStyle="1" w:styleId="levsl8">
    <w:name w:val="_levsl8"/>
    <w:basedOn w:val="Normal"/>
    <w:rsid w:val="00013B05"/>
    <w:pPr>
      <w:tabs>
        <w:tab w:val="left" w:pos="5760"/>
        <w:tab w:val="left" w:pos="6480"/>
        <w:tab w:val="left" w:pos="7200"/>
        <w:tab w:val="left" w:pos="7920"/>
      </w:tabs>
      <w:ind w:left="5760" w:hanging="720"/>
    </w:pPr>
  </w:style>
  <w:style w:type="paragraph" w:customStyle="1" w:styleId="levsl9">
    <w:name w:val="_levsl9"/>
    <w:basedOn w:val="Normal"/>
    <w:rsid w:val="00013B05"/>
    <w:pPr>
      <w:tabs>
        <w:tab w:val="left" w:pos="6480"/>
        <w:tab w:val="left" w:pos="7200"/>
        <w:tab w:val="left" w:pos="7920"/>
      </w:tabs>
      <w:ind w:left="6480" w:hanging="720"/>
    </w:pPr>
  </w:style>
  <w:style w:type="paragraph" w:customStyle="1" w:styleId="levnl1">
    <w:name w:val="_levnl1"/>
    <w:basedOn w:val="Normal"/>
    <w:rsid w:val="00013B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rsid w:val="00013B05"/>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rsid w:val="00013B05"/>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rsid w:val="00013B05"/>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rsid w:val="00013B05"/>
    <w:pPr>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rsid w:val="00013B05"/>
    <w:pPr>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rsid w:val="00013B05"/>
    <w:pPr>
      <w:tabs>
        <w:tab w:val="left" w:pos="5040"/>
        <w:tab w:val="left" w:pos="5760"/>
        <w:tab w:val="left" w:pos="6480"/>
        <w:tab w:val="left" w:pos="7200"/>
        <w:tab w:val="left" w:pos="7920"/>
      </w:tabs>
      <w:ind w:left="5040" w:hanging="720"/>
    </w:pPr>
  </w:style>
  <w:style w:type="paragraph" w:customStyle="1" w:styleId="levnl8">
    <w:name w:val="_levnl8"/>
    <w:basedOn w:val="Normal"/>
    <w:rsid w:val="00013B05"/>
    <w:pPr>
      <w:tabs>
        <w:tab w:val="left" w:pos="5760"/>
        <w:tab w:val="left" w:pos="6480"/>
        <w:tab w:val="left" w:pos="7200"/>
        <w:tab w:val="left" w:pos="7920"/>
      </w:tabs>
      <w:ind w:left="5760" w:hanging="720"/>
    </w:pPr>
  </w:style>
  <w:style w:type="paragraph" w:customStyle="1" w:styleId="levnl9">
    <w:name w:val="_levnl9"/>
    <w:basedOn w:val="Normal"/>
    <w:rsid w:val="00013B05"/>
    <w:pPr>
      <w:tabs>
        <w:tab w:val="left" w:pos="6480"/>
        <w:tab w:val="left" w:pos="7200"/>
        <w:tab w:val="left" w:pos="7920"/>
      </w:tabs>
      <w:ind w:left="6480" w:hanging="720"/>
    </w:pPr>
  </w:style>
  <w:style w:type="character" w:customStyle="1" w:styleId="QuickFormat1">
    <w:name w:val="QuickFormat1"/>
    <w:rsid w:val="00013B05"/>
    <w:rPr>
      <w:rFonts w:ascii="Courier New" w:hAnsi="Courier New"/>
      <w:color w:val="000000"/>
      <w:sz w:val="24"/>
    </w:rPr>
  </w:style>
  <w:style w:type="character" w:customStyle="1" w:styleId="QuickFormat2">
    <w:name w:val="QuickFormat2"/>
    <w:rsid w:val="00013B05"/>
    <w:rPr>
      <w:rFonts w:ascii="Courier New" w:hAnsi="Courier New"/>
      <w:color w:val="000000"/>
      <w:sz w:val="24"/>
    </w:rPr>
  </w:style>
  <w:style w:type="paragraph" w:customStyle="1" w:styleId="DefinitionT">
    <w:name w:val="Definition T"/>
    <w:basedOn w:val="Normal"/>
    <w:rsid w:val="00013B05"/>
  </w:style>
  <w:style w:type="paragraph" w:customStyle="1" w:styleId="DefinitionL">
    <w:name w:val="Definition L"/>
    <w:basedOn w:val="Normal"/>
    <w:rsid w:val="00013B0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013B05"/>
    <w:rPr>
      <w:i/>
    </w:rPr>
  </w:style>
  <w:style w:type="paragraph" w:customStyle="1" w:styleId="H1">
    <w:name w:val="H1"/>
    <w:basedOn w:val="Normal"/>
    <w:rsid w:val="00013B05"/>
    <w:rPr>
      <w:rFonts w:ascii="Courier" w:hAnsi="Courier"/>
      <w:b/>
      <w:sz w:val="48"/>
    </w:rPr>
  </w:style>
  <w:style w:type="paragraph" w:customStyle="1" w:styleId="H2">
    <w:name w:val="H2"/>
    <w:basedOn w:val="Normal"/>
    <w:rsid w:val="00013B05"/>
    <w:rPr>
      <w:rFonts w:ascii="Courier" w:hAnsi="Courier"/>
      <w:b/>
      <w:sz w:val="36"/>
    </w:rPr>
  </w:style>
  <w:style w:type="paragraph" w:customStyle="1" w:styleId="H3">
    <w:name w:val="H3"/>
    <w:basedOn w:val="Normal"/>
    <w:rsid w:val="00013B05"/>
    <w:rPr>
      <w:rFonts w:ascii="Courier" w:hAnsi="Courier"/>
      <w:b/>
      <w:sz w:val="28"/>
    </w:rPr>
  </w:style>
  <w:style w:type="paragraph" w:customStyle="1" w:styleId="H4">
    <w:name w:val="H4"/>
    <w:basedOn w:val="Normal"/>
    <w:rsid w:val="00013B05"/>
    <w:rPr>
      <w:rFonts w:ascii="Courier" w:hAnsi="Courier"/>
      <w:b/>
    </w:rPr>
  </w:style>
  <w:style w:type="paragraph" w:customStyle="1" w:styleId="H5">
    <w:name w:val="H5"/>
    <w:basedOn w:val="Normal"/>
    <w:rsid w:val="00013B05"/>
    <w:rPr>
      <w:rFonts w:ascii="Courier" w:hAnsi="Courier"/>
      <w:b/>
    </w:rPr>
  </w:style>
  <w:style w:type="paragraph" w:customStyle="1" w:styleId="H6">
    <w:name w:val="H6"/>
    <w:basedOn w:val="Normal"/>
    <w:rsid w:val="00013B05"/>
    <w:rPr>
      <w:rFonts w:ascii="Courier" w:hAnsi="Courier"/>
      <w:b/>
      <w:sz w:val="16"/>
    </w:rPr>
  </w:style>
  <w:style w:type="paragraph" w:customStyle="1" w:styleId="Address">
    <w:name w:val="Address"/>
    <w:basedOn w:val="Normal"/>
    <w:rsid w:val="00013B05"/>
    <w:rPr>
      <w:i/>
    </w:rPr>
  </w:style>
  <w:style w:type="paragraph" w:customStyle="1" w:styleId="Blockquote">
    <w:name w:val="Blockquote"/>
    <w:basedOn w:val="Normal"/>
    <w:rsid w:val="00013B0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013B05"/>
    <w:rPr>
      <w:i/>
    </w:rPr>
  </w:style>
  <w:style w:type="character" w:customStyle="1" w:styleId="CODE">
    <w:name w:val="CODE"/>
    <w:rsid w:val="00013B05"/>
    <w:rPr>
      <w:rFonts w:ascii="Courier New" w:hAnsi="Courier New"/>
      <w:sz w:val="20"/>
    </w:rPr>
  </w:style>
  <w:style w:type="character" w:customStyle="1" w:styleId="WP9Emphasis">
    <w:name w:val="WP9_Emphasis"/>
    <w:rsid w:val="00013B05"/>
    <w:rPr>
      <w:i/>
    </w:rPr>
  </w:style>
  <w:style w:type="character" w:customStyle="1" w:styleId="WP9Hyperlink">
    <w:name w:val="WP9_Hyperlink"/>
    <w:rsid w:val="00013B05"/>
    <w:rPr>
      <w:color w:val="0000FF"/>
      <w:u w:val="single"/>
    </w:rPr>
  </w:style>
  <w:style w:type="character" w:customStyle="1" w:styleId="FollowedHype">
    <w:name w:val="FollowedHype"/>
    <w:rsid w:val="00013B05"/>
    <w:rPr>
      <w:color w:val="800080"/>
      <w:u w:val="single"/>
    </w:rPr>
  </w:style>
  <w:style w:type="character" w:customStyle="1" w:styleId="Keyboard">
    <w:name w:val="Keyboard"/>
    <w:rsid w:val="00013B05"/>
    <w:rPr>
      <w:rFonts w:ascii="Courier New" w:hAnsi="Courier New"/>
      <w:b/>
      <w:sz w:val="20"/>
    </w:rPr>
  </w:style>
  <w:style w:type="paragraph" w:customStyle="1" w:styleId="Preformatted">
    <w:name w:val="Preformatted"/>
    <w:basedOn w:val="Normal"/>
    <w:rsid w:val="00013B05"/>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013B05"/>
    <w:pPr>
      <w:pBdr>
        <w:top w:val="double" w:sz="5" w:space="0" w:color="000000"/>
      </w:pBdr>
      <w:jc w:val="center"/>
    </w:pPr>
    <w:rPr>
      <w:rFonts w:ascii="Arial" w:hAnsi="Arial"/>
      <w:sz w:val="16"/>
    </w:rPr>
  </w:style>
  <w:style w:type="paragraph" w:customStyle="1" w:styleId="zTopofFor">
    <w:name w:val="zTop of For"/>
    <w:basedOn w:val="Normal"/>
    <w:rsid w:val="00013B05"/>
    <w:pPr>
      <w:pBdr>
        <w:bottom w:val="double" w:sz="5" w:space="0" w:color="000000"/>
      </w:pBdr>
      <w:jc w:val="center"/>
    </w:pPr>
    <w:rPr>
      <w:rFonts w:ascii="Arial" w:hAnsi="Arial"/>
      <w:sz w:val="16"/>
    </w:rPr>
  </w:style>
  <w:style w:type="character" w:customStyle="1" w:styleId="Sample">
    <w:name w:val="Sample"/>
    <w:rsid w:val="00013B05"/>
    <w:rPr>
      <w:rFonts w:ascii="Courier New" w:hAnsi="Courier New"/>
    </w:rPr>
  </w:style>
  <w:style w:type="character" w:customStyle="1" w:styleId="WP9Strong">
    <w:name w:val="WP9_Strong"/>
    <w:rsid w:val="00013B05"/>
    <w:rPr>
      <w:b/>
    </w:rPr>
  </w:style>
  <w:style w:type="character" w:customStyle="1" w:styleId="Typewriter">
    <w:name w:val="Typewriter"/>
    <w:rsid w:val="00013B05"/>
    <w:rPr>
      <w:rFonts w:ascii="Courier New" w:hAnsi="Courier New"/>
      <w:sz w:val="20"/>
    </w:rPr>
  </w:style>
  <w:style w:type="character" w:customStyle="1" w:styleId="Variable">
    <w:name w:val="Variable"/>
    <w:rsid w:val="00013B05"/>
    <w:rPr>
      <w:i/>
    </w:rPr>
  </w:style>
  <w:style w:type="character" w:customStyle="1" w:styleId="HTMLMarkup">
    <w:name w:val="HTML Markup"/>
    <w:rsid w:val="00013B05"/>
    <w:rPr>
      <w:vanish/>
      <w:color w:val="FF0000"/>
    </w:rPr>
  </w:style>
  <w:style w:type="character" w:customStyle="1" w:styleId="Comment">
    <w:name w:val="Comment"/>
    <w:rsid w:val="00013B05"/>
    <w:rPr>
      <w:vanish/>
    </w:rPr>
  </w:style>
  <w:style w:type="character" w:customStyle="1" w:styleId="SYSHYPERTEXT">
    <w:name w:val="SYS_HYPERTEXT"/>
    <w:rsid w:val="00013B05"/>
    <w:rPr>
      <w:color w:val="0000FF"/>
      <w:u w:val="single"/>
    </w:rPr>
  </w:style>
  <w:style w:type="paragraph" w:styleId="BalloonText">
    <w:name w:val="Balloon Text"/>
    <w:basedOn w:val="Normal"/>
    <w:semiHidden/>
    <w:rsid w:val="00A20293"/>
    <w:rPr>
      <w:rFonts w:ascii="Tahoma" w:hAnsi="Tahoma" w:cs="Tahoma"/>
      <w:sz w:val="16"/>
      <w:szCs w:val="16"/>
    </w:rPr>
  </w:style>
  <w:style w:type="character" w:styleId="Hyperlink">
    <w:name w:val="Hyperlink"/>
    <w:basedOn w:val="DefaultParagraphFont"/>
    <w:rsid w:val="00A20293"/>
    <w:rPr>
      <w:color w:val="0000FF"/>
      <w:u w:val="single"/>
    </w:rPr>
  </w:style>
  <w:style w:type="paragraph" w:customStyle="1" w:styleId="Style6">
    <w:name w:val="Style 6"/>
    <w:basedOn w:val="Normal"/>
    <w:rsid w:val="00C1456C"/>
    <w:pPr>
      <w:autoSpaceDE w:val="0"/>
      <w:autoSpaceDN w:val="0"/>
      <w:jc w:val="both"/>
    </w:pPr>
    <w:rPr>
      <w:szCs w:val="24"/>
    </w:rPr>
  </w:style>
  <w:style w:type="paragraph" w:customStyle="1" w:styleId="Style5">
    <w:name w:val="Style 5"/>
    <w:basedOn w:val="Normal"/>
    <w:rsid w:val="00853D67"/>
    <w:pPr>
      <w:autoSpaceDE w:val="0"/>
      <w:autoSpaceDN w:val="0"/>
      <w:adjustRightInd w:val="0"/>
    </w:pPr>
    <w:rPr>
      <w:szCs w:val="24"/>
    </w:rPr>
  </w:style>
  <w:style w:type="paragraph" w:styleId="NormalWeb">
    <w:name w:val="Normal (Web)"/>
    <w:basedOn w:val="Normal"/>
    <w:rsid w:val="005E5ECD"/>
    <w:pPr>
      <w:spacing w:before="100" w:beforeAutospacing="1" w:after="100" w:afterAutospacing="1"/>
    </w:pPr>
    <w:rPr>
      <w:szCs w:val="24"/>
    </w:rPr>
  </w:style>
  <w:style w:type="paragraph" w:styleId="Header">
    <w:name w:val="header"/>
    <w:basedOn w:val="Normal"/>
    <w:link w:val="HeaderChar"/>
    <w:rsid w:val="00A52BA4"/>
    <w:pPr>
      <w:tabs>
        <w:tab w:val="center" w:pos="4680"/>
        <w:tab w:val="right" w:pos="9360"/>
      </w:tabs>
    </w:pPr>
  </w:style>
  <w:style w:type="character" w:customStyle="1" w:styleId="HeaderChar">
    <w:name w:val="Header Char"/>
    <w:basedOn w:val="DefaultParagraphFont"/>
    <w:link w:val="Header"/>
    <w:rsid w:val="00A52BA4"/>
    <w:rPr>
      <w:sz w:val="24"/>
    </w:rPr>
  </w:style>
  <w:style w:type="paragraph" w:styleId="Footer">
    <w:name w:val="footer"/>
    <w:basedOn w:val="Normal"/>
    <w:link w:val="FooterChar"/>
    <w:uiPriority w:val="99"/>
    <w:rsid w:val="00A52BA4"/>
    <w:pPr>
      <w:tabs>
        <w:tab w:val="center" w:pos="4680"/>
        <w:tab w:val="right" w:pos="9360"/>
      </w:tabs>
    </w:pPr>
  </w:style>
  <w:style w:type="character" w:customStyle="1" w:styleId="FooterChar">
    <w:name w:val="Footer Char"/>
    <w:basedOn w:val="DefaultParagraphFont"/>
    <w:link w:val="Footer"/>
    <w:uiPriority w:val="99"/>
    <w:rsid w:val="00A52BA4"/>
    <w:rPr>
      <w:sz w:val="24"/>
    </w:rPr>
  </w:style>
  <w:style w:type="character" w:styleId="CommentReference">
    <w:name w:val="annotation reference"/>
    <w:basedOn w:val="DefaultParagraphFont"/>
    <w:uiPriority w:val="99"/>
    <w:semiHidden/>
    <w:rsid w:val="00B82A69"/>
    <w:rPr>
      <w:sz w:val="16"/>
      <w:szCs w:val="16"/>
    </w:rPr>
  </w:style>
  <w:style w:type="paragraph" w:styleId="CommentText">
    <w:name w:val="annotation text"/>
    <w:basedOn w:val="Normal"/>
    <w:link w:val="CommentTextChar"/>
    <w:uiPriority w:val="99"/>
    <w:semiHidden/>
    <w:rsid w:val="00B82A69"/>
  </w:style>
  <w:style w:type="paragraph" w:styleId="CommentSubject">
    <w:name w:val="annotation subject"/>
    <w:basedOn w:val="CommentText"/>
    <w:next w:val="CommentText"/>
    <w:semiHidden/>
    <w:rsid w:val="00B82A69"/>
    <w:rPr>
      <w:b/>
      <w:bCs/>
    </w:rPr>
  </w:style>
  <w:style w:type="paragraph" w:customStyle="1" w:styleId="Default3">
    <w:name w:val="Default3"/>
    <w:uiPriority w:val="99"/>
    <w:rsid w:val="00806970"/>
    <w:pPr>
      <w:autoSpaceDE w:val="0"/>
      <w:autoSpaceDN w:val="0"/>
      <w:adjustRightInd w:val="0"/>
    </w:pPr>
    <w:rPr>
      <w:rFonts w:cs="ENKOF M+ Melior"/>
      <w:color w:val="000000"/>
      <w:sz w:val="24"/>
      <w:szCs w:val="24"/>
    </w:rPr>
  </w:style>
  <w:style w:type="paragraph" w:styleId="ListParagraph">
    <w:name w:val="List Paragraph"/>
    <w:basedOn w:val="Normal"/>
    <w:uiPriority w:val="34"/>
    <w:qFormat/>
    <w:rsid w:val="006628F2"/>
    <w:pPr>
      <w:ind w:left="720"/>
      <w:contextualSpacing/>
    </w:pPr>
  </w:style>
  <w:style w:type="character" w:customStyle="1" w:styleId="CommentTextChar">
    <w:name w:val="Comment Text Char"/>
    <w:basedOn w:val="DefaultParagraphFont"/>
    <w:link w:val="CommentText"/>
    <w:uiPriority w:val="99"/>
    <w:semiHidden/>
    <w:locked/>
    <w:rsid w:val="000226F4"/>
  </w:style>
  <w:style w:type="paragraph" w:customStyle="1" w:styleId="Regsection">
    <w:name w:val="Regsection"/>
    <w:basedOn w:val="Normal"/>
    <w:rsid w:val="000226F4"/>
    <w:rPr>
      <w:b/>
    </w:rPr>
  </w:style>
  <w:style w:type="paragraph" w:styleId="FootnoteText">
    <w:name w:val="footnote text"/>
    <w:basedOn w:val="Normal"/>
    <w:link w:val="FootnoteTextChar"/>
    <w:rsid w:val="002044FA"/>
  </w:style>
  <w:style w:type="character" w:customStyle="1" w:styleId="FootnoteTextChar">
    <w:name w:val="Footnote Text Char"/>
    <w:basedOn w:val="DefaultParagraphFont"/>
    <w:link w:val="FootnoteText"/>
    <w:rsid w:val="002044FA"/>
  </w:style>
  <w:style w:type="character" w:styleId="FootnoteReference">
    <w:name w:val="footnote reference"/>
    <w:basedOn w:val="DefaultParagraphFont"/>
    <w:rsid w:val="002044FA"/>
    <w:rPr>
      <w:vertAlign w:val="superscript"/>
    </w:rPr>
  </w:style>
  <w:style w:type="paragraph" w:styleId="Revision">
    <w:name w:val="Revision"/>
    <w:hidden/>
    <w:uiPriority w:val="99"/>
    <w:semiHidden/>
    <w:rsid w:val="009519D5"/>
  </w:style>
  <w:style w:type="character" w:styleId="FollowedHyperlink">
    <w:name w:val="FollowedHyperlink"/>
    <w:basedOn w:val="DefaultParagraphFont"/>
    <w:rsid w:val="000662F5"/>
    <w:rPr>
      <w:color w:val="800080" w:themeColor="followedHyperlink"/>
      <w:u w:val="single"/>
    </w:rPr>
  </w:style>
  <w:style w:type="paragraph" w:styleId="DocumentMap">
    <w:name w:val="Document Map"/>
    <w:basedOn w:val="Normal"/>
    <w:link w:val="DocumentMapChar"/>
    <w:semiHidden/>
    <w:unhideWhenUsed/>
    <w:rsid w:val="00756B41"/>
    <w:rPr>
      <w:rFonts w:ascii="Tahoma" w:hAnsi="Tahoma" w:cs="Tahoma"/>
      <w:sz w:val="16"/>
      <w:szCs w:val="16"/>
    </w:rPr>
  </w:style>
  <w:style w:type="character" w:customStyle="1" w:styleId="DocumentMapChar">
    <w:name w:val="Document Map Char"/>
    <w:basedOn w:val="DefaultParagraphFont"/>
    <w:link w:val="DocumentMap"/>
    <w:semiHidden/>
    <w:rsid w:val="00756B41"/>
    <w:rPr>
      <w:rFonts w:ascii="Tahoma" w:hAnsi="Tahoma" w:cs="Tahoma"/>
      <w:sz w:val="16"/>
      <w:szCs w:val="16"/>
    </w:rPr>
  </w:style>
  <w:style w:type="paragraph" w:styleId="Caption">
    <w:name w:val="caption"/>
    <w:basedOn w:val="Normal"/>
    <w:next w:val="Normal"/>
    <w:unhideWhenUsed/>
    <w:qFormat/>
    <w:rsid w:val="002807D6"/>
    <w:pPr>
      <w:spacing w:before="120" w:after="120"/>
      <w:ind w:firstLine="0"/>
      <w:jc w:val="center"/>
    </w:pPr>
    <w:rPr>
      <w:b/>
      <w:bCs/>
      <w:color w:val="4F81BD" w:themeColor="accent1"/>
      <w:sz w:val="18"/>
      <w:szCs w:val="18"/>
    </w:rPr>
  </w:style>
  <w:style w:type="paragraph" w:customStyle="1" w:styleId="StyleCaptionExpandedby03pt">
    <w:name w:val="Style Caption + Expanded by  0.3 pt"/>
    <w:basedOn w:val="Caption"/>
    <w:rsid w:val="003E714F"/>
    <w:rPr>
      <w:spacing w:val="6"/>
    </w:rPr>
  </w:style>
  <w:style w:type="paragraph" w:customStyle="1" w:styleId="BulletList">
    <w:name w:val="Bullet List"/>
    <w:basedOn w:val="ListBullet"/>
    <w:rsid w:val="00C47B23"/>
    <w:pPr>
      <w:spacing w:before="120" w:after="120"/>
    </w:pPr>
    <w:rPr>
      <w:spacing w:val="6"/>
    </w:rPr>
  </w:style>
  <w:style w:type="paragraph" w:styleId="ListBullet">
    <w:name w:val="List Bullet"/>
    <w:basedOn w:val="Normal"/>
    <w:unhideWhenUsed/>
    <w:rsid w:val="00C47B23"/>
    <w:pPr>
      <w:numPr>
        <w:numId w:val="5"/>
      </w:numPr>
      <w:contextualSpacing/>
    </w:pPr>
  </w:style>
  <w:style w:type="table" w:styleId="TableElegant">
    <w:name w:val="Table Elegant"/>
    <w:aliases w:val="Table Elegant - Preamble,Table Elegant - Preamble1,Table Elegant - Preamble2,Table Elegant - Preamble3,Table Elegant - Preamble4,Table Elegant - Preamble5,Table Elegant - Preamble6,Table Elegant - Preamble7,Table Elegant - Preamble8"/>
    <w:basedOn w:val="TableNormal"/>
    <w:uiPriority w:val="99"/>
    <w:rsid w:val="00B909D2"/>
    <w:pPr>
      <w:keepNext/>
      <w:spacing w:before="100" w:beforeAutospacing="1" w:after="100" w:afterAutospacing="1"/>
      <w:contextualSpacing/>
    </w:pPr>
    <w:tblPr>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15" w:type="dxa"/>
        <w:right w:w="115" w:type="dxa"/>
      </w:tblCellMar>
    </w:tblPr>
    <w:trPr>
      <w:cantSplit/>
      <w:jc w:val="center"/>
    </w:trPr>
    <w:tcPr>
      <w:shd w:val="clear" w:color="auto" w:fill="auto"/>
    </w:tcPr>
    <w:tblStylePr w:type="firstRow">
      <w:pPr>
        <w:keepNext/>
        <w:widowControl/>
        <w:wordWrap/>
        <w:spacing w:beforeLines="0" w:beforeAutospacing="1" w:afterLines="0" w:afterAutospacing="1" w:line="240" w:lineRule="auto"/>
        <w:ind w:leftChars="0" w:left="0" w:rightChars="0" w:right="0" w:firstLineChars="0" w:firstLine="0"/>
        <w:contextualSpacing/>
        <w:jc w:val="left"/>
      </w:pPr>
      <w:rPr>
        <w:caps w:val="0"/>
        <w:color w:val="auto"/>
      </w:rPr>
      <w:tblPr/>
      <w:tcPr>
        <w:tcBorders>
          <w:top w:val="double" w:sz="6" w:space="0" w:color="000000"/>
          <w:left w:val="double" w:sz="6" w:space="0" w:color="000000"/>
          <w:bottom w:val="double" w:sz="6" w:space="0" w:color="000000"/>
          <w:right w:val="double" w:sz="6" w:space="0" w:color="000000"/>
          <w:insideH w:val="nil"/>
          <w:insideV w:val="single" w:sz="6" w:space="0" w:color="000000"/>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541">
      <w:bodyDiv w:val="1"/>
      <w:marLeft w:val="0"/>
      <w:marRight w:val="0"/>
      <w:marTop w:val="0"/>
      <w:marBottom w:val="0"/>
      <w:divBdr>
        <w:top w:val="none" w:sz="0" w:space="0" w:color="auto"/>
        <w:left w:val="none" w:sz="0" w:space="0" w:color="auto"/>
        <w:bottom w:val="none" w:sz="0" w:space="0" w:color="auto"/>
        <w:right w:val="none" w:sz="0" w:space="0" w:color="auto"/>
      </w:divBdr>
    </w:div>
    <w:div w:id="48572479">
      <w:bodyDiv w:val="1"/>
      <w:marLeft w:val="0"/>
      <w:marRight w:val="0"/>
      <w:marTop w:val="0"/>
      <w:marBottom w:val="0"/>
      <w:divBdr>
        <w:top w:val="none" w:sz="0" w:space="0" w:color="auto"/>
        <w:left w:val="none" w:sz="0" w:space="0" w:color="auto"/>
        <w:bottom w:val="none" w:sz="0" w:space="0" w:color="auto"/>
        <w:right w:val="none" w:sz="0" w:space="0" w:color="auto"/>
      </w:divBdr>
    </w:div>
    <w:div w:id="49698451">
      <w:bodyDiv w:val="1"/>
      <w:marLeft w:val="0"/>
      <w:marRight w:val="0"/>
      <w:marTop w:val="0"/>
      <w:marBottom w:val="0"/>
      <w:divBdr>
        <w:top w:val="none" w:sz="0" w:space="0" w:color="auto"/>
        <w:left w:val="none" w:sz="0" w:space="0" w:color="auto"/>
        <w:bottom w:val="none" w:sz="0" w:space="0" w:color="auto"/>
        <w:right w:val="none" w:sz="0" w:space="0" w:color="auto"/>
      </w:divBdr>
    </w:div>
    <w:div w:id="54790548">
      <w:bodyDiv w:val="1"/>
      <w:marLeft w:val="0"/>
      <w:marRight w:val="0"/>
      <w:marTop w:val="0"/>
      <w:marBottom w:val="0"/>
      <w:divBdr>
        <w:top w:val="none" w:sz="0" w:space="0" w:color="auto"/>
        <w:left w:val="none" w:sz="0" w:space="0" w:color="auto"/>
        <w:bottom w:val="none" w:sz="0" w:space="0" w:color="auto"/>
        <w:right w:val="none" w:sz="0" w:space="0" w:color="auto"/>
      </w:divBdr>
    </w:div>
    <w:div w:id="113057686">
      <w:bodyDiv w:val="1"/>
      <w:marLeft w:val="0"/>
      <w:marRight w:val="0"/>
      <w:marTop w:val="0"/>
      <w:marBottom w:val="0"/>
      <w:divBdr>
        <w:top w:val="none" w:sz="0" w:space="0" w:color="auto"/>
        <w:left w:val="none" w:sz="0" w:space="0" w:color="auto"/>
        <w:bottom w:val="none" w:sz="0" w:space="0" w:color="auto"/>
        <w:right w:val="none" w:sz="0" w:space="0" w:color="auto"/>
      </w:divBdr>
    </w:div>
    <w:div w:id="193277194">
      <w:bodyDiv w:val="1"/>
      <w:marLeft w:val="0"/>
      <w:marRight w:val="0"/>
      <w:marTop w:val="0"/>
      <w:marBottom w:val="0"/>
      <w:divBdr>
        <w:top w:val="none" w:sz="0" w:space="0" w:color="auto"/>
        <w:left w:val="none" w:sz="0" w:space="0" w:color="auto"/>
        <w:bottom w:val="none" w:sz="0" w:space="0" w:color="auto"/>
        <w:right w:val="none" w:sz="0" w:space="0" w:color="auto"/>
      </w:divBdr>
    </w:div>
    <w:div w:id="242028931">
      <w:bodyDiv w:val="1"/>
      <w:marLeft w:val="0"/>
      <w:marRight w:val="0"/>
      <w:marTop w:val="0"/>
      <w:marBottom w:val="0"/>
      <w:divBdr>
        <w:top w:val="none" w:sz="0" w:space="0" w:color="auto"/>
        <w:left w:val="none" w:sz="0" w:space="0" w:color="auto"/>
        <w:bottom w:val="none" w:sz="0" w:space="0" w:color="auto"/>
        <w:right w:val="none" w:sz="0" w:space="0" w:color="auto"/>
      </w:divBdr>
    </w:div>
    <w:div w:id="306974390">
      <w:bodyDiv w:val="1"/>
      <w:marLeft w:val="0"/>
      <w:marRight w:val="0"/>
      <w:marTop w:val="0"/>
      <w:marBottom w:val="0"/>
      <w:divBdr>
        <w:top w:val="none" w:sz="0" w:space="0" w:color="auto"/>
        <w:left w:val="none" w:sz="0" w:space="0" w:color="auto"/>
        <w:bottom w:val="none" w:sz="0" w:space="0" w:color="auto"/>
        <w:right w:val="none" w:sz="0" w:space="0" w:color="auto"/>
      </w:divBdr>
    </w:div>
    <w:div w:id="312418889">
      <w:bodyDiv w:val="1"/>
      <w:marLeft w:val="0"/>
      <w:marRight w:val="0"/>
      <w:marTop w:val="0"/>
      <w:marBottom w:val="0"/>
      <w:divBdr>
        <w:top w:val="none" w:sz="0" w:space="0" w:color="auto"/>
        <w:left w:val="none" w:sz="0" w:space="0" w:color="auto"/>
        <w:bottom w:val="none" w:sz="0" w:space="0" w:color="auto"/>
        <w:right w:val="none" w:sz="0" w:space="0" w:color="auto"/>
      </w:divBdr>
    </w:div>
    <w:div w:id="408817742">
      <w:bodyDiv w:val="1"/>
      <w:marLeft w:val="0"/>
      <w:marRight w:val="0"/>
      <w:marTop w:val="0"/>
      <w:marBottom w:val="0"/>
      <w:divBdr>
        <w:top w:val="none" w:sz="0" w:space="0" w:color="auto"/>
        <w:left w:val="none" w:sz="0" w:space="0" w:color="auto"/>
        <w:bottom w:val="none" w:sz="0" w:space="0" w:color="auto"/>
        <w:right w:val="none" w:sz="0" w:space="0" w:color="auto"/>
      </w:divBdr>
    </w:div>
    <w:div w:id="424113340">
      <w:bodyDiv w:val="1"/>
      <w:marLeft w:val="0"/>
      <w:marRight w:val="0"/>
      <w:marTop w:val="0"/>
      <w:marBottom w:val="0"/>
      <w:divBdr>
        <w:top w:val="none" w:sz="0" w:space="0" w:color="auto"/>
        <w:left w:val="none" w:sz="0" w:space="0" w:color="auto"/>
        <w:bottom w:val="none" w:sz="0" w:space="0" w:color="auto"/>
        <w:right w:val="none" w:sz="0" w:space="0" w:color="auto"/>
      </w:divBdr>
    </w:div>
    <w:div w:id="449276843">
      <w:bodyDiv w:val="1"/>
      <w:marLeft w:val="0"/>
      <w:marRight w:val="0"/>
      <w:marTop w:val="0"/>
      <w:marBottom w:val="0"/>
      <w:divBdr>
        <w:top w:val="none" w:sz="0" w:space="0" w:color="auto"/>
        <w:left w:val="none" w:sz="0" w:space="0" w:color="auto"/>
        <w:bottom w:val="none" w:sz="0" w:space="0" w:color="auto"/>
        <w:right w:val="none" w:sz="0" w:space="0" w:color="auto"/>
      </w:divBdr>
    </w:div>
    <w:div w:id="468939701">
      <w:bodyDiv w:val="1"/>
      <w:marLeft w:val="0"/>
      <w:marRight w:val="0"/>
      <w:marTop w:val="0"/>
      <w:marBottom w:val="0"/>
      <w:divBdr>
        <w:top w:val="none" w:sz="0" w:space="0" w:color="auto"/>
        <w:left w:val="none" w:sz="0" w:space="0" w:color="auto"/>
        <w:bottom w:val="none" w:sz="0" w:space="0" w:color="auto"/>
        <w:right w:val="none" w:sz="0" w:space="0" w:color="auto"/>
      </w:divBdr>
    </w:div>
    <w:div w:id="489908018">
      <w:bodyDiv w:val="1"/>
      <w:marLeft w:val="0"/>
      <w:marRight w:val="0"/>
      <w:marTop w:val="0"/>
      <w:marBottom w:val="0"/>
      <w:divBdr>
        <w:top w:val="none" w:sz="0" w:space="0" w:color="auto"/>
        <w:left w:val="none" w:sz="0" w:space="0" w:color="auto"/>
        <w:bottom w:val="none" w:sz="0" w:space="0" w:color="auto"/>
        <w:right w:val="none" w:sz="0" w:space="0" w:color="auto"/>
      </w:divBdr>
    </w:div>
    <w:div w:id="546795120">
      <w:bodyDiv w:val="1"/>
      <w:marLeft w:val="0"/>
      <w:marRight w:val="0"/>
      <w:marTop w:val="0"/>
      <w:marBottom w:val="0"/>
      <w:divBdr>
        <w:top w:val="none" w:sz="0" w:space="0" w:color="auto"/>
        <w:left w:val="none" w:sz="0" w:space="0" w:color="auto"/>
        <w:bottom w:val="none" w:sz="0" w:space="0" w:color="auto"/>
        <w:right w:val="none" w:sz="0" w:space="0" w:color="auto"/>
      </w:divBdr>
    </w:div>
    <w:div w:id="622461620">
      <w:bodyDiv w:val="1"/>
      <w:marLeft w:val="0"/>
      <w:marRight w:val="0"/>
      <w:marTop w:val="0"/>
      <w:marBottom w:val="0"/>
      <w:divBdr>
        <w:top w:val="none" w:sz="0" w:space="0" w:color="auto"/>
        <w:left w:val="none" w:sz="0" w:space="0" w:color="auto"/>
        <w:bottom w:val="none" w:sz="0" w:space="0" w:color="auto"/>
        <w:right w:val="none" w:sz="0" w:space="0" w:color="auto"/>
      </w:divBdr>
    </w:div>
    <w:div w:id="689574626">
      <w:bodyDiv w:val="1"/>
      <w:marLeft w:val="0"/>
      <w:marRight w:val="0"/>
      <w:marTop w:val="0"/>
      <w:marBottom w:val="0"/>
      <w:divBdr>
        <w:top w:val="none" w:sz="0" w:space="0" w:color="auto"/>
        <w:left w:val="none" w:sz="0" w:space="0" w:color="auto"/>
        <w:bottom w:val="none" w:sz="0" w:space="0" w:color="auto"/>
        <w:right w:val="none" w:sz="0" w:space="0" w:color="auto"/>
      </w:divBdr>
    </w:div>
    <w:div w:id="698704488">
      <w:bodyDiv w:val="1"/>
      <w:marLeft w:val="0"/>
      <w:marRight w:val="0"/>
      <w:marTop w:val="0"/>
      <w:marBottom w:val="0"/>
      <w:divBdr>
        <w:top w:val="none" w:sz="0" w:space="0" w:color="auto"/>
        <w:left w:val="none" w:sz="0" w:space="0" w:color="auto"/>
        <w:bottom w:val="none" w:sz="0" w:space="0" w:color="auto"/>
        <w:right w:val="none" w:sz="0" w:space="0" w:color="auto"/>
      </w:divBdr>
    </w:div>
    <w:div w:id="732242304">
      <w:bodyDiv w:val="1"/>
      <w:marLeft w:val="0"/>
      <w:marRight w:val="0"/>
      <w:marTop w:val="0"/>
      <w:marBottom w:val="0"/>
      <w:divBdr>
        <w:top w:val="none" w:sz="0" w:space="0" w:color="auto"/>
        <w:left w:val="none" w:sz="0" w:space="0" w:color="auto"/>
        <w:bottom w:val="none" w:sz="0" w:space="0" w:color="auto"/>
        <w:right w:val="none" w:sz="0" w:space="0" w:color="auto"/>
      </w:divBdr>
    </w:div>
    <w:div w:id="858159469">
      <w:bodyDiv w:val="1"/>
      <w:marLeft w:val="0"/>
      <w:marRight w:val="0"/>
      <w:marTop w:val="0"/>
      <w:marBottom w:val="0"/>
      <w:divBdr>
        <w:top w:val="none" w:sz="0" w:space="0" w:color="auto"/>
        <w:left w:val="none" w:sz="0" w:space="0" w:color="auto"/>
        <w:bottom w:val="none" w:sz="0" w:space="0" w:color="auto"/>
        <w:right w:val="none" w:sz="0" w:space="0" w:color="auto"/>
      </w:divBdr>
    </w:div>
    <w:div w:id="962270192">
      <w:bodyDiv w:val="1"/>
      <w:marLeft w:val="0"/>
      <w:marRight w:val="0"/>
      <w:marTop w:val="0"/>
      <w:marBottom w:val="0"/>
      <w:divBdr>
        <w:top w:val="none" w:sz="0" w:space="0" w:color="auto"/>
        <w:left w:val="none" w:sz="0" w:space="0" w:color="auto"/>
        <w:bottom w:val="none" w:sz="0" w:space="0" w:color="auto"/>
        <w:right w:val="none" w:sz="0" w:space="0" w:color="auto"/>
      </w:divBdr>
    </w:div>
    <w:div w:id="967475049">
      <w:bodyDiv w:val="1"/>
      <w:marLeft w:val="0"/>
      <w:marRight w:val="0"/>
      <w:marTop w:val="0"/>
      <w:marBottom w:val="0"/>
      <w:divBdr>
        <w:top w:val="none" w:sz="0" w:space="0" w:color="auto"/>
        <w:left w:val="none" w:sz="0" w:space="0" w:color="auto"/>
        <w:bottom w:val="none" w:sz="0" w:space="0" w:color="auto"/>
        <w:right w:val="none" w:sz="0" w:space="0" w:color="auto"/>
      </w:divBdr>
    </w:div>
    <w:div w:id="972717320">
      <w:bodyDiv w:val="1"/>
      <w:marLeft w:val="0"/>
      <w:marRight w:val="0"/>
      <w:marTop w:val="0"/>
      <w:marBottom w:val="0"/>
      <w:divBdr>
        <w:top w:val="none" w:sz="0" w:space="0" w:color="auto"/>
        <w:left w:val="none" w:sz="0" w:space="0" w:color="auto"/>
        <w:bottom w:val="none" w:sz="0" w:space="0" w:color="auto"/>
        <w:right w:val="none" w:sz="0" w:space="0" w:color="auto"/>
      </w:divBdr>
    </w:div>
    <w:div w:id="1078405011">
      <w:bodyDiv w:val="1"/>
      <w:marLeft w:val="0"/>
      <w:marRight w:val="0"/>
      <w:marTop w:val="0"/>
      <w:marBottom w:val="0"/>
      <w:divBdr>
        <w:top w:val="none" w:sz="0" w:space="0" w:color="auto"/>
        <w:left w:val="none" w:sz="0" w:space="0" w:color="auto"/>
        <w:bottom w:val="none" w:sz="0" w:space="0" w:color="auto"/>
        <w:right w:val="none" w:sz="0" w:space="0" w:color="auto"/>
      </w:divBdr>
    </w:div>
    <w:div w:id="1088431299">
      <w:bodyDiv w:val="1"/>
      <w:marLeft w:val="0"/>
      <w:marRight w:val="0"/>
      <w:marTop w:val="0"/>
      <w:marBottom w:val="0"/>
      <w:divBdr>
        <w:top w:val="none" w:sz="0" w:space="0" w:color="auto"/>
        <w:left w:val="none" w:sz="0" w:space="0" w:color="auto"/>
        <w:bottom w:val="none" w:sz="0" w:space="0" w:color="auto"/>
        <w:right w:val="none" w:sz="0" w:space="0" w:color="auto"/>
      </w:divBdr>
    </w:div>
    <w:div w:id="1158575308">
      <w:bodyDiv w:val="1"/>
      <w:marLeft w:val="0"/>
      <w:marRight w:val="0"/>
      <w:marTop w:val="0"/>
      <w:marBottom w:val="0"/>
      <w:divBdr>
        <w:top w:val="none" w:sz="0" w:space="0" w:color="auto"/>
        <w:left w:val="none" w:sz="0" w:space="0" w:color="auto"/>
        <w:bottom w:val="none" w:sz="0" w:space="0" w:color="auto"/>
        <w:right w:val="none" w:sz="0" w:space="0" w:color="auto"/>
      </w:divBdr>
    </w:div>
    <w:div w:id="1217855829">
      <w:bodyDiv w:val="1"/>
      <w:marLeft w:val="0"/>
      <w:marRight w:val="0"/>
      <w:marTop w:val="0"/>
      <w:marBottom w:val="0"/>
      <w:divBdr>
        <w:top w:val="none" w:sz="0" w:space="0" w:color="auto"/>
        <w:left w:val="none" w:sz="0" w:space="0" w:color="auto"/>
        <w:bottom w:val="none" w:sz="0" w:space="0" w:color="auto"/>
        <w:right w:val="none" w:sz="0" w:space="0" w:color="auto"/>
      </w:divBdr>
    </w:div>
    <w:div w:id="1245216592">
      <w:bodyDiv w:val="1"/>
      <w:marLeft w:val="0"/>
      <w:marRight w:val="0"/>
      <w:marTop w:val="0"/>
      <w:marBottom w:val="0"/>
      <w:divBdr>
        <w:top w:val="none" w:sz="0" w:space="0" w:color="auto"/>
        <w:left w:val="none" w:sz="0" w:space="0" w:color="auto"/>
        <w:bottom w:val="none" w:sz="0" w:space="0" w:color="auto"/>
        <w:right w:val="none" w:sz="0" w:space="0" w:color="auto"/>
      </w:divBdr>
    </w:div>
    <w:div w:id="1296133991">
      <w:bodyDiv w:val="1"/>
      <w:marLeft w:val="0"/>
      <w:marRight w:val="0"/>
      <w:marTop w:val="0"/>
      <w:marBottom w:val="0"/>
      <w:divBdr>
        <w:top w:val="none" w:sz="0" w:space="0" w:color="auto"/>
        <w:left w:val="none" w:sz="0" w:space="0" w:color="auto"/>
        <w:bottom w:val="none" w:sz="0" w:space="0" w:color="auto"/>
        <w:right w:val="none" w:sz="0" w:space="0" w:color="auto"/>
      </w:divBdr>
    </w:div>
    <w:div w:id="1347102362">
      <w:bodyDiv w:val="1"/>
      <w:marLeft w:val="0"/>
      <w:marRight w:val="0"/>
      <w:marTop w:val="0"/>
      <w:marBottom w:val="0"/>
      <w:divBdr>
        <w:top w:val="none" w:sz="0" w:space="0" w:color="auto"/>
        <w:left w:val="none" w:sz="0" w:space="0" w:color="auto"/>
        <w:bottom w:val="none" w:sz="0" w:space="0" w:color="auto"/>
        <w:right w:val="none" w:sz="0" w:space="0" w:color="auto"/>
      </w:divBdr>
    </w:div>
    <w:div w:id="1352224575">
      <w:bodyDiv w:val="1"/>
      <w:marLeft w:val="0"/>
      <w:marRight w:val="0"/>
      <w:marTop w:val="0"/>
      <w:marBottom w:val="0"/>
      <w:divBdr>
        <w:top w:val="none" w:sz="0" w:space="0" w:color="auto"/>
        <w:left w:val="none" w:sz="0" w:space="0" w:color="auto"/>
        <w:bottom w:val="none" w:sz="0" w:space="0" w:color="auto"/>
        <w:right w:val="none" w:sz="0" w:space="0" w:color="auto"/>
      </w:divBdr>
    </w:div>
    <w:div w:id="1383401628">
      <w:bodyDiv w:val="1"/>
      <w:marLeft w:val="0"/>
      <w:marRight w:val="0"/>
      <w:marTop w:val="0"/>
      <w:marBottom w:val="0"/>
      <w:divBdr>
        <w:top w:val="none" w:sz="0" w:space="0" w:color="auto"/>
        <w:left w:val="none" w:sz="0" w:space="0" w:color="auto"/>
        <w:bottom w:val="none" w:sz="0" w:space="0" w:color="auto"/>
        <w:right w:val="none" w:sz="0" w:space="0" w:color="auto"/>
      </w:divBdr>
    </w:div>
    <w:div w:id="1429279332">
      <w:bodyDiv w:val="1"/>
      <w:marLeft w:val="0"/>
      <w:marRight w:val="0"/>
      <w:marTop w:val="0"/>
      <w:marBottom w:val="0"/>
      <w:divBdr>
        <w:top w:val="none" w:sz="0" w:space="0" w:color="auto"/>
        <w:left w:val="none" w:sz="0" w:space="0" w:color="auto"/>
        <w:bottom w:val="none" w:sz="0" w:space="0" w:color="auto"/>
        <w:right w:val="none" w:sz="0" w:space="0" w:color="auto"/>
      </w:divBdr>
    </w:div>
    <w:div w:id="1442648233">
      <w:bodyDiv w:val="1"/>
      <w:marLeft w:val="0"/>
      <w:marRight w:val="0"/>
      <w:marTop w:val="0"/>
      <w:marBottom w:val="0"/>
      <w:divBdr>
        <w:top w:val="none" w:sz="0" w:space="0" w:color="auto"/>
        <w:left w:val="none" w:sz="0" w:space="0" w:color="auto"/>
        <w:bottom w:val="none" w:sz="0" w:space="0" w:color="auto"/>
        <w:right w:val="none" w:sz="0" w:space="0" w:color="auto"/>
      </w:divBdr>
    </w:div>
    <w:div w:id="1509707756">
      <w:bodyDiv w:val="1"/>
      <w:marLeft w:val="0"/>
      <w:marRight w:val="0"/>
      <w:marTop w:val="0"/>
      <w:marBottom w:val="0"/>
      <w:divBdr>
        <w:top w:val="none" w:sz="0" w:space="0" w:color="auto"/>
        <w:left w:val="none" w:sz="0" w:space="0" w:color="auto"/>
        <w:bottom w:val="none" w:sz="0" w:space="0" w:color="auto"/>
        <w:right w:val="none" w:sz="0" w:space="0" w:color="auto"/>
      </w:divBdr>
    </w:div>
    <w:div w:id="1514758386">
      <w:bodyDiv w:val="1"/>
      <w:marLeft w:val="0"/>
      <w:marRight w:val="0"/>
      <w:marTop w:val="0"/>
      <w:marBottom w:val="0"/>
      <w:divBdr>
        <w:top w:val="none" w:sz="0" w:space="0" w:color="auto"/>
        <w:left w:val="none" w:sz="0" w:space="0" w:color="auto"/>
        <w:bottom w:val="none" w:sz="0" w:space="0" w:color="auto"/>
        <w:right w:val="none" w:sz="0" w:space="0" w:color="auto"/>
      </w:divBdr>
    </w:div>
    <w:div w:id="1548953885">
      <w:bodyDiv w:val="1"/>
      <w:marLeft w:val="0"/>
      <w:marRight w:val="0"/>
      <w:marTop w:val="0"/>
      <w:marBottom w:val="0"/>
      <w:divBdr>
        <w:top w:val="none" w:sz="0" w:space="0" w:color="auto"/>
        <w:left w:val="none" w:sz="0" w:space="0" w:color="auto"/>
        <w:bottom w:val="none" w:sz="0" w:space="0" w:color="auto"/>
        <w:right w:val="none" w:sz="0" w:space="0" w:color="auto"/>
      </w:divBdr>
    </w:div>
    <w:div w:id="1583877565">
      <w:bodyDiv w:val="1"/>
      <w:marLeft w:val="0"/>
      <w:marRight w:val="0"/>
      <w:marTop w:val="0"/>
      <w:marBottom w:val="0"/>
      <w:divBdr>
        <w:top w:val="none" w:sz="0" w:space="0" w:color="auto"/>
        <w:left w:val="none" w:sz="0" w:space="0" w:color="auto"/>
        <w:bottom w:val="none" w:sz="0" w:space="0" w:color="auto"/>
        <w:right w:val="none" w:sz="0" w:space="0" w:color="auto"/>
      </w:divBdr>
    </w:div>
    <w:div w:id="1705328443">
      <w:bodyDiv w:val="1"/>
      <w:marLeft w:val="0"/>
      <w:marRight w:val="0"/>
      <w:marTop w:val="0"/>
      <w:marBottom w:val="0"/>
      <w:divBdr>
        <w:top w:val="none" w:sz="0" w:space="0" w:color="auto"/>
        <w:left w:val="none" w:sz="0" w:space="0" w:color="auto"/>
        <w:bottom w:val="none" w:sz="0" w:space="0" w:color="auto"/>
        <w:right w:val="none" w:sz="0" w:space="0" w:color="auto"/>
      </w:divBdr>
    </w:div>
    <w:div w:id="1733000989">
      <w:bodyDiv w:val="1"/>
      <w:marLeft w:val="0"/>
      <w:marRight w:val="0"/>
      <w:marTop w:val="0"/>
      <w:marBottom w:val="0"/>
      <w:divBdr>
        <w:top w:val="none" w:sz="0" w:space="0" w:color="auto"/>
        <w:left w:val="none" w:sz="0" w:space="0" w:color="auto"/>
        <w:bottom w:val="none" w:sz="0" w:space="0" w:color="auto"/>
        <w:right w:val="none" w:sz="0" w:space="0" w:color="auto"/>
      </w:divBdr>
    </w:div>
    <w:div w:id="1741438127">
      <w:bodyDiv w:val="1"/>
      <w:marLeft w:val="0"/>
      <w:marRight w:val="0"/>
      <w:marTop w:val="0"/>
      <w:marBottom w:val="0"/>
      <w:divBdr>
        <w:top w:val="none" w:sz="0" w:space="0" w:color="auto"/>
        <w:left w:val="none" w:sz="0" w:space="0" w:color="auto"/>
        <w:bottom w:val="none" w:sz="0" w:space="0" w:color="auto"/>
        <w:right w:val="none" w:sz="0" w:space="0" w:color="auto"/>
      </w:divBdr>
    </w:div>
    <w:div w:id="1762098186">
      <w:bodyDiv w:val="1"/>
      <w:marLeft w:val="0"/>
      <w:marRight w:val="0"/>
      <w:marTop w:val="0"/>
      <w:marBottom w:val="0"/>
      <w:divBdr>
        <w:top w:val="none" w:sz="0" w:space="0" w:color="auto"/>
        <w:left w:val="none" w:sz="0" w:space="0" w:color="auto"/>
        <w:bottom w:val="none" w:sz="0" w:space="0" w:color="auto"/>
        <w:right w:val="none" w:sz="0" w:space="0" w:color="auto"/>
      </w:divBdr>
    </w:div>
    <w:div w:id="1765343400">
      <w:bodyDiv w:val="1"/>
      <w:marLeft w:val="0"/>
      <w:marRight w:val="0"/>
      <w:marTop w:val="0"/>
      <w:marBottom w:val="0"/>
      <w:divBdr>
        <w:top w:val="none" w:sz="0" w:space="0" w:color="auto"/>
        <w:left w:val="none" w:sz="0" w:space="0" w:color="auto"/>
        <w:bottom w:val="none" w:sz="0" w:space="0" w:color="auto"/>
        <w:right w:val="none" w:sz="0" w:space="0" w:color="auto"/>
      </w:divBdr>
    </w:div>
    <w:div w:id="1837649037">
      <w:bodyDiv w:val="1"/>
      <w:marLeft w:val="0"/>
      <w:marRight w:val="0"/>
      <w:marTop w:val="0"/>
      <w:marBottom w:val="0"/>
      <w:divBdr>
        <w:top w:val="none" w:sz="0" w:space="0" w:color="auto"/>
        <w:left w:val="none" w:sz="0" w:space="0" w:color="auto"/>
        <w:bottom w:val="none" w:sz="0" w:space="0" w:color="auto"/>
        <w:right w:val="none" w:sz="0" w:space="0" w:color="auto"/>
      </w:divBdr>
    </w:div>
    <w:div w:id="1855337231">
      <w:bodyDiv w:val="1"/>
      <w:marLeft w:val="0"/>
      <w:marRight w:val="0"/>
      <w:marTop w:val="0"/>
      <w:marBottom w:val="0"/>
      <w:divBdr>
        <w:top w:val="none" w:sz="0" w:space="0" w:color="auto"/>
        <w:left w:val="none" w:sz="0" w:space="0" w:color="auto"/>
        <w:bottom w:val="none" w:sz="0" w:space="0" w:color="auto"/>
        <w:right w:val="none" w:sz="0" w:space="0" w:color="auto"/>
      </w:divBdr>
    </w:div>
    <w:div w:id="1870028730">
      <w:bodyDiv w:val="1"/>
      <w:marLeft w:val="0"/>
      <w:marRight w:val="0"/>
      <w:marTop w:val="0"/>
      <w:marBottom w:val="0"/>
      <w:divBdr>
        <w:top w:val="none" w:sz="0" w:space="0" w:color="auto"/>
        <w:left w:val="none" w:sz="0" w:space="0" w:color="auto"/>
        <w:bottom w:val="none" w:sz="0" w:space="0" w:color="auto"/>
        <w:right w:val="none" w:sz="0" w:space="0" w:color="auto"/>
      </w:divBdr>
    </w:div>
    <w:div w:id="1870952076">
      <w:bodyDiv w:val="1"/>
      <w:marLeft w:val="0"/>
      <w:marRight w:val="0"/>
      <w:marTop w:val="0"/>
      <w:marBottom w:val="0"/>
      <w:divBdr>
        <w:top w:val="none" w:sz="0" w:space="0" w:color="auto"/>
        <w:left w:val="none" w:sz="0" w:space="0" w:color="auto"/>
        <w:bottom w:val="none" w:sz="0" w:space="0" w:color="auto"/>
        <w:right w:val="none" w:sz="0" w:space="0" w:color="auto"/>
      </w:divBdr>
    </w:div>
    <w:div w:id="1903756808">
      <w:bodyDiv w:val="1"/>
      <w:marLeft w:val="0"/>
      <w:marRight w:val="0"/>
      <w:marTop w:val="0"/>
      <w:marBottom w:val="0"/>
      <w:divBdr>
        <w:top w:val="none" w:sz="0" w:space="0" w:color="auto"/>
        <w:left w:val="none" w:sz="0" w:space="0" w:color="auto"/>
        <w:bottom w:val="none" w:sz="0" w:space="0" w:color="auto"/>
        <w:right w:val="none" w:sz="0" w:space="0" w:color="auto"/>
      </w:divBdr>
    </w:div>
    <w:div w:id="1947032055">
      <w:bodyDiv w:val="1"/>
      <w:marLeft w:val="0"/>
      <w:marRight w:val="0"/>
      <w:marTop w:val="0"/>
      <w:marBottom w:val="0"/>
      <w:divBdr>
        <w:top w:val="none" w:sz="0" w:space="0" w:color="auto"/>
        <w:left w:val="none" w:sz="0" w:space="0" w:color="auto"/>
        <w:bottom w:val="none" w:sz="0" w:space="0" w:color="auto"/>
        <w:right w:val="none" w:sz="0" w:space="0" w:color="auto"/>
      </w:divBdr>
    </w:div>
    <w:div w:id="1975208721">
      <w:bodyDiv w:val="1"/>
      <w:marLeft w:val="0"/>
      <w:marRight w:val="0"/>
      <w:marTop w:val="0"/>
      <w:marBottom w:val="0"/>
      <w:divBdr>
        <w:top w:val="none" w:sz="0" w:space="0" w:color="auto"/>
        <w:left w:val="none" w:sz="0" w:space="0" w:color="auto"/>
        <w:bottom w:val="none" w:sz="0" w:space="0" w:color="auto"/>
        <w:right w:val="none" w:sz="0" w:space="0" w:color="auto"/>
      </w:divBdr>
    </w:div>
    <w:div w:id="1989747440">
      <w:bodyDiv w:val="1"/>
      <w:marLeft w:val="0"/>
      <w:marRight w:val="0"/>
      <w:marTop w:val="0"/>
      <w:marBottom w:val="0"/>
      <w:divBdr>
        <w:top w:val="none" w:sz="0" w:space="0" w:color="auto"/>
        <w:left w:val="none" w:sz="0" w:space="0" w:color="auto"/>
        <w:bottom w:val="none" w:sz="0" w:space="0" w:color="auto"/>
        <w:right w:val="none" w:sz="0" w:space="0" w:color="auto"/>
      </w:divBdr>
    </w:div>
    <w:div w:id="1996369371">
      <w:bodyDiv w:val="1"/>
      <w:marLeft w:val="0"/>
      <w:marRight w:val="0"/>
      <w:marTop w:val="0"/>
      <w:marBottom w:val="0"/>
      <w:divBdr>
        <w:top w:val="none" w:sz="0" w:space="0" w:color="auto"/>
        <w:left w:val="none" w:sz="0" w:space="0" w:color="auto"/>
        <w:bottom w:val="none" w:sz="0" w:space="0" w:color="auto"/>
        <w:right w:val="none" w:sz="0" w:space="0" w:color="auto"/>
      </w:divBdr>
    </w:div>
    <w:div w:id="2045326442">
      <w:bodyDiv w:val="1"/>
      <w:marLeft w:val="0"/>
      <w:marRight w:val="0"/>
      <w:marTop w:val="0"/>
      <w:marBottom w:val="0"/>
      <w:divBdr>
        <w:top w:val="none" w:sz="0" w:space="0" w:color="auto"/>
        <w:left w:val="none" w:sz="0" w:space="0" w:color="auto"/>
        <w:bottom w:val="none" w:sz="0" w:space="0" w:color="auto"/>
        <w:right w:val="none" w:sz="0" w:space="0" w:color="auto"/>
      </w:divBdr>
    </w:div>
    <w:div w:id="2064329868">
      <w:bodyDiv w:val="1"/>
      <w:marLeft w:val="0"/>
      <w:marRight w:val="0"/>
      <w:marTop w:val="0"/>
      <w:marBottom w:val="0"/>
      <w:divBdr>
        <w:top w:val="none" w:sz="0" w:space="0" w:color="auto"/>
        <w:left w:val="none" w:sz="0" w:space="0" w:color="auto"/>
        <w:bottom w:val="none" w:sz="0" w:space="0" w:color="auto"/>
        <w:right w:val="none" w:sz="0" w:space="0" w:color="auto"/>
      </w:divBdr>
    </w:div>
    <w:div w:id="2082478802">
      <w:bodyDiv w:val="1"/>
      <w:marLeft w:val="0"/>
      <w:marRight w:val="0"/>
      <w:marTop w:val="0"/>
      <w:marBottom w:val="0"/>
      <w:divBdr>
        <w:top w:val="none" w:sz="0" w:space="0" w:color="auto"/>
        <w:left w:val="none" w:sz="0" w:space="0" w:color="auto"/>
        <w:bottom w:val="none" w:sz="0" w:space="0" w:color="auto"/>
        <w:right w:val="none" w:sz="0" w:space="0" w:color="auto"/>
      </w:divBdr>
    </w:div>
    <w:div w:id="2130196666">
      <w:bodyDiv w:val="1"/>
      <w:marLeft w:val="0"/>
      <w:marRight w:val="0"/>
      <w:marTop w:val="0"/>
      <w:marBottom w:val="0"/>
      <w:divBdr>
        <w:top w:val="none" w:sz="0" w:space="0" w:color="auto"/>
        <w:left w:val="none" w:sz="0" w:space="0" w:color="auto"/>
        <w:bottom w:val="none" w:sz="0" w:space="0" w:color="auto"/>
        <w:right w:val="none" w:sz="0" w:space="0" w:color="auto"/>
      </w:divBdr>
    </w:div>
    <w:div w:id="2131968645">
      <w:bodyDiv w:val="1"/>
      <w:marLeft w:val="0"/>
      <w:marRight w:val="0"/>
      <w:marTop w:val="0"/>
      <w:marBottom w:val="0"/>
      <w:divBdr>
        <w:top w:val="none" w:sz="0" w:space="0" w:color="auto"/>
        <w:left w:val="none" w:sz="0" w:space="0" w:color="auto"/>
        <w:bottom w:val="none" w:sz="0" w:space="0" w:color="auto"/>
        <w:right w:val="none" w:sz="0" w:space="0" w:color="auto"/>
      </w:divBdr>
    </w:div>
    <w:div w:id="21456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taq/certdata.htm" TargetMode="External"/><Relationship Id="rId13" Type="http://schemas.openxmlformats.org/officeDocument/2006/relationships/image" Target="media/image1.wmf"/><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yperlink" Target="http://www.regulations.gov"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lerical@%20R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BBD35-036C-4A25-8074-780BC03AC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14935</Words>
  <Characters>85132</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99868</CharactersWithSpaces>
  <SharedDoc>false</SharedDoc>
  <HLinks>
    <vt:vector size="18" baseType="variant">
      <vt:variant>
        <vt:i4>6553673</vt:i4>
      </vt:variant>
      <vt:variant>
        <vt:i4>8</vt:i4>
      </vt:variant>
      <vt:variant>
        <vt:i4>0</vt:i4>
      </vt:variant>
      <vt:variant>
        <vt:i4>5</vt:i4>
      </vt:variant>
      <vt:variant>
        <vt:lpwstr>mailto:Operator@$48.40/hr</vt:lpwstr>
      </vt:variant>
      <vt:variant>
        <vt:lpwstr/>
      </vt:variant>
      <vt:variant>
        <vt:i4>2818151</vt:i4>
      </vt:variant>
      <vt:variant>
        <vt:i4>5</vt:i4>
      </vt:variant>
      <vt:variant>
        <vt:i4>0</vt:i4>
      </vt:variant>
      <vt:variant>
        <vt:i4>5</vt:i4>
      </vt:variant>
      <vt:variant>
        <vt:lpwstr>http://www.regulations.gov/</vt:lpwstr>
      </vt:variant>
      <vt:variant>
        <vt:lpwstr/>
      </vt:variant>
      <vt:variant>
        <vt:i4>720912</vt:i4>
      </vt:variant>
      <vt:variant>
        <vt:i4>2</vt:i4>
      </vt:variant>
      <vt:variant>
        <vt:i4>0</vt:i4>
      </vt:variant>
      <vt:variant>
        <vt:i4>5</vt:i4>
      </vt:variant>
      <vt:variant>
        <vt:lpwstr>http://www.epa.gov/otaq/certdata.htm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Brakora</dc:creator>
  <cp:lastModifiedBy>Kerwin, Courtney</cp:lastModifiedBy>
  <cp:revision>2</cp:revision>
  <cp:lastPrinted>2015-05-18T14:47:00Z</cp:lastPrinted>
  <dcterms:created xsi:type="dcterms:W3CDTF">2015-08-21T18:48:00Z</dcterms:created>
  <dcterms:modified xsi:type="dcterms:W3CDTF">2015-08-21T18:48:00Z</dcterms:modified>
</cp:coreProperties>
</file>