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959B3" w:rsidRPr="00354AE0" w:rsidTr="004959B3">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959B3" w:rsidRPr="00354AE0">
              <w:trPr>
                <w:tblCellSpacing w:w="0" w:type="dxa"/>
                <w:jc w:val="center"/>
              </w:trPr>
              <w:tc>
                <w:tcPr>
                  <w:tcW w:w="5000" w:type="pct"/>
                  <w:vAlign w:val="center"/>
                </w:tcPr>
                <w:tbl>
                  <w:tblPr>
                    <w:tblW w:w="5000" w:type="pct"/>
                    <w:tblCellSpacing w:w="0" w:type="dxa"/>
                    <w:tblCellMar>
                      <w:left w:w="0" w:type="dxa"/>
                      <w:right w:w="0" w:type="dxa"/>
                    </w:tblCellMar>
                    <w:tblLook w:val="04A0" w:firstRow="1" w:lastRow="0" w:firstColumn="1" w:lastColumn="0" w:noHBand="0" w:noVBand="1"/>
                  </w:tblPr>
                  <w:tblGrid>
                    <w:gridCol w:w="9000"/>
                  </w:tblGrid>
                  <w:tr w:rsidR="004959B3" w:rsidRPr="00354AE0">
                    <w:trPr>
                      <w:tblCellSpacing w:w="0" w:type="dxa"/>
                    </w:trPr>
                    <w:tc>
                      <w:tcPr>
                        <w:tcW w:w="0" w:type="auto"/>
                        <w:vAlign w:val="bottom"/>
                        <w:hideMark/>
                      </w:tcPr>
                      <w:p w:rsidR="004959B3" w:rsidRPr="00354AE0" w:rsidRDefault="004959B3">
                        <w:pPr>
                          <w:rPr>
                            <w:color w:val="000000"/>
                          </w:rPr>
                        </w:pPr>
                        <w:r w:rsidRPr="00354AE0">
                          <w:rPr>
                            <w:noProof/>
                            <w:color w:val="000000"/>
                          </w:rPr>
                          <w:drawing>
                            <wp:inline distT="0" distB="0" distL="0" distR="0" wp14:anchorId="061E233A" wp14:editId="4D3A225D">
                              <wp:extent cx="5711825" cy="1276350"/>
                              <wp:effectExtent l="0" t="0" r="0" b="0"/>
                              <wp:docPr id="6" name="Picture 6" descr="https://origin.ih.constantcontact.com/fs134/1116835862081/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igin.ih.constantcontact.com/fs134/1116835862081/img/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1825" cy="1276350"/>
                                      </a:xfrm>
                                      <a:prstGeom prst="rect">
                                        <a:avLst/>
                                      </a:prstGeom>
                                      <a:noFill/>
                                      <a:ln>
                                        <a:noFill/>
                                      </a:ln>
                                    </pic:spPr>
                                  </pic:pic>
                                </a:graphicData>
                              </a:graphic>
                            </wp:inline>
                          </w:drawing>
                        </w:r>
                      </w:p>
                    </w:tc>
                  </w:tr>
                </w:tbl>
                <w:p w:rsidR="004959B3" w:rsidRPr="00354AE0" w:rsidRDefault="004959B3">
                  <w:pPr>
                    <w:rPr>
                      <w:vanish/>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0"/>
                  </w:tblGrid>
                  <w:tr w:rsidR="004959B3" w:rsidRPr="00354AE0">
                    <w:trPr>
                      <w:tblCellSpacing w:w="0" w:type="dxa"/>
                    </w:trPr>
                    <w:tc>
                      <w:tcPr>
                        <w:tcW w:w="0" w:type="auto"/>
                        <w:vAlign w:val="center"/>
                        <w:hideMark/>
                      </w:tcPr>
                      <w:p w:rsidR="004959B3" w:rsidRPr="00354AE0" w:rsidRDefault="00A67FAF">
                        <w:pPr>
                          <w:pStyle w:val="NormalWeb"/>
                          <w:spacing w:before="0" w:beforeAutospacing="0" w:after="0" w:afterAutospacing="0"/>
                          <w:rPr>
                            <w:i/>
                            <w:color w:val="000000"/>
                          </w:rPr>
                        </w:pPr>
                        <w:r w:rsidRPr="00354AE0">
                          <w:rPr>
                            <w:rStyle w:val="Strong"/>
                            <w:i/>
                            <w:color w:val="000000"/>
                          </w:rPr>
                          <w:t>[Date]</w:t>
                        </w:r>
                      </w:p>
                      <w:p w:rsidR="004959B3" w:rsidRPr="00354AE0" w:rsidRDefault="004959B3">
                        <w:pPr>
                          <w:pStyle w:val="NormalWeb"/>
                          <w:spacing w:before="0" w:beforeAutospacing="0" w:after="0" w:afterAutospacing="0"/>
                          <w:jc w:val="center"/>
                          <w:rPr>
                            <w:color w:val="000000"/>
                          </w:rPr>
                        </w:pPr>
                        <w:r w:rsidRPr="00354AE0">
                          <w:rPr>
                            <w:b/>
                            <w:bCs/>
                            <w:caps/>
                            <w:color w:val="FF0000"/>
                          </w:rPr>
                          <w:t>  </w:t>
                        </w:r>
                      </w:p>
                      <w:p w:rsidR="004959B3" w:rsidRPr="00354AE0" w:rsidRDefault="004959B3">
                        <w:pPr>
                          <w:pStyle w:val="NormalWeb"/>
                          <w:spacing w:before="0" w:beforeAutospacing="0" w:after="0" w:afterAutospacing="0"/>
                          <w:jc w:val="center"/>
                          <w:rPr>
                            <w:color w:val="000000"/>
                          </w:rPr>
                        </w:pPr>
                        <w:r w:rsidRPr="00354AE0">
                          <w:rPr>
                            <w:b/>
                            <w:bCs/>
                            <w:color w:val="FF0000"/>
                          </w:rPr>
                          <w:t>  </w:t>
                        </w:r>
                      </w:p>
                      <w:p w:rsidR="004959B3" w:rsidRPr="00354AE0" w:rsidRDefault="004959B3" w:rsidP="00C10652">
                        <w:pPr>
                          <w:pStyle w:val="NormalWeb"/>
                          <w:spacing w:before="0" w:beforeAutospacing="0" w:after="0" w:afterAutospacing="0"/>
                          <w:outlineLvl w:val="0"/>
                          <w:rPr>
                            <w:color w:val="000000"/>
                          </w:rPr>
                        </w:pPr>
                        <w:r w:rsidRPr="00354AE0">
                          <w:rPr>
                            <w:b/>
                            <w:bCs/>
                            <w:color w:val="000000"/>
                          </w:rPr>
                          <w:t>FROM:</w:t>
                        </w:r>
                        <w:r w:rsidRPr="00354AE0">
                          <w:rPr>
                            <w:color w:val="000000"/>
                          </w:rPr>
                          <w:t>                  </w:t>
                        </w:r>
                        <w:r w:rsidR="00C10652" w:rsidRPr="00354AE0">
                          <w:rPr>
                            <w:color w:val="000000"/>
                          </w:rPr>
                          <w:t xml:space="preserve"> </w:t>
                        </w:r>
                        <w:r w:rsidRPr="00354AE0">
                          <w:rPr>
                            <w:color w:val="000000"/>
                          </w:rPr>
                          <w:t> </w:t>
                        </w:r>
                        <w:r w:rsidR="00C10652" w:rsidRPr="00354AE0">
                          <w:rPr>
                            <w:i/>
                            <w:color w:val="000000"/>
                          </w:rPr>
                          <w:t>[EIA Contact]</w:t>
                        </w:r>
                        <w:bookmarkStart w:id="0" w:name="_GoBack"/>
                        <w:bookmarkEnd w:id="0"/>
                      </w:p>
                      <w:p w:rsidR="004959B3" w:rsidRPr="00354AE0" w:rsidRDefault="004959B3">
                        <w:pPr>
                          <w:pStyle w:val="NormalWeb"/>
                          <w:spacing w:before="0" w:beforeAutospacing="0" w:after="0" w:afterAutospacing="0"/>
                          <w:ind w:left="1440" w:firstLine="720"/>
                          <w:rPr>
                            <w:color w:val="000000"/>
                          </w:rPr>
                        </w:pPr>
                        <w:r w:rsidRPr="00354AE0">
                          <w:rPr>
                            <w:color w:val="000000"/>
                          </w:rPr>
                          <w:t> </w:t>
                        </w:r>
                      </w:p>
                      <w:p w:rsidR="004959B3" w:rsidRPr="00354AE0" w:rsidRDefault="004959B3">
                        <w:pPr>
                          <w:pStyle w:val="NormalWeb"/>
                          <w:spacing w:before="0" w:beforeAutospacing="0" w:after="0" w:afterAutospacing="0"/>
                          <w:rPr>
                            <w:color w:val="000000"/>
                          </w:rPr>
                        </w:pPr>
                        <w:r w:rsidRPr="00354AE0">
                          <w:rPr>
                            <w:b/>
                            <w:bCs/>
                            <w:color w:val="000000"/>
                          </w:rPr>
                          <w:t>TO:</w:t>
                        </w:r>
                        <w:r w:rsidRPr="00354AE0">
                          <w:rPr>
                            <w:color w:val="000000"/>
                          </w:rPr>
                          <w:t>                        </w:t>
                        </w:r>
                        <w:r w:rsidR="00C10652" w:rsidRPr="00354AE0">
                          <w:rPr>
                            <w:color w:val="000000"/>
                          </w:rPr>
                          <w:t xml:space="preserve"> </w:t>
                        </w:r>
                        <w:r w:rsidRPr="00354AE0">
                          <w:rPr>
                            <w:color w:val="000000"/>
                          </w:rPr>
                          <w:t> </w:t>
                        </w:r>
                        <w:r w:rsidR="00C10652" w:rsidRPr="00354AE0">
                          <w:rPr>
                            <w:i/>
                            <w:color w:val="000000"/>
                          </w:rPr>
                          <w:t>[EIA-111 Respondent]</w:t>
                        </w:r>
                      </w:p>
                      <w:p w:rsidR="004959B3" w:rsidRPr="00354AE0" w:rsidRDefault="004959B3">
                        <w:pPr>
                          <w:pStyle w:val="NormalWeb"/>
                          <w:spacing w:before="0" w:beforeAutospacing="0" w:after="0" w:afterAutospacing="0"/>
                          <w:rPr>
                            <w:color w:val="000000"/>
                          </w:rPr>
                        </w:pPr>
                        <w:r w:rsidRPr="00354AE0">
                          <w:rPr>
                            <w:b/>
                            <w:bCs/>
                            <w:color w:val="000000"/>
                          </w:rPr>
                          <w:t>  </w:t>
                        </w:r>
                      </w:p>
                      <w:p w:rsidR="004959B3" w:rsidRPr="00354AE0" w:rsidRDefault="004959B3">
                        <w:pPr>
                          <w:pStyle w:val="NormalWeb"/>
                          <w:spacing w:before="0" w:beforeAutospacing="0" w:after="0" w:afterAutospacing="0"/>
                          <w:rPr>
                            <w:color w:val="000000"/>
                          </w:rPr>
                        </w:pPr>
                        <w:r w:rsidRPr="00354AE0">
                          <w:rPr>
                            <w:b/>
                            <w:bCs/>
                            <w:color w:val="000000"/>
                          </w:rPr>
                          <w:t>SUBJECT:</w:t>
                        </w:r>
                        <w:r w:rsidRPr="00354AE0">
                          <w:rPr>
                            <w:color w:val="000000"/>
                          </w:rPr>
                          <w:t>              CAMPAIGN REMINDER FOR THE QUARTERLY  </w:t>
                        </w:r>
                      </w:p>
                      <w:p w:rsidR="004959B3" w:rsidRPr="00354AE0" w:rsidRDefault="004959B3">
                        <w:pPr>
                          <w:pStyle w:val="NormalWeb"/>
                          <w:spacing w:before="0" w:beforeAutospacing="0" w:after="0" w:afterAutospacing="0"/>
                          <w:rPr>
                            <w:color w:val="000000"/>
                          </w:rPr>
                        </w:pPr>
                        <w:r w:rsidRPr="00354AE0">
                          <w:rPr>
                            <w:color w:val="000000"/>
                          </w:rPr>
                          <w:t>                                  ELECTRICITY IMPORTS AND EXPORTS SURVEY (EIA-111) </w:t>
                        </w:r>
                      </w:p>
                      <w:p w:rsidR="004959B3" w:rsidRPr="00354AE0" w:rsidRDefault="004959B3">
                        <w:pPr>
                          <w:pStyle w:val="NormalWeb"/>
                          <w:spacing w:before="0" w:beforeAutospacing="0" w:after="0" w:afterAutospacing="0"/>
                          <w:rPr>
                            <w:color w:val="000000"/>
                          </w:rPr>
                        </w:pPr>
                        <w:r w:rsidRPr="00354AE0">
                          <w:rPr>
                            <w:color w:val="000000"/>
                          </w:rPr>
                          <w:t> </w:t>
                        </w:r>
                      </w:p>
                      <w:p w:rsidR="004959B3" w:rsidRPr="00354AE0" w:rsidRDefault="004959B3">
                        <w:pPr>
                          <w:pStyle w:val="NormalWeb"/>
                          <w:spacing w:before="0" w:beforeAutospacing="0" w:after="0" w:afterAutospacing="0"/>
                          <w:rPr>
                            <w:color w:val="000000"/>
                          </w:rPr>
                        </w:pPr>
                        <w:r w:rsidRPr="00354AE0">
                          <w:rPr>
                            <w:color w:val="000000"/>
                          </w:rPr>
                          <w:t> </w:t>
                        </w:r>
                      </w:p>
                      <w:p w:rsidR="004959B3" w:rsidRPr="00354AE0" w:rsidRDefault="004959B3">
                        <w:pPr>
                          <w:pStyle w:val="NormalWeb"/>
                          <w:spacing w:before="0" w:beforeAutospacing="0" w:after="0" w:afterAutospacing="0"/>
                          <w:rPr>
                            <w:color w:val="000000"/>
                          </w:rPr>
                        </w:pPr>
                        <w:r w:rsidRPr="00354AE0">
                          <w:rPr>
                            <w:caps/>
                            <w:color w:val="000000"/>
                          </w:rPr>
                          <w:t> </w:t>
                        </w:r>
                      </w:p>
                      <w:p w:rsidR="004959B3" w:rsidRPr="00354AE0" w:rsidRDefault="004959B3">
                        <w:pPr>
                          <w:pStyle w:val="NormalWeb"/>
                          <w:spacing w:before="0" w:beforeAutospacing="0" w:after="0" w:afterAutospacing="0"/>
                          <w:rPr>
                            <w:color w:val="000000"/>
                          </w:rPr>
                        </w:pPr>
                        <w:r w:rsidRPr="00354AE0">
                          <w:rPr>
                            <w:b/>
                            <w:bCs/>
                            <w:caps/>
                            <w:color w:val="000000"/>
                          </w:rPr>
                          <w:t>Reference:</w:t>
                        </w:r>
                        <w:r w:rsidRPr="00354AE0">
                          <w:rPr>
                            <w:caps/>
                            <w:color w:val="000000"/>
                          </w:rPr>
                          <w:t xml:space="preserve">        </w:t>
                        </w:r>
                        <w:r w:rsidRPr="00354AE0">
                          <w:rPr>
                            <w:color w:val="000000"/>
                          </w:rPr>
                          <w:t>OMB No. 1905-0208 (Expiration Date: 09/30/2015)</w:t>
                        </w:r>
                      </w:p>
                    </w:tc>
                  </w:tr>
                </w:tbl>
                <w:p w:rsidR="004959B3" w:rsidRPr="00354AE0" w:rsidRDefault="004959B3">
                  <w:pPr>
                    <w:rPr>
                      <w:sz w:val="20"/>
                      <w:szCs w:val="20"/>
                    </w:rPr>
                  </w:pPr>
                </w:p>
              </w:tc>
            </w:tr>
            <w:tr w:rsidR="004959B3" w:rsidRPr="00354AE0">
              <w:trPr>
                <w:trHeight w:val="225"/>
                <w:tblCellSpacing w:w="0" w:type="dxa"/>
                <w:jc w:val="center"/>
              </w:trPr>
              <w:tc>
                <w:tcPr>
                  <w:tcW w:w="0" w:type="auto"/>
                  <w:vAlign w:val="center"/>
                  <w:hideMark/>
                </w:tcPr>
                <w:p w:rsidR="004959B3" w:rsidRPr="00354AE0" w:rsidRDefault="004959B3">
                  <w:pPr>
                    <w:rPr>
                      <w:sz w:val="20"/>
                      <w:szCs w:val="20"/>
                    </w:rPr>
                  </w:pPr>
                </w:p>
              </w:tc>
            </w:tr>
            <w:tr w:rsidR="004959B3" w:rsidRPr="00354AE0">
              <w:trPr>
                <w:tblCellSpacing w:w="0" w:type="dxa"/>
                <w:jc w:val="center"/>
              </w:trPr>
              <w:tc>
                <w:tcPr>
                  <w:tcW w:w="5000" w:type="pct"/>
                  <w:vAlign w:val="center"/>
                  <w:hideMark/>
                </w:tcPr>
                <w:p w:rsidR="004959B3" w:rsidRPr="00354AE0" w:rsidRDefault="004959B3">
                  <w:pPr>
                    <w:rPr>
                      <w:sz w:val="20"/>
                      <w:szCs w:val="20"/>
                    </w:rPr>
                  </w:pPr>
                </w:p>
              </w:tc>
            </w:tr>
            <w:tr w:rsidR="004959B3" w:rsidRPr="00354AE0">
              <w:trPr>
                <w:tblCellSpacing w:w="0" w:type="dxa"/>
                <w:jc w:val="center"/>
              </w:trPr>
              <w:tc>
                <w:tcPr>
                  <w:tcW w:w="5000" w:type="pct"/>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0"/>
                  </w:tblGrid>
                  <w:tr w:rsidR="004959B3" w:rsidRPr="00354AE0">
                    <w:trPr>
                      <w:tblCellSpacing w:w="0" w:type="dxa"/>
                    </w:trPr>
                    <w:tc>
                      <w:tcPr>
                        <w:tcW w:w="0" w:type="auto"/>
                        <w:vAlign w:val="center"/>
                        <w:hideMark/>
                      </w:tcPr>
                      <w:p w:rsidR="004959B3" w:rsidRPr="00354AE0" w:rsidRDefault="004959B3" w:rsidP="00F27B65">
                        <w:pPr>
                          <w:spacing w:before="90" w:after="90"/>
                          <w:rPr>
                            <w:color w:val="000000"/>
                          </w:rPr>
                        </w:pPr>
                        <w:r w:rsidRPr="00354AE0">
                          <w:rPr>
                            <w:color w:val="000000"/>
                          </w:rPr>
                          <w:t>This is a reminder that the Q2 2015 reporting period is</w:t>
                        </w:r>
                        <w:r w:rsidRPr="00354AE0">
                          <w:rPr>
                            <w:rStyle w:val="Strong"/>
                            <w:color w:val="000000"/>
                          </w:rPr>
                          <w:t xml:space="preserve"> due in less than a week</w:t>
                        </w:r>
                        <w:r w:rsidR="00A9647F" w:rsidRPr="00354AE0">
                          <w:rPr>
                            <w:color w:val="000000"/>
                          </w:rPr>
                          <w:t>, on July 31, 2015. These</w:t>
                        </w:r>
                        <w:r w:rsidRPr="00354AE0">
                          <w:rPr>
                            <w:color w:val="000000"/>
                          </w:rPr>
                          <w:t xml:space="preserve"> data </w:t>
                        </w:r>
                        <w:r w:rsidR="00F27B65" w:rsidRPr="00354AE0">
                          <w:rPr>
                            <w:color w:val="000000"/>
                          </w:rPr>
                          <w:t>are</w:t>
                        </w:r>
                        <w:r w:rsidRPr="00354AE0">
                          <w:rPr>
                            <w:color w:val="000000"/>
                          </w:rPr>
                          <w:t xml:space="preserve"> collected pursuant to the Federal Energy Administration (FEA) Act of 1974, Public Law 93-275, and response to this survey is mandatory under the FEA Act. </w:t>
                        </w:r>
                      </w:p>
                      <w:p w:rsidR="00F27B65" w:rsidRPr="00354AE0" w:rsidRDefault="00F27B65" w:rsidP="00F27B65">
                        <w:pPr>
                          <w:spacing w:before="90" w:after="90"/>
                          <w:rPr>
                            <w:color w:val="000000"/>
                          </w:rPr>
                        </w:pPr>
                      </w:p>
                      <w:p w:rsidR="00DE062E" w:rsidRPr="00354AE0" w:rsidRDefault="00DE062E" w:rsidP="00F27B65">
                        <w:pPr>
                          <w:widowControl w:val="0"/>
                          <w:autoSpaceDE w:val="0"/>
                          <w:autoSpaceDN w:val="0"/>
                          <w:adjustRightInd w:val="0"/>
                        </w:pPr>
                        <w:r w:rsidRPr="00354AE0">
                          <w:t>The data collected from the EIA-</w:t>
                        </w:r>
                        <w:r w:rsidR="0059213D" w:rsidRPr="00354AE0">
                          <w:t>111</w:t>
                        </w:r>
                        <w:r w:rsidR="00F27B65" w:rsidRPr="00354AE0">
                          <w:t xml:space="preserve"> </w:t>
                        </w:r>
                        <w:r w:rsidR="0059213D" w:rsidRPr="00354AE0">
                          <w:t>are</w:t>
                        </w:r>
                        <w:r w:rsidRPr="00354AE0">
                          <w:t xml:space="preserve"> used to </w:t>
                        </w:r>
                        <w:r w:rsidR="0059213D" w:rsidRPr="00354AE0">
                          <w:t>obtain an accurate measure of the flow of electricity into and out of the United States by collecting data on U.S. electricity imports and exports</w:t>
                        </w:r>
                        <w:r w:rsidR="009E0DC6" w:rsidRPr="00354AE0">
                          <w:t>.  The data will appear in several EIA publications, such as the Annual Energy Outlook, the Electric Power Annual, and the Annual Energy Review</w:t>
                        </w:r>
                        <w:r w:rsidR="00F27B65" w:rsidRPr="00354AE0">
                          <w:t>.  T</w:t>
                        </w:r>
                        <w:r w:rsidR="009E0DC6" w:rsidRPr="00354AE0">
                          <w:t>he data will also be used in other EIA products, such as the State Energy Data System and for EIA forecast models.</w:t>
                        </w:r>
                        <w:r w:rsidRPr="00354AE0">
                          <w:t xml:space="preserve"> </w:t>
                        </w:r>
                      </w:p>
                      <w:p w:rsidR="00376C91" w:rsidRPr="00354AE0" w:rsidRDefault="00376C91" w:rsidP="00DE062E">
                        <w:pPr>
                          <w:widowControl w:val="0"/>
                          <w:autoSpaceDE w:val="0"/>
                          <w:autoSpaceDN w:val="0"/>
                          <w:adjustRightInd w:val="0"/>
                        </w:pPr>
                      </w:p>
                      <w:p w:rsidR="004959B3" w:rsidRPr="00354AE0" w:rsidRDefault="004959B3">
                        <w:pPr>
                          <w:spacing w:after="240"/>
                          <w:rPr>
                            <w:color w:val="000000"/>
                          </w:rPr>
                        </w:pPr>
                        <w:r w:rsidRPr="00354AE0">
                          <w:rPr>
                            <w:color w:val="000000"/>
                          </w:rPr>
                          <w:t xml:space="preserve">We want to help make this process as easy for you as possible. Thank you for your time and effort in diligently completing this form. We appreciate your timely report of Q2 2015 data </w:t>
                        </w:r>
                        <w:r w:rsidRPr="00354AE0">
                          <w:rPr>
                            <w:rStyle w:val="Strong"/>
                            <w:color w:val="000000"/>
                          </w:rPr>
                          <w:t xml:space="preserve">by July 31, 2015. </w:t>
                        </w:r>
                      </w:p>
                    </w:tc>
                  </w:tr>
                </w:tbl>
                <w:p w:rsidR="004959B3" w:rsidRPr="00354AE0" w:rsidRDefault="004959B3">
                  <w:pPr>
                    <w:rPr>
                      <w:sz w:val="20"/>
                      <w:szCs w:val="20"/>
                    </w:rPr>
                  </w:pPr>
                </w:p>
              </w:tc>
            </w:tr>
            <w:tr w:rsidR="004959B3" w:rsidRPr="00354AE0">
              <w:trPr>
                <w:tblCellSpacing w:w="0" w:type="dxa"/>
                <w:jc w:val="center"/>
              </w:trPr>
              <w:tc>
                <w:tcPr>
                  <w:tcW w:w="5000" w:type="pct"/>
                  <w:vAlign w:val="center"/>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0"/>
                  </w:tblGrid>
                  <w:tr w:rsidR="004959B3" w:rsidRPr="00354AE0">
                    <w:trPr>
                      <w:tblCellSpacing w:w="0" w:type="dxa"/>
                    </w:trPr>
                    <w:tc>
                      <w:tcPr>
                        <w:tcW w:w="0" w:type="auto"/>
                        <w:vAlign w:val="center"/>
                        <w:hideMark/>
                      </w:tcPr>
                      <w:p w:rsidR="004959B3" w:rsidRPr="00354AE0" w:rsidRDefault="004959B3">
                        <w:pPr>
                          <w:pStyle w:val="NormalWeb"/>
                          <w:spacing w:before="0" w:beforeAutospacing="0" w:after="0" w:afterAutospacing="0"/>
                          <w:rPr>
                            <w:color w:val="000000"/>
                          </w:rPr>
                        </w:pPr>
                        <w:r w:rsidRPr="00354AE0">
                          <w:rPr>
                            <w:color w:val="000000"/>
                          </w:rPr>
                          <w:t xml:space="preserve">Please log into the U.S. Energy Information Administration </w:t>
                        </w:r>
                        <w:hyperlink r:id="rId6" w:tgtFrame="_blank" w:history="1">
                          <w:r w:rsidRPr="00354AE0">
                            <w:rPr>
                              <w:rStyle w:val="Hyperlink"/>
                            </w:rPr>
                            <w:t>Data xChange Community Portal</w:t>
                          </w:r>
                        </w:hyperlink>
                        <w:r w:rsidRPr="00354AE0">
                          <w:rPr>
                            <w:color w:val="000000"/>
                          </w:rPr>
                          <w:t xml:space="preserve"> to access the campaign and submit your data. The campaign can be accessed from the U.S. Energy Information Administration Data xChange Community Portal </w:t>
                        </w:r>
                        <w:r w:rsidRPr="00354AE0">
                          <w:rPr>
                            <w:b/>
                            <w:bCs/>
                            <w:color w:val="000000"/>
                          </w:rPr>
                          <w:t>Home</w:t>
                        </w:r>
                        <w:r w:rsidRPr="00354AE0">
                          <w:rPr>
                            <w:color w:val="000000"/>
                          </w:rPr>
                          <w:t xml:space="preserve"> or </w:t>
                        </w:r>
                        <w:r w:rsidRPr="00354AE0">
                          <w:rPr>
                            <w:b/>
                            <w:bCs/>
                            <w:color w:val="000000"/>
                          </w:rPr>
                          <w:t>Campaign</w:t>
                        </w:r>
                        <w:r w:rsidRPr="00354AE0">
                          <w:rPr>
                            <w:color w:val="000000"/>
                          </w:rPr>
                          <w:t xml:space="preserve"> tab. For instructions on how to submit your data, select the </w:t>
                        </w:r>
                        <w:r w:rsidRPr="00354AE0">
                          <w:rPr>
                            <w:b/>
                            <w:bCs/>
                            <w:color w:val="000000"/>
                          </w:rPr>
                          <w:t xml:space="preserve">Knowledge </w:t>
                        </w:r>
                        <w:r w:rsidRPr="00354AE0">
                          <w:rPr>
                            <w:color w:val="000000"/>
                          </w:rPr>
                          <w:t>tab and type in 111 and you will find Information Session materials that include YouTube Videos, Power Point presentations and Frequently Asked Questions.</w:t>
                        </w:r>
                      </w:p>
                      <w:p w:rsidR="00376C91" w:rsidRPr="00354AE0" w:rsidRDefault="00376C91">
                        <w:pPr>
                          <w:pStyle w:val="NormalWeb"/>
                          <w:spacing w:before="0" w:beforeAutospacing="0" w:after="0" w:afterAutospacing="0"/>
                          <w:rPr>
                            <w:color w:val="000000"/>
                          </w:rPr>
                        </w:pPr>
                      </w:p>
                      <w:p w:rsidR="00376C91" w:rsidRPr="00354AE0" w:rsidRDefault="00376C91" w:rsidP="00376C91">
                        <w:pPr>
                          <w:rPr>
                            <w:color w:val="000000"/>
                          </w:rPr>
                        </w:pPr>
                        <w:r w:rsidRPr="00354AE0">
                          <w:t xml:space="preserve">If you have not completed your submission for this reporting period, we advise you to please do so </w:t>
                        </w:r>
                        <w:r w:rsidR="00F27B65" w:rsidRPr="00354AE0">
                          <w:t xml:space="preserve">prior to the due date </w:t>
                        </w:r>
                        <w:r w:rsidRPr="00354AE0">
                          <w:t xml:space="preserve">as your response is </w:t>
                        </w:r>
                        <w:r w:rsidRPr="00354AE0">
                          <w:rPr>
                            <w:b/>
                          </w:rPr>
                          <w:t>mandatory</w:t>
                        </w:r>
                        <w:r w:rsidRPr="00354AE0">
                          <w:t xml:space="preserve"> and required </w:t>
                        </w:r>
                        <w:r w:rsidR="00F27B65" w:rsidRPr="00354AE0">
                          <w:t>by law</w:t>
                        </w:r>
                        <w:r w:rsidRPr="00354AE0">
                          <w:t xml:space="preserve">.  Failure to respond may result in fines and other penalties.  </w:t>
                        </w:r>
                        <w:r w:rsidR="007B5044" w:rsidRPr="00354AE0">
                          <w:t xml:space="preserve">Your company’s mandatory participation will continue into the future unless otherwise notified.  </w:t>
                        </w:r>
                        <w:r w:rsidRPr="00354AE0">
                          <w:t>EIA estimates that the average reporting burden for this survey is 1.5 hours</w:t>
                        </w:r>
                        <w:r w:rsidRPr="00354AE0">
                          <w:rPr>
                            <w:i/>
                            <w:color w:val="000000"/>
                          </w:rPr>
                          <w:t>.</w:t>
                        </w:r>
                        <w:r w:rsidRPr="00354AE0">
                          <w:rPr>
                            <w:color w:val="000000"/>
                          </w:rPr>
                          <w:t xml:space="preserve"> The information reported on </w:t>
                        </w:r>
                        <w:r w:rsidRPr="00354AE0">
                          <w:t>Form EIA-111</w:t>
                        </w:r>
                        <w:r w:rsidRPr="00354AE0">
                          <w:rPr>
                            <w:color w:val="000000"/>
                          </w:rPr>
                          <w:t xml:space="preserve"> will be considered public information and may be publicly released in identifiable form.</w:t>
                        </w:r>
                      </w:p>
                      <w:p w:rsidR="00DE062E" w:rsidRPr="00354AE0" w:rsidRDefault="00DE062E">
                        <w:pPr>
                          <w:pStyle w:val="NormalWeb"/>
                          <w:spacing w:before="0" w:beforeAutospacing="0" w:after="0" w:afterAutospacing="0"/>
                          <w:rPr>
                            <w:color w:val="000000"/>
                          </w:rPr>
                        </w:pPr>
                      </w:p>
                      <w:p w:rsidR="00DE062E" w:rsidRPr="00354AE0" w:rsidRDefault="00DE062E" w:rsidP="00DE062E">
                        <w:pPr>
                          <w:widowControl w:val="0"/>
                          <w:autoSpaceDE w:val="0"/>
                          <w:autoSpaceDN w:val="0"/>
                          <w:adjustRightInd w:val="0"/>
                          <w:rPr>
                            <w:color w:val="000000"/>
                          </w:rPr>
                        </w:pPr>
                        <w:r w:rsidRPr="00354AE0">
                          <w:rPr>
                            <w:color w:val="000000"/>
                          </w:rPr>
                          <w:t xml:space="preserve">EIA has a legal mandate to carry out a central, comprehensive, and unified energy data and information program.  All persons owning or operating facilities or business premises who are engaged in any phase of energy supply shall make available to the Administrator such information and periodic reports.  By law the EIA Administrator has the authority to conduct mandatory information collections and obtain the information by issuing subpoenas, conducting physical inspections or by other means identified in 15 U.S.C. 779.    </w:t>
                        </w:r>
                      </w:p>
                      <w:p w:rsidR="00376C91" w:rsidRPr="00354AE0" w:rsidRDefault="00376C91" w:rsidP="00DE062E">
                        <w:pPr>
                          <w:widowControl w:val="0"/>
                          <w:autoSpaceDE w:val="0"/>
                          <w:autoSpaceDN w:val="0"/>
                          <w:adjustRightInd w:val="0"/>
                          <w:rPr>
                            <w:color w:val="000000"/>
                          </w:rPr>
                        </w:pPr>
                      </w:p>
                      <w:p w:rsidR="00DE062E" w:rsidRPr="00354AE0" w:rsidRDefault="00376C91" w:rsidP="00DE062E">
                        <w:pPr>
                          <w:widowControl w:val="0"/>
                          <w:autoSpaceDE w:val="0"/>
                          <w:autoSpaceDN w:val="0"/>
                          <w:adjustRightInd w:val="0"/>
                          <w:rPr>
                            <w:color w:val="000000"/>
                          </w:rPr>
                        </w:pPr>
                        <w:r w:rsidRPr="00354AE0">
                          <w:t>If you are a new user and require assistance or if you are no longer the person submitting the Form EIA-111, then please contact us immediately.</w:t>
                        </w:r>
                        <w:r w:rsidRPr="00354AE0">
                          <w:rPr>
                            <w:color w:val="1F497D"/>
                          </w:rPr>
                          <w:t xml:space="preserve">  </w:t>
                        </w:r>
                        <w:r w:rsidRPr="00354AE0">
                          <w:t xml:space="preserve"> </w:t>
                        </w:r>
                      </w:p>
                      <w:p w:rsidR="004959B3" w:rsidRPr="00354AE0" w:rsidRDefault="00376C91" w:rsidP="00376C91">
                        <w:pPr>
                          <w:pStyle w:val="NormalWeb"/>
                          <w:rPr>
                            <w:color w:val="000000"/>
                          </w:rPr>
                        </w:pPr>
                        <w:r w:rsidRPr="00354AE0">
                          <w:rPr>
                            <w:color w:val="000000"/>
                          </w:rPr>
                          <w:t>Q</w:t>
                        </w:r>
                        <w:r w:rsidR="004959B3" w:rsidRPr="00354AE0">
                          <w:rPr>
                            <w:color w:val="000000"/>
                          </w:rPr>
                          <w:t>uestions or concerns</w:t>
                        </w:r>
                        <w:r w:rsidRPr="00354AE0">
                          <w:rPr>
                            <w:color w:val="000000"/>
                          </w:rPr>
                          <w:t xml:space="preserve"> should be directed to t</w:t>
                        </w:r>
                        <w:r w:rsidR="004959B3" w:rsidRPr="00354AE0">
                          <w:rPr>
                            <w:color w:val="000000"/>
                          </w:rPr>
                          <w:t xml:space="preserve">he U.S. Energy Information Administration Customer Care Center directly via e-mail at </w:t>
                        </w:r>
                        <w:hyperlink r:id="rId7" w:tgtFrame="_blank" w:history="1">
                          <w:r w:rsidR="004959B3" w:rsidRPr="00354AE0">
                            <w:rPr>
                              <w:rStyle w:val="Hyperlink"/>
                            </w:rPr>
                            <w:t>EIA4USA@eia.gov</w:t>
                          </w:r>
                        </w:hyperlink>
                        <w:r w:rsidR="004959B3" w:rsidRPr="00354AE0">
                          <w:rPr>
                            <w:color w:val="000000"/>
                          </w:rPr>
                          <w:t>, or call 1-855-EIA-4USA (1-855-342-4872) Monday through Friday, 8:00 AM - 6:00 PM ET. </w:t>
                        </w:r>
                      </w:p>
                    </w:tc>
                  </w:tr>
                </w:tbl>
                <w:p w:rsidR="004959B3" w:rsidRPr="00354AE0" w:rsidRDefault="004959B3">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4959B3" w:rsidRPr="00354AE0">
                    <w:trPr>
                      <w:tblCellSpacing w:w="0" w:type="dxa"/>
                    </w:trPr>
                    <w:tc>
                      <w:tcPr>
                        <w:tcW w:w="0" w:type="auto"/>
                        <w:vAlign w:val="bottom"/>
                        <w:hideMark/>
                      </w:tcPr>
                      <w:p w:rsidR="004959B3" w:rsidRPr="00354AE0" w:rsidRDefault="004959B3">
                        <w:pPr>
                          <w:rPr>
                            <w:color w:val="000000"/>
                          </w:rPr>
                        </w:pPr>
                        <w:r w:rsidRPr="00354AE0">
                          <w:rPr>
                            <w:noProof/>
                            <w:color w:val="000000"/>
                          </w:rPr>
                          <w:drawing>
                            <wp:inline distT="0" distB="0" distL="0" distR="0" wp14:anchorId="4A452FC3" wp14:editId="5B462DD8">
                              <wp:extent cx="5711825" cy="989330"/>
                              <wp:effectExtent l="0" t="0" r="3175" b="1270"/>
                              <wp:docPr id="5" name="Picture 5" descr="https://origin.ih.constantcontact.com/fs134/1116835862081/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rigin.ih.constantcontact.com/fs134/1116835862081/img/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1825" cy="989330"/>
                                      </a:xfrm>
                                      <a:prstGeom prst="rect">
                                        <a:avLst/>
                                      </a:prstGeom>
                                      <a:noFill/>
                                      <a:ln>
                                        <a:noFill/>
                                      </a:ln>
                                    </pic:spPr>
                                  </pic:pic>
                                </a:graphicData>
                              </a:graphic>
                            </wp:inline>
                          </w:drawing>
                        </w:r>
                      </w:p>
                      <w:p w:rsidR="004959B3" w:rsidRPr="00354AE0" w:rsidRDefault="004959B3">
                        <w:pPr>
                          <w:jc w:val="center"/>
                          <w:rPr>
                            <w:rFonts w:ascii="Arial" w:hAnsi="Arial" w:cs="Arial"/>
                            <w:color w:val="0A74DB"/>
                            <w:sz w:val="20"/>
                            <w:szCs w:val="20"/>
                          </w:rPr>
                        </w:pPr>
                        <w:r w:rsidRPr="00354AE0">
                          <w:rPr>
                            <w:rFonts w:ascii="Arial" w:hAnsi="Arial" w:cs="Arial"/>
                            <w:color w:val="0A74DB"/>
                            <w:sz w:val="20"/>
                            <w:szCs w:val="20"/>
                            <w:u w:val="single"/>
                          </w:rPr>
                          <w:t>V</w:t>
                        </w:r>
                        <w:hyperlink r:id="rId9" w:tgtFrame="_blank" w:history="1">
                          <w:r w:rsidRPr="00354AE0">
                            <w:rPr>
                              <w:rStyle w:val="Hyperlink"/>
                              <w:rFonts w:ascii="Arial" w:hAnsi="Arial" w:cs="Arial"/>
                              <w:color w:val="0A74DB"/>
                              <w:sz w:val="20"/>
                              <w:szCs w:val="20"/>
                            </w:rPr>
                            <w:t>isit the EIA Data xChange Community Portal</w:t>
                          </w:r>
                        </w:hyperlink>
                      </w:p>
                    </w:tc>
                  </w:tr>
                </w:tbl>
                <w:p w:rsidR="004959B3" w:rsidRPr="00354AE0" w:rsidRDefault="004959B3">
                  <w:pPr>
                    <w:rPr>
                      <w:sz w:val="20"/>
                      <w:szCs w:val="20"/>
                    </w:rPr>
                  </w:pPr>
                </w:p>
              </w:tc>
            </w:tr>
            <w:tr w:rsidR="004959B3" w:rsidRPr="00354AE0">
              <w:trPr>
                <w:trHeight w:val="150"/>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959B3" w:rsidRPr="00354AE0">
                    <w:trPr>
                      <w:trHeight w:val="225"/>
                      <w:tblCellSpacing w:w="0" w:type="dxa"/>
                    </w:trPr>
                    <w:tc>
                      <w:tcPr>
                        <w:tcW w:w="0" w:type="auto"/>
                        <w:hideMark/>
                      </w:tcPr>
                      <w:p w:rsidR="004959B3" w:rsidRPr="00354AE0" w:rsidRDefault="004959B3">
                        <w:pPr>
                          <w:rPr>
                            <w:sz w:val="20"/>
                            <w:szCs w:val="20"/>
                          </w:rPr>
                        </w:pPr>
                      </w:p>
                    </w:tc>
                  </w:tr>
                </w:tbl>
                <w:p w:rsidR="004959B3" w:rsidRPr="00354AE0" w:rsidRDefault="004959B3">
                  <w:pPr>
                    <w:rPr>
                      <w:sz w:val="20"/>
                      <w:szCs w:val="20"/>
                    </w:rPr>
                  </w:pPr>
                </w:p>
              </w:tc>
            </w:tr>
          </w:tbl>
          <w:p w:rsidR="004959B3" w:rsidRPr="00354AE0" w:rsidRDefault="004959B3">
            <w:pPr>
              <w:jc w:val="center"/>
              <w:rPr>
                <w:sz w:val="20"/>
                <w:szCs w:val="20"/>
              </w:rPr>
            </w:pPr>
          </w:p>
        </w:tc>
      </w:tr>
    </w:tbl>
    <w:p w:rsidR="004959B3" w:rsidRPr="00354AE0" w:rsidRDefault="004959B3" w:rsidP="004959B3">
      <w:pPr>
        <w:shd w:val="clear" w:color="auto" w:fill="FFFFFF"/>
        <w:jc w:val="cente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959B3" w:rsidTr="004959B3">
        <w:trPr>
          <w:tblCellSpacing w:w="0" w:type="dxa"/>
          <w:jc w:val="center"/>
        </w:trPr>
        <w:tc>
          <w:tcPr>
            <w:tcW w:w="0" w:type="auto"/>
            <w:shd w:val="clear" w:color="auto" w:fill="FFFFFF"/>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959B3">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30"/>
                    <w:gridCol w:w="9300"/>
                    <w:gridCol w:w="30"/>
                  </w:tblGrid>
                  <w:tr w:rsidR="004959B3">
                    <w:trPr>
                      <w:tblCellSpacing w:w="0" w:type="dxa"/>
                      <w:jc w:val="center"/>
                    </w:trPr>
                    <w:tc>
                      <w:tcPr>
                        <w:tcW w:w="0" w:type="auto"/>
                        <w:vAlign w:val="center"/>
                        <w:hideMark/>
                      </w:tcPr>
                      <w:p w:rsidR="004959B3" w:rsidRPr="00354AE0" w:rsidRDefault="004959B3">
                        <w:r w:rsidRPr="00354AE0">
                          <w:rPr>
                            <w:noProof/>
                          </w:rPr>
                          <w:drawing>
                            <wp:inline distT="0" distB="0" distL="0" distR="0" wp14:anchorId="2E59A7CA" wp14:editId="4086AE93">
                              <wp:extent cx="6985" cy="47625"/>
                              <wp:effectExtent l="0" t="0" r="0" b="0"/>
                              <wp:docPr id="4" name="Picture 4"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ssl.constantcontact.com/letters/images/1101116784221/S.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85" cy="47625"/>
                                      </a:xfrm>
                                      <a:prstGeom prst="rect">
                                        <a:avLst/>
                                      </a:prstGeom>
                                      <a:noFill/>
                                      <a:ln>
                                        <a:noFill/>
                                      </a:ln>
                                    </pic:spPr>
                                  </pic:pic>
                                </a:graphicData>
                              </a:graphic>
                            </wp:inline>
                          </w:drawing>
                        </w:r>
                      </w:p>
                    </w:tc>
                    <w:tc>
                      <w:tcPr>
                        <w:tcW w:w="93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294"/>
                          <w:gridCol w:w="6"/>
                        </w:tblGrid>
                        <w:tr w:rsidR="004959B3" w:rsidRPr="00354AE0">
                          <w:trPr>
                            <w:tblCellSpacing w:w="0" w:type="dxa"/>
                            <w:jc w:val="center"/>
                          </w:trPr>
                          <w:tc>
                            <w:tcPr>
                              <w:tcW w:w="0" w:type="auto"/>
                              <w:gridSpan w:val="2"/>
                              <w:vAlign w:val="center"/>
                              <w:hideMark/>
                            </w:tcPr>
                            <w:p w:rsidR="004959B3" w:rsidRPr="00354AE0" w:rsidRDefault="00354AE0">
                              <w:pPr>
                                <w:rPr>
                                  <w:rFonts w:ascii="Verdana" w:hAnsi="Verdana"/>
                                  <w:color w:val="000000"/>
                                  <w:sz w:val="16"/>
                                  <w:szCs w:val="16"/>
                                </w:rPr>
                              </w:pPr>
                              <w:hyperlink r:id="rId11" w:tgtFrame="_blank" w:history="1">
                                <w:r w:rsidR="004959B3" w:rsidRPr="00354AE0">
                                  <w:rPr>
                                    <w:rStyle w:val="Hyperlink"/>
                                    <w:rFonts w:ascii="Verdana" w:hAnsi="Verdana"/>
                                    <w:b/>
                                    <w:bCs/>
                                    <w:sz w:val="16"/>
                                    <w:szCs w:val="16"/>
                                  </w:rPr>
                                  <w:t>Forward this email</w:t>
                                </w:r>
                              </w:hyperlink>
                            </w:p>
                          </w:tc>
                        </w:tr>
                        <w:tr w:rsidR="004959B3" w:rsidRPr="00354AE0">
                          <w:trPr>
                            <w:tblCellSpacing w:w="0" w:type="dxa"/>
                            <w:jc w:val="center"/>
                          </w:trPr>
                          <w:tc>
                            <w:tcPr>
                              <w:tcW w:w="1500" w:type="dxa"/>
                              <w:vAlign w:val="center"/>
                              <w:hideMark/>
                            </w:tcPr>
                            <w:p w:rsidR="004959B3" w:rsidRPr="00354AE0" w:rsidRDefault="004959B3">
                              <w:pPr>
                                <w:spacing w:after="240"/>
                                <w:rPr>
                                  <w:rFonts w:ascii="Verdana" w:hAnsi="Verdana"/>
                                  <w:color w:val="000000"/>
                                  <w:sz w:val="16"/>
                                  <w:szCs w:val="16"/>
                                </w:rPr>
                              </w:pPr>
                              <w:r w:rsidRPr="00354AE0">
                                <w:rPr>
                                  <w:rFonts w:ascii="Verdana" w:hAnsi="Verdana"/>
                                  <w:color w:val="000000"/>
                                  <w:sz w:val="16"/>
                                  <w:szCs w:val="16"/>
                                </w:rPr>
                                <w:br/>
                              </w:r>
                              <w:r w:rsidRPr="00354AE0">
                                <w:rPr>
                                  <w:rFonts w:ascii="Verdana" w:hAnsi="Verdana"/>
                                  <w:noProof/>
                                  <w:color w:val="0000FF"/>
                                  <w:sz w:val="16"/>
                                  <w:szCs w:val="16"/>
                                </w:rPr>
                                <w:drawing>
                                  <wp:inline distT="0" distB="0" distL="0" distR="0" wp14:anchorId="09E40E1B" wp14:editId="0CFDC6FA">
                                    <wp:extent cx="1091565" cy="116205"/>
                                    <wp:effectExtent l="0" t="0" r="0" b="0"/>
                                    <wp:docPr id="3" name="Picture 3" descr="http://img.constantcontact.com/letters/images/SafeUnsubscribe_Footer_Logo_New.pn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constantcontact.com/letters/images/SafeUnsubscribe_Footer_Logo_New.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1565" cy="116205"/>
                                            </a:xfrm>
                                            <a:prstGeom prst="rect">
                                              <a:avLst/>
                                            </a:prstGeom>
                                            <a:noFill/>
                                            <a:ln>
                                              <a:noFill/>
                                            </a:ln>
                                          </pic:spPr>
                                        </pic:pic>
                                      </a:graphicData>
                                    </a:graphic>
                                  </wp:inline>
                                </w:drawing>
                              </w:r>
                            </w:p>
                            <w:p w:rsidR="004959B3" w:rsidRPr="00354AE0" w:rsidRDefault="004959B3">
                              <w:pPr>
                                <w:rPr>
                                  <w:rFonts w:ascii="Verdana" w:hAnsi="Verdana"/>
                                  <w:color w:val="000000"/>
                                  <w:sz w:val="16"/>
                                  <w:szCs w:val="16"/>
                                </w:rPr>
                              </w:pPr>
                              <w:r w:rsidRPr="00354AE0">
                                <w:rPr>
                                  <w:rFonts w:ascii="Verdana" w:hAnsi="Verdana"/>
                                  <w:color w:val="000000"/>
                                  <w:sz w:val="16"/>
                                  <w:szCs w:val="16"/>
                                </w:rPr>
                                <w:t xml:space="preserve">This email was sent to </w:t>
                              </w:r>
                              <w:hyperlink r:id="rId14" w:history="1">
                                <w:r w:rsidRPr="00354AE0">
                                  <w:rPr>
                                    <w:rStyle w:val="Hyperlink"/>
                                    <w:rFonts w:ascii="Verdana" w:hAnsi="Verdana"/>
                                    <w:sz w:val="16"/>
                                    <w:szCs w:val="16"/>
                                  </w:rPr>
                                  <w:t>matthew.grosso@eia.gov</w:t>
                                </w:r>
                              </w:hyperlink>
                              <w:r w:rsidRPr="00354AE0">
                                <w:rPr>
                                  <w:rFonts w:ascii="Verdana" w:hAnsi="Verdana"/>
                                  <w:color w:val="000000"/>
                                  <w:sz w:val="16"/>
                                  <w:szCs w:val="16"/>
                                </w:rPr>
                                <w:t xml:space="preserve"> by </w:t>
                              </w:r>
                              <w:hyperlink r:id="rId15" w:tgtFrame="_blank" w:history="1">
                                <w:r w:rsidRPr="00354AE0">
                                  <w:rPr>
                                    <w:rStyle w:val="Hyperlink"/>
                                    <w:rFonts w:ascii="Verdana" w:hAnsi="Verdana"/>
                                    <w:sz w:val="16"/>
                                    <w:szCs w:val="16"/>
                                  </w:rPr>
                                  <w:t>matthew.grosso@eia.gov</w:t>
                                </w:r>
                              </w:hyperlink>
                              <w:r w:rsidRPr="00354AE0">
                                <w:rPr>
                                  <w:rFonts w:ascii="Verdana" w:hAnsi="Verdana"/>
                                  <w:color w:val="000000"/>
                                  <w:sz w:val="16"/>
                                  <w:szCs w:val="16"/>
                                </w:rPr>
                                <w:t xml:space="preserve"> </w:t>
                              </w:r>
                              <w:r w:rsidRPr="00354AE0">
                                <w:rPr>
                                  <w:rFonts w:ascii="Verdana" w:hAnsi="Verdana"/>
                                  <w:color w:val="BABABA"/>
                                  <w:sz w:val="16"/>
                                  <w:szCs w:val="16"/>
                                </w:rPr>
                                <w:t xml:space="preserve">| </w:t>
                              </w:r>
                              <w:r w:rsidRPr="00354AE0">
                                <w:rPr>
                                  <w:rFonts w:ascii="Verdana" w:hAnsi="Verdana"/>
                                  <w:color w:val="000000"/>
                                  <w:sz w:val="16"/>
                                  <w:szCs w:val="16"/>
                                </w:rPr>
                                <w:t xml:space="preserve">  </w:t>
                              </w:r>
                            </w:p>
                            <w:p w:rsidR="004959B3" w:rsidRPr="00354AE0" w:rsidRDefault="00354AE0">
                              <w:pPr>
                                <w:rPr>
                                  <w:rFonts w:ascii="Verdana" w:hAnsi="Verdana"/>
                                  <w:color w:val="000000"/>
                                  <w:sz w:val="16"/>
                                  <w:szCs w:val="16"/>
                                </w:rPr>
                              </w:pPr>
                              <w:hyperlink r:id="rId16" w:tgtFrame="_blank" w:history="1">
                                <w:r w:rsidR="004959B3" w:rsidRPr="00354AE0">
                                  <w:rPr>
                                    <w:rStyle w:val="Hyperlink"/>
                                    <w:rFonts w:ascii="Verdana" w:hAnsi="Verdana"/>
                                    <w:sz w:val="16"/>
                                    <w:szCs w:val="16"/>
                                  </w:rPr>
                                  <w:t>Update Profile/Email Address</w:t>
                                </w:r>
                              </w:hyperlink>
                              <w:r w:rsidR="004959B3" w:rsidRPr="00354AE0">
                                <w:rPr>
                                  <w:rFonts w:ascii="Verdana" w:hAnsi="Verdana"/>
                                  <w:color w:val="000000"/>
                                  <w:sz w:val="16"/>
                                  <w:szCs w:val="16"/>
                                </w:rPr>
                                <w:t xml:space="preserve"> </w:t>
                              </w:r>
                              <w:r w:rsidR="004959B3" w:rsidRPr="00354AE0">
                                <w:rPr>
                                  <w:rFonts w:ascii="Verdana" w:hAnsi="Verdana"/>
                                  <w:color w:val="BABABA"/>
                                  <w:sz w:val="16"/>
                                  <w:szCs w:val="16"/>
                                </w:rPr>
                                <w:t>|</w:t>
                              </w:r>
                              <w:r w:rsidR="004959B3" w:rsidRPr="00354AE0">
                                <w:rPr>
                                  <w:rFonts w:ascii="Verdana" w:hAnsi="Verdana"/>
                                  <w:color w:val="000000"/>
                                  <w:sz w:val="16"/>
                                  <w:szCs w:val="16"/>
                                </w:rPr>
                                <w:t xml:space="preserve"> Rapid removal with </w:t>
                              </w:r>
                              <w:hyperlink r:id="rId17" w:tgtFrame="_blank" w:history="1">
                                <w:r w:rsidR="004959B3" w:rsidRPr="00354AE0">
                                  <w:rPr>
                                    <w:rStyle w:val="Hyperlink"/>
                                    <w:rFonts w:ascii="Verdana" w:hAnsi="Verdana"/>
                                    <w:sz w:val="16"/>
                                    <w:szCs w:val="16"/>
                                  </w:rPr>
                                  <w:t>SafeUnsubscribe</w:t>
                                </w:r>
                              </w:hyperlink>
                              <w:r w:rsidR="004959B3" w:rsidRPr="00354AE0">
                                <w:rPr>
                                  <w:rFonts w:ascii="Verdana" w:hAnsi="Verdana"/>
                                  <w:color w:val="000000"/>
                                  <w:sz w:val="16"/>
                                  <w:szCs w:val="16"/>
                                </w:rPr>
                                <w:t xml:space="preserve">™ </w:t>
                              </w:r>
                              <w:r w:rsidR="004959B3" w:rsidRPr="00354AE0">
                                <w:rPr>
                                  <w:rFonts w:ascii="Verdana" w:hAnsi="Verdana"/>
                                  <w:color w:val="BABABA"/>
                                  <w:sz w:val="16"/>
                                  <w:szCs w:val="16"/>
                                </w:rPr>
                                <w:t>|</w:t>
                              </w:r>
                              <w:r w:rsidR="004959B3" w:rsidRPr="00354AE0">
                                <w:rPr>
                                  <w:rFonts w:ascii="Verdana" w:hAnsi="Verdana"/>
                                  <w:color w:val="000000"/>
                                  <w:sz w:val="16"/>
                                  <w:szCs w:val="16"/>
                                </w:rPr>
                                <w:t xml:space="preserve"> </w:t>
                              </w:r>
                              <w:hyperlink r:id="rId18" w:tgtFrame="_blank" w:history="1">
                                <w:r w:rsidR="004959B3" w:rsidRPr="00354AE0">
                                  <w:rPr>
                                    <w:rStyle w:val="Hyperlink"/>
                                    <w:rFonts w:ascii="Verdana" w:hAnsi="Verdana"/>
                                    <w:sz w:val="16"/>
                                    <w:szCs w:val="16"/>
                                  </w:rPr>
                                  <w:t>Privacy Policy</w:t>
                                </w:r>
                              </w:hyperlink>
                              <w:r w:rsidR="004959B3" w:rsidRPr="00354AE0">
                                <w:rPr>
                                  <w:rFonts w:ascii="Verdana" w:hAnsi="Verdana"/>
                                  <w:color w:val="000000"/>
                                  <w:sz w:val="16"/>
                                  <w:szCs w:val="16"/>
                                </w:rPr>
                                <w:t>.</w:t>
                              </w:r>
                            </w:p>
                          </w:tc>
                          <w:tc>
                            <w:tcPr>
                              <w:tcW w:w="0" w:type="auto"/>
                              <w:vAlign w:val="center"/>
                              <w:hideMark/>
                            </w:tcPr>
                            <w:p w:rsidR="004959B3" w:rsidRPr="00354AE0" w:rsidRDefault="004959B3">
                              <w:pPr>
                                <w:rPr>
                                  <w:sz w:val="20"/>
                                  <w:szCs w:val="20"/>
                                </w:rPr>
                              </w:pPr>
                            </w:p>
                          </w:tc>
                        </w:tr>
                        <w:tr w:rsidR="004959B3" w:rsidRPr="00354AE0">
                          <w:trPr>
                            <w:tblCellSpacing w:w="0" w:type="dxa"/>
                            <w:jc w:val="center"/>
                          </w:trPr>
                          <w:tc>
                            <w:tcPr>
                              <w:tcW w:w="5000" w:type="pct"/>
                              <w:tcMar>
                                <w:top w:w="225" w:type="dxa"/>
                                <w:left w:w="0" w:type="dxa"/>
                                <w:bottom w:w="0" w:type="dxa"/>
                                <w:right w:w="0" w:type="dxa"/>
                              </w:tcMar>
                              <w:vAlign w:val="center"/>
                              <w:hideMark/>
                            </w:tcPr>
                            <w:p w:rsidR="004959B3" w:rsidRPr="00354AE0" w:rsidRDefault="004959B3">
                              <w:pPr>
                                <w:rPr>
                                  <w:rFonts w:ascii="Verdana" w:hAnsi="Verdana"/>
                                  <w:color w:val="000000"/>
                                  <w:sz w:val="16"/>
                                  <w:szCs w:val="16"/>
                                </w:rPr>
                              </w:pPr>
                              <w:r w:rsidRPr="00354AE0">
                                <w:rPr>
                                  <w:rFonts w:ascii="Verdana" w:hAnsi="Verdana"/>
                                  <w:noProof/>
                                  <w:color w:val="0000FF"/>
                                  <w:sz w:val="16"/>
                                  <w:szCs w:val="16"/>
                                </w:rPr>
                                <w:drawing>
                                  <wp:inline distT="0" distB="0" distL="0" distR="0" wp14:anchorId="7EC71BE4" wp14:editId="3785E713">
                                    <wp:extent cx="1228090" cy="450215"/>
                                    <wp:effectExtent l="0" t="0" r="0" b="6985"/>
                                    <wp:docPr id="2" name="Picture 2" descr="http://img.constantcontact.com/letters/images/CC_Footer_Logo_New.png">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constantcontact.com/letters/images/CC_Footer_Logo_New.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8090" cy="450215"/>
                                            </a:xfrm>
                                            <a:prstGeom prst="rect">
                                              <a:avLst/>
                                            </a:prstGeom>
                                            <a:noFill/>
                                            <a:ln>
                                              <a:noFill/>
                                            </a:ln>
                                          </pic:spPr>
                                        </pic:pic>
                                      </a:graphicData>
                                    </a:graphic>
                                  </wp:inline>
                                </w:drawing>
                              </w:r>
                            </w:p>
                          </w:tc>
                          <w:tc>
                            <w:tcPr>
                              <w:tcW w:w="0" w:type="auto"/>
                              <w:vAlign w:val="center"/>
                              <w:hideMark/>
                            </w:tcPr>
                            <w:p w:rsidR="004959B3" w:rsidRPr="00354AE0" w:rsidRDefault="004959B3">
                              <w:pPr>
                                <w:rPr>
                                  <w:sz w:val="20"/>
                                  <w:szCs w:val="20"/>
                                </w:rPr>
                              </w:pPr>
                            </w:p>
                          </w:tc>
                        </w:tr>
                        <w:tr w:rsidR="004959B3" w:rsidRPr="00354AE0">
                          <w:trPr>
                            <w:tblCellSpacing w:w="0" w:type="dxa"/>
                            <w:jc w:val="center"/>
                          </w:trPr>
                          <w:tc>
                            <w:tcPr>
                              <w:tcW w:w="0" w:type="auto"/>
                              <w:vAlign w:val="center"/>
                              <w:hideMark/>
                            </w:tcPr>
                            <w:p w:rsidR="004959B3" w:rsidRPr="00354AE0" w:rsidRDefault="004959B3">
                              <w:pPr>
                                <w:rPr>
                                  <w:rFonts w:ascii="Verdana" w:hAnsi="Verdana"/>
                                  <w:color w:val="000000"/>
                                  <w:sz w:val="16"/>
                                  <w:szCs w:val="16"/>
                                </w:rPr>
                              </w:pPr>
                              <w:r w:rsidRPr="00354AE0">
                                <w:rPr>
                                  <w:rFonts w:ascii="Verdana" w:hAnsi="Verdana"/>
                                  <w:color w:val="000000"/>
                                  <w:sz w:val="16"/>
                                  <w:szCs w:val="16"/>
                                </w:rPr>
                                <w:br/>
                                <w:t>U.S. Energy Information Administration</w:t>
                              </w:r>
                              <w:r w:rsidRPr="00354AE0">
                                <w:rPr>
                                  <w:rFonts w:ascii="Verdana" w:hAnsi="Verdana"/>
                                  <w:color w:val="BABABA"/>
                                  <w:sz w:val="16"/>
                                  <w:szCs w:val="16"/>
                                </w:rPr>
                                <w:t xml:space="preserve"> | </w:t>
                              </w:r>
                              <w:r w:rsidRPr="00354AE0">
                                <w:rPr>
                                  <w:rFonts w:ascii="Verdana" w:hAnsi="Verdana"/>
                                  <w:color w:val="000000"/>
                                  <w:sz w:val="16"/>
                                  <w:szCs w:val="16"/>
                                </w:rPr>
                                <w:t>1000 Independence Ave, SW</w:t>
                              </w:r>
                              <w:r w:rsidRPr="00354AE0">
                                <w:rPr>
                                  <w:rFonts w:ascii="Verdana" w:hAnsi="Verdana"/>
                                  <w:color w:val="BABABA"/>
                                  <w:sz w:val="16"/>
                                  <w:szCs w:val="16"/>
                                </w:rPr>
                                <w:t xml:space="preserve"> | </w:t>
                              </w:r>
                              <w:r w:rsidRPr="00354AE0">
                                <w:rPr>
                                  <w:rFonts w:ascii="Verdana" w:hAnsi="Verdana"/>
                                  <w:color w:val="000000"/>
                                  <w:sz w:val="16"/>
                                  <w:szCs w:val="16"/>
                                </w:rPr>
                                <w:t>Washington</w:t>
                              </w:r>
                              <w:r w:rsidRPr="00354AE0">
                                <w:rPr>
                                  <w:rFonts w:ascii="Verdana" w:hAnsi="Verdana"/>
                                  <w:color w:val="BABABA"/>
                                  <w:sz w:val="16"/>
                                  <w:szCs w:val="16"/>
                                </w:rPr>
                                <w:t xml:space="preserve"> | </w:t>
                              </w:r>
                              <w:r w:rsidRPr="00354AE0">
                                <w:rPr>
                                  <w:rFonts w:ascii="Verdana" w:hAnsi="Verdana"/>
                                  <w:color w:val="000000"/>
                                  <w:sz w:val="16"/>
                                  <w:szCs w:val="16"/>
                                </w:rPr>
                                <w:t>DC</w:t>
                              </w:r>
                              <w:r w:rsidRPr="00354AE0">
                                <w:rPr>
                                  <w:rFonts w:ascii="Verdana" w:hAnsi="Verdana"/>
                                  <w:color w:val="BABABA"/>
                                  <w:sz w:val="16"/>
                                  <w:szCs w:val="16"/>
                                </w:rPr>
                                <w:t xml:space="preserve"> | </w:t>
                              </w:r>
                              <w:r w:rsidRPr="00354AE0">
                                <w:rPr>
                                  <w:rFonts w:ascii="Verdana" w:hAnsi="Verdana"/>
                                  <w:color w:val="000000"/>
                                  <w:sz w:val="16"/>
                                  <w:szCs w:val="16"/>
                                </w:rPr>
                                <w:t>20585</w:t>
                              </w:r>
                            </w:p>
                          </w:tc>
                          <w:tc>
                            <w:tcPr>
                              <w:tcW w:w="0" w:type="auto"/>
                              <w:vAlign w:val="center"/>
                              <w:hideMark/>
                            </w:tcPr>
                            <w:p w:rsidR="004959B3" w:rsidRPr="00354AE0" w:rsidRDefault="004959B3">
                              <w:pPr>
                                <w:rPr>
                                  <w:sz w:val="20"/>
                                  <w:szCs w:val="20"/>
                                </w:rPr>
                              </w:pPr>
                            </w:p>
                          </w:tc>
                        </w:tr>
                      </w:tbl>
                      <w:p w:rsidR="004959B3" w:rsidRPr="00354AE0" w:rsidRDefault="004959B3">
                        <w:pPr>
                          <w:jc w:val="center"/>
                          <w:rPr>
                            <w:sz w:val="20"/>
                            <w:szCs w:val="20"/>
                          </w:rPr>
                        </w:pPr>
                      </w:p>
                    </w:tc>
                    <w:tc>
                      <w:tcPr>
                        <w:tcW w:w="0" w:type="auto"/>
                        <w:vAlign w:val="center"/>
                        <w:hideMark/>
                      </w:tcPr>
                      <w:p w:rsidR="004959B3" w:rsidRDefault="004959B3">
                        <w:r w:rsidRPr="00354AE0">
                          <w:rPr>
                            <w:noProof/>
                          </w:rPr>
                          <w:drawing>
                            <wp:inline distT="0" distB="0" distL="0" distR="0" wp14:anchorId="26FE9773" wp14:editId="1004DE90">
                              <wp:extent cx="6985" cy="47625"/>
                              <wp:effectExtent l="0" t="0" r="0" b="0"/>
                              <wp:docPr id="1" name="Picture 1"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ssl.constantcontact.com/letters/images/1101116784221/S.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85" cy="47625"/>
                                      </a:xfrm>
                                      <a:prstGeom prst="rect">
                                        <a:avLst/>
                                      </a:prstGeom>
                                      <a:noFill/>
                                      <a:ln>
                                        <a:noFill/>
                                      </a:ln>
                                    </pic:spPr>
                                  </pic:pic>
                                </a:graphicData>
                              </a:graphic>
                            </wp:inline>
                          </w:drawing>
                        </w:r>
                      </w:p>
                    </w:tc>
                  </w:tr>
                </w:tbl>
                <w:p w:rsidR="004959B3" w:rsidRDefault="004959B3">
                  <w:pPr>
                    <w:jc w:val="center"/>
                    <w:rPr>
                      <w:sz w:val="20"/>
                      <w:szCs w:val="20"/>
                    </w:rPr>
                  </w:pPr>
                </w:p>
              </w:tc>
            </w:tr>
          </w:tbl>
          <w:p w:rsidR="004959B3" w:rsidRDefault="004959B3">
            <w:pPr>
              <w:jc w:val="center"/>
              <w:rPr>
                <w:sz w:val="20"/>
                <w:szCs w:val="20"/>
              </w:rPr>
            </w:pPr>
          </w:p>
        </w:tc>
      </w:tr>
    </w:tbl>
    <w:p w:rsidR="0020382D" w:rsidRDefault="0020382D"/>
    <w:sectPr w:rsidR="00203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9B3"/>
    <w:rsid w:val="00017078"/>
    <w:rsid w:val="000276A5"/>
    <w:rsid w:val="0020382D"/>
    <w:rsid w:val="002E4760"/>
    <w:rsid w:val="00354AE0"/>
    <w:rsid w:val="00376C91"/>
    <w:rsid w:val="004959B3"/>
    <w:rsid w:val="0059213D"/>
    <w:rsid w:val="007B5044"/>
    <w:rsid w:val="009101B5"/>
    <w:rsid w:val="009E0DC6"/>
    <w:rsid w:val="009F2FF0"/>
    <w:rsid w:val="00A67FAF"/>
    <w:rsid w:val="00A9647F"/>
    <w:rsid w:val="00C10652"/>
    <w:rsid w:val="00D9782E"/>
    <w:rsid w:val="00DC7C0F"/>
    <w:rsid w:val="00DE062E"/>
    <w:rsid w:val="00E90DBE"/>
    <w:rsid w:val="00F2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9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59B3"/>
    <w:rPr>
      <w:color w:val="0000FF"/>
      <w:u w:val="single"/>
    </w:rPr>
  </w:style>
  <w:style w:type="paragraph" w:styleId="NormalWeb">
    <w:name w:val="Normal (Web)"/>
    <w:basedOn w:val="Normal"/>
    <w:uiPriority w:val="99"/>
    <w:unhideWhenUsed/>
    <w:rsid w:val="004959B3"/>
    <w:pPr>
      <w:spacing w:before="100" w:beforeAutospacing="1" w:after="100" w:afterAutospacing="1"/>
    </w:pPr>
  </w:style>
  <w:style w:type="character" w:styleId="Strong">
    <w:name w:val="Strong"/>
    <w:basedOn w:val="DefaultParagraphFont"/>
    <w:uiPriority w:val="22"/>
    <w:qFormat/>
    <w:rsid w:val="004959B3"/>
    <w:rPr>
      <w:b/>
      <w:bCs/>
    </w:rPr>
  </w:style>
  <w:style w:type="paragraph" w:styleId="BalloonText">
    <w:name w:val="Balloon Text"/>
    <w:basedOn w:val="Normal"/>
    <w:link w:val="BalloonTextChar"/>
    <w:uiPriority w:val="99"/>
    <w:semiHidden/>
    <w:unhideWhenUsed/>
    <w:rsid w:val="004959B3"/>
    <w:rPr>
      <w:rFonts w:ascii="Tahoma" w:hAnsi="Tahoma" w:cs="Tahoma"/>
      <w:sz w:val="16"/>
      <w:szCs w:val="16"/>
    </w:rPr>
  </w:style>
  <w:style w:type="character" w:customStyle="1" w:styleId="BalloonTextChar">
    <w:name w:val="Balloon Text Char"/>
    <w:basedOn w:val="DefaultParagraphFont"/>
    <w:link w:val="BalloonText"/>
    <w:uiPriority w:val="99"/>
    <w:semiHidden/>
    <w:rsid w:val="004959B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9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59B3"/>
    <w:rPr>
      <w:color w:val="0000FF"/>
      <w:u w:val="single"/>
    </w:rPr>
  </w:style>
  <w:style w:type="paragraph" w:styleId="NormalWeb">
    <w:name w:val="Normal (Web)"/>
    <w:basedOn w:val="Normal"/>
    <w:uiPriority w:val="99"/>
    <w:unhideWhenUsed/>
    <w:rsid w:val="004959B3"/>
    <w:pPr>
      <w:spacing w:before="100" w:beforeAutospacing="1" w:after="100" w:afterAutospacing="1"/>
    </w:pPr>
  </w:style>
  <w:style w:type="character" w:styleId="Strong">
    <w:name w:val="Strong"/>
    <w:basedOn w:val="DefaultParagraphFont"/>
    <w:uiPriority w:val="22"/>
    <w:qFormat/>
    <w:rsid w:val="004959B3"/>
    <w:rPr>
      <w:b/>
      <w:bCs/>
    </w:rPr>
  </w:style>
  <w:style w:type="paragraph" w:styleId="BalloonText">
    <w:name w:val="Balloon Text"/>
    <w:basedOn w:val="Normal"/>
    <w:link w:val="BalloonTextChar"/>
    <w:uiPriority w:val="99"/>
    <w:semiHidden/>
    <w:unhideWhenUsed/>
    <w:rsid w:val="004959B3"/>
    <w:rPr>
      <w:rFonts w:ascii="Tahoma" w:hAnsi="Tahoma" w:cs="Tahoma"/>
      <w:sz w:val="16"/>
      <w:szCs w:val="16"/>
    </w:rPr>
  </w:style>
  <w:style w:type="character" w:customStyle="1" w:styleId="BalloonTextChar">
    <w:name w:val="Balloon Text Char"/>
    <w:basedOn w:val="DefaultParagraphFont"/>
    <w:link w:val="BalloonText"/>
    <w:uiPriority w:val="99"/>
    <w:semiHidden/>
    <w:rsid w:val="004959B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78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yperlink" Target="http://ui.constantcontact.com/roving/CCPrivacyPolicy.jsp?id=preview"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eia4usa@eia.gov" TargetMode="External"/><Relationship Id="rId12" Type="http://schemas.openxmlformats.org/officeDocument/2006/relationships/hyperlink" Target="http://visitor.constantcontact.com/do?p=un&amp;mse=001Au2AhlQZrQdDrbvt7K1pDcmlwxDRh4FxmcJoqMJhWa71qc0koRbvdQ%3D%3D&amp;t=001Av6QAY8puOT3ow-FEGl7tA%3D%3D&amp;l=001FCSs65SMrsI%3D&amp;id=001b-xBWU3VMkej6vt7SsaRSGXW9dQZ89LI&amp;llr=bsvvjeqab" TargetMode="External"/><Relationship Id="rId17" Type="http://schemas.openxmlformats.org/officeDocument/2006/relationships/hyperlink" Target="http://visitor.constantcontact.com/do?p=un&amp;mse=001Au2AhlQZrQdDrbvt7K1pDcmlwxDRh4FxmcJoqMJhWa71qc0koRbvdQ%3D%3D&amp;t=001Av6QAY8puOT3ow-FEGl7tA%3D%3D&amp;l=001FCSs65SMrsI%3D&amp;id=001b-xBWU3VMkej6vt7SsaRSGXW9dQZ89LI&amp;llr=bsvvjeqab" TargetMode="External"/><Relationship Id="rId2" Type="http://schemas.microsoft.com/office/2007/relationships/stylesWithEffects" Target="stylesWithEffects.xml"/><Relationship Id="rId16" Type="http://schemas.openxmlformats.org/officeDocument/2006/relationships/hyperlink" Target="http://visitor.constantcontact.com/do?p=oo&amp;mse=001Au2AhlQZrQdDrbvt7K1pDcmlwxDRh4FxmcJoqMJhWa71qc0koRbvdQ%3D%3D&amp;t=001Av6QAY8puOT3ow-FEGl7tA%3D%3D&amp;l=001FCSs65SMrsI%3D&amp;id=001b-xBWU3VMkej6vt7SsaRSGXW9dQZ89LI&amp;llr=bsvvjeqab" TargetMode="External"/><Relationship Id="rId20" Type="http://schemas.openxmlformats.org/officeDocument/2006/relationships/image" Target="media/image5.gif"/><Relationship Id="rId1" Type="http://schemas.openxmlformats.org/officeDocument/2006/relationships/styles" Target="styles.xml"/><Relationship Id="rId6" Type="http://schemas.openxmlformats.org/officeDocument/2006/relationships/hyperlink" Target="http://r20.rs6.net/tn.jsp?e=001MMiTy6qWeX5mx5NhtL5913SsAojPi75dRgqwzWLBFfTMrwk3Zh9FdTHIkPQKieW2ML5LmBQCAuzL2tl3s9RzPoLCLQZIJ4CXf5ZR3NA1ojnk5-wsdCBJZQ==" TargetMode="External"/><Relationship Id="rId11" Type="http://schemas.openxmlformats.org/officeDocument/2006/relationships/hyperlink" Target="http://ui.constantcontact.com/sa/fwtf.jsp?llr=bsvvjeqab&amp;m=1116835862081&amp;ea=matthew.grosso@eia.gov&amp;a=1121359128352&amp;id=preview" TargetMode="External"/><Relationship Id="rId5" Type="http://schemas.openxmlformats.org/officeDocument/2006/relationships/image" Target="media/image1.png"/><Relationship Id="rId15" Type="http://schemas.openxmlformats.org/officeDocument/2006/relationships/hyperlink" Target="mailto:matthew.grosso@eia.gov" TargetMode="External"/><Relationship Id="rId10" Type="http://schemas.openxmlformats.org/officeDocument/2006/relationships/image" Target="media/image3.gif"/><Relationship Id="rId19" Type="http://schemas.openxmlformats.org/officeDocument/2006/relationships/hyperlink" Target="http://www.constantcontact.com/index.jsp?cc=TEM_BusLet_003&amp;id=preview" TargetMode="External"/><Relationship Id="rId4" Type="http://schemas.openxmlformats.org/officeDocument/2006/relationships/webSettings" Target="webSettings.xml"/><Relationship Id="rId9" Type="http://schemas.openxmlformats.org/officeDocument/2006/relationships/hyperlink" Target="http://r20.rs6.net/tn.jsp?e=001MMiTy6qWeX5mx5NhtL5913SsAojPi75dRgqwzWLBFfTMrwk3Zh9FdTHIkPQKieW2ML5LmBQCAuwGQ3VmfnwD_rEr5o1Yhfvk5yOD_0T6k1hbC1aHS7AFw87NZW3oKREI" TargetMode="External"/><Relationship Id="rId14" Type="http://schemas.openxmlformats.org/officeDocument/2006/relationships/hyperlink" Target="mailto:matthew.grosso@ei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720</Words>
  <Characters>4104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Jennings, Alethea</dc:creator>
  <cp:lastModifiedBy>Jennings, Alethea</cp:lastModifiedBy>
  <cp:revision>2</cp:revision>
  <dcterms:created xsi:type="dcterms:W3CDTF">2015-07-08T22:01:00Z</dcterms:created>
  <dcterms:modified xsi:type="dcterms:W3CDTF">2015-07-08T22:01:00Z</dcterms:modified>
</cp:coreProperties>
</file>